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58" w:rsidRPr="00E50676" w:rsidRDefault="00624558" w:rsidP="00624558">
      <w:pPr>
        <w:jc w:val="center"/>
        <w:rPr>
          <w:b/>
        </w:rPr>
      </w:pPr>
    </w:p>
    <w:p w:rsidR="00624558" w:rsidRPr="00E50676" w:rsidRDefault="00624558" w:rsidP="00624558">
      <w:pPr>
        <w:jc w:val="center"/>
        <w:rPr>
          <w:b/>
        </w:rPr>
      </w:pPr>
      <w:r w:rsidRPr="00E50676">
        <w:rPr>
          <w:b/>
        </w:rPr>
        <w:t>Transgender HIV Behavioral Survey</w:t>
      </w:r>
    </w:p>
    <w:p w:rsidR="00624558" w:rsidRPr="00E50676" w:rsidRDefault="00624558" w:rsidP="00624558">
      <w:pPr>
        <w:jc w:val="center"/>
        <w:rPr>
          <w:b/>
        </w:rPr>
      </w:pPr>
    </w:p>
    <w:p w:rsidR="00624558" w:rsidRPr="00E50676" w:rsidRDefault="00C32939" w:rsidP="00624558">
      <w:pPr>
        <w:jc w:val="center"/>
        <w:rPr>
          <w:b/>
          <w:caps/>
        </w:rPr>
      </w:pPr>
      <w:r>
        <w:rPr>
          <w:b/>
          <w:caps/>
        </w:rPr>
        <w:t xml:space="preserve">OMB </w:t>
      </w:r>
      <w:r w:rsidR="00624558" w:rsidRPr="00E50676">
        <w:rPr>
          <w:b/>
          <w:caps/>
        </w:rPr>
        <w:t>0920-</w:t>
      </w:r>
      <w:r w:rsidR="00D25C0E">
        <w:rPr>
          <w:b/>
          <w:caps/>
        </w:rPr>
        <w:t>0794</w:t>
      </w:r>
      <w:r>
        <w:rPr>
          <w:b/>
          <w:caps/>
        </w:rPr>
        <w:br/>
        <w:t>Expired 12/31/201</w:t>
      </w:r>
      <w:r w:rsidR="005E6BE6">
        <w:rPr>
          <w:b/>
          <w:caps/>
        </w:rPr>
        <w:t>0</w:t>
      </w:r>
    </w:p>
    <w:p w:rsidR="00624558" w:rsidRPr="00E50676" w:rsidRDefault="00624558" w:rsidP="00624558">
      <w:pPr>
        <w:jc w:val="center"/>
        <w:rPr>
          <w:b/>
        </w:rPr>
      </w:pPr>
    </w:p>
    <w:p w:rsidR="00624558" w:rsidRPr="00E50676" w:rsidRDefault="00624558" w:rsidP="00624558">
      <w:pPr>
        <w:rPr>
          <w:b/>
        </w:rPr>
      </w:pPr>
    </w:p>
    <w:p w:rsidR="00624558" w:rsidRPr="00E50676" w:rsidRDefault="006D2536" w:rsidP="00624558">
      <w:pPr>
        <w:jc w:val="center"/>
        <w:rPr>
          <w:b/>
        </w:rPr>
      </w:pPr>
      <w:r>
        <w:rPr>
          <w:bCs/>
        </w:rPr>
        <w:t xml:space="preserve">May </w:t>
      </w:r>
      <w:r w:rsidR="00495B5A">
        <w:rPr>
          <w:bCs/>
        </w:rPr>
        <w:t>1</w:t>
      </w:r>
      <w:r w:rsidR="00F626DC">
        <w:rPr>
          <w:bCs/>
        </w:rPr>
        <w:t>6</w:t>
      </w:r>
      <w:r>
        <w:rPr>
          <w:bCs/>
        </w:rPr>
        <w:t>, 2011</w:t>
      </w:r>
    </w:p>
    <w:p w:rsidR="00624558" w:rsidRPr="00E50676" w:rsidRDefault="00624558" w:rsidP="00624558">
      <w:pPr>
        <w:jc w:val="center"/>
        <w:rPr>
          <w:b/>
        </w:rPr>
      </w:pPr>
    </w:p>
    <w:p w:rsidR="00624558" w:rsidRPr="00E50676" w:rsidRDefault="00624558" w:rsidP="00624558">
      <w:pPr>
        <w:jc w:val="center"/>
        <w:rPr>
          <w:b/>
        </w:rPr>
      </w:pPr>
    </w:p>
    <w:p w:rsidR="00624558" w:rsidRPr="00E50676" w:rsidRDefault="00624558" w:rsidP="00624558">
      <w:pPr>
        <w:jc w:val="center"/>
        <w:rPr>
          <w:b/>
        </w:rPr>
      </w:pPr>
    </w:p>
    <w:p w:rsidR="00624558" w:rsidRDefault="00624558" w:rsidP="00624558">
      <w:pPr>
        <w:jc w:val="center"/>
        <w:rPr>
          <w:b/>
        </w:rPr>
      </w:pPr>
    </w:p>
    <w:p w:rsidR="00411E1D" w:rsidRDefault="00411E1D" w:rsidP="00624558">
      <w:pPr>
        <w:jc w:val="center"/>
        <w:rPr>
          <w:b/>
        </w:rPr>
      </w:pPr>
    </w:p>
    <w:p w:rsidR="00411E1D" w:rsidRDefault="00411E1D" w:rsidP="00624558">
      <w:pPr>
        <w:jc w:val="center"/>
        <w:rPr>
          <w:b/>
        </w:rPr>
      </w:pPr>
    </w:p>
    <w:p w:rsidR="00411E1D" w:rsidRDefault="00411E1D" w:rsidP="00624558">
      <w:pPr>
        <w:jc w:val="center"/>
        <w:rPr>
          <w:b/>
        </w:rPr>
      </w:pPr>
    </w:p>
    <w:p w:rsidR="00411E1D" w:rsidRDefault="00411E1D" w:rsidP="00624558">
      <w:pPr>
        <w:jc w:val="center"/>
        <w:rPr>
          <w:b/>
        </w:rPr>
      </w:pPr>
    </w:p>
    <w:p w:rsidR="00411E1D" w:rsidRDefault="00411E1D" w:rsidP="00624558">
      <w:pPr>
        <w:jc w:val="center"/>
        <w:rPr>
          <w:b/>
        </w:rPr>
      </w:pPr>
    </w:p>
    <w:p w:rsidR="00411E1D" w:rsidRDefault="00411E1D" w:rsidP="00624558">
      <w:pPr>
        <w:jc w:val="center"/>
        <w:rPr>
          <w:b/>
        </w:rPr>
      </w:pPr>
    </w:p>
    <w:p w:rsidR="00411E1D" w:rsidRDefault="00411E1D" w:rsidP="00624558">
      <w:pPr>
        <w:jc w:val="center"/>
        <w:rPr>
          <w:b/>
        </w:rPr>
      </w:pPr>
    </w:p>
    <w:p w:rsidR="00411E1D" w:rsidRDefault="00411E1D" w:rsidP="00624558">
      <w:pPr>
        <w:jc w:val="center"/>
        <w:rPr>
          <w:b/>
        </w:rPr>
      </w:pPr>
    </w:p>
    <w:p w:rsidR="00411E1D" w:rsidRDefault="00411E1D" w:rsidP="00624558">
      <w:pPr>
        <w:jc w:val="center"/>
        <w:rPr>
          <w:b/>
        </w:rPr>
      </w:pPr>
    </w:p>
    <w:p w:rsidR="00411E1D" w:rsidRDefault="00411E1D" w:rsidP="00624558">
      <w:pPr>
        <w:jc w:val="center"/>
        <w:rPr>
          <w:b/>
        </w:rPr>
      </w:pPr>
    </w:p>
    <w:p w:rsidR="00411E1D" w:rsidRDefault="00411E1D" w:rsidP="00624558">
      <w:pPr>
        <w:jc w:val="center"/>
        <w:rPr>
          <w:b/>
        </w:rPr>
      </w:pPr>
    </w:p>
    <w:p w:rsidR="00411E1D" w:rsidRPr="00E50676" w:rsidRDefault="00411E1D" w:rsidP="00624558">
      <w:pPr>
        <w:jc w:val="center"/>
        <w:rPr>
          <w:b/>
        </w:rPr>
      </w:pPr>
    </w:p>
    <w:p w:rsidR="00624558" w:rsidRPr="00E50676" w:rsidRDefault="00624558" w:rsidP="00624558">
      <w:pPr>
        <w:jc w:val="center"/>
        <w:rPr>
          <w:b/>
        </w:rPr>
      </w:pPr>
    </w:p>
    <w:p w:rsidR="00624558" w:rsidRPr="00E50676" w:rsidRDefault="00624558" w:rsidP="00624558">
      <w:pPr>
        <w:jc w:val="center"/>
        <w:rPr>
          <w:b/>
        </w:rPr>
      </w:pPr>
    </w:p>
    <w:p w:rsidR="00624558" w:rsidRPr="00E50676" w:rsidRDefault="00624558" w:rsidP="00624558">
      <w:pPr>
        <w:jc w:val="center"/>
        <w:rPr>
          <w:b/>
        </w:rPr>
      </w:pPr>
    </w:p>
    <w:p w:rsidR="00624558" w:rsidRPr="00E50676" w:rsidRDefault="00624558" w:rsidP="00624558">
      <w:pPr>
        <w:jc w:val="center"/>
        <w:rPr>
          <w:b/>
        </w:rPr>
      </w:pPr>
    </w:p>
    <w:p w:rsidR="00624558" w:rsidRPr="00E50676" w:rsidRDefault="00624558" w:rsidP="00624558">
      <w:pPr>
        <w:jc w:val="center"/>
        <w:rPr>
          <w:b/>
        </w:rPr>
      </w:pPr>
    </w:p>
    <w:p w:rsidR="00624558" w:rsidRPr="00E50676" w:rsidRDefault="00624558" w:rsidP="00137778">
      <w:pPr>
        <w:jc w:val="center"/>
        <w:rPr>
          <w:b/>
        </w:rPr>
      </w:pPr>
      <w:r w:rsidRPr="00E50676">
        <w:rPr>
          <w:b/>
        </w:rPr>
        <w:t>Contact Information:</w:t>
      </w:r>
    </w:p>
    <w:p w:rsidR="00624558" w:rsidRPr="00E50676" w:rsidRDefault="00624558" w:rsidP="00137778">
      <w:pPr>
        <w:jc w:val="center"/>
        <w:rPr>
          <w:bCs/>
        </w:rPr>
      </w:pPr>
      <w:r w:rsidRPr="00E50676">
        <w:rPr>
          <w:bCs/>
        </w:rPr>
        <w:t>Teresa Finlayson, PhD MPH</w:t>
      </w:r>
    </w:p>
    <w:p w:rsidR="00624558" w:rsidRPr="00E50676" w:rsidRDefault="00624558" w:rsidP="00137778">
      <w:pPr>
        <w:jc w:val="center"/>
        <w:rPr>
          <w:bCs/>
        </w:rPr>
      </w:pPr>
      <w:r w:rsidRPr="00E50676">
        <w:rPr>
          <w:bCs/>
        </w:rPr>
        <w:t>Behavioral and Clinical Surveillance Branch</w:t>
      </w:r>
    </w:p>
    <w:p w:rsidR="00624558" w:rsidRPr="00E50676" w:rsidRDefault="00624558" w:rsidP="00137778">
      <w:pPr>
        <w:jc w:val="center"/>
        <w:rPr>
          <w:bCs/>
        </w:rPr>
      </w:pPr>
      <w:r w:rsidRPr="00E50676">
        <w:rPr>
          <w:bCs/>
        </w:rPr>
        <w:t>Division of HIV/AIDS Prevention</w:t>
      </w:r>
    </w:p>
    <w:p w:rsidR="00624558" w:rsidRPr="00E50676" w:rsidRDefault="00624558" w:rsidP="00137778">
      <w:pPr>
        <w:jc w:val="center"/>
        <w:rPr>
          <w:bCs/>
        </w:rPr>
      </w:pPr>
      <w:r w:rsidRPr="00E50676">
        <w:rPr>
          <w:bCs/>
        </w:rPr>
        <w:t>National Center for HIV/AIDS, Viral Hepatitis, STD, and TB Prevention</w:t>
      </w:r>
    </w:p>
    <w:p w:rsidR="00624558" w:rsidRPr="00E50676" w:rsidRDefault="00624558" w:rsidP="00137778">
      <w:pPr>
        <w:jc w:val="center"/>
        <w:rPr>
          <w:bCs/>
        </w:rPr>
      </w:pPr>
      <w:r w:rsidRPr="00E50676">
        <w:rPr>
          <w:bCs/>
        </w:rPr>
        <w:t>Centers for Disease Control and Prevention</w:t>
      </w:r>
    </w:p>
    <w:p w:rsidR="00624558" w:rsidRPr="00E50676" w:rsidRDefault="00624558" w:rsidP="00137778">
      <w:pPr>
        <w:jc w:val="center"/>
        <w:rPr>
          <w:bCs/>
        </w:rPr>
      </w:pPr>
      <w:r w:rsidRPr="00E50676">
        <w:rPr>
          <w:bCs/>
        </w:rPr>
        <w:t>1600 Clifton Road (MS E-46)</w:t>
      </w:r>
    </w:p>
    <w:p w:rsidR="00624558" w:rsidRPr="00E50676" w:rsidRDefault="00624558" w:rsidP="00137778">
      <w:pPr>
        <w:jc w:val="center"/>
        <w:rPr>
          <w:bCs/>
        </w:rPr>
      </w:pPr>
      <w:r w:rsidRPr="00E50676">
        <w:rPr>
          <w:bCs/>
        </w:rPr>
        <w:t>Atlanta, GA 30333</w:t>
      </w:r>
    </w:p>
    <w:p w:rsidR="00624558" w:rsidRPr="00E50676" w:rsidRDefault="00624558" w:rsidP="00137778">
      <w:pPr>
        <w:jc w:val="center"/>
        <w:rPr>
          <w:bCs/>
        </w:rPr>
      </w:pPr>
      <w:r w:rsidRPr="00E50676">
        <w:rPr>
          <w:bCs/>
        </w:rPr>
        <w:t>Voice: 404.639.2083</w:t>
      </w:r>
    </w:p>
    <w:p w:rsidR="00624558" w:rsidRPr="00E50676" w:rsidRDefault="00624558" w:rsidP="00137778">
      <w:pPr>
        <w:jc w:val="center"/>
        <w:rPr>
          <w:bCs/>
        </w:rPr>
      </w:pPr>
      <w:r w:rsidRPr="00E50676">
        <w:rPr>
          <w:bCs/>
        </w:rPr>
        <w:t>Fax: 404 639 8640</w:t>
      </w:r>
    </w:p>
    <w:p w:rsidR="00624558" w:rsidRPr="00E50676" w:rsidRDefault="00624558" w:rsidP="00137778">
      <w:pPr>
        <w:jc w:val="center"/>
        <w:rPr>
          <w:bCs/>
        </w:rPr>
      </w:pPr>
      <w:r w:rsidRPr="00E50676">
        <w:rPr>
          <w:bCs/>
        </w:rPr>
        <w:t xml:space="preserve">Email: </w:t>
      </w:r>
      <w:hyperlink r:id="rId8" w:history="1">
        <w:r w:rsidRPr="00E50676">
          <w:rPr>
            <w:rStyle w:val="Hyperlink"/>
            <w:bCs/>
          </w:rPr>
          <w:t>TFinlayson@cdc.gov</w:t>
        </w:r>
      </w:hyperlink>
    </w:p>
    <w:p w:rsidR="004C1EF3" w:rsidRPr="00E50676" w:rsidRDefault="004C1EF3" w:rsidP="004C1EF3">
      <w:pPr>
        <w:jc w:val="center"/>
        <w:rPr>
          <w:b/>
        </w:rPr>
      </w:pPr>
    </w:p>
    <w:p w:rsidR="004C1EF3" w:rsidRPr="00E50676" w:rsidRDefault="004C1EF3" w:rsidP="004C1EF3">
      <w:pPr>
        <w:jc w:val="center"/>
        <w:rPr>
          <w:b/>
        </w:rPr>
      </w:pPr>
    </w:p>
    <w:p w:rsidR="004C1EF3" w:rsidRPr="00E50676" w:rsidRDefault="004C1EF3" w:rsidP="004C1EF3">
      <w:pPr>
        <w:jc w:val="center"/>
        <w:rPr>
          <w:b/>
        </w:rPr>
      </w:pPr>
    </w:p>
    <w:p w:rsidR="002C61B3" w:rsidRPr="00E50676" w:rsidRDefault="004C1EF3" w:rsidP="002C61B3">
      <w:pPr>
        <w:jc w:val="center"/>
        <w:rPr>
          <w:b/>
        </w:rPr>
      </w:pPr>
      <w:r w:rsidRPr="00E50676">
        <w:rPr>
          <w:b/>
        </w:rPr>
        <w:br w:type="page"/>
      </w:r>
      <w:r w:rsidR="002C61B3" w:rsidRPr="00E50676">
        <w:rPr>
          <w:b/>
        </w:rPr>
        <w:lastRenderedPageBreak/>
        <w:t>Transgender HIV Behavioral Survey</w:t>
      </w:r>
    </w:p>
    <w:p w:rsidR="002C61B3" w:rsidRPr="00E50676" w:rsidRDefault="002C61B3" w:rsidP="002C61B3">
      <w:pPr>
        <w:jc w:val="center"/>
        <w:rPr>
          <w:b/>
        </w:rPr>
      </w:pPr>
    </w:p>
    <w:p w:rsidR="002C61B3" w:rsidRPr="00E50676" w:rsidRDefault="002C61B3" w:rsidP="002C61B3">
      <w:pPr>
        <w:jc w:val="center"/>
        <w:rPr>
          <w:b/>
          <w:caps/>
        </w:rPr>
      </w:pPr>
      <w:r w:rsidRPr="00E50676">
        <w:rPr>
          <w:b/>
          <w:caps/>
        </w:rPr>
        <w:t>0920-</w:t>
      </w:r>
      <w:r w:rsidR="006F2631">
        <w:rPr>
          <w:b/>
          <w:caps/>
        </w:rPr>
        <w:t>0794</w:t>
      </w:r>
    </w:p>
    <w:p w:rsidR="004627E5" w:rsidRPr="00E50676" w:rsidRDefault="004627E5" w:rsidP="004627E5">
      <w:pPr>
        <w:jc w:val="center"/>
        <w:rPr>
          <w:b/>
          <w:caps/>
        </w:rPr>
      </w:pPr>
    </w:p>
    <w:p w:rsidR="002C61B3" w:rsidRPr="00E50676" w:rsidRDefault="002C61B3" w:rsidP="004627E5">
      <w:pPr>
        <w:jc w:val="center"/>
        <w:rPr>
          <w:b/>
          <w:caps/>
        </w:rPr>
      </w:pPr>
      <w:r w:rsidRPr="00E50676">
        <w:rPr>
          <w:b/>
          <w:caps/>
        </w:rPr>
        <w:t>Table of Contents</w:t>
      </w:r>
    </w:p>
    <w:p w:rsidR="002C61B3" w:rsidRPr="00E50676" w:rsidRDefault="002C61B3" w:rsidP="002C61B3">
      <w:pPr>
        <w:rPr>
          <w:b/>
        </w:rPr>
      </w:pPr>
      <w:r w:rsidRPr="00E50676">
        <w:rPr>
          <w:b/>
          <w:caps/>
        </w:rPr>
        <w:t>SeCTION</w:t>
      </w:r>
    </w:p>
    <w:p w:rsidR="00AA34D3" w:rsidRDefault="00AA34D3" w:rsidP="004627E5">
      <w:pPr>
        <w:pStyle w:val="Heading2"/>
        <w:ind w:left="0" w:firstLine="0"/>
        <w:rPr>
          <w:bCs/>
          <w:sz w:val="24"/>
          <w:szCs w:val="24"/>
        </w:rPr>
      </w:pPr>
    </w:p>
    <w:p w:rsidR="004627E5" w:rsidRPr="00E50676" w:rsidRDefault="004627E5" w:rsidP="004627E5">
      <w:pPr>
        <w:pStyle w:val="Heading2"/>
        <w:ind w:left="0" w:firstLine="0"/>
        <w:rPr>
          <w:bCs/>
          <w:sz w:val="24"/>
          <w:szCs w:val="24"/>
        </w:rPr>
      </w:pPr>
      <w:r w:rsidRPr="00E50676">
        <w:rPr>
          <w:bCs/>
          <w:sz w:val="24"/>
          <w:szCs w:val="24"/>
        </w:rPr>
        <w:t>B.</w:t>
      </w:r>
      <w:r w:rsidRPr="00E50676">
        <w:rPr>
          <w:bCs/>
          <w:sz w:val="24"/>
          <w:szCs w:val="24"/>
        </w:rPr>
        <w:tab/>
        <w:t xml:space="preserve">Collection of Information Involving statistical Methods </w:t>
      </w:r>
    </w:p>
    <w:p w:rsidR="004627E5" w:rsidRPr="00E50676" w:rsidRDefault="004627E5" w:rsidP="00927D52">
      <w:pPr>
        <w:pStyle w:val="Heading2"/>
        <w:ind w:hanging="360"/>
        <w:rPr>
          <w:b w:val="0"/>
          <w:bCs/>
          <w:sz w:val="24"/>
          <w:szCs w:val="24"/>
        </w:rPr>
      </w:pPr>
      <w:bookmarkStart w:id="0" w:name="_Toc143058454"/>
      <w:bookmarkStart w:id="1" w:name="_Toc146088453"/>
      <w:bookmarkStart w:id="2" w:name="_Toc154222660"/>
      <w:r w:rsidRPr="00E50676">
        <w:rPr>
          <w:b w:val="0"/>
          <w:bCs/>
          <w:sz w:val="24"/>
          <w:szCs w:val="24"/>
        </w:rPr>
        <w:t>1.</w:t>
      </w:r>
      <w:r w:rsidRPr="00E50676">
        <w:rPr>
          <w:b w:val="0"/>
          <w:bCs/>
          <w:sz w:val="24"/>
          <w:szCs w:val="24"/>
        </w:rPr>
        <w:tab/>
        <w:t>Respondent Universe and Sampling Methods</w:t>
      </w:r>
      <w:bookmarkEnd w:id="0"/>
      <w:bookmarkEnd w:id="1"/>
      <w:bookmarkEnd w:id="2"/>
      <w:r w:rsidRPr="00E50676">
        <w:rPr>
          <w:b w:val="0"/>
          <w:bCs/>
          <w:sz w:val="24"/>
          <w:szCs w:val="24"/>
        </w:rPr>
        <w:t xml:space="preserve"> </w:t>
      </w:r>
      <w:bookmarkStart w:id="3" w:name="_Toc146088454"/>
      <w:bookmarkStart w:id="4" w:name="_Toc154222661"/>
    </w:p>
    <w:p w:rsidR="004627E5" w:rsidRPr="00E50676" w:rsidRDefault="004627E5" w:rsidP="00927D52">
      <w:pPr>
        <w:pStyle w:val="Heading2"/>
        <w:ind w:hanging="360"/>
        <w:rPr>
          <w:b w:val="0"/>
          <w:bCs/>
          <w:sz w:val="24"/>
          <w:szCs w:val="24"/>
        </w:rPr>
      </w:pPr>
      <w:r w:rsidRPr="00E50676">
        <w:rPr>
          <w:b w:val="0"/>
          <w:bCs/>
          <w:sz w:val="24"/>
          <w:szCs w:val="24"/>
        </w:rPr>
        <w:t>2.</w:t>
      </w:r>
      <w:r w:rsidRPr="00E50676">
        <w:rPr>
          <w:b w:val="0"/>
          <w:bCs/>
          <w:sz w:val="24"/>
          <w:szCs w:val="24"/>
        </w:rPr>
        <w:tab/>
        <w:t>Procedures for the Collection of Information</w:t>
      </w:r>
      <w:bookmarkEnd w:id="3"/>
      <w:bookmarkEnd w:id="4"/>
    </w:p>
    <w:p w:rsidR="004627E5" w:rsidRPr="00E50676" w:rsidRDefault="004627E5" w:rsidP="00927D52">
      <w:pPr>
        <w:pStyle w:val="Heading2"/>
        <w:ind w:hanging="360"/>
        <w:rPr>
          <w:b w:val="0"/>
          <w:bCs/>
          <w:sz w:val="24"/>
          <w:szCs w:val="24"/>
        </w:rPr>
      </w:pPr>
      <w:bookmarkStart w:id="5" w:name="_Toc143058455"/>
      <w:bookmarkStart w:id="6" w:name="_Toc146088455"/>
      <w:bookmarkStart w:id="7" w:name="_Toc154222662"/>
      <w:r w:rsidRPr="00E50676">
        <w:rPr>
          <w:b w:val="0"/>
          <w:sz w:val="24"/>
          <w:szCs w:val="24"/>
        </w:rPr>
        <w:t>3</w:t>
      </w:r>
      <w:r w:rsidRPr="00E50676">
        <w:rPr>
          <w:b w:val="0"/>
          <w:bCs/>
          <w:sz w:val="24"/>
          <w:szCs w:val="24"/>
        </w:rPr>
        <w:t>.</w:t>
      </w:r>
      <w:r w:rsidRPr="00E50676">
        <w:rPr>
          <w:b w:val="0"/>
          <w:bCs/>
          <w:sz w:val="24"/>
          <w:szCs w:val="24"/>
        </w:rPr>
        <w:tab/>
        <w:t xml:space="preserve">Methods to Maximize Response Rates and Deal with </w:t>
      </w:r>
      <w:proofErr w:type="spellStart"/>
      <w:r w:rsidRPr="00E50676">
        <w:rPr>
          <w:b w:val="0"/>
          <w:bCs/>
          <w:sz w:val="24"/>
          <w:szCs w:val="24"/>
        </w:rPr>
        <w:t>Nonresponse</w:t>
      </w:r>
      <w:bookmarkEnd w:id="5"/>
      <w:bookmarkEnd w:id="6"/>
      <w:bookmarkEnd w:id="7"/>
      <w:proofErr w:type="spellEnd"/>
      <w:r w:rsidRPr="00E50676">
        <w:rPr>
          <w:b w:val="0"/>
          <w:bCs/>
          <w:sz w:val="24"/>
          <w:szCs w:val="24"/>
        </w:rPr>
        <w:t xml:space="preserve"> </w:t>
      </w:r>
      <w:bookmarkStart w:id="8" w:name="_Toc143058456"/>
      <w:bookmarkStart w:id="9" w:name="_Toc146088456"/>
      <w:bookmarkStart w:id="10" w:name="_Toc154222663"/>
    </w:p>
    <w:p w:rsidR="002C61B3" w:rsidRPr="00E50676" w:rsidRDefault="004627E5" w:rsidP="002C61B3">
      <w:pPr>
        <w:pStyle w:val="Heading2"/>
        <w:ind w:hanging="360"/>
        <w:rPr>
          <w:b w:val="0"/>
          <w:bCs/>
          <w:sz w:val="24"/>
          <w:szCs w:val="24"/>
        </w:rPr>
      </w:pPr>
      <w:r w:rsidRPr="00E50676">
        <w:rPr>
          <w:b w:val="0"/>
          <w:bCs/>
          <w:sz w:val="24"/>
          <w:szCs w:val="24"/>
        </w:rPr>
        <w:t>4.</w:t>
      </w:r>
      <w:r w:rsidRPr="00E50676">
        <w:rPr>
          <w:b w:val="0"/>
          <w:bCs/>
          <w:sz w:val="24"/>
          <w:szCs w:val="24"/>
        </w:rPr>
        <w:tab/>
        <w:t>Test of Procedures or Methods to Be Undertaken</w:t>
      </w:r>
      <w:bookmarkStart w:id="11" w:name="_Toc143058457"/>
      <w:bookmarkStart w:id="12" w:name="_Toc146088457"/>
      <w:bookmarkStart w:id="13" w:name="_Toc154222664"/>
      <w:bookmarkEnd w:id="8"/>
      <w:bookmarkEnd w:id="9"/>
      <w:bookmarkEnd w:id="10"/>
    </w:p>
    <w:p w:rsidR="004627E5" w:rsidRPr="00E50676" w:rsidRDefault="004627E5" w:rsidP="002C61B3">
      <w:pPr>
        <w:pStyle w:val="Heading2"/>
        <w:ind w:hanging="360"/>
        <w:rPr>
          <w:b w:val="0"/>
          <w:sz w:val="24"/>
          <w:szCs w:val="24"/>
        </w:rPr>
      </w:pPr>
      <w:r w:rsidRPr="00E50676">
        <w:rPr>
          <w:b w:val="0"/>
          <w:sz w:val="24"/>
          <w:szCs w:val="24"/>
        </w:rPr>
        <w:t>5.</w:t>
      </w:r>
      <w:r w:rsidRPr="00E50676">
        <w:rPr>
          <w:b w:val="0"/>
          <w:sz w:val="24"/>
          <w:szCs w:val="24"/>
        </w:rPr>
        <w:tab/>
        <w:t>Individuals Consulted on Statistical Aspects and Individuals Collecting and/or Analyzing Data</w:t>
      </w:r>
      <w:bookmarkEnd w:id="11"/>
      <w:bookmarkEnd w:id="12"/>
      <w:bookmarkEnd w:id="13"/>
    </w:p>
    <w:p w:rsidR="00AA34D3" w:rsidRDefault="00AA34D3" w:rsidP="00624558">
      <w:pPr>
        <w:pStyle w:val="TOC5"/>
        <w:tabs>
          <w:tab w:val="clear" w:pos="9360"/>
          <w:tab w:val="left" w:pos="1620"/>
        </w:tabs>
        <w:spacing w:before="120" w:after="0"/>
        <w:ind w:left="360" w:right="0" w:hanging="360"/>
        <w:jc w:val="both"/>
        <w:rPr>
          <w:b/>
          <w:sz w:val="24"/>
          <w:szCs w:val="24"/>
        </w:rPr>
      </w:pPr>
    </w:p>
    <w:p w:rsidR="00C94237" w:rsidRPr="00934F56" w:rsidRDefault="00C94237" w:rsidP="00C94237">
      <w:pPr>
        <w:pStyle w:val="TOC5"/>
        <w:tabs>
          <w:tab w:val="clear" w:pos="9360"/>
          <w:tab w:val="left" w:pos="1620"/>
        </w:tabs>
        <w:spacing w:before="120" w:after="0"/>
        <w:ind w:left="360" w:right="0" w:hanging="360"/>
        <w:jc w:val="both"/>
        <w:rPr>
          <w:b/>
          <w:sz w:val="24"/>
          <w:szCs w:val="24"/>
        </w:rPr>
      </w:pPr>
      <w:r w:rsidRPr="00934F56">
        <w:rPr>
          <w:b/>
          <w:sz w:val="24"/>
          <w:szCs w:val="24"/>
        </w:rPr>
        <w:t>LIST OF ATTACHMENTS</w:t>
      </w:r>
    </w:p>
    <w:p w:rsidR="00C94237" w:rsidRPr="00934F56" w:rsidRDefault="00C94237" w:rsidP="00C94237"/>
    <w:tbl>
      <w:tblPr>
        <w:tblW w:w="8835" w:type="dxa"/>
        <w:tblInd w:w="93" w:type="dxa"/>
        <w:tblLook w:val="0000"/>
      </w:tblPr>
      <w:tblGrid>
        <w:gridCol w:w="2175"/>
        <w:gridCol w:w="360"/>
        <w:gridCol w:w="6300"/>
      </w:tblGrid>
      <w:tr w:rsidR="00C94237" w:rsidRPr="00934F56" w:rsidTr="00C94237">
        <w:trPr>
          <w:trHeight w:val="255"/>
        </w:trPr>
        <w:tc>
          <w:tcPr>
            <w:tcW w:w="2175" w:type="dxa"/>
            <w:tcBorders>
              <w:top w:val="nil"/>
              <w:left w:val="nil"/>
              <w:bottom w:val="nil"/>
              <w:right w:val="nil"/>
            </w:tcBorders>
            <w:shd w:val="clear" w:color="auto" w:fill="auto"/>
            <w:noWrap/>
            <w:vAlign w:val="bottom"/>
          </w:tcPr>
          <w:p w:rsidR="00C94237" w:rsidRPr="00934F56" w:rsidRDefault="00C94237" w:rsidP="00C94237">
            <w:pPr>
              <w:jc w:val="center"/>
              <w:rPr>
                <w:rFonts w:eastAsia="SimSun"/>
                <w:b/>
                <w:bCs/>
                <w:lang w:eastAsia="zh-CN"/>
              </w:rPr>
            </w:pPr>
            <w:r w:rsidRPr="00934F56">
              <w:rPr>
                <w:rFonts w:eastAsia="SimSun"/>
                <w:b/>
                <w:bCs/>
                <w:lang w:eastAsia="zh-CN"/>
              </w:rPr>
              <w:t>Attachment Number</w:t>
            </w:r>
          </w:p>
        </w:tc>
        <w:tc>
          <w:tcPr>
            <w:tcW w:w="360" w:type="dxa"/>
            <w:tcBorders>
              <w:top w:val="nil"/>
              <w:left w:val="nil"/>
              <w:bottom w:val="nil"/>
              <w:right w:val="nil"/>
            </w:tcBorders>
            <w:shd w:val="clear" w:color="auto" w:fill="auto"/>
            <w:noWrap/>
            <w:vAlign w:val="bottom"/>
          </w:tcPr>
          <w:p w:rsidR="00C94237" w:rsidRPr="00934F56" w:rsidRDefault="00C94237" w:rsidP="00C94237">
            <w:pPr>
              <w:rPr>
                <w:rFonts w:eastAsia="SimSun"/>
                <w:lang w:eastAsia="zh-CN"/>
              </w:rPr>
            </w:pPr>
          </w:p>
        </w:tc>
        <w:tc>
          <w:tcPr>
            <w:tcW w:w="6300" w:type="dxa"/>
            <w:tcBorders>
              <w:top w:val="nil"/>
              <w:left w:val="nil"/>
              <w:bottom w:val="nil"/>
              <w:right w:val="nil"/>
            </w:tcBorders>
            <w:shd w:val="clear" w:color="auto" w:fill="auto"/>
            <w:noWrap/>
            <w:vAlign w:val="bottom"/>
          </w:tcPr>
          <w:p w:rsidR="00C94237" w:rsidRPr="00934F56" w:rsidRDefault="00C94237" w:rsidP="00C94237">
            <w:pPr>
              <w:rPr>
                <w:rFonts w:eastAsia="SimSun"/>
                <w:b/>
                <w:bCs/>
                <w:lang w:eastAsia="zh-CN"/>
              </w:rPr>
            </w:pPr>
            <w:r w:rsidRPr="00934F56">
              <w:rPr>
                <w:rFonts w:eastAsia="SimSun"/>
                <w:b/>
                <w:bCs/>
                <w:lang w:eastAsia="zh-CN"/>
              </w:rPr>
              <w:t>Document Description</w:t>
            </w:r>
          </w:p>
        </w:tc>
      </w:tr>
      <w:tr w:rsidR="00C94237" w:rsidRPr="00934F56" w:rsidTr="00C94237">
        <w:trPr>
          <w:trHeight w:val="255"/>
        </w:trPr>
        <w:tc>
          <w:tcPr>
            <w:tcW w:w="2175" w:type="dxa"/>
            <w:tcBorders>
              <w:top w:val="nil"/>
              <w:left w:val="nil"/>
              <w:bottom w:val="single" w:sz="4" w:space="0" w:color="auto"/>
              <w:right w:val="nil"/>
            </w:tcBorders>
            <w:shd w:val="clear" w:color="auto" w:fill="auto"/>
            <w:noWrap/>
            <w:vAlign w:val="bottom"/>
          </w:tcPr>
          <w:p w:rsidR="00C94237" w:rsidRPr="00934F56" w:rsidRDefault="00C94237" w:rsidP="00C94237">
            <w:pPr>
              <w:jc w:val="center"/>
              <w:rPr>
                <w:rFonts w:eastAsia="SimSun"/>
                <w:lang w:eastAsia="zh-CN"/>
              </w:rPr>
            </w:pPr>
          </w:p>
        </w:tc>
        <w:tc>
          <w:tcPr>
            <w:tcW w:w="360" w:type="dxa"/>
            <w:tcBorders>
              <w:top w:val="nil"/>
              <w:left w:val="nil"/>
              <w:bottom w:val="single" w:sz="4" w:space="0" w:color="auto"/>
              <w:right w:val="nil"/>
            </w:tcBorders>
            <w:shd w:val="clear" w:color="auto" w:fill="auto"/>
            <w:noWrap/>
            <w:vAlign w:val="bottom"/>
          </w:tcPr>
          <w:p w:rsidR="00C94237" w:rsidRPr="00934F56" w:rsidRDefault="00C94237" w:rsidP="00C94237">
            <w:pPr>
              <w:rPr>
                <w:rFonts w:eastAsia="SimSun"/>
                <w:lang w:eastAsia="zh-CN"/>
              </w:rPr>
            </w:pPr>
          </w:p>
        </w:tc>
        <w:tc>
          <w:tcPr>
            <w:tcW w:w="6300" w:type="dxa"/>
            <w:tcBorders>
              <w:top w:val="nil"/>
              <w:left w:val="nil"/>
              <w:bottom w:val="single" w:sz="4" w:space="0" w:color="auto"/>
              <w:right w:val="nil"/>
            </w:tcBorders>
            <w:shd w:val="clear" w:color="auto" w:fill="auto"/>
            <w:noWrap/>
            <w:vAlign w:val="bottom"/>
          </w:tcPr>
          <w:p w:rsidR="00C94237" w:rsidRPr="00934F56" w:rsidRDefault="00C94237" w:rsidP="00C94237">
            <w:pPr>
              <w:rPr>
                <w:rFonts w:eastAsia="SimSun"/>
                <w:lang w:eastAsia="zh-CN"/>
              </w:rPr>
            </w:pPr>
          </w:p>
        </w:tc>
      </w:tr>
      <w:tr w:rsidR="00C94237" w:rsidRPr="00934F56" w:rsidTr="00C94237">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4237" w:rsidRPr="00934F56" w:rsidRDefault="00C94237" w:rsidP="00C94237">
            <w:pPr>
              <w:jc w:val="center"/>
              <w:rPr>
                <w:rFonts w:eastAsia="SimSun"/>
                <w:lang w:eastAsia="zh-CN"/>
              </w:rPr>
            </w:pPr>
            <w:r w:rsidRPr="00934F56">
              <w:rPr>
                <w:rFonts w:eastAsia="SimSun"/>
                <w:lang w:eastAsia="zh-CN"/>
              </w:rPr>
              <w:t>1</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4237" w:rsidRPr="00934F56" w:rsidRDefault="00C94237"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4237" w:rsidRPr="00934F56" w:rsidRDefault="00C94237" w:rsidP="00C94237">
            <w:pPr>
              <w:rPr>
                <w:rFonts w:eastAsia="SimSun"/>
                <w:lang w:eastAsia="zh-CN"/>
              </w:rPr>
            </w:pPr>
            <w:r w:rsidRPr="00934F56">
              <w:rPr>
                <w:rFonts w:eastAsia="SimSun"/>
                <w:lang w:eastAsia="zh-CN"/>
              </w:rPr>
              <w:t>Public Health Service Act</w:t>
            </w:r>
          </w:p>
        </w:tc>
      </w:tr>
      <w:tr w:rsidR="00C94237" w:rsidRPr="00934F56" w:rsidTr="00C94237">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4237" w:rsidRPr="00934F56" w:rsidRDefault="00C94237" w:rsidP="00C94237">
            <w:pPr>
              <w:jc w:val="center"/>
              <w:rPr>
                <w:rFonts w:eastAsia="SimSun"/>
                <w:lang w:eastAsia="zh-CN"/>
              </w:rPr>
            </w:pPr>
            <w:r w:rsidRPr="00934F56">
              <w:rPr>
                <w:rFonts w:eastAsia="SimSun"/>
                <w:lang w:eastAsia="zh-CN"/>
              </w:rPr>
              <w:t>2</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4237" w:rsidRPr="00934F56" w:rsidRDefault="00C94237"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4237" w:rsidRPr="00934F56" w:rsidRDefault="00C94237" w:rsidP="00C94237">
            <w:pPr>
              <w:rPr>
                <w:rFonts w:eastAsia="SimSun"/>
                <w:lang w:eastAsia="zh-CN"/>
              </w:rPr>
            </w:pPr>
            <w:r w:rsidRPr="00934F56">
              <w:rPr>
                <w:rFonts w:eastAsia="SimSun"/>
                <w:lang w:eastAsia="zh-CN"/>
              </w:rPr>
              <w:t>60-day Federal Register Notice</w:t>
            </w:r>
          </w:p>
        </w:tc>
      </w:tr>
      <w:tr w:rsidR="00C94237" w:rsidRPr="00934F56" w:rsidTr="00C94237">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C94237" w:rsidP="00C94237">
            <w:pPr>
              <w:jc w:val="center"/>
              <w:rPr>
                <w:rFonts w:eastAsia="SimSun"/>
                <w:lang w:eastAsia="zh-CN"/>
              </w:rPr>
            </w:pPr>
            <w:r w:rsidRPr="00934F56">
              <w:rPr>
                <w:rFonts w:eastAsia="SimSun"/>
                <w:lang w:eastAsia="zh-CN"/>
              </w:rPr>
              <w:t>3a</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4237" w:rsidRPr="00934F56" w:rsidRDefault="00C94237"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4237" w:rsidRPr="00934F56" w:rsidRDefault="00C94237" w:rsidP="00C94237">
            <w:pPr>
              <w:rPr>
                <w:rFonts w:eastAsia="SimSun"/>
                <w:lang w:eastAsia="zh-CN"/>
              </w:rPr>
            </w:pPr>
            <w:r w:rsidRPr="00934F56">
              <w:rPr>
                <w:rFonts w:eastAsia="SimSun"/>
                <w:lang w:eastAsia="zh-CN"/>
              </w:rPr>
              <w:t>Eligibility Screener</w:t>
            </w:r>
          </w:p>
        </w:tc>
      </w:tr>
      <w:tr w:rsidR="00C94237" w:rsidRPr="00934F56" w:rsidTr="00C94237">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4237" w:rsidRPr="00934F56" w:rsidRDefault="00C94237" w:rsidP="00C94237">
            <w:pPr>
              <w:jc w:val="center"/>
              <w:rPr>
                <w:rFonts w:eastAsia="SimSun"/>
                <w:lang w:eastAsia="zh-CN"/>
              </w:rPr>
            </w:pPr>
            <w:r w:rsidRPr="00934F56">
              <w:rPr>
                <w:rFonts w:eastAsia="SimSun"/>
                <w:lang w:eastAsia="zh-CN"/>
              </w:rPr>
              <w:t>3</w:t>
            </w:r>
            <w:r>
              <w:rPr>
                <w:rFonts w:eastAsia="SimSun"/>
                <w:lang w:eastAsia="zh-CN"/>
              </w:rPr>
              <w:t>b</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4237" w:rsidRPr="00934F56" w:rsidRDefault="00C94237"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4237" w:rsidRPr="00934F56" w:rsidRDefault="00C94237" w:rsidP="00C94237">
            <w:pPr>
              <w:rPr>
                <w:rFonts w:eastAsia="SimSun"/>
                <w:lang w:eastAsia="zh-CN"/>
              </w:rPr>
            </w:pPr>
            <w:r>
              <w:rPr>
                <w:rFonts w:eastAsia="SimSun"/>
                <w:lang w:eastAsia="zh-CN"/>
              </w:rPr>
              <w:t xml:space="preserve">Behavioral Assessment </w:t>
            </w:r>
          </w:p>
        </w:tc>
      </w:tr>
      <w:tr w:rsidR="00C94237" w:rsidRPr="00934F56" w:rsidTr="00C94237">
        <w:trPr>
          <w:trHeight w:val="233"/>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C94237" w:rsidP="00C94237">
            <w:pPr>
              <w:jc w:val="center"/>
              <w:rPr>
                <w:rFonts w:eastAsia="SimSun"/>
                <w:lang w:eastAsia="zh-CN"/>
              </w:rPr>
            </w:pPr>
            <w:r>
              <w:rPr>
                <w:rFonts w:eastAsia="SimSun"/>
                <w:lang w:eastAsia="zh-CN"/>
              </w:rPr>
              <w:t>3c</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C94237"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E24275" w:rsidP="00C94237">
            <w:pPr>
              <w:rPr>
                <w:rFonts w:eastAsia="SimSun"/>
                <w:lang w:eastAsia="zh-CN"/>
              </w:rPr>
            </w:pPr>
            <w:r w:rsidRPr="00934F56">
              <w:rPr>
                <w:rFonts w:eastAsia="SimSun"/>
                <w:lang w:eastAsia="zh-CN"/>
              </w:rPr>
              <w:t xml:space="preserve">Recruiter </w:t>
            </w:r>
            <w:r>
              <w:rPr>
                <w:rFonts w:eastAsia="SimSun"/>
                <w:lang w:eastAsia="zh-CN"/>
              </w:rPr>
              <w:t>Debriefing</w:t>
            </w:r>
          </w:p>
        </w:tc>
      </w:tr>
      <w:tr w:rsidR="00C94237" w:rsidRPr="00934F56" w:rsidTr="00C94237">
        <w:trPr>
          <w:trHeight w:val="233"/>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C94237" w:rsidP="00C94237">
            <w:pPr>
              <w:jc w:val="center"/>
              <w:rPr>
                <w:rFonts w:eastAsia="SimSun"/>
                <w:lang w:eastAsia="zh-CN"/>
              </w:rPr>
            </w:pPr>
            <w:r w:rsidRPr="00934F56">
              <w:rPr>
                <w:rFonts w:eastAsia="SimSun"/>
                <w:lang w:eastAsia="zh-CN"/>
              </w:rPr>
              <w:t>3</w:t>
            </w:r>
            <w:r>
              <w:rPr>
                <w:rFonts w:eastAsia="SimSun"/>
                <w:lang w:eastAsia="zh-CN"/>
              </w:rPr>
              <w:t>d</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C94237"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E24275" w:rsidP="00C94237">
            <w:pPr>
              <w:rPr>
                <w:rFonts w:eastAsia="SimSun"/>
                <w:lang w:eastAsia="zh-CN"/>
              </w:rPr>
            </w:pPr>
            <w:r>
              <w:rPr>
                <w:rFonts w:eastAsia="SimSun"/>
                <w:lang w:eastAsia="zh-CN"/>
              </w:rPr>
              <w:t>Interview Flashcards</w:t>
            </w:r>
          </w:p>
        </w:tc>
      </w:tr>
      <w:tr w:rsidR="00C94237" w:rsidRPr="00934F56" w:rsidTr="00C94237">
        <w:trPr>
          <w:trHeight w:val="233"/>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C94237" w:rsidP="00C94237">
            <w:pPr>
              <w:jc w:val="center"/>
              <w:rPr>
                <w:rFonts w:eastAsia="SimSun"/>
                <w:lang w:eastAsia="zh-CN"/>
              </w:rPr>
            </w:pPr>
            <w:r w:rsidRPr="00934F56">
              <w:rPr>
                <w:rFonts w:eastAsia="SimSun"/>
                <w:lang w:eastAsia="zh-CN"/>
              </w:rPr>
              <w:t>3</w:t>
            </w:r>
            <w:r>
              <w:rPr>
                <w:rFonts w:eastAsia="SimSun"/>
                <w:lang w:eastAsia="zh-CN"/>
              </w:rPr>
              <w:t>e</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C94237"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C94237" w:rsidP="006628EE">
            <w:pPr>
              <w:rPr>
                <w:rFonts w:eastAsia="SimSun"/>
                <w:lang w:eastAsia="zh-CN"/>
              </w:rPr>
            </w:pPr>
            <w:r w:rsidRPr="00934F56">
              <w:rPr>
                <w:rFonts w:eastAsia="SimSun"/>
                <w:lang w:eastAsia="zh-CN"/>
              </w:rPr>
              <w:t>Spanish Translation</w:t>
            </w:r>
          </w:p>
        </w:tc>
      </w:tr>
      <w:tr w:rsidR="00C94237" w:rsidRPr="00934F56" w:rsidTr="00C94237">
        <w:trPr>
          <w:trHeight w:val="233"/>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C94237" w:rsidP="00C94237">
            <w:pPr>
              <w:jc w:val="center"/>
              <w:rPr>
                <w:rFonts w:eastAsia="SimSun"/>
                <w:lang w:eastAsia="zh-CN"/>
              </w:rPr>
            </w:pPr>
            <w:r w:rsidRPr="00934F56">
              <w:rPr>
                <w:rFonts w:eastAsia="SimSun"/>
                <w:lang w:eastAsia="zh-CN"/>
              </w:rPr>
              <w:t>4</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C94237"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tcPr>
          <w:p w:rsidR="00C94237" w:rsidRPr="00934F56" w:rsidRDefault="00C94237" w:rsidP="00C94237">
            <w:pPr>
              <w:rPr>
                <w:rFonts w:eastAsia="SimSun"/>
                <w:lang w:eastAsia="zh-CN"/>
              </w:rPr>
            </w:pPr>
            <w:r>
              <w:rPr>
                <w:rFonts w:eastAsia="SimSun"/>
                <w:lang w:eastAsia="zh-CN"/>
              </w:rPr>
              <w:t>Response to Public Comments</w:t>
            </w:r>
          </w:p>
        </w:tc>
      </w:tr>
      <w:tr w:rsidR="0069390C" w:rsidRPr="00934F56" w:rsidTr="00475B73">
        <w:trPr>
          <w:trHeight w:val="233"/>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jc w:val="center"/>
              <w:rPr>
                <w:rFonts w:eastAsia="SimSun"/>
                <w:lang w:eastAsia="zh-CN"/>
              </w:rPr>
            </w:pPr>
            <w:r>
              <w:rPr>
                <w:rFonts w:eastAsia="SimSun"/>
                <w:lang w:eastAsia="zh-CN"/>
              </w:rPr>
              <w:t>5</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69390C" w:rsidRPr="00934F56" w:rsidRDefault="0069390C"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475B73">
            <w:pPr>
              <w:rPr>
                <w:rFonts w:eastAsia="SimSun"/>
                <w:lang w:eastAsia="zh-CN"/>
              </w:rPr>
            </w:pPr>
            <w:r>
              <w:rPr>
                <w:rFonts w:eastAsia="SimSun"/>
                <w:lang w:eastAsia="zh-CN"/>
              </w:rPr>
              <w:t xml:space="preserve">CDC Security and confidentiality forms </w:t>
            </w:r>
          </w:p>
        </w:tc>
      </w:tr>
      <w:tr w:rsidR="0069390C" w:rsidRPr="00934F56" w:rsidTr="00C94237">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jc w:val="center"/>
              <w:rPr>
                <w:rFonts w:eastAsia="SimSun"/>
                <w:lang w:eastAsia="zh-CN"/>
              </w:rPr>
            </w:pPr>
            <w:r>
              <w:rPr>
                <w:rFonts w:eastAsia="SimSun"/>
                <w:lang w:eastAsia="zh-CN"/>
              </w:rPr>
              <w:t>6</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475B73">
            <w:pPr>
              <w:rPr>
                <w:rFonts w:eastAsia="SimSun"/>
                <w:lang w:eastAsia="zh-CN"/>
              </w:rPr>
            </w:pPr>
            <w:r w:rsidRPr="00934F56">
              <w:rPr>
                <w:rFonts w:eastAsia="SimSun"/>
                <w:lang w:eastAsia="zh-CN"/>
              </w:rPr>
              <w:t xml:space="preserve">Assurance of Confidentiality for HIV/AIDS Surveillance Data </w:t>
            </w:r>
          </w:p>
        </w:tc>
      </w:tr>
      <w:tr w:rsidR="0069390C" w:rsidRPr="00934F56" w:rsidTr="00C94237">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jc w:val="center"/>
              <w:rPr>
                <w:rFonts w:eastAsia="SimSun"/>
                <w:lang w:eastAsia="zh-CN"/>
              </w:rPr>
            </w:pPr>
            <w:r>
              <w:rPr>
                <w:rFonts w:eastAsia="SimSun"/>
                <w:lang w:eastAsia="zh-CN"/>
              </w:rPr>
              <w:t>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475B73">
            <w:pPr>
              <w:rPr>
                <w:rFonts w:eastAsia="SimSun"/>
                <w:lang w:eastAsia="zh-CN"/>
              </w:rPr>
            </w:pPr>
            <w:r w:rsidRPr="00934F56">
              <w:rPr>
                <w:rFonts w:eastAsia="SimSun"/>
                <w:lang w:eastAsia="zh-CN"/>
              </w:rPr>
              <w:t>Model consent form</w:t>
            </w:r>
          </w:p>
        </w:tc>
      </w:tr>
      <w:tr w:rsidR="0069390C" w:rsidRPr="00934F56" w:rsidTr="00C94237">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jc w:val="center"/>
              <w:rPr>
                <w:rFonts w:eastAsia="SimSun"/>
                <w:lang w:eastAsia="zh-CN"/>
              </w:rPr>
            </w:pPr>
            <w:r>
              <w:rPr>
                <w:rFonts w:eastAsia="SimSun"/>
                <w:lang w:eastAsia="zh-CN"/>
              </w:rPr>
              <w:t>8</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E24275" w:rsidP="00475B73">
            <w:pPr>
              <w:rPr>
                <w:rFonts w:eastAsia="SimSun"/>
                <w:lang w:eastAsia="zh-CN"/>
              </w:rPr>
            </w:pPr>
            <w:r>
              <w:rPr>
                <w:rFonts w:eastAsia="SimSun"/>
                <w:lang w:eastAsia="zh-CN"/>
              </w:rPr>
              <w:t>Project determination</w:t>
            </w:r>
            <w:r w:rsidR="0069390C" w:rsidRPr="00934F56">
              <w:rPr>
                <w:rFonts w:eastAsia="SimSun"/>
                <w:lang w:eastAsia="zh-CN"/>
              </w:rPr>
              <w:t xml:space="preserve"> </w:t>
            </w:r>
          </w:p>
        </w:tc>
      </w:tr>
      <w:tr w:rsidR="0069390C" w:rsidRPr="00934F56" w:rsidTr="00C94237">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jc w:val="center"/>
              <w:rPr>
                <w:rFonts w:eastAsia="SimSun"/>
                <w:lang w:eastAsia="zh-CN"/>
              </w:rPr>
            </w:pPr>
            <w:r>
              <w:rPr>
                <w:rFonts w:eastAsia="SimSun"/>
                <w:lang w:eastAsia="zh-CN"/>
              </w:rPr>
              <w:t>9</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475B73">
            <w:pPr>
              <w:rPr>
                <w:rFonts w:eastAsia="SimSun"/>
                <w:lang w:eastAsia="zh-CN"/>
              </w:rPr>
            </w:pPr>
            <w:r>
              <w:rPr>
                <w:rFonts w:eastAsia="SimSun"/>
                <w:lang w:eastAsia="zh-CN"/>
              </w:rPr>
              <w:t>Changes to the Eligibility Screener text</w:t>
            </w:r>
          </w:p>
        </w:tc>
      </w:tr>
      <w:tr w:rsidR="0069390C" w:rsidRPr="00934F56" w:rsidTr="00475B73">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tcPr>
          <w:p w:rsidR="0069390C" w:rsidRPr="00934F56" w:rsidRDefault="0069390C" w:rsidP="00C94237">
            <w:pPr>
              <w:jc w:val="center"/>
              <w:rPr>
                <w:rFonts w:eastAsia="SimSun"/>
                <w:lang w:eastAsia="zh-CN"/>
              </w:rPr>
            </w:pPr>
            <w:r>
              <w:rPr>
                <w:rFonts w:eastAsia="SimSun"/>
                <w:lang w:eastAsia="zh-CN"/>
              </w:rPr>
              <w:t>10</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tcPr>
          <w:p w:rsidR="0069390C" w:rsidRPr="00934F56" w:rsidRDefault="0069390C" w:rsidP="00475B73">
            <w:pPr>
              <w:rPr>
                <w:rFonts w:eastAsia="SimSun"/>
                <w:lang w:eastAsia="zh-CN"/>
              </w:rPr>
            </w:pPr>
            <w:r>
              <w:rPr>
                <w:rFonts w:eastAsia="SimSun"/>
                <w:lang w:eastAsia="zh-CN"/>
              </w:rPr>
              <w:t>Changes to the Behavioral Assessment text</w:t>
            </w:r>
          </w:p>
        </w:tc>
      </w:tr>
      <w:tr w:rsidR="0069390C" w:rsidRPr="00934F56" w:rsidTr="00475B73">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jc w:val="center"/>
              <w:rPr>
                <w:rFonts w:eastAsia="SimSun"/>
                <w:lang w:eastAsia="zh-CN"/>
              </w:rPr>
            </w:pPr>
            <w:r>
              <w:rPr>
                <w:rFonts w:eastAsia="SimSun"/>
                <w:lang w:eastAsia="zh-CN"/>
              </w:rPr>
              <w:t>11</w:t>
            </w:r>
          </w:p>
        </w:tc>
        <w:tc>
          <w:tcPr>
            <w:tcW w:w="360" w:type="dxa"/>
            <w:tcBorders>
              <w:top w:val="single" w:sz="4" w:space="0" w:color="auto"/>
              <w:left w:val="single" w:sz="4" w:space="0" w:color="auto"/>
              <w:bottom w:val="single" w:sz="4" w:space="0" w:color="auto"/>
              <w:right w:val="single" w:sz="4" w:space="0" w:color="auto"/>
            </w:tcBorders>
            <w:shd w:val="clear" w:color="auto" w:fill="auto"/>
            <w:noWrap/>
          </w:tcPr>
          <w:p w:rsidR="0069390C" w:rsidRPr="00934F56" w:rsidRDefault="0069390C"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475B73">
            <w:pPr>
              <w:rPr>
                <w:rFonts w:eastAsia="SimSun"/>
                <w:lang w:eastAsia="zh-CN"/>
              </w:rPr>
            </w:pPr>
            <w:r w:rsidRPr="00934F56">
              <w:rPr>
                <w:rFonts w:eastAsia="SimSun"/>
                <w:lang w:eastAsia="zh-CN"/>
              </w:rPr>
              <w:t>Model coupon</w:t>
            </w:r>
          </w:p>
        </w:tc>
      </w:tr>
      <w:tr w:rsidR="0069390C" w:rsidRPr="00934F56" w:rsidTr="00C94237">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jc w:val="center"/>
              <w:rPr>
                <w:rFonts w:eastAsia="SimSun"/>
                <w:lang w:eastAsia="zh-CN"/>
              </w:rPr>
            </w:pPr>
            <w:r>
              <w:rPr>
                <w:rFonts w:eastAsia="SimSun"/>
                <w:lang w:eastAsia="zh-CN"/>
              </w:rPr>
              <w:t>12</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475B73">
            <w:pPr>
              <w:rPr>
                <w:rFonts w:eastAsia="SimSun"/>
                <w:lang w:eastAsia="zh-CN"/>
              </w:rPr>
            </w:pPr>
            <w:r w:rsidRPr="00934F56">
              <w:rPr>
                <w:rFonts w:eastAsia="SimSun"/>
                <w:lang w:eastAsia="zh-CN"/>
              </w:rPr>
              <w:t>Recruiter training script</w:t>
            </w:r>
          </w:p>
        </w:tc>
      </w:tr>
      <w:tr w:rsidR="0069390C" w:rsidRPr="00934F56" w:rsidTr="00C94237">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jc w:val="center"/>
              <w:rPr>
                <w:rFonts w:eastAsia="SimSun"/>
                <w:lang w:eastAsia="zh-CN"/>
              </w:rPr>
            </w:pPr>
            <w:r w:rsidRPr="00934F56">
              <w:rPr>
                <w:rFonts w:eastAsia="SimSun"/>
                <w:lang w:eastAsia="zh-CN"/>
              </w:rPr>
              <w:t>1</w:t>
            </w:r>
            <w:r>
              <w:rPr>
                <w:rFonts w:eastAsia="SimSun"/>
                <w:lang w:eastAsia="zh-CN"/>
              </w:rPr>
              <w:t>3</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C94237">
            <w:pPr>
              <w:rPr>
                <w:rFonts w:eastAsia="SimSun"/>
                <w:lang w:eastAsia="zh-CN"/>
              </w:rPr>
            </w:pP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390C" w:rsidRPr="00934F56" w:rsidRDefault="0069390C" w:rsidP="0034288B">
            <w:pPr>
              <w:rPr>
                <w:rFonts w:eastAsia="SimSun"/>
                <w:lang w:eastAsia="zh-CN"/>
              </w:rPr>
            </w:pPr>
            <w:r w:rsidRPr="00934F56">
              <w:rPr>
                <w:rFonts w:eastAsia="SimSun"/>
                <w:lang w:eastAsia="zh-CN"/>
              </w:rPr>
              <w:t xml:space="preserve">Process monitoring </w:t>
            </w:r>
            <w:r w:rsidR="0034288B">
              <w:rPr>
                <w:rFonts w:eastAsia="SimSun"/>
                <w:lang w:eastAsia="zh-CN"/>
              </w:rPr>
              <w:t>reports</w:t>
            </w:r>
          </w:p>
        </w:tc>
      </w:tr>
    </w:tbl>
    <w:p w:rsidR="00C94237" w:rsidRPr="00934F56" w:rsidRDefault="00C94237" w:rsidP="00C94237"/>
    <w:p w:rsidR="00C94237" w:rsidRPr="00934F56" w:rsidRDefault="00C94237" w:rsidP="00C94237">
      <w:pPr>
        <w:jc w:val="center"/>
        <w:rPr>
          <w:b/>
        </w:rPr>
      </w:pPr>
    </w:p>
    <w:p w:rsidR="00C94237" w:rsidRPr="00934F56" w:rsidRDefault="00C94237" w:rsidP="00C94237">
      <w:pPr>
        <w:jc w:val="center"/>
        <w:rPr>
          <w:b/>
        </w:rPr>
      </w:pPr>
    </w:p>
    <w:p w:rsidR="0069390C" w:rsidRDefault="0069390C" w:rsidP="002C61B3">
      <w:pPr>
        <w:rPr>
          <w:b/>
        </w:rPr>
      </w:pPr>
    </w:p>
    <w:p w:rsidR="0069390C" w:rsidRDefault="0069390C" w:rsidP="002C61B3">
      <w:pPr>
        <w:rPr>
          <w:b/>
        </w:rPr>
      </w:pPr>
    </w:p>
    <w:p w:rsidR="002C61B3" w:rsidRPr="00E50676" w:rsidRDefault="002C61B3" w:rsidP="002C61B3">
      <w:pPr>
        <w:rPr>
          <w:b/>
        </w:rPr>
      </w:pPr>
      <w:r w:rsidRPr="00E50676">
        <w:rPr>
          <w:b/>
        </w:rPr>
        <w:lastRenderedPageBreak/>
        <w:t xml:space="preserve">B. Statistical Methods </w:t>
      </w:r>
    </w:p>
    <w:p w:rsidR="002C61B3" w:rsidRPr="00E50676" w:rsidRDefault="002C61B3" w:rsidP="002C61B3">
      <w:pPr>
        <w:rPr>
          <w:b/>
        </w:rPr>
      </w:pPr>
    </w:p>
    <w:p w:rsidR="002C61B3" w:rsidRPr="00401DB2" w:rsidRDefault="002C61B3" w:rsidP="002C61B3">
      <w:pPr>
        <w:spacing w:before="120"/>
        <w:rPr>
          <w:b/>
        </w:rPr>
      </w:pPr>
      <w:r w:rsidRPr="00401DB2">
        <w:rPr>
          <w:b/>
        </w:rPr>
        <w:t xml:space="preserve">1. Respondent Universe and Sampling Methods </w:t>
      </w:r>
    </w:p>
    <w:p w:rsidR="00A33766" w:rsidRDefault="00A33766" w:rsidP="00A33766"/>
    <w:p w:rsidR="000675F5" w:rsidRDefault="002C61B3" w:rsidP="002C61B3">
      <w:r w:rsidRPr="00401DB2">
        <w:t xml:space="preserve">The </w:t>
      </w:r>
      <w:r w:rsidR="000068DB" w:rsidRPr="00401DB2">
        <w:t xml:space="preserve">respondent universe for the </w:t>
      </w:r>
      <w:r w:rsidRPr="00401DB2">
        <w:t xml:space="preserve">Transgender HIV Behavioral Survey (THBS) will be </w:t>
      </w:r>
      <w:r w:rsidR="00676EB6">
        <w:t xml:space="preserve">male-to-female </w:t>
      </w:r>
      <w:r w:rsidR="000068DB" w:rsidRPr="00401DB2">
        <w:t xml:space="preserve">transgender individuals living </w:t>
      </w:r>
      <w:r w:rsidRPr="00401DB2">
        <w:t xml:space="preserve">in </w:t>
      </w:r>
      <w:r w:rsidR="00B43DE9">
        <w:t xml:space="preserve">up to five </w:t>
      </w:r>
      <w:r w:rsidR="003625E3">
        <w:t xml:space="preserve">selected </w:t>
      </w:r>
      <w:r w:rsidRPr="00401DB2">
        <w:t>metropolitan statistical areas (MSA)</w:t>
      </w:r>
      <w:r w:rsidR="003625E3">
        <w:t xml:space="preserve">.  </w:t>
      </w:r>
      <w:r w:rsidR="00052CB0">
        <w:t xml:space="preserve">The five selected MSA will be from those </w:t>
      </w:r>
      <w:r w:rsidR="00B43DE9">
        <w:t xml:space="preserve">where </w:t>
      </w:r>
      <w:r w:rsidR="00B43DE9" w:rsidRPr="00401DB2">
        <w:t>the National HIV Behavioral Surveillance (NHBS) system</w:t>
      </w:r>
      <w:r w:rsidR="00B43DE9">
        <w:t xml:space="preserve"> is currently conducted</w:t>
      </w:r>
      <w:r w:rsidR="00A70CF6">
        <w:t xml:space="preserve"> </w:t>
      </w:r>
      <w:r w:rsidR="00A70CF6" w:rsidRPr="00401DB2">
        <w:t>(see Section B5 for a list of all the NHBS-eligible public health jurisdictions).</w:t>
      </w:r>
      <w:r w:rsidR="00B43DE9">
        <w:t xml:space="preserve"> The five MSA will be selected from among th</w:t>
      </w:r>
      <w:r w:rsidR="007D4612">
        <w:t>e</w:t>
      </w:r>
      <w:r w:rsidR="00B43DE9">
        <w:t xml:space="preserve"> MSA conducting NHBS for several reasons</w:t>
      </w:r>
      <w:r w:rsidR="007B7360" w:rsidRPr="00401DB2">
        <w:t>:</w:t>
      </w:r>
      <w:r w:rsidRPr="00401DB2">
        <w:t xml:space="preserve"> First, </w:t>
      </w:r>
      <w:r w:rsidR="00B43DE9">
        <w:t>the NHBS</w:t>
      </w:r>
      <w:r w:rsidR="00B43DE9" w:rsidRPr="00401DB2">
        <w:t xml:space="preserve"> system is conducted in metropolitan statistical areas (MSA) experiencing the largest burden of HIV disease</w:t>
      </w:r>
      <w:r w:rsidR="00B43DE9">
        <w:t xml:space="preserve">, which is determined by the cumulative AIDS cases; </w:t>
      </w:r>
      <w:r w:rsidR="00052CB0">
        <w:t>Second, t</w:t>
      </w:r>
      <w:r w:rsidR="00052CB0" w:rsidRPr="00401DB2">
        <w:t>hese MSA tend to be large urban areas</w:t>
      </w:r>
      <w:r w:rsidR="00052CB0">
        <w:t xml:space="preserve"> and </w:t>
      </w:r>
      <w:r w:rsidR="00052CB0" w:rsidRPr="00401DB2">
        <w:t>transgender populations in many urban areas</w:t>
      </w:r>
      <w:r w:rsidR="00052CB0">
        <w:t xml:space="preserve"> tend to be well-connected with each other; Third, THBS data can be used to complement NHBS data in a description of the local HIV epidemic within the MSA; and  Fourth</w:t>
      </w:r>
      <w:r w:rsidR="00B43DE9">
        <w:t xml:space="preserve">, because these MSA conduct NHBS there is </w:t>
      </w:r>
      <w:r w:rsidR="00B43DE9" w:rsidRPr="00401DB2">
        <w:t>an infrastructure for conducting a similar HIV behavioral survey</w:t>
      </w:r>
      <w:r w:rsidR="00B43DE9">
        <w:t>s</w:t>
      </w:r>
      <w:r w:rsidR="00B43DE9" w:rsidRPr="00401DB2">
        <w:t xml:space="preserve"> in place within the</w:t>
      </w:r>
      <w:r w:rsidR="00B43DE9">
        <w:t xml:space="preserve"> </w:t>
      </w:r>
      <w:r w:rsidR="00B43DE9" w:rsidRPr="00401DB2">
        <w:t>MSA</w:t>
      </w:r>
      <w:r w:rsidR="00DC5ACB">
        <w:t>.</w:t>
      </w:r>
    </w:p>
    <w:p w:rsidR="008D79C3" w:rsidRDefault="008D79C3" w:rsidP="002C61B3">
      <w:pPr>
        <w:rPr>
          <w:bCs/>
        </w:rPr>
      </w:pPr>
    </w:p>
    <w:p w:rsidR="002C61B3" w:rsidRPr="00401DB2" w:rsidRDefault="002C61B3" w:rsidP="002C61B3">
      <w:r w:rsidRPr="00401DB2">
        <w:t xml:space="preserve">Transgender populations chosen for inclusion in THBS are those </w:t>
      </w:r>
      <w:r w:rsidR="008D79C3">
        <w:t>at greatest risk for becoming infected with HIV</w:t>
      </w:r>
      <w:r w:rsidRPr="00401DB2">
        <w:t xml:space="preserve">: persons who were assigned a male sex at birth. </w:t>
      </w:r>
      <w:r w:rsidR="00A70CF6">
        <w:t xml:space="preserve"> In addition to residence in the jurisdictions,</w:t>
      </w:r>
      <w:r w:rsidRPr="00401DB2">
        <w:t xml:space="preserve"> eligibility criteria include: being age 15 years or older; being a resident of the MSA; having a male sex assigned at birth; identifying as a woman</w:t>
      </w:r>
      <w:r w:rsidR="002D00F3">
        <w:t>, transgender, or some gender other than male</w:t>
      </w:r>
      <w:r w:rsidRPr="00401DB2">
        <w:t>; being able to complete the interview in English</w:t>
      </w:r>
      <w:r w:rsidR="006F2631" w:rsidRPr="00401DB2">
        <w:t xml:space="preserve"> or Spanish</w:t>
      </w:r>
      <w:r w:rsidRPr="00401DB2">
        <w:t>; and not having previously participated in the THBS survey</w:t>
      </w:r>
      <w:r w:rsidR="002D00F3">
        <w:t xml:space="preserve"> in the past year</w:t>
      </w:r>
      <w:r w:rsidRPr="00401DB2">
        <w:t xml:space="preserve">. </w:t>
      </w:r>
    </w:p>
    <w:p w:rsidR="002C61B3" w:rsidRPr="00401DB2" w:rsidRDefault="002C61B3" w:rsidP="002C61B3"/>
    <w:p w:rsidR="002C61B3" w:rsidRPr="00401DB2" w:rsidRDefault="00B1248B" w:rsidP="002C61B3">
      <w:r>
        <w:t>Proposed</w:t>
      </w:r>
      <w:r w:rsidR="003E7704" w:rsidRPr="00401DB2">
        <w:t xml:space="preserve"> funding will allow up to </w:t>
      </w:r>
      <w:r w:rsidR="00401DB2" w:rsidRPr="00401DB2">
        <w:t>5</w:t>
      </w:r>
      <w:r w:rsidR="003E7704" w:rsidRPr="00401DB2">
        <w:t xml:space="preserve"> NHBS-eligible public health jurisdictions to conduct THBS. </w:t>
      </w:r>
      <w:r w:rsidR="002C61B3" w:rsidRPr="00401DB2">
        <w:t xml:space="preserve">Each funded </w:t>
      </w:r>
      <w:r w:rsidR="003E7704" w:rsidRPr="00401DB2">
        <w:t>jurisdiction</w:t>
      </w:r>
      <w:r w:rsidR="002C61B3" w:rsidRPr="00401DB2">
        <w:t xml:space="preserve"> will have a minimum sample size of </w:t>
      </w:r>
      <w:r w:rsidR="006F2631" w:rsidRPr="00401DB2">
        <w:t>2</w:t>
      </w:r>
      <w:r w:rsidR="002C61B3" w:rsidRPr="00401DB2">
        <w:t>00 eligible respondents</w:t>
      </w:r>
      <w:r w:rsidR="006F2631" w:rsidRPr="00401DB2">
        <w:t xml:space="preserve"> </w:t>
      </w:r>
      <w:r w:rsidR="002C61B3" w:rsidRPr="00401DB2">
        <w:t xml:space="preserve">for a total of </w:t>
      </w:r>
      <w:r w:rsidR="006F2631" w:rsidRPr="00401DB2">
        <w:t>1</w:t>
      </w:r>
      <w:r w:rsidR="00401DB2" w:rsidRPr="00401DB2">
        <w:t>,0</w:t>
      </w:r>
      <w:r w:rsidR="006F2631" w:rsidRPr="00401DB2">
        <w:t>0</w:t>
      </w:r>
      <w:r w:rsidR="002C61B3" w:rsidRPr="00401DB2">
        <w:t>0 eligible respondents</w:t>
      </w:r>
      <w:r w:rsidR="006F2631" w:rsidRPr="00401DB2">
        <w:t xml:space="preserve">, </w:t>
      </w:r>
      <w:r w:rsidR="00401DB2" w:rsidRPr="00401DB2">
        <w:t xml:space="preserve">if </w:t>
      </w:r>
      <w:r w:rsidR="006F2631" w:rsidRPr="00401DB2">
        <w:t xml:space="preserve">the maximum </w:t>
      </w:r>
      <w:r w:rsidR="00F413C5">
        <w:t xml:space="preserve">of </w:t>
      </w:r>
      <w:r w:rsidR="00401DB2" w:rsidRPr="00401DB2">
        <w:t>five</w:t>
      </w:r>
      <w:r w:rsidR="006F2631" w:rsidRPr="00401DB2">
        <w:t xml:space="preserve"> </w:t>
      </w:r>
      <w:r w:rsidR="00F413C5">
        <w:t xml:space="preserve">health departments </w:t>
      </w:r>
      <w:r w:rsidR="006F2631" w:rsidRPr="00401DB2">
        <w:t>are funded</w:t>
      </w:r>
      <w:r w:rsidR="002C61B3" w:rsidRPr="00401DB2">
        <w:t xml:space="preserve">.  </w:t>
      </w:r>
    </w:p>
    <w:p w:rsidR="002C61B3" w:rsidRPr="00401DB2" w:rsidRDefault="002C61B3" w:rsidP="002C61B3">
      <w:pPr>
        <w:rPr>
          <w:u w:val="single"/>
        </w:rPr>
      </w:pPr>
    </w:p>
    <w:p w:rsidR="002C61B3" w:rsidRPr="00E50676" w:rsidRDefault="002C61B3" w:rsidP="002C61B3">
      <w:pPr>
        <w:rPr>
          <w:u w:val="single"/>
        </w:rPr>
      </w:pPr>
      <w:r w:rsidRPr="00401DB2">
        <w:rPr>
          <w:u w:val="single"/>
        </w:rPr>
        <w:t>Sampling Methods</w:t>
      </w:r>
    </w:p>
    <w:p w:rsidR="002C61B3" w:rsidRPr="00E50676" w:rsidRDefault="002C61B3" w:rsidP="002C61B3">
      <w:pPr>
        <w:rPr>
          <w:u w:val="single"/>
        </w:rPr>
      </w:pPr>
    </w:p>
    <w:p w:rsidR="002C61B3" w:rsidRDefault="00A33766" w:rsidP="002C61B3">
      <w:r w:rsidRPr="00A578B4">
        <w:t xml:space="preserve">Statistical methods will not be used to select respondents for this project. </w:t>
      </w:r>
      <w:r w:rsidRPr="00E50676">
        <w:t xml:space="preserve">The selection of appropriate </w:t>
      </w:r>
      <w:r>
        <w:t xml:space="preserve">sampling </w:t>
      </w:r>
      <w:r w:rsidRPr="00E50676">
        <w:t xml:space="preserve">methods to recruit transgender persons </w:t>
      </w:r>
      <w:r>
        <w:t xml:space="preserve">for a behavioral survey </w:t>
      </w:r>
      <w:r w:rsidRPr="00E50676">
        <w:t>is complicated by the fact that population-based samples of th</w:t>
      </w:r>
      <w:r>
        <w:t xml:space="preserve">is </w:t>
      </w:r>
      <w:r w:rsidRPr="00E50676">
        <w:t xml:space="preserve">group </w:t>
      </w:r>
      <w:r w:rsidR="00F413C5">
        <w:t>are</w:t>
      </w:r>
      <w:r>
        <w:t xml:space="preserve"> </w:t>
      </w:r>
      <w:r w:rsidRPr="00E50676">
        <w:t xml:space="preserve">not feasible </w:t>
      </w:r>
      <w:r w:rsidR="002D00F3">
        <w:t>as</w:t>
      </w:r>
      <w:r w:rsidR="00F413C5">
        <w:t xml:space="preserve"> </w:t>
      </w:r>
      <w:r>
        <w:t xml:space="preserve">persons </w:t>
      </w:r>
      <w:r w:rsidRPr="00E50676">
        <w:t>cannot be easily identified as transgender or enumerated for sampling purposes.</w:t>
      </w:r>
      <w:r>
        <w:t xml:space="preserve"> </w:t>
      </w:r>
      <w:r w:rsidR="002C61B3" w:rsidRPr="00E50676">
        <w:t xml:space="preserve">The methods for THBS were chosen based on consultations with sampling methodologists, persons with expertise conducting research or behavioral surveys within transgender populations, and public health practitioners who provide services to these populations, as described in Section A8. </w:t>
      </w:r>
      <w:r w:rsidR="007305A8">
        <w:t xml:space="preserve">In addition, because of the stigma associated </w:t>
      </w:r>
      <w:r w:rsidR="00733E7F">
        <w:t>being transgender, a transgender identity may not be disclosed</w:t>
      </w:r>
      <w:r w:rsidR="007305A8">
        <w:t xml:space="preserve">.  Therefore, a </w:t>
      </w:r>
      <w:r w:rsidR="00F413C5">
        <w:t xml:space="preserve">sampling </w:t>
      </w:r>
      <w:r w:rsidR="002C61B3" w:rsidRPr="00E50676">
        <w:t xml:space="preserve">method </w:t>
      </w:r>
      <w:r w:rsidR="007305A8">
        <w:t xml:space="preserve">was selected that could best reach hidden populations, </w:t>
      </w:r>
      <w:r w:rsidR="007305A8" w:rsidRPr="00422478">
        <w:t>allow for standardized recruitment of at least 200 transgender persons from each MSA</w:t>
      </w:r>
      <w:r w:rsidR="002D00F3">
        <w:t>,</w:t>
      </w:r>
      <w:r w:rsidR="007305A8">
        <w:t xml:space="preserve"> and be easily </w:t>
      </w:r>
      <w:r w:rsidR="002C61B3" w:rsidRPr="00422478">
        <w:t>implement</w:t>
      </w:r>
      <w:r w:rsidR="007305A8">
        <w:t>ed</w:t>
      </w:r>
      <w:r w:rsidR="002C61B3" w:rsidRPr="00422478">
        <w:t xml:space="preserve"> in </w:t>
      </w:r>
      <w:r w:rsidR="007305A8">
        <w:t xml:space="preserve">any of </w:t>
      </w:r>
      <w:r w:rsidR="002C61B3" w:rsidRPr="00422478">
        <w:t xml:space="preserve">the </w:t>
      </w:r>
      <w:r w:rsidR="007305A8">
        <w:t xml:space="preserve">MSA </w:t>
      </w:r>
      <w:r w:rsidR="002C61B3" w:rsidRPr="00422478">
        <w:t>eligible for conducting the survey</w:t>
      </w:r>
      <w:r w:rsidR="007305A8">
        <w:t xml:space="preserve">.  The best methods for recruiting hidden populations into a behavioral survey are targeted sampling </w:t>
      </w:r>
      <w:r w:rsidR="002D00F3">
        <w:t xml:space="preserve">(Watters &amp; </w:t>
      </w:r>
      <w:proofErr w:type="spellStart"/>
      <w:r w:rsidR="002D00F3">
        <w:t>Biernacki</w:t>
      </w:r>
      <w:proofErr w:type="spellEnd"/>
      <w:r w:rsidR="002D00F3">
        <w:t xml:space="preserve">, 1989) </w:t>
      </w:r>
      <w:r w:rsidR="007305A8">
        <w:t>and respondent-driven sampling. Targeted sampling requires targeting geographic area</w:t>
      </w:r>
      <w:r w:rsidR="00733E7F">
        <w:t>s</w:t>
      </w:r>
      <w:r w:rsidR="007305A8">
        <w:t xml:space="preserve"> or venues frequented by the hidden population</w:t>
      </w:r>
      <w:r w:rsidR="00733E7F">
        <w:t xml:space="preserve">. As </w:t>
      </w:r>
      <w:r w:rsidR="00676EB6">
        <w:t xml:space="preserve">few </w:t>
      </w:r>
      <w:r w:rsidR="00733E7F">
        <w:t xml:space="preserve">cities </w:t>
      </w:r>
      <w:r w:rsidR="002D00F3">
        <w:t>h</w:t>
      </w:r>
      <w:r w:rsidR="007305A8">
        <w:t xml:space="preserve">ave </w:t>
      </w:r>
      <w:r w:rsidR="00883E35">
        <w:t xml:space="preserve">venues or geographic areas </w:t>
      </w:r>
      <w:r w:rsidR="00676EB6">
        <w:t xml:space="preserve">frequented by </w:t>
      </w:r>
      <w:r w:rsidR="00883E35">
        <w:t xml:space="preserve">transgender persons, targeted sampling </w:t>
      </w:r>
      <w:r w:rsidR="00676EB6">
        <w:t>is not feasible</w:t>
      </w:r>
      <w:r w:rsidR="00883E35">
        <w:t xml:space="preserve"> for </w:t>
      </w:r>
      <w:r w:rsidR="002D00F3">
        <w:t>THBS</w:t>
      </w:r>
      <w:r w:rsidR="00883E35">
        <w:t xml:space="preserve">.   </w:t>
      </w:r>
      <w:r w:rsidR="007305A8">
        <w:t xml:space="preserve">    </w:t>
      </w:r>
      <w:r w:rsidR="002C61B3" w:rsidRPr="00422478">
        <w:t xml:space="preserve"> </w:t>
      </w:r>
    </w:p>
    <w:p w:rsidR="007305A8" w:rsidRDefault="007305A8" w:rsidP="002C61B3"/>
    <w:p w:rsidR="002C61B3" w:rsidRPr="00422478" w:rsidRDefault="00883E35" w:rsidP="004F3858">
      <w:pPr>
        <w:tabs>
          <w:tab w:val="left" w:pos="5220"/>
        </w:tabs>
      </w:pPr>
      <w:r>
        <w:lastRenderedPageBreak/>
        <w:t xml:space="preserve">Instead, </w:t>
      </w:r>
      <w:r w:rsidR="002C61B3" w:rsidRPr="00422478">
        <w:t>THBS will use respondent-driven sampling (RDS). Th</w:t>
      </w:r>
      <w:r w:rsidR="00676EB6">
        <w:t>is</w:t>
      </w:r>
      <w:r w:rsidR="002C61B3" w:rsidRPr="00422478">
        <w:t xml:space="preserve"> method ha</w:t>
      </w:r>
      <w:r w:rsidR="00676EB6">
        <w:t>s</w:t>
      </w:r>
      <w:r w:rsidR="002C61B3" w:rsidRPr="00422478">
        <w:t xml:space="preserve"> demonstrated ability to recruit hidden populations (Abdul-Quader, 2006; Diaz, 2001; </w:t>
      </w:r>
      <w:proofErr w:type="spellStart"/>
      <w:r w:rsidR="002C61B3" w:rsidRPr="00422478">
        <w:t>Heckathorn</w:t>
      </w:r>
      <w:proofErr w:type="spellEnd"/>
      <w:r w:rsidR="002C61B3" w:rsidRPr="00422478">
        <w:t xml:space="preserve">, </w:t>
      </w:r>
      <w:proofErr w:type="spellStart"/>
      <w:r w:rsidR="002C61B3" w:rsidRPr="00422478">
        <w:t>Semaan</w:t>
      </w:r>
      <w:proofErr w:type="spellEnd"/>
      <w:r w:rsidR="002C61B3" w:rsidRPr="00422478">
        <w:t xml:space="preserve"> et al., 2002; </w:t>
      </w:r>
      <w:proofErr w:type="spellStart"/>
      <w:r w:rsidR="002C61B3" w:rsidRPr="00422478">
        <w:t>Magnani</w:t>
      </w:r>
      <w:proofErr w:type="spellEnd"/>
      <w:r w:rsidR="002C61B3" w:rsidRPr="00422478">
        <w:t>, 2005; Mansergh, 2006; McFarland, 2001; Ramirez-</w:t>
      </w:r>
      <w:proofErr w:type="spellStart"/>
      <w:r w:rsidR="002C61B3" w:rsidRPr="00422478">
        <w:t>Valles</w:t>
      </w:r>
      <w:proofErr w:type="spellEnd"/>
      <w:r w:rsidR="002C61B3" w:rsidRPr="00422478">
        <w:t xml:space="preserve">, 2005; </w:t>
      </w:r>
      <w:proofErr w:type="spellStart"/>
      <w:r w:rsidR="002C61B3" w:rsidRPr="00422478">
        <w:t>Semaan</w:t>
      </w:r>
      <w:proofErr w:type="spellEnd"/>
      <w:r w:rsidR="002C61B3" w:rsidRPr="00422478">
        <w:t>, 2002;</w:t>
      </w:r>
      <w:r w:rsidR="00EC4687">
        <w:t xml:space="preserve"> </w:t>
      </w:r>
      <w:r w:rsidR="002C61B3" w:rsidRPr="00422478">
        <w:t>Wang, 2004), including transgender persons (Clements-Noelle, 2001).</w:t>
      </w:r>
      <w:r w:rsidR="006B2CE8">
        <w:t xml:space="preserve"> </w:t>
      </w:r>
      <w:r w:rsidR="002C61B3" w:rsidRPr="00422478">
        <w:t xml:space="preserve">RDS is a chain-referral sampling strategy similar to snowball sampling. It starts with a limited number of </w:t>
      </w:r>
      <w:r w:rsidR="006B2CE8">
        <w:t xml:space="preserve">initial recruits or </w:t>
      </w:r>
      <w:r w:rsidR="002C61B3" w:rsidRPr="00422478">
        <w:t xml:space="preserve">“seeds” who are chosen by referrals from people who know the local transgender population well, or through outreach to areas where transgender persons can be found. Seeds </w:t>
      </w:r>
      <w:r w:rsidR="00676EB6">
        <w:t xml:space="preserve">are recruited to </w:t>
      </w:r>
      <w:r w:rsidR="002C61B3" w:rsidRPr="00422478">
        <w:t>complete the eligibility screener</w:t>
      </w:r>
      <w:r w:rsidR="008D79C3">
        <w:t xml:space="preserve">.  If they are </w:t>
      </w:r>
      <w:r w:rsidR="00676EB6">
        <w:t xml:space="preserve">eligible, </w:t>
      </w:r>
      <w:r w:rsidR="008D79C3">
        <w:t xml:space="preserve">they are asked to complete </w:t>
      </w:r>
      <w:r w:rsidR="00676EB6">
        <w:t>the</w:t>
      </w:r>
      <w:r w:rsidR="002C61B3" w:rsidRPr="00422478">
        <w:t xml:space="preserve"> </w:t>
      </w:r>
      <w:r w:rsidR="00676EB6">
        <w:t>behavioral assessment,</w:t>
      </w:r>
      <w:r w:rsidR="002C61B3" w:rsidRPr="00422478">
        <w:t xml:space="preserve"> and then to recruit </w:t>
      </w:r>
      <w:r w:rsidR="00676EB6">
        <w:t>up to 5</w:t>
      </w:r>
      <w:r w:rsidR="002C61B3" w:rsidRPr="00422478">
        <w:t xml:space="preserve"> transgender persons they know who meet the eligibility criteria for THBS. </w:t>
      </w:r>
      <w:r w:rsidR="008D79C3">
        <w:t>If they agree to be a peer recruiter, they are given up to 5 coupons to provide to their peer recruits</w:t>
      </w:r>
      <w:r w:rsidR="006B2CE8">
        <w:t xml:space="preserve"> (</w:t>
      </w:r>
      <w:r w:rsidR="00B15C2D" w:rsidRPr="00B15C2D">
        <w:rPr>
          <w:b/>
        </w:rPr>
        <w:t>see Attachment 1</w:t>
      </w:r>
      <w:r w:rsidR="00D11306">
        <w:rPr>
          <w:b/>
        </w:rPr>
        <w:t>1</w:t>
      </w:r>
      <w:r w:rsidR="006B2CE8">
        <w:t>)</w:t>
      </w:r>
      <w:r w:rsidR="008D79C3">
        <w:t xml:space="preserve">. </w:t>
      </w:r>
      <w:r w:rsidR="002C61B3" w:rsidRPr="00422478">
        <w:t xml:space="preserve">These </w:t>
      </w:r>
      <w:r w:rsidR="00797CB7">
        <w:t>recruits</w:t>
      </w:r>
      <w:r w:rsidR="002C61B3" w:rsidRPr="00422478">
        <w:t xml:space="preserve">, in turn, </w:t>
      </w:r>
      <w:r w:rsidR="00797CB7">
        <w:t xml:space="preserve">will come into the field site to be screened for eligibility and if eligible, </w:t>
      </w:r>
      <w:r w:rsidR="002C61B3" w:rsidRPr="00422478">
        <w:t xml:space="preserve">complete the </w:t>
      </w:r>
      <w:r w:rsidR="008D79C3">
        <w:t xml:space="preserve">behavioral assessment </w:t>
      </w:r>
      <w:r w:rsidR="002C61B3" w:rsidRPr="00422478">
        <w:t xml:space="preserve">and </w:t>
      </w:r>
      <w:r w:rsidR="00797CB7">
        <w:t>be</w:t>
      </w:r>
      <w:r w:rsidR="002C61B3" w:rsidRPr="00422478">
        <w:t xml:space="preserve"> asked to recruit others. This recruitment process continues until the sample size has been reached. </w:t>
      </w:r>
      <w:r w:rsidR="00676EB6">
        <w:t>Respondents</w:t>
      </w:r>
      <w:r w:rsidR="002C61B3" w:rsidRPr="00422478">
        <w:t xml:space="preserve"> receive incentives for participating in the </w:t>
      </w:r>
      <w:r w:rsidR="00676EB6">
        <w:t xml:space="preserve">behavioral assessment </w:t>
      </w:r>
      <w:r w:rsidR="002C61B3" w:rsidRPr="00422478">
        <w:t xml:space="preserve">as well as </w:t>
      </w:r>
      <w:r w:rsidR="00676EB6">
        <w:t xml:space="preserve">rewards </w:t>
      </w:r>
      <w:r w:rsidR="002C61B3" w:rsidRPr="00422478">
        <w:t xml:space="preserve">for recruiting others.  </w:t>
      </w:r>
      <w:r w:rsidR="00676EB6">
        <w:t>S</w:t>
      </w:r>
      <w:r w:rsidR="002C61B3" w:rsidRPr="00422478">
        <w:t xml:space="preserve">tarting with a small number of seeds, limiting the number of individuals each participant can recruit, and allowing a significant number of recruitment waves to occur, </w:t>
      </w:r>
      <w:r w:rsidR="00676EB6">
        <w:t>is expected to lead to a</w:t>
      </w:r>
      <w:r w:rsidR="002C61B3" w:rsidRPr="00422478">
        <w:t xml:space="preserve"> final sample </w:t>
      </w:r>
      <w:r w:rsidR="00676EB6">
        <w:t xml:space="preserve">that </w:t>
      </w:r>
      <w:r w:rsidR="002C61B3" w:rsidRPr="00422478">
        <w:t xml:space="preserve"> resemble</w:t>
      </w:r>
      <w:r w:rsidR="00676EB6">
        <w:t>s</w:t>
      </w:r>
      <w:r w:rsidR="002C61B3" w:rsidRPr="00422478">
        <w:t xml:space="preserve"> the underlying eligible population living in the project area and is unbiased by the characteristics of the seeds (</w:t>
      </w:r>
      <w:proofErr w:type="spellStart"/>
      <w:r w:rsidR="002C61B3" w:rsidRPr="00422478">
        <w:t>Heckathorn</w:t>
      </w:r>
      <w:proofErr w:type="spellEnd"/>
      <w:r w:rsidR="002C61B3" w:rsidRPr="00422478">
        <w:t xml:space="preserve">, 1997; </w:t>
      </w:r>
      <w:proofErr w:type="spellStart"/>
      <w:r w:rsidR="002C61B3" w:rsidRPr="00422478">
        <w:t>Heckathorn</w:t>
      </w:r>
      <w:proofErr w:type="spellEnd"/>
      <w:r w:rsidR="002C61B3" w:rsidRPr="00422478">
        <w:t xml:space="preserve">, 2002). </w:t>
      </w:r>
    </w:p>
    <w:p w:rsidR="002C61B3" w:rsidRPr="00422478" w:rsidRDefault="002C61B3" w:rsidP="002C61B3">
      <w:pPr>
        <w:rPr>
          <w:u w:val="single"/>
        </w:rPr>
      </w:pPr>
    </w:p>
    <w:p w:rsidR="002C61B3" w:rsidRPr="00422478" w:rsidRDefault="002C61B3" w:rsidP="002C61B3">
      <w:pPr>
        <w:rPr>
          <w:u w:val="single"/>
        </w:rPr>
      </w:pPr>
      <w:r w:rsidRPr="00422478">
        <w:rPr>
          <w:u w:val="single"/>
        </w:rPr>
        <w:t xml:space="preserve">Sample size </w:t>
      </w:r>
    </w:p>
    <w:p w:rsidR="002C61B3" w:rsidRPr="00422478" w:rsidRDefault="002C61B3" w:rsidP="002C61B3"/>
    <w:p w:rsidR="002C61B3" w:rsidRDefault="002C61B3" w:rsidP="002C61B3">
      <w:r w:rsidRPr="00422478">
        <w:t xml:space="preserve">About </w:t>
      </w:r>
      <w:r w:rsidR="006F2631" w:rsidRPr="00422478">
        <w:t>2</w:t>
      </w:r>
      <w:r w:rsidRPr="00422478">
        <w:t>00 eligible pe</w:t>
      </w:r>
      <w:r w:rsidR="00676EB6">
        <w:t>rsons</w:t>
      </w:r>
      <w:r w:rsidRPr="00422478">
        <w:t xml:space="preserve"> will be recruited and interviewed </w:t>
      </w:r>
      <w:r w:rsidR="00A146B0">
        <w:t xml:space="preserve">from each MSA. </w:t>
      </w:r>
      <w:r w:rsidRPr="00422478">
        <w:t xml:space="preserve">The sample size of </w:t>
      </w:r>
      <w:r w:rsidR="006F2631" w:rsidRPr="00422478">
        <w:t>2</w:t>
      </w:r>
      <w:r w:rsidRPr="00422478">
        <w:t xml:space="preserve">00 participants </w:t>
      </w:r>
      <w:r w:rsidR="00A146B0">
        <w:t>from each MSA</w:t>
      </w:r>
      <w:r w:rsidRPr="00422478">
        <w:t xml:space="preserve"> </w:t>
      </w:r>
      <w:r w:rsidR="00676EB6">
        <w:t xml:space="preserve">is based on </w:t>
      </w:r>
      <w:r w:rsidR="006239E3">
        <w:t xml:space="preserve">the availability of funds, </w:t>
      </w:r>
      <w:r w:rsidR="00676EB6">
        <w:t>experience from the previously approved pilot data collection</w:t>
      </w:r>
      <w:r w:rsidR="00A146B0">
        <w:t xml:space="preserve">, </w:t>
      </w:r>
      <w:r w:rsidRPr="00422478">
        <w:t>other studies that</w:t>
      </w:r>
      <w:r w:rsidR="00676EB6">
        <w:t xml:space="preserve"> have</w:t>
      </w:r>
      <w:r w:rsidRPr="00422478">
        <w:t xml:space="preserve"> used RDS to recruit respondents</w:t>
      </w:r>
      <w:r w:rsidR="00A146B0">
        <w:t>,</w:t>
      </w:r>
      <w:r w:rsidRPr="00422478">
        <w:t xml:space="preserve"> and advice from statistical consultants. A sample size of </w:t>
      </w:r>
      <w:r w:rsidR="006F2631" w:rsidRPr="00422478">
        <w:t>20</w:t>
      </w:r>
      <w:r w:rsidRPr="00422478">
        <w:t xml:space="preserve">0 </w:t>
      </w:r>
      <w:r w:rsidR="00676EB6">
        <w:t xml:space="preserve">is expected to allow for a sufficient number of waves </w:t>
      </w:r>
      <w:r w:rsidR="00B1248B">
        <w:t xml:space="preserve">from the initial recruit </w:t>
      </w:r>
      <w:r w:rsidR="00676EB6">
        <w:t>to result in a final sample</w:t>
      </w:r>
      <w:r w:rsidR="00CC43DD">
        <w:t xml:space="preserve"> that</w:t>
      </w:r>
      <w:r w:rsidR="00676EB6">
        <w:t xml:space="preserve"> </w:t>
      </w:r>
      <w:r w:rsidR="00B1248B">
        <w:t xml:space="preserve">has diverse characteristics and no longer </w:t>
      </w:r>
      <w:r w:rsidR="00676EB6">
        <w:t xml:space="preserve">resembles </w:t>
      </w:r>
      <w:r w:rsidR="001830C5">
        <w:t xml:space="preserve">the </w:t>
      </w:r>
      <w:r w:rsidR="00B1248B">
        <w:t>initial recruit</w:t>
      </w:r>
      <w:r w:rsidR="001830C5">
        <w:t xml:space="preserve"> in terms of race/ethnicity or age </w:t>
      </w:r>
      <w:r w:rsidR="00C43CFA">
        <w:t>but th</w:t>
      </w:r>
      <w:r w:rsidR="001830C5">
        <w:t xml:space="preserve">e race and age in the broader </w:t>
      </w:r>
      <w:r w:rsidR="00C43CFA">
        <w:t>tran</w:t>
      </w:r>
      <w:r w:rsidR="00733E7F">
        <w:t>s</w:t>
      </w:r>
      <w:r w:rsidR="00C43CFA">
        <w:t xml:space="preserve">gender </w:t>
      </w:r>
      <w:r w:rsidR="001830C5">
        <w:t>community</w:t>
      </w:r>
      <w:r w:rsidR="006239E3" w:rsidRPr="00A10CBE">
        <w:t xml:space="preserve">. </w:t>
      </w:r>
      <w:r w:rsidRPr="00422478">
        <w:t xml:space="preserve">The </w:t>
      </w:r>
      <w:r w:rsidR="00C43CFA">
        <w:t xml:space="preserve">expected </w:t>
      </w:r>
      <w:r w:rsidR="00593E5F">
        <w:t>distribution of respondents according to the</w:t>
      </w:r>
      <w:r w:rsidR="00C43CFA">
        <w:t>se</w:t>
      </w:r>
      <w:r w:rsidR="00593E5F">
        <w:t xml:space="preserve"> characteristics </w:t>
      </w:r>
      <w:r w:rsidR="00C43CFA">
        <w:t xml:space="preserve">is indicated </w:t>
      </w:r>
      <w:r w:rsidR="001830C5">
        <w:t>in table</w:t>
      </w:r>
      <w:r w:rsidR="00DA2EF7">
        <w:t xml:space="preserve"> B1</w:t>
      </w:r>
      <w:r w:rsidR="001830C5">
        <w:t xml:space="preserve"> </w:t>
      </w:r>
      <w:r w:rsidR="00593E5F">
        <w:t>below</w:t>
      </w:r>
      <w:r w:rsidR="00C43CFA">
        <w:t xml:space="preserve">. </w:t>
      </w:r>
      <w:r w:rsidR="001830C5">
        <w:t xml:space="preserve"> </w:t>
      </w:r>
      <w:r w:rsidR="00916F52">
        <w:t>Although this data collection doe</w:t>
      </w:r>
      <w:r w:rsidR="00A11246">
        <w:t>s not use probability sampling, if we assume that RDS is half as efficient as a simple random sample (</w:t>
      </w:r>
      <w:proofErr w:type="spellStart"/>
      <w:r w:rsidR="00A11246">
        <w:t>Salganick</w:t>
      </w:r>
      <w:proofErr w:type="spellEnd"/>
      <w:r w:rsidR="00A11246">
        <w:t xml:space="preserve">, 2006), </w:t>
      </w:r>
      <w:r w:rsidR="0023326F">
        <w:t xml:space="preserve">a </w:t>
      </w:r>
      <w:r w:rsidR="00A11246">
        <w:t>sa</w:t>
      </w:r>
      <w:r w:rsidR="00916F52">
        <w:t xml:space="preserve">mple size of 200 participants per site </w:t>
      </w:r>
      <w:r w:rsidR="0023326F">
        <w:t xml:space="preserve">would </w:t>
      </w:r>
      <w:r w:rsidR="00916F52">
        <w:t xml:space="preserve">allow local areas to estimate a proportion of 50% </w:t>
      </w:r>
      <w:r w:rsidR="0023326F">
        <w:t xml:space="preserve">with precision of roughly 7% for the outcome of interest (e.g., </w:t>
      </w:r>
      <w:r w:rsidR="00916F52">
        <w:t>the proportion of eligible participants who engage in unprotected anal sex or who have never been tested for HIV</w:t>
      </w:r>
      <w:r w:rsidR="0023326F">
        <w:t>).   Ass</w:t>
      </w:r>
      <w:r w:rsidR="00916F52">
        <w:t>uming that these data are a probability sample, the larger national sample of 1,</w:t>
      </w:r>
      <w:r w:rsidR="0023326F">
        <w:t>0</w:t>
      </w:r>
      <w:r w:rsidR="00916F52">
        <w:t xml:space="preserve">00 respondents should provide adequate power and precision to evaluate most behaviors of interest overall and by the major demographic variables shown below in Table B1. </w:t>
      </w:r>
      <w:r w:rsidR="001830C5">
        <w:t>T</w:t>
      </w:r>
      <w:r w:rsidR="00C43CFA" w:rsidRPr="00C43CFA">
        <w:t xml:space="preserve">he numbers in the table are based on experience </w:t>
      </w:r>
      <w:r w:rsidR="001830C5">
        <w:t>from</w:t>
      </w:r>
      <w:r w:rsidR="00C43CFA" w:rsidRPr="00C43CFA">
        <w:t xml:space="preserve"> </w:t>
      </w:r>
      <w:r w:rsidR="00C43CFA">
        <w:t>conducting the previously approved pilot data collection</w:t>
      </w:r>
      <w:r w:rsidR="001830C5">
        <w:t xml:space="preserve"> and other similar RDS studies</w:t>
      </w:r>
      <w:r w:rsidR="00C43CFA" w:rsidRPr="00C43CFA">
        <w:t xml:space="preserve">. </w:t>
      </w:r>
      <w:r w:rsidR="00C43CFA">
        <w:t xml:space="preserve">The expected sample </w:t>
      </w:r>
      <w:r w:rsidR="00C94038">
        <w:t xml:space="preserve">is </w:t>
      </w:r>
      <w:r w:rsidR="00C43CFA" w:rsidRPr="00C43CFA">
        <w:t xml:space="preserve">likely to have a higher proportion of </w:t>
      </w:r>
      <w:r w:rsidR="001830C5">
        <w:t>B</w:t>
      </w:r>
      <w:r w:rsidR="00C94038">
        <w:t xml:space="preserve">lack and Hispanic </w:t>
      </w:r>
      <w:r w:rsidR="00C43CFA" w:rsidRPr="00C43CFA">
        <w:t>participants</w:t>
      </w:r>
      <w:r w:rsidR="00C94038">
        <w:t xml:space="preserve"> than white participants</w:t>
      </w:r>
      <w:r w:rsidR="001830C5">
        <w:t xml:space="preserve"> and </w:t>
      </w:r>
      <w:proofErr w:type="gramStart"/>
      <w:r w:rsidR="00C94038">
        <w:t>a small percentage participants</w:t>
      </w:r>
      <w:proofErr w:type="gramEnd"/>
      <w:r w:rsidR="00C94038">
        <w:t xml:space="preserve"> </w:t>
      </w:r>
      <w:r w:rsidR="001830C5">
        <w:t xml:space="preserve">will be </w:t>
      </w:r>
      <w:r w:rsidR="00C94038">
        <w:t>either Asian or some other racial group</w:t>
      </w:r>
      <w:r w:rsidR="001830C5">
        <w:t xml:space="preserve">. In addition, a large percentage of the </w:t>
      </w:r>
      <w:r w:rsidR="00C94038">
        <w:t xml:space="preserve">participants </w:t>
      </w:r>
      <w:r w:rsidR="001830C5">
        <w:t xml:space="preserve">will be </w:t>
      </w:r>
      <w:r w:rsidR="00C94038">
        <w:t>over the age of 35 years</w:t>
      </w:r>
      <w:r w:rsidR="001830C5">
        <w:t xml:space="preserve"> and small proportion will be below the age of 18</w:t>
      </w:r>
      <w:r w:rsidR="00C94038">
        <w:t xml:space="preserve">.  </w:t>
      </w:r>
    </w:p>
    <w:p w:rsidR="00733E7F" w:rsidRDefault="00733E7F" w:rsidP="002C61B3"/>
    <w:p w:rsidR="00733E7F" w:rsidRDefault="00733E7F" w:rsidP="002C61B3"/>
    <w:p w:rsidR="00733E7F" w:rsidRPr="00E50676" w:rsidRDefault="00733E7F" w:rsidP="002C61B3"/>
    <w:p w:rsidR="00CC43DD" w:rsidRDefault="00CC43DD">
      <w:pPr>
        <w:rPr>
          <w:u w:val="single"/>
        </w:rPr>
      </w:pPr>
      <w:r>
        <w:rPr>
          <w:u w:val="single"/>
        </w:rPr>
        <w:br w:type="page"/>
      </w:r>
    </w:p>
    <w:p w:rsidR="002C61B3" w:rsidRPr="00E50676" w:rsidRDefault="002C61B3" w:rsidP="002C61B3">
      <w:r w:rsidRPr="00E50676">
        <w:rPr>
          <w:u w:val="single"/>
        </w:rPr>
        <w:lastRenderedPageBreak/>
        <w:t>Expected response rates</w:t>
      </w:r>
    </w:p>
    <w:p w:rsidR="002C61B3" w:rsidRPr="00E50676" w:rsidRDefault="002C61B3" w:rsidP="002C61B3"/>
    <w:p w:rsidR="002C61B3" w:rsidRPr="008742E1" w:rsidRDefault="00DA2EF7" w:rsidP="002C61B3">
      <w:r w:rsidRPr="00DA2EF7">
        <w:t>A benefit of the peer-driven sampling conducted in RDS (</w:t>
      </w:r>
      <w:proofErr w:type="spellStart"/>
      <w:r w:rsidRPr="00DA2EF7">
        <w:t>Heckathorn</w:t>
      </w:r>
      <w:proofErr w:type="spellEnd"/>
      <w:r w:rsidRPr="00DA2EF7">
        <w:t>, 2002; Johnston, 2006; Ramirez-</w:t>
      </w:r>
      <w:proofErr w:type="spellStart"/>
      <w:r w:rsidRPr="00DA2EF7">
        <w:t>Valles</w:t>
      </w:r>
      <w:proofErr w:type="spellEnd"/>
      <w:r w:rsidRPr="00DA2EF7">
        <w:t xml:space="preserve">, 2005; </w:t>
      </w:r>
      <w:proofErr w:type="spellStart"/>
      <w:r w:rsidRPr="00DA2EF7">
        <w:t>Stormer</w:t>
      </w:r>
      <w:proofErr w:type="spellEnd"/>
      <w:r w:rsidRPr="00DA2EF7">
        <w:t xml:space="preserve">, 2006; Wang, 2004; </w:t>
      </w:r>
      <w:proofErr w:type="spellStart"/>
      <w:r w:rsidRPr="00DA2EF7">
        <w:t>Yeka</w:t>
      </w:r>
      <w:proofErr w:type="spellEnd"/>
      <w:r w:rsidRPr="00DA2EF7">
        <w:t xml:space="preserve">, 2006) is that recruiters are told, generally speaking, what the eligibility criteria are in order that they can recruit eligible participants. For this reason, response rates for the </w:t>
      </w:r>
      <w:r>
        <w:t xml:space="preserve">proposed data collection are </w:t>
      </w:r>
      <w:r w:rsidRPr="00DA2EF7">
        <w:t xml:space="preserve">expected to be high, approximately 90%. Results from </w:t>
      </w:r>
      <w:r>
        <w:t xml:space="preserve">the previously approved pilot data collection </w:t>
      </w:r>
      <w:r w:rsidRPr="00DA2EF7">
        <w:t xml:space="preserve">support this expected response rate.  Further details and calculations are provided </w:t>
      </w:r>
      <w:r>
        <w:t>in T</w:t>
      </w:r>
      <w:r w:rsidRPr="00DA2EF7">
        <w:t>able B</w:t>
      </w:r>
      <w:r>
        <w:t>1</w:t>
      </w:r>
      <w:r w:rsidRPr="00DA2EF7">
        <w:t xml:space="preserve"> below</w:t>
      </w:r>
      <w:r>
        <w:t xml:space="preserve">. </w:t>
      </w:r>
      <w:r w:rsidR="003C159C">
        <w:t>The response rates will be monitored closely during data collect</w:t>
      </w:r>
      <w:r w:rsidR="003C159C" w:rsidRPr="00511CCA">
        <w:t xml:space="preserve">ion. Efforts to maximize response rates are described in Section B3. </w:t>
      </w:r>
      <w:r w:rsidR="00511CCA" w:rsidRPr="00511CCA">
        <w:t xml:space="preserve">If </w:t>
      </w:r>
      <w:r w:rsidR="00511CCA" w:rsidRPr="008742E1">
        <w:t>ex</w:t>
      </w:r>
      <w:r w:rsidR="003C159C" w:rsidRPr="008742E1">
        <w:t xml:space="preserve">pected response rates are not reached, </w:t>
      </w:r>
      <w:r w:rsidR="00511CCA" w:rsidRPr="008742E1">
        <w:t xml:space="preserve">non-response bias will be assessed to improve </w:t>
      </w:r>
      <w:r w:rsidR="00CF7B6D" w:rsidRPr="008742E1">
        <w:t>recruitment</w:t>
      </w:r>
      <w:r w:rsidR="00511CCA" w:rsidRPr="008742E1">
        <w:t xml:space="preserve">. </w:t>
      </w:r>
      <w:r w:rsidR="002C61B3" w:rsidRPr="008742E1">
        <w:t>Further details and calculations are provided in Section B3 below.</w:t>
      </w:r>
      <w:r w:rsidR="007B7360" w:rsidRPr="008742E1">
        <w:t xml:space="preserve"> </w:t>
      </w:r>
    </w:p>
    <w:p w:rsidR="007B7360" w:rsidRPr="008742E1" w:rsidRDefault="007B7360" w:rsidP="002C61B3"/>
    <w:p w:rsidR="00883E35" w:rsidRDefault="00883E35" w:rsidP="002C61B3">
      <w:r>
        <w:t xml:space="preserve">In the </w:t>
      </w:r>
      <w:r w:rsidR="00593E5F">
        <w:t xml:space="preserve">previously approved </w:t>
      </w:r>
      <w:r>
        <w:t>p</w:t>
      </w:r>
      <w:r w:rsidR="00513E90">
        <w:t xml:space="preserve">ilot </w:t>
      </w:r>
      <w:r w:rsidR="00593E5F">
        <w:t>data collection</w:t>
      </w:r>
      <w:r>
        <w:t xml:space="preserve">, a total of </w:t>
      </w:r>
      <w:r w:rsidR="00F203B8">
        <w:t xml:space="preserve">238 persons were recruited to participate in the pilot data collection. </w:t>
      </w:r>
      <w:r w:rsidR="00DA2EF7">
        <w:t xml:space="preserve">All </w:t>
      </w:r>
      <w:r w:rsidR="00F203B8">
        <w:t>238</w:t>
      </w:r>
      <w:r w:rsidR="00DA2EF7">
        <w:t xml:space="preserve"> were screened </w:t>
      </w:r>
      <w:r w:rsidR="002D00F3">
        <w:t>and completed the pilot’s eligibility screener</w:t>
      </w:r>
      <w:r w:rsidR="00DA2EF7">
        <w:t xml:space="preserve">; </w:t>
      </w:r>
      <w:r w:rsidR="00F203B8">
        <w:t>230</w:t>
      </w:r>
      <w:r w:rsidR="00EC4687">
        <w:t xml:space="preserve"> </w:t>
      </w:r>
      <w:r w:rsidR="00DA2EF7">
        <w:t>(9</w:t>
      </w:r>
      <w:r w:rsidR="00F203B8">
        <w:t xml:space="preserve">7%), </w:t>
      </w:r>
      <w:r w:rsidR="00737A9C">
        <w:t>of th</w:t>
      </w:r>
      <w:r w:rsidR="00DA2EF7">
        <w:t xml:space="preserve">e </w:t>
      </w:r>
      <w:r w:rsidR="00F203B8">
        <w:t xml:space="preserve">238 </w:t>
      </w:r>
      <w:r w:rsidR="00737A9C">
        <w:t>screened</w:t>
      </w:r>
      <w:r w:rsidR="00F203B8">
        <w:t>,</w:t>
      </w:r>
      <w:r w:rsidR="00737A9C">
        <w:t xml:space="preserve"> </w:t>
      </w:r>
      <w:r w:rsidR="00FC0658">
        <w:t>were eligible</w:t>
      </w:r>
      <w:r w:rsidR="00F203B8">
        <w:t xml:space="preserve">; 228 (96%), of the 238 screened, </w:t>
      </w:r>
      <w:r w:rsidR="00737A9C">
        <w:t xml:space="preserve">were subsequently interviewed. </w:t>
      </w:r>
      <w:r w:rsidR="00513E90">
        <w:t xml:space="preserve"> </w:t>
      </w:r>
      <w:r w:rsidR="006F7423">
        <w:t xml:space="preserve">These figures varied slightly across the three MSA: </w:t>
      </w:r>
      <w:r w:rsidR="00A10CBE">
        <w:t>t</w:t>
      </w:r>
      <w:r w:rsidR="006F7423">
        <w:t>he total screened (Range:</w:t>
      </w:r>
      <w:r w:rsidR="00733E7F">
        <w:t xml:space="preserve"> </w:t>
      </w:r>
      <w:r w:rsidR="006F7423">
        <w:t xml:space="preserve">59-106); </w:t>
      </w:r>
      <w:r w:rsidR="00A10CBE">
        <w:t>t</w:t>
      </w:r>
      <w:r w:rsidR="00737A9C">
        <w:t xml:space="preserve">he total number of interviews </w:t>
      </w:r>
      <w:r w:rsidR="006F7423">
        <w:t xml:space="preserve">completed </w:t>
      </w:r>
      <w:r w:rsidR="00737A9C">
        <w:t>(</w:t>
      </w:r>
      <w:r w:rsidR="00733E7F">
        <w:t>R</w:t>
      </w:r>
      <w:r w:rsidR="00737A9C">
        <w:t xml:space="preserve">ange: </w:t>
      </w:r>
      <w:r w:rsidR="00F203B8">
        <w:t>59-102</w:t>
      </w:r>
      <w:r w:rsidR="00737A9C">
        <w:t xml:space="preserve">); </w:t>
      </w:r>
      <w:r w:rsidR="006F7423">
        <w:t xml:space="preserve">and </w:t>
      </w:r>
      <w:r w:rsidR="00737A9C">
        <w:t xml:space="preserve">the </w:t>
      </w:r>
      <w:r w:rsidR="00756413">
        <w:t xml:space="preserve">percentage </w:t>
      </w:r>
      <w:r w:rsidR="00737A9C">
        <w:t>of persons</w:t>
      </w:r>
      <w:r w:rsidR="006F7423">
        <w:t xml:space="preserve"> were</w:t>
      </w:r>
      <w:r w:rsidR="00737A9C">
        <w:t xml:space="preserve"> screened who </w:t>
      </w:r>
      <w:r w:rsidR="00F203B8">
        <w:t xml:space="preserve">completed </w:t>
      </w:r>
      <w:r w:rsidR="006F7423">
        <w:t>an</w:t>
      </w:r>
      <w:r w:rsidR="00F203B8">
        <w:t xml:space="preserve"> interview</w:t>
      </w:r>
      <w:r w:rsidR="00737A9C">
        <w:t xml:space="preserve"> (</w:t>
      </w:r>
      <w:r w:rsidR="00733E7F">
        <w:t>R</w:t>
      </w:r>
      <w:r w:rsidR="00737A9C">
        <w:t>ange</w:t>
      </w:r>
      <w:r w:rsidR="00733E7F">
        <w:t>:</w:t>
      </w:r>
      <w:r w:rsidR="00737A9C">
        <w:t xml:space="preserve"> </w:t>
      </w:r>
      <w:r w:rsidR="00F203B8">
        <w:t>92</w:t>
      </w:r>
      <w:r w:rsidR="00737A9C">
        <w:t xml:space="preserve">-100%). </w:t>
      </w:r>
      <w:r w:rsidR="00756413">
        <w:t xml:space="preserve"> Of the </w:t>
      </w:r>
      <w:r w:rsidR="006F7423">
        <w:t>230</w:t>
      </w:r>
      <w:r w:rsidR="002E6E95">
        <w:t xml:space="preserve"> </w:t>
      </w:r>
      <w:r w:rsidR="00756413">
        <w:t xml:space="preserve">persons who were eligible and completed the </w:t>
      </w:r>
      <w:r w:rsidR="008D79C3">
        <w:t>behavioral assessment</w:t>
      </w:r>
      <w:r w:rsidR="00756413">
        <w:t xml:space="preserve">, </w:t>
      </w:r>
      <w:r w:rsidR="006F7423">
        <w:t>206</w:t>
      </w:r>
      <w:r w:rsidR="00733E7F">
        <w:t xml:space="preserve"> </w:t>
      </w:r>
      <w:r w:rsidR="00756413">
        <w:t>(</w:t>
      </w:r>
      <w:r w:rsidR="006F7423">
        <w:t>90</w:t>
      </w:r>
      <w:r w:rsidR="00756413">
        <w:t xml:space="preserve">%) were given coupons to recruit their peers. </w:t>
      </w:r>
      <w:r w:rsidR="006F7423">
        <w:t xml:space="preserve"> </w:t>
      </w:r>
    </w:p>
    <w:p w:rsidR="00C43CFA" w:rsidRPr="00E039A1" w:rsidRDefault="00C43CFA" w:rsidP="00C43CFA">
      <w:pPr>
        <w:tabs>
          <w:tab w:val="left" w:pos="1320"/>
        </w:tabs>
      </w:pPr>
    </w:p>
    <w:p w:rsidR="00C43CFA" w:rsidRPr="00E039A1" w:rsidRDefault="00C43CFA" w:rsidP="00C43CFA">
      <w:pPr>
        <w:tabs>
          <w:tab w:val="left" w:pos="1320"/>
        </w:tabs>
      </w:pPr>
      <w:r w:rsidRPr="00E039A1">
        <w:t>Table B1: Expected Response Rates and Sample Size, NHBS*</w:t>
      </w:r>
    </w:p>
    <w:p w:rsidR="00C43CFA" w:rsidRPr="00E039A1" w:rsidRDefault="00C43CFA" w:rsidP="00C43CFA"/>
    <w:tbl>
      <w:tblPr>
        <w:tblW w:w="9105" w:type="dxa"/>
        <w:tblInd w:w="93" w:type="dxa"/>
        <w:tblLayout w:type="fixed"/>
        <w:tblLook w:val="0000"/>
      </w:tblPr>
      <w:tblGrid>
        <w:gridCol w:w="3255"/>
        <w:gridCol w:w="1980"/>
        <w:gridCol w:w="1980"/>
        <w:gridCol w:w="1890"/>
      </w:tblGrid>
      <w:tr w:rsidR="00C94038" w:rsidRPr="00E039A1" w:rsidTr="004D0D26">
        <w:trPr>
          <w:trHeight w:val="585"/>
        </w:trPr>
        <w:tc>
          <w:tcPr>
            <w:tcW w:w="3255" w:type="dxa"/>
            <w:tcBorders>
              <w:top w:val="single" w:sz="8" w:space="0" w:color="auto"/>
              <w:left w:val="single" w:sz="8" w:space="0" w:color="auto"/>
              <w:bottom w:val="single" w:sz="8" w:space="0" w:color="auto"/>
              <w:right w:val="single" w:sz="8" w:space="0" w:color="auto"/>
            </w:tcBorders>
            <w:shd w:val="clear" w:color="auto" w:fill="FFFFFF"/>
          </w:tcPr>
          <w:p w:rsidR="00C94038" w:rsidRPr="00E039A1" w:rsidRDefault="00C94038" w:rsidP="00C43CFA">
            <w:pPr>
              <w:rPr>
                <w:b/>
                <w:bCs/>
              </w:rPr>
            </w:pPr>
            <w:r w:rsidRPr="00E039A1">
              <w:rPr>
                <w:b/>
                <w:bCs/>
              </w:rPr>
              <w:t>Characteristic</w:t>
            </w:r>
          </w:p>
        </w:tc>
        <w:tc>
          <w:tcPr>
            <w:tcW w:w="1980" w:type="dxa"/>
            <w:tcBorders>
              <w:top w:val="single" w:sz="8" w:space="0" w:color="auto"/>
              <w:left w:val="nil"/>
              <w:bottom w:val="single" w:sz="8" w:space="0" w:color="auto"/>
              <w:right w:val="single" w:sz="4" w:space="0" w:color="auto"/>
            </w:tcBorders>
            <w:shd w:val="clear" w:color="auto" w:fill="FFFFFF"/>
          </w:tcPr>
          <w:p w:rsidR="00C94038" w:rsidRPr="00E039A1" w:rsidRDefault="00C94038" w:rsidP="00C94038">
            <w:pPr>
              <w:rPr>
                <w:b/>
                <w:bCs/>
              </w:rPr>
            </w:pPr>
            <w:r w:rsidRPr="00E039A1">
              <w:rPr>
                <w:b/>
                <w:bCs/>
              </w:rPr>
              <w:t>Persons referred by peer recruiters completing the screener</w:t>
            </w:r>
          </w:p>
        </w:tc>
        <w:tc>
          <w:tcPr>
            <w:tcW w:w="1980" w:type="dxa"/>
            <w:tcBorders>
              <w:top w:val="single" w:sz="8" w:space="0" w:color="auto"/>
              <w:left w:val="single" w:sz="4" w:space="0" w:color="auto"/>
              <w:bottom w:val="single" w:sz="8" w:space="0" w:color="auto"/>
              <w:right w:val="single" w:sz="8" w:space="0" w:color="auto"/>
            </w:tcBorders>
            <w:shd w:val="clear" w:color="auto" w:fill="FFFFFF"/>
          </w:tcPr>
          <w:p w:rsidR="00C94038" w:rsidRPr="00E039A1" w:rsidRDefault="00C94038" w:rsidP="00C94038">
            <w:pPr>
              <w:rPr>
                <w:b/>
                <w:bCs/>
              </w:rPr>
            </w:pPr>
            <w:r w:rsidRPr="00E039A1">
              <w:rPr>
                <w:b/>
                <w:bCs/>
              </w:rPr>
              <w:t>Eligible Transgender persons completing the behavioral assessment</w:t>
            </w:r>
          </w:p>
        </w:tc>
        <w:tc>
          <w:tcPr>
            <w:tcW w:w="1890" w:type="dxa"/>
            <w:tcBorders>
              <w:top w:val="single" w:sz="8" w:space="0" w:color="auto"/>
              <w:left w:val="single" w:sz="4" w:space="0" w:color="auto"/>
              <w:bottom w:val="single" w:sz="8" w:space="0" w:color="auto"/>
              <w:right w:val="single" w:sz="8" w:space="0" w:color="auto"/>
            </w:tcBorders>
            <w:shd w:val="clear" w:color="auto" w:fill="FFFFFF"/>
          </w:tcPr>
          <w:p w:rsidR="00C94038" w:rsidRPr="00E039A1" w:rsidRDefault="00C94038" w:rsidP="00C94038">
            <w:pPr>
              <w:rPr>
                <w:b/>
                <w:bCs/>
              </w:rPr>
            </w:pPr>
            <w:r w:rsidRPr="00E039A1">
              <w:rPr>
                <w:b/>
                <w:bCs/>
              </w:rPr>
              <w:t xml:space="preserve">Peer recruiter completing the recruiter debriefing </w:t>
            </w:r>
          </w:p>
        </w:tc>
      </w:tr>
      <w:tr w:rsidR="00C94038" w:rsidRPr="00E039A1" w:rsidTr="004D0D26">
        <w:trPr>
          <w:trHeight w:val="315"/>
        </w:trPr>
        <w:tc>
          <w:tcPr>
            <w:tcW w:w="3255" w:type="dxa"/>
            <w:tcBorders>
              <w:top w:val="nil"/>
              <w:left w:val="single" w:sz="8" w:space="0" w:color="auto"/>
              <w:bottom w:val="single" w:sz="8" w:space="0" w:color="auto"/>
              <w:right w:val="single" w:sz="8" w:space="0" w:color="auto"/>
            </w:tcBorders>
            <w:shd w:val="clear" w:color="auto" w:fill="FFFFFF"/>
          </w:tcPr>
          <w:p w:rsidR="00C94038" w:rsidRPr="00E039A1" w:rsidRDefault="00C94038" w:rsidP="00C43CFA">
            <w:r w:rsidRPr="00E039A1">
              <w:t>TOTAL</w:t>
            </w:r>
          </w:p>
        </w:tc>
        <w:tc>
          <w:tcPr>
            <w:tcW w:w="1980" w:type="dxa"/>
            <w:tcBorders>
              <w:top w:val="nil"/>
              <w:left w:val="nil"/>
              <w:bottom w:val="single" w:sz="8" w:space="0" w:color="auto"/>
              <w:right w:val="single" w:sz="4" w:space="0" w:color="auto"/>
            </w:tcBorders>
            <w:shd w:val="clear" w:color="auto" w:fill="FFFFFF"/>
          </w:tcPr>
          <w:p w:rsidR="00C94038" w:rsidRPr="00E039A1" w:rsidRDefault="00CF272A" w:rsidP="00CF272A">
            <w:r w:rsidRPr="00E039A1">
              <w:t>1</w:t>
            </w:r>
            <w:r w:rsidR="00C94038" w:rsidRPr="00E039A1">
              <w:t>,</w:t>
            </w:r>
            <w:r w:rsidRPr="00E039A1">
              <w:t>1</w:t>
            </w:r>
            <w:r w:rsidR="00C94038" w:rsidRPr="00E039A1">
              <w:t>00</w:t>
            </w:r>
          </w:p>
        </w:tc>
        <w:tc>
          <w:tcPr>
            <w:tcW w:w="1980" w:type="dxa"/>
            <w:tcBorders>
              <w:top w:val="nil"/>
              <w:left w:val="single" w:sz="4" w:space="0" w:color="auto"/>
              <w:bottom w:val="single" w:sz="8" w:space="0" w:color="auto"/>
              <w:right w:val="single" w:sz="8" w:space="0" w:color="auto"/>
            </w:tcBorders>
            <w:shd w:val="clear" w:color="auto" w:fill="FFFFFF"/>
          </w:tcPr>
          <w:p w:rsidR="00C94038" w:rsidRPr="00E039A1" w:rsidRDefault="00CF272A" w:rsidP="00C43CFA">
            <w:r w:rsidRPr="00E039A1">
              <w:t>1,000</w:t>
            </w:r>
          </w:p>
        </w:tc>
        <w:tc>
          <w:tcPr>
            <w:tcW w:w="1890" w:type="dxa"/>
            <w:tcBorders>
              <w:top w:val="nil"/>
              <w:left w:val="single" w:sz="4" w:space="0" w:color="auto"/>
              <w:bottom w:val="single" w:sz="8" w:space="0" w:color="auto"/>
              <w:right w:val="single" w:sz="8" w:space="0" w:color="auto"/>
            </w:tcBorders>
            <w:shd w:val="clear" w:color="auto" w:fill="FFFFFF"/>
          </w:tcPr>
          <w:p w:rsidR="00C94038" w:rsidRPr="00E039A1" w:rsidRDefault="00CF272A" w:rsidP="00C43CFA">
            <w:r w:rsidRPr="00E039A1">
              <w:t>500</w:t>
            </w:r>
          </w:p>
        </w:tc>
      </w:tr>
      <w:tr w:rsidR="00C94038" w:rsidRPr="00E039A1" w:rsidTr="004D0D26">
        <w:trPr>
          <w:trHeight w:val="315"/>
        </w:trPr>
        <w:tc>
          <w:tcPr>
            <w:tcW w:w="3255" w:type="dxa"/>
            <w:tcBorders>
              <w:top w:val="nil"/>
              <w:left w:val="single" w:sz="8" w:space="0" w:color="auto"/>
              <w:bottom w:val="single" w:sz="8" w:space="0" w:color="auto"/>
              <w:right w:val="single" w:sz="8" w:space="0" w:color="auto"/>
            </w:tcBorders>
            <w:shd w:val="clear" w:color="auto" w:fill="FFFFFF"/>
          </w:tcPr>
          <w:p w:rsidR="00C94038" w:rsidRPr="00E039A1" w:rsidRDefault="00C94038" w:rsidP="00C43CFA">
            <w:r w:rsidRPr="00E039A1">
              <w:t> </w:t>
            </w:r>
          </w:p>
        </w:tc>
        <w:tc>
          <w:tcPr>
            <w:tcW w:w="1980" w:type="dxa"/>
            <w:tcBorders>
              <w:top w:val="nil"/>
              <w:left w:val="nil"/>
              <w:bottom w:val="single" w:sz="8" w:space="0" w:color="auto"/>
              <w:right w:val="single" w:sz="4" w:space="0" w:color="auto"/>
            </w:tcBorders>
            <w:shd w:val="clear" w:color="auto" w:fill="FFFFFF"/>
          </w:tcPr>
          <w:p w:rsidR="00C94038" w:rsidRPr="00E039A1" w:rsidRDefault="00C94038" w:rsidP="00C43CFA"/>
        </w:tc>
        <w:tc>
          <w:tcPr>
            <w:tcW w:w="1980" w:type="dxa"/>
            <w:tcBorders>
              <w:top w:val="nil"/>
              <w:left w:val="single" w:sz="4" w:space="0" w:color="auto"/>
              <w:bottom w:val="single" w:sz="8" w:space="0" w:color="auto"/>
              <w:right w:val="single" w:sz="8" w:space="0" w:color="auto"/>
            </w:tcBorders>
            <w:shd w:val="clear" w:color="auto" w:fill="FFFFFF"/>
          </w:tcPr>
          <w:p w:rsidR="00C94038" w:rsidRPr="00E039A1" w:rsidRDefault="00C94038" w:rsidP="00C43CFA">
            <w:r w:rsidRPr="00E039A1">
              <w:t> </w:t>
            </w:r>
          </w:p>
        </w:tc>
        <w:tc>
          <w:tcPr>
            <w:tcW w:w="1890" w:type="dxa"/>
            <w:tcBorders>
              <w:top w:val="nil"/>
              <w:left w:val="single" w:sz="4" w:space="0" w:color="auto"/>
              <w:bottom w:val="single" w:sz="8" w:space="0" w:color="auto"/>
              <w:right w:val="single" w:sz="8" w:space="0" w:color="auto"/>
            </w:tcBorders>
            <w:shd w:val="clear" w:color="auto" w:fill="FFFFFF"/>
          </w:tcPr>
          <w:p w:rsidR="00C94038" w:rsidRPr="00E039A1" w:rsidRDefault="00C94038" w:rsidP="00C43CFA"/>
        </w:tc>
      </w:tr>
      <w:tr w:rsidR="00C94038" w:rsidRPr="00E039A1" w:rsidTr="004D0D26">
        <w:trPr>
          <w:trHeight w:val="315"/>
        </w:trPr>
        <w:tc>
          <w:tcPr>
            <w:tcW w:w="3255" w:type="dxa"/>
            <w:tcBorders>
              <w:top w:val="nil"/>
              <w:left w:val="single" w:sz="8" w:space="0" w:color="auto"/>
              <w:bottom w:val="single" w:sz="8" w:space="0" w:color="auto"/>
              <w:right w:val="single" w:sz="8" w:space="0" w:color="auto"/>
            </w:tcBorders>
            <w:shd w:val="clear" w:color="auto" w:fill="FFFFFF"/>
          </w:tcPr>
          <w:p w:rsidR="00C94038" w:rsidRPr="00E039A1" w:rsidRDefault="00C94038" w:rsidP="00C43CFA">
            <w:r w:rsidRPr="00E039A1">
              <w:t>Hispanic</w:t>
            </w:r>
          </w:p>
        </w:tc>
        <w:tc>
          <w:tcPr>
            <w:tcW w:w="1980" w:type="dxa"/>
            <w:tcBorders>
              <w:top w:val="nil"/>
              <w:left w:val="nil"/>
              <w:bottom w:val="single" w:sz="4" w:space="0" w:color="auto"/>
              <w:right w:val="single" w:sz="4" w:space="0" w:color="auto"/>
            </w:tcBorders>
            <w:shd w:val="clear" w:color="auto" w:fill="FFFFFF"/>
            <w:vAlign w:val="bottom"/>
          </w:tcPr>
          <w:p w:rsidR="00C94038" w:rsidRPr="00E039A1" w:rsidRDefault="004D0D26" w:rsidP="004D0D26">
            <w:r w:rsidRPr="00E039A1">
              <w:t>300</w:t>
            </w:r>
          </w:p>
        </w:tc>
        <w:tc>
          <w:tcPr>
            <w:tcW w:w="1980" w:type="dxa"/>
            <w:tcBorders>
              <w:top w:val="nil"/>
              <w:left w:val="single" w:sz="4" w:space="0" w:color="auto"/>
              <w:bottom w:val="single" w:sz="4" w:space="0" w:color="auto"/>
              <w:right w:val="single" w:sz="8" w:space="0" w:color="auto"/>
            </w:tcBorders>
            <w:shd w:val="clear" w:color="auto" w:fill="FFFFFF"/>
            <w:vAlign w:val="bottom"/>
          </w:tcPr>
          <w:p w:rsidR="00C94038" w:rsidRPr="00E039A1" w:rsidRDefault="004D0D26" w:rsidP="00C43CFA">
            <w:r w:rsidRPr="00E039A1">
              <w:t>275</w:t>
            </w:r>
          </w:p>
        </w:tc>
        <w:tc>
          <w:tcPr>
            <w:tcW w:w="1890" w:type="dxa"/>
            <w:tcBorders>
              <w:top w:val="nil"/>
              <w:left w:val="single" w:sz="4" w:space="0" w:color="auto"/>
              <w:bottom w:val="single" w:sz="4" w:space="0" w:color="auto"/>
              <w:right w:val="single" w:sz="8" w:space="0" w:color="auto"/>
            </w:tcBorders>
            <w:shd w:val="clear" w:color="auto" w:fill="FFFFFF"/>
          </w:tcPr>
          <w:p w:rsidR="00C94038" w:rsidRPr="00E039A1" w:rsidRDefault="004D0D26" w:rsidP="00C43CFA">
            <w:r w:rsidRPr="00E039A1">
              <w:t>138</w:t>
            </w:r>
          </w:p>
        </w:tc>
      </w:tr>
      <w:tr w:rsidR="00C94038" w:rsidRPr="00E039A1" w:rsidTr="004D0D26">
        <w:trPr>
          <w:trHeight w:val="315"/>
        </w:trPr>
        <w:tc>
          <w:tcPr>
            <w:tcW w:w="3255" w:type="dxa"/>
            <w:tcBorders>
              <w:top w:val="nil"/>
              <w:left w:val="single" w:sz="8" w:space="0" w:color="auto"/>
              <w:bottom w:val="single" w:sz="8" w:space="0" w:color="auto"/>
              <w:right w:val="single" w:sz="4" w:space="0" w:color="auto"/>
            </w:tcBorders>
            <w:shd w:val="clear" w:color="auto" w:fill="FFFFFF"/>
          </w:tcPr>
          <w:p w:rsidR="00C94038" w:rsidRPr="00E039A1" w:rsidRDefault="00C94038" w:rsidP="00C43CFA">
            <w:r w:rsidRPr="00E039A1">
              <w:t>Black</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bottom"/>
          </w:tcPr>
          <w:p w:rsidR="00C94038" w:rsidRPr="00E039A1" w:rsidRDefault="004D0D26" w:rsidP="00C43CFA">
            <w:r w:rsidRPr="00E039A1">
              <w:t>550</w:t>
            </w:r>
          </w:p>
        </w:tc>
        <w:tc>
          <w:tcPr>
            <w:tcW w:w="19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94038" w:rsidRPr="00E039A1" w:rsidRDefault="004D0D26" w:rsidP="00C43CFA">
            <w:r w:rsidRPr="00E039A1">
              <w:t>500</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C94038" w:rsidRPr="00E039A1" w:rsidRDefault="004D0D26" w:rsidP="00C43CFA">
            <w:r w:rsidRPr="00E039A1">
              <w:t>250</w:t>
            </w:r>
          </w:p>
        </w:tc>
      </w:tr>
      <w:tr w:rsidR="00C94038" w:rsidRPr="00E039A1" w:rsidTr="004D0D26">
        <w:trPr>
          <w:trHeight w:val="315"/>
        </w:trPr>
        <w:tc>
          <w:tcPr>
            <w:tcW w:w="3255" w:type="dxa"/>
            <w:tcBorders>
              <w:top w:val="nil"/>
              <w:left w:val="single" w:sz="8" w:space="0" w:color="auto"/>
              <w:bottom w:val="single" w:sz="8" w:space="0" w:color="auto"/>
              <w:right w:val="single" w:sz="8" w:space="0" w:color="auto"/>
            </w:tcBorders>
            <w:shd w:val="clear" w:color="auto" w:fill="FFFFFF"/>
          </w:tcPr>
          <w:p w:rsidR="00C94038" w:rsidRPr="00E039A1" w:rsidRDefault="00C94038" w:rsidP="00C43CFA">
            <w:r w:rsidRPr="00E039A1">
              <w:t>White</w:t>
            </w:r>
          </w:p>
        </w:tc>
        <w:tc>
          <w:tcPr>
            <w:tcW w:w="1980" w:type="dxa"/>
            <w:tcBorders>
              <w:top w:val="single" w:sz="4" w:space="0" w:color="auto"/>
              <w:left w:val="nil"/>
              <w:bottom w:val="single" w:sz="8" w:space="0" w:color="auto"/>
              <w:right w:val="single" w:sz="4" w:space="0" w:color="auto"/>
            </w:tcBorders>
            <w:shd w:val="clear" w:color="auto" w:fill="FFFFFF"/>
            <w:vAlign w:val="bottom"/>
          </w:tcPr>
          <w:p w:rsidR="00C94038" w:rsidRPr="00E039A1" w:rsidRDefault="004D0D26" w:rsidP="00C43CFA">
            <w:r w:rsidRPr="00E039A1">
              <w:t>200</w:t>
            </w:r>
          </w:p>
        </w:tc>
        <w:tc>
          <w:tcPr>
            <w:tcW w:w="1980" w:type="dxa"/>
            <w:tcBorders>
              <w:top w:val="single" w:sz="4" w:space="0" w:color="auto"/>
              <w:left w:val="single" w:sz="4" w:space="0" w:color="auto"/>
              <w:bottom w:val="single" w:sz="8" w:space="0" w:color="auto"/>
              <w:right w:val="single" w:sz="8" w:space="0" w:color="auto"/>
            </w:tcBorders>
            <w:shd w:val="clear" w:color="auto" w:fill="FFFFFF"/>
            <w:vAlign w:val="bottom"/>
          </w:tcPr>
          <w:p w:rsidR="00C94038" w:rsidRPr="00E039A1" w:rsidRDefault="004D0D26" w:rsidP="00C43CFA">
            <w:r w:rsidRPr="00E039A1">
              <w:t>180</w:t>
            </w:r>
          </w:p>
        </w:tc>
        <w:tc>
          <w:tcPr>
            <w:tcW w:w="1890" w:type="dxa"/>
            <w:tcBorders>
              <w:top w:val="single" w:sz="4" w:space="0" w:color="auto"/>
              <w:left w:val="single" w:sz="4" w:space="0" w:color="auto"/>
              <w:bottom w:val="single" w:sz="8" w:space="0" w:color="auto"/>
              <w:right w:val="single" w:sz="8" w:space="0" w:color="auto"/>
            </w:tcBorders>
            <w:shd w:val="clear" w:color="auto" w:fill="FFFFFF"/>
          </w:tcPr>
          <w:p w:rsidR="00C94038" w:rsidRPr="00E039A1" w:rsidRDefault="004D0D26" w:rsidP="00C43CFA">
            <w:r w:rsidRPr="00E039A1">
              <w:t xml:space="preserve"> 90</w:t>
            </w:r>
          </w:p>
        </w:tc>
      </w:tr>
      <w:tr w:rsidR="00C94038" w:rsidRPr="00E039A1" w:rsidTr="004D0D26">
        <w:trPr>
          <w:trHeight w:val="315"/>
        </w:trPr>
        <w:tc>
          <w:tcPr>
            <w:tcW w:w="3255" w:type="dxa"/>
            <w:tcBorders>
              <w:top w:val="nil"/>
              <w:left w:val="single" w:sz="8" w:space="0" w:color="auto"/>
              <w:bottom w:val="single" w:sz="8" w:space="0" w:color="auto"/>
              <w:right w:val="single" w:sz="8" w:space="0" w:color="auto"/>
            </w:tcBorders>
            <w:shd w:val="clear" w:color="auto" w:fill="FFFFFF"/>
          </w:tcPr>
          <w:p w:rsidR="00C94038" w:rsidRPr="00E039A1" w:rsidRDefault="00C94038" w:rsidP="00C43CFA">
            <w:r w:rsidRPr="00E039A1">
              <w:t>Other</w:t>
            </w:r>
          </w:p>
        </w:tc>
        <w:tc>
          <w:tcPr>
            <w:tcW w:w="1980" w:type="dxa"/>
            <w:tcBorders>
              <w:top w:val="nil"/>
              <w:left w:val="nil"/>
              <w:bottom w:val="single" w:sz="8" w:space="0" w:color="auto"/>
              <w:right w:val="single" w:sz="4" w:space="0" w:color="auto"/>
            </w:tcBorders>
            <w:shd w:val="clear" w:color="auto" w:fill="FFFFFF"/>
            <w:vAlign w:val="bottom"/>
          </w:tcPr>
          <w:p w:rsidR="00C94038" w:rsidRPr="00E039A1" w:rsidRDefault="004D0D26" w:rsidP="004D0D26">
            <w:r w:rsidRPr="00E039A1">
              <w:t xml:space="preserve"> 50</w:t>
            </w:r>
          </w:p>
        </w:tc>
        <w:tc>
          <w:tcPr>
            <w:tcW w:w="1980" w:type="dxa"/>
            <w:tcBorders>
              <w:top w:val="nil"/>
              <w:left w:val="single" w:sz="4" w:space="0" w:color="auto"/>
              <w:bottom w:val="single" w:sz="8" w:space="0" w:color="auto"/>
              <w:right w:val="single" w:sz="8" w:space="0" w:color="auto"/>
            </w:tcBorders>
            <w:shd w:val="clear" w:color="auto" w:fill="FFFFFF"/>
            <w:vAlign w:val="bottom"/>
          </w:tcPr>
          <w:p w:rsidR="00C94038" w:rsidRPr="00E039A1" w:rsidRDefault="004D0D26" w:rsidP="00C43CFA">
            <w:r w:rsidRPr="00E039A1">
              <w:t xml:space="preserve"> 45</w:t>
            </w:r>
          </w:p>
        </w:tc>
        <w:tc>
          <w:tcPr>
            <w:tcW w:w="1890" w:type="dxa"/>
            <w:tcBorders>
              <w:top w:val="nil"/>
              <w:left w:val="single" w:sz="4" w:space="0" w:color="auto"/>
              <w:bottom w:val="single" w:sz="8" w:space="0" w:color="auto"/>
              <w:right w:val="single" w:sz="8" w:space="0" w:color="auto"/>
            </w:tcBorders>
            <w:shd w:val="clear" w:color="auto" w:fill="FFFFFF"/>
          </w:tcPr>
          <w:p w:rsidR="00C94038" w:rsidRPr="00E039A1" w:rsidRDefault="004D0D26" w:rsidP="00C43CFA">
            <w:r w:rsidRPr="00E039A1">
              <w:t xml:space="preserve"> 2</w:t>
            </w:r>
            <w:r w:rsidR="001830C5" w:rsidRPr="00E039A1">
              <w:t>2</w:t>
            </w:r>
          </w:p>
        </w:tc>
      </w:tr>
      <w:tr w:rsidR="00C94038" w:rsidRPr="00E039A1" w:rsidTr="004D0D26">
        <w:trPr>
          <w:trHeight w:val="315"/>
        </w:trPr>
        <w:tc>
          <w:tcPr>
            <w:tcW w:w="3255" w:type="dxa"/>
            <w:tcBorders>
              <w:top w:val="nil"/>
              <w:left w:val="single" w:sz="8" w:space="0" w:color="auto"/>
              <w:bottom w:val="single" w:sz="8" w:space="0" w:color="auto"/>
              <w:right w:val="single" w:sz="8" w:space="0" w:color="auto"/>
            </w:tcBorders>
            <w:shd w:val="clear" w:color="auto" w:fill="FFFFFF"/>
          </w:tcPr>
          <w:p w:rsidR="00C94038" w:rsidRPr="00E039A1" w:rsidRDefault="00C94038" w:rsidP="00C43CFA">
            <w:r w:rsidRPr="00E039A1">
              <w:t> </w:t>
            </w:r>
          </w:p>
        </w:tc>
        <w:tc>
          <w:tcPr>
            <w:tcW w:w="1980" w:type="dxa"/>
            <w:tcBorders>
              <w:top w:val="nil"/>
              <w:left w:val="nil"/>
              <w:bottom w:val="single" w:sz="8" w:space="0" w:color="auto"/>
              <w:right w:val="single" w:sz="4" w:space="0" w:color="auto"/>
            </w:tcBorders>
            <w:shd w:val="clear" w:color="auto" w:fill="FFFFFF"/>
            <w:vAlign w:val="bottom"/>
          </w:tcPr>
          <w:p w:rsidR="00C94038" w:rsidRPr="00E039A1" w:rsidRDefault="00C94038" w:rsidP="00C43CFA">
            <w:r w:rsidRPr="00E039A1">
              <w:t> </w:t>
            </w:r>
          </w:p>
        </w:tc>
        <w:tc>
          <w:tcPr>
            <w:tcW w:w="1980" w:type="dxa"/>
            <w:tcBorders>
              <w:top w:val="nil"/>
              <w:left w:val="single" w:sz="4" w:space="0" w:color="auto"/>
              <w:bottom w:val="single" w:sz="8" w:space="0" w:color="auto"/>
              <w:right w:val="single" w:sz="8" w:space="0" w:color="auto"/>
            </w:tcBorders>
            <w:shd w:val="clear" w:color="auto" w:fill="FFFFFF"/>
            <w:vAlign w:val="bottom"/>
          </w:tcPr>
          <w:p w:rsidR="00C94038" w:rsidRPr="00E039A1" w:rsidRDefault="00C94038" w:rsidP="00C43CFA">
            <w:r w:rsidRPr="00E039A1">
              <w:t> </w:t>
            </w:r>
          </w:p>
        </w:tc>
        <w:tc>
          <w:tcPr>
            <w:tcW w:w="1890" w:type="dxa"/>
            <w:tcBorders>
              <w:top w:val="nil"/>
              <w:left w:val="single" w:sz="4" w:space="0" w:color="auto"/>
              <w:bottom w:val="single" w:sz="8" w:space="0" w:color="auto"/>
              <w:right w:val="single" w:sz="8" w:space="0" w:color="auto"/>
            </w:tcBorders>
            <w:shd w:val="clear" w:color="auto" w:fill="FFFFFF"/>
          </w:tcPr>
          <w:p w:rsidR="00C94038" w:rsidRPr="00E039A1" w:rsidRDefault="00C94038" w:rsidP="00C43CFA"/>
        </w:tc>
      </w:tr>
      <w:tr w:rsidR="00CF272A" w:rsidRPr="00E039A1" w:rsidTr="004D0D26">
        <w:trPr>
          <w:trHeight w:val="315"/>
        </w:trPr>
        <w:tc>
          <w:tcPr>
            <w:tcW w:w="3255" w:type="dxa"/>
            <w:tcBorders>
              <w:top w:val="nil"/>
              <w:left w:val="single" w:sz="8" w:space="0" w:color="auto"/>
              <w:bottom w:val="single" w:sz="8" w:space="0" w:color="auto"/>
              <w:right w:val="single" w:sz="8" w:space="0" w:color="auto"/>
            </w:tcBorders>
            <w:shd w:val="clear" w:color="auto" w:fill="FFFFFF"/>
          </w:tcPr>
          <w:p w:rsidR="00CF272A" w:rsidRPr="00E039A1" w:rsidRDefault="00CF272A" w:rsidP="00C43CFA">
            <w:r w:rsidRPr="00E039A1">
              <w:t>15-17</w:t>
            </w:r>
          </w:p>
        </w:tc>
        <w:tc>
          <w:tcPr>
            <w:tcW w:w="1980" w:type="dxa"/>
            <w:tcBorders>
              <w:top w:val="nil"/>
              <w:left w:val="nil"/>
              <w:bottom w:val="single" w:sz="8" w:space="0" w:color="auto"/>
              <w:right w:val="single" w:sz="4" w:space="0" w:color="auto"/>
            </w:tcBorders>
            <w:shd w:val="clear" w:color="auto" w:fill="FFFFFF"/>
            <w:vAlign w:val="bottom"/>
          </w:tcPr>
          <w:p w:rsidR="00CF272A" w:rsidRPr="00E039A1" w:rsidRDefault="004D0D26" w:rsidP="004D0D26">
            <w:r w:rsidRPr="00E039A1">
              <w:t>200</w:t>
            </w:r>
          </w:p>
        </w:tc>
        <w:tc>
          <w:tcPr>
            <w:tcW w:w="1980" w:type="dxa"/>
            <w:tcBorders>
              <w:top w:val="nil"/>
              <w:left w:val="single" w:sz="4" w:space="0" w:color="auto"/>
              <w:bottom w:val="single" w:sz="8" w:space="0" w:color="auto"/>
              <w:right w:val="single" w:sz="8" w:space="0" w:color="auto"/>
            </w:tcBorders>
            <w:shd w:val="clear" w:color="auto" w:fill="FFFFFF"/>
            <w:vAlign w:val="bottom"/>
          </w:tcPr>
          <w:p w:rsidR="00CF272A" w:rsidRPr="00E039A1" w:rsidRDefault="004D0D26" w:rsidP="00C43CFA">
            <w:r w:rsidRPr="00E039A1">
              <w:t>180</w:t>
            </w:r>
          </w:p>
        </w:tc>
        <w:tc>
          <w:tcPr>
            <w:tcW w:w="1890" w:type="dxa"/>
            <w:tcBorders>
              <w:top w:val="nil"/>
              <w:left w:val="single" w:sz="4" w:space="0" w:color="auto"/>
              <w:bottom w:val="single" w:sz="8" w:space="0" w:color="auto"/>
              <w:right w:val="single" w:sz="8" w:space="0" w:color="auto"/>
            </w:tcBorders>
            <w:shd w:val="clear" w:color="auto" w:fill="FFFFFF"/>
          </w:tcPr>
          <w:p w:rsidR="00CF272A" w:rsidRPr="00E039A1" w:rsidRDefault="001830C5" w:rsidP="00C43CFA">
            <w:r w:rsidRPr="00E039A1">
              <w:t xml:space="preserve"> 90</w:t>
            </w:r>
          </w:p>
        </w:tc>
      </w:tr>
      <w:tr w:rsidR="00C94038" w:rsidRPr="00E039A1" w:rsidTr="004D0D26">
        <w:trPr>
          <w:trHeight w:val="315"/>
        </w:trPr>
        <w:tc>
          <w:tcPr>
            <w:tcW w:w="3255" w:type="dxa"/>
            <w:tcBorders>
              <w:top w:val="nil"/>
              <w:left w:val="single" w:sz="8" w:space="0" w:color="auto"/>
              <w:bottom w:val="single" w:sz="8" w:space="0" w:color="auto"/>
              <w:right w:val="single" w:sz="8" w:space="0" w:color="auto"/>
            </w:tcBorders>
            <w:shd w:val="clear" w:color="auto" w:fill="FFFFFF"/>
          </w:tcPr>
          <w:p w:rsidR="00C94038" w:rsidRPr="00E039A1" w:rsidRDefault="00C94038" w:rsidP="00C43CFA">
            <w:r w:rsidRPr="00E039A1">
              <w:t>18 – 34 years of age</w:t>
            </w:r>
          </w:p>
        </w:tc>
        <w:tc>
          <w:tcPr>
            <w:tcW w:w="1980" w:type="dxa"/>
            <w:tcBorders>
              <w:top w:val="nil"/>
              <w:left w:val="nil"/>
              <w:bottom w:val="single" w:sz="8" w:space="0" w:color="auto"/>
              <w:right w:val="single" w:sz="4" w:space="0" w:color="auto"/>
            </w:tcBorders>
            <w:shd w:val="clear" w:color="auto" w:fill="FFFFFF"/>
            <w:vAlign w:val="bottom"/>
          </w:tcPr>
          <w:p w:rsidR="00C94038" w:rsidRPr="00E039A1" w:rsidRDefault="004D0D26" w:rsidP="00C43CFA">
            <w:r w:rsidRPr="00E039A1">
              <w:t>400</w:t>
            </w:r>
          </w:p>
        </w:tc>
        <w:tc>
          <w:tcPr>
            <w:tcW w:w="1980" w:type="dxa"/>
            <w:tcBorders>
              <w:top w:val="nil"/>
              <w:left w:val="single" w:sz="4" w:space="0" w:color="auto"/>
              <w:bottom w:val="single" w:sz="8" w:space="0" w:color="auto"/>
              <w:right w:val="single" w:sz="8" w:space="0" w:color="auto"/>
            </w:tcBorders>
            <w:shd w:val="clear" w:color="auto" w:fill="FFFFFF"/>
            <w:vAlign w:val="bottom"/>
          </w:tcPr>
          <w:p w:rsidR="00C94038" w:rsidRPr="00E039A1" w:rsidRDefault="004D0D26" w:rsidP="00C43CFA">
            <w:r w:rsidRPr="00E039A1">
              <w:t>365</w:t>
            </w:r>
          </w:p>
        </w:tc>
        <w:tc>
          <w:tcPr>
            <w:tcW w:w="1890" w:type="dxa"/>
            <w:tcBorders>
              <w:top w:val="nil"/>
              <w:left w:val="single" w:sz="4" w:space="0" w:color="auto"/>
              <w:bottom w:val="single" w:sz="8" w:space="0" w:color="auto"/>
              <w:right w:val="single" w:sz="8" w:space="0" w:color="auto"/>
            </w:tcBorders>
            <w:shd w:val="clear" w:color="auto" w:fill="FFFFFF"/>
          </w:tcPr>
          <w:p w:rsidR="00C94038" w:rsidRPr="00E039A1" w:rsidRDefault="001830C5" w:rsidP="00C43CFA">
            <w:r w:rsidRPr="00E039A1">
              <w:t>183</w:t>
            </w:r>
          </w:p>
        </w:tc>
      </w:tr>
      <w:tr w:rsidR="00C94038" w:rsidRPr="00E039A1" w:rsidTr="004D0D26">
        <w:trPr>
          <w:trHeight w:val="315"/>
        </w:trPr>
        <w:tc>
          <w:tcPr>
            <w:tcW w:w="3255" w:type="dxa"/>
            <w:tcBorders>
              <w:top w:val="nil"/>
              <w:left w:val="single" w:sz="8" w:space="0" w:color="auto"/>
              <w:bottom w:val="single" w:sz="8" w:space="0" w:color="auto"/>
              <w:right w:val="single" w:sz="8" w:space="0" w:color="auto"/>
            </w:tcBorders>
            <w:shd w:val="clear" w:color="auto" w:fill="FFFFFF"/>
          </w:tcPr>
          <w:p w:rsidR="00C94038" w:rsidRPr="00E039A1" w:rsidRDefault="00C94038" w:rsidP="00C43CFA">
            <w:r w:rsidRPr="00E039A1">
              <w:t>35 years and older</w:t>
            </w:r>
          </w:p>
        </w:tc>
        <w:tc>
          <w:tcPr>
            <w:tcW w:w="1980" w:type="dxa"/>
            <w:tcBorders>
              <w:top w:val="nil"/>
              <w:left w:val="nil"/>
              <w:bottom w:val="single" w:sz="8" w:space="0" w:color="auto"/>
              <w:right w:val="single" w:sz="4" w:space="0" w:color="auto"/>
            </w:tcBorders>
            <w:shd w:val="clear" w:color="auto" w:fill="FFFFFF"/>
            <w:vAlign w:val="bottom"/>
          </w:tcPr>
          <w:p w:rsidR="00C94038" w:rsidRPr="00E039A1" w:rsidRDefault="004D0D26" w:rsidP="00C43CFA">
            <w:r w:rsidRPr="00E039A1">
              <w:t>500</w:t>
            </w:r>
          </w:p>
        </w:tc>
        <w:tc>
          <w:tcPr>
            <w:tcW w:w="1980" w:type="dxa"/>
            <w:tcBorders>
              <w:top w:val="nil"/>
              <w:left w:val="single" w:sz="4" w:space="0" w:color="auto"/>
              <w:bottom w:val="single" w:sz="8" w:space="0" w:color="auto"/>
              <w:right w:val="single" w:sz="8" w:space="0" w:color="auto"/>
            </w:tcBorders>
            <w:shd w:val="clear" w:color="auto" w:fill="FFFFFF"/>
            <w:vAlign w:val="bottom"/>
          </w:tcPr>
          <w:p w:rsidR="00C94038" w:rsidRPr="00E039A1" w:rsidRDefault="004D0D26" w:rsidP="004D0D26">
            <w:r w:rsidRPr="00E039A1">
              <w:t>455</w:t>
            </w:r>
          </w:p>
        </w:tc>
        <w:tc>
          <w:tcPr>
            <w:tcW w:w="1890" w:type="dxa"/>
            <w:tcBorders>
              <w:top w:val="nil"/>
              <w:left w:val="single" w:sz="4" w:space="0" w:color="auto"/>
              <w:bottom w:val="single" w:sz="8" w:space="0" w:color="auto"/>
              <w:right w:val="single" w:sz="8" w:space="0" w:color="auto"/>
            </w:tcBorders>
            <w:shd w:val="clear" w:color="auto" w:fill="FFFFFF"/>
          </w:tcPr>
          <w:p w:rsidR="00C94038" w:rsidRPr="00E039A1" w:rsidRDefault="001830C5" w:rsidP="001830C5">
            <w:r w:rsidRPr="00E039A1">
              <w:t>227</w:t>
            </w:r>
          </w:p>
        </w:tc>
      </w:tr>
    </w:tbl>
    <w:p w:rsidR="00E039A1" w:rsidRPr="00E039A1" w:rsidRDefault="001830C5" w:rsidP="00733E7F">
      <w:pPr>
        <w:rPr>
          <w:b/>
        </w:rPr>
      </w:pPr>
      <w:r w:rsidRPr="00E039A1">
        <w:t>* Based on experience from the pilot and other similar RDS studies, participation and recruiter rates tend not to differ across race and age. Therefore, the expected numbers of participants completing the screener, behavioral assessment, and recruiter debriefing are not expected to vary by race or age.</w:t>
      </w:r>
    </w:p>
    <w:p w:rsidR="002C61B3" w:rsidRPr="008742E1" w:rsidRDefault="002C61B3" w:rsidP="002C61B3">
      <w:pPr>
        <w:spacing w:before="120"/>
        <w:rPr>
          <w:b/>
        </w:rPr>
      </w:pPr>
      <w:r w:rsidRPr="008742E1">
        <w:rPr>
          <w:b/>
        </w:rPr>
        <w:lastRenderedPageBreak/>
        <w:t>2. Procedures for the Collection of Information</w:t>
      </w:r>
    </w:p>
    <w:p w:rsidR="003F661B" w:rsidRDefault="003F661B" w:rsidP="002C61B3">
      <w:pPr>
        <w:rPr>
          <w:u w:val="single"/>
        </w:rPr>
      </w:pPr>
    </w:p>
    <w:p w:rsidR="002C61B3" w:rsidRPr="008742E1" w:rsidRDefault="002C61B3" w:rsidP="002C61B3">
      <w:pPr>
        <w:rPr>
          <w:u w:val="single"/>
        </w:rPr>
      </w:pPr>
      <w:r w:rsidRPr="008742E1">
        <w:rPr>
          <w:u w:val="single"/>
        </w:rPr>
        <w:t>Main steps in data collection</w:t>
      </w:r>
    </w:p>
    <w:p w:rsidR="00733E7F" w:rsidRDefault="00733E7F" w:rsidP="002C61B3"/>
    <w:p w:rsidR="00193A39" w:rsidRDefault="00193A39" w:rsidP="002C61B3">
      <w:r w:rsidRPr="00193A39">
        <w:t>All eligibility screening and interviews will be conducted by trained project staff. Participation in the project is voluntary. Respondents may refuse to participate at all or in part. Respondents may refuse to answer questions or stop participation at any time without penalty. The approved Project Determination Form (</w:t>
      </w:r>
      <w:r w:rsidR="00B15C2D" w:rsidRPr="00B15C2D">
        <w:rPr>
          <w:b/>
        </w:rPr>
        <w:t xml:space="preserve">Attachment </w:t>
      </w:r>
      <w:r w:rsidR="00D11306">
        <w:rPr>
          <w:b/>
        </w:rPr>
        <w:t>8</w:t>
      </w:r>
      <w:r w:rsidRPr="00193A39">
        <w:t xml:space="preserve">) indicates that because CDC is not directly engaged with human subjects in connection with this project, the protocol will not be reviewed by CDC’s IRB.  Each participating health department will be required to obtain IRB approval prior to data collection.  </w:t>
      </w:r>
    </w:p>
    <w:p w:rsidR="00193A39" w:rsidRDefault="00193A39" w:rsidP="002C61B3"/>
    <w:p w:rsidR="002260C8" w:rsidRDefault="0001612A" w:rsidP="002C61B3">
      <w:r>
        <w:t xml:space="preserve"> Respondent Driven Sampling (RDS) procedures</w:t>
      </w:r>
      <w:r w:rsidR="006B2CE8">
        <w:t xml:space="preserve"> which are</w:t>
      </w:r>
      <w:r>
        <w:t xml:space="preserve"> </w:t>
      </w:r>
      <w:r w:rsidR="006B2CE8">
        <w:t xml:space="preserve">described in section B1 </w:t>
      </w:r>
      <w:r w:rsidR="00193A39">
        <w:t xml:space="preserve">will be used </w:t>
      </w:r>
      <w:r>
        <w:t xml:space="preserve">to recruit eligible male-to-female transgender persons </w:t>
      </w:r>
      <w:r w:rsidR="00FC0658">
        <w:t>for</w:t>
      </w:r>
      <w:r>
        <w:t xml:space="preserve"> </w:t>
      </w:r>
      <w:r w:rsidR="00193A39">
        <w:t>data collection</w:t>
      </w:r>
      <w:r>
        <w:t xml:space="preserve">. </w:t>
      </w:r>
      <w:r w:rsidR="002260C8">
        <w:t>P</w:t>
      </w:r>
      <w:r w:rsidR="002C61B3" w:rsidRPr="008742E1">
        <w:t>ersons who receive a coupon (</w:t>
      </w:r>
      <w:r w:rsidR="00B15C2D" w:rsidRPr="00B15C2D">
        <w:rPr>
          <w:b/>
        </w:rPr>
        <w:t>Attachment 1</w:t>
      </w:r>
      <w:r w:rsidR="00D11306">
        <w:rPr>
          <w:b/>
        </w:rPr>
        <w:t>1</w:t>
      </w:r>
      <w:r w:rsidR="008448C4">
        <w:t>)</w:t>
      </w:r>
      <w:r w:rsidR="002C61B3" w:rsidRPr="008742E1">
        <w:t xml:space="preserve"> to participate in THBS will be asked to make an appointment to </w:t>
      </w:r>
      <w:r w:rsidR="002260C8">
        <w:t>be screened for eligibility and if eligible, to complete the behavioral assessment, although they may also have the option to present without an appointment during certain hours</w:t>
      </w:r>
      <w:r w:rsidR="002C61B3" w:rsidRPr="008742E1">
        <w:t xml:space="preserve"> (determined locally). </w:t>
      </w:r>
    </w:p>
    <w:p w:rsidR="000979B1" w:rsidRDefault="002C61B3" w:rsidP="000979B1">
      <w:r w:rsidRPr="008742E1">
        <w:t xml:space="preserve">When a potential respondent </w:t>
      </w:r>
      <w:r w:rsidR="002260C8">
        <w:t>presents with a coupon at</w:t>
      </w:r>
      <w:r w:rsidRPr="008742E1">
        <w:t xml:space="preserve"> </w:t>
      </w:r>
      <w:r w:rsidR="002260C8">
        <w:t>a THBS</w:t>
      </w:r>
      <w:r w:rsidRPr="008742E1">
        <w:t xml:space="preserve"> field site, the coupon</w:t>
      </w:r>
      <w:r w:rsidRPr="00E50676">
        <w:t xml:space="preserve"> will be assessed to ensure</w:t>
      </w:r>
      <w:r w:rsidR="002260C8">
        <w:t xml:space="preserve"> that</w:t>
      </w:r>
      <w:r w:rsidRPr="00E50676">
        <w:t xml:space="preserve"> it is valid, using the Coupon Manager program described in Section A3.  </w:t>
      </w:r>
      <w:r w:rsidR="002260C8">
        <w:t>After</w:t>
      </w:r>
      <w:r w:rsidRPr="00E50676">
        <w:t xml:space="preserve"> the coupon is validated, </w:t>
      </w:r>
      <w:r w:rsidR="00CB3767">
        <w:t xml:space="preserve">a trained </w:t>
      </w:r>
      <w:r w:rsidRPr="00E50676">
        <w:t xml:space="preserve">interviewer will explain to the potential participant that </w:t>
      </w:r>
      <w:r w:rsidR="002260C8">
        <w:t>s</w:t>
      </w:r>
      <w:r w:rsidRPr="00E50676">
        <w:t xml:space="preserve">he </w:t>
      </w:r>
      <w:r w:rsidR="002260C8">
        <w:t>is</w:t>
      </w:r>
      <w:r w:rsidRPr="00E50676">
        <w:t xml:space="preserve"> being </w:t>
      </w:r>
      <w:r w:rsidR="002260C8">
        <w:t>invited</w:t>
      </w:r>
      <w:r w:rsidRPr="00E50676">
        <w:t xml:space="preserve"> to participate in a health survey, that </w:t>
      </w:r>
      <w:r w:rsidR="002260C8">
        <w:t>s</w:t>
      </w:r>
      <w:r w:rsidRPr="00E50676">
        <w:t xml:space="preserve">he will be screened for eligibility first, and that not all persons will be eligible. </w:t>
      </w:r>
      <w:r w:rsidR="008448C4">
        <w:t xml:space="preserve">The number on the valid coupon will become the survey ID used to link data from each of the data collection instruments. </w:t>
      </w:r>
      <w:r w:rsidRPr="00E50676">
        <w:t>All persons with valid coupon</w:t>
      </w:r>
      <w:r w:rsidR="00DB4FA6">
        <w:t>s</w:t>
      </w:r>
      <w:r w:rsidRPr="00E50676">
        <w:t xml:space="preserve"> will be administered the eligibility screener</w:t>
      </w:r>
      <w:r w:rsidR="00E95558">
        <w:t xml:space="preserve"> using </w:t>
      </w:r>
      <w:r w:rsidR="002260C8">
        <w:t xml:space="preserve">an electronic </w:t>
      </w:r>
      <w:r w:rsidR="00E95558">
        <w:t>interview</w:t>
      </w:r>
      <w:r w:rsidRPr="00E50676">
        <w:t xml:space="preserve"> </w:t>
      </w:r>
      <w:r w:rsidR="002260C8">
        <w:t xml:space="preserve">application on a handheld computer </w:t>
      </w:r>
      <w:r w:rsidRPr="00E50676">
        <w:t>(</w:t>
      </w:r>
      <w:r w:rsidR="002260C8">
        <w:t xml:space="preserve">screening questions are listed in </w:t>
      </w:r>
      <w:r w:rsidR="00B15C2D" w:rsidRPr="00B15C2D">
        <w:rPr>
          <w:b/>
        </w:rPr>
        <w:t>Attachment 3a</w:t>
      </w:r>
      <w:r w:rsidRPr="00E50676">
        <w:t xml:space="preserve">). </w:t>
      </w:r>
      <w:r w:rsidR="000979B1" w:rsidRPr="00FB25CD">
        <w:rPr>
          <w:bCs/>
        </w:rPr>
        <w:t>Persons who present to the field staff at the office without a valid coupon will not be allowed to participate in the behavioral assessment</w:t>
      </w:r>
      <w:r w:rsidR="000979B1">
        <w:rPr>
          <w:bCs/>
        </w:rPr>
        <w:t xml:space="preserve">. </w:t>
      </w:r>
      <w:r w:rsidR="000979B1">
        <w:t xml:space="preserve"> </w:t>
      </w:r>
    </w:p>
    <w:p w:rsidR="000979B1" w:rsidRDefault="000979B1" w:rsidP="002C61B3"/>
    <w:p w:rsidR="00FB25CD" w:rsidRDefault="002C61B3" w:rsidP="002C61B3">
      <w:pPr>
        <w:rPr>
          <w:bCs/>
        </w:rPr>
      </w:pPr>
      <w:r w:rsidRPr="00E50676">
        <w:t xml:space="preserve">If the person is not eligible, she will be thanked for </w:t>
      </w:r>
      <w:r w:rsidR="002260C8">
        <w:t>her</w:t>
      </w:r>
      <w:r w:rsidRPr="00E50676">
        <w:t xml:space="preserve"> time and interest in the project but will not be </w:t>
      </w:r>
      <w:r w:rsidR="002260C8">
        <w:t xml:space="preserve">asked to participate in </w:t>
      </w:r>
      <w:r w:rsidR="00E95558">
        <w:t xml:space="preserve">the </w:t>
      </w:r>
      <w:r w:rsidR="008448C4">
        <w:t xml:space="preserve">behavioral assessment </w:t>
      </w:r>
      <w:r w:rsidRPr="00C42007">
        <w:t xml:space="preserve">or to recruit others.  </w:t>
      </w:r>
      <w:r w:rsidR="002260C8">
        <w:t>T</w:t>
      </w:r>
      <w:r w:rsidRPr="00C42007">
        <w:rPr>
          <w:bCs/>
        </w:rPr>
        <w:t xml:space="preserve">he interviewer will obtain informed consent </w:t>
      </w:r>
      <w:r w:rsidR="002260C8">
        <w:rPr>
          <w:bCs/>
        </w:rPr>
        <w:t xml:space="preserve">from eligible persons </w:t>
      </w:r>
      <w:r w:rsidRPr="00C42007">
        <w:rPr>
          <w:bCs/>
        </w:rPr>
        <w:t>by reading the consent form and obtaining oral agreement to participate (</w:t>
      </w:r>
      <w:r w:rsidR="00B15C2D" w:rsidRPr="00B15C2D">
        <w:rPr>
          <w:b/>
          <w:bCs/>
        </w:rPr>
        <w:t xml:space="preserve">Attachment </w:t>
      </w:r>
      <w:r w:rsidR="00D11306">
        <w:rPr>
          <w:b/>
          <w:bCs/>
        </w:rPr>
        <w:t>7</w:t>
      </w:r>
      <w:r w:rsidRPr="00C42007">
        <w:rPr>
          <w:bCs/>
        </w:rPr>
        <w:t xml:space="preserve">). </w:t>
      </w:r>
      <w:r w:rsidR="00FB25CD" w:rsidRPr="00FB25CD">
        <w:rPr>
          <w:bCs/>
        </w:rPr>
        <w:t xml:space="preserve">During the consent process, </w:t>
      </w:r>
      <w:r w:rsidR="00FB25CD">
        <w:rPr>
          <w:bCs/>
        </w:rPr>
        <w:t xml:space="preserve">the behavioral assessment and HIV testing components are </w:t>
      </w:r>
      <w:r w:rsidR="00FB25CD" w:rsidRPr="00FB25CD">
        <w:rPr>
          <w:bCs/>
        </w:rPr>
        <w:t xml:space="preserve">described and the person must indicate which </w:t>
      </w:r>
      <w:r w:rsidR="00FB25CD">
        <w:rPr>
          <w:bCs/>
        </w:rPr>
        <w:t xml:space="preserve">of these </w:t>
      </w:r>
      <w:r w:rsidR="00FB25CD" w:rsidRPr="00FB25CD">
        <w:rPr>
          <w:bCs/>
        </w:rPr>
        <w:t xml:space="preserve">components, if any, she agrees to participate in. Informed consent will be obtained by having the interviewer read the consent script and indicating on the handheld computer whether the person being recruited provided verbal consent. </w:t>
      </w:r>
    </w:p>
    <w:p w:rsidR="00FB25CD" w:rsidRDefault="00FB25CD" w:rsidP="002C61B3">
      <w:pPr>
        <w:rPr>
          <w:bCs/>
        </w:rPr>
      </w:pPr>
    </w:p>
    <w:p w:rsidR="002C61B3" w:rsidRPr="00E50676" w:rsidRDefault="002C61B3" w:rsidP="002C61B3">
      <w:pPr>
        <w:rPr>
          <w:bCs/>
        </w:rPr>
      </w:pPr>
      <w:r w:rsidRPr="00C42007">
        <w:rPr>
          <w:bCs/>
        </w:rPr>
        <w:t>After obtaining consent, the interviewer</w:t>
      </w:r>
      <w:r w:rsidR="00212CD7" w:rsidRPr="00C42007">
        <w:rPr>
          <w:bCs/>
        </w:rPr>
        <w:t xml:space="preserve"> will </w:t>
      </w:r>
      <w:r w:rsidR="002260C8">
        <w:rPr>
          <w:bCs/>
        </w:rPr>
        <w:t>administer the</w:t>
      </w:r>
      <w:r w:rsidR="00212CD7" w:rsidRPr="00C42007">
        <w:rPr>
          <w:bCs/>
        </w:rPr>
        <w:t xml:space="preserve"> </w:t>
      </w:r>
      <w:r w:rsidR="002260C8">
        <w:rPr>
          <w:bCs/>
        </w:rPr>
        <w:t>behavioral assessment (</w:t>
      </w:r>
      <w:r w:rsidR="00B15C2D" w:rsidRPr="00B15C2D">
        <w:rPr>
          <w:b/>
          <w:bCs/>
        </w:rPr>
        <w:t>Attachment 3b</w:t>
      </w:r>
      <w:r w:rsidR="002260C8">
        <w:rPr>
          <w:bCs/>
        </w:rPr>
        <w:t>),</w:t>
      </w:r>
      <w:r w:rsidR="00212CD7" w:rsidRPr="00C42007">
        <w:rPr>
          <w:bCs/>
        </w:rPr>
        <w:t xml:space="preserve"> </w:t>
      </w:r>
      <w:r w:rsidR="002260C8">
        <w:rPr>
          <w:bCs/>
        </w:rPr>
        <w:t>again using an electronic application on a handheld computer. For</w:t>
      </w:r>
      <w:r w:rsidR="00225308" w:rsidRPr="00C42007">
        <w:rPr>
          <w:bCs/>
        </w:rPr>
        <w:t xml:space="preserve"> </w:t>
      </w:r>
      <w:r w:rsidR="002260C8">
        <w:rPr>
          <w:bCs/>
        </w:rPr>
        <w:t>the previously approv</w:t>
      </w:r>
      <w:r w:rsidR="005E5443">
        <w:rPr>
          <w:bCs/>
        </w:rPr>
        <w:t>ed</w:t>
      </w:r>
      <w:r w:rsidR="002260C8">
        <w:rPr>
          <w:bCs/>
        </w:rPr>
        <w:t xml:space="preserve"> pilot data collection</w:t>
      </w:r>
      <w:r w:rsidR="00225308" w:rsidRPr="00C42007">
        <w:rPr>
          <w:bCs/>
        </w:rPr>
        <w:t xml:space="preserve">, the interview was only available in English, but </w:t>
      </w:r>
      <w:r w:rsidR="008E19D6">
        <w:rPr>
          <w:bCs/>
        </w:rPr>
        <w:t>for this information collection request,</w:t>
      </w:r>
      <w:r w:rsidR="00225308" w:rsidRPr="00C42007">
        <w:rPr>
          <w:bCs/>
        </w:rPr>
        <w:t xml:space="preserve"> the interview will be available in both English and Spanish</w:t>
      </w:r>
      <w:proofErr w:type="gramStart"/>
      <w:r w:rsidR="00225308" w:rsidRPr="00C42007">
        <w:rPr>
          <w:bCs/>
        </w:rPr>
        <w:t>.</w:t>
      </w:r>
      <w:r w:rsidR="00B0729B">
        <w:rPr>
          <w:bCs/>
        </w:rPr>
        <w:t>(</w:t>
      </w:r>
      <w:proofErr w:type="gramEnd"/>
      <w:r w:rsidR="00B0729B" w:rsidRPr="00B0729B">
        <w:rPr>
          <w:b/>
          <w:bCs/>
        </w:rPr>
        <w:t>Attachment 3</w:t>
      </w:r>
      <w:r w:rsidR="00EC76CB">
        <w:rPr>
          <w:b/>
          <w:bCs/>
        </w:rPr>
        <w:t>e</w:t>
      </w:r>
      <w:r w:rsidR="00B0729B">
        <w:rPr>
          <w:bCs/>
        </w:rPr>
        <w:t>)</w:t>
      </w:r>
      <w:r w:rsidR="00225308">
        <w:rPr>
          <w:bCs/>
        </w:rPr>
        <w:t xml:space="preserve"> </w:t>
      </w:r>
      <w:r w:rsidRPr="00E50676">
        <w:rPr>
          <w:bCs/>
        </w:rPr>
        <w:t xml:space="preserve"> </w:t>
      </w:r>
    </w:p>
    <w:p w:rsidR="00FB25CD" w:rsidRPr="00E50676" w:rsidRDefault="00FB25CD" w:rsidP="002C61B3">
      <w:r>
        <w:t>HIV testing was not conducted in the previous</w:t>
      </w:r>
      <w:r w:rsidR="00A10CBE">
        <w:t>ly</w:t>
      </w:r>
      <w:r>
        <w:t xml:space="preserve"> approved pilot data collection</w:t>
      </w:r>
      <w:r w:rsidR="00E05B89">
        <w:t xml:space="preserve">; testing was </w:t>
      </w:r>
      <w:r w:rsidR="000979B1">
        <w:t>added to this information collection request. Specimen</w:t>
      </w:r>
      <w:r w:rsidR="00A10CBE">
        <w:t>s</w:t>
      </w:r>
      <w:r w:rsidR="000979B1">
        <w:t xml:space="preserve"> for </w:t>
      </w:r>
      <w:r w:rsidR="000979B1" w:rsidRPr="00FB25CD">
        <w:rPr>
          <w:bCs/>
        </w:rPr>
        <w:t xml:space="preserve">HIV </w:t>
      </w:r>
      <w:r w:rsidR="000979B1">
        <w:rPr>
          <w:bCs/>
        </w:rPr>
        <w:t>testing wi</w:t>
      </w:r>
      <w:r w:rsidR="000979B1" w:rsidRPr="00FB25CD">
        <w:rPr>
          <w:bCs/>
        </w:rPr>
        <w:t xml:space="preserve">ll be </w:t>
      </w:r>
      <w:r w:rsidR="000979B1">
        <w:rPr>
          <w:bCs/>
        </w:rPr>
        <w:t xml:space="preserve">collected from persons </w:t>
      </w:r>
      <w:r w:rsidR="000979B1" w:rsidRPr="00FB25CD">
        <w:rPr>
          <w:bCs/>
        </w:rPr>
        <w:t>who consent</w:t>
      </w:r>
      <w:r w:rsidR="000979B1">
        <w:rPr>
          <w:bCs/>
        </w:rPr>
        <w:t xml:space="preserve"> to testing</w:t>
      </w:r>
      <w:r w:rsidR="00E05B89">
        <w:rPr>
          <w:bCs/>
        </w:rPr>
        <w:t xml:space="preserve">. </w:t>
      </w:r>
      <w:r w:rsidR="000979B1" w:rsidRPr="00FB25CD">
        <w:rPr>
          <w:bCs/>
        </w:rPr>
        <w:t xml:space="preserve">Persons recruited may elect to participate in the behavioral assessment and not to participate in HIV testing. Persons who refuse the behavioral assessment will not be offered HIV testing. </w:t>
      </w:r>
    </w:p>
    <w:p w:rsidR="00AB5D3D" w:rsidRDefault="002C61B3" w:rsidP="00DB4FA6">
      <w:r w:rsidRPr="00E50676">
        <w:lastRenderedPageBreak/>
        <w:t xml:space="preserve">After the THBS </w:t>
      </w:r>
      <w:r w:rsidR="008448C4">
        <w:t xml:space="preserve">behavioral assessment </w:t>
      </w:r>
      <w:r w:rsidRPr="00E50676">
        <w:t xml:space="preserve">is completed, the </w:t>
      </w:r>
      <w:r w:rsidRPr="00BD3594">
        <w:t xml:space="preserve">interviewer </w:t>
      </w:r>
      <w:r w:rsidRPr="00C42007">
        <w:t xml:space="preserve">will ask the participant if she would be willing to recruit other participants for a small </w:t>
      </w:r>
      <w:r w:rsidR="00B27452">
        <w:t>token of appreciation</w:t>
      </w:r>
      <w:r w:rsidRPr="00C42007">
        <w:t>. After a brief training on the recruitment process (</w:t>
      </w:r>
      <w:r w:rsidR="00B15C2D" w:rsidRPr="00B15C2D">
        <w:rPr>
          <w:b/>
        </w:rPr>
        <w:t>Attachment 1</w:t>
      </w:r>
      <w:r w:rsidR="00D11306">
        <w:rPr>
          <w:b/>
        </w:rPr>
        <w:t>2</w:t>
      </w:r>
      <w:r w:rsidRPr="00C42007">
        <w:t xml:space="preserve">), those who agree to recruit their peers will be given </w:t>
      </w:r>
      <w:r w:rsidR="00212CD7" w:rsidRPr="00C42007">
        <w:t xml:space="preserve">up to five </w:t>
      </w:r>
      <w:r w:rsidRPr="00C42007">
        <w:t>coded, non-replicable coupons (</w:t>
      </w:r>
      <w:r w:rsidR="00B15C2D" w:rsidRPr="00B15C2D">
        <w:rPr>
          <w:b/>
        </w:rPr>
        <w:t>Attachment 1</w:t>
      </w:r>
      <w:r w:rsidR="00D11306">
        <w:rPr>
          <w:b/>
        </w:rPr>
        <w:t>1</w:t>
      </w:r>
      <w:r w:rsidRPr="00C42007">
        <w:t xml:space="preserve">). The participant will be told to give </w:t>
      </w:r>
      <w:r w:rsidR="008448C4">
        <w:t xml:space="preserve">each </w:t>
      </w:r>
      <w:r w:rsidRPr="00C42007">
        <w:t xml:space="preserve">coupon to </w:t>
      </w:r>
      <w:r w:rsidR="008448C4">
        <w:t xml:space="preserve">a </w:t>
      </w:r>
      <w:r w:rsidRPr="00C42007">
        <w:t xml:space="preserve">peer meeting the eligibility criteria. Each coupon will have the local THBS project name and location(s) printed on it with a brief explanation of the project. The </w:t>
      </w:r>
      <w:r w:rsidR="008448C4">
        <w:t xml:space="preserve">number </w:t>
      </w:r>
      <w:r w:rsidR="005B39F8">
        <w:t xml:space="preserve">on each </w:t>
      </w:r>
      <w:r w:rsidRPr="00C42007">
        <w:t xml:space="preserve">coupon will be linked to 1) the Survey ID of the participant </w:t>
      </w:r>
      <w:r w:rsidR="005B39F8">
        <w:t xml:space="preserve">given the </w:t>
      </w:r>
      <w:r w:rsidRPr="00C42007">
        <w:t xml:space="preserve">coupon </w:t>
      </w:r>
      <w:r w:rsidR="005B39F8">
        <w:t>to her recruit peers</w:t>
      </w:r>
      <w:r w:rsidRPr="00C42007">
        <w:t xml:space="preserve"> (i.e., the </w:t>
      </w:r>
      <w:r w:rsidR="005B39F8">
        <w:t xml:space="preserve">peer </w:t>
      </w:r>
      <w:r w:rsidRPr="00C42007">
        <w:t xml:space="preserve">recruiter) and 2) the Survey ID of </w:t>
      </w:r>
      <w:r w:rsidR="005B39F8">
        <w:t xml:space="preserve">each </w:t>
      </w:r>
      <w:r w:rsidRPr="00C42007">
        <w:t xml:space="preserve">participant returning the coupon (i.e., </w:t>
      </w:r>
      <w:r w:rsidR="005B39F8">
        <w:t xml:space="preserve">each </w:t>
      </w:r>
      <w:r w:rsidRPr="00C42007">
        <w:t xml:space="preserve">recruit). </w:t>
      </w:r>
      <w:r w:rsidR="005B39F8">
        <w:t>T</w:t>
      </w:r>
      <w:r w:rsidR="005B39F8" w:rsidRPr="00C42007">
        <w:t xml:space="preserve">he participant </w:t>
      </w:r>
      <w:r w:rsidR="008E19D6">
        <w:t>will be</w:t>
      </w:r>
      <w:r w:rsidR="005B39F8" w:rsidRPr="00C42007">
        <w:t xml:space="preserve"> </w:t>
      </w:r>
      <w:r w:rsidR="005B39F8">
        <w:t xml:space="preserve">asked a series of questions to create a unique recruiter ID (see section A.1 for specific questions) and the field staff record any physical marks or characteristics </w:t>
      </w:r>
      <w:r w:rsidR="008E19D6">
        <w:t>of</w:t>
      </w:r>
      <w:r w:rsidR="005B39F8">
        <w:t xml:space="preserve"> the participant.  These data help the local field staff identify the person as the peer recruiter and locate their record in the coupon database. This information as well as the number of e</w:t>
      </w:r>
      <w:r w:rsidR="008448C4">
        <w:t xml:space="preserve">ach </w:t>
      </w:r>
      <w:r w:rsidRPr="00C42007">
        <w:t xml:space="preserve">coupon </w:t>
      </w:r>
      <w:r w:rsidR="008448C4">
        <w:t xml:space="preserve">given to </w:t>
      </w:r>
      <w:r w:rsidR="005B39F8">
        <w:t xml:space="preserve">the </w:t>
      </w:r>
      <w:r w:rsidR="008448C4">
        <w:t xml:space="preserve">peer recruiter </w:t>
      </w:r>
      <w:r w:rsidRPr="00C42007">
        <w:t xml:space="preserve">is entered and stored in the </w:t>
      </w:r>
      <w:r w:rsidR="005B39F8">
        <w:t>c</w:t>
      </w:r>
      <w:r w:rsidRPr="00C42007">
        <w:t xml:space="preserve">oupon </w:t>
      </w:r>
      <w:r w:rsidR="005B39F8">
        <w:t>m</w:t>
      </w:r>
      <w:r w:rsidRPr="00C42007">
        <w:t>anager program. After receiving coupons and recruiter training,</w:t>
      </w:r>
      <w:r w:rsidR="005B39F8">
        <w:t xml:space="preserve"> the participant is </w:t>
      </w:r>
      <w:r w:rsidR="00216AAF">
        <w:t>given a token of appreciation</w:t>
      </w:r>
      <w:r w:rsidR="00216AAF" w:rsidRPr="00C42007">
        <w:t xml:space="preserve"> </w:t>
      </w:r>
      <w:r w:rsidR="008448C4">
        <w:t>for participating in the survey</w:t>
      </w:r>
      <w:r w:rsidRPr="00C42007">
        <w:t xml:space="preserve"> and given instructions about returning for </w:t>
      </w:r>
      <w:r w:rsidR="005B39F8">
        <w:t xml:space="preserve">her </w:t>
      </w:r>
      <w:r w:rsidRPr="00C42007">
        <w:t xml:space="preserve">recruitment </w:t>
      </w:r>
      <w:r w:rsidR="00216AAF">
        <w:t>tokens of appreciation</w:t>
      </w:r>
      <w:r w:rsidRPr="00C42007">
        <w:t xml:space="preserve">. </w:t>
      </w:r>
      <w:r w:rsidR="00AB5D3D">
        <w:t xml:space="preserve">In the coupon database, the field staff will also indicate in the record of the participant’s recruiter that the coupon was successfully returned by an eligible peer.  This notation is important so that the participant’s recruiter can receive </w:t>
      </w:r>
      <w:r w:rsidR="008E19D6">
        <w:t xml:space="preserve">a </w:t>
      </w:r>
      <w:r w:rsidR="00216AAF">
        <w:t xml:space="preserve">token of appreciation </w:t>
      </w:r>
      <w:r w:rsidR="00AB5D3D">
        <w:t xml:space="preserve">for recruiting the participant into the survey.   </w:t>
      </w:r>
    </w:p>
    <w:p w:rsidR="00AB5D3D" w:rsidRDefault="00AB5D3D" w:rsidP="00DB4FA6"/>
    <w:p w:rsidR="00DB4FA6" w:rsidRDefault="00212CD7" w:rsidP="00DB4FA6">
      <w:pPr>
        <w:rPr>
          <w:u w:val="single"/>
        </w:rPr>
      </w:pPr>
      <w:r w:rsidRPr="00C42007">
        <w:t xml:space="preserve">When </w:t>
      </w:r>
      <w:r w:rsidR="00AB5D3D">
        <w:t>a</w:t>
      </w:r>
      <w:r w:rsidRPr="00C42007">
        <w:t xml:space="preserve"> </w:t>
      </w:r>
      <w:r w:rsidR="00AB5D3D">
        <w:t xml:space="preserve">participant </w:t>
      </w:r>
      <w:r w:rsidRPr="00C42007">
        <w:t xml:space="preserve">returns for </w:t>
      </w:r>
      <w:r w:rsidR="005B39F8">
        <w:t xml:space="preserve">her </w:t>
      </w:r>
      <w:r w:rsidR="003E1182">
        <w:t>token of appreciation</w:t>
      </w:r>
      <w:r w:rsidRPr="00C42007">
        <w:t xml:space="preserve">, she will be asked </w:t>
      </w:r>
      <w:r w:rsidR="005B39F8">
        <w:t xml:space="preserve">questions to determine </w:t>
      </w:r>
      <w:r w:rsidR="00225308" w:rsidRPr="00C42007">
        <w:t xml:space="preserve">how many coupons she distributed, </w:t>
      </w:r>
      <w:r w:rsidR="00C42007">
        <w:t>if anyone re</w:t>
      </w:r>
      <w:r w:rsidR="00225308" w:rsidRPr="00C42007">
        <w:t>fused the coupons</w:t>
      </w:r>
      <w:r w:rsidR="00C42007">
        <w:t xml:space="preserve">, the race or ethnicity </w:t>
      </w:r>
      <w:r w:rsidR="00CB3767">
        <w:t>of the persons refusing coupons,</w:t>
      </w:r>
      <w:r w:rsidR="00C42007">
        <w:t xml:space="preserve"> and the </w:t>
      </w:r>
      <w:r w:rsidR="005B39F8">
        <w:t xml:space="preserve">reasons </w:t>
      </w:r>
      <w:r w:rsidR="008E19D6">
        <w:t xml:space="preserve">for </w:t>
      </w:r>
      <w:r w:rsidR="005B39F8">
        <w:t xml:space="preserve"> </w:t>
      </w:r>
      <w:r w:rsidR="00CB3767">
        <w:t>refus</w:t>
      </w:r>
      <w:r w:rsidR="008E19D6">
        <w:t>al</w:t>
      </w:r>
      <w:r w:rsidR="00C42007">
        <w:t xml:space="preserve"> </w:t>
      </w:r>
      <w:r w:rsidR="00BD3594" w:rsidRPr="00C42007">
        <w:t>(</w:t>
      </w:r>
      <w:r w:rsidR="00B15C2D" w:rsidRPr="00B15C2D">
        <w:rPr>
          <w:b/>
        </w:rPr>
        <w:t>Attachment 3c</w:t>
      </w:r>
      <w:r w:rsidR="00BD3594" w:rsidRPr="00C42007">
        <w:t xml:space="preserve">). </w:t>
      </w:r>
      <w:r w:rsidR="005B39F8">
        <w:t xml:space="preserve">This information will be stored in a </w:t>
      </w:r>
      <w:r w:rsidR="008E19D6">
        <w:t>spreadsheet</w:t>
      </w:r>
      <w:r w:rsidR="003E1182">
        <w:t xml:space="preserve"> </w:t>
      </w:r>
      <w:r w:rsidR="008E19D6">
        <w:t xml:space="preserve">kept separate from, but </w:t>
      </w:r>
      <w:r w:rsidR="005B39F8">
        <w:t xml:space="preserve">linked to the eligibility screener and behavioral assessment data by the survey ID. </w:t>
      </w:r>
    </w:p>
    <w:p w:rsidR="00AB5D3D" w:rsidRPr="00733E7F" w:rsidRDefault="00AB5D3D" w:rsidP="00DB4FA6"/>
    <w:p w:rsidR="00AB5D3D" w:rsidRPr="00733E7F" w:rsidRDefault="00AF3723" w:rsidP="00C97CBA">
      <w:r w:rsidRPr="00733E7F">
        <w:t xml:space="preserve">THBS data will not be collected any more frequently than every 3 years, </w:t>
      </w:r>
      <w:r w:rsidR="006B2CE8" w:rsidRPr="00733E7F">
        <w:t xml:space="preserve"> </w:t>
      </w:r>
      <w:r w:rsidR="000728A0" w:rsidRPr="00733E7F">
        <w:t xml:space="preserve">because </w:t>
      </w:r>
      <w:r w:rsidRPr="00733E7F">
        <w:t>NHBS grantees will be funded for THBS and THBS must be</w:t>
      </w:r>
      <w:r w:rsidR="000728A0" w:rsidRPr="00733E7F">
        <w:t xml:space="preserve"> coordinated with NHBS data collection (OMB 0920-0770 exp 03/31/2011)</w:t>
      </w:r>
      <w:r w:rsidR="003E1182">
        <w:t>.</w:t>
      </w:r>
      <w:r w:rsidR="000728A0" w:rsidRPr="00733E7F">
        <w:t xml:space="preserve">  NHBS data are collected </w:t>
      </w:r>
      <w:r w:rsidRPr="00733E7F">
        <w:t xml:space="preserve">for six months </w:t>
      </w:r>
      <w:r w:rsidR="000728A0" w:rsidRPr="00733E7F">
        <w:t>in sequential annual cycles</w:t>
      </w:r>
      <w:r w:rsidR="00733E7F">
        <w:t xml:space="preserve"> </w:t>
      </w:r>
      <w:r w:rsidR="000728A0" w:rsidRPr="00733E7F">
        <w:t xml:space="preserve">from three populations at increased risk for HIV infection: </w:t>
      </w:r>
      <w:r w:rsidRPr="00733E7F">
        <w:t>m</w:t>
      </w:r>
      <w:r w:rsidR="000728A0" w:rsidRPr="00733E7F">
        <w:t xml:space="preserve">en who have sex with men; injection drug users; and heterosexuals at increased risk for infection. NHBS data collection in </w:t>
      </w:r>
      <w:r w:rsidR="00A10CBE" w:rsidRPr="00733E7F">
        <w:t xml:space="preserve">each of </w:t>
      </w:r>
      <w:r w:rsidR="000728A0" w:rsidRPr="00733E7F">
        <w:t>the</w:t>
      </w:r>
      <w:r w:rsidR="00C97CBA" w:rsidRPr="00733E7F">
        <w:t>se</w:t>
      </w:r>
      <w:r w:rsidR="000728A0" w:rsidRPr="00733E7F">
        <w:t xml:space="preserve"> three populations </w:t>
      </w:r>
      <w:r w:rsidR="00C97CBA" w:rsidRPr="00733E7F">
        <w:t>is</w:t>
      </w:r>
      <w:r w:rsidR="000728A0" w:rsidRPr="00733E7F">
        <w:t xml:space="preserve"> completed every three years. </w:t>
      </w:r>
      <w:r w:rsidR="00A10CBE" w:rsidRPr="00733E7F">
        <w:t xml:space="preserve"> Collection of data from transgender persons</w:t>
      </w:r>
      <w:r w:rsidRPr="00733E7F">
        <w:t xml:space="preserve"> for THBS</w:t>
      </w:r>
      <w:r w:rsidR="00A10CBE" w:rsidRPr="00733E7F">
        <w:t xml:space="preserve"> will </w:t>
      </w:r>
      <w:r w:rsidRPr="00733E7F">
        <w:t>take place during one of the NHBS cycles, after active data collection and before the next annual cycle begins.</w:t>
      </w:r>
    </w:p>
    <w:p w:rsidR="00C97CBA" w:rsidRDefault="00C97CBA" w:rsidP="00DB4FA6">
      <w:pPr>
        <w:rPr>
          <w:u w:val="single"/>
        </w:rPr>
      </w:pPr>
    </w:p>
    <w:p w:rsidR="002C61B3" w:rsidRPr="00297EDF" w:rsidRDefault="002C61B3" w:rsidP="002C61B3">
      <w:pPr>
        <w:rPr>
          <w:u w:val="single"/>
        </w:rPr>
      </w:pPr>
      <w:r w:rsidRPr="00297EDF">
        <w:rPr>
          <w:u w:val="single"/>
        </w:rPr>
        <w:t>Quality Control</w:t>
      </w:r>
    </w:p>
    <w:p w:rsidR="002C61B3" w:rsidRPr="00297EDF" w:rsidRDefault="002C61B3" w:rsidP="002C61B3"/>
    <w:p w:rsidR="008E19D6" w:rsidRPr="00297EDF" w:rsidRDefault="008E19D6" w:rsidP="008E19D6">
      <w:r w:rsidRPr="00297EDF">
        <w:t>Computer-assisted interviewing improves data quality in several ways:</w:t>
      </w:r>
    </w:p>
    <w:p w:rsidR="008E19D6" w:rsidRPr="00297EDF" w:rsidRDefault="008E19D6" w:rsidP="008E19D6"/>
    <w:p w:rsidR="008E19D6" w:rsidRPr="00297EDF" w:rsidRDefault="008E19D6" w:rsidP="008E19D6">
      <w:pPr>
        <w:numPr>
          <w:ilvl w:val="0"/>
          <w:numId w:val="35"/>
        </w:numPr>
      </w:pPr>
      <w:r w:rsidRPr="00297EDF">
        <w:t>Interviewer errors are reduced because interviewers do not have to follow complex routing instructions; the computer does it for them.</w:t>
      </w:r>
    </w:p>
    <w:p w:rsidR="008E19D6" w:rsidRPr="00297EDF" w:rsidRDefault="008E19D6" w:rsidP="008E19D6">
      <w:pPr>
        <w:numPr>
          <w:ilvl w:val="0"/>
          <w:numId w:val="35"/>
        </w:numPr>
      </w:pPr>
      <w:r w:rsidRPr="00297EDF">
        <w:t>Respondent errors are also reduced. Consistency checks are programmed into the questionnaire so that inconsistent answers or out</w:t>
      </w:r>
      <w:r>
        <w:t>-</w:t>
      </w:r>
      <w:r w:rsidRPr="00297EDF">
        <w:t>of</w:t>
      </w:r>
      <w:r>
        <w:t>-</w:t>
      </w:r>
      <w:r w:rsidRPr="00297EDF">
        <w:t xml:space="preserve">range values can be corrected or explained while the interview is in progress. </w:t>
      </w:r>
    </w:p>
    <w:p w:rsidR="008E19D6" w:rsidRPr="00297EDF" w:rsidRDefault="008E19D6" w:rsidP="008E19D6">
      <w:pPr>
        <w:numPr>
          <w:ilvl w:val="0"/>
          <w:numId w:val="35"/>
        </w:numPr>
      </w:pPr>
      <w:r w:rsidRPr="00297EDF">
        <w:lastRenderedPageBreak/>
        <w:t xml:space="preserve">Use of computer-assisted interviewing also reduces </w:t>
      </w:r>
      <w:r>
        <w:t xml:space="preserve">the need to </w:t>
      </w:r>
      <w:r w:rsidR="00C97CBA">
        <w:t>enter</w:t>
      </w:r>
      <w:r>
        <w:t xml:space="preserve"> data post data collection</w:t>
      </w:r>
      <w:r w:rsidRPr="00297EDF">
        <w:t xml:space="preserve">, which makes it possible to prepare the data for analysis faster and more accurately. </w:t>
      </w:r>
    </w:p>
    <w:p w:rsidR="008E19D6" w:rsidRPr="00297EDF" w:rsidRDefault="008E19D6" w:rsidP="008E19D6"/>
    <w:p w:rsidR="002C61B3" w:rsidRPr="00297EDF" w:rsidRDefault="008E19D6" w:rsidP="002C61B3">
      <w:r>
        <w:t>In addition, d</w:t>
      </w:r>
      <w:r w:rsidR="002C61B3" w:rsidRPr="00297EDF">
        <w:t xml:space="preserve">ata quality is ensured </w:t>
      </w:r>
      <w:r w:rsidR="006E47E3">
        <w:t>through</w:t>
      </w:r>
      <w:r w:rsidR="002C61B3" w:rsidRPr="00297EDF">
        <w:t>, interviewer training and monitoring</w:t>
      </w:r>
      <w:r w:rsidR="006E47E3">
        <w:t xml:space="preserve"> (including</w:t>
      </w:r>
      <w:r w:rsidR="002C61B3" w:rsidRPr="00297EDF">
        <w:t xml:space="preserve"> </w:t>
      </w:r>
      <w:r>
        <w:t>observation of interviews</w:t>
      </w:r>
      <w:r w:rsidR="006E47E3">
        <w:t>)</w:t>
      </w:r>
      <w:r>
        <w:t xml:space="preserve">, </w:t>
      </w:r>
      <w:r w:rsidR="002C61B3" w:rsidRPr="00297EDF">
        <w:t xml:space="preserve">and data editing. A multi-day training of local field staff will occur prior to data collection. This training will cover general interviewing skills, the sampling and recruitment protocol, and a question-by-question review of the survey to ensure </w:t>
      </w:r>
      <w:r>
        <w:t xml:space="preserve">that </w:t>
      </w:r>
      <w:r w:rsidR="002C61B3" w:rsidRPr="00297EDF">
        <w:t>interviewers understand the purpose of each question and how the interviewer-administered eligibility screener</w:t>
      </w:r>
      <w:r w:rsidR="00283497" w:rsidRPr="00297EDF">
        <w:t xml:space="preserve">, </w:t>
      </w:r>
      <w:r w:rsidR="008448C4">
        <w:t>behavioral assessment questionnaire</w:t>
      </w:r>
      <w:r w:rsidR="00283497" w:rsidRPr="00297EDF">
        <w:t xml:space="preserve">, and </w:t>
      </w:r>
      <w:r w:rsidR="00AB5D3D">
        <w:t>recruiter debriefing questions</w:t>
      </w:r>
      <w:r w:rsidR="00283497" w:rsidRPr="00297EDF">
        <w:t xml:space="preserve"> sh</w:t>
      </w:r>
      <w:r w:rsidR="002C61B3" w:rsidRPr="00297EDF">
        <w:t xml:space="preserve">ould be read and </w:t>
      </w:r>
      <w:r>
        <w:t>re</w:t>
      </w:r>
      <w:r w:rsidR="002C61B3" w:rsidRPr="00297EDF">
        <w:t>co</w:t>
      </w:r>
      <w:r>
        <w:t>r</w:t>
      </w:r>
      <w:r w:rsidR="002C61B3" w:rsidRPr="00297EDF">
        <w:t xml:space="preserve">ded in the computer. </w:t>
      </w:r>
      <w:r>
        <w:t>During the training, i</w:t>
      </w:r>
      <w:r w:rsidR="002C61B3" w:rsidRPr="00297EDF">
        <w:t>nterviewers will have opportunities to practice administering the eligibility screener</w:t>
      </w:r>
      <w:r w:rsidR="00283497" w:rsidRPr="00297EDF">
        <w:t xml:space="preserve">, </w:t>
      </w:r>
      <w:r w:rsidR="008448C4">
        <w:t>behavioral assessment questionnaire</w:t>
      </w:r>
      <w:r w:rsidR="00283497" w:rsidRPr="00297EDF">
        <w:t xml:space="preserve">, and recruiter </w:t>
      </w:r>
      <w:r w:rsidR="00AB5D3D">
        <w:t xml:space="preserve">debriefing </w:t>
      </w:r>
      <w:r w:rsidR="00283497" w:rsidRPr="00297EDF">
        <w:t>questions</w:t>
      </w:r>
      <w:r w:rsidR="002C61B3" w:rsidRPr="00297EDF">
        <w:t xml:space="preserve">. The training will also address interviewer integrity, underscoring the importance of collecting quality data and the consequences of inappropriate behaviors, including falsification of data. </w:t>
      </w:r>
    </w:p>
    <w:p w:rsidR="002C61B3" w:rsidRPr="00297EDF" w:rsidRDefault="002C61B3" w:rsidP="002C61B3"/>
    <w:p w:rsidR="002C61B3" w:rsidRPr="00297EDF" w:rsidRDefault="002C61B3" w:rsidP="002C61B3">
      <w:r w:rsidRPr="00297EDF">
        <w:t>During the data collection period, field staff will be monitored by their supervisor or other management staff. Approximately 10% of each interviewer’s eligibility screening</w:t>
      </w:r>
      <w:r w:rsidR="00283497" w:rsidRPr="00297EDF">
        <w:t xml:space="preserve"> and </w:t>
      </w:r>
      <w:r w:rsidR="008448C4">
        <w:t xml:space="preserve">behavioral assessment </w:t>
      </w:r>
      <w:r w:rsidR="008E19D6">
        <w:t>interviews</w:t>
      </w:r>
      <w:r w:rsidR="00283497" w:rsidRPr="00297EDF">
        <w:t xml:space="preserve"> </w:t>
      </w:r>
      <w:r w:rsidRPr="00297EDF">
        <w:t xml:space="preserve">will be </w:t>
      </w:r>
      <w:r w:rsidR="006E47E3">
        <w:t>observed</w:t>
      </w:r>
      <w:r w:rsidRPr="00297EDF">
        <w:t xml:space="preserve">. </w:t>
      </w:r>
      <w:r w:rsidR="00863BBC" w:rsidRPr="00863BBC">
        <w:t>Feedback is provided for areas of improvement and in cases of incorrect implementation of the protocol. Monitoring also includes recruitment</w:t>
      </w:r>
      <w:r w:rsidR="00863BBC">
        <w:t xml:space="preserve"> training</w:t>
      </w:r>
      <w:r w:rsidR="00863BBC" w:rsidRPr="00863BBC">
        <w:t xml:space="preserve"> procedures. </w:t>
      </w:r>
      <w:r w:rsidRPr="00297EDF">
        <w:t xml:space="preserve"> </w:t>
      </w:r>
    </w:p>
    <w:p w:rsidR="002C61B3" w:rsidRPr="00297EDF" w:rsidRDefault="002C61B3" w:rsidP="002C61B3"/>
    <w:p w:rsidR="002C61B3" w:rsidRPr="00297EDF" w:rsidRDefault="008E19D6" w:rsidP="002C61B3">
      <w:r>
        <w:t>D</w:t>
      </w:r>
      <w:r w:rsidRPr="00297EDF">
        <w:t xml:space="preserve">uring the data collection period, CDC will closely monitor the recruitment process in each project area. </w:t>
      </w:r>
      <w:r w:rsidR="00B649A4">
        <w:t xml:space="preserve">Also, </w:t>
      </w:r>
      <w:r w:rsidR="002C61B3" w:rsidRPr="00297EDF">
        <w:t xml:space="preserve">CDC </w:t>
      </w:r>
      <w:r>
        <w:t xml:space="preserve">staff </w:t>
      </w:r>
      <w:r w:rsidR="002C61B3" w:rsidRPr="00297EDF">
        <w:t>will conduct at least one site visit to each of the f</w:t>
      </w:r>
      <w:r w:rsidR="00283497" w:rsidRPr="00297EDF">
        <w:t>unded</w:t>
      </w:r>
      <w:r w:rsidR="002C61B3" w:rsidRPr="00297EDF">
        <w:t xml:space="preserve"> area</w:t>
      </w:r>
      <w:r w:rsidR="00283497" w:rsidRPr="00297EDF">
        <w:t>s</w:t>
      </w:r>
      <w:r w:rsidR="002C61B3" w:rsidRPr="00297EDF">
        <w:t xml:space="preserve"> during data collection. The purpose of th</w:t>
      </w:r>
      <w:r w:rsidR="00AD4E3D" w:rsidRPr="00297EDF">
        <w:t xml:space="preserve">is </w:t>
      </w:r>
      <w:r w:rsidR="002C61B3" w:rsidRPr="00297EDF">
        <w:t xml:space="preserve">visit </w:t>
      </w:r>
      <w:r w:rsidR="00283497" w:rsidRPr="00297EDF">
        <w:t xml:space="preserve">will be </w:t>
      </w:r>
      <w:r w:rsidR="002C61B3" w:rsidRPr="00297EDF">
        <w:t xml:space="preserve">to monitor adherence to the THBS protocol, observe the interviews, and </w:t>
      </w:r>
      <w:r w:rsidR="00B649A4">
        <w:t>elicit</w:t>
      </w:r>
      <w:r w:rsidR="002C61B3" w:rsidRPr="00297EDF">
        <w:t xml:space="preserve"> feedback on study procedures. </w:t>
      </w:r>
      <w:r w:rsidR="00CA137A">
        <w:t xml:space="preserve">CDC will also convene weekly conference calls with the project areas to address any issues with the data collection application and discuss administration of the behavioral assessment specifically and the project in general. </w:t>
      </w:r>
    </w:p>
    <w:p w:rsidR="00733E7F" w:rsidRDefault="00733E7F" w:rsidP="002C61B3"/>
    <w:p w:rsidR="002C61B3" w:rsidRPr="00E50676" w:rsidRDefault="002C61B3" w:rsidP="002C61B3">
      <w:r w:rsidRPr="00297EDF">
        <w:t xml:space="preserve">In addition to the checks provided through the </w:t>
      </w:r>
      <w:r w:rsidR="005A0A8C">
        <w:t>electronic interview application</w:t>
      </w:r>
      <w:r w:rsidRPr="00297EDF">
        <w:t>, CDC</w:t>
      </w:r>
      <w:r w:rsidR="005A0A8C">
        <w:t xml:space="preserve"> will</w:t>
      </w:r>
      <w:r w:rsidRPr="00297EDF">
        <w:t xml:space="preserve"> perform extensive checks of the quality of the data. Monthly processing </w:t>
      </w:r>
      <w:r w:rsidR="005A0A8C">
        <w:t xml:space="preserve">will </w:t>
      </w:r>
      <w:r w:rsidRPr="00297EDF">
        <w:t xml:space="preserve">allow for </w:t>
      </w:r>
      <w:r w:rsidR="005A0A8C">
        <w:t xml:space="preserve">prompt </w:t>
      </w:r>
      <w:r w:rsidRPr="00297EDF">
        <w:t>identification of errors in programs or procedures</w:t>
      </w:r>
      <w:r w:rsidR="00733E7F">
        <w:t xml:space="preserve">. </w:t>
      </w:r>
      <w:r w:rsidR="00CA137A" w:rsidRPr="00CA137A">
        <w:t>The data collection instruments will not collect specific identifiers (e.g., name, address, social security number).</w:t>
      </w:r>
      <w:r w:rsidR="00CA137A">
        <w:t xml:space="preserve"> Also, the data collection instruments are only electronic; </w:t>
      </w:r>
      <w:r w:rsidR="004856D7">
        <w:t>n</w:t>
      </w:r>
      <w:r w:rsidR="00CA137A">
        <w:t xml:space="preserve">o paper instruments are used to collect THBS data. </w:t>
      </w:r>
    </w:p>
    <w:p w:rsidR="00733E7F" w:rsidRDefault="00733E7F" w:rsidP="002C61B3">
      <w:pPr>
        <w:spacing w:before="120"/>
        <w:rPr>
          <w:b/>
        </w:rPr>
      </w:pPr>
    </w:p>
    <w:p w:rsidR="002C61B3" w:rsidRPr="00E50676" w:rsidRDefault="002C61B3" w:rsidP="002C61B3">
      <w:pPr>
        <w:spacing w:before="120"/>
        <w:rPr>
          <w:b/>
        </w:rPr>
      </w:pPr>
      <w:r w:rsidRPr="00E50676">
        <w:rPr>
          <w:b/>
        </w:rPr>
        <w:t>3. Methods to Maximize Response Rates and Deal with Non</w:t>
      </w:r>
      <w:r w:rsidR="000068DB">
        <w:rPr>
          <w:b/>
        </w:rPr>
        <w:t>-</w:t>
      </w:r>
      <w:r w:rsidRPr="00E50676">
        <w:rPr>
          <w:b/>
        </w:rPr>
        <w:t>response</w:t>
      </w:r>
    </w:p>
    <w:p w:rsidR="002C61B3" w:rsidRPr="00E50676" w:rsidRDefault="002C61B3" w:rsidP="002C61B3">
      <w:pPr>
        <w:autoSpaceDE w:val="0"/>
        <w:autoSpaceDN w:val="0"/>
        <w:adjustRightInd w:val="0"/>
        <w:ind w:left="360"/>
      </w:pPr>
    </w:p>
    <w:p w:rsidR="002C61B3" w:rsidRPr="00E50676" w:rsidRDefault="002C61B3" w:rsidP="002C61B3">
      <w:pPr>
        <w:rPr>
          <w:u w:val="single"/>
        </w:rPr>
      </w:pPr>
      <w:r w:rsidRPr="00E50676">
        <w:rPr>
          <w:u w:val="single"/>
        </w:rPr>
        <w:t>Response rate calculations</w:t>
      </w:r>
    </w:p>
    <w:p w:rsidR="002C61B3" w:rsidRPr="00E50676" w:rsidRDefault="002C61B3" w:rsidP="002C61B3"/>
    <w:p w:rsidR="002C61B3" w:rsidRPr="005B125B" w:rsidRDefault="002C61B3" w:rsidP="002C61B3">
      <w:r w:rsidRPr="00E50676">
        <w:t xml:space="preserve">Previous studies using RDS find that one-half to two-thirds of </w:t>
      </w:r>
      <w:r w:rsidR="00733C63">
        <w:t xml:space="preserve">persons recruited by their peers for THBS will present for eligibility </w:t>
      </w:r>
      <w:r w:rsidRPr="00E50676">
        <w:t>(</w:t>
      </w:r>
      <w:proofErr w:type="spellStart"/>
      <w:r w:rsidRPr="00E50676">
        <w:t>Heckathorn</w:t>
      </w:r>
      <w:proofErr w:type="spellEnd"/>
      <w:r w:rsidRPr="00E50676">
        <w:t>, 2002; Johnston, 2006; Ramirez-</w:t>
      </w:r>
      <w:proofErr w:type="spellStart"/>
      <w:r w:rsidRPr="00E50676">
        <w:t>Valles</w:t>
      </w:r>
      <w:proofErr w:type="spellEnd"/>
      <w:r w:rsidRPr="00E50676">
        <w:t xml:space="preserve">, 2005; </w:t>
      </w:r>
      <w:proofErr w:type="spellStart"/>
      <w:r w:rsidRPr="00E50676">
        <w:t>Stormer</w:t>
      </w:r>
      <w:proofErr w:type="spellEnd"/>
      <w:r w:rsidRPr="00E50676">
        <w:t xml:space="preserve">, 2006; Wang, 2004; </w:t>
      </w:r>
      <w:proofErr w:type="spellStart"/>
      <w:r w:rsidRPr="00E50676">
        <w:t>Yeka</w:t>
      </w:r>
      <w:proofErr w:type="spellEnd"/>
      <w:r w:rsidRPr="00E50676">
        <w:t xml:space="preserve">, 2006).  </w:t>
      </w:r>
      <w:r w:rsidR="006F1FAD">
        <w:t>In the previously approved pilot data collection</w:t>
      </w:r>
      <w:r w:rsidR="001110C9">
        <w:t>, data were not collected to determine how many of the persons recruited by their peers presented for eligibility.</w:t>
      </w:r>
      <w:r w:rsidR="00DC2F83">
        <w:t xml:space="preserve"> </w:t>
      </w:r>
      <w:r w:rsidR="006E47E3">
        <w:t xml:space="preserve">Because recruiters are instructed to invite participation of their peers who meet the general eligibility criteria, </w:t>
      </w:r>
      <w:r w:rsidR="006F1FAD">
        <w:t>i</w:t>
      </w:r>
      <w:r w:rsidRPr="00E50676">
        <w:t xml:space="preserve">t is expected that at least 90% of those </w:t>
      </w:r>
      <w:r w:rsidR="00EF0515">
        <w:t xml:space="preserve">presenting at the field site for </w:t>
      </w:r>
      <w:r w:rsidR="00EF0515">
        <w:lastRenderedPageBreak/>
        <w:t>eligibility screen</w:t>
      </w:r>
      <w:r w:rsidRPr="00E50676">
        <w:t>ing will be eligible (Ramirez-</w:t>
      </w:r>
      <w:proofErr w:type="spellStart"/>
      <w:r w:rsidRPr="00E50676">
        <w:t>Valles</w:t>
      </w:r>
      <w:proofErr w:type="spellEnd"/>
      <w:r w:rsidRPr="00E50676">
        <w:t>, 200</w:t>
      </w:r>
      <w:r w:rsidR="00E5606A">
        <w:t>5</w:t>
      </w:r>
      <w:r w:rsidRPr="00E50676">
        <w:t>). In addition, survey completion rates among those found eligible is generally high</w:t>
      </w:r>
      <w:r w:rsidR="00733C63">
        <w:t xml:space="preserve"> because those who </w:t>
      </w:r>
      <w:r w:rsidR="00EF0515">
        <w:t xml:space="preserve">have taken the initiative to </w:t>
      </w:r>
      <w:r w:rsidR="00733C63">
        <w:t>present for eligibility screening are motivated to participate</w:t>
      </w:r>
      <w:r w:rsidRPr="00E50676">
        <w:t xml:space="preserve">. Generally, persons who are eligible and not interested in doing the survey will not return </w:t>
      </w:r>
      <w:r w:rsidRPr="005B125B">
        <w:t xml:space="preserve">with the coupon.  </w:t>
      </w:r>
    </w:p>
    <w:p w:rsidR="002C61B3" w:rsidRPr="005B125B" w:rsidRDefault="002C61B3" w:rsidP="002C61B3"/>
    <w:p w:rsidR="002C61B3" w:rsidRPr="005B125B" w:rsidRDefault="00EF0515" w:rsidP="002C61B3">
      <w:r>
        <w:t>Expected</w:t>
      </w:r>
      <w:r w:rsidR="002C61B3" w:rsidRPr="005B125B">
        <w:t xml:space="preserve"> response rate calculations </w:t>
      </w:r>
      <w:r w:rsidR="00733C63">
        <w:t xml:space="preserve">are presented below.   These calculations </w:t>
      </w:r>
      <w:r w:rsidR="002C61B3" w:rsidRPr="005B125B">
        <w:t>were done using the methods provided in the document “Standards and Guidelines for Statistical Surveys</w:t>
      </w:r>
      <w:r w:rsidR="00733C63">
        <w:t>,</w:t>
      </w:r>
      <w:r w:rsidR="002C61B3" w:rsidRPr="005B125B">
        <w:t xml:space="preserve">” </w:t>
      </w:r>
      <w:r w:rsidR="00733C63">
        <w:t xml:space="preserve">OMB, </w:t>
      </w:r>
      <w:r w:rsidR="002C61B3" w:rsidRPr="005B125B">
        <w:t xml:space="preserve">September 2006. </w:t>
      </w:r>
      <w:r w:rsidR="00733C63">
        <w:t>T</w:t>
      </w:r>
      <w:r w:rsidR="002C61B3" w:rsidRPr="005B125B">
        <w:t xml:space="preserve">he response rate calculations were based on </w:t>
      </w:r>
      <w:r w:rsidR="00283497" w:rsidRPr="005B125B">
        <w:t>2</w:t>
      </w:r>
      <w:r w:rsidR="002C61B3" w:rsidRPr="005B125B">
        <w:t xml:space="preserve">00 completed surveys or cases (C) and using the </w:t>
      </w:r>
      <w:r w:rsidR="00E341AA" w:rsidRPr="005B125B">
        <w:t xml:space="preserve">following estimated outcomes based on the </w:t>
      </w:r>
      <w:r w:rsidR="00733C63">
        <w:t xml:space="preserve">previously approved </w:t>
      </w:r>
      <w:r w:rsidR="00E341AA" w:rsidRPr="005B125B">
        <w:t>pilot</w:t>
      </w:r>
      <w:r w:rsidR="00733C63">
        <w:t xml:space="preserve"> data collection</w:t>
      </w:r>
      <w:r w:rsidR="002C61B3" w:rsidRPr="005B125B">
        <w:t xml:space="preserve">: </w:t>
      </w:r>
    </w:p>
    <w:p w:rsidR="002C61B3" w:rsidRPr="005B125B" w:rsidRDefault="002C61B3" w:rsidP="002C61B3"/>
    <w:p w:rsidR="002C61B3" w:rsidRPr="005B125B" w:rsidRDefault="002C61B3" w:rsidP="002C61B3">
      <w:pPr>
        <w:widowControl w:val="0"/>
        <w:numPr>
          <w:ilvl w:val="0"/>
          <w:numId w:val="36"/>
        </w:numPr>
        <w:autoSpaceDE w:val="0"/>
        <w:autoSpaceDN w:val="0"/>
        <w:adjustRightInd w:val="0"/>
      </w:pPr>
      <w:r w:rsidRPr="005B125B">
        <w:t xml:space="preserve">Number of </w:t>
      </w:r>
      <w:proofErr w:type="spellStart"/>
      <w:r w:rsidRPr="005B125B">
        <w:t>eligible</w:t>
      </w:r>
      <w:r w:rsidR="00EF0515">
        <w:t>s</w:t>
      </w:r>
      <w:proofErr w:type="spellEnd"/>
      <w:r w:rsidRPr="005B125B">
        <w:t xml:space="preserve"> </w:t>
      </w:r>
      <w:r w:rsidR="00EF0515">
        <w:t>with</w:t>
      </w:r>
      <w:r w:rsidRPr="005B125B">
        <w:t xml:space="preserve"> interview completed (c) = </w:t>
      </w:r>
      <w:r w:rsidR="00283497" w:rsidRPr="005B125B">
        <w:t>2</w:t>
      </w:r>
      <w:r w:rsidRPr="005B125B">
        <w:t xml:space="preserve">00 </w:t>
      </w:r>
    </w:p>
    <w:p w:rsidR="002C61B3" w:rsidRPr="005B125B" w:rsidRDefault="002C61B3" w:rsidP="002C61B3">
      <w:pPr>
        <w:widowControl w:val="0"/>
        <w:numPr>
          <w:ilvl w:val="0"/>
          <w:numId w:val="36"/>
        </w:numPr>
        <w:autoSpaceDE w:val="0"/>
        <w:autoSpaceDN w:val="0"/>
        <w:adjustRightInd w:val="0"/>
      </w:pPr>
      <w:r w:rsidRPr="005B125B">
        <w:t xml:space="preserve">Number of </w:t>
      </w:r>
      <w:proofErr w:type="spellStart"/>
      <w:r w:rsidRPr="005B125B">
        <w:t>eligible</w:t>
      </w:r>
      <w:r w:rsidR="00EF0515">
        <w:t>s</w:t>
      </w:r>
      <w:proofErr w:type="spellEnd"/>
      <w:r w:rsidRPr="005B125B">
        <w:t xml:space="preserve">  not interviewed (e) = 0  </w:t>
      </w:r>
    </w:p>
    <w:p w:rsidR="002C61B3" w:rsidRPr="005B125B" w:rsidRDefault="002C61B3" w:rsidP="002C61B3">
      <w:pPr>
        <w:widowControl w:val="0"/>
        <w:numPr>
          <w:ilvl w:val="0"/>
          <w:numId w:val="36"/>
        </w:numPr>
        <w:autoSpaceDE w:val="0"/>
        <w:autoSpaceDN w:val="0"/>
        <w:adjustRightInd w:val="0"/>
      </w:pPr>
      <w:r w:rsidRPr="005B125B">
        <w:t>Number of ineligible (out of scope) (</w:t>
      </w:r>
      <w:proofErr w:type="spellStart"/>
      <w:r w:rsidRPr="005B125B">
        <w:t>i</w:t>
      </w:r>
      <w:proofErr w:type="spellEnd"/>
      <w:r w:rsidRPr="005B125B">
        <w:t xml:space="preserve">) = </w:t>
      </w:r>
      <w:r w:rsidR="00DB4FA6" w:rsidRPr="005B125B">
        <w:t>2</w:t>
      </w:r>
      <w:r w:rsidR="006771A1" w:rsidRPr="005B125B">
        <w:t>1</w:t>
      </w:r>
      <w:r w:rsidRPr="005B125B">
        <w:t xml:space="preserve"> (based upon </w:t>
      </w:r>
      <w:r w:rsidR="00DB4FA6" w:rsidRPr="005B125B">
        <w:t>90</w:t>
      </w:r>
      <w:r w:rsidRPr="005B125B">
        <w:t xml:space="preserve">% eligibility) </w:t>
      </w:r>
    </w:p>
    <w:p w:rsidR="002C61B3" w:rsidRPr="005B125B" w:rsidRDefault="002C61B3" w:rsidP="002C61B3">
      <w:pPr>
        <w:widowControl w:val="0"/>
        <w:numPr>
          <w:ilvl w:val="0"/>
          <w:numId w:val="36"/>
        </w:numPr>
        <w:autoSpaceDE w:val="0"/>
        <w:autoSpaceDN w:val="0"/>
        <w:adjustRightInd w:val="0"/>
      </w:pPr>
      <w:r w:rsidRPr="005B125B">
        <w:t xml:space="preserve">Number unable to determine eligibility (u) = </w:t>
      </w:r>
      <w:r w:rsidR="001E6CCF" w:rsidRPr="005B125B">
        <w:t>66</w:t>
      </w:r>
      <w:r w:rsidR="006771A1" w:rsidRPr="005B125B">
        <w:t xml:space="preserve"> </w:t>
      </w:r>
    </w:p>
    <w:p w:rsidR="002C61B3" w:rsidRPr="005B125B" w:rsidRDefault="002C61B3" w:rsidP="002C61B3"/>
    <w:p w:rsidR="002C61B3" w:rsidRPr="00E50676" w:rsidRDefault="00EF0515" w:rsidP="002C61B3">
      <w:r>
        <w:t>Expected (</w:t>
      </w:r>
      <w:proofErr w:type="spellStart"/>
      <w:r>
        <w:t>u</w:t>
      </w:r>
      <w:r w:rsidR="002C61B3" w:rsidRPr="005B125B">
        <w:t>nweighted</w:t>
      </w:r>
      <w:proofErr w:type="spellEnd"/>
      <w:r>
        <w:t>)</w:t>
      </w:r>
      <w:r w:rsidR="002C61B3" w:rsidRPr="005B125B">
        <w:t xml:space="preserve"> response rates </w:t>
      </w:r>
      <w:r w:rsidR="00733C63">
        <w:t>were</w:t>
      </w:r>
      <w:r w:rsidR="002C61B3" w:rsidRPr="005B125B">
        <w:t xml:space="preserve"> calculated </w:t>
      </w:r>
      <w:r w:rsidR="00733C63">
        <w:t>according to</w:t>
      </w:r>
      <w:r w:rsidR="002C61B3" w:rsidRPr="005B125B">
        <w:t xml:space="preserve"> the formula: RR = </w:t>
      </w:r>
      <w:r w:rsidR="00782FDB">
        <w:t>c</w:t>
      </w:r>
      <w:r w:rsidR="002C61B3" w:rsidRPr="005B125B">
        <w:t>/[</w:t>
      </w:r>
      <w:proofErr w:type="spellStart"/>
      <w:r w:rsidR="002C61B3" w:rsidRPr="005B125B">
        <w:t>c+e+</w:t>
      </w:r>
      <w:proofErr w:type="gramStart"/>
      <w:r w:rsidR="002C61B3" w:rsidRPr="005B125B">
        <w:t>x</w:t>
      </w:r>
      <w:proofErr w:type="spellEnd"/>
      <w:r w:rsidR="002C61B3" w:rsidRPr="005B125B">
        <w:t>(</w:t>
      </w:r>
      <w:proofErr w:type="gramEnd"/>
      <w:r w:rsidR="002C61B3" w:rsidRPr="005B125B">
        <w:t>u), where x= (</w:t>
      </w:r>
      <w:proofErr w:type="spellStart"/>
      <w:r w:rsidR="002C61B3" w:rsidRPr="005B125B">
        <w:t>c+e</w:t>
      </w:r>
      <w:proofErr w:type="spellEnd"/>
      <w:r w:rsidR="002C61B3" w:rsidRPr="005B125B">
        <w:t>)/(</w:t>
      </w:r>
      <w:proofErr w:type="spellStart"/>
      <w:r w:rsidR="002C61B3" w:rsidRPr="005B125B">
        <w:t>c+e+i</w:t>
      </w:r>
      <w:proofErr w:type="spellEnd"/>
      <w:r w:rsidR="002C61B3" w:rsidRPr="005B125B">
        <w:t xml:space="preserve">) or </w:t>
      </w:r>
      <w:r w:rsidR="00DB4FA6" w:rsidRPr="005B125B">
        <w:t>(200+0)/(200+0+</w:t>
      </w:r>
      <w:r w:rsidR="006771A1" w:rsidRPr="005B125B">
        <w:t>21</w:t>
      </w:r>
      <w:r w:rsidR="00DB4FA6" w:rsidRPr="005B125B">
        <w:t>)=0</w:t>
      </w:r>
      <w:r w:rsidR="002C61B3" w:rsidRPr="005B125B">
        <w:t>.</w:t>
      </w:r>
      <w:r w:rsidR="006771A1" w:rsidRPr="005B125B">
        <w:t>90</w:t>
      </w:r>
      <w:r w:rsidR="002C61B3" w:rsidRPr="005B125B">
        <w:t xml:space="preserve">.  The </w:t>
      </w:r>
      <w:proofErr w:type="spellStart"/>
      <w:r w:rsidR="002C61B3" w:rsidRPr="005B125B">
        <w:t>unweighted</w:t>
      </w:r>
      <w:proofErr w:type="spellEnd"/>
      <w:r w:rsidR="002C61B3" w:rsidRPr="005B125B">
        <w:t xml:space="preserve"> response rate calculated by this formula assuming </w:t>
      </w:r>
      <w:r w:rsidR="00E341AA" w:rsidRPr="005B125B">
        <w:t xml:space="preserve">two-thirds of coupons are returned </w:t>
      </w:r>
      <w:r w:rsidR="00782FDB">
        <w:t>(</w:t>
      </w:r>
      <w:r w:rsidR="00E341AA" w:rsidRPr="005B125B">
        <w:t>67</w:t>
      </w:r>
      <w:r w:rsidR="002C61B3" w:rsidRPr="005B125B">
        <w:t>% coupon return rate</w:t>
      </w:r>
      <w:r w:rsidR="00782FDB">
        <w:t>)</w:t>
      </w:r>
      <w:r w:rsidR="002C61B3" w:rsidRPr="005B125B">
        <w:t xml:space="preserve"> is </w:t>
      </w:r>
      <w:r w:rsidR="00DB4FA6" w:rsidRPr="005B125B">
        <w:t>2</w:t>
      </w:r>
      <w:r w:rsidR="002C61B3" w:rsidRPr="005B125B">
        <w:t>00</w:t>
      </w:r>
      <w:proofErr w:type="gramStart"/>
      <w:r w:rsidR="002C61B3" w:rsidRPr="005B125B">
        <w:t>/[</w:t>
      </w:r>
      <w:proofErr w:type="gramEnd"/>
      <w:r w:rsidR="00DB4FA6" w:rsidRPr="005B125B">
        <w:t>2</w:t>
      </w:r>
      <w:r w:rsidR="002C61B3" w:rsidRPr="005B125B">
        <w:t>00+0+0.</w:t>
      </w:r>
      <w:r w:rsidR="006771A1" w:rsidRPr="005B125B">
        <w:t>90</w:t>
      </w:r>
      <w:r w:rsidR="002C61B3" w:rsidRPr="005B125B">
        <w:t>(</w:t>
      </w:r>
      <w:r w:rsidR="001E6CCF" w:rsidRPr="005B125B">
        <w:t>66</w:t>
      </w:r>
      <w:r w:rsidR="002C61B3" w:rsidRPr="005B125B">
        <w:t xml:space="preserve">)] or </w:t>
      </w:r>
      <w:r w:rsidR="00DB4FA6" w:rsidRPr="005B125B">
        <w:t>200</w:t>
      </w:r>
      <w:r w:rsidR="002C61B3" w:rsidRPr="005B125B">
        <w:t>/</w:t>
      </w:r>
      <w:r w:rsidR="00DB4FA6" w:rsidRPr="005B125B">
        <w:t>2</w:t>
      </w:r>
      <w:r w:rsidR="00733C63">
        <w:t>59</w:t>
      </w:r>
      <w:r w:rsidR="002C61B3" w:rsidRPr="005B125B">
        <w:t xml:space="preserve"> or </w:t>
      </w:r>
      <w:r w:rsidR="00D61CC6" w:rsidRPr="005B125B">
        <w:t>77</w:t>
      </w:r>
      <w:r w:rsidR="002C61B3" w:rsidRPr="005B125B">
        <w:t xml:space="preserve">%. </w:t>
      </w:r>
    </w:p>
    <w:p w:rsidR="002C61B3" w:rsidRPr="00E50676" w:rsidRDefault="002C61B3" w:rsidP="002C61B3"/>
    <w:p w:rsidR="002C61B3" w:rsidRPr="00E50676" w:rsidRDefault="002C61B3" w:rsidP="002C61B3">
      <w:r w:rsidRPr="00E50676">
        <w:t>Expectations</w:t>
      </w:r>
      <w:r w:rsidR="00733C63">
        <w:t xml:space="preserve"> of</w:t>
      </w:r>
      <w:r w:rsidRPr="00E50676">
        <w:t xml:space="preserve"> more standard survey methods—such as use of probability sampling and response rates in excess of 80%—cannot be applied to THBS for multiple reasons. Given that the populations targeted by THBS are considered hard to reach, either because their behaviors are illegal or not socially normative,” probability sampling method</w:t>
      </w:r>
      <w:r w:rsidR="00733C63">
        <w:t>s</w:t>
      </w:r>
      <w:r w:rsidRPr="00E50676">
        <w:t xml:space="preserve"> can</w:t>
      </w:r>
      <w:r w:rsidR="00733C63">
        <w:t>not</w:t>
      </w:r>
      <w:r w:rsidRPr="00E50676">
        <w:t xml:space="preserve"> be used. The peer-referral sampling methods used in THBS were developed precisely to reach these populations and our projected response rates are within the range of those achieved in previous studies. Bias in the samples can be evaluated</w:t>
      </w:r>
      <w:r w:rsidR="007C1916">
        <w:t xml:space="preserve"> </w:t>
      </w:r>
      <w:r w:rsidR="007C1916" w:rsidRPr="007C1916">
        <w:t>measuring the extent to which various sub-populations</w:t>
      </w:r>
      <w:r w:rsidR="007C1916">
        <w:t xml:space="preserve"> recruit other sub-populations. For example, </w:t>
      </w:r>
      <w:r w:rsidR="00733E7F">
        <w:t>h</w:t>
      </w:r>
      <w:r w:rsidR="007C1916">
        <w:t xml:space="preserve">ow likely were </w:t>
      </w:r>
      <w:r w:rsidR="00733E7F">
        <w:t xml:space="preserve">Latino </w:t>
      </w:r>
      <w:r w:rsidR="007C1916">
        <w:t xml:space="preserve">recruiters to recruit a black participant </w:t>
      </w:r>
      <w:r w:rsidR="007C1916" w:rsidRPr="007C1916">
        <w:t>and vice versa. Such calculations are possible via the coupon management system, which tracks who recruited whom, as well as information gathered during the interview process on the size and composition of participants</w:t>
      </w:r>
      <w:r w:rsidR="007C1916">
        <w:t xml:space="preserve">’ </w:t>
      </w:r>
      <w:r w:rsidR="007C1916" w:rsidRPr="007C1916">
        <w:t>social networks</w:t>
      </w:r>
      <w:r w:rsidR="003F0FDF">
        <w:t>,</w:t>
      </w:r>
      <w:r w:rsidRPr="00E50676">
        <w:t xml:space="preserve"> Despite the limitations, the expected response rates for THBS </w:t>
      </w:r>
      <w:r w:rsidR="00122D61">
        <w:t>are expect</w:t>
      </w:r>
      <w:r w:rsidR="00733E7F">
        <w:t>e</w:t>
      </w:r>
      <w:r w:rsidR="00122D61">
        <w:t xml:space="preserve">d to </w:t>
      </w:r>
      <w:r w:rsidR="005B125B">
        <w:t xml:space="preserve">be </w:t>
      </w:r>
      <w:r w:rsidRPr="00E50676">
        <w:t xml:space="preserve">adequate for the purposes of </w:t>
      </w:r>
      <w:r w:rsidR="005B125B">
        <w:t xml:space="preserve">describing risk behaviors </w:t>
      </w:r>
      <w:r w:rsidR="00AB5D3D">
        <w:t xml:space="preserve">of transgender persons </w:t>
      </w:r>
      <w:r w:rsidR="005B125B">
        <w:t xml:space="preserve">and </w:t>
      </w:r>
      <w:r w:rsidR="00AB5D3D">
        <w:t>understanding the pr</w:t>
      </w:r>
      <w:r w:rsidR="006B7AF1">
        <w:t xml:space="preserve">evention </w:t>
      </w:r>
      <w:r w:rsidR="00AB5D3D">
        <w:t>efforts needed in the local t</w:t>
      </w:r>
      <w:r w:rsidR="006B7AF1">
        <w:t xml:space="preserve">ransgender </w:t>
      </w:r>
      <w:r w:rsidR="00AB5D3D">
        <w:t>community</w:t>
      </w:r>
      <w:r w:rsidRPr="00E50676">
        <w:t xml:space="preserve">. </w:t>
      </w:r>
    </w:p>
    <w:p w:rsidR="002C61B3" w:rsidRPr="00E50676" w:rsidRDefault="002C61B3" w:rsidP="002C61B3">
      <w:pPr>
        <w:rPr>
          <w:u w:val="single"/>
        </w:rPr>
      </w:pPr>
    </w:p>
    <w:p w:rsidR="002C61B3" w:rsidRPr="00E50676" w:rsidRDefault="002C61B3" w:rsidP="002C61B3">
      <w:pPr>
        <w:rPr>
          <w:u w:val="single"/>
        </w:rPr>
      </w:pPr>
      <w:r w:rsidRPr="00E50676">
        <w:rPr>
          <w:u w:val="single"/>
        </w:rPr>
        <w:t>Methods to maximize response rates</w:t>
      </w:r>
    </w:p>
    <w:p w:rsidR="002C61B3" w:rsidRPr="00E50676" w:rsidRDefault="002C61B3" w:rsidP="002C61B3"/>
    <w:p w:rsidR="002C61B3" w:rsidRPr="00E50676" w:rsidRDefault="00122D61" w:rsidP="002C61B3">
      <w:r>
        <w:t>Response</w:t>
      </w:r>
      <w:r w:rsidR="001444D9">
        <w:t xml:space="preserve"> </w:t>
      </w:r>
      <w:r w:rsidR="002C61B3" w:rsidRPr="00E50676">
        <w:t xml:space="preserve">rates for THBS </w:t>
      </w:r>
      <w:r>
        <w:t>may be</w:t>
      </w:r>
      <w:r w:rsidR="002C61B3" w:rsidRPr="00E50676">
        <w:t xml:space="preserve"> </w:t>
      </w:r>
      <w:r w:rsidR="001444D9">
        <w:t xml:space="preserve">affected </w:t>
      </w:r>
      <w:r w:rsidR="002C61B3" w:rsidRPr="00E50676">
        <w:t>adversely by the anonymous nature of the survey (no follow-up contacts</w:t>
      </w:r>
      <w:r>
        <w:t xml:space="preserve"> by project staff are possible</w:t>
      </w:r>
      <w:r w:rsidR="002C61B3" w:rsidRPr="00E50676">
        <w:t>) and the sensitive nature of the questions.</w:t>
      </w:r>
      <w:r w:rsidR="001444D9">
        <w:t xml:space="preserve"> </w:t>
      </w:r>
      <w:r w:rsidR="002C61B3" w:rsidRPr="00E50676">
        <w:t xml:space="preserve"> </w:t>
      </w:r>
      <w:r w:rsidR="001444D9">
        <w:t>H</w:t>
      </w:r>
      <w:r w:rsidR="002C61B3" w:rsidRPr="00E50676">
        <w:t>owever, these methods also offer ways to maximize response rates, as described below.  Monitoring of response rates will be done through conference calls on a weekly basis with each grantee and monthly with all grantees together, offering the opportunity to share strategies for improving response rates. In addition, recruitment statistics and sample demographics will be reported to CDC on a weekly and monthly basis, respectively (</w:t>
      </w:r>
      <w:r w:rsidR="00B15C2D" w:rsidRPr="00B15C2D">
        <w:rPr>
          <w:b/>
        </w:rPr>
        <w:t>Attachment 1</w:t>
      </w:r>
      <w:r w:rsidR="00D11306">
        <w:rPr>
          <w:b/>
        </w:rPr>
        <w:t>3</w:t>
      </w:r>
      <w:r w:rsidR="002C61B3" w:rsidRPr="00E50676">
        <w:t xml:space="preserve">). </w:t>
      </w:r>
    </w:p>
    <w:p w:rsidR="002C61B3" w:rsidRPr="00E50676" w:rsidRDefault="002C61B3" w:rsidP="002C61B3"/>
    <w:p w:rsidR="002C61B3" w:rsidRPr="00E50676" w:rsidRDefault="002C61B3" w:rsidP="002C61B3">
      <w:r w:rsidRPr="00E50676">
        <w:lastRenderedPageBreak/>
        <w:t>Research indicates that</w:t>
      </w:r>
      <w:r w:rsidR="00122D61">
        <w:t xml:space="preserve"> providing remuneration to</w:t>
      </w:r>
      <w:r w:rsidR="00AB5D3D">
        <w:t xml:space="preserve"> respondents </w:t>
      </w:r>
      <w:r w:rsidRPr="00E50676">
        <w:t>help</w:t>
      </w:r>
      <w:r w:rsidR="00AB5D3D">
        <w:t>s</w:t>
      </w:r>
      <w:r w:rsidRPr="00E50676">
        <w:t xml:space="preserve"> raise response rates for long, sensitive, in-person surveys (Kulka, 1995). </w:t>
      </w:r>
      <w:r w:rsidR="00122D61">
        <w:t>Remuneration</w:t>
      </w:r>
      <w:r w:rsidR="00AB5D3D">
        <w:t xml:space="preserve"> is</w:t>
      </w:r>
      <w:r w:rsidRPr="00E50676">
        <w:t xml:space="preserve"> </w:t>
      </w:r>
      <w:r w:rsidR="00122D61">
        <w:t xml:space="preserve">also </w:t>
      </w:r>
      <w:r w:rsidRPr="00E50676">
        <w:t xml:space="preserve">useful for groups that are hard to </w:t>
      </w:r>
      <w:r w:rsidR="00122D61">
        <w:t>reach</w:t>
      </w:r>
      <w:r w:rsidRPr="00E50676">
        <w:t xml:space="preserve">, including those for whom conventional means of motivation may not work, such </w:t>
      </w:r>
      <w:proofErr w:type="gramStart"/>
      <w:r w:rsidRPr="00E50676">
        <w:t xml:space="preserve">as </w:t>
      </w:r>
      <w:r w:rsidR="00122D61">
        <w:t xml:space="preserve"> disenfranchised</w:t>
      </w:r>
      <w:proofErr w:type="gramEnd"/>
      <w:r w:rsidR="00122D61">
        <w:t xml:space="preserve"> populations </w:t>
      </w:r>
      <w:r w:rsidRPr="00E50676">
        <w:t xml:space="preserve"> </w:t>
      </w:r>
      <w:r w:rsidR="00122D61">
        <w:t xml:space="preserve">like those </w:t>
      </w:r>
      <w:r w:rsidRPr="00E50676">
        <w:t xml:space="preserve">who are </w:t>
      </w:r>
      <w:r w:rsidR="00122D61">
        <w:t>recruited</w:t>
      </w:r>
      <w:r w:rsidRPr="00E50676">
        <w:t xml:space="preserve"> for THBS. </w:t>
      </w:r>
      <w:r w:rsidR="00122D61">
        <w:t>O</w:t>
      </w:r>
      <w:r w:rsidRPr="00E50676">
        <w:t xml:space="preserve">ther populations at risk for HIV infection (particularly MSM and IDU) are often surveyed and </w:t>
      </w:r>
      <w:r w:rsidR="00122D61">
        <w:t>remuneration</w:t>
      </w:r>
      <w:r w:rsidR="00782FDB">
        <w:t xml:space="preserve"> </w:t>
      </w:r>
      <w:r w:rsidR="00122D61">
        <w:t>is</w:t>
      </w:r>
      <w:r w:rsidRPr="00E50676">
        <w:t xml:space="preserve"> the norm</w:t>
      </w:r>
      <w:r w:rsidR="001444D9">
        <w:t xml:space="preserve"> </w:t>
      </w:r>
      <w:r w:rsidR="001444D9" w:rsidRPr="001444D9">
        <w:t xml:space="preserve">(Thiede, 2001; </w:t>
      </w:r>
      <w:proofErr w:type="spellStart"/>
      <w:r w:rsidR="001444D9" w:rsidRPr="001444D9">
        <w:t>MacKellar</w:t>
      </w:r>
      <w:proofErr w:type="spellEnd"/>
      <w:r w:rsidR="001444D9" w:rsidRPr="001444D9">
        <w:t>, 1996, 2005)</w:t>
      </w:r>
      <w:r w:rsidRPr="00E50676">
        <w:t xml:space="preserve">. </w:t>
      </w:r>
      <w:r w:rsidR="001444D9" w:rsidRPr="001444D9">
        <w:t xml:space="preserve">Research has </w:t>
      </w:r>
      <w:r w:rsidR="001444D9">
        <w:t xml:space="preserve">also </w:t>
      </w:r>
      <w:r w:rsidR="001444D9" w:rsidRPr="001444D9">
        <w:t xml:space="preserve">shown that </w:t>
      </w:r>
      <w:r w:rsidR="001444D9">
        <w:t>remuneration is</w:t>
      </w:r>
      <w:r w:rsidR="001444D9" w:rsidRPr="001444D9">
        <w:t xml:space="preserve"> effective at increasing response rates among female residents in minority zip codes (Whiteman, 2003) and </w:t>
      </w:r>
      <w:r w:rsidR="00C23782">
        <w:t>A</w:t>
      </w:r>
      <w:r w:rsidR="001444D9" w:rsidRPr="001444D9">
        <w:t>frican American participants in a community-based health promotion program (</w:t>
      </w:r>
      <w:proofErr w:type="spellStart"/>
      <w:r w:rsidR="001444D9" w:rsidRPr="001444D9">
        <w:t>Halbert</w:t>
      </w:r>
      <w:proofErr w:type="spellEnd"/>
      <w:r w:rsidR="005516BC">
        <w:t xml:space="preserve"> et al.</w:t>
      </w:r>
      <w:r w:rsidR="001444D9" w:rsidRPr="001444D9">
        <w:t xml:space="preserve">, 2010). A meta-analysis of 95 studies published between January 1999 and April 2005 describing methods of increasing minority enrollment and retention in research studies found that incentives enhanced retention </w:t>
      </w:r>
      <w:r w:rsidR="00C23782">
        <w:t>among this group (</w:t>
      </w:r>
      <w:proofErr w:type="spellStart"/>
      <w:r w:rsidR="00C23782">
        <w:t>Yancy</w:t>
      </w:r>
      <w:proofErr w:type="spellEnd"/>
      <w:r w:rsidR="005516BC">
        <w:t xml:space="preserve"> et al.</w:t>
      </w:r>
      <w:r w:rsidR="00C23782">
        <w:t xml:space="preserve">, 2006). </w:t>
      </w:r>
      <w:r w:rsidR="00122D61">
        <w:t>Providing remuneration to</w:t>
      </w:r>
      <w:r w:rsidR="00AB5D3D">
        <w:t xml:space="preserve"> THBS respondents </w:t>
      </w:r>
      <w:r w:rsidRPr="00E50676">
        <w:t>is critical to achiev</w:t>
      </w:r>
      <w:r w:rsidR="00AB5D3D">
        <w:t>e</w:t>
      </w:r>
      <w:r w:rsidRPr="00E50676">
        <w:t xml:space="preserve"> acceptable response rates. </w:t>
      </w:r>
    </w:p>
    <w:p w:rsidR="002C61B3" w:rsidRPr="00E50676" w:rsidRDefault="002C61B3" w:rsidP="002C61B3">
      <w:pPr>
        <w:rPr>
          <w:i/>
        </w:rPr>
      </w:pPr>
    </w:p>
    <w:p w:rsidR="002C61B3" w:rsidRDefault="002C61B3" w:rsidP="002C61B3">
      <w:r w:rsidRPr="00E50676">
        <w:t>Because RDS is a peer-referral mechanism, the field staff ha</w:t>
      </w:r>
      <w:r w:rsidR="00733E7F">
        <w:t>s</w:t>
      </w:r>
      <w:r w:rsidRPr="00E50676">
        <w:t xml:space="preserve"> little control over sampling methods and sample accrual, other than the recruitment of seeds. One advantage of RDS, however, is that peer referral and endorsement of the project are likely to have a positive impact on participation rates. To maximize coupon return rates, peer recruiters are trained to recruit their peers and given important information about the study (</w:t>
      </w:r>
      <w:r w:rsidR="00B15C2D" w:rsidRPr="00B15C2D">
        <w:rPr>
          <w:b/>
        </w:rPr>
        <w:t>Attachment 1</w:t>
      </w:r>
      <w:r w:rsidR="00D11306">
        <w:rPr>
          <w:b/>
        </w:rPr>
        <w:t>2</w:t>
      </w:r>
      <w:r w:rsidRPr="00E50676">
        <w:t xml:space="preserve">). </w:t>
      </w:r>
      <w:r w:rsidR="006B7AF1">
        <w:t xml:space="preserve">Peer recruiters may help improve response rates by providing credibility and legitimacy for the survey among peers. In addition, peers recruits may be more willing to participate when recruited by a peer (versus a researcher).  Peer recruiters are able to follow up with their recruits to see if they have completed the survey. </w:t>
      </w:r>
      <w:r w:rsidRPr="00E50676">
        <w:t xml:space="preserve">The </w:t>
      </w:r>
      <w:r w:rsidR="00AB5D3D">
        <w:t>“</w:t>
      </w:r>
      <w:r w:rsidRPr="00E50676">
        <w:t>dual</w:t>
      </w:r>
      <w:r w:rsidR="00AB5D3D">
        <w:t>-</w:t>
      </w:r>
      <w:r w:rsidRPr="00E50676">
        <w:t>incentive</w:t>
      </w:r>
      <w:r w:rsidR="00AB5D3D">
        <w:t>”</w:t>
      </w:r>
      <w:r w:rsidRPr="00E50676">
        <w:t xml:space="preserve"> structure (i.e., providing </w:t>
      </w:r>
      <w:r w:rsidR="00AB5D3D">
        <w:t xml:space="preserve">payments </w:t>
      </w:r>
      <w:r w:rsidRPr="00E50676">
        <w:t xml:space="preserve">to recruiters for </w:t>
      </w:r>
      <w:r w:rsidR="00AB5D3D">
        <w:t>each</w:t>
      </w:r>
      <w:r w:rsidR="00733E7F">
        <w:t xml:space="preserve"> </w:t>
      </w:r>
      <w:r w:rsidRPr="00E50676">
        <w:t xml:space="preserve">successful </w:t>
      </w:r>
      <w:r w:rsidR="00AB5D3D">
        <w:t>recruit</w:t>
      </w:r>
      <w:r w:rsidRPr="00E50676">
        <w:t xml:space="preserve">) also helps to maximize response rates. </w:t>
      </w:r>
      <w:r w:rsidR="00122D61">
        <w:t xml:space="preserve">Convenient location of </w:t>
      </w:r>
      <w:r w:rsidR="00C23782">
        <w:t>f</w:t>
      </w:r>
      <w:r w:rsidRPr="00E50676">
        <w:t>ield site</w:t>
      </w:r>
      <w:r w:rsidR="00122D61">
        <w:t>s and hours of operation</w:t>
      </w:r>
      <w:r w:rsidRPr="00E50676">
        <w:t xml:space="preserve"> may also maximize response rates; field sites will be located in areas that are easy to</w:t>
      </w:r>
      <w:r w:rsidR="00122D61">
        <w:t xml:space="preserve"> access</w:t>
      </w:r>
      <w:r w:rsidRPr="00E50676">
        <w:t xml:space="preserve"> by public transportation and hours of operation will be set to meet the needs and schedules of the population of interest. </w:t>
      </w:r>
    </w:p>
    <w:p w:rsidR="00AB5D3D" w:rsidRDefault="00AB5D3D" w:rsidP="002C61B3"/>
    <w:p w:rsidR="00AB5D3D" w:rsidRPr="00E50676" w:rsidRDefault="00AB5D3D" w:rsidP="002C61B3">
      <w:r>
        <w:t xml:space="preserve">Prior to conducting THBS, the field staff in each participating area will </w:t>
      </w:r>
      <w:r w:rsidR="00DB698C">
        <w:t xml:space="preserve">review existing data sources to determine the </w:t>
      </w:r>
      <w:r w:rsidR="007A5261">
        <w:t xml:space="preserve">characteristics (e.g., </w:t>
      </w:r>
      <w:r w:rsidR="00DB698C">
        <w:t>rac</w:t>
      </w:r>
      <w:r w:rsidR="007A5261">
        <w:t xml:space="preserve">e, ethnicity, </w:t>
      </w:r>
      <w:r w:rsidR="0031050B">
        <w:t xml:space="preserve">age, </w:t>
      </w:r>
      <w:r w:rsidR="00DB698C">
        <w:t>geographic location</w:t>
      </w:r>
      <w:r w:rsidR="0031050B">
        <w:t>)</w:t>
      </w:r>
      <w:r w:rsidR="00DB698C">
        <w:t xml:space="preserve"> of the local transgender community.  The field staff will also </w:t>
      </w:r>
      <w:r>
        <w:t xml:space="preserve">obtain input on the survey from </w:t>
      </w:r>
      <w:r w:rsidR="00DB698C">
        <w:t xml:space="preserve">local </w:t>
      </w:r>
      <w:r>
        <w:t>stakeholders and members of the local transgender community.</w:t>
      </w:r>
      <w:r w:rsidR="00DB698C">
        <w:t xml:space="preserve"> This input will help the local staff </w:t>
      </w:r>
      <w:r w:rsidR="00122D61">
        <w:t>avoid</w:t>
      </w:r>
      <w:r w:rsidR="00DB698C">
        <w:t xml:space="preserve"> barriers</w:t>
      </w:r>
      <w:r w:rsidR="00122D61">
        <w:t xml:space="preserve"> to participation of </w:t>
      </w:r>
      <w:r w:rsidR="00DB698C">
        <w:t xml:space="preserve">transgender persons </w:t>
      </w:r>
      <w:r w:rsidR="00122D61">
        <w:t xml:space="preserve">in the data collection. </w:t>
      </w:r>
      <w:r w:rsidR="00DB698C">
        <w:t xml:space="preserve">  </w:t>
      </w:r>
      <w:r>
        <w:t xml:space="preserve">   </w:t>
      </w:r>
    </w:p>
    <w:p w:rsidR="002C61B3" w:rsidRPr="00E50676" w:rsidRDefault="002C61B3" w:rsidP="002C61B3"/>
    <w:p w:rsidR="002C61B3" w:rsidRPr="00E50676" w:rsidRDefault="002C61B3" w:rsidP="002C61B3">
      <w:pPr>
        <w:rPr>
          <w:u w:val="single"/>
        </w:rPr>
      </w:pPr>
      <w:r w:rsidRPr="00E50676">
        <w:rPr>
          <w:u w:val="single"/>
        </w:rPr>
        <w:t>Assessing non-response bias</w:t>
      </w:r>
    </w:p>
    <w:p w:rsidR="002C61B3" w:rsidRPr="00E50676" w:rsidRDefault="002C61B3" w:rsidP="002C61B3"/>
    <w:p w:rsidR="006B7AF1" w:rsidRDefault="002C61B3" w:rsidP="002C61B3">
      <w:r w:rsidRPr="00E50676">
        <w:t xml:space="preserve">The use of an eligibility screener will allow comparison of the demographic and eligibility-related behavioral data on those who are eligible and ineligible. To assess non-response bias </w:t>
      </w:r>
      <w:r w:rsidR="00122D61">
        <w:t>from</w:t>
      </w:r>
      <w:r w:rsidRPr="00E50676">
        <w:t xml:space="preserve"> RDS, </w:t>
      </w:r>
      <w:r w:rsidR="00DB698C">
        <w:t>each peer recruiter returning to the field site will be asked</w:t>
      </w:r>
      <w:r w:rsidR="00122D61">
        <w:t>, using the recruiter debriefing instrument</w:t>
      </w:r>
      <w:r w:rsidR="00D11306">
        <w:t xml:space="preserve"> </w:t>
      </w:r>
      <w:r w:rsidR="00122D61">
        <w:t>(</w:t>
      </w:r>
      <w:r w:rsidR="00B15C2D" w:rsidRPr="00B15C2D">
        <w:rPr>
          <w:b/>
        </w:rPr>
        <w:t>Attachment 3c</w:t>
      </w:r>
      <w:r w:rsidR="00122D61">
        <w:t xml:space="preserve">) </w:t>
      </w:r>
      <w:r w:rsidRPr="00E50676">
        <w:t xml:space="preserve">whether anyone refused a coupon, why they refused, and </w:t>
      </w:r>
      <w:r w:rsidR="00DB698C">
        <w:t>the race of those who refused</w:t>
      </w:r>
      <w:r w:rsidR="00122D61">
        <w:t>. This information will be collected using a laptop computer.</w:t>
      </w:r>
      <w:r w:rsidR="00DB698C">
        <w:t xml:space="preserve"> F</w:t>
      </w:r>
      <w:r w:rsidRPr="00E50676">
        <w:t xml:space="preserve">ollowing up with </w:t>
      </w:r>
      <w:r w:rsidR="00DB698C">
        <w:t xml:space="preserve">recruiters </w:t>
      </w:r>
      <w:r w:rsidR="00122D61">
        <w:t>has</w:t>
      </w:r>
      <w:r w:rsidR="00DB698C">
        <w:t xml:space="preserve"> </w:t>
      </w:r>
      <w:r w:rsidRPr="00E50676">
        <w:t>improve</w:t>
      </w:r>
      <w:r w:rsidR="00122D61">
        <w:t>d</w:t>
      </w:r>
      <w:r w:rsidRPr="00E50676">
        <w:t xml:space="preserve"> return rates in other studies </w:t>
      </w:r>
      <w:r w:rsidR="00122D61">
        <w:t xml:space="preserve">implementing RDS </w:t>
      </w:r>
      <w:r w:rsidRPr="00E50676">
        <w:t>(</w:t>
      </w:r>
      <w:proofErr w:type="spellStart"/>
      <w:r w:rsidRPr="00E50676">
        <w:t>Draus</w:t>
      </w:r>
      <w:proofErr w:type="spellEnd"/>
      <w:r w:rsidRPr="00E50676">
        <w:t>, 2005; Ramirez-</w:t>
      </w:r>
      <w:proofErr w:type="spellStart"/>
      <w:r w:rsidRPr="00E50676">
        <w:t>Valles</w:t>
      </w:r>
      <w:proofErr w:type="spellEnd"/>
      <w:r w:rsidRPr="00E50676">
        <w:t xml:space="preserve">, 2005). </w:t>
      </w:r>
      <w:r w:rsidR="00DB698C">
        <w:t>However, d</w:t>
      </w:r>
      <w:r w:rsidR="00DB698C" w:rsidRPr="00E50676">
        <w:t xml:space="preserve">ue to the anonymous nature of THBS, participants cannot be re-contacted </w:t>
      </w:r>
      <w:r w:rsidR="00DB698C">
        <w:t xml:space="preserve">by field staff.  So field staff, cannot actively </w:t>
      </w:r>
      <w:r w:rsidR="00DB698C" w:rsidRPr="00E50676">
        <w:t xml:space="preserve">encourage </w:t>
      </w:r>
      <w:r w:rsidR="00DB698C">
        <w:t xml:space="preserve">peer recruiters </w:t>
      </w:r>
      <w:r w:rsidR="00DB698C" w:rsidRPr="00E50676">
        <w:t xml:space="preserve">to </w:t>
      </w:r>
      <w:r w:rsidR="00B44784">
        <w:t>distribute</w:t>
      </w:r>
      <w:r w:rsidR="00DB698C" w:rsidRPr="00E50676">
        <w:t xml:space="preserve"> coupons or </w:t>
      </w:r>
      <w:r w:rsidR="00DB698C">
        <w:t xml:space="preserve">ask the </w:t>
      </w:r>
      <w:r w:rsidR="00DB698C" w:rsidRPr="00E50676">
        <w:t xml:space="preserve">recruiters </w:t>
      </w:r>
      <w:r w:rsidR="00DB698C">
        <w:t xml:space="preserve">to </w:t>
      </w:r>
      <w:r w:rsidR="00DB698C" w:rsidRPr="00E50676">
        <w:t>report on coupon refusals</w:t>
      </w:r>
      <w:r w:rsidR="00DB698C">
        <w:t xml:space="preserve">. Instead, </w:t>
      </w:r>
      <w:r w:rsidR="00B44784">
        <w:t>when</w:t>
      </w:r>
      <w:r w:rsidR="00DB698C">
        <w:t xml:space="preserve"> a THBS </w:t>
      </w:r>
      <w:r w:rsidRPr="00E50676">
        <w:t xml:space="preserve">recruiter </w:t>
      </w:r>
      <w:r w:rsidR="00B44784">
        <w:t>returns to</w:t>
      </w:r>
      <w:r w:rsidR="00DB698C">
        <w:t xml:space="preserve"> the field site</w:t>
      </w:r>
      <w:r w:rsidR="00B44784">
        <w:t>,</w:t>
      </w:r>
      <w:r w:rsidR="00DB698C">
        <w:t xml:space="preserve"> the field staff will </w:t>
      </w:r>
      <w:r w:rsidRPr="00E50676">
        <w:t>remind</w:t>
      </w:r>
      <w:r w:rsidR="00DB698C">
        <w:t xml:space="preserve"> recruiter</w:t>
      </w:r>
      <w:r w:rsidR="00B44784">
        <w:t>s</w:t>
      </w:r>
      <w:r w:rsidR="00DB698C">
        <w:t xml:space="preserve"> </w:t>
      </w:r>
      <w:r w:rsidRPr="00E50676">
        <w:t xml:space="preserve">to encourage </w:t>
      </w:r>
      <w:r w:rsidR="00B44784">
        <w:t>any</w:t>
      </w:r>
      <w:r w:rsidR="00DB698C">
        <w:t xml:space="preserve"> recruits </w:t>
      </w:r>
      <w:r w:rsidR="00B44784">
        <w:t xml:space="preserve">who have not yet presented for eligibility screening </w:t>
      </w:r>
      <w:r w:rsidR="00DB698C">
        <w:t xml:space="preserve">to </w:t>
      </w:r>
      <w:r w:rsidR="00B44784">
        <w:t>do so.</w:t>
      </w:r>
      <w:r w:rsidRPr="00E50676">
        <w:t xml:space="preserve"> </w:t>
      </w:r>
    </w:p>
    <w:p w:rsidR="006B7AF1" w:rsidRDefault="006B7AF1" w:rsidP="002C61B3">
      <w:r>
        <w:lastRenderedPageBreak/>
        <w:t xml:space="preserve">In addition, peer recruiters will be debriefed </w:t>
      </w:r>
      <w:r w:rsidR="00B44784">
        <w:t>about</w:t>
      </w:r>
      <w:r>
        <w:t xml:space="preserve"> their recruitment </w:t>
      </w:r>
      <w:r w:rsidR="00B44784">
        <w:t xml:space="preserve">efforts </w:t>
      </w:r>
      <w:r>
        <w:t>when they return to the field site for their recruiter rewards (</w:t>
      </w:r>
      <w:r w:rsidR="00B15C2D" w:rsidRPr="00B15C2D">
        <w:rPr>
          <w:b/>
        </w:rPr>
        <w:t>see attachment 3c</w:t>
      </w:r>
      <w:r>
        <w:t>)</w:t>
      </w:r>
      <w:r w:rsidR="00B44784">
        <w:t xml:space="preserve"> as described above</w:t>
      </w:r>
      <w:r>
        <w:t xml:space="preserve">.  This information will be used to understand if certain racial groups are not responding or if persons are not responding for a particular reason.   </w:t>
      </w:r>
    </w:p>
    <w:p w:rsidR="006B7AF1" w:rsidRDefault="006B7AF1" w:rsidP="002C61B3"/>
    <w:p w:rsidR="006B7AF1" w:rsidRDefault="00DB698C" w:rsidP="002C61B3">
      <w:r w:rsidRPr="007A5261">
        <w:t xml:space="preserve">Recruitment </w:t>
      </w:r>
      <w:r w:rsidR="006B7AF1" w:rsidRPr="007A5261">
        <w:t xml:space="preserve">will be monitored through on-going data reports </w:t>
      </w:r>
      <w:r w:rsidRPr="007A5261">
        <w:t>generated</w:t>
      </w:r>
      <w:r w:rsidR="006B7AF1" w:rsidRPr="007A5261">
        <w:t xml:space="preserve"> </w:t>
      </w:r>
      <w:r w:rsidRPr="007A5261">
        <w:t xml:space="preserve">weekly and monthly from the data submitted to CDC.  These reports will </w:t>
      </w:r>
      <w:r w:rsidR="007A5261" w:rsidRPr="007A5261">
        <w:t>be used to monitor the seed recruitment, the characteristics of seeds, general recruitment (i.e., recruitment of non-seed participants), t</w:t>
      </w:r>
      <w:r w:rsidRPr="007A5261">
        <w:t>he</w:t>
      </w:r>
      <w:r w:rsidR="007A5261" w:rsidRPr="007A5261">
        <w:t xml:space="preserve"> characteristics </w:t>
      </w:r>
      <w:r w:rsidR="00B44784">
        <w:t>of</w:t>
      </w:r>
      <w:r w:rsidR="007A5261" w:rsidRPr="007A5261">
        <w:t xml:space="preserve"> the resulting </w:t>
      </w:r>
      <w:r w:rsidRPr="007A5261">
        <w:t xml:space="preserve">sample, </w:t>
      </w:r>
      <w:r w:rsidR="007A5261" w:rsidRPr="007A5261">
        <w:t xml:space="preserve">the number and length of recruitment chains, the number of recruiters who returned for rewards, the number of coupons distributed to recruiters, the number of </w:t>
      </w:r>
      <w:r w:rsidR="00B44784">
        <w:t>persons who present with a coupon for eligibility screening</w:t>
      </w:r>
      <w:r w:rsidR="007A5261" w:rsidRPr="007A5261">
        <w:t>, the number of persons refusing coupons, the race/ethnicity of those refusing coupons, and the reason coupons were refused.  The field staff and CDC will use the data in these reports to identify</w:t>
      </w:r>
      <w:r w:rsidR="007A5261">
        <w:t xml:space="preserve"> problems with recruitment. Comparing data from the sample characteristics report with the information gathered from local data sources and stakeholders about the local transgender community </w:t>
      </w:r>
      <w:r w:rsidR="00B44784">
        <w:t>will be used to</w:t>
      </w:r>
      <w:r w:rsidR="007A5261">
        <w:t xml:space="preserve"> identify characteristics of transgender persons not responding to the survey. When a problem with response or recruitment arises during data collection, field staff will be instructed to consult with local stakeholders and members of the transgender community to identify solutions to the problem.    </w:t>
      </w:r>
      <w:r>
        <w:t xml:space="preserve"> </w:t>
      </w:r>
      <w:r w:rsidR="006B7AF1">
        <w:t xml:space="preserve"> </w:t>
      </w:r>
    </w:p>
    <w:p w:rsidR="006B7AF1" w:rsidRPr="00E50676" w:rsidRDefault="006B7AF1" w:rsidP="002C61B3"/>
    <w:p w:rsidR="002C61B3" w:rsidRPr="00E50676" w:rsidRDefault="002C61B3" w:rsidP="002C61B3">
      <w:proofErr w:type="spellStart"/>
      <w:r w:rsidRPr="00E50676">
        <w:rPr>
          <w:u w:val="single"/>
        </w:rPr>
        <w:t>Generalizability</w:t>
      </w:r>
      <w:proofErr w:type="spellEnd"/>
    </w:p>
    <w:p w:rsidR="002C61B3" w:rsidRPr="00E50676" w:rsidRDefault="002C61B3" w:rsidP="002C61B3">
      <w:pPr>
        <w:rPr>
          <w:i/>
        </w:rPr>
      </w:pPr>
    </w:p>
    <w:p w:rsidR="00973C7E" w:rsidRPr="00973C7E" w:rsidRDefault="002C61B3" w:rsidP="00973C7E">
      <w:r w:rsidRPr="00E50676">
        <w:t>The statistical theory upon which RDS is based suggests that if peer recruitment proceeds through a sufficiently large number of waves, the composition of the sample will stabilize, becoming independent of the seeds from which recruitment began, and thereby overcoming any bias the nonrandom choice of seeds may have introduced (</w:t>
      </w:r>
      <w:proofErr w:type="spellStart"/>
      <w:r w:rsidRPr="00E50676">
        <w:t>Heckathorn</w:t>
      </w:r>
      <w:proofErr w:type="spellEnd"/>
      <w:r w:rsidRPr="00E50676">
        <w:t xml:space="preserve">, 1997; </w:t>
      </w:r>
      <w:proofErr w:type="spellStart"/>
      <w:r w:rsidRPr="00E50676">
        <w:t>Heckathorn</w:t>
      </w:r>
      <w:proofErr w:type="spellEnd"/>
      <w:r w:rsidRPr="00E50676">
        <w:t>, 2002).</w:t>
      </w:r>
      <w:r w:rsidR="007C1916">
        <w:t xml:space="preserve"> </w:t>
      </w:r>
      <w:r w:rsidR="007C1916" w:rsidRPr="007C1916">
        <w:t>(“Waves” are defined as generations of recruits stemming from a seed, i.e., from recruitment efforts of the persons the seed directly recruited and from the recruitment efforts of those the seed’s recruits recruited,</w:t>
      </w:r>
      <w:r w:rsidR="007C1916">
        <w:t xml:space="preserve"> </w:t>
      </w:r>
      <w:r w:rsidR="007C1916" w:rsidRPr="007C1916">
        <w:t>etc.)</w:t>
      </w:r>
      <w:r w:rsidRPr="00E50676">
        <w:t xml:space="preserve">  This stable sample composition is termed the “equilibrium.”</w:t>
      </w:r>
      <w:r w:rsidRPr="00E50676">
        <w:rPr>
          <w:b/>
        </w:rPr>
        <w:t xml:space="preserve">  </w:t>
      </w:r>
      <w:r w:rsidRPr="00E50676">
        <w:t xml:space="preserve">Experience with RDS indicates that equilibrium can be achieved in approximately 6 waves. </w:t>
      </w:r>
      <w:r w:rsidR="00973C7E" w:rsidRPr="00973C7E">
        <w:t>In</w:t>
      </w:r>
      <w:r w:rsidR="00973C7E">
        <w:t xml:space="preserve"> the pilot data collection</w:t>
      </w:r>
      <w:r w:rsidR="00973C7E" w:rsidRPr="00973C7E">
        <w:t xml:space="preserve">, </w:t>
      </w:r>
      <w:r w:rsidR="00973C7E">
        <w:t xml:space="preserve">the number of waves of recruitment varied </w:t>
      </w:r>
      <w:r w:rsidR="00BF4D6D">
        <w:t>(</w:t>
      </w:r>
      <w:r w:rsidR="007666D0">
        <w:t>r</w:t>
      </w:r>
      <w:r w:rsidR="00BF4D6D">
        <w:t>ange: 6-9</w:t>
      </w:r>
      <w:r w:rsidR="00973C7E">
        <w:t xml:space="preserve"> waves</w:t>
      </w:r>
      <w:r w:rsidR="00BF4D6D">
        <w:t>)</w:t>
      </w:r>
      <w:r w:rsidR="00973C7E" w:rsidRPr="00973C7E">
        <w:t xml:space="preserve">. </w:t>
      </w:r>
    </w:p>
    <w:p w:rsidR="00973C7E" w:rsidRDefault="00973C7E" w:rsidP="002C61B3"/>
    <w:p w:rsidR="002C61B3" w:rsidRPr="00E50676" w:rsidRDefault="002C61B3" w:rsidP="002C61B3">
      <w:r w:rsidRPr="00E50676">
        <w:t>Another factor that has an impact on how quickly equilibrium can be reached is called “</w:t>
      </w:r>
      <w:proofErr w:type="spellStart"/>
      <w:r w:rsidRPr="00E50676">
        <w:t>homophily</w:t>
      </w:r>
      <w:proofErr w:type="spellEnd"/>
      <w:r w:rsidRPr="00E50676">
        <w:t xml:space="preserve">.” This refers to the degree of insularity, or in-group preference for recruitment. The more insular a group, the more likely they are to recruit others like themselves and </w:t>
      </w:r>
      <w:r w:rsidR="00B44784">
        <w:t xml:space="preserve">insularity implies a greater number of </w:t>
      </w:r>
      <w:r w:rsidRPr="00E50676">
        <w:t xml:space="preserve">waves to reach equilibrium. </w:t>
      </w:r>
      <w:r w:rsidR="00973C7E" w:rsidRPr="00973C7E">
        <w:t xml:space="preserve">In </w:t>
      </w:r>
      <w:r w:rsidR="00973C7E">
        <w:t>the pilot data collection</w:t>
      </w:r>
      <w:r w:rsidR="00973C7E" w:rsidRPr="00973C7E">
        <w:t xml:space="preserve">, </w:t>
      </w:r>
      <w:r w:rsidR="00F84FCC">
        <w:t xml:space="preserve">racial </w:t>
      </w:r>
      <w:proofErr w:type="spellStart"/>
      <w:r w:rsidR="00973C7E" w:rsidRPr="00973C7E">
        <w:t>homophily</w:t>
      </w:r>
      <w:proofErr w:type="spellEnd"/>
      <w:r w:rsidR="00973C7E" w:rsidRPr="00973C7E">
        <w:t xml:space="preserve"> – which can also be described as the measure of persons’ preferences to recruit only those who are like themselves</w:t>
      </w:r>
      <w:r w:rsidR="00F84FCC">
        <w:t xml:space="preserve"> racially </w:t>
      </w:r>
      <w:r w:rsidR="00E460C6">
        <w:t>ranged from .1 to .8 (or 10 to 80%)</w:t>
      </w:r>
      <w:r w:rsidR="004856D7">
        <w:t xml:space="preserve"> across sites</w:t>
      </w:r>
      <w:r w:rsidR="00E460C6">
        <w:t xml:space="preserve">, </w:t>
      </w:r>
      <w:r w:rsidR="00973C7E" w:rsidRPr="00973C7E">
        <w:t xml:space="preserve">meaning that </w:t>
      </w:r>
      <w:r w:rsidR="00E460C6">
        <w:t>10 to 8</w:t>
      </w:r>
      <w:r w:rsidR="00F84FCC" w:rsidRPr="00973C7E">
        <w:t xml:space="preserve">0% of </w:t>
      </w:r>
      <w:r w:rsidR="00E460C6">
        <w:t xml:space="preserve">the </w:t>
      </w:r>
      <w:r w:rsidR="00F84FCC" w:rsidRPr="00973C7E">
        <w:t>recruiters</w:t>
      </w:r>
      <w:r w:rsidR="00E460C6">
        <w:t>,</w:t>
      </w:r>
      <w:r w:rsidR="00F84FCC" w:rsidRPr="00973C7E">
        <w:t xml:space="preserve"> recruited only </w:t>
      </w:r>
      <w:r w:rsidR="00E460C6">
        <w:t>persons of their same race or ethnicity, while the remaining percentage (90-20%</w:t>
      </w:r>
      <w:r w:rsidR="004856D7">
        <w:t xml:space="preserve"> across sites</w:t>
      </w:r>
      <w:r w:rsidR="00E460C6">
        <w:t xml:space="preserve">) </w:t>
      </w:r>
      <w:r w:rsidR="00F84FCC" w:rsidRPr="00973C7E">
        <w:t>recruited at random regardless of race</w:t>
      </w:r>
      <w:r w:rsidR="00F84FCC">
        <w:t xml:space="preserve">. </w:t>
      </w:r>
      <w:r w:rsidR="00E460C6">
        <w:t>The pilot data collection was limited to only African American and Latino persons</w:t>
      </w:r>
      <w:r w:rsidR="00801E09">
        <w:t>; the e</w:t>
      </w:r>
      <w:r w:rsidR="00E460C6">
        <w:t xml:space="preserve">xternal consultants involved with data collection explained that these two racial and ethnic groups </w:t>
      </w:r>
      <w:r w:rsidR="00801E09">
        <w:t>sometimes do not interact socially, which means that they would be less likely to recruit from the other racial group. Since the proposed data collection will not be limited to these two racial/ethnic groups, recruiters will be able to recruit from a wider</w:t>
      </w:r>
      <w:r w:rsidR="007666D0">
        <w:t>,</w:t>
      </w:r>
      <w:r w:rsidR="00801E09">
        <w:t xml:space="preserve"> more racially diverse network and equilibrium may be reached sooner.  The age </w:t>
      </w:r>
      <w:proofErr w:type="spellStart"/>
      <w:r w:rsidR="00801E09">
        <w:t>homophily</w:t>
      </w:r>
      <w:proofErr w:type="spellEnd"/>
      <w:r w:rsidR="00801E09">
        <w:t xml:space="preserve"> ranged from .1 to .5 (or 10-50%</w:t>
      </w:r>
      <w:r w:rsidR="00733E7F">
        <w:t>)</w:t>
      </w:r>
      <w:r w:rsidR="004856D7">
        <w:t xml:space="preserve"> across sites</w:t>
      </w:r>
      <w:r w:rsidR="00801E09">
        <w:t xml:space="preserve">, which </w:t>
      </w:r>
      <w:r w:rsidR="00801E09">
        <w:lastRenderedPageBreak/>
        <w:t>means 10 to 50%</w:t>
      </w:r>
      <w:r w:rsidR="004856D7">
        <w:t xml:space="preserve"> across sites</w:t>
      </w:r>
      <w:r w:rsidR="00801E09">
        <w:t xml:space="preserve"> of the persons less than 30 years in age recruited persons of a similar age versus persons 30 years or older.  Overall, the </w:t>
      </w:r>
      <w:proofErr w:type="spellStart"/>
      <w:r w:rsidR="00801E09">
        <w:t>homophily</w:t>
      </w:r>
      <w:proofErr w:type="spellEnd"/>
      <w:r w:rsidR="00801E09">
        <w:t xml:space="preserve"> estimates for </w:t>
      </w:r>
      <w:r w:rsidR="00973C7E">
        <w:t xml:space="preserve">the pilot </w:t>
      </w:r>
      <w:r w:rsidR="00973C7E" w:rsidRPr="00973C7E">
        <w:t xml:space="preserve">are within the anticipated bounds reported in other studies using RDS methods.  </w:t>
      </w:r>
      <w:r w:rsidRPr="00E50676">
        <w:t xml:space="preserve">Having a diverse set of seeds </w:t>
      </w:r>
      <w:r w:rsidR="00973C7E" w:rsidRPr="00973C7E">
        <w:t>(according to race/ethnicity</w:t>
      </w:r>
      <w:r w:rsidR="00973C7E">
        <w:t xml:space="preserve"> and </w:t>
      </w:r>
      <w:r w:rsidR="00973C7E" w:rsidRPr="00973C7E">
        <w:t xml:space="preserve">age) </w:t>
      </w:r>
      <w:r w:rsidRPr="00E50676">
        <w:t xml:space="preserve">will help ensure diversity of networks </w:t>
      </w:r>
      <w:r w:rsidR="00973C7E" w:rsidRPr="00973C7E">
        <w:t>which is expected to minimize the insularity of the sample.</w:t>
      </w:r>
    </w:p>
    <w:p w:rsidR="002C61B3" w:rsidRPr="00E50676" w:rsidRDefault="002C61B3" w:rsidP="002C61B3"/>
    <w:p w:rsidR="002C61B3" w:rsidRPr="00E50676" w:rsidRDefault="00B44784" w:rsidP="002C61B3">
      <w:r>
        <w:t xml:space="preserve">With the </w:t>
      </w:r>
      <w:r w:rsidR="002C61B3" w:rsidRPr="00E50676">
        <w:t xml:space="preserve">RDS </w:t>
      </w:r>
      <w:r>
        <w:t xml:space="preserve">method, the sampling frame </w:t>
      </w:r>
      <w:r w:rsidR="002C61B3" w:rsidRPr="00E50676">
        <w:t xml:space="preserve">is </w:t>
      </w:r>
      <w:r>
        <w:t>initially the social networks of the seeds, with the social networks of successive waves of peer recruiters added.</w:t>
      </w:r>
      <w:r w:rsidR="002C61B3" w:rsidRPr="00E50676">
        <w:t xml:space="preserve"> Th</w:t>
      </w:r>
      <w:r>
        <w:t>is</w:t>
      </w:r>
      <w:r w:rsidR="002C61B3" w:rsidRPr="00E50676">
        <w:t xml:space="preserve"> frame </w:t>
      </w:r>
      <w:r>
        <w:t>can be described by</w:t>
      </w:r>
      <w:r w:rsidR="002C61B3" w:rsidRPr="00E50676">
        <w:t xml:space="preserve"> information collected from participants regarding who recruited them and </w:t>
      </w:r>
      <w:r>
        <w:t xml:space="preserve">information about the </w:t>
      </w:r>
      <w:r w:rsidR="002C61B3" w:rsidRPr="00E50676">
        <w:t>size</w:t>
      </w:r>
      <w:r>
        <w:t>s of recruiters’ social networks</w:t>
      </w:r>
      <w:r w:rsidR="002C61B3" w:rsidRPr="00E50676">
        <w:t>. Recruitment is tracked by the use of coupons; recruiters can be linked to those they have successfully recruited using the Coupon Manager software. Information on who recruited whom is used to calculate cross-group recruitment proportions</w:t>
      </w:r>
      <w:r w:rsidR="00026DAD">
        <w:t>, as described above</w:t>
      </w:r>
      <w:r w:rsidR="002C61B3" w:rsidRPr="00E50676">
        <w:t xml:space="preserve">. The participant’s </w:t>
      </w:r>
      <w:r w:rsidR="007B50C8">
        <w:t xml:space="preserve">social </w:t>
      </w:r>
      <w:r w:rsidR="002C61B3" w:rsidRPr="00E50676">
        <w:t xml:space="preserve">network size is </w:t>
      </w:r>
      <w:r w:rsidR="00CE1280">
        <w:t>defined as</w:t>
      </w:r>
      <w:r w:rsidR="002C61B3" w:rsidRPr="00E50676">
        <w:t xml:space="preserve"> how many people they know who fit the eligibility criteria for the project.</w:t>
      </w:r>
      <w:r w:rsidR="00482D18">
        <w:t xml:space="preserve"> In the previously approved pilot data collection, the median </w:t>
      </w:r>
      <w:r w:rsidR="007B50C8">
        <w:t xml:space="preserve">social </w:t>
      </w:r>
      <w:r w:rsidR="00482D18">
        <w:t xml:space="preserve">network size reported was 15 </w:t>
      </w:r>
      <w:r w:rsidR="00482D18" w:rsidRPr="00482D18">
        <w:t xml:space="preserve">and the first and third quartiles were </w:t>
      </w:r>
      <w:r w:rsidR="007B50C8">
        <w:t>6</w:t>
      </w:r>
      <w:r w:rsidR="00482D18" w:rsidRPr="00482D18">
        <w:t xml:space="preserve"> and </w:t>
      </w:r>
      <w:r w:rsidR="007B50C8">
        <w:t>30</w:t>
      </w:r>
      <w:r w:rsidR="00482D18">
        <w:t xml:space="preserve">.   </w:t>
      </w:r>
    </w:p>
    <w:p w:rsidR="007B50C8" w:rsidRDefault="00606FDC" w:rsidP="002C61B3">
      <w:pPr>
        <w:spacing w:before="120"/>
        <w:rPr>
          <w:b/>
        </w:rPr>
      </w:pPr>
      <w:r>
        <w:t xml:space="preserve">  </w:t>
      </w:r>
    </w:p>
    <w:p w:rsidR="002C61B3" w:rsidRPr="00E50676" w:rsidRDefault="002C61B3" w:rsidP="002C61B3">
      <w:pPr>
        <w:spacing w:before="120"/>
        <w:rPr>
          <w:b/>
        </w:rPr>
      </w:pPr>
      <w:r w:rsidRPr="00E50676">
        <w:rPr>
          <w:b/>
        </w:rPr>
        <w:t xml:space="preserve">4. Test of Procedures or Methods to be </w:t>
      </w:r>
      <w:proofErr w:type="gramStart"/>
      <w:r w:rsidRPr="00E50676">
        <w:rPr>
          <w:b/>
        </w:rPr>
        <w:t>Undertaken</w:t>
      </w:r>
      <w:proofErr w:type="gramEnd"/>
    </w:p>
    <w:p w:rsidR="002C61B3" w:rsidRPr="00E50676" w:rsidRDefault="002C61B3" w:rsidP="002C61B3"/>
    <w:p w:rsidR="00293D51" w:rsidRDefault="00DC2F83" w:rsidP="002C61B3">
      <w:r>
        <w:t xml:space="preserve">The feasibility of using RDS methods to recruit transgender persons into a behavioral survey were examined using data from the previously approved pilot data collection. </w:t>
      </w:r>
      <w:r w:rsidR="008C747D">
        <w:t>O</w:t>
      </w:r>
      <w:r>
        <w:t xml:space="preserve">verall, </w:t>
      </w:r>
      <w:r w:rsidR="008864C6">
        <w:t>97% of the 238 persons screened for eligibility were eligible; 99% of the 230 eligible agreed to participate. When using RDS methods, the number of interviews conducted each week should increase steadily over time.  However, in the previously approved pilot data collection</w:t>
      </w:r>
      <w:r w:rsidR="0096767C">
        <w:t xml:space="preserve">, recruitment </w:t>
      </w:r>
      <w:r w:rsidR="008864C6">
        <w:t xml:space="preserve">did not </w:t>
      </w:r>
      <w:r w:rsidR="0096767C">
        <w:t xml:space="preserve">steadily increase as expected in </w:t>
      </w:r>
      <w:r w:rsidR="008C747D">
        <w:t>some of the p</w:t>
      </w:r>
      <w:r w:rsidR="008864C6">
        <w:t xml:space="preserve">articipating </w:t>
      </w:r>
      <w:r w:rsidR="0096767C">
        <w:t xml:space="preserve">sites. </w:t>
      </w:r>
      <w:proofErr w:type="spellStart"/>
      <w:r w:rsidR="00801E09">
        <w:t>H</w:t>
      </w:r>
      <w:r w:rsidR="0096767C">
        <w:t>omophily</w:t>
      </w:r>
      <w:proofErr w:type="spellEnd"/>
      <w:r w:rsidR="0096767C">
        <w:t xml:space="preserve"> estimates for race and age were also revi</w:t>
      </w:r>
      <w:r w:rsidR="00801E09">
        <w:t xml:space="preserve">ewed and are </w:t>
      </w:r>
      <w:r w:rsidR="008C747D">
        <w:t xml:space="preserve">presented above in section B3.  This information was presented to the </w:t>
      </w:r>
      <w:r w:rsidR="008864C6">
        <w:t xml:space="preserve">external consultants </w:t>
      </w:r>
      <w:r w:rsidR="008C747D">
        <w:t xml:space="preserve">involved with the previously approved pilot data collection. Overall, RDS appeared feasible for recruiting transgender persons into the behavioral </w:t>
      </w:r>
      <w:r w:rsidR="005A52C8">
        <w:t>assessment</w:t>
      </w:r>
      <w:r w:rsidR="008C747D">
        <w:t>.  However, the methods needed to include more time to conduct additional f</w:t>
      </w:r>
      <w:r w:rsidR="008864C6">
        <w:t xml:space="preserve">ormative research in the </w:t>
      </w:r>
      <w:r w:rsidR="008C747D">
        <w:t xml:space="preserve">local transgender </w:t>
      </w:r>
      <w:r w:rsidR="008864C6">
        <w:t>community prior to data collection</w:t>
      </w:r>
      <w:r w:rsidR="0096767C">
        <w:t xml:space="preserve"> to identify initial recruits and barriers to participation (e.g., field site location, unfamiliarity with the project in the community</w:t>
      </w:r>
      <w:r w:rsidR="00801E09">
        <w:t>, insular demographic groups</w:t>
      </w:r>
      <w:r w:rsidR="0096767C">
        <w:t>)</w:t>
      </w:r>
      <w:r w:rsidR="008864C6">
        <w:t xml:space="preserve">. </w:t>
      </w:r>
      <w:r w:rsidR="0096767C">
        <w:t>Th</w:t>
      </w:r>
      <w:r w:rsidR="00801E09">
        <w:t>e propos</w:t>
      </w:r>
      <w:r w:rsidR="008C747D">
        <w:t>ed data collection include</w:t>
      </w:r>
      <w:r w:rsidR="007666D0">
        <w:t>s</w:t>
      </w:r>
      <w:r w:rsidR="008C747D">
        <w:t xml:space="preserve"> this change</w:t>
      </w:r>
      <w:r w:rsidR="0096767C">
        <w:t xml:space="preserve">. </w:t>
      </w:r>
    </w:p>
    <w:p w:rsidR="008864C6" w:rsidRDefault="008864C6" w:rsidP="002C61B3"/>
    <w:p w:rsidR="00BA223A" w:rsidRDefault="00026DAD" w:rsidP="002C61B3">
      <w:pPr>
        <w:spacing w:before="120"/>
        <w:rPr>
          <w:b/>
        </w:rPr>
      </w:pPr>
      <w:r w:rsidRPr="00026DAD">
        <w:t>The data collection instruments were developed using questions from previous CDC surveillance projects, such as the Medical Monitoring Project (MMP) (OMB 0920-0740, exp. 5/31/2012)</w:t>
      </w:r>
      <w:r>
        <w:t xml:space="preserve"> and </w:t>
      </w:r>
      <w:r w:rsidRPr="00026DAD">
        <w:t xml:space="preserve">the </w:t>
      </w:r>
      <w:r>
        <w:t xml:space="preserve">National </w:t>
      </w:r>
      <w:r w:rsidRPr="00026DAD">
        <w:t>Behavioral Surveillance System (OMB No. 0920-07</w:t>
      </w:r>
      <w:r>
        <w:t>70</w:t>
      </w:r>
      <w:r w:rsidRPr="00026DAD">
        <w:t xml:space="preserve">, exp. </w:t>
      </w:r>
      <w:r>
        <w:t>03</w:t>
      </w:r>
      <w:r w:rsidRPr="00026DAD">
        <w:t>/31/201</w:t>
      </w:r>
      <w:r>
        <w:t>1</w:t>
      </w:r>
      <w:r w:rsidRPr="00026DAD">
        <w:t xml:space="preserve">). External consultants helped develop and refine the </w:t>
      </w:r>
      <w:r w:rsidR="00606FDC">
        <w:t>d</w:t>
      </w:r>
      <w:r w:rsidRPr="00026DAD">
        <w:t xml:space="preserve">ata collection </w:t>
      </w:r>
      <w:r w:rsidR="00606FDC">
        <w:t>instruments</w:t>
      </w:r>
      <w:r w:rsidR="00D11306">
        <w:t xml:space="preserve"> (See Table 8.A. in Supporting Statement, Part A for a list of consultants</w:t>
      </w:r>
      <w:r w:rsidRPr="00026DAD">
        <w:t xml:space="preserve">). </w:t>
      </w:r>
      <w:r w:rsidR="00017A3A">
        <w:t>In addition, q</w:t>
      </w:r>
      <w:r w:rsidR="003B789E">
        <w:t xml:space="preserve">uestions from the eligibility screener and behavioral assessment used in the </w:t>
      </w:r>
      <w:r w:rsidR="007B50C8">
        <w:t>previously approved pilot data collection</w:t>
      </w:r>
      <w:r w:rsidR="003B789E">
        <w:t xml:space="preserve"> were evaluated</w:t>
      </w:r>
      <w:r w:rsidR="00017A3A">
        <w:t xml:space="preserve"> b</w:t>
      </w:r>
      <w:r w:rsidR="004D5AC9">
        <w:t>y examining the number of respondents who e</w:t>
      </w:r>
      <w:r w:rsidR="003B789E">
        <w:t>ither refused or reported not knowing the answer</w:t>
      </w:r>
      <w:r w:rsidR="004D5AC9">
        <w:t xml:space="preserve">. </w:t>
      </w:r>
      <w:r w:rsidR="00017A3A">
        <w:t>Also in the previously approved pilot data collection, each respondent completing the behavioral assessment instrument was asked to provide feedback on the questionnaire.</w:t>
      </w:r>
      <w:r w:rsidR="004D5AC9">
        <w:t xml:space="preserve"> </w:t>
      </w:r>
      <w:r w:rsidR="00017A3A">
        <w:t xml:space="preserve">The questions </w:t>
      </w:r>
      <w:r w:rsidR="007666D0">
        <w:t>for which</w:t>
      </w:r>
      <w:r w:rsidR="00017A3A">
        <w:t xml:space="preserve"> </w:t>
      </w:r>
      <w:r w:rsidR="004D5AC9">
        <w:t>at least 3 respondents either refuse</w:t>
      </w:r>
      <w:r w:rsidR="00017A3A">
        <w:t>d</w:t>
      </w:r>
      <w:r w:rsidR="004D5AC9">
        <w:t xml:space="preserve"> or report</w:t>
      </w:r>
      <w:r w:rsidR="00017A3A">
        <w:t>ed</w:t>
      </w:r>
      <w:r w:rsidR="004D5AC9">
        <w:t xml:space="preserve"> not knowing the answer</w:t>
      </w:r>
      <w:r w:rsidR="00017A3A">
        <w:t xml:space="preserve"> and the respondent feedback on the questionnaire were reviewed with external consultants who were involved in the pilot data collection. Changes were made in the instruments based on this review </w:t>
      </w:r>
      <w:r w:rsidR="00017A3A">
        <w:lastRenderedPageBreak/>
        <w:t xml:space="preserve">(See </w:t>
      </w:r>
      <w:r w:rsidR="00B15C2D" w:rsidRPr="00B15C2D">
        <w:rPr>
          <w:b/>
        </w:rPr>
        <w:t xml:space="preserve">Attachment </w:t>
      </w:r>
      <w:r w:rsidR="00D11306">
        <w:rPr>
          <w:b/>
        </w:rPr>
        <w:t>9</w:t>
      </w:r>
      <w:r w:rsidR="00B15C2D" w:rsidRPr="00B15C2D">
        <w:rPr>
          <w:b/>
        </w:rPr>
        <w:t xml:space="preserve"> and 1</w:t>
      </w:r>
      <w:r w:rsidR="00D11306">
        <w:rPr>
          <w:b/>
        </w:rPr>
        <w:t>0</w:t>
      </w:r>
      <w:r w:rsidR="00017A3A">
        <w:t xml:space="preserve"> for changes). </w:t>
      </w:r>
      <w:r w:rsidR="002C61B3" w:rsidRPr="00E50676">
        <w:t xml:space="preserve">  Prior to implementation in the field, CDC staff will test the skip patterns and responses of the data collection instruments. CDC staff will also conduct mock interviews of </w:t>
      </w:r>
      <w:r w:rsidR="00CE1280">
        <w:t>their</w:t>
      </w:r>
      <w:r w:rsidR="002C61B3" w:rsidRPr="00E50676">
        <w:t xml:space="preserve"> CDC </w:t>
      </w:r>
      <w:r w:rsidR="00CE1280">
        <w:t>colleagues</w:t>
      </w:r>
      <w:r w:rsidR="002C61B3" w:rsidRPr="00E50676">
        <w:t xml:space="preserve"> using </w:t>
      </w:r>
      <w:r w:rsidR="00CE1280">
        <w:t xml:space="preserve">the electronic interview application loaded onto </w:t>
      </w:r>
      <w:r w:rsidR="0031050B">
        <w:t xml:space="preserve">handheld </w:t>
      </w:r>
      <w:r w:rsidR="002C61B3" w:rsidRPr="00E50676">
        <w:t>computers.</w:t>
      </w:r>
      <w:r>
        <w:t xml:space="preserve"> </w:t>
      </w:r>
    </w:p>
    <w:p w:rsidR="008C747D" w:rsidRDefault="008C747D" w:rsidP="002C61B3">
      <w:pPr>
        <w:spacing w:before="120"/>
        <w:rPr>
          <w:b/>
        </w:rPr>
      </w:pPr>
    </w:p>
    <w:p w:rsidR="002C61B3" w:rsidRPr="00E50676" w:rsidRDefault="002C61B3" w:rsidP="002C61B3">
      <w:pPr>
        <w:spacing w:before="120"/>
      </w:pPr>
      <w:r w:rsidRPr="00E50676">
        <w:rPr>
          <w:b/>
        </w:rPr>
        <w:t>5. Individuals Consulted on Statistical Aspects and Individuals Collecting and/or Analyzing Data</w:t>
      </w:r>
    </w:p>
    <w:p w:rsidR="002C61B3" w:rsidRPr="00E50676" w:rsidRDefault="002C61B3" w:rsidP="002C61B3">
      <w:pPr>
        <w:ind w:left="360"/>
      </w:pPr>
    </w:p>
    <w:p w:rsidR="00F930A8" w:rsidRDefault="002C61B3" w:rsidP="002C61B3">
      <w:r w:rsidRPr="00E50676">
        <w:t xml:space="preserve">Drs. Lillian Lin, Chris Johnson, </w:t>
      </w:r>
      <w:r w:rsidR="00E5606A">
        <w:t xml:space="preserve">Cyprian Wejnert, </w:t>
      </w:r>
      <w:r w:rsidRPr="00E50676">
        <w:t xml:space="preserve">and Doug </w:t>
      </w:r>
      <w:proofErr w:type="spellStart"/>
      <w:r w:rsidRPr="00E50676">
        <w:t>Heckathorn</w:t>
      </w:r>
      <w:proofErr w:type="spellEnd"/>
      <w:r w:rsidRPr="00E50676">
        <w:t xml:space="preserve"> were consulted about the statistical aspects of the project, including the sampling strategy, analytic methods for examining the objectives, and sample size.</w:t>
      </w:r>
    </w:p>
    <w:p w:rsidR="00BA223A" w:rsidRPr="00E50676" w:rsidRDefault="00BA223A" w:rsidP="002C61B3"/>
    <w:p w:rsidR="00733E7F" w:rsidRDefault="00733E7F" w:rsidP="002C61B3">
      <w:pPr>
        <w:rPr>
          <w:u w:val="single"/>
        </w:rPr>
      </w:pPr>
    </w:p>
    <w:p w:rsidR="00733E7F" w:rsidRDefault="00733E7F" w:rsidP="002C61B3">
      <w:pPr>
        <w:rPr>
          <w:u w:val="single"/>
        </w:rPr>
      </w:pPr>
    </w:p>
    <w:p w:rsidR="002C61B3" w:rsidRPr="00E50676" w:rsidRDefault="00E5606A" w:rsidP="002C61B3">
      <w:pPr>
        <w:rPr>
          <w:u w:val="single"/>
        </w:rPr>
      </w:pPr>
      <w:r>
        <w:rPr>
          <w:u w:val="single"/>
        </w:rPr>
        <w:t>Grantees</w:t>
      </w:r>
    </w:p>
    <w:p w:rsidR="00052CB0" w:rsidRDefault="00052CB0" w:rsidP="00052CB0">
      <w:r>
        <w:t>State and local health departments are funded to co</w:t>
      </w:r>
      <w:r w:rsidR="00820DCD">
        <w:t>nduct</w:t>
      </w:r>
      <w:r>
        <w:t xml:space="preserve"> THBS through a cooperative agreement. Their role as a grantee is to collect the data.  Data collected by the health department and its agents belong to that health department. The grantee is responsible for analyzing their data. After completing the data collection, the grantees will be debriefed by CDC to obtain input on improving future data collection.  </w:t>
      </w:r>
    </w:p>
    <w:p w:rsidR="00DC2F83" w:rsidRDefault="00DC2F83" w:rsidP="002C61B3"/>
    <w:p w:rsidR="002C61B3" w:rsidRDefault="002E0892" w:rsidP="002C61B3">
      <w:r>
        <w:t>When funds become available, f</w:t>
      </w:r>
      <w:r w:rsidR="002C61B3" w:rsidRPr="00297EDF">
        <w:t xml:space="preserve">unding for THBS </w:t>
      </w:r>
      <w:r>
        <w:t>will be</w:t>
      </w:r>
      <w:r w:rsidR="000F660F">
        <w:t xml:space="preserve"> provided </w:t>
      </w:r>
      <w:r w:rsidR="002C61B3" w:rsidRPr="00297EDF">
        <w:t xml:space="preserve">through </w:t>
      </w:r>
      <w:r w:rsidR="000F660F">
        <w:t xml:space="preserve">the </w:t>
      </w:r>
      <w:r w:rsidR="00E5606A" w:rsidRPr="00297EDF">
        <w:t>cooperative agreement</w:t>
      </w:r>
      <w:r>
        <w:t xml:space="preserve"> used to </w:t>
      </w:r>
      <w:r w:rsidR="000F660F">
        <w:t>fund</w:t>
      </w:r>
      <w:r w:rsidR="00E5606A" w:rsidRPr="00297EDF">
        <w:t xml:space="preserve"> state and local health departments</w:t>
      </w:r>
      <w:r w:rsidR="000F660F">
        <w:t xml:space="preserve"> to conduct the National HIV Behavioral Surveillance system</w:t>
      </w:r>
      <w:r w:rsidR="002C61B3" w:rsidRPr="00297EDF">
        <w:t xml:space="preserve">. </w:t>
      </w:r>
      <w:r>
        <w:t>E</w:t>
      </w:r>
      <w:r w:rsidR="000F660F">
        <w:t xml:space="preserve">ligibility for submitting </w:t>
      </w:r>
      <w:r w:rsidR="002C61B3" w:rsidRPr="00297EDF">
        <w:t xml:space="preserve">request for proposals </w:t>
      </w:r>
      <w:r w:rsidR="000F660F">
        <w:t xml:space="preserve">in this </w:t>
      </w:r>
      <w:r>
        <w:t xml:space="preserve">cooperative agreement </w:t>
      </w:r>
      <w:r w:rsidR="002E1970">
        <w:t>is</w:t>
      </w:r>
      <w:r w:rsidR="002C61B3" w:rsidRPr="00297EDF">
        <w:t xml:space="preserve"> limited to the directly funded city health departments containing the following Divisions of Metropolitan Statistical Areas (MSA): Los Angeles, CA (Los Angeles Division); San Francisco, CA (San Francisco Division); Chicago, IL (Chicago Division); New York</w:t>
      </w:r>
      <w:r w:rsidR="002C61B3" w:rsidRPr="00E50676">
        <w:t xml:space="preserve"> City, NY (New York Division); Philadelphia, PA (Philadelphia Division); Houston, TX ; and the State health departments containing the following MSA or Divisions: San Diego, CA; Denver, CO; Washington DC (Washington Division); Miami, FL (Miami Division); Atlanta, GA; New Orleans, LA; Boston, MA (Boston Division); Baltimore, MD; Detroit, MI; St. Louis, MO; New York City (Newark Division and Nassau Division); San Juan, PR; Dallas, TX (Dallas Division); VA; Seattle, WA (Seattle Division). The grantees will be determined depending on available funds</w:t>
      </w:r>
      <w:r w:rsidR="002E1970">
        <w:t>, AIDS prevalence,</w:t>
      </w:r>
      <w:r w:rsidR="002C61B3" w:rsidRPr="00E50676">
        <w:t xml:space="preserve"> and evaluation of the funding proposals.</w:t>
      </w:r>
    </w:p>
    <w:p w:rsidR="009421AC" w:rsidRDefault="009421AC" w:rsidP="00F930A8">
      <w:pPr>
        <w:rPr>
          <w:u w:val="single"/>
        </w:rPr>
      </w:pPr>
    </w:p>
    <w:p w:rsidR="00733E7F" w:rsidRDefault="00733E7F" w:rsidP="00F930A8">
      <w:pPr>
        <w:rPr>
          <w:u w:val="single"/>
        </w:rPr>
      </w:pPr>
    </w:p>
    <w:p w:rsidR="00733E7F" w:rsidRDefault="00733E7F" w:rsidP="00F930A8">
      <w:pPr>
        <w:rPr>
          <w:u w:val="single"/>
        </w:rPr>
      </w:pPr>
    </w:p>
    <w:p w:rsidR="00733E7F" w:rsidRDefault="00733E7F" w:rsidP="00F930A8">
      <w:pPr>
        <w:rPr>
          <w:u w:val="single"/>
        </w:rPr>
      </w:pPr>
    </w:p>
    <w:p w:rsidR="00733E7F" w:rsidRDefault="00733E7F" w:rsidP="00F930A8">
      <w:pPr>
        <w:rPr>
          <w:u w:val="single"/>
        </w:rPr>
      </w:pPr>
    </w:p>
    <w:p w:rsidR="00733E7F" w:rsidRDefault="00733E7F" w:rsidP="00F930A8">
      <w:pPr>
        <w:rPr>
          <w:u w:val="single"/>
        </w:rPr>
      </w:pPr>
    </w:p>
    <w:p w:rsidR="00733E7F" w:rsidRDefault="00733E7F" w:rsidP="00F930A8">
      <w:pPr>
        <w:rPr>
          <w:u w:val="single"/>
        </w:rPr>
      </w:pPr>
    </w:p>
    <w:p w:rsidR="00733E7F" w:rsidRDefault="00733E7F" w:rsidP="00F930A8">
      <w:pPr>
        <w:rPr>
          <w:u w:val="single"/>
        </w:rPr>
      </w:pPr>
    </w:p>
    <w:p w:rsidR="00733E7F" w:rsidRDefault="00733E7F" w:rsidP="00F930A8">
      <w:pPr>
        <w:rPr>
          <w:u w:val="single"/>
        </w:rPr>
      </w:pPr>
    </w:p>
    <w:p w:rsidR="00733E7F" w:rsidRDefault="00733E7F" w:rsidP="00F930A8">
      <w:pPr>
        <w:rPr>
          <w:u w:val="single"/>
        </w:rPr>
      </w:pPr>
    </w:p>
    <w:p w:rsidR="006D2536" w:rsidRDefault="006D2536" w:rsidP="00F930A8">
      <w:pPr>
        <w:rPr>
          <w:u w:val="single"/>
        </w:rPr>
      </w:pPr>
    </w:p>
    <w:p w:rsidR="006D2536" w:rsidRDefault="006D2536" w:rsidP="00F930A8">
      <w:pPr>
        <w:rPr>
          <w:u w:val="single"/>
        </w:rPr>
      </w:pPr>
    </w:p>
    <w:p w:rsidR="006D2536" w:rsidRDefault="006D2536" w:rsidP="00F930A8">
      <w:pPr>
        <w:rPr>
          <w:u w:val="single"/>
        </w:rPr>
      </w:pPr>
    </w:p>
    <w:p w:rsidR="00F930A8" w:rsidRPr="00E50676" w:rsidRDefault="00F930A8" w:rsidP="00F930A8">
      <w:pPr>
        <w:rPr>
          <w:u w:val="single"/>
        </w:rPr>
      </w:pPr>
      <w:r w:rsidRPr="00E50676">
        <w:rPr>
          <w:u w:val="single"/>
        </w:rPr>
        <w:t>CDC Project Staff</w:t>
      </w:r>
    </w:p>
    <w:p w:rsidR="00F930A8" w:rsidRDefault="00F930A8" w:rsidP="00F930A8"/>
    <w:p w:rsidR="00BA223A" w:rsidRDefault="002E1970" w:rsidP="00F930A8">
      <w:r w:rsidRPr="002E1970">
        <w:t xml:space="preserve">CDC is not directly engaged with </w:t>
      </w:r>
      <w:r w:rsidR="00820DCD">
        <w:t xml:space="preserve">collecting data from </w:t>
      </w:r>
      <w:r w:rsidRPr="002E1970">
        <w:t xml:space="preserve">human subjects </w:t>
      </w:r>
      <w:r w:rsidR="00820DCD">
        <w:t>for THBS</w:t>
      </w:r>
      <w:r w:rsidRPr="002E1970">
        <w:t xml:space="preserve">. However, CDC Project Staff below </w:t>
      </w:r>
      <w:r w:rsidR="00BA223A">
        <w:t xml:space="preserve">designed the data collection and </w:t>
      </w:r>
      <w:r w:rsidRPr="002E1970">
        <w:t xml:space="preserve">will train health department staff in data collection methods, monitor the progress of recruitment by health department staff, </w:t>
      </w:r>
      <w:r w:rsidR="00BA223A">
        <w:t xml:space="preserve">as well as </w:t>
      </w:r>
      <w:r w:rsidRPr="002E1970">
        <w:t xml:space="preserve">analyze the </w:t>
      </w:r>
      <w:r w:rsidR="00BA223A">
        <w:t xml:space="preserve">national </w:t>
      </w:r>
      <w:r w:rsidRPr="002E1970">
        <w:t>data.</w:t>
      </w:r>
      <w:r w:rsidR="00BA223A">
        <w:t xml:space="preserve"> </w:t>
      </w:r>
    </w:p>
    <w:p w:rsidR="00BA223A" w:rsidRDefault="00BA223A" w:rsidP="00F930A8"/>
    <w:p w:rsidR="00F930A8" w:rsidRPr="00E50676" w:rsidRDefault="00F930A8" w:rsidP="00F930A8">
      <w:r w:rsidRPr="00E50676">
        <w:t>All CDC project staff can be reached at the following address</w:t>
      </w:r>
      <w:r w:rsidR="00A452F6">
        <w:t>es</w:t>
      </w:r>
      <w:r w:rsidRPr="00E50676">
        <w:t xml:space="preserve"> and phone number: </w:t>
      </w:r>
    </w:p>
    <w:p w:rsidR="00F930A8" w:rsidRPr="00E50676" w:rsidRDefault="00F930A8" w:rsidP="00F930A8">
      <w:r w:rsidRPr="00E50676">
        <w:t>Behavioral and Clinical Surveillance Branch</w:t>
      </w:r>
    </w:p>
    <w:p w:rsidR="00F930A8" w:rsidRPr="00E50676" w:rsidRDefault="00F930A8" w:rsidP="00F930A8">
      <w:r w:rsidRPr="00E50676">
        <w:t>Division of HIV/AIDS Prevention</w:t>
      </w:r>
    </w:p>
    <w:p w:rsidR="00F930A8" w:rsidRPr="00E50676" w:rsidRDefault="00F930A8" w:rsidP="00F930A8">
      <w:r w:rsidRPr="00E50676">
        <w:t>Centers for Disease Control and Prevention</w:t>
      </w:r>
    </w:p>
    <w:p w:rsidR="00F930A8" w:rsidRPr="00E50676" w:rsidRDefault="00F930A8" w:rsidP="00F930A8">
      <w:r w:rsidRPr="00E50676">
        <w:t xml:space="preserve">1600 Clifton Rd, NE </w:t>
      </w:r>
    </w:p>
    <w:p w:rsidR="00F930A8" w:rsidRPr="00E50676" w:rsidRDefault="00F930A8" w:rsidP="00F930A8">
      <w:r w:rsidRPr="00E50676">
        <w:t>MS E-46</w:t>
      </w:r>
    </w:p>
    <w:p w:rsidR="00F930A8" w:rsidRPr="00E50676" w:rsidRDefault="00F930A8" w:rsidP="00F930A8">
      <w:r w:rsidRPr="00E50676">
        <w:t>Atlanta, GA 30333</w:t>
      </w:r>
    </w:p>
    <w:p w:rsidR="00F930A8" w:rsidRDefault="00F930A8" w:rsidP="00F930A8">
      <w:r w:rsidRPr="00E50676">
        <w:t>Phone: (404) 639-2090</w:t>
      </w:r>
    </w:p>
    <w:p w:rsidR="00F930A8" w:rsidRDefault="00F930A8" w:rsidP="00F930A8">
      <w:pPr>
        <w:rPr>
          <w:sz w:val="22"/>
          <w:szCs w:val="22"/>
        </w:rPr>
      </w:pPr>
    </w:p>
    <w:p w:rsidR="00FC424A" w:rsidRDefault="00FC424A" w:rsidP="00F930A8">
      <w:pPr>
        <w:rPr>
          <w:sz w:val="22"/>
          <w:szCs w:val="22"/>
        </w:rPr>
        <w:sectPr w:rsidR="00FC424A" w:rsidSect="00C94038">
          <w:footerReference w:type="default" r:id="rId9"/>
          <w:pgSz w:w="12240" w:h="15840"/>
          <w:pgMar w:top="1440" w:right="1440" w:bottom="1440" w:left="1440" w:header="720" w:footer="720" w:gutter="0"/>
          <w:cols w:space="720"/>
          <w:noEndnote/>
          <w:docGrid w:linePitch="326"/>
        </w:sectPr>
      </w:pPr>
    </w:p>
    <w:p w:rsidR="00F930A8" w:rsidRPr="00827DF1" w:rsidRDefault="00F930A8" w:rsidP="00F930A8">
      <w:pPr>
        <w:rPr>
          <w:sz w:val="22"/>
          <w:szCs w:val="22"/>
        </w:rPr>
      </w:pPr>
      <w:r>
        <w:rPr>
          <w:sz w:val="22"/>
          <w:szCs w:val="22"/>
        </w:rPr>
        <w:lastRenderedPageBreak/>
        <w:t xml:space="preserve">Kristina Bowles, </w:t>
      </w:r>
      <w:r w:rsidRPr="00827DF1">
        <w:rPr>
          <w:sz w:val="22"/>
          <w:szCs w:val="22"/>
        </w:rPr>
        <w:t>MPH</w:t>
      </w:r>
    </w:p>
    <w:p w:rsidR="00F930A8" w:rsidRPr="00827DF1" w:rsidRDefault="00F930A8" w:rsidP="00F930A8">
      <w:pPr>
        <w:rPr>
          <w:sz w:val="22"/>
          <w:szCs w:val="22"/>
        </w:rPr>
      </w:pPr>
      <w:r>
        <w:rPr>
          <w:sz w:val="22"/>
          <w:szCs w:val="22"/>
        </w:rPr>
        <w:t>Project officer</w:t>
      </w:r>
    </w:p>
    <w:p w:rsidR="00F930A8" w:rsidRPr="00827DF1" w:rsidRDefault="00F930A8" w:rsidP="00F930A8">
      <w:pPr>
        <w:outlineLvl w:val="0"/>
        <w:rPr>
          <w:sz w:val="22"/>
          <w:szCs w:val="22"/>
        </w:rPr>
      </w:pPr>
      <w:r w:rsidRPr="00827DF1">
        <w:rPr>
          <w:sz w:val="22"/>
          <w:szCs w:val="22"/>
        </w:rPr>
        <w:t xml:space="preserve">Email: </w:t>
      </w:r>
      <w:hyperlink r:id="rId10" w:history="1">
        <w:r w:rsidRPr="00983F47">
          <w:rPr>
            <w:rStyle w:val="Hyperlink"/>
            <w:sz w:val="22"/>
            <w:szCs w:val="22"/>
          </w:rPr>
          <w:t>KBowles@cdc.gov</w:t>
        </w:r>
      </w:hyperlink>
      <w:r>
        <w:rPr>
          <w:sz w:val="22"/>
          <w:szCs w:val="22"/>
        </w:rPr>
        <w:t xml:space="preserve"> </w:t>
      </w:r>
    </w:p>
    <w:p w:rsidR="00F930A8" w:rsidRDefault="00F930A8" w:rsidP="00F930A8">
      <w:pPr>
        <w:rPr>
          <w:sz w:val="22"/>
          <w:szCs w:val="22"/>
        </w:rPr>
      </w:pPr>
    </w:p>
    <w:p w:rsidR="00F930A8" w:rsidRPr="00827DF1" w:rsidRDefault="00F930A8" w:rsidP="00F930A8">
      <w:pPr>
        <w:ind w:right="144"/>
        <w:outlineLvl w:val="0"/>
        <w:rPr>
          <w:noProof/>
          <w:sz w:val="22"/>
          <w:szCs w:val="22"/>
        </w:rPr>
      </w:pPr>
      <w:r w:rsidRPr="00827DF1">
        <w:rPr>
          <w:noProof/>
          <w:sz w:val="22"/>
          <w:szCs w:val="22"/>
        </w:rPr>
        <w:t>Melissa Cribbin, MPH</w:t>
      </w:r>
    </w:p>
    <w:p w:rsidR="00F930A8" w:rsidRPr="00827DF1" w:rsidRDefault="00F930A8" w:rsidP="00F930A8">
      <w:pPr>
        <w:ind w:right="144"/>
        <w:rPr>
          <w:noProof/>
          <w:sz w:val="22"/>
          <w:szCs w:val="22"/>
        </w:rPr>
      </w:pPr>
      <w:r>
        <w:rPr>
          <w:noProof/>
          <w:sz w:val="22"/>
          <w:szCs w:val="22"/>
        </w:rPr>
        <w:t>Project officer</w:t>
      </w:r>
    </w:p>
    <w:p w:rsidR="00F930A8" w:rsidRPr="00827DF1" w:rsidRDefault="00F930A8" w:rsidP="00F930A8">
      <w:pPr>
        <w:ind w:right="144"/>
        <w:outlineLvl w:val="0"/>
        <w:rPr>
          <w:noProof/>
          <w:sz w:val="22"/>
          <w:szCs w:val="22"/>
        </w:rPr>
      </w:pPr>
      <w:r w:rsidRPr="00827DF1">
        <w:rPr>
          <w:noProof/>
          <w:sz w:val="22"/>
          <w:szCs w:val="22"/>
        </w:rPr>
        <w:t xml:space="preserve">Email: </w:t>
      </w:r>
      <w:hyperlink r:id="rId11" w:history="1">
        <w:r w:rsidRPr="00827DF1">
          <w:rPr>
            <w:rStyle w:val="Hyperlink"/>
            <w:noProof/>
            <w:sz w:val="22"/>
            <w:szCs w:val="22"/>
          </w:rPr>
          <w:t>MCribbin@cdc.gov</w:t>
        </w:r>
      </w:hyperlink>
      <w:r w:rsidRPr="00827DF1">
        <w:rPr>
          <w:noProof/>
          <w:sz w:val="22"/>
          <w:szCs w:val="22"/>
        </w:rPr>
        <w:t xml:space="preserve"> </w:t>
      </w:r>
    </w:p>
    <w:p w:rsidR="00733E7F" w:rsidRDefault="00733E7F" w:rsidP="00F930A8">
      <w:pPr>
        <w:ind w:right="144"/>
        <w:outlineLvl w:val="0"/>
        <w:rPr>
          <w:noProof/>
          <w:sz w:val="22"/>
          <w:szCs w:val="22"/>
        </w:rPr>
      </w:pPr>
    </w:p>
    <w:p w:rsidR="00F930A8" w:rsidRPr="00827DF1" w:rsidRDefault="00F930A8" w:rsidP="00F930A8">
      <w:pPr>
        <w:ind w:right="144"/>
        <w:outlineLvl w:val="0"/>
        <w:rPr>
          <w:noProof/>
          <w:sz w:val="22"/>
          <w:szCs w:val="22"/>
        </w:rPr>
      </w:pPr>
      <w:r w:rsidRPr="00827DF1">
        <w:rPr>
          <w:noProof/>
          <w:sz w:val="22"/>
          <w:szCs w:val="22"/>
        </w:rPr>
        <w:t>Paul Denning, MD, MPH</w:t>
      </w:r>
    </w:p>
    <w:p w:rsidR="00F930A8" w:rsidRPr="00827DF1" w:rsidRDefault="00F930A8" w:rsidP="00F930A8">
      <w:pPr>
        <w:ind w:right="144"/>
        <w:rPr>
          <w:noProof/>
          <w:sz w:val="22"/>
          <w:szCs w:val="22"/>
        </w:rPr>
      </w:pPr>
      <w:r>
        <w:rPr>
          <w:noProof/>
          <w:sz w:val="22"/>
          <w:szCs w:val="22"/>
        </w:rPr>
        <w:t>Project officer</w:t>
      </w:r>
    </w:p>
    <w:p w:rsidR="00F930A8" w:rsidRPr="00827DF1" w:rsidRDefault="00F930A8" w:rsidP="00F930A8">
      <w:pPr>
        <w:ind w:right="144"/>
        <w:outlineLvl w:val="0"/>
        <w:rPr>
          <w:noProof/>
          <w:sz w:val="22"/>
          <w:szCs w:val="22"/>
        </w:rPr>
      </w:pPr>
      <w:r w:rsidRPr="00827DF1">
        <w:rPr>
          <w:noProof/>
          <w:sz w:val="22"/>
          <w:szCs w:val="22"/>
        </w:rPr>
        <w:t xml:space="preserve">Email: </w:t>
      </w:r>
      <w:hyperlink r:id="rId12" w:history="1">
        <w:r w:rsidRPr="00827DF1">
          <w:rPr>
            <w:rStyle w:val="Hyperlink"/>
            <w:noProof/>
            <w:sz w:val="22"/>
            <w:szCs w:val="22"/>
          </w:rPr>
          <w:t>PDenning@cdc.gov</w:t>
        </w:r>
      </w:hyperlink>
    </w:p>
    <w:p w:rsidR="00F930A8" w:rsidRPr="00827DF1" w:rsidRDefault="00F930A8" w:rsidP="00F930A8">
      <w:pPr>
        <w:ind w:right="144"/>
        <w:rPr>
          <w:noProof/>
          <w:sz w:val="22"/>
          <w:szCs w:val="22"/>
        </w:rPr>
      </w:pPr>
    </w:p>
    <w:p w:rsidR="00F930A8" w:rsidRPr="00827DF1" w:rsidRDefault="00F930A8" w:rsidP="00F930A8">
      <w:pPr>
        <w:ind w:right="144"/>
        <w:outlineLvl w:val="0"/>
        <w:rPr>
          <w:noProof/>
          <w:sz w:val="22"/>
          <w:szCs w:val="22"/>
        </w:rPr>
      </w:pPr>
      <w:r w:rsidRPr="00827DF1">
        <w:rPr>
          <w:noProof/>
          <w:sz w:val="22"/>
          <w:szCs w:val="22"/>
        </w:rPr>
        <w:t>Elizabeth DiNenno, PhD</w:t>
      </w:r>
    </w:p>
    <w:p w:rsidR="00F930A8" w:rsidRPr="00827DF1" w:rsidRDefault="00F930A8" w:rsidP="00F930A8">
      <w:pPr>
        <w:ind w:right="144"/>
        <w:rPr>
          <w:noProof/>
          <w:sz w:val="22"/>
          <w:szCs w:val="22"/>
        </w:rPr>
      </w:pPr>
      <w:r>
        <w:rPr>
          <w:noProof/>
          <w:sz w:val="22"/>
          <w:szCs w:val="22"/>
        </w:rPr>
        <w:t>Project officer</w:t>
      </w:r>
    </w:p>
    <w:p w:rsidR="00F930A8" w:rsidRPr="00827DF1" w:rsidRDefault="00F930A8" w:rsidP="00F930A8">
      <w:pPr>
        <w:ind w:right="144"/>
        <w:outlineLvl w:val="0"/>
        <w:rPr>
          <w:noProof/>
          <w:sz w:val="22"/>
          <w:szCs w:val="22"/>
        </w:rPr>
      </w:pPr>
      <w:r w:rsidRPr="00827DF1">
        <w:rPr>
          <w:noProof/>
          <w:sz w:val="22"/>
          <w:szCs w:val="22"/>
        </w:rPr>
        <w:t xml:space="preserve">Email: </w:t>
      </w:r>
      <w:hyperlink r:id="rId13" w:history="1">
        <w:r w:rsidRPr="00827DF1">
          <w:rPr>
            <w:rStyle w:val="Hyperlink"/>
            <w:noProof/>
            <w:sz w:val="22"/>
            <w:szCs w:val="22"/>
          </w:rPr>
          <w:t>EDiNenno@cdc.gov</w:t>
        </w:r>
      </w:hyperlink>
    </w:p>
    <w:p w:rsidR="00F930A8" w:rsidRPr="00827DF1" w:rsidRDefault="00F930A8" w:rsidP="00F930A8">
      <w:pPr>
        <w:ind w:right="144"/>
        <w:rPr>
          <w:noProof/>
          <w:sz w:val="22"/>
          <w:szCs w:val="22"/>
        </w:rPr>
      </w:pPr>
    </w:p>
    <w:p w:rsidR="00F930A8" w:rsidRDefault="00F930A8" w:rsidP="00F930A8">
      <w:pPr>
        <w:ind w:right="144"/>
        <w:rPr>
          <w:noProof/>
        </w:rPr>
      </w:pPr>
      <w:r>
        <w:rPr>
          <w:noProof/>
        </w:rPr>
        <w:t>Rick Dulin</w:t>
      </w:r>
    </w:p>
    <w:p w:rsidR="00F930A8" w:rsidRPr="00E50676" w:rsidRDefault="00F930A8" w:rsidP="00F930A8">
      <w:pPr>
        <w:ind w:right="144"/>
        <w:rPr>
          <w:noProof/>
        </w:rPr>
      </w:pPr>
      <w:r>
        <w:rPr>
          <w:noProof/>
        </w:rPr>
        <w:t xml:space="preserve">Public </w:t>
      </w:r>
      <w:r w:rsidR="0031050B">
        <w:rPr>
          <w:noProof/>
        </w:rPr>
        <w:t>h</w:t>
      </w:r>
      <w:r>
        <w:rPr>
          <w:noProof/>
        </w:rPr>
        <w:t xml:space="preserve">ealth </w:t>
      </w:r>
      <w:r w:rsidR="0031050B">
        <w:rPr>
          <w:noProof/>
        </w:rPr>
        <w:t>a</w:t>
      </w:r>
      <w:r w:rsidRPr="00E50676">
        <w:rPr>
          <w:noProof/>
        </w:rPr>
        <w:t>nalyst</w:t>
      </w:r>
    </w:p>
    <w:p w:rsidR="00F930A8" w:rsidRDefault="00F930A8" w:rsidP="00F930A8">
      <w:pPr>
        <w:ind w:right="144"/>
        <w:rPr>
          <w:noProof/>
        </w:rPr>
      </w:pPr>
      <w:r w:rsidRPr="00E50676">
        <w:rPr>
          <w:noProof/>
        </w:rPr>
        <w:t xml:space="preserve">Email: </w:t>
      </w:r>
      <w:hyperlink r:id="rId14" w:history="1">
        <w:r w:rsidRPr="00C13F4A">
          <w:rPr>
            <w:rStyle w:val="Hyperlink"/>
            <w:noProof/>
          </w:rPr>
          <w:t>Rdulin@cdc.gov</w:t>
        </w:r>
      </w:hyperlink>
      <w:r>
        <w:rPr>
          <w:noProof/>
        </w:rPr>
        <w:t xml:space="preserve"> </w:t>
      </w:r>
    </w:p>
    <w:p w:rsidR="00F930A8" w:rsidRDefault="00F930A8" w:rsidP="00F930A8">
      <w:pPr>
        <w:ind w:right="144"/>
        <w:outlineLvl w:val="0"/>
        <w:rPr>
          <w:noProof/>
          <w:sz w:val="22"/>
          <w:szCs w:val="22"/>
        </w:rPr>
      </w:pPr>
    </w:p>
    <w:p w:rsidR="00F930A8" w:rsidRPr="00827DF1" w:rsidRDefault="00F930A8" w:rsidP="00F930A8">
      <w:pPr>
        <w:ind w:right="144"/>
        <w:outlineLvl w:val="0"/>
        <w:rPr>
          <w:noProof/>
          <w:sz w:val="22"/>
          <w:szCs w:val="22"/>
        </w:rPr>
      </w:pPr>
      <w:r w:rsidRPr="00827DF1">
        <w:rPr>
          <w:noProof/>
          <w:sz w:val="22"/>
          <w:szCs w:val="22"/>
        </w:rPr>
        <w:t xml:space="preserve">Teresa Finlayson, MPH, </w:t>
      </w:r>
      <w:r>
        <w:rPr>
          <w:noProof/>
          <w:sz w:val="22"/>
          <w:szCs w:val="22"/>
        </w:rPr>
        <w:t>PhD</w:t>
      </w:r>
    </w:p>
    <w:p w:rsidR="00F930A8" w:rsidRPr="00827DF1" w:rsidRDefault="00F930A8" w:rsidP="00F930A8">
      <w:pPr>
        <w:ind w:right="144"/>
        <w:rPr>
          <w:noProof/>
          <w:sz w:val="22"/>
          <w:szCs w:val="22"/>
        </w:rPr>
      </w:pPr>
      <w:r>
        <w:rPr>
          <w:noProof/>
          <w:sz w:val="22"/>
          <w:szCs w:val="22"/>
        </w:rPr>
        <w:t>Project officer</w:t>
      </w:r>
    </w:p>
    <w:p w:rsidR="00F930A8" w:rsidRPr="00827DF1" w:rsidRDefault="00F930A8" w:rsidP="00F930A8">
      <w:pPr>
        <w:ind w:right="144"/>
        <w:outlineLvl w:val="0"/>
        <w:rPr>
          <w:noProof/>
          <w:sz w:val="22"/>
          <w:szCs w:val="22"/>
        </w:rPr>
      </w:pPr>
      <w:r w:rsidRPr="00827DF1">
        <w:rPr>
          <w:noProof/>
          <w:sz w:val="22"/>
          <w:szCs w:val="22"/>
        </w:rPr>
        <w:t xml:space="preserve">Email: </w:t>
      </w:r>
      <w:hyperlink r:id="rId15" w:history="1">
        <w:r w:rsidRPr="00827DF1">
          <w:rPr>
            <w:rStyle w:val="Hyperlink"/>
            <w:noProof/>
            <w:sz w:val="22"/>
            <w:szCs w:val="22"/>
          </w:rPr>
          <w:t>TFinlayson@cdc.gov</w:t>
        </w:r>
      </w:hyperlink>
    </w:p>
    <w:p w:rsidR="0031050B" w:rsidRDefault="0031050B" w:rsidP="0031050B">
      <w:pPr>
        <w:ind w:right="144"/>
        <w:rPr>
          <w:noProof/>
        </w:rPr>
      </w:pPr>
    </w:p>
    <w:p w:rsidR="0031050B" w:rsidRPr="00E50676" w:rsidRDefault="0031050B" w:rsidP="0031050B">
      <w:pPr>
        <w:ind w:right="144"/>
        <w:rPr>
          <w:noProof/>
        </w:rPr>
      </w:pPr>
      <w:r>
        <w:rPr>
          <w:noProof/>
        </w:rPr>
        <w:t>Kathy Hag</w:t>
      </w:r>
      <w:r w:rsidR="00CE1280">
        <w:rPr>
          <w:noProof/>
        </w:rPr>
        <w:t>e</w:t>
      </w:r>
      <w:r>
        <w:rPr>
          <w:noProof/>
        </w:rPr>
        <w:t>man</w:t>
      </w:r>
      <w:r w:rsidRPr="00E50676">
        <w:rPr>
          <w:noProof/>
        </w:rPr>
        <w:t>, MPH</w:t>
      </w:r>
    </w:p>
    <w:p w:rsidR="0031050B" w:rsidRPr="00E50676" w:rsidRDefault="0031050B" w:rsidP="0031050B">
      <w:pPr>
        <w:ind w:right="144"/>
        <w:rPr>
          <w:noProof/>
        </w:rPr>
      </w:pPr>
      <w:r>
        <w:rPr>
          <w:noProof/>
        </w:rPr>
        <w:t>Project officer</w:t>
      </w:r>
    </w:p>
    <w:p w:rsidR="0031050B" w:rsidRDefault="0031050B" w:rsidP="0031050B">
      <w:pPr>
        <w:ind w:right="144"/>
        <w:rPr>
          <w:noProof/>
        </w:rPr>
      </w:pPr>
      <w:r w:rsidRPr="00E50676">
        <w:rPr>
          <w:noProof/>
        </w:rPr>
        <w:t xml:space="preserve">Email: </w:t>
      </w:r>
      <w:hyperlink r:id="rId16" w:history="1">
        <w:r w:rsidR="00A452F6" w:rsidRPr="00326F76">
          <w:rPr>
            <w:rStyle w:val="Hyperlink"/>
            <w:noProof/>
          </w:rPr>
          <w:t>KHageman@cdc.gov</w:t>
        </w:r>
      </w:hyperlink>
      <w:r>
        <w:rPr>
          <w:noProof/>
        </w:rPr>
        <w:t xml:space="preserve"> </w:t>
      </w:r>
    </w:p>
    <w:p w:rsidR="00733E7F" w:rsidRDefault="00733E7F" w:rsidP="00F930A8">
      <w:pPr>
        <w:ind w:right="144"/>
        <w:rPr>
          <w:noProof/>
        </w:rPr>
      </w:pPr>
    </w:p>
    <w:p w:rsidR="00F930A8" w:rsidRPr="00E50676" w:rsidRDefault="00F930A8" w:rsidP="00F930A8">
      <w:pPr>
        <w:ind w:right="144"/>
        <w:rPr>
          <w:noProof/>
        </w:rPr>
      </w:pPr>
      <w:r w:rsidRPr="00E50676">
        <w:rPr>
          <w:noProof/>
        </w:rPr>
        <w:t>Nevin Krishna, MPH</w:t>
      </w:r>
    </w:p>
    <w:p w:rsidR="00F930A8" w:rsidRPr="00E50676" w:rsidRDefault="00F930A8" w:rsidP="00F930A8">
      <w:pPr>
        <w:ind w:right="144"/>
        <w:rPr>
          <w:noProof/>
        </w:rPr>
      </w:pPr>
      <w:r>
        <w:rPr>
          <w:noProof/>
        </w:rPr>
        <w:t xml:space="preserve">Public </w:t>
      </w:r>
      <w:r w:rsidR="0031050B">
        <w:rPr>
          <w:noProof/>
        </w:rPr>
        <w:t>h</w:t>
      </w:r>
      <w:r>
        <w:rPr>
          <w:noProof/>
        </w:rPr>
        <w:t xml:space="preserve">ealth </w:t>
      </w:r>
      <w:r w:rsidR="0031050B">
        <w:rPr>
          <w:noProof/>
        </w:rPr>
        <w:t>a</w:t>
      </w:r>
      <w:r w:rsidRPr="00E50676">
        <w:rPr>
          <w:noProof/>
        </w:rPr>
        <w:t>nalyst</w:t>
      </w:r>
    </w:p>
    <w:p w:rsidR="00F930A8" w:rsidRDefault="00F930A8" w:rsidP="00F930A8">
      <w:pPr>
        <w:ind w:right="144"/>
        <w:rPr>
          <w:noProof/>
        </w:rPr>
      </w:pPr>
      <w:r w:rsidRPr="00E50676">
        <w:rPr>
          <w:noProof/>
        </w:rPr>
        <w:t xml:space="preserve">Email: </w:t>
      </w:r>
      <w:hyperlink r:id="rId17" w:history="1">
        <w:r w:rsidRPr="00E50676">
          <w:rPr>
            <w:rStyle w:val="Hyperlink"/>
            <w:noProof/>
          </w:rPr>
          <w:t>HBX0@cdc.gov</w:t>
        </w:r>
      </w:hyperlink>
    </w:p>
    <w:p w:rsidR="00F930A8" w:rsidRDefault="00F930A8" w:rsidP="00F930A8">
      <w:pPr>
        <w:ind w:right="144"/>
        <w:outlineLvl w:val="0"/>
        <w:rPr>
          <w:noProof/>
          <w:sz w:val="22"/>
          <w:szCs w:val="22"/>
        </w:rPr>
      </w:pPr>
    </w:p>
    <w:p w:rsidR="00BA223A" w:rsidRDefault="00BA223A" w:rsidP="00F930A8">
      <w:pPr>
        <w:ind w:right="144"/>
        <w:outlineLvl w:val="0"/>
        <w:rPr>
          <w:noProof/>
          <w:sz w:val="22"/>
          <w:szCs w:val="22"/>
        </w:rPr>
      </w:pPr>
    </w:p>
    <w:p w:rsidR="00BA223A" w:rsidRDefault="00BA223A" w:rsidP="00F930A8">
      <w:pPr>
        <w:ind w:right="144"/>
        <w:outlineLvl w:val="0"/>
        <w:rPr>
          <w:noProof/>
          <w:sz w:val="22"/>
          <w:szCs w:val="22"/>
        </w:rPr>
      </w:pPr>
    </w:p>
    <w:p w:rsidR="00F930A8" w:rsidRPr="00827DF1" w:rsidRDefault="00F930A8" w:rsidP="00F930A8">
      <w:pPr>
        <w:ind w:right="144"/>
        <w:outlineLvl w:val="0"/>
        <w:rPr>
          <w:noProof/>
          <w:sz w:val="22"/>
          <w:szCs w:val="22"/>
        </w:rPr>
      </w:pPr>
      <w:r w:rsidRPr="00827DF1">
        <w:rPr>
          <w:noProof/>
          <w:sz w:val="22"/>
          <w:szCs w:val="22"/>
        </w:rPr>
        <w:t xml:space="preserve">Tricia </w:t>
      </w:r>
      <w:r>
        <w:rPr>
          <w:noProof/>
          <w:sz w:val="22"/>
          <w:szCs w:val="22"/>
        </w:rPr>
        <w:t>Martin</w:t>
      </w:r>
      <w:r w:rsidRPr="00827DF1">
        <w:rPr>
          <w:noProof/>
          <w:sz w:val="22"/>
          <w:szCs w:val="22"/>
        </w:rPr>
        <w:t>, MPH</w:t>
      </w:r>
    </w:p>
    <w:p w:rsidR="00F930A8" w:rsidRPr="00827DF1" w:rsidRDefault="00F930A8" w:rsidP="00F930A8">
      <w:pPr>
        <w:ind w:right="144"/>
        <w:rPr>
          <w:noProof/>
          <w:sz w:val="22"/>
          <w:szCs w:val="22"/>
        </w:rPr>
      </w:pPr>
      <w:r>
        <w:rPr>
          <w:noProof/>
          <w:sz w:val="22"/>
          <w:szCs w:val="22"/>
        </w:rPr>
        <w:t>Project officer</w:t>
      </w:r>
    </w:p>
    <w:p w:rsidR="00F930A8" w:rsidRDefault="00F930A8" w:rsidP="00F930A8">
      <w:pPr>
        <w:ind w:right="144"/>
        <w:outlineLvl w:val="0"/>
        <w:rPr>
          <w:noProof/>
          <w:sz w:val="22"/>
          <w:szCs w:val="22"/>
        </w:rPr>
      </w:pPr>
      <w:r w:rsidRPr="00827DF1">
        <w:rPr>
          <w:noProof/>
          <w:sz w:val="22"/>
          <w:szCs w:val="22"/>
        </w:rPr>
        <w:t xml:space="preserve">Email: </w:t>
      </w:r>
      <w:hyperlink r:id="rId18" w:history="1">
        <w:r w:rsidRPr="00827DF1">
          <w:rPr>
            <w:rStyle w:val="Hyperlink"/>
            <w:noProof/>
            <w:sz w:val="22"/>
            <w:szCs w:val="22"/>
          </w:rPr>
          <w:t>THall1@cdc.gov</w:t>
        </w:r>
      </w:hyperlink>
    </w:p>
    <w:p w:rsidR="00F930A8" w:rsidRDefault="00F930A8" w:rsidP="00F930A8">
      <w:pPr>
        <w:ind w:right="144"/>
        <w:rPr>
          <w:noProof/>
          <w:sz w:val="22"/>
          <w:szCs w:val="22"/>
        </w:rPr>
      </w:pPr>
    </w:p>
    <w:p w:rsidR="00F930A8" w:rsidRPr="00827DF1" w:rsidRDefault="00F930A8" w:rsidP="00F930A8">
      <w:pPr>
        <w:ind w:right="144"/>
        <w:outlineLvl w:val="0"/>
        <w:rPr>
          <w:noProof/>
          <w:sz w:val="22"/>
          <w:szCs w:val="22"/>
        </w:rPr>
      </w:pPr>
      <w:r>
        <w:rPr>
          <w:noProof/>
          <w:sz w:val="22"/>
          <w:szCs w:val="22"/>
        </w:rPr>
        <w:t>Isa Miles</w:t>
      </w:r>
      <w:r w:rsidRPr="00827DF1">
        <w:rPr>
          <w:noProof/>
          <w:sz w:val="22"/>
          <w:szCs w:val="22"/>
        </w:rPr>
        <w:t>, MPH</w:t>
      </w:r>
    </w:p>
    <w:p w:rsidR="00F930A8" w:rsidRPr="00827DF1" w:rsidRDefault="00F930A8" w:rsidP="00F930A8">
      <w:pPr>
        <w:ind w:right="144"/>
        <w:rPr>
          <w:noProof/>
          <w:sz w:val="22"/>
          <w:szCs w:val="22"/>
        </w:rPr>
      </w:pPr>
      <w:r>
        <w:rPr>
          <w:noProof/>
          <w:sz w:val="22"/>
          <w:szCs w:val="22"/>
        </w:rPr>
        <w:t>Project officer</w:t>
      </w:r>
    </w:p>
    <w:p w:rsidR="00F930A8" w:rsidRDefault="00F930A8" w:rsidP="00F930A8">
      <w:pPr>
        <w:ind w:right="144"/>
        <w:outlineLvl w:val="0"/>
        <w:rPr>
          <w:noProof/>
          <w:sz w:val="22"/>
          <w:szCs w:val="22"/>
        </w:rPr>
      </w:pPr>
      <w:r w:rsidRPr="00827DF1">
        <w:rPr>
          <w:noProof/>
          <w:sz w:val="22"/>
          <w:szCs w:val="22"/>
        </w:rPr>
        <w:t xml:space="preserve">Email: </w:t>
      </w:r>
      <w:hyperlink r:id="rId19" w:history="1">
        <w:r w:rsidRPr="00983F47">
          <w:rPr>
            <w:rStyle w:val="Hyperlink"/>
            <w:noProof/>
            <w:sz w:val="22"/>
            <w:szCs w:val="22"/>
          </w:rPr>
          <w:t>IMiles@cdc.gov</w:t>
        </w:r>
      </w:hyperlink>
      <w:r>
        <w:rPr>
          <w:noProof/>
          <w:sz w:val="22"/>
          <w:szCs w:val="22"/>
        </w:rPr>
        <w:t xml:space="preserve"> </w:t>
      </w:r>
    </w:p>
    <w:p w:rsidR="00F930A8" w:rsidRDefault="00F930A8" w:rsidP="00F930A8">
      <w:pPr>
        <w:ind w:right="144"/>
        <w:rPr>
          <w:noProof/>
        </w:rPr>
      </w:pPr>
    </w:p>
    <w:p w:rsidR="00F930A8" w:rsidRDefault="00F930A8" w:rsidP="00F930A8">
      <w:pPr>
        <w:ind w:right="144"/>
        <w:rPr>
          <w:noProof/>
        </w:rPr>
      </w:pPr>
      <w:r>
        <w:rPr>
          <w:noProof/>
        </w:rPr>
        <w:t>Alexa Oster, MD</w:t>
      </w:r>
    </w:p>
    <w:p w:rsidR="00F930A8" w:rsidRPr="00827DF1" w:rsidRDefault="00F930A8" w:rsidP="00F930A8">
      <w:pPr>
        <w:ind w:right="144"/>
        <w:rPr>
          <w:noProof/>
          <w:sz w:val="22"/>
          <w:szCs w:val="22"/>
        </w:rPr>
      </w:pPr>
      <w:r>
        <w:rPr>
          <w:noProof/>
          <w:sz w:val="22"/>
          <w:szCs w:val="22"/>
        </w:rPr>
        <w:t>Project officer</w:t>
      </w:r>
    </w:p>
    <w:p w:rsidR="00F930A8" w:rsidRDefault="00F930A8" w:rsidP="00F930A8">
      <w:pPr>
        <w:ind w:right="144"/>
        <w:outlineLvl w:val="0"/>
        <w:rPr>
          <w:noProof/>
          <w:sz w:val="22"/>
          <w:szCs w:val="22"/>
        </w:rPr>
      </w:pPr>
      <w:r w:rsidRPr="00827DF1">
        <w:rPr>
          <w:noProof/>
          <w:sz w:val="22"/>
          <w:szCs w:val="22"/>
        </w:rPr>
        <w:t xml:space="preserve">Email: </w:t>
      </w:r>
      <w:hyperlink r:id="rId20" w:history="1">
        <w:r w:rsidRPr="00983F47">
          <w:rPr>
            <w:rStyle w:val="Hyperlink"/>
            <w:noProof/>
            <w:sz w:val="22"/>
            <w:szCs w:val="22"/>
          </w:rPr>
          <w:t>AOster@cdc.gov</w:t>
        </w:r>
      </w:hyperlink>
      <w:r>
        <w:rPr>
          <w:noProof/>
          <w:sz w:val="22"/>
          <w:szCs w:val="22"/>
        </w:rPr>
        <w:t xml:space="preserve"> </w:t>
      </w:r>
    </w:p>
    <w:p w:rsidR="00F930A8" w:rsidRDefault="00F930A8" w:rsidP="00F930A8">
      <w:pPr>
        <w:ind w:right="144"/>
        <w:outlineLvl w:val="0"/>
        <w:rPr>
          <w:noProof/>
          <w:sz w:val="22"/>
          <w:szCs w:val="22"/>
        </w:rPr>
      </w:pPr>
    </w:p>
    <w:p w:rsidR="00F930A8" w:rsidRDefault="00F930A8" w:rsidP="00F930A8">
      <w:pPr>
        <w:ind w:right="144"/>
        <w:outlineLvl w:val="0"/>
        <w:rPr>
          <w:noProof/>
          <w:sz w:val="22"/>
          <w:szCs w:val="22"/>
        </w:rPr>
      </w:pPr>
      <w:r>
        <w:rPr>
          <w:noProof/>
          <w:sz w:val="22"/>
          <w:szCs w:val="22"/>
        </w:rPr>
        <w:t>Catlainn Sionean, PhD</w:t>
      </w:r>
    </w:p>
    <w:p w:rsidR="00F930A8" w:rsidRPr="00827DF1" w:rsidRDefault="00F930A8" w:rsidP="00F930A8">
      <w:pPr>
        <w:ind w:right="144"/>
        <w:rPr>
          <w:noProof/>
          <w:sz w:val="22"/>
          <w:szCs w:val="22"/>
        </w:rPr>
      </w:pPr>
      <w:r>
        <w:rPr>
          <w:noProof/>
          <w:sz w:val="22"/>
          <w:szCs w:val="22"/>
        </w:rPr>
        <w:t>Project officer</w:t>
      </w:r>
    </w:p>
    <w:p w:rsidR="00F930A8" w:rsidRDefault="00F930A8" w:rsidP="00F930A8">
      <w:pPr>
        <w:ind w:right="144"/>
        <w:outlineLvl w:val="0"/>
        <w:rPr>
          <w:noProof/>
          <w:sz w:val="22"/>
          <w:szCs w:val="22"/>
        </w:rPr>
      </w:pPr>
      <w:r w:rsidRPr="00827DF1">
        <w:rPr>
          <w:noProof/>
          <w:sz w:val="22"/>
          <w:szCs w:val="22"/>
        </w:rPr>
        <w:t xml:space="preserve">Email: </w:t>
      </w:r>
      <w:hyperlink r:id="rId21" w:history="1">
        <w:r w:rsidRPr="00983F47">
          <w:rPr>
            <w:rStyle w:val="Hyperlink"/>
            <w:noProof/>
            <w:sz w:val="22"/>
            <w:szCs w:val="22"/>
          </w:rPr>
          <w:t>CSionean@cdc.gov</w:t>
        </w:r>
      </w:hyperlink>
      <w:r>
        <w:rPr>
          <w:noProof/>
          <w:sz w:val="22"/>
          <w:szCs w:val="22"/>
        </w:rPr>
        <w:t xml:space="preserve">  </w:t>
      </w:r>
    </w:p>
    <w:p w:rsidR="00F930A8" w:rsidRDefault="00F930A8" w:rsidP="00F930A8">
      <w:pPr>
        <w:ind w:right="144"/>
        <w:outlineLvl w:val="0"/>
        <w:rPr>
          <w:noProof/>
          <w:sz w:val="22"/>
          <w:szCs w:val="22"/>
        </w:rPr>
      </w:pPr>
    </w:p>
    <w:p w:rsidR="00F930A8" w:rsidRDefault="00F930A8" w:rsidP="00F930A8">
      <w:pPr>
        <w:ind w:right="144"/>
        <w:outlineLvl w:val="0"/>
        <w:rPr>
          <w:noProof/>
          <w:sz w:val="22"/>
          <w:szCs w:val="22"/>
        </w:rPr>
      </w:pPr>
      <w:r>
        <w:rPr>
          <w:noProof/>
          <w:sz w:val="22"/>
          <w:szCs w:val="22"/>
        </w:rPr>
        <w:t>Amanda Smith, MPH</w:t>
      </w:r>
    </w:p>
    <w:p w:rsidR="00F930A8" w:rsidRPr="00827DF1" w:rsidRDefault="00F930A8" w:rsidP="00F930A8">
      <w:pPr>
        <w:ind w:right="144"/>
        <w:rPr>
          <w:noProof/>
          <w:sz w:val="22"/>
          <w:szCs w:val="22"/>
        </w:rPr>
      </w:pPr>
      <w:r>
        <w:rPr>
          <w:noProof/>
          <w:sz w:val="22"/>
          <w:szCs w:val="22"/>
        </w:rPr>
        <w:t>Project officer</w:t>
      </w:r>
    </w:p>
    <w:p w:rsidR="00F930A8" w:rsidRDefault="00F930A8" w:rsidP="00F930A8">
      <w:pPr>
        <w:rPr>
          <w:sz w:val="22"/>
          <w:szCs w:val="22"/>
        </w:rPr>
        <w:sectPr w:rsidR="00F930A8" w:rsidSect="00C94038">
          <w:type w:val="continuous"/>
          <w:pgSz w:w="12240" w:h="15840"/>
          <w:pgMar w:top="1440" w:right="1440" w:bottom="1440" w:left="1440" w:header="720" w:footer="720" w:gutter="0"/>
          <w:cols w:num="2" w:space="720"/>
          <w:noEndnote/>
          <w:docGrid w:linePitch="326"/>
        </w:sectPr>
      </w:pPr>
      <w:r w:rsidRPr="00827DF1">
        <w:rPr>
          <w:noProof/>
          <w:sz w:val="22"/>
          <w:szCs w:val="22"/>
        </w:rPr>
        <w:t xml:space="preserve">Email: </w:t>
      </w:r>
      <w:hyperlink r:id="rId22" w:history="1">
        <w:r w:rsidRPr="00983F47">
          <w:rPr>
            <w:rStyle w:val="Hyperlink"/>
            <w:noProof/>
            <w:sz w:val="22"/>
            <w:szCs w:val="22"/>
          </w:rPr>
          <w:t>ASmith3@cdc.gov</w:t>
        </w:r>
      </w:hyperlink>
    </w:p>
    <w:p w:rsidR="00181695" w:rsidRDefault="00F930A8" w:rsidP="00F930A8">
      <w:pPr>
        <w:ind w:right="144"/>
        <w:outlineLvl w:val="0"/>
        <w:rPr>
          <w:noProof/>
          <w:sz w:val="22"/>
          <w:szCs w:val="22"/>
        </w:rPr>
      </w:pPr>
      <w:r>
        <w:rPr>
          <w:noProof/>
          <w:sz w:val="22"/>
          <w:szCs w:val="22"/>
        </w:rPr>
        <w:lastRenderedPageBreak/>
        <w:t xml:space="preserve"> </w:t>
      </w:r>
    </w:p>
    <w:p w:rsidR="00181695" w:rsidRDefault="00181695">
      <w:pPr>
        <w:rPr>
          <w:noProof/>
          <w:sz w:val="22"/>
          <w:szCs w:val="22"/>
        </w:rPr>
      </w:pPr>
      <w:r>
        <w:rPr>
          <w:noProof/>
          <w:sz w:val="22"/>
          <w:szCs w:val="22"/>
        </w:rPr>
        <w:br w:type="page"/>
      </w:r>
    </w:p>
    <w:p w:rsidR="00181695" w:rsidRPr="006908A3" w:rsidRDefault="00181695" w:rsidP="00181695">
      <w:pPr>
        <w:jc w:val="center"/>
        <w:rPr>
          <w:b/>
        </w:rPr>
      </w:pPr>
      <w:r w:rsidRPr="006908A3">
        <w:rPr>
          <w:b/>
        </w:rPr>
        <w:lastRenderedPageBreak/>
        <w:t>References</w:t>
      </w:r>
    </w:p>
    <w:p w:rsidR="00181695" w:rsidRPr="006908A3" w:rsidRDefault="00181695" w:rsidP="00181695"/>
    <w:p w:rsidR="00181695" w:rsidRPr="00934893" w:rsidRDefault="00181695" w:rsidP="00181695">
      <w:pPr>
        <w:spacing w:after="240"/>
        <w:ind w:left="720" w:hanging="720"/>
      </w:pPr>
      <w:r w:rsidRPr="00934893">
        <w:t xml:space="preserve">Abdul-Quader A, </w:t>
      </w:r>
      <w:proofErr w:type="spellStart"/>
      <w:r w:rsidRPr="00934893">
        <w:t>Heckathorn</w:t>
      </w:r>
      <w:proofErr w:type="spellEnd"/>
      <w:r w:rsidRPr="00934893">
        <w:t xml:space="preserve"> D, McKnight C et al. Effectiveness of respondent-driven sampling for recruiting drug users in New York City: Findings from a pilot study. Journal of Urban Health 2006; 83(3):459-476.</w:t>
      </w:r>
    </w:p>
    <w:p w:rsidR="00181695" w:rsidRPr="00934893" w:rsidRDefault="00181695" w:rsidP="00181695">
      <w:pPr>
        <w:spacing w:after="240"/>
        <w:ind w:left="720" w:hanging="720"/>
      </w:pPr>
      <w:r w:rsidRPr="00934893">
        <w:t>Clements-Noelle, K., Marx, R., Guzman, R., &amp; Katz, M. HIV prevalence, risk behaviors, health care use, and mental health status of transgender persons: Implications for public health interventions. American Journal of Public Health 2001, 91:915-921.</w:t>
      </w:r>
    </w:p>
    <w:p w:rsidR="00181695" w:rsidRPr="00934893" w:rsidRDefault="00181695" w:rsidP="00181695">
      <w:pPr>
        <w:spacing w:after="240"/>
        <w:ind w:left="720" w:hanging="720"/>
      </w:pPr>
      <w:r w:rsidRPr="00934893">
        <w:t xml:space="preserve">Diaz RM, Ayala G, </w:t>
      </w:r>
      <w:proofErr w:type="spellStart"/>
      <w:r w:rsidRPr="00934893">
        <w:t>Bein</w:t>
      </w:r>
      <w:proofErr w:type="spellEnd"/>
      <w:r w:rsidRPr="00934893">
        <w:t xml:space="preserve"> E, </w:t>
      </w:r>
      <w:proofErr w:type="spellStart"/>
      <w:r w:rsidRPr="00934893">
        <w:t>Henne</w:t>
      </w:r>
      <w:proofErr w:type="spellEnd"/>
      <w:r w:rsidRPr="00934893">
        <w:t xml:space="preserve"> J, Marin BV. The impact of homophobia, poverty, and racism on the mental health of gay and bisexual Latino men: Findings from 3 US cities. American Journal of Public Health 2001; 91(6):927-932.</w:t>
      </w:r>
    </w:p>
    <w:p w:rsidR="00181695" w:rsidRPr="00934893" w:rsidRDefault="00181695" w:rsidP="00181695">
      <w:pPr>
        <w:spacing w:after="240"/>
        <w:ind w:left="720" w:hanging="720"/>
      </w:pPr>
      <w:proofErr w:type="spellStart"/>
      <w:r w:rsidRPr="00934893">
        <w:t>Draus</w:t>
      </w:r>
      <w:proofErr w:type="spellEnd"/>
      <w:r w:rsidRPr="00934893">
        <w:t xml:space="preserve"> P, </w:t>
      </w:r>
      <w:proofErr w:type="spellStart"/>
      <w:r w:rsidRPr="00934893">
        <w:t>Siegal</w:t>
      </w:r>
      <w:proofErr w:type="spellEnd"/>
      <w:r w:rsidRPr="00934893">
        <w:t xml:space="preserve"> H, Carlson R, </w:t>
      </w:r>
      <w:proofErr w:type="spellStart"/>
      <w:r w:rsidRPr="00934893">
        <w:t>Falck</w:t>
      </w:r>
      <w:proofErr w:type="spellEnd"/>
      <w:r w:rsidRPr="00934893">
        <w:t xml:space="preserve"> R, Wang J. Cracking the cornfields: Recruiting illicit stimulant drug users in rural Ohio. The Sociological Quarterly 2005; 46:165-189.</w:t>
      </w:r>
    </w:p>
    <w:p w:rsidR="00181695" w:rsidRDefault="00181695" w:rsidP="00181695">
      <w:pPr>
        <w:spacing w:after="240"/>
        <w:ind w:left="720" w:hanging="720"/>
      </w:pPr>
      <w:proofErr w:type="spellStart"/>
      <w:r>
        <w:t>Halbert</w:t>
      </w:r>
      <w:proofErr w:type="spellEnd"/>
      <w:r>
        <w:t xml:space="preserve"> CH, </w:t>
      </w:r>
      <w:proofErr w:type="spellStart"/>
      <w:r>
        <w:t>Kumanyika</w:t>
      </w:r>
      <w:proofErr w:type="spellEnd"/>
      <w:r>
        <w:t xml:space="preserve"> S, Bowman M, Bellamy SL, Briggs V, Brown S, Bryant B, Delmont E, Johnson JC, </w:t>
      </w:r>
      <w:proofErr w:type="spellStart"/>
      <w:r>
        <w:t>Purnell</w:t>
      </w:r>
      <w:proofErr w:type="spellEnd"/>
      <w:r>
        <w:t xml:space="preserve"> J, Rogers R, and Weathers B. Participation Rates and representativeness of African Americans recruited to a health care program. Health education research 2010; 25(1):6-13.</w:t>
      </w:r>
    </w:p>
    <w:p w:rsidR="00181695" w:rsidRPr="00934893" w:rsidRDefault="00181695" w:rsidP="00181695">
      <w:pPr>
        <w:spacing w:after="240"/>
        <w:ind w:left="720" w:hanging="720"/>
      </w:pPr>
      <w:proofErr w:type="spellStart"/>
      <w:r w:rsidRPr="00934893">
        <w:t>Heckathorn</w:t>
      </w:r>
      <w:proofErr w:type="spellEnd"/>
      <w:r w:rsidRPr="00934893">
        <w:t xml:space="preserve"> D. Respondent-driven sampling: a new approach to the study of hidden populations. Social Problems 1997; 44(2):174-199.</w:t>
      </w:r>
    </w:p>
    <w:p w:rsidR="00181695" w:rsidRPr="00934893" w:rsidRDefault="00181695" w:rsidP="00181695">
      <w:pPr>
        <w:spacing w:after="240"/>
        <w:ind w:left="720" w:hanging="720"/>
      </w:pPr>
      <w:proofErr w:type="spellStart"/>
      <w:r w:rsidRPr="00934893">
        <w:t>Heckathorn</w:t>
      </w:r>
      <w:proofErr w:type="spellEnd"/>
      <w:r w:rsidRPr="00934893">
        <w:t xml:space="preserve"> D. Respondent-driven sampling II: Deriving valid population estimates from </w:t>
      </w:r>
      <w:proofErr w:type="gramStart"/>
      <w:r w:rsidRPr="00934893">
        <w:t>chain-referral</w:t>
      </w:r>
      <w:proofErr w:type="gramEnd"/>
      <w:r w:rsidRPr="00934893">
        <w:t xml:space="preserve"> samples of hidden populations. Social Problems 2002; 49(1):11-34.</w:t>
      </w:r>
    </w:p>
    <w:p w:rsidR="00181695" w:rsidRPr="00934893" w:rsidRDefault="00181695" w:rsidP="00181695">
      <w:pPr>
        <w:spacing w:after="240"/>
        <w:ind w:left="720" w:hanging="720"/>
      </w:pPr>
      <w:proofErr w:type="spellStart"/>
      <w:r w:rsidRPr="00934893">
        <w:t>Heckathorn</w:t>
      </w:r>
      <w:proofErr w:type="spellEnd"/>
      <w:r w:rsidRPr="00934893">
        <w:t xml:space="preserve"> D, </w:t>
      </w:r>
      <w:proofErr w:type="spellStart"/>
      <w:r w:rsidRPr="00934893">
        <w:t>Semaan</w:t>
      </w:r>
      <w:proofErr w:type="spellEnd"/>
      <w:r w:rsidRPr="00934893">
        <w:t xml:space="preserve"> S, </w:t>
      </w:r>
      <w:proofErr w:type="spellStart"/>
      <w:r w:rsidRPr="00934893">
        <w:t>Broadhead</w:t>
      </w:r>
      <w:proofErr w:type="spellEnd"/>
      <w:r w:rsidRPr="00934893">
        <w:t xml:space="preserve"> R, Hughes, </w:t>
      </w:r>
      <w:proofErr w:type="gramStart"/>
      <w:r w:rsidRPr="00934893">
        <w:t>J</w:t>
      </w:r>
      <w:proofErr w:type="gramEnd"/>
      <w:r w:rsidRPr="00934893">
        <w:t xml:space="preserve">. Extensions of respondent-driven sampling: a new approach to the study of </w:t>
      </w:r>
      <w:proofErr w:type="spellStart"/>
      <w:r w:rsidRPr="00934893">
        <w:t>injeciton</w:t>
      </w:r>
      <w:proofErr w:type="spellEnd"/>
      <w:r w:rsidRPr="00934893">
        <w:t xml:space="preserve"> drug users aged 18-25. AIDS and Behavior 2002; 6(1):55-67.</w:t>
      </w:r>
    </w:p>
    <w:p w:rsidR="00181695" w:rsidRPr="00934893" w:rsidRDefault="00181695" w:rsidP="00181695">
      <w:pPr>
        <w:spacing w:after="240"/>
        <w:ind w:left="720" w:hanging="720"/>
      </w:pPr>
      <w:proofErr w:type="gramStart"/>
      <w:r w:rsidRPr="00934893">
        <w:t xml:space="preserve">Johnston LG, Sabin K, Mai Thu </w:t>
      </w:r>
      <w:proofErr w:type="spellStart"/>
      <w:r w:rsidRPr="00934893">
        <w:t>Hien</w:t>
      </w:r>
      <w:proofErr w:type="spellEnd"/>
      <w:r w:rsidRPr="00934893">
        <w:t xml:space="preserve">, </w:t>
      </w:r>
      <w:proofErr w:type="spellStart"/>
      <w:r w:rsidRPr="00934893">
        <w:t>Phame</w:t>
      </w:r>
      <w:proofErr w:type="spellEnd"/>
      <w:r w:rsidRPr="00934893">
        <w:t xml:space="preserve"> </w:t>
      </w:r>
      <w:proofErr w:type="spellStart"/>
      <w:r w:rsidRPr="00934893">
        <w:t>Thi</w:t>
      </w:r>
      <w:proofErr w:type="spellEnd"/>
      <w:r w:rsidRPr="00934893">
        <w:t xml:space="preserve"> </w:t>
      </w:r>
      <w:proofErr w:type="spellStart"/>
      <w:r w:rsidRPr="00934893">
        <w:t>Houng</w:t>
      </w:r>
      <w:proofErr w:type="spellEnd"/>
      <w:r w:rsidRPr="00934893">
        <w:t>.</w:t>
      </w:r>
      <w:proofErr w:type="gramEnd"/>
      <w:r w:rsidRPr="00934893">
        <w:t xml:space="preserve"> Assessment of respondent driven sampling for recruiting female sex workers in two Vietnamese cities: Reaching the unseen sex worker. Journal of Urban Health 2006; 83(7):i16-i28.</w:t>
      </w:r>
    </w:p>
    <w:p w:rsidR="00181695" w:rsidRPr="00934893" w:rsidRDefault="00181695" w:rsidP="00181695">
      <w:pPr>
        <w:spacing w:after="240"/>
        <w:ind w:left="720" w:hanging="720"/>
      </w:pPr>
      <w:r w:rsidRPr="00934893">
        <w:t xml:space="preserve">Kulka R. The use of incentives to survey "hard to reach" </w:t>
      </w:r>
      <w:proofErr w:type="spellStart"/>
      <w:r w:rsidRPr="00934893">
        <w:t>respondents</w:t>
      </w:r>
      <w:proofErr w:type="gramStart"/>
      <w:r w:rsidRPr="00934893">
        <w:t>:a</w:t>
      </w:r>
      <w:proofErr w:type="spellEnd"/>
      <w:proofErr w:type="gramEnd"/>
      <w:r w:rsidRPr="00934893">
        <w:t xml:space="preserve"> brief review of empirical research and current research practice. Seminar on New Directions in Statistical Methodology, </w:t>
      </w:r>
      <w:proofErr w:type="gramStart"/>
      <w:r w:rsidRPr="00934893">
        <w:t>1995  #</w:t>
      </w:r>
      <w:proofErr w:type="gramEnd"/>
      <w:r w:rsidRPr="00934893">
        <w:t xml:space="preserve">23, 256-289. 1995. FCSM Statistical Policy Working Papers. </w:t>
      </w:r>
    </w:p>
    <w:p w:rsidR="00181695" w:rsidRPr="00934893" w:rsidRDefault="00181695" w:rsidP="00181695">
      <w:pPr>
        <w:spacing w:after="240"/>
        <w:ind w:left="720" w:hanging="720"/>
      </w:pPr>
      <w:proofErr w:type="spellStart"/>
      <w:r w:rsidRPr="00934893">
        <w:t>Magnani</w:t>
      </w:r>
      <w:proofErr w:type="spellEnd"/>
      <w:r w:rsidRPr="00934893">
        <w:t xml:space="preserve"> R, Sabin K, </w:t>
      </w:r>
      <w:proofErr w:type="spellStart"/>
      <w:r w:rsidRPr="00934893">
        <w:t>Saidel</w:t>
      </w:r>
      <w:proofErr w:type="spellEnd"/>
      <w:r w:rsidRPr="00934893">
        <w:t xml:space="preserve"> T, </w:t>
      </w:r>
      <w:proofErr w:type="spellStart"/>
      <w:r w:rsidRPr="00934893">
        <w:t>Heckathorn</w:t>
      </w:r>
      <w:proofErr w:type="spellEnd"/>
      <w:r w:rsidRPr="00934893">
        <w:t xml:space="preserve"> D. Review of sampling hard-to-reach and hidden populations for HIV surveillance. AIDS 2005; 19(</w:t>
      </w:r>
      <w:proofErr w:type="spellStart"/>
      <w:r w:rsidRPr="00934893">
        <w:t>Suppl</w:t>
      </w:r>
      <w:proofErr w:type="spellEnd"/>
      <w:r w:rsidRPr="00934893">
        <w:t xml:space="preserve"> 2):S67-S72.</w:t>
      </w:r>
    </w:p>
    <w:p w:rsidR="00181695" w:rsidRPr="00934893" w:rsidRDefault="00181695" w:rsidP="00181695">
      <w:pPr>
        <w:spacing w:after="240"/>
        <w:ind w:left="720" w:hanging="720"/>
      </w:pPr>
      <w:r w:rsidRPr="00934893">
        <w:lastRenderedPageBreak/>
        <w:t xml:space="preserve">Mansergh G, </w:t>
      </w:r>
      <w:proofErr w:type="spellStart"/>
      <w:r w:rsidRPr="00934893">
        <w:t>Naorat</w:t>
      </w:r>
      <w:proofErr w:type="spellEnd"/>
      <w:r w:rsidRPr="00934893">
        <w:t xml:space="preserve"> S, </w:t>
      </w:r>
      <w:proofErr w:type="spellStart"/>
      <w:r w:rsidRPr="00934893">
        <w:t>Jommaroeng</w:t>
      </w:r>
      <w:proofErr w:type="spellEnd"/>
      <w:r w:rsidRPr="00934893">
        <w:t xml:space="preserve"> R et al. Adaptation of venue-day-time </w:t>
      </w:r>
      <w:proofErr w:type="spellStart"/>
      <w:r w:rsidRPr="00934893">
        <w:t>smapling</w:t>
      </w:r>
      <w:proofErr w:type="spellEnd"/>
      <w:r w:rsidRPr="00934893">
        <w:t xml:space="preserve"> in Southeast Asia to access men who have sex with men for HIV assessment in Bangkok. Field Methods 2006; 18(2):135-152.</w:t>
      </w:r>
    </w:p>
    <w:p w:rsidR="00181695" w:rsidRDefault="00181695" w:rsidP="00181695">
      <w:pPr>
        <w:spacing w:after="240"/>
        <w:ind w:left="720" w:hanging="720"/>
      </w:pPr>
      <w:r w:rsidRPr="00934893">
        <w:t>McFarland W, Caceres C. HIV surveillance among men who have sex with men. AIDS 2001; 15(Supplement 3):S23-S32.</w:t>
      </w:r>
    </w:p>
    <w:p w:rsidR="00181695" w:rsidRDefault="00181695" w:rsidP="00181695">
      <w:pPr>
        <w:spacing w:after="240"/>
        <w:ind w:left="720" w:hanging="720"/>
      </w:pPr>
      <w:proofErr w:type="spellStart"/>
      <w:proofErr w:type="gramStart"/>
      <w:r w:rsidRPr="009357BC">
        <w:t>MacKellar</w:t>
      </w:r>
      <w:proofErr w:type="spellEnd"/>
      <w:r w:rsidRPr="009357BC">
        <w:t xml:space="preserve"> </w:t>
      </w:r>
      <w:r>
        <w:t xml:space="preserve">D, </w:t>
      </w:r>
      <w:r w:rsidRPr="009357BC">
        <w:t>Valleroy</w:t>
      </w:r>
      <w:r>
        <w:t xml:space="preserve"> L, </w:t>
      </w:r>
      <w:proofErr w:type="spellStart"/>
      <w:r w:rsidRPr="009357BC">
        <w:t>Karon</w:t>
      </w:r>
      <w:proofErr w:type="spellEnd"/>
      <w:r>
        <w:t xml:space="preserve"> J</w:t>
      </w:r>
      <w:r w:rsidRPr="009357BC">
        <w:t xml:space="preserve">, </w:t>
      </w:r>
      <w:proofErr w:type="spellStart"/>
      <w:r w:rsidRPr="009357BC">
        <w:t>Lemp</w:t>
      </w:r>
      <w:proofErr w:type="spellEnd"/>
      <w:r>
        <w:t xml:space="preserve"> G, a</w:t>
      </w:r>
      <w:r w:rsidRPr="009357BC">
        <w:t>nd Janssen</w:t>
      </w:r>
      <w:r>
        <w:t>, R.</w:t>
      </w:r>
      <w:proofErr w:type="gramEnd"/>
      <w:r>
        <w:t xml:space="preserve"> </w:t>
      </w:r>
      <w:r w:rsidRPr="009357BC">
        <w:t xml:space="preserve">The Young Men's Survey: Methods for Estimating HIV Seroprevalence and Risk Factors </w:t>
      </w:r>
      <w:proofErr w:type="gramStart"/>
      <w:r w:rsidRPr="009357BC">
        <w:t>Among</w:t>
      </w:r>
      <w:proofErr w:type="gramEnd"/>
      <w:r w:rsidRPr="009357BC">
        <w:t xml:space="preserve"> Young Men Who have Sex with Men</w:t>
      </w:r>
      <w:r>
        <w:t xml:space="preserve">. </w:t>
      </w:r>
      <w:r w:rsidRPr="009357BC">
        <w:t>Public Health Reports</w:t>
      </w:r>
      <w:r>
        <w:t xml:space="preserve"> 1996; </w:t>
      </w:r>
      <w:r w:rsidRPr="009357BC">
        <w:t>3</w:t>
      </w:r>
      <w:r>
        <w:t xml:space="preserve"> (</w:t>
      </w:r>
      <w:proofErr w:type="spellStart"/>
      <w:r w:rsidRPr="009357BC">
        <w:t>Suppl</w:t>
      </w:r>
      <w:proofErr w:type="spellEnd"/>
      <w:r w:rsidRPr="009357BC">
        <w:t xml:space="preserve"> 1</w:t>
      </w:r>
      <w:r>
        <w:t xml:space="preserve">): </w:t>
      </w:r>
      <w:r w:rsidRPr="009357BC">
        <w:t>139-144</w:t>
      </w:r>
      <w:r>
        <w:t>.</w:t>
      </w:r>
    </w:p>
    <w:p w:rsidR="00181695" w:rsidRPr="00934893" w:rsidRDefault="00181695" w:rsidP="00181695">
      <w:pPr>
        <w:spacing w:after="240"/>
        <w:ind w:left="720" w:hanging="720"/>
      </w:pPr>
      <w:proofErr w:type="spellStart"/>
      <w:r w:rsidRPr="009357BC">
        <w:t>MacKellar</w:t>
      </w:r>
      <w:proofErr w:type="spellEnd"/>
      <w:r w:rsidRPr="009357BC">
        <w:t xml:space="preserve"> </w:t>
      </w:r>
      <w:r>
        <w:t xml:space="preserve">DA, Gallagher KM, Finlayson T, Sanchez T, Lansky A, Sullivan P. Surveillance of HIV Risk and Prevention Behaviors of Men who have sex with men --  A national application of venue-based, time-space sampling. </w:t>
      </w:r>
      <w:r w:rsidRPr="009357BC">
        <w:t>Public Health Reports</w:t>
      </w:r>
      <w:r>
        <w:t xml:space="preserve"> 2005; 122 (</w:t>
      </w:r>
      <w:proofErr w:type="spellStart"/>
      <w:r w:rsidRPr="009357BC">
        <w:t>Suppl</w:t>
      </w:r>
      <w:proofErr w:type="spellEnd"/>
      <w:r w:rsidRPr="009357BC">
        <w:t xml:space="preserve"> 1</w:t>
      </w:r>
      <w:r>
        <w:t xml:space="preserve">): </w:t>
      </w:r>
      <w:r w:rsidRPr="009357BC">
        <w:t>39-4</w:t>
      </w:r>
      <w:r>
        <w:t>7.</w:t>
      </w:r>
    </w:p>
    <w:p w:rsidR="00181695" w:rsidRDefault="00181695" w:rsidP="00181695">
      <w:pPr>
        <w:spacing w:after="240"/>
        <w:ind w:left="720" w:hanging="720"/>
      </w:pPr>
      <w:proofErr w:type="gramStart"/>
      <w:r w:rsidRPr="00934893">
        <w:t>Ramirez-</w:t>
      </w:r>
      <w:proofErr w:type="spellStart"/>
      <w:r w:rsidRPr="00934893">
        <w:t>Valles</w:t>
      </w:r>
      <w:proofErr w:type="spellEnd"/>
      <w:r w:rsidRPr="00934893">
        <w:t xml:space="preserve"> J, </w:t>
      </w:r>
      <w:proofErr w:type="spellStart"/>
      <w:r w:rsidRPr="00934893">
        <w:t>Heckathorn</w:t>
      </w:r>
      <w:proofErr w:type="spellEnd"/>
      <w:r w:rsidRPr="00934893">
        <w:t xml:space="preserve"> D, Vazquez R, Diaz RM, Carlson R.</w:t>
      </w:r>
      <w:proofErr w:type="gramEnd"/>
      <w:r w:rsidRPr="00934893">
        <w:t xml:space="preserve"> From networks to populations: The development and application of respondent-driven sampling among IDUs and Latino gay men. AIDS and Behavior 2005; 9(4):387-402.</w:t>
      </w:r>
    </w:p>
    <w:p w:rsidR="00181695" w:rsidRPr="00A45FE8" w:rsidRDefault="00181695" w:rsidP="00181695">
      <w:pPr>
        <w:spacing w:after="240"/>
        <w:ind w:left="720" w:hanging="720"/>
      </w:pPr>
      <w:proofErr w:type="spellStart"/>
      <w:r w:rsidRPr="00A45FE8">
        <w:t>Salganik</w:t>
      </w:r>
      <w:proofErr w:type="spellEnd"/>
      <w:r>
        <w:t xml:space="preserve"> M</w:t>
      </w:r>
      <w:r w:rsidRPr="00A45FE8">
        <w:t>. Variance estimation, design effects, and sample size calculations for respondent-driven sampling. Journal of Urban Health</w:t>
      </w:r>
      <w:r>
        <w:t xml:space="preserve"> 2006; </w:t>
      </w:r>
      <w:r w:rsidRPr="00A45FE8">
        <w:t>83:98-111.</w:t>
      </w:r>
    </w:p>
    <w:p w:rsidR="00181695" w:rsidRPr="00934893" w:rsidRDefault="00181695" w:rsidP="00181695">
      <w:pPr>
        <w:spacing w:after="240"/>
        <w:ind w:left="720" w:hanging="720"/>
      </w:pPr>
      <w:proofErr w:type="spellStart"/>
      <w:r w:rsidRPr="00934893">
        <w:t>Semaan</w:t>
      </w:r>
      <w:proofErr w:type="spellEnd"/>
      <w:r w:rsidRPr="00934893">
        <w:t xml:space="preserve"> S, </w:t>
      </w:r>
      <w:proofErr w:type="spellStart"/>
      <w:r w:rsidRPr="00934893">
        <w:t>Lauby</w:t>
      </w:r>
      <w:proofErr w:type="spellEnd"/>
      <w:r w:rsidRPr="00934893">
        <w:t xml:space="preserve"> J, </w:t>
      </w:r>
      <w:proofErr w:type="spellStart"/>
      <w:r w:rsidRPr="00934893">
        <w:t>Liebman</w:t>
      </w:r>
      <w:proofErr w:type="spellEnd"/>
      <w:r w:rsidRPr="00934893">
        <w:t xml:space="preserve"> J. Street and network sampling in evaluation studies of HIV </w:t>
      </w:r>
      <w:proofErr w:type="spellStart"/>
      <w:r w:rsidRPr="00934893">
        <w:t>rrisk</w:t>
      </w:r>
      <w:proofErr w:type="spellEnd"/>
      <w:r w:rsidRPr="00934893">
        <w:t>-reduction interventions. AIDS Reviews 2002; 4:213-223.</w:t>
      </w:r>
    </w:p>
    <w:p w:rsidR="00181695" w:rsidRPr="00934893" w:rsidRDefault="00181695" w:rsidP="00181695">
      <w:pPr>
        <w:spacing w:after="240"/>
        <w:ind w:left="720" w:hanging="720"/>
      </w:pPr>
      <w:proofErr w:type="spellStart"/>
      <w:proofErr w:type="gramStart"/>
      <w:r w:rsidRPr="00934893">
        <w:t>Stormer</w:t>
      </w:r>
      <w:proofErr w:type="spellEnd"/>
      <w:r w:rsidRPr="00934893">
        <w:t xml:space="preserve"> A, </w:t>
      </w:r>
      <w:proofErr w:type="spellStart"/>
      <w:r w:rsidRPr="00934893">
        <w:t>Tun</w:t>
      </w:r>
      <w:proofErr w:type="spellEnd"/>
      <w:r w:rsidRPr="00934893">
        <w:t xml:space="preserve"> W, </w:t>
      </w:r>
      <w:proofErr w:type="spellStart"/>
      <w:r w:rsidRPr="00934893">
        <w:t>Guli</w:t>
      </w:r>
      <w:proofErr w:type="spellEnd"/>
      <w:r w:rsidRPr="00934893">
        <w:t xml:space="preserve"> L et al.</w:t>
      </w:r>
      <w:proofErr w:type="gramEnd"/>
      <w:r w:rsidRPr="00934893">
        <w:t xml:space="preserve"> </w:t>
      </w:r>
      <w:proofErr w:type="gramStart"/>
      <w:r w:rsidRPr="00934893">
        <w:t>An analysis of respondent driven sampling with injection drug users (IDU) in Albania and the Russian Federation.</w:t>
      </w:r>
      <w:proofErr w:type="gramEnd"/>
      <w:r w:rsidRPr="00934893">
        <w:t xml:space="preserve"> Journal of Urban Health 2006; 83(7):i73-i82.</w:t>
      </w:r>
    </w:p>
    <w:p w:rsidR="00181695" w:rsidRPr="00934893" w:rsidRDefault="00181695" w:rsidP="00181695">
      <w:pPr>
        <w:spacing w:after="240"/>
        <w:ind w:left="720" w:hanging="720"/>
      </w:pPr>
      <w:r w:rsidRPr="0001035D">
        <w:t xml:space="preserve">Thiede H, Romero M, </w:t>
      </w:r>
      <w:proofErr w:type="spellStart"/>
      <w:r w:rsidRPr="0001035D">
        <w:t>Bordelon</w:t>
      </w:r>
      <w:proofErr w:type="spellEnd"/>
      <w:r w:rsidRPr="0001035D">
        <w:t xml:space="preserve"> K, Hagan H, Murrill CS.  Using a jail-based survey to monitor HIV and risk behaviors among Seattle area injection drug users. </w:t>
      </w:r>
      <w:proofErr w:type="gramStart"/>
      <w:r w:rsidRPr="0001035D">
        <w:t>Journal of Urban Health.</w:t>
      </w:r>
      <w:proofErr w:type="gramEnd"/>
      <w:r w:rsidRPr="0001035D">
        <w:t xml:space="preserve"> 2001; 78(2):264-78.</w:t>
      </w:r>
    </w:p>
    <w:p w:rsidR="00181695" w:rsidRDefault="00181695" w:rsidP="00181695">
      <w:pPr>
        <w:spacing w:after="240"/>
        <w:ind w:left="720" w:hanging="720"/>
      </w:pPr>
      <w:r w:rsidRPr="00934893">
        <w:t xml:space="preserve">Wang J, Carlson R, </w:t>
      </w:r>
      <w:proofErr w:type="spellStart"/>
      <w:r w:rsidRPr="00934893">
        <w:t>Falck</w:t>
      </w:r>
      <w:proofErr w:type="spellEnd"/>
      <w:r w:rsidRPr="00934893">
        <w:t xml:space="preserve"> R, </w:t>
      </w:r>
      <w:proofErr w:type="spellStart"/>
      <w:r w:rsidRPr="00934893">
        <w:t>Siegal</w:t>
      </w:r>
      <w:proofErr w:type="spellEnd"/>
      <w:r w:rsidRPr="00934893">
        <w:t xml:space="preserve"> H, </w:t>
      </w:r>
      <w:proofErr w:type="spellStart"/>
      <w:r w:rsidRPr="00934893">
        <w:t>Rahman</w:t>
      </w:r>
      <w:proofErr w:type="spellEnd"/>
      <w:r w:rsidRPr="00934893">
        <w:t xml:space="preserve"> A, Li L. Respondent-driven sampling to recruit MDMA users: a methodological assessment. Drug and Alcohol Dependence 2005; 78(5):147-157.</w:t>
      </w:r>
    </w:p>
    <w:p w:rsidR="00181695" w:rsidRDefault="00181695" w:rsidP="00181695">
      <w:pPr>
        <w:spacing w:after="240"/>
        <w:ind w:left="720" w:hanging="720"/>
      </w:pPr>
      <w:r w:rsidRPr="00FB2531">
        <w:t>Whiteman MK</w:t>
      </w:r>
      <w:r>
        <w:t xml:space="preserve">, </w:t>
      </w:r>
      <w:proofErr w:type="spellStart"/>
      <w:r w:rsidRPr="00FB2531">
        <w:t>Langenberg</w:t>
      </w:r>
      <w:proofErr w:type="spellEnd"/>
      <w:r w:rsidRPr="00FB2531">
        <w:t xml:space="preserve"> P</w:t>
      </w:r>
      <w:r>
        <w:t xml:space="preserve">, </w:t>
      </w:r>
      <w:proofErr w:type="spellStart"/>
      <w:r w:rsidRPr="00FB2531">
        <w:t>Kjerulff</w:t>
      </w:r>
      <w:proofErr w:type="spellEnd"/>
      <w:r w:rsidRPr="00FB2531">
        <w:t xml:space="preserve"> K</w:t>
      </w:r>
      <w:r>
        <w:t xml:space="preserve">, </w:t>
      </w:r>
      <w:r w:rsidRPr="00FB2531">
        <w:t>McCarter R</w:t>
      </w:r>
      <w:r>
        <w:t xml:space="preserve">, </w:t>
      </w:r>
      <w:r w:rsidRPr="00FB2531">
        <w:t>Flaws JA.</w:t>
      </w:r>
      <w:r>
        <w:t xml:space="preserve"> </w:t>
      </w:r>
      <w:r w:rsidRPr="00FB2531">
        <w:t xml:space="preserve">A randomized trial of incentives to improve response rates to a mailed women's health questionnaire. </w:t>
      </w:r>
      <w:proofErr w:type="gramStart"/>
      <w:r w:rsidRPr="00FB2531">
        <w:t>Journal</w:t>
      </w:r>
      <w:r>
        <w:t xml:space="preserve"> </w:t>
      </w:r>
      <w:r w:rsidRPr="00FB2531">
        <w:t>of Women's Health.</w:t>
      </w:r>
      <w:proofErr w:type="gramEnd"/>
      <w:r>
        <w:t xml:space="preserve"> 2003;</w:t>
      </w:r>
      <w:r w:rsidRPr="00FB2531">
        <w:t xml:space="preserve"> 12(8):821-8</w:t>
      </w:r>
      <w:r>
        <w:t>.</w:t>
      </w:r>
    </w:p>
    <w:p w:rsidR="00181695" w:rsidRPr="00FB2531" w:rsidRDefault="00181695" w:rsidP="00181695">
      <w:pPr>
        <w:spacing w:after="240"/>
        <w:ind w:left="720" w:hanging="720"/>
      </w:pPr>
      <w:proofErr w:type="spellStart"/>
      <w:proofErr w:type="gramStart"/>
      <w:r>
        <w:t>Yancy</w:t>
      </w:r>
      <w:proofErr w:type="spellEnd"/>
      <w:r>
        <w:t xml:space="preserve"> AK, Ortega AN, </w:t>
      </w:r>
      <w:proofErr w:type="spellStart"/>
      <w:r>
        <w:t>Kumanyika</w:t>
      </w:r>
      <w:proofErr w:type="spellEnd"/>
      <w:r>
        <w:t xml:space="preserve"> SK. Effective recruitment and retention of minority research participants.</w:t>
      </w:r>
      <w:proofErr w:type="gramEnd"/>
      <w:r>
        <w:t xml:space="preserve"> Annual Review of Public Health 2006; 27:1-28.</w:t>
      </w:r>
    </w:p>
    <w:p w:rsidR="00F930A8" w:rsidRDefault="00181695" w:rsidP="009A188D">
      <w:pPr>
        <w:spacing w:after="240"/>
        <w:ind w:left="720" w:hanging="720"/>
        <w:rPr>
          <w:noProof/>
        </w:rPr>
      </w:pPr>
      <w:proofErr w:type="spellStart"/>
      <w:proofErr w:type="gramStart"/>
      <w:r w:rsidRPr="00934893">
        <w:lastRenderedPageBreak/>
        <w:t>Yeka</w:t>
      </w:r>
      <w:proofErr w:type="spellEnd"/>
      <w:r w:rsidRPr="00934893">
        <w:t xml:space="preserve"> W, </w:t>
      </w:r>
      <w:proofErr w:type="spellStart"/>
      <w:r w:rsidRPr="00934893">
        <w:t>Maibani-Michie</w:t>
      </w:r>
      <w:proofErr w:type="spellEnd"/>
      <w:r w:rsidRPr="00934893">
        <w:t xml:space="preserve"> G, </w:t>
      </w:r>
      <w:proofErr w:type="spellStart"/>
      <w:r w:rsidRPr="00934893">
        <w:t>Prybylski</w:t>
      </w:r>
      <w:proofErr w:type="spellEnd"/>
      <w:r w:rsidRPr="00934893">
        <w:t xml:space="preserve"> D, Colby D. Application of respondent driven sampling to collect baseline data on FSWs and MSM for HIV risk reduction interventions in two urban </w:t>
      </w:r>
      <w:proofErr w:type="spellStart"/>
      <w:r w:rsidRPr="00934893">
        <w:t>centres</w:t>
      </w:r>
      <w:proofErr w:type="spellEnd"/>
      <w:r w:rsidRPr="00934893">
        <w:t xml:space="preserve"> in Papua New Guinea.</w:t>
      </w:r>
      <w:proofErr w:type="gramEnd"/>
      <w:r w:rsidRPr="00934893">
        <w:t xml:space="preserve"> Journal of Urban Health 2006; 83(7):i60-i72.</w:t>
      </w:r>
    </w:p>
    <w:sectPr w:rsidR="00F930A8" w:rsidSect="00C94038">
      <w:headerReference w:type="default" r:id="rId23"/>
      <w:footerReference w:type="default" r:id="rId24"/>
      <w:type w:val="continuous"/>
      <w:pgSz w:w="12240" w:h="15840" w:code="1"/>
      <w:pgMar w:top="2045"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F80" w:rsidRDefault="004D0F80">
      <w:r>
        <w:separator/>
      </w:r>
    </w:p>
  </w:endnote>
  <w:endnote w:type="continuationSeparator" w:id="0">
    <w:p w:rsidR="004D0F80" w:rsidRDefault="004D0F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Century Schbk">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80" w:rsidRDefault="004D0F80" w:rsidP="008D79C3">
    <w:pPr>
      <w:pStyle w:val="Footer"/>
      <w:jc w:val="center"/>
    </w:pPr>
    <w:r>
      <w:rPr>
        <w:rStyle w:val="PageNumber"/>
      </w:rPr>
      <w:t xml:space="preserve">Page </w:t>
    </w:r>
    <w:r w:rsidR="00542C01">
      <w:rPr>
        <w:rStyle w:val="PageNumber"/>
      </w:rPr>
      <w:fldChar w:fldCharType="begin"/>
    </w:r>
    <w:r>
      <w:rPr>
        <w:rStyle w:val="PageNumber"/>
      </w:rPr>
      <w:instrText xml:space="preserve"> PAGE </w:instrText>
    </w:r>
    <w:r w:rsidR="00542C01">
      <w:rPr>
        <w:rStyle w:val="PageNumber"/>
      </w:rPr>
      <w:fldChar w:fldCharType="separate"/>
    </w:r>
    <w:r w:rsidR="00C57BD6">
      <w:rPr>
        <w:rStyle w:val="PageNumber"/>
        <w:noProof/>
      </w:rPr>
      <w:t>14</w:t>
    </w:r>
    <w:r w:rsidR="00542C01">
      <w:rPr>
        <w:rStyle w:val="PageNumber"/>
      </w:rPr>
      <w:fldChar w:fldCharType="end"/>
    </w:r>
    <w:r>
      <w:rPr>
        <w:rStyle w:val="PageNumber"/>
      </w:rPr>
      <w:t xml:space="preserve"> of </w:t>
    </w:r>
    <w:r w:rsidR="00542C01">
      <w:rPr>
        <w:rStyle w:val="PageNumber"/>
      </w:rPr>
      <w:fldChar w:fldCharType="begin"/>
    </w:r>
    <w:r>
      <w:rPr>
        <w:rStyle w:val="PageNumber"/>
      </w:rPr>
      <w:instrText xml:space="preserve"> NUMPAGES </w:instrText>
    </w:r>
    <w:r w:rsidR="00542C01">
      <w:rPr>
        <w:rStyle w:val="PageNumber"/>
      </w:rPr>
      <w:fldChar w:fldCharType="separate"/>
    </w:r>
    <w:r w:rsidR="00C57BD6">
      <w:rPr>
        <w:rStyle w:val="PageNumber"/>
        <w:noProof/>
      </w:rPr>
      <w:t>17</w:t>
    </w:r>
    <w:r w:rsidR="00542C01">
      <w:rPr>
        <w:rStyle w:val="PageNumber"/>
      </w:rPr>
      <w:fldChar w:fldCharType="end"/>
    </w:r>
  </w:p>
  <w:p w:rsidR="004D0F80" w:rsidRDefault="004D0F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80" w:rsidRDefault="004D0F80" w:rsidP="004C1EF3">
    <w:pPr>
      <w:pStyle w:val="Footer"/>
      <w:jc w:val="center"/>
    </w:pPr>
    <w:r>
      <w:rPr>
        <w:rStyle w:val="PageNumber"/>
      </w:rPr>
      <w:t xml:space="preserve">Page </w:t>
    </w:r>
    <w:r w:rsidR="00542C01">
      <w:rPr>
        <w:rStyle w:val="PageNumber"/>
      </w:rPr>
      <w:fldChar w:fldCharType="begin"/>
    </w:r>
    <w:r>
      <w:rPr>
        <w:rStyle w:val="PageNumber"/>
      </w:rPr>
      <w:instrText xml:space="preserve"> PAGE </w:instrText>
    </w:r>
    <w:r w:rsidR="00542C01">
      <w:rPr>
        <w:rStyle w:val="PageNumber"/>
      </w:rPr>
      <w:fldChar w:fldCharType="separate"/>
    </w:r>
    <w:r w:rsidR="00C57BD6">
      <w:rPr>
        <w:rStyle w:val="PageNumber"/>
        <w:noProof/>
      </w:rPr>
      <w:t>17</w:t>
    </w:r>
    <w:r w:rsidR="00542C01">
      <w:rPr>
        <w:rStyle w:val="PageNumber"/>
      </w:rPr>
      <w:fldChar w:fldCharType="end"/>
    </w:r>
    <w:r>
      <w:rPr>
        <w:rStyle w:val="PageNumber"/>
      </w:rPr>
      <w:t xml:space="preserve"> of </w:t>
    </w:r>
    <w:r w:rsidR="00542C01">
      <w:rPr>
        <w:rStyle w:val="PageNumber"/>
      </w:rPr>
      <w:fldChar w:fldCharType="begin"/>
    </w:r>
    <w:r>
      <w:rPr>
        <w:rStyle w:val="PageNumber"/>
      </w:rPr>
      <w:instrText xml:space="preserve"> NUMPAGES </w:instrText>
    </w:r>
    <w:r w:rsidR="00542C01">
      <w:rPr>
        <w:rStyle w:val="PageNumber"/>
      </w:rPr>
      <w:fldChar w:fldCharType="separate"/>
    </w:r>
    <w:r w:rsidR="00C57BD6">
      <w:rPr>
        <w:rStyle w:val="PageNumber"/>
        <w:noProof/>
      </w:rPr>
      <w:t>17</w:t>
    </w:r>
    <w:r w:rsidR="00542C0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F80" w:rsidRDefault="004D0F80">
      <w:r>
        <w:separator/>
      </w:r>
    </w:p>
  </w:footnote>
  <w:footnote w:type="continuationSeparator" w:id="0">
    <w:p w:rsidR="004D0F80" w:rsidRDefault="004D0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80" w:rsidRDefault="004D0F80" w:rsidP="00F0480A">
    <w:pPr>
      <w:pStyle w:val="Header"/>
      <w:jc w:val="right"/>
    </w:pPr>
    <w:r>
      <w:t>OMB No: 0920-0794</w:t>
    </w:r>
  </w:p>
  <w:p w:rsidR="004D0F80" w:rsidRDefault="004D0F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2C1"/>
    <w:multiLevelType w:val="hybridMultilevel"/>
    <w:tmpl w:val="EB329EBE"/>
    <w:lvl w:ilvl="0" w:tplc="FD1489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575CB8"/>
    <w:multiLevelType w:val="hybridMultilevel"/>
    <w:tmpl w:val="CFCC57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FCC435F"/>
    <w:multiLevelType w:val="hybridMultilevel"/>
    <w:tmpl w:val="96E41C3E"/>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FB26928">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D966F7"/>
    <w:multiLevelType w:val="hybridMultilevel"/>
    <w:tmpl w:val="DB0AC968"/>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0F53C0"/>
    <w:multiLevelType w:val="hybridMultilevel"/>
    <w:tmpl w:val="4EFCAC9C"/>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D13F63"/>
    <w:multiLevelType w:val="hybridMultilevel"/>
    <w:tmpl w:val="66EE2B8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CD0AD4"/>
    <w:multiLevelType w:val="hybridMultilevel"/>
    <w:tmpl w:val="127C9FE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B42AE5"/>
    <w:multiLevelType w:val="hybridMultilevel"/>
    <w:tmpl w:val="7C9AC2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0611F9"/>
    <w:multiLevelType w:val="hybridMultilevel"/>
    <w:tmpl w:val="59965C4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AC5C3F"/>
    <w:multiLevelType w:val="hybridMultilevel"/>
    <w:tmpl w:val="51CA2BC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BF044AE"/>
    <w:multiLevelType w:val="hybridMultilevel"/>
    <w:tmpl w:val="B860CDB4"/>
    <w:lvl w:ilvl="0" w:tplc="A718C4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C72E8B"/>
    <w:multiLevelType w:val="hybridMultilevel"/>
    <w:tmpl w:val="7CAA028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165441"/>
    <w:multiLevelType w:val="hybridMultilevel"/>
    <w:tmpl w:val="2D046B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836091B"/>
    <w:multiLevelType w:val="hybridMultilevel"/>
    <w:tmpl w:val="484AA6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743E1C"/>
    <w:multiLevelType w:val="hybridMultilevel"/>
    <w:tmpl w:val="FF0C1E7A"/>
    <w:lvl w:ilvl="0" w:tplc="86F6F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D26227"/>
    <w:multiLevelType w:val="hybridMultilevel"/>
    <w:tmpl w:val="5D7E3F6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F0119D"/>
    <w:multiLevelType w:val="hybridMultilevel"/>
    <w:tmpl w:val="32EC1868"/>
    <w:lvl w:ilvl="0" w:tplc="FD148912">
      <w:start w:val="1"/>
      <w:numFmt w:val="bullet"/>
      <w:lvlText w:val=""/>
      <w:lvlJc w:val="left"/>
      <w:pPr>
        <w:tabs>
          <w:tab w:val="num" w:pos="720"/>
        </w:tabs>
        <w:ind w:left="720" w:hanging="360"/>
      </w:pPr>
      <w:rPr>
        <w:rFonts w:ascii="Symbol" w:hAnsi="Symbol" w:hint="default"/>
        <w:color w:val="auto"/>
      </w:rPr>
    </w:lvl>
    <w:lvl w:ilvl="1" w:tplc="AB488022">
      <w:start w:val="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841E74"/>
    <w:multiLevelType w:val="hybridMultilevel"/>
    <w:tmpl w:val="F080E8A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3B761C"/>
    <w:multiLevelType w:val="hybridMultilevel"/>
    <w:tmpl w:val="E4FEA52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94668B"/>
    <w:multiLevelType w:val="hybridMultilevel"/>
    <w:tmpl w:val="69CA042C"/>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BB7681"/>
    <w:multiLevelType w:val="hybridMultilevel"/>
    <w:tmpl w:val="053C29C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E405CC"/>
    <w:multiLevelType w:val="hybridMultilevel"/>
    <w:tmpl w:val="0D025F8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6468EE"/>
    <w:multiLevelType w:val="hybridMultilevel"/>
    <w:tmpl w:val="7CB0CB3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8F4FD5"/>
    <w:multiLevelType w:val="hybridMultilevel"/>
    <w:tmpl w:val="EA9AA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5A3FB8"/>
    <w:multiLevelType w:val="hybridMultilevel"/>
    <w:tmpl w:val="D6E800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7B60CE9"/>
    <w:multiLevelType w:val="hybridMultilevel"/>
    <w:tmpl w:val="E610AB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AF495D"/>
    <w:multiLevelType w:val="hybridMultilevel"/>
    <w:tmpl w:val="C024B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A823AC"/>
    <w:multiLevelType w:val="hybridMultilevel"/>
    <w:tmpl w:val="73D2DB2A"/>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A74A5"/>
    <w:multiLevelType w:val="hybridMultilevel"/>
    <w:tmpl w:val="50B0CDC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6B7900"/>
    <w:multiLevelType w:val="hybridMultilevel"/>
    <w:tmpl w:val="838E793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D283416"/>
    <w:multiLevelType w:val="hybridMultilevel"/>
    <w:tmpl w:val="ED882B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3"/>
  </w:num>
  <w:num w:numId="4">
    <w:abstractNumId w:val="26"/>
  </w:num>
  <w:num w:numId="5">
    <w:abstractNumId w:val="10"/>
  </w:num>
  <w:num w:numId="6">
    <w:abstractNumId w:val="7"/>
  </w:num>
  <w:num w:numId="7">
    <w:abstractNumId w:val="4"/>
  </w:num>
  <w:num w:numId="8">
    <w:abstractNumId w:val="25"/>
  </w:num>
  <w:num w:numId="9">
    <w:abstractNumId w:val="24"/>
  </w:num>
  <w:num w:numId="10">
    <w:abstractNumId w:val="2"/>
  </w:num>
  <w:num w:numId="11">
    <w:abstractNumId w:val="21"/>
  </w:num>
  <w:num w:numId="12">
    <w:abstractNumId w:val="27"/>
  </w:num>
  <w:num w:numId="13">
    <w:abstractNumId w:val="35"/>
  </w:num>
  <w:num w:numId="14">
    <w:abstractNumId w:val="28"/>
  </w:num>
  <w:num w:numId="15">
    <w:abstractNumId w:val="23"/>
  </w:num>
  <w:num w:numId="16">
    <w:abstractNumId w:val="31"/>
  </w:num>
  <w:num w:numId="17">
    <w:abstractNumId w:val="13"/>
  </w:num>
  <w:num w:numId="18">
    <w:abstractNumId w:val="33"/>
  </w:num>
  <w:num w:numId="19">
    <w:abstractNumId w:val="1"/>
  </w:num>
  <w:num w:numId="20">
    <w:abstractNumId w:val="20"/>
  </w:num>
  <w:num w:numId="21">
    <w:abstractNumId w:val="6"/>
  </w:num>
  <w:num w:numId="22">
    <w:abstractNumId w:val="9"/>
  </w:num>
  <w:num w:numId="23">
    <w:abstractNumId w:val="37"/>
  </w:num>
  <w:num w:numId="24">
    <w:abstractNumId w:val="34"/>
  </w:num>
  <w:num w:numId="25">
    <w:abstractNumId w:val="22"/>
  </w:num>
  <w:num w:numId="26">
    <w:abstractNumId w:val="0"/>
  </w:num>
  <w:num w:numId="27">
    <w:abstractNumId w:val="36"/>
  </w:num>
  <w:num w:numId="28">
    <w:abstractNumId w:val="17"/>
  </w:num>
  <w:num w:numId="29">
    <w:abstractNumId w:val="5"/>
  </w:num>
  <w:num w:numId="30">
    <w:abstractNumId w:val="38"/>
  </w:num>
  <w:num w:numId="31">
    <w:abstractNumId w:val="8"/>
  </w:num>
  <w:num w:numId="32">
    <w:abstractNumId w:val="29"/>
  </w:num>
  <w:num w:numId="33">
    <w:abstractNumId w:val="16"/>
  </w:num>
  <w:num w:numId="34">
    <w:abstractNumId w:val="18"/>
  </w:num>
  <w:num w:numId="35">
    <w:abstractNumId w:val="12"/>
  </w:num>
  <w:num w:numId="36">
    <w:abstractNumId w:val="19"/>
  </w:num>
  <w:num w:numId="37">
    <w:abstractNumId w:val="30"/>
  </w:num>
  <w:num w:numId="38">
    <w:abstractNumId w:val="32"/>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characterSpacingControl w:val="doNotCompress"/>
  <w:hdrShapeDefaults>
    <o:shapedefaults v:ext="edit" spidmax="70657"/>
  </w:hdrShapeDefaults>
  <w:footnotePr>
    <w:footnote w:id="-1"/>
    <w:footnote w:id="0"/>
  </w:footnotePr>
  <w:endnotePr>
    <w:endnote w:id="-1"/>
    <w:endnote w:id="0"/>
  </w:endnotePr>
  <w:compat/>
  <w:rsids>
    <w:rsidRoot w:val="004C1EF3"/>
    <w:rsid w:val="00000BB5"/>
    <w:rsid w:val="000068DB"/>
    <w:rsid w:val="00015E93"/>
    <w:rsid w:val="0001612A"/>
    <w:rsid w:val="00017A3A"/>
    <w:rsid w:val="00026DAD"/>
    <w:rsid w:val="00032BAD"/>
    <w:rsid w:val="00034704"/>
    <w:rsid w:val="00036DB6"/>
    <w:rsid w:val="000430A9"/>
    <w:rsid w:val="00047ABF"/>
    <w:rsid w:val="00052CB0"/>
    <w:rsid w:val="00063CEB"/>
    <w:rsid w:val="00065787"/>
    <w:rsid w:val="000675F5"/>
    <w:rsid w:val="000728A0"/>
    <w:rsid w:val="00077422"/>
    <w:rsid w:val="00080A8C"/>
    <w:rsid w:val="000979B1"/>
    <w:rsid w:val="000A1A52"/>
    <w:rsid w:val="000A2CEF"/>
    <w:rsid w:val="000D16F0"/>
    <w:rsid w:val="000D49A4"/>
    <w:rsid w:val="000D544C"/>
    <w:rsid w:val="000E6B7D"/>
    <w:rsid w:val="000E7C1D"/>
    <w:rsid w:val="000F1B4F"/>
    <w:rsid w:val="000F521D"/>
    <w:rsid w:val="000F660F"/>
    <w:rsid w:val="001045D5"/>
    <w:rsid w:val="001110C9"/>
    <w:rsid w:val="0011574E"/>
    <w:rsid w:val="001165AC"/>
    <w:rsid w:val="00117186"/>
    <w:rsid w:val="00122D61"/>
    <w:rsid w:val="00137778"/>
    <w:rsid w:val="00137EE5"/>
    <w:rsid w:val="001444D9"/>
    <w:rsid w:val="00146C32"/>
    <w:rsid w:val="00181695"/>
    <w:rsid w:val="001830C5"/>
    <w:rsid w:val="0019234F"/>
    <w:rsid w:val="00193A39"/>
    <w:rsid w:val="00194EFE"/>
    <w:rsid w:val="00196AF2"/>
    <w:rsid w:val="00197E24"/>
    <w:rsid w:val="001B742D"/>
    <w:rsid w:val="001C59D3"/>
    <w:rsid w:val="001D0F2A"/>
    <w:rsid w:val="001D16D1"/>
    <w:rsid w:val="001E6CCF"/>
    <w:rsid w:val="001E6D59"/>
    <w:rsid w:val="001F1420"/>
    <w:rsid w:val="001F3280"/>
    <w:rsid w:val="00202CB3"/>
    <w:rsid w:val="002061C2"/>
    <w:rsid w:val="00206575"/>
    <w:rsid w:val="00212CD7"/>
    <w:rsid w:val="00215C27"/>
    <w:rsid w:val="00216AAF"/>
    <w:rsid w:val="002179C5"/>
    <w:rsid w:val="00223510"/>
    <w:rsid w:val="00225308"/>
    <w:rsid w:val="002260C8"/>
    <w:rsid w:val="002303FC"/>
    <w:rsid w:val="00231190"/>
    <w:rsid w:val="0023326F"/>
    <w:rsid w:val="00260C9D"/>
    <w:rsid w:val="0026277F"/>
    <w:rsid w:val="002825F3"/>
    <w:rsid w:val="00283497"/>
    <w:rsid w:val="00285BDC"/>
    <w:rsid w:val="00293D51"/>
    <w:rsid w:val="00294489"/>
    <w:rsid w:val="00295CAB"/>
    <w:rsid w:val="00297EDF"/>
    <w:rsid w:val="002A0978"/>
    <w:rsid w:val="002A4135"/>
    <w:rsid w:val="002B5DA1"/>
    <w:rsid w:val="002B63EF"/>
    <w:rsid w:val="002C61B3"/>
    <w:rsid w:val="002D00F3"/>
    <w:rsid w:val="002D4617"/>
    <w:rsid w:val="002E0892"/>
    <w:rsid w:val="002E1970"/>
    <w:rsid w:val="002E1FA0"/>
    <w:rsid w:val="002E2789"/>
    <w:rsid w:val="002E6E95"/>
    <w:rsid w:val="0030775C"/>
    <w:rsid w:val="0031050B"/>
    <w:rsid w:val="0034288B"/>
    <w:rsid w:val="003625E3"/>
    <w:rsid w:val="00380D8F"/>
    <w:rsid w:val="00393243"/>
    <w:rsid w:val="003B789E"/>
    <w:rsid w:val="003C159C"/>
    <w:rsid w:val="003C5830"/>
    <w:rsid w:val="003D0B47"/>
    <w:rsid w:val="003D1BD5"/>
    <w:rsid w:val="003E1182"/>
    <w:rsid w:val="003E6C20"/>
    <w:rsid w:val="003E7704"/>
    <w:rsid w:val="003F0FDF"/>
    <w:rsid w:val="003F3EE7"/>
    <w:rsid w:val="003F661B"/>
    <w:rsid w:val="003F676C"/>
    <w:rsid w:val="003F7CCA"/>
    <w:rsid w:val="00401080"/>
    <w:rsid w:val="00401DB2"/>
    <w:rsid w:val="00407AB1"/>
    <w:rsid w:val="00411E1D"/>
    <w:rsid w:val="00412D20"/>
    <w:rsid w:val="00413A57"/>
    <w:rsid w:val="00417466"/>
    <w:rsid w:val="00422478"/>
    <w:rsid w:val="00424980"/>
    <w:rsid w:val="00457625"/>
    <w:rsid w:val="004627E5"/>
    <w:rsid w:val="00475B73"/>
    <w:rsid w:val="00482D18"/>
    <w:rsid w:val="00483120"/>
    <w:rsid w:val="004856D7"/>
    <w:rsid w:val="00495B5A"/>
    <w:rsid w:val="004A1698"/>
    <w:rsid w:val="004A7BE9"/>
    <w:rsid w:val="004B14E8"/>
    <w:rsid w:val="004B3DD8"/>
    <w:rsid w:val="004C1EF3"/>
    <w:rsid w:val="004D0D26"/>
    <w:rsid w:val="004D0F80"/>
    <w:rsid w:val="004D5AC9"/>
    <w:rsid w:val="004E0BA7"/>
    <w:rsid w:val="004E2413"/>
    <w:rsid w:val="004E633C"/>
    <w:rsid w:val="004F3858"/>
    <w:rsid w:val="00511CCA"/>
    <w:rsid w:val="0051346F"/>
    <w:rsid w:val="00513E90"/>
    <w:rsid w:val="00527F69"/>
    <w:rsid w:val="00535E38"/>
    <w:rsid w:val="00542C01"/>
    <w:rsid w:val="005516BC"/>
    <w:rsid w:val="00573219"/>
    <w:rsid w:val="00584EFC"/>
    <w:rsid w:val="00587D56"/>
    <w:rsid w:val="0059334E"/>
    <w:rsid w:val="00593E5F"/>
    <w:rsid w:val="005A0261"/>
    <w:rsid w:val="005A0A8C"/>
    <w:rsid w:val="005A52C8"/>
    <w:rsid w:val="005B125B"/>
    <w:rsid w:val="005B39F8"/>
    <w:rsid w:val="005B3E76"/>
    <w:rsid w:val="005B720E"/>
    <w:rsid w:val="005C6CD4"/>
    <w:rsid w:val="005D05A7"/>
    <w:rsid w:val="005E092C"/>
    <w:rsid w:val="005E5443"/>
    <w:rsid w:val="005E6BE6"/>
    <w:rsid w:val="005E7755"/>
    <w:rsid w:val="00606FDC"/>
    <w:rsid w:val="00617905"/>
    <w:rsid w:val="006239E3"/>
    <w:rsid w:val="00624558"/>
    <w:rsid w:val="006253A1"/>
    <w:rsid w:val="00632698"/>
    <w:rsid w:val="00647BDB"/>
    <w:rsid w:val="006628EE"/>
    <w:rsid w:val="00664BAB"/>
    <w:rsid w:val="00676EB6"/>
    <w:rsid w:val="006771A1"/>
    <w:rsid w:val="00682A3F"/>
    <w:rsid w:val="00684DF2"/>
    <w:rsid w:val="0069390C"/>
    <w:rsid w:val="00697F87"/>
    <w:rsid w:val="006B2CE8"/>
    <w:rsid w:val="006B2E44"/>
    <w:rsid w:val="006B58DE"/>
    <w:rsid w:val="006B7AF1"/>
    <w:rsid w:val="006D2536"/>
    <w:rsid w:val="006D30C4"/>
    <w:rsid w:val="006E47E3"/>
    <w:rsid w:val="006F1FAD"/>
    <w:rsid w:val="006F2631"/>
    <w:rsid w:val="006F7423"/>
    <w:rsid w:val="006F7CC7"/>
    <w:rsid w:val="00724EB6"/>
    <w:rsid w:val="007305A8"/>
    <w:rsid w:val="00730947"/>
    <w:rsid w:val="00733C63"/>
    <w:rsid w:val="00733E7F"/>
    <w:rsid w:val="00737A9C"/>
    <w:rsid w:val="0074186A"/>
    <w:rsid w:val="00744CDB"/>
    <w:rsid w:val="00755ECB"/>
    <w:rsid w:val="00756413"/>
    <w:rsid w:val="007614FB"/>
    <w:rsid w:val="007646BE"/>
    <w:rsid w:val="007666D0"/>
    <w:rsid w:val="00782FDB"/>
    <w:rsid w:val="007849DA"/>
    <w:rsid w:val="007955D3"/>
    <w:rsid w:val="00797CB7"/>
    <w:rsid w:val="007A5261"/>
    <w:rsid w:val="007B50C8"/>
    <w:rsid w:val="007B7360"/>
    <w:rsid w:val="007C1916"/>
    <w:rsid w:val="007C349B"/>
    <w:rsid w:val="007C6344"/>
    <w:rsid w:val="007D300A"/>
    <w:rsid w:val="007D4612"/>
    <w:rsid w:val="007D68B6"/>
    <w:rsid w:val="007E0E69"/>
    <w:rsid w:val="007F0DD5"/>
    <w:rsid w:val="008006EB"/>
    <w:rsid w:val="00801BC3"/>
    <w:rsid w:val="00801E09"/>
    <w:rsid w:val="00820DCD"/>
    <w:rsid w:val="00830579"/>
    <w:rsid w:val="0083346C"/>
    <w:rsid w:val="0084230A"/>
    <w:rsid w:val="008448C4"/>
    <w:rsid w:val="00850664"/>
    <w:rsid w:val="00856979"/>
    <w:rsid w:val="00863BBC"/>
    <w:rsid w:val="008742E1"/>
    <w:rsid w:val="00875CED"/>
    <w:rsid w:val="00883E35"/>
    <w:rsid w:val="008864C6"/>
    <w:rsid w:val="00892464"/>
    <w:rsid w:val="008A07A7"/>
    <w:rsid w:val="008A23E6"/>
    <w:rsid w:val="008A3BD9"/>
    <w:rsid w:val="008C747D"/>
    <w:rsid w:val="008D79C3"/>
    <w:rsid w:val="008E19D6"/>
    <w:rsid w:val="008E5D1B"/>
    <w:rsid w:val="00913E76"/>
    <w:rsid w:val="00916F52"/>
    <w:rsid w:val="009210EF"/>
    <w:rsid w:val="00921AC4"/>
    <w:rsid w:val="00927D52"/>
    <w:rsid w:val="00932DCC"/>
    <w:rsid w:val="009348B0"/>
    <w:rsid w:val="0094190A"/>
    <w:rsid w:val="009421AC"/>
    <w:rsid w:val="009423FD"/>
    <w:rsid w:val="009555EF"/>
    <w:rsid w:val="00955FE6"/>
    <w:rsid w:val="009629F1"/>
    <w:rsid w:val="0096767C"/>
    <w:rsid w:val="009678DC"/>
    <w:rsid w:val="00973C7E"/>
    <w:rsid w:val="00973EF4"/>
    <w:rsid w:val="00982DDF"/>
    <w:rsid w:val="009A188D"/>
    <w:rsid w:val="009A2125"/>
    <w:rsid w:val="009A279A"/>
    <w:rsid w:val="009A704F"/>
    <w:rsid w:val="009B1B10"/>
    <w:rsid w:val="009C6B1F"/>
    <w:rsid w:val="009D4416"/>
    <w:rsid w:val="009D71A6"/>
    <w:rsid w:val="00A02B70"/>
    <w:rsid w:val="00A10CBE"/>
    <w:rsid w:val="00A11246"/>
    <w:rsid w:val="00A146B0"/>
    <w:rsid w:val="00A27101"/>
    <w:rsid w:val="00A32EBB"/>
    <w:rsid w:val="00A33766"/>
    <w:rsid w:val="00A452F6"/>
    <w:rsid w:val="00A525FB"/>
    <w:rsid w:val="00A641DC"/>
    <w:rsid w:val="00A65C5D"/>
    <w:rsid w:val="00A66CB2"/>
    <w:rsid w:val="00A70952"/>
    <w:rsid w:val="00A70CF6"/>
    <w:rsid w:val="00A74836"/>
    <w:rsid w:val="00A75605"/>
    <w:rsid w:val="00A840F9"/>
    <w:rsid w:val="00A84520"/>
    <w:rsid w:val="00A95622"/>
    <w:rsid w:val="00AA1496"/>
    <w:rsid w:val="00AA220F"/>
    <w:rsid w:val="00AA34D3"/>
    <w:rsid w:val="00AB5D3D"/>
    <w:rsid w:val="00AC19F6"/>
    <w:rsid w:val="00AC214C"/>
    <w:rsid w:val="00AC27FC"/>
    <w:rsid w:val="00AD063F"/>
    <w:rsid w:val="00AD15BF"/>
    <w:rsid w:val="00AD34C9"/>
    <w:rsid w:val="00AD4E3D"/>
    <w:rsid w:val="00AF3723"/>
    <w:rsid w:val="00AF42F0"/>
    <w:rsid w:val="00B0438C"/>
    <w:rsid w:val="00B050AF"/>
    <w:rsid w:val="00B0729B"/>
    <w:rsid w:val="00B1248B"/>
    <w:rsid w:val="00B13455"/>
    <w:rsid w:val="00B15C2D"/>
    <w:rsid w:val="00B25E55"/>
    <w:rsid w:val="00B27452"/>
    <w:rsid w:val="00B43DE9"/>
    <w:rsid w:val="00B44784"/>
    <w:rsid w:val="00B46BB1"/>
    <w:rsid w:val="00B54822"/>
    <w:rsid w:val="00B649A4"/>
    <w:rsid w:val="00B64F42"/>
    <w:rsid w:val="00B7098B"/>
    <w:rsid w:val="00B95080"/>
    <w:rsid w:val="00BA223A"/>
    <w:rsid w:val="00BA6E4B"/>
    <w:rsid w:val="00BB20F0"/>
    <w:rsid w:val="00BC0E0A"/>
    <w:rsid w:val="00BC723E"/>
    <w:rsid w:val="00BD3594"/>
    <w:rsid w:val="00BF4D6D"/>
    <w:rsid w:val="00C111C6"/>
    <w:rsid w:val="00C23782"/>
    <w:rsid w:val="00C27944"/>
    <w:rsid w:val="00C32939"/>
    <w:rsid w:val="00C36E0F"/>
    <w:rsid w:val="00C42007"/>
    <w:rsid w:val="00C43CFA"/>
    <w:rsid w:val="00C44C4D"/>
    <w:rsid w:val="00C464C0"/>
    <w:rsid w:val="00C57BD6"/>
    <w:rsid w:val="00C81287"/>
    <w:rsid w:val="00C84B0F"/>
    <w:rsid w:val="00C90C94"/>
    <w:rsid w:val="00C94038"/>
    <w:rsid w:val="00C94237"/>
    <w:rsid w:val="00C9438A"/>
    <w:rsid w:val="00C97CBA"/>
    <w:rsid w:val="00CA137A"/>
    <w:rsid w:val="00CB0039"/>
    <w:rsid w:val="00CB3767"/>
    <w:rsid w:val="00CB5597"/>
    <w:rsid w:val="00CB742A"/>
    <w:rsid w:val="00CC18E4"/>
    <w:rsid w:val="00CC43DD"/>
    <w:rsid w:val="00CE1280"/>
    <w:rsid w:val="00CE1F84"/>
    <w:rsid w:val="00CE4635"/>
    <w:rsid w:val="00CF272A"/>
    <w:rsid w:val="00CF7B6D"/>
    <w:rsid w:val="00D11306"/>
    <w:rsid w:val="00D1160B"/>
    <w:rsid w:val="00D25C0E"/>
    <w:rsid w:val="00D2762D"/>
    <w:rsid w:val="00D42E0C"/>
    <w:rsid w:val="00D4403B"/>
    <w:rsid w:val="00D5287A"/>
    <w:rsid w:val="00D61B11"/>
    <w:rsid w:val="00D61CC6"/>
    <w:rsid w:val="00D61F04"/>
    <w:rsid w:val="00DA2EF7"/>
    <w:rsid w:val="00DB4FA6"/>
    <w:rsid w:val="00DB698C"/>
    <w:rsid w:val="00DC039F"/>
    <w:rsid w:val="00DC0AE3"/>
    <w:rsid w:val="00DC2F83"/>
    <w:rsid w:val="00DC4890"/>
    <w:rsid w:val="00DC5ACB"/>
    <w:rsid w:val="00DD3B99"/>
    <w:rsid w:val="00DD40A5"/>
    <w:rsid w:val="00DD6CBF"/>
    <w:rsid w:val="00DD7E12"/>
    <w:rsid w:val="00DF73BE"/>
    <w:rsid w:val="00E034C9"/>
    <w:rsid w:val="00E039A1"/>
    <w:rsid w:val="00E03D9C"/>
    <w:rsid w:val="00E05B89"/>
    <w:rsid w:val="00E2331F"/>
    <w:rsid w:val="00E24275"/>
    <w:rsid w:val="00E309C8"/>
    <w:rsid w:val="00E32E38"/>
    <w:rsid w:val="00E341AA"/>
    <w:rsid w:val="00E410A9"/>
    <w:rsid w:val="00E460C6"/>
    <w:rsid w:val="00E50676"/>
    <w:rsid w:val="00E55264"/>
    <w:rsid w:val="00E5606A"/>
    <w:rsid w:val="00E8712F"/>
    <w:rsid w:val="00E95558"/>
    <w:rsid w:val="00E97745"/>
    <w:rsid w:val="00EB17BD"/>
    <w:rsid w:val="00EC3C23"/>
    <w:rsid w:val="00EC4687"/>
    <w:rsid w:val="00EC4C82"/>
    <w:rsid w:val="00EC76CB"/>
    <w:rsid w:val="00ED2D45"/>
    <w:rsid w:val="00EE195B"/>
    <w:rsid w:val="00EF0334"/>
    <w:rsid w:val="00EF0515"/>
    <w:rsid w:val="00F0480A"/>
    <w:rsid w:val="00F048AD"/>
    <w:rsid w:val="00F064A0"/>
    <w:rsid w:val="00F10BCB"/>
    <w:rsid w:val="00F179A5"/>
    <w:rsid w:val="00F203B8"/>
    <w:rsid w:val="00F22625"/>
    <w:rsid w:val="00F22843"/>
    <w:rsid w:val="00F413C5"/>
    <w:rsid w:val="00F50265"/>
    <w:rsid w:val="00F6078E"/>
    <w:rsid w:val="00F626DC"/>
    <w:rsid w:val="00F6298D"/>
    <w:rsid w:val="00F63779"/>
    <w:rsid w:val="00F77736"/>
    <w:rsid w:val="00F828B4"/>
    <w:rsid w:val="00F84FCC"/>
    <w:rsid w:val="00F854A7"/>
    <w:rsid w:val="00F87DA8"/>
    <w:rsid w:val="00F930A8"/>
    <w:rsid w:val="00FB22A5"/>
    <w:rsid w:val="00FB25CD"/>
    <w:rsid w:val="00FC0658"/>
    <w:rsid w:val="00FC424A"/>
    <w:rsid w:val="00FC59E7"/>
    <w:rsid w:val="00FD0C32"/>
    <w:rsid w:val="00FD5D02"/>
    <w:rsid w:val="00FF3A5A"/>
    <w:rsid w:val="00FF5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EF3"/>
    <w:rPr>
      <w:sz w:val="24"/>
      <w:szCs w:val="24"/>
    </w:rPr>
  </w:style>
  <w:style w:type="paragraph" w:styleId="Heading1">
    <w:name w:val="heading 1"/>
    <w:basedOn w:val="Normal"/>
    <w:next w:val="Normal"/>
    <w:qFormat/>
    <w:rsid w:val="00F87DA8"/>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
    <w:qFormat/>
    <w:rsid w:val="004627E5"/>
    <w:pPr>
      <w:keepNext/>
      <w:spacing w:after="120"/>
      <w:ind w:left="720" w:hanging="720"/>
      <w:outlineLvl w:val="1"/>
    </w:pPr>
    <w:rPr>
      <w:b/>
      <w:sz w:val="22"/>
      <w:szCs w:val="20"/>
    </w:rPr>
  </w:style>
  <w:style w:type="paragraph" w:styleId="Heading3">
    <w:name w:val="heading 3"/>
    <w:basedOn w:val="Normal"/>
    <w:next w:val="Normal"/>
    <w:qFormat/>
    <w:rsid w:val="00F87DA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1EF3"/>
    <w:rPr>
      <w:color w:val="0000FF"/>
      <w:u w:val="single"/>
    </w:rPr>
  </w:style>
  <w:style w:type="paragraph" w:styleId="FootnoteText">
    <w:name w:val="footnote text"/>
    <w:basedOn w:val="Normal"/>
    <w:semiHidden/>
    <w:rsid w:val="004C1EF3"/>
    <w:rPr>
      <w:sz w:val="20"/>
      <w:szCs w:val="20"/>
    </w:rPr>
  </w:style>
  <w:style w:type="character" w:styleId="FootnoteReference">
    <w:name w:val="footnote reference"/>
    <w:basedOn w:val="DefaultParagraphFont"/>
    <w:semiHidden/>
    <w:rsid w:val="004C1EF3"/>
    <w:rPr>
      <w:vertAlign w:val="superscript"/>
    </w:rPr>
  </w:style>
  <w:style w:type="paragraph" w:customStyle="1" w:styleId="Default">
    <w:name w:val="Default"/>
    <w:rsid w:val="004C1EF3"/>
    <w:pPr>
      <w:autoSpaceDE w:val="0"/>
      <w:autoSpaceDN w:val="0"/>
      <w:adjustRightInd w:val="0"/>
    </w:pPr>
    <w:rPr>
      <w:color w:val="000000"/>
      <w:sz w:val="24"/>
      <w:szCs w:val="24"/>
    </w:rPr>
  </w:style>
  <w:style w:type="paragraph" w:styleId="Header">
    <w:name w:val="header"/>
    <w:basedOn w:val="Normal"/>
    <w:rsid w:val="004C1EF3"/>
    <w:pPr>
      <w:tabs>
        <w:tab w:val="center" w:pos="4320"/>
        <w:tab w:val="right" w:pos="8640"/>
      </w:tabs>
    </w:pPr>
  </w:style>
  <w:style w:type="table" w:styleId="TableGrid">
    <w:name w:val="Table Grid"/>
    <w:basedOn w:val="TableNormal"/>
    <w:rsid w:val="004C1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C1EF3"/>
    <w:pPr>
      <w:tabs>
        <w:tab w:val="center" w:pos="4320"/>
        <w:tab w:val="right" w:pos="8640"/>
      </w:tabs>
    </w:pPr>
  </w:style>
  <w:style w:type="character" w:styleId="PageNumber">
    <w:name w:val="page number"/>
    <w:basedOn w:val="DefaultParagraphFont"/>
    <w:rsid w:val="004C1EF3"/>
  </w:style>
  <w:style w:type="paragraph" w:customStyle="1" w:styleId="bodytext">
    <w:name w:val="body text"/>
    <w:aliases w:val="bt,body tx,indent,flush,memo body text"/>
    <w:basedOn w:val="Normal"/>
    <w:rsid w:val="004627E5"/>
    <w:pPr>
      <w:spacing w:after="240"/>
      <w:ind w:firstLine="720"/>
    </w:pPr>
    <w:rPr>
      <w:sz w:val="22"/>
      <w:szCs w:val="20"/>
    </w:rPr>
  </w:style>
  <w:style w:type="paragraph" w:styleId="TOC1">
    <w:name w:val="toc 1"/>
    <w:basedOn w:val="Normal"/>
    <w:next w:val="Normal"/>
    <w:rsid w:val="004627E5"/>
    <w:pPr>
      <w:tabs>
        <w:tab w:val="right" w:leader="dot" w:pos="9360"/>
      </w:tabs>
      <w:spacing w:before="480" w:after="80"/>
      <w:ind w:left="900" w:right="720" w:hanging="540"/>
    </w:pPr>
    <w:rPr>
      <w:sz w:val="22"/>
      <w:szCs w:val="20"/>
    </w:rPr>
  </w:style>
  <w:style w:type="paragraph" w:styleId="TOC2">
    <w:name w:val="toc 2"/>
    <w:basedOn w:val="Normal"/>
    <w:next w:val="Normal"/>
    <w:rsid w:val="004627E5"/>
    <w:pPr>
      <w:tabs>
        <w:tab w:val="right" w:leader="dot" w:pos="9360"/>
      </w:tabs>
      <w:spacing w:before="240" w:after="80"/>
      <w:ind w:left="1440" w:right="720" w:hanging="540"/>
    </w:pPr>
    <w:rPr>
      <w:sz w:val="22"/>
      <w:szCs w:val="20"/>
    </w:rPr>
  </w:style>
  <w:style w:type="paragraph" w:styleId="TOC5">
    <w:name w:val="toc 5"/>
    <w:basedOn w:val="Normal"/>
    <w:next w:val="Normal"/>
    <w:rsid w:val="004627E5"/>
    <w:pPr>
      <w:tabs>
        <w:tab w:val="right" w:leader="dot" w:pos="9360"/>
      </w:tabs>
      <w:spacing w:before="40" w:after="40"/>
      <w:ind w:left="1080" w:right="720" w:hanging="1080"/>
    </w:pPr>
    <w:rPr>
      <w:noProof/>
      <w:sz w:val="22"/>
      <w:szCs w:val="20"/>
    </w:rPr>
  </w:style>
  <w:style w:type="paragraph" w:customStyle="1" w:styleId="bodytext0">
    <w:name w:val="bodytext"/>
    <w:basedOn w:val="Normal"/>
    <w:rsid w:val="008A07A7"/>
    <w:pPr>
      <w:spacing w:before="100" w:beforeAutospacing="1" w:after="100" w:afterAutospacing="1"/>
    </w:pPr>
    <w:rPr>
      <w:rFonts w:ascii="Arial" w:hAnsi="Arial" w:cs="Arial"/>
      <w:color w:val="000000"/>
      <w:sz w:val="20"/>
      <w:szCs w:val="20"/>
    </w:rPr>
  </w:style>
  <w:style w:type="character" w:styleId="FollowedHyperlink">
    <w:name w:val="FollowedHyperlink"/>
    <w:basedOn w:val="DefaultParagraphFont"/>
    <w:rsid w:val="008006EB"/>
    <w:rPr>
      <w:color w:val="800080"/>
      <w:u w:val="single"/>
    </w:rPr>
  </w:style>
  <w:style w:type="paragraph" w:styleId="HTMLPreformatted">
    <w:name w:val="HTML Preformatted"/>
    <w:basedOn w:val="Normal"/>
    <w:rsid w:val="00CC1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FD0C32"/>
    <w:rPr>
      <w:sz w:val="16"/>
      <w:szCs w:val="16"/>
    </w:rPr>
  </w:style>
  <w:style w:type="paragraph" w:styleId="CommentText">
    <w:name w:val="annotation text"/>
    <w:basedOn w:val="Normal"/>
    <w:link w:val="CommentTextChar"/>
    <w:semiHidden/>
    <w:rsid w:val="00FD0C32"/>
    <w:rPr>
      <w:sz w:val="20"/>
      <w:szCs w:val="20"/>
    </w:rPr>
  </w:style>
  <w:style w:type="paragraph" w:styleId="CommentSubject">
    <w:name w:val="annotation subject"/>
    <w:basedOn w:val="CommentText"/>
    <w:next w:val="CommentText"/>
    <w:semiHidden/>
    <w:rsid w:val="00FD0C32"/>
    <w:rPr>
      <w:b/>
      <w:bCs/>
    </w:rPr>
  </w:style>
  <w:style w:type="paragraph" w:styleId="BalloonText">
    <w:name w:val="Balloon Text"/>
    <w:basedOn w:val="Normal"/>
    <w:semiHidden/>
    <w:rsid w:val="00FD0C32"/>
    <w:rPr>
      <w:rFonts w:ascii="Tahoma" w:hAnsi="Tahoma" w:cs="Tahoma"/>
      <w:sz w:val="16"/>
      <w:szCs w:val="16"/>
    </w:rPr>
  </w:style>
  <w:style w:type="character" w:customStyle="1" w:styleId="CommentTextChar">
    <w:name w:val="Comment Text Char"/>
    <w:basedOn w:val="DefaultParagraphFont"/>
    <w:link w:val="CommentText"/>
    <w:semiHidden/>
    <w:rsid w:val="005B720E"/>
  </w:style>
  <w:style w:type="paragraph" w:customStyle="1" w:styleId="4Document">
    <w:name w:val="4Document"/>
    <w:rsid w:val="00181695"/>
    <w:pPr>
      <w:widowControl w:val="0"/>
      <w:autoSpaceDE w:val="0"/>
      <w:autoSpaceDN w:val="0"/>
      <w:adjustRightInd w:val="0"/>
    </w:pPr>
    <w:rPr>
      <w:rFonts w:ascii="CG Century Schbk" w:hAnsi="CG Century Schbk" w:cs="CG Century Schbk"/>
      <w:sz w:val="24"/>
      <w:szCs w:val="24"/>
    </w:rPr>
  </w:style>
</w:styles>
</file>

<file path=word/webSettings.xml><?xml version="1.0" encoding="utf-8"?>
<w:webSettings xmlns:r="http://schemas.openxmlformats.org/officeDocument/2006/relationships" xmlns:w="http://schemas.openxmlformats.org/wordprocessingml/2006/main">
  <w:divs>
    <w:div w:id="597566739">
      <w:bodyDiv w:val="1"/>
      <w:marLeft w:val="0"/>
      <w:marRight w:val="0"/>
      <w:marTop w:val="0"/>
      <w:marBottom w:val="0"/>
      <w:divBdr>
        <w:top w:val="none" w:sz="0" w:space="0" w:color="auto"/>
        <w:left w:val="none" w:sz="0" w:space="0" w:color="auto"/>
        <w:bottom w:val="none" w:sz="0" w:space="0" w:color="auto"/>
        <w:right w:val="none" w:sz="0" w:space="0" w:color="auto"/>
      </w:divBdr>
    </w:div>
    <w:div w:id="1443184968">
      <w:bodyDiv w:val="1"/>
      <w:marLeft w:val="0"/>
      <w:marRight w:val="0"/>
      <w:marTop w:val="0"/>
      <w:marBottom w:val="0"/>
      <w:divBdr>
        <w:top w:val="none" w:sz="0" w:space="0" w:color="auto"/>
        <w:left w:val="none" w:sz="0" w:space="0" w:color="auto"/>
        <w:bottom w:val="none" w:sz="0" w:space="0" w:color="auto"/>
        <w:right w:val="none" w:sz="0" w:space="0" w:color="auto"/>
      </w:divBdr>
    </w:div>
    <w:div w:id="162549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Finlayson@cdc.gov" TargetMode="External"/><Relationship Id="rId13" Type="http://schemas.openxmlformats.org/officeDocument/2006/relationships/hyperlink" Target="mailto:EDiNenno@cdc.gov" TargetMode="External"/><Relationship Id="rId18" Type="http://schemas.openxmlformats.org/officeDocument/2006/relationships/hyperlink" Target="mailto:THall1@cd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Sionean@cdc.gov" TargetMode="External"/><Relationship Id="rId7" Type="http://schemas.openxmlformats.org/officeDocument/2006/relationships/endnotes" Target="endnotes.xml"/><Relationship Id="rId12" Type="http://schemas.openxmlformats.org/officeDocument/2006/relationships/hyperlink" Target="mailto:PDenning@cdc.gov" TargetMode="External"/><Relationship Id="rId17" Type="http://schemas.openxmlformats.org/officeDocument/2006/relationships/hyperlink" Target="mailto:HBX0@cd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Hageman@cdc.gov" TargetMode="External"/><Relationship Id="rId20" Type="http://schemas.openxmlformats.org/officeDocument/2006/relationships/hyperlink" Target="mailto:AOster@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ribbin@cdc.go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Finlayson@cdc.gov" TargetMode="External"/><Relationship Id="rId23" Type="http://schemas.openxmlformats.org/officeDocument/2006/relationships/header" Target="header1.xml"/><Relationship Id="rId10" Type="http://schemas.openxmlformats.org/officeDocument/2006/relationships/hyperlink" Target="mailto:KBowles@cdc.gov" TargetMode="External"/><Relationship Id="rId19" Type="http://schemas.openxmlformats.org/officeDocument/2006/relationships/hyperlink" Target="mailto:IMiles@cdc.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dulin@cdc.gov" TargetMode="External"/><Relationship Id="rId22" Type="http://schemas.openxmlformats.org/officeDocument/2006/relationships/hyperlink" Target="mailto:ASmith3@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1CEBF-1423-424D-99D9-EB4DFC5C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6581</Words>
  <Characters>37908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44401</CharactersWithSpaces>
  <SharedDoc>false</SharedDoc>
  <HLinks>
    <vt:vector size="30" baseType="variant">
      <vt:variant>
        <vt:i4>38</vt:i4>
      </vt:variant>
      <vt:variant>
        <vt:i4>12</vt:i4>
      </vt:variant>
      <vt:variant>
        <vt:i4>0</vt:i4>
      </vt:variant>
      <vt:variant>
        <vt:i4>5</vt:i4>
      </vt:variant>
      <vt:variant>
        <vt:lpwstr>mailto:Edinenno@cdc.gov</vt:lpwstr>
      </vt:variant>
      <vt:variant>
        <vt:lpwstr/>
      </vt:variant>
      <vt:variant>
        <vt:i4>6881355</vt:i4>
      </vt:variant>
      <vt:variant>
        <vt:i4>9</vt:i4>
      </vt:variant>
      <vt:variant>
        <vt:i4>0</vt:i4>
      </vt:variant>
      <vt:variant>
        <vt:i4>5</vt:i4>
      </vt:variant>
      <vt:variant>
        <vt:lpwstr>mailto:Rdulin@cdc.gov</vt:lpwstr>
      </vt:variant>
      <vt:variant>
        <vt:lpwstr/>
      </vt:variant>
      <vt:variant>
        <vt:i4>1507455</vt:i4>
      </vt:variant>
      <vt:variant>
        <vt:i4>6</vt:i4>
      </vt:variant>
      <vt:variant>
        <vt:i4>0</vt:i4>
      </vt:variant>
      <vt:variant>
        <vt:i4>5</vt:i4>
      </vt:variant>
      <vt:variant>
        <vt:lpwstr>mailto:HBX0@cdc.gov</vt:lpwstr>
      </vt:variant>
      <vt:variant>
        <vt:lpwstr/>
      </vt:variant>
      <vt:variant>
        <vt:i4>6291545</vt:i4>
      </vt:variant>
      <vt:variant>
        <vt:i4>3</vt:i4>
      </vt:variant>
      <vt:variant>
        <vt:i4>0</vt:i4>
      </vt:variant>
      <vt:variant>
        <vt:i4>5</vt:i4>
      </vt:variant>
      <vt:variant>
        <vt:lpwstr>mailto:TFinlayson@cdc.gov</vt:lpwstr>
      </vt:variant>
      <vt:variant>
        <vt:lpwstr/>
      </vt:variant>
      <vt:variant>
        <vt:i4>6291545</vt:i4>
      </vt:variant>
      <vt:variant>
        <vt:i4>0</vt:i4>
      </vt:variant>
      <vt:variant>
        <vt:i4>0</vt:i4>
      </vt:variant>
      <vt:variant>
        <vt:i4>5</vt:i4>
      </vt:variant>
      <vt:variant>
        <vt:lpwstr>mailto:TFinlayson@cdc.gov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dc:description/>
  <cp:lastModifiedBy>Teresa Jacobs Finlayson </cp:lastModifiedBy>
  <cp:revision>3</cp:revision>
  <cp:lastPrinted>2011-05-19T01:51:00Z</cp:lastPrinted>
  <dcterms:created xsi:type="dcterms:W3CDTF">2011-05-18T19:24:00Z</dcterms:created>
  <dcterms:modified xsi:type="dcterms:W3CDTF">2011-05-19T01:51:00Z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vishnu-priya</vt:lpwstr>
  </property>
</Properties>
</file>