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C2E" w:rsidRDefault="00E70C2E" w:rsidP="00327121">
      <w:pPr>
        <w:pStyle w:val="NoSpacing"/>
        <w:rPr>
          <w:b/>
        </w:rPr>
      </w:pPr>
      <w:r>
        <w:rPr>
          <w:b/>
        </w:rPr>
        <w:t>October 12, 2011</w:t>
      </w:r>
    </w:p>
    <w:p w:rsidR="00E70C2E" w:rsidRDefault="00E70C2E" w:rsidP="00327121">
      <w:pPr>
        <w:pStyle w:val="NoSpacing"/>
        <w:rPr>
          <w:b/>
        </w:rPr>
      </w:pPr>
    </w:p>
    <w:p w:rsidR="00E70C2E" w:rsidRDefault="00327121" w:rsidP="00327121">
      <w:pPr>
        <w:pStyle w:val="NoSpacing"/>
        <w:rPr>
          <w:b/>
        </w:rPr>
      </w:pPr>
      <w:r w:rsidRPr="00327121">
        <w:rPr>
          <w:b/>
        </w:rPr>
        <w:t xml:space="preserve">OMB Change Request – </w:t>
      </w:r>
      <w:r w:rsidR="008754A3" w:rsidRPr="008754A3">
        <w:rPr>
          <w:b/>
        </w:rPr>
        <w:t>0920-0696</w:t>
      </w:r>
    </w:p>
    <w:p w:rsidR="00E70C2E" w:rsidRDefault="00E70C2E" w:rsidP="00327121">
      <w:pPr>
        <w:pStyle w:val="NoSpacing"/>
        <w:rPr>
          <w:b/>
        </w:rPr>
      </w:pPr>
    </w:p>
    <w:p w:rsidR="00E70C2E" w:rsidRPr="00182CA8" w:rsidRDefault="00E70C2E" w:rsidP="00E70C2E">
      <w:pPr>
        <w:pStyle w:val="NoSpacing"/>
        <w:rPr>
          <w:szCs w:val="18"/>
        </w:rPr>
      </w:pPr>
      <w:r>
        <w:rPr>
          <w:b/>
        </w:rPr>
        <w:t>New title</w:t>
      </w:r>
      <w:r w:rsidRPr="00182CA8">
        <w:t xml:space="preserve">: </w:t>
      </w:r>
      <w:r w:rsidR="00EF7A28" w:rsidRPr="00EF7A28">
        <w:rPr>
          <w:b/>
          <w:szCs w:val="18"/>
        </w:rPr>
        <w:t>National HIV Prevention Program Monitoring and Evaluation (NHM&amp;E) Data</w:t>
      </w:r>
    </w:p>
    <w:p w:rsidR="00E70C2E" w:rsidRDefault="00E70C2E" w:rsidP="00327121">
      <w:pPr>
        <w:pStyle w:val="NoSpacing"/>
        <w:rPr>
          <w:b/>
        </w:rPr>
      </w:pPr>
    </w:p>
    <w:p w:rsidR="00327121" w:rsidRDefault="00E70C2E" w:rsidP="00327121">
      <w:pPr>
        <w:pStyle w:val="NoSpacing"/>
        <w:rPr>
          <w:b/>
        </w:rPr>
      </w:pPr>
      <w:r>
        <w:rPr>
          <w:b/>
        </w:rPr>
        <w:t xml:space="preserve">Previous title: </w:t>
      </w:r>
      <w:r w:rsidR="008754A3" w:rsidRPr="008754A3">
        <w:rPr>
          <w:b/>
        </w:rPr>
        <w:t>HIV Prevention Program Evaluation and Monitoring System for Health Departments and Community-Based Organizations (PEMS).</w:t>
      </w:r>
    </w:p>
    <w:p w:rsidR="00327121" w:rsidRDefault="00327121" w:rsidP="00327121">
      <w:pPr>
        <w:pStyle w:val="NoSpacing"/>
        <w:rPr>
          <w:b/>
        </w:rPr>
      </w:pPr>
    </w:p>
    <w:p w:rsidR="00327121" w:rsidRDefault="002C1B72" w:rsidP="00327121">
      <w:pPr>
        <w:pStyle w:val="NoSpacing"/>
        <w:rPr>
          <w:b/>
          <w:u w:val="single"/>
        </w:rPr>
      </w:pPr>
      <w:r w:rsidRPr="002C1B72">
        <w:rPr>
          <w:b/>
          <w:u w:val="single"/>
        </w:rPr>
        <w:t>Background Information</w:t>
      </w:r>
    </w:p>
    <w:p w:rsidR="002C1B72" w:rsidRDefault="002C1B72" w:rsidP="00327121">
      <w:pPr>
        <w:pStyle w:val="NoSpacing"/>
        <w:rPr>
          <w:b/>
          <w:u w:val="single"/>
        </w:rPr>
      </w:pPr>
    </w:p>
    <w:p w:rsidR="002C1B72" w:rsidRPr="008754A3" w:rsidRDefault="002C1B72" w:rsidP="008754A3">
      <w:pPr>
        <w:pStyle w:val="NoSpacing"/>
        <w:rPr>
          <w:szCs w:val="18"/>
        </w:rPr>
      </w:pPr>
      <w:r w:rsidRPr="008754A3">
        <w:t>The Centers for Disease Control and Prevention requests to add 11 variables to the N</w:t>
      </w:r>
      <w:r w:rsidR="008754A3">
        <w:t>ational Monitoring and Evaluation (N</w:t>
      </w:r>
      <w:r w:rsidRPr="008754A3">
        <w:t>HM&amp;E</w:t>
      </w:r>
      <w:r w:rsidR="008754A3">
        <w:t xml:space="preserve">) </w:t>
      </w:r>
      <w:r w:rsidRPr="008754A3">
        <w:t>data set included in the currently-appr</w:t>
      </w:r>
      <w:r w:rsidR="00F0466E" w:rsidRPr="008754A3">
        <w:t xml:space="preserve">oved data collection 0920-0696, </w:t>
      </w:r>
      <w:r w:rsidR="008754A3" w:rsidRPr="008754A3">
        <w:rPr>
          <w:szCs w:val="18"/>
        </w:rPr>
        <w:t>HIV Prevention Program Evaluation and Monitoring System for Health Departments and Community-Based Organizations (PEMS).</w:t>
      </w:r>
      <w:r w:rsidR="00D24A38">
        <w:rPr>
          <w:szCs w:val="18"/>
        </w:rPr>
        <w:t xml:space="preserve"> </w:t>
      </w:r>
      <w:r w:rsidR="00E70C2E">
        <w:rPr>
          <w:szCs w:val="18"/>
        </w:rPr>
        <w:t>As mentioned in the revision</w:t>
      </w:r>
      <w:r w:rsidR="005E190B">
        <w:rPr>
          <w:szCs w:val="18"/>
        </w:rPr>
        <w:t xml:space="preserve"> application approved on 9/18/10, </w:t>
      </w:r>
      <w:r w:rsidR="00E70C2E">
        <w:rPr>
          <w:szCs w:val="18"/>
        </w:rPr>
        <w:t xml:space="preserve">we request that </w:t>
      </w:r>
      <w:r w:rsidR="005E190B">
        <w:rPr>
          <w:szCs w:val="18"/>
        </w:rPr>
        <w:t>th</w:t>
      </w:r>
      <w:r w:rsidR="00E70C2E">
        <w:rPr>
          <w:szCs w:val="18"/>
        </w:rPr>
        <w:t>is</w:t>
      </w:r>
      <w:r w:rsidR="005E190B">
        <w:rPr>
          <w:szCs w:val="18"/>
        </w:rPr>
        <w:t xml:space="preserve"> data collection effort be renamed National HIV Prevention Program Monitoring and Evaluation (NHM&amp;E) Data.</w:t>
      </w:r>
    </w:p>
    <w:p w:rsidR="008754A3" w:rsidRDefault="008754A3" w:rsidP="002C1B72">
      <w:pPr>
        <w:pStyle w:val="NoSpacing"/>
      </w:pPr>
    </w:p>
    <w:p w:rsidR="002C1B72" w:rsidRPr="002C1B72" w:rsidRDefault="002C1B72" w:rsidP="002C1B72">
      <w:pPr>
        <w:pStyle w:val="NoSpacing"/>
      </w:pPr>
      <w:r w:rsidRPr="002C1B72">
        <w:t xml:space="preserve">The NHM&amp;E data are a set of standardized variables to assist </w:t>
      </w:r>
      <w:r w:rsidR="008754A3">
        <w:t xml:space="preserve">Health Departments and Community-Based Organizations (CBOs) </w:t>
      </w:r>
      <w:r w:rsidRPr="002C1B72">
        <w:t xml:space="preserve">in monitoring and evaluating their activities to help them develop, deliver, and refine successful HIV prevention interventions.  These data are also used to report key program performance indicators to CDC to show whether the programs implemented or supported are efficient and effective in achieving their stated goals. NHM&amp;E data supply program managers with service-level information regarding intervention processes (e.g., who delivered what to whom, how many, where, and when) and client-level information (e.g., client  demographics, behavioral risk factors, exposure to services, verified referrals into other services, and changes in risk-behaviors for selected interventions) for monitoring and enhancing local HIV prevention programs.  Much of these data are already being collected by CBOs and HDs using locally developed forms. The NHM&amp;E variables were approved by OMB on 09/18/10 and will expire on 8/31/13. </w:t>
      </w:r>
    </w:p>
    <w:p w:rsidR="002C1B72" w:rsidRDefault="002C1B72" w:rsidP="002C1B72">
      <w:pPr>
        <w:pStyle w:val="NoSpacing"/>
      </w:pPr>
    </w:p>
    <w:p w:rsidR="002C1B72" w:rsidRDefault="002C1B72" w:rsidP="002C1B72">
      <w:pPr>
        <w:pStyle w:val="NoSpacing"/>
      </w:pPr>
      <w:r w:rsidRPr="002C1B72">
        <w:t>Under t</w:t>
      </w:r>
      <w:r>
        <w:t>hree</w:t>
      </w:r>
      <w:r w:rsidRPr="002C1B72">
        <w:t xml:space="preserve"> recent funding opportunity a</w:t>
      </w:r>
      <w:r>
        <w:t xml:space="preserve">nnouncements (FOAs) (PS10-10181, </w:t>
      </w:r>
      <w:r w:rsidRPr="002C1B72">
        <w:t>PS11-1117</w:t>
      </w:r>
      <w:r>
        <w:t>, and PS12-1201</w:t>
      </w:r>
      <w:r w:rsidRPr="002C1B72">
        <w:t xml:space="preserve">), health departments will be required to report additional, aggregate-level data to CDC related to their HIV prevention and care activities. This change request is to add additional variables to the currently approved list of NHM&amp;E variables for the purposes of </w:t>
      </w:r>
      <w:r w:rsidR="00C20A7F">
        <w:t xml:space="preserve">health department </w:t>
      </w:r>
      <w:r w:rsidRPr="002C1B72">
        <w:t xml:space="preserve">program monitoring and evaluation. These data are needed to monitor interventions that </w:t>
      </w:r>
      <w:r w:rsidR="00FB31F2">
        <w:t xml:space="preserve">are critical to the White House National HIV/AIDS Strategy (NHAS) and </w:t>
      </w:r>
      <w:r w:rsidRPr="002C1B72">
        <w:t xml:space="preserve">have not previously been monitored by CDC (i.e., the variables did not exist when the previous data set was approved). Data collected and reported by </w:t>
      </w:r>
      <w:r w:rsidR="00C20A7F">
        <w:t xml:space="preserve">CDC’s 65 state and local health department </w:t>
      </w:r>
      <w:r w:rsidRPr="002C1B72">
        <w:t>grantees will be used to inform progress toward meeting goals and objectives of the N</w:t>
      </w:r>
      <w:r w:rsidR="00FB31F2">
        <w:t>HAS</w:t>
      </w:r>
      <w:r>
        <w:t>.</w:t>
      </w:r>
    </w:p>
    <w:p w:rsidR="002C1B72" w:rsidRPr="002C1B72" w:rsidRDefault="002C1B72" w:rsidP="002C1B72">
      <w:pPr>
        <w:pStyle w:val="NoSpacing"/>
      </w:pPr>
      <w:r w:rsidRPr="002C1B72">
        <w:t xml:space="preserve"> </w:t>
      </w:r>
    </w:p>
    <w:p w:rsidR="00792628" w:rsidRDefault="002C1B72" w:rsidP="002C1B72">
      <w:pPr>
        <w:pStyle w:val="NoSpacing"/>
      </w:pPr>
      <w:r w:rsidRPr="002C1B72">
        <w:t xml:space="preserve">CDC is requesting to add 11 variables to the NHM&amp;E </w:t>
      </w:r>
      <w:r w:rsidR="000C07B2">
        <w:t xml:space="preserve">health education/risk reduction (HE/RR) </w:t>
      </w:r>
      <w:r w:rsidRPr="002C1B72">
        <w:t xml:space="preserve">data variables (see attachment for a description of these new variables) and modify two existing </w:t>
      </w:r>
      <w:r w:rsidR="000C07B2">
        <w:t xml:space="preserve">HE/RR </w:t>
      </w:r>
      <w:r w:rsidRPr="002C1B72">
        <w:t>variables.</w:t>
      </w:r>
      <w:r w:rsidR="00792628">
        <w:t xml:space="preserve"> It is estimated that collecting information on the additional 11 required variables will add two (2) minutes per client to gather and maintain HE/RR data</w:t>
      </w:r>
      <w:r w:rsidR="0060712E">
        <w:t xml:space="preserve"> for a total of eight (8) minutes per client to gather and maintain HE/RR data. </w:t>
      </w:r>
    </w:p>
    <w:p w:rsidR="00792628" w:rsidRDefault="00792628" w:rsidP="002C1B72">
      <w:pPr>
        <w:pStyle w:val="NoSpacing"/>
        <w:rPr>
          <w:b/>
        </w:rPr>
      </w:pPr>
    </w:p>
    <w:p w:rsidR="006B37A5" w:rsidRDefault="00A20622" w:rsidP="002C1B72">
      <w:pPr>
        <w:pStyle w:val="NoSpacing"/>
      </w:pPr>
      <w:r>
        <w:rPr>
          <w:b/>
        </w:rPr>
        <w:t xml:space="preserve">The addition of these 2 minutes will equal </w:t>
      </w:r>
      <w:r w:rsidR="000823E6">
        <w:rPr>
          <w:b/>
        </w:rPr>
        <w:t>2,548</w:t>
      </w:r>
      <w:r>
        <w:rPr>
          <w:b/>
        </w:rPr>
        <w:t xml:space="preserve"> additional annual burden hours. </w:t>
      </w:r>
      <w:r w:rsidR="00C20A7F">
        <w:rPr>
          <w:b/>
        </w:rPr>
        <w:t xml:space="preserve">On average, health departments serve 1,176 clients annually.  Thus, adding two (2) minutes per client to gather and </w:t>
      </w:r>
      <w:r w:rsidR="00C20A7F">
        <w:rPr>
          <w:b/>
        </w:rPr>
        <w:lastRenderedPageBreak/>
        <w:t xml:space="preserve">maintain HE/RR data adds an additional </w:t>
      </w:r>
      <w:r w:rsidR="000823E6">
        <w:rPr>
          <w:b/>
        </w:rPr>
        <w:t xml:space="preserve">39 hours per health department annually.  There are 65 health departments reporting to CDC for a total of 2,548 additional annual burden hours.  </w:t>
      </w:r>
    </w:p>
    <w:p w:rsidR="007E514B" w:rsidRDefault="007E514B" w:rsidP="002C1B72">
      <w:pPr>
        <w:pStyle w:val="NoSpacing"/>
      </w:pPr>
    </w:p>
    <w:p w:rsidR="00F0466E" w:rsidRDefault="00F0466E" w:rsidP="002C1B72">
      <w:pPr>
        <w:pStyle w:val="NoSpacing"/>
      </w:pPr>
      <w:r>
        <w:t>Please see the attached burden estimate that explicates the burden calculation for health department jurisdictions.</w:t>
      </w:r>
    </w:p>
    <w:p w:rsidR="00F0466E" w:rsidRDefault="00F0466E" w:rsidP="002C1B72">
      <w:pPr>
        <w:pStyle w:val="NoSpacing"/>
      </w:pPr>
    </w:p>
    <w:p w:rsidR="00F0466E" w:rsidRPr="00F0466E" w:rsidRDefault="00F0466E" w:rsidP="00F0466E">
      <w:pPr>
        <w:pStyle w:val="NoSpacing"/>
        <w:jc w:val="center"/>
        <w:rPr>
          <w:b/>
        </w:rPr>
      </w:pPr>
      <w:r w:rsidRPr="00F0466E">
        <w:rPr>
          <w:b/>
        </w:rPr>
        <w:t xml:space="preserve">Burden Estimate Calculations – </w:t>
      </w:r>
      <w:r>
        <w:rPr>
          <w:b/>
        </w:rPr>
        <w:t>Health Education/Risk Reduction Data (HE/RR)</w:t>
      </w:r>
    </w:p>
    <w:p w:rsidR="00F0466E" w:rsidRDefault="00F0466E" w:rsidP="002C1B72">
      <w:pPr>
        <w:pStyle w:val="NoSpacing"/>
      </w:pPr>
    </w:p>
    <w:p w:rsidR="00F0466E" w:rsidRPr="00F0466E" w:rsidRDefault="00F0466E" w:rsidP="00F0466E">
      <w:pPr>
        <w:pStyle w:val="NoSpacing"/>
        <w:rPr>
          <w:b/>
        </w:rPr>
      </w:pPr>
      <w:r w:rsidRPr="00F0466E">
        <w:rPr>
          <w:b/>
        </w:rPr>
        <w:t xml:space="preserve">State and Local Health </w:t>
      </w:r>
      <w:r w:rsidR="00C20A7F">
        <w:rPr>
          <w:b/>
        </w:rPr>
        <w:t xml:space="preserve">Department </w:t>
      </w:r>
      <w:r w:rsidRPr="00F0466E">
        <w:rPr>
          <w:b/>
        </w:rPr>
        <w:t>Grantees</w:t>
      </w:r>
    </w:p>
    <w:p w:rsidR="00F0466E" w:rsidRPr="00CA2E42" w:rsidRDefault="00F0466E" w:rsidP="00F0466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7"/>
        <w:gridCol w:w="1317"/>
        <w:gridCol w:w="1511"/>
        <w:gridCol w:w="1487"/>
        <w:gridCol w:w="1201"/>
        <w:gridCol w:w="1743"/>
      </w:tblGrid>
      <w:tr w:rsidR="00F0466E" w:rsidRPr="00581547" w:rsidTr="00F0466E">
        <w:tc>
          <w:tcPr>
            <w:tcW w:w="1597" w:type="dxa"/>
            <w:tcBorders>
              <w:top w:val="nil"/>
              <w:left w:val="nil"/>
              <w:bottom w:val="single" w:sz="4" w:space="0" w:color="auto"/>
              <w:right w:val="single" w:sz="4" w:space="0" w:color="auto"/>
            </w:tcBorders>
          </w:tcPr>
          <w:p w:rsidR="00F0466E" w:rsidRPr="00581547" w:rsidRDefault="00F0466E" w:rsidP="00F0466E">
            <w:pPr>
              <w:rPr>
                <w:b/>
              </w:rPr>
            </w:pPr>
          </w:p>
        </w:tc>
        <w:tc>
          <w:tcPr>
            <w:tcW w:w="7259" w:type="dxa"/>
            <w:gridSpan w:val="5"/>
            <w:tcBorders>
              <w:left w:val="single" w:sz="4" w:space="0" w:color="auto"/>
            </w:tcBorders>
          </w:tcPr>
          <w:p w:rsidR="00F0466E" w:rsidRPr="00581547" w:rsidRDefault="00C20A7F" w:rsidP="00C20A7F">
            <w:pPr>
              <w:jc w:val="center"/>
              <w:rPr>
                <w:b/>
              </w:rPr>
            </w:pPr>
            <w:r>
              <w:rPr>
                <w:b/>
              </w:rPr>
              <w:t xml:space="preserve">Annual </w:t>
            </w:r>
            <w:r w:rsidR="0060712E">
              <w:rPr>
                <w:b/>
              </w:rPr>
              <w:t xml:space="preserve">Additional </w:t>
            </w:r>
            <w:r>
              <w:rPr>
                <w:b/>
              </w:rPr>
              <w:t>Burden</w:t>
            </w:r>
            <w:r w:rsidR="00F0466E" w:rsidRPr="00581547">
              <w:rPr>
                <w:b/>
              </w:rPr>
              <w:t xml:space="preserve"> Estimate for Each </w:t>
            </w:r>
            <w:r>
              <w:rPr>
                <w:b/>
              </w:rPr>
              <w:t>Health Department</w:t>
            </w:r>
            <w:r w:rsidR="00F0466E" w:rsidRPr="00581547">
              <w:rPr>
                <w:b/>
              </w:rPr>
              <w:t xml:space="preserve"> </w:t>
            </w:r>
          </w:p>
        </w:tc>
      </w:tr>
      <w:tr w:rsidR="00F0466E" w:rsidRPr="00581547" w:rsidTr="00F0466E">
        <w:tc>
          <w:tcPr>
            <w:tcW w:w="1597" w:type="dxa"/>
            <w:tcBorders>
              <w:top w:val="single" w:sz="4" w:space="0" w:color="auto"/>
            </w:tcBorders>
          </w:tcPr>
          <w:p w:rsidR="00F0466E" w:rsidRPr="00581547" w:rsidRDefault="00C20A7F" w:rsidP="00F0466E">
            <w:pPr>
              <w:rPr>
                <w:b/>
              </w:rPr>
            </w:pPr>
            <w:r>
              <w:rPr>
                <w:b/>
              </w:rPr>
              <w:t>Respondent</w:t>
            </w:r>
          </w:p>
        </w:tc>
        <w:tc>
          <w:tcPr>
            <w:tcW w:w="1317" w:type="dxa"/>
          </w:tcPr>
          <w:p w:rsidR="00F0466E" w:rsidRPr="00581547" w:rsidRDefault="00C20A7F" w:rsidP="00F0466E">
            <w:pPr>
              <w:rPr>
                <w:b/>
              </w:rPr>
            </w:pPr>
            <w:r>
              <w:rPr>
                <w:b/>
              </w:rPr>
              <w:t>Data Collection Form</w:t>
            </w:r>
          </w:p>
        </w:tc>
        <w:tc>
          <w:tcPr>
            <w:tcW w:w="1511" w:type="dxa"/>
          </w:tcPr>
          <w:p w:rsidR="00F0466E" w:rsidRPr="00581547" w:rsidRDefault="00C20A7F" w:rsidP="00F0466E">
            <w:pPr>
              <w:rPr>
                <w:b/>
              </w:rPr>
            </w:pPr>
            <w:r>
              <w:rPr>
                <w:b/>
              </w:rPr>
              <w:t>Number of Respondents</w:t>
            </w:r>
          </w:p>
        </w:tc>
        <w:tc>
          <w:tcPr>
            <w:tcW w:w="1487" w:type="dxa"/>
          </w:tcPr>
          <w:p w:rsidR="00F0466E" w:rsidRPr="00581547" w:rsidRDefault="00C20A7F" w:rsidP="00F0466E">
            <w:pPr>
              <w:rPr>
                <w:b/>
              </w:rPr>
            </w:pPr>
            <w:r>
              <w:rPr>
                <w:b/>
              </w:rPr>
              <w:t>Number of responses per respondent</w:t>
            </w:r>
          </w:p>
        </w:tc>
        <w:tc>
          <w:tcPr>
            <w:tcW w:w="1201" w:type="dxa"/>
          </w:tcPr>
          <w:p w:rsidR="00F0466E" w:rsidRPr="00581547" w:rsidRDefault="00C20A7F" w:rsidP="00F0466E">
            <w:pPr>
              <w:rPr>
                <w:b/>
              </w:rPr>
            </w:pPr>
            <w:r>
              <w:rPr>
                <w:b/>
              </w:rPr>
              <w:t xml:space="preserve">Average </w:t>
            </w:r>
            <w:r w:rsidR="0060712E">
              <w:rPr>
                <w:b/>
              </w:rPr>
              <w:t xml:space="preserve">additional </w:t>
            </w:r>
            <w:r>
              <w:rPr>
                <w:b/>
              </w:rPr>
              <w:t>burden per response (in hours)</w:t>
            </w:r>
          </w:p>
        </w:tc>
        <w:tc>
          <w:tcPr>
            <w:tcW w:w="1743" w:type="dxa"/>
          </w:tcPr>
          <w:p w:rsidR="00F0466E" w:rsidRPr="00581547" w:rsidRDefault="00C20A7F" w:rsidP="00F0466E">
            <w:pPr>
              <w:rPr>
                <w:b/>
              </w:rPr>
            </w:pPr>
            <w:r>
              <w:rPr>
                <w:b/>
              </w:rPr>
              <w:t xml:space="preserve">Total </w:t>
            </w:r>
            <w:r w:rsidR="0060712E">
              <w:rPr>
                <w:b/>
              </w:rPr>
              <w:t xml:space="preserve">additional </w:t>
            </w:r>
            <w:r>
              <w:rPr>
                <w:b/>
              </w:rPr>
              <w:t>burden (in hours)</w:t>
            </w:r>
          </w:p>
        </w:tc>
      </w:tr>
      <w:tr w:rsidR="00F0466E" w:rsidRPr="00CA2E42" w:rsidTr="0060712E">
        <w:trPr>
          <w:trHeight w:val="773"/>
        </w:trPr>
        <w:tc>
          <w:tcPr>
            <w:tcW w:w="1597" w:type="dxa"/>
          </w:tcPr>
          <w:p w:rsidR="00F0466E" w:rsidRDefault="00C20A7F" w:rsidP="00F0466E">
            <w:r>
              <w:t>Health Department</w:t>
            </w:r>
          </w:p>
          <w:p w:rsidR="0060712E" w:rsidRPr="00CA2E42" w:rsidRDefault="0060712E" w:rsidP="00F0466E"/>
        </w:tc>
        <w:tc>
          <w:tcPr>
            <w:tcW w:w="1317" w:type="dxa"/>
          </w:tcPr>
          <w:p w:rsidR="00F0466E" w:rsidRPr="00CA2E42" w:rsidRDefault="0060712E" w:rsidP="0060712E">
            <w:pPr>
              <w:jc w:val="center"/>
            </w:pPr>
            <w:r>
              <w:t>No form required</w:t>
            </w:r>
          </w:p>
        </w:tc>
        <w:tc>
          <w:tcPr>
            <w:tcW w:w="1511" w:type="dxa"/>
          </w:tcPr>
          <w:p w:rsidR="00F0466E" w:rsidRPr="00CA2E42" w:rsidRDefault="0060712E" w:rsidP="0060712E">
            <w:pPr>
              <w:jc w:val="center"/>
            </w:pPr>
            <w:r>
              <w:t>65</w:t>
            </w:r>
          </w:p>
        </w:tc>
        <w:tc>
          <w:tcPr>
            <w:tcW w:w="1487" w:type="dxa"/>
          </w:tcPr>
          <w:p w:rsidR="00F0466E" w:rsidRPr="00CA2E42" w:rsidRDefault="0060712E" w:rsidP="0060712E">
            <w:pPr>
              <w:jc w:val="center"/>
            </w:pPr>
            <w:r>
              <w:t>1,176</w:t>
            </w:r>
          </w:p>
        </w:tc>
        <w:tc>
          <w:tcPr>
            <w:tcW w:w="1201" w:type="dxa"/>
          </w:tcPr>
          <w:p w:rsidR="00F0466E" w:rsidRPr="00CA2E42" w:rsidRDefault="0060712E" w:rsidP="0060712E">
            <w:pPr>
              <w:jc w:val="center"/>
            </w:pPr>
            <w:r>
              <w:t>2/60</w:t>
            </w:r>
          </w:p>
        </w:tc>
        <w:tc>
          <w:tcPr>
            <w:tcW w:w="1743" w:type="dxa"/>
          </w:tcPr>
          <w:p w:rsidR="00F0466E" w:rsidRPr="00CA2E42" w:rsidRDefault="0060712E" w:rsidP="0060712E">
            <w:pPr>
              <w:jc w:val="center"/>
            </w:pPr>
            <w:r>
              <w:t>2,548</w:t>
            </w:r>
          </w:p>
        </w:tc>
      </w:tr>
    </w:tbl>
    <w:p w:rsidR="00F0466E" w:rsidRDefault="00F0466E" w:rsidP="00F0466E"/>
    <w:p w:rsidR="00F0466E" w:rsidRDefault="00F0466E" w:rsidP="002C1B72">
      <w:pPr>
        <w:pStyle w:val="NoSpacing"/>
      </w:pPr>
    </w:p>
    <w:p w:rsidR="00F0466E" w:rsidRDefault="00F0466E" w:rsidP="002C1B72">
      <w:pPr>
        <w:pStyle w:val="NoSpacing"/>
      </w:pPr>
    </w:p>
    <w:p w:rsidR="00132FC9" w:rsidRDefault="00132FC9" w:rsidP="002C1B72">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7"/>
        <w:gridCol w:w="1317"/>
        <w:gridCol w:w="1511"/>
        <w:gridCol w:w="1487"/>
        <w:gridCol w:w="1201"/>
        <w:gridCol w:w="1743"/>
      </w:tblGrid>
      <w:tr w:rsidR="0060712E" w:rsidRPr="00581547" w:rsidTr="0060712E">
        <w:tc>
          <w:tcPr>
            <w:tcW w:w="1597" w:type="dxa"/>
            <w:tcBorders>
              <w:top w:val="nil"/>
              <w:left w:val="nil"/>
              <w:bottom w:val="single" w:sz="4" w:space="0" w:color="auto"/>
              <w:right w:val="single" w:sz="4" w:space="0" w:color="auto"/>
            </w:tcBorders>
          </w:tcPr>
          <w:p w:rsidR="0060712E" w:rsidRPr="00581547" w:rsidRDefault="0060712E" w:rsidP="0060712E">
            <w:pPr>
              <w:rPr>
                <w:b/>
              </w:rPr>
            </w:pPr>
          </w:p>
        </w:tc>
        <w:tc>
          <w:tcPr>
            <w:tcW w:w="7259" w:type="dxa"/>
            <w:gridSpan w:val="5"/>
            <w:tcBorders>
              <w:left w:val="single" w:sz="4" w:space="0" w:color="auto"/>
            </w:tcBorders>
          </w:tcPr>
          <w:p w:rsidR="0060712E" w:rsidRPr="00581547" w:rsidRDefault="0060712E" w:rsidP="0060712E">
            <w:pPr>
              <w:jc w:val="center"/>
              <w:rPr>
                <w:b/>
              </w:rPr>
            </w:pPr>
            <w:r>
              <w:rPr>
                <w:b/>
              </w:rPr>
              <w:t xml:space="preserve">Annual </w:t>
            </w:r>
            <w:r w:rsidR="00E70C2E">
              <w:rPr>
                <w:b/>
              </w:rPr>
              <w:t xml:space="preserve">Total </w:t>
            </w:r>
            <w:r>
              <w:rPr>
                <w:b/>
              </w:rPr>
              <w:t>Burden</w:t>
            </w:r>
            <w:r w:rsidRPr="00581547">
              <w:rPr>
                <w:b/>
              </w:rPr>
              <w:t xml:space="preserve"> Estimate for Each </w:t>
            </w:r>
            <w:r>
              <w:rPr>
                <w:b/>
              </w:rPr>
              <w:t>Health Department</w:t>
            </w:r>
            <w:r w:rsidRPr="00581547">
              <w:rPr>
                <w:b/>
              </w:rPr>
              <w:t xml:space="preserve"> </w:t>
            </w:r>
          </w:p>
        </w:tc>
      </w:tr>
      <w:tr w:rsidR="0060712E" w:rsidRPr="00581547" w:rsidTr="0060712E">
        <w:tc>
          <w:tcPr>
            <w:tcW w:w="1597" w:type="dxa"/>
            <w:tcBorders>
              <w:top w:val="single" w:sz="4" w:space="0" w:color="auto"/>
            </w:tcBorders>
          </w:tcPr>
          <w:p w:rsidR="0060712E" w:rsidRPr="00581547" w:rsidRDefault="0060712E" w:rsidP="0060712E">
            <w:pPr>
              <w:rPr>
                <w:b/>
              </w:rPr>
            </w:pPr>
            <w:r>
              <w:rPr>
                <w:b/>
              </w:rPr>
              <w:t>Respondent</w:t>
            </w:r>
          </w:p>
        </w:tc>
        <w:tc>
          <w:tcPr>
            <w:tcW w:w="1317" w:type="dxa"/>
          </w:tcPr>
          <w:p w:rsidR="0060712E" w:rsidRPr="00581547" w:rsidRDefault="0060712E" w:rsidP="0060712E">
            <w:pPr>
              <w:rPr>
                <w:b/>
              </w:rPr>
            </w:pPr>
            <w:r>
              <w:rPr>
                <w:b/>
              </w:rPr>
              <w:t>Data Collection Form</w:t>
            </w:r>
          </w:p>
        </w:tc>
        <w:tc>
          <w:tcPr>
            <w:tcW w:w="1511" w:type="dxa"/>
          </w:tcPr>
          <w:p w:rsidR="0060712E" w:rsidRPr="00581547" w:rsidRDefault="0060712E" w:rsidP="0060712E">
            <w:pPr>
              <w:rPr>
                <w:b/>
              </w:rPr>
            </w:pPr>
            <w:r>
              <w:rPr>
                <w:b/>
              </w:rPr>
              <w:t>Number of Respondents</w:t>
            </w:r>
          </w:p>
        </w:tc>
        <w:tc>
          <w:tcPr>
            <w:tcW w:w="1487" w:type="dxa"/>
          </w:tcPr>
          <w:p w:rsidR="0060712E" w:rsidRPr="00581547" w:rsidRDefault="0060712E" w:rsidP="0060712E">
            <w:pPr>
              <w:rPr>
                <w:b/>
              </w:rPr>
            </w:pPr>
            <w:r>
              <w:rPr>
                <w:b/>
              </w:rPr>
              <w:t>Number of responses per respondent</w:t>
            </w:r>
          </w:p>
        </w:tc>
        <w:tc>
          <w:tcPr>
            <w:tcW w:w="1201" w:type="dxa"/>
          </w:tcPr>
          <w:p w:rsidR="0060712E" w:rsidRPr="00581547" w:rsidRDefault="0060712E" w:rsidP="0060712E">
            <w:pPr>
              <w:rPr>
                <w:b/>
              </w:rPr>
            </w:pPr>
            <w:r>
              <w:rPr>
                <w:b/>
              </w:rPr>
              <w:t>Average burden per response (in hours)</w:t>
            </w:r>
          </w:p>
        </w:tc>
        <w:tc>
          <w:tcPr>
            <w:tcW w:w="1743" w:type="dxa"/>
          </w:tcPr>
          <w:p w:rsidR="0060712E" w:rsidRPr="00581547" w:rsidRDefault="0060712E" w:rsidP="0060712E">
            <w:pPr>
              <w:rPr>
                <w:b/>
              </w:rPr>
            </w:pPr>
            <w:r>
              <w:rPr>
                <w:b/>
              </w:rPr>
              <w:t>Total burden (in hours)</w:t>
            </w:r>
          </w:p>
        </w:tc>
      </w:tr>
      <w:tr w:rsidR="0060712E" w:rsidRPr="00CA2E42" w:rsidTr="0060712E">
        <w:tc>
          <w:tcPr>
            <w:tcW w:w="1597" w:type="dxa"/>
          </w:tcPr>
          <w:p w:rsidR="0060712E" w:rsidRDefault="0060712E" w:rsidP="0060712E">
            <w:r>
              <w:t>Health Department</w:t>
            </w:r>
          </w:p>
          <w:p w:rsidR="0060712E" w:rsidRPr="00CA2E42" w:rsidRDefault="0060712E" w:rsidP="0060712E"/>
        </w:tc>
        <w:tc>
          <w:tcPr>
            <w:tcW w:w="1317" w:type="dxa"/>
          </w:tcPr>
          <w:p w:rsidR="0060712E" w:rsidRPr="00CA2E42" w:rsidRDefault="0060712E" w:rsidP="0060712E">
            <w:pPr>
              <w:jc w:val="center"/>
            </w:pPr>
            <w:r>
              <w:t>No form required</w:t>
            </w:r>
          </w:p>
        </w:tc>
        <w:tc>
          <w:tcPr>
            <w:tcW w:w="1511" w:type="dxa"/>
          </w:tcPr>
          <w:p w:rsidR="0060712E" w:rsidRPr="00CA2E42" w:rsidRDefault="0060712E" w:rsidP="0060712E">
            <w:pPr>
              <w:jc w:val="center"/>
            </w:pPr>
            <w:r>
              <w:t>65</w:t>
            </w:r>
          </w:p>
        </w:tc>
        <w:tc>
          <w:tcPr>
            <w:tcW w:w="1487" w:type="dxa"/>
          </w:tcPr>
          <w:p w:rsidR="0060712E" w:rsidRPr="00CA2E42" w:rsidRDefault="0060712E" w:rsidP="0060712E">
            <w:pPr>
              <w:jc w:val="center"/>
            </w:pPr>
            <w:r>
              <w:t>1,176</w:t>
            </w:r>
          </w:p>
        </w:tc>
        <w:tc>
          <w:tcPr>
            <w:tcW w:w="1201" w:type="dxa"/>
          </w:tcPr>
          <w:p w:rsidR="0060712E" w:rsidRPr="00CA2E42" w:rsidRDefault="0060712E" w:rsidP="0060712E">
            <w:pPr>
              <w:jc w:val="center"/>
            </w:pPr>
            <w:r>
              <w:t>8/60</w:t>
            </w:r>
          </w:p>
        </w:tc>
        <w:tc>
          <w:tcPr>
            <w:tcW w:w="1743" w:type="dxa"/>
          </w:tcPr>
          <w:p w:rsidR="0060712E" w:rsidRPr="00CA2E42" w:rsidRDefault="0060712E" w:rsidP="0060712E">
            <w:pPr>
              <w:jc w:val="center"/>
            </w:pPr>
            <w:r>
              <w:t>10,192</w:t>
            </w:r>
          </w:p>
        </w:tc>
      </w:tr>
    </w:tbl>
    <w:p w:rsidR="002C1B72" w:rsidRDefault="002C1B72"/>
    <w:sectPr w:rsidR="002C1B72" w:rsidSect="009B0BE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713" w:rsidRDefault="00DB1713" w:rsidP="001D48D7">
      <w:pPr>
        <w:spacing w:after="0" w:line="240" w:lineRule="auto"/>
      </w:pPr>
      <w:r>
        <w:separator/>
      </w:r>
    </w:p>
  </w:endnote>
  <w:endnote w:type="continuationSeparator" w:id="0">
    <w:p w:rsidR="00DB1713" w:rsidRDefault="00DB1713" w:rsidP="001D48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713" w:rsidRDefault="00DB1713" w:rsidP="001D48D7">
      <w:pPr>
        <w:spacing w:after="0" w:line="240" w:lineRule="auto"/>
      </w:pPr>
      <w:r>
        <w:separator/>
      </w:r>
    </w:p>
  </w:footnote>
  <w:footnote w:type="continuationSeparator" w:id="0">
    <w:p w:rsidR="00DB1713" w:rsidRDefault="00DB1713" w:rsidP="001D48D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327121"/>
    <w:rsid w:val="000420AF"/>
    <w:rsid w:val="00055D10"/>
    <w:rsid w:val="000649F8"/>
    <w:rsid w:val="00065CF9"/>
    <w:rsid w:val="000772F5"/>
    <w:rsid w:val="000823E6"/>
    <w:rsid w:val="000C07B2"/>
    <w:rsid w:val="000C75D5"/>
    <w:rsid w:val="00102617"/>
    <w:rsid w:val="00132FC9"/>
    <w:rsid w:val="001365E4"/>
    <w:rsid w:val="00144314"/>
    <w:rsid w:val="001704D5"/>
    <w:rsid w:val="00182CA8"/>
    <w:rsid w:val="00193DA8"/>
    <w:rsid w:val="001D48D7"/>
    <w:rsid w:val="001E4AFF"/>
    <w:rsid w:val="001F4733"/>
    <w:rsid w:val="00234551"/>
    <w:rsid w:val="002527F0"/>
    <w:rsid w:val="00273FD5"/>
    <w:rsid w:val="002932A4"/>
    <w:rsid w:val="002C1B72"/>
    <w:rsid w:val="002C3D36"/>
    <w:rsid w:val="002E30E4"/>
    <w:rsid w:val="00303032"/>
    <w:rsid w:val="0031341E"/>
    <w:rsid w:val="00320F30"/>
    <w:rsid w:val="00327121"/>
    <w:rsid w:val="00386E90"/>
    <w:rsid w:val="003A1E62"/>
    <w:rsid w:val="003F6198"/>
    <w:rsid w:val="00426451"/>
    <w:rsid w:val="004501D0"/>
    <w:rsid w:val="00460D7F"/>
    <w:rsid w:val="00474E8D"/>
    <w:rsid w:val="00477387"/>
    <w:rsid w:val="004B0800"/>
    <w:rsid w:val="004E248C"/>
    <w:rsid w:val="004F6152"/>
    <w:rsid w:val="00551B3C"/>
    <w:rsid w:val="0056508F"/>
    <w:rsid w:val="00590FB5"/>
    <w:rsid w:val="00590FC1"/>
    <w:rsid w:val="005E190B"/>
    <w:rsid w:val="0060712E"/>
    <w:rsid w:val="0062738A"/>
    <w:rsid w:val="00644178"/>
    <w:rsid w:val="00662DDB"/>
    <w:rsid w:val="00670E84"/>
    <w:rsid w:val="00673490"/>
    <w:rsid w:val="006B37A5"/>
    <w:rsid w:val="006D1CCF"/>
    <w:rsid w:val="006E2722"/>
    <w:rsid w:val="006E60C5"/>
    <w:rsid w:val="007118D8"/>
    <w:rsid w:val="00732EA8"/>
    <w:rsid w:val="00743DE4"/>
    <w:rsid w:val="00770FCE"/>
    <w:rsid w:val="007718FC"/>
    <w:rsid w:val="00772F2F"/>
    <w:rsid w:val="00780470"/>
    <w:rsid w:val="00792628"/>
    <w:rsid w:val="00792F14"/>
    <w:rsid w:val="007B42F8"/>
    <w:rsid w:val="007C5C6B"/>
    <w:rsid w:val="007D7DAB"/>
    <w:rsid w:val="007E1C66"/>
    <w:rsid w:val="007E514B"/>
    <w:rsid w:val="007E6476"/>
    <w:rsid w:val="007F14DB"/>
    <w:rsid w:val="0083727E"/>
    <w:rsid w:val="008754A3"/>
    <w:rsid w:val="00875BA9"/>
    <w:rsid w:val="00881FE9"/>
    <w:rsid w:val="008A72A2"/>
    <w:rsid w:val="008F44FF"/>
    <w:rsid w:val="00907FCF"/>
    <w:rsid w:val="009258ED"/>
    <w:rsid w:val="009342BC"/>
    <w:rsid w:val="00941173"/>
    <w:rsid w:val="00972A52"/>
    <w:rsid w:val="009B0BE7"/>
    <w:rsid w:val="009C2A25"/>
    <w:rsid w:val="009C683A"/>
    <w:rsid w:val="00A20622"/>
    <w:rsid w:val="00A451EE"/>
    <w:rsid w:val="00A85767"/>
    <w:rsid w:val="00A9483A"/>
    <w:rsid w:val="00A97D6A"/>
    <w:rsid w:val="00AC4F68"/>
    <w:rsid w:val="00B10743"/>
    <w:rsid w:val="00B65527"/>
    <w:rsid w:val="00BA3635"/>
    <w:rsid w:val="00BA66A3"/>
    <w:rsid w:val="00BE1C75"/>
    <w:rsid w:val="00BE6A59"/>
    <w:rsid w:val="00BF7EAA"/>
    <w:rsid w:val="00C110A7"/>
    <w:rsid w:val="00C140E7"/>
    <w:rsid w:val="00C20A4E"/>
    <w:rsid w:val="00C20A7F"/>
    <w:rsid w:val="00C42D77"/>
    <w:rsid w:val="00C71E4C"/>
    <w:rsid w:val="00C90587"/>
    <w:rsid w:val="00CC6814"/>
    <w:rsid w:val="00CF4DAB"/>
    <w:rsid w:val="00D115AC"/>
    <w:rsid w:val="00D125F5"/>
    <w:rsid w:val="00D24A38"/>
    <w:rsid w:val="00D24C54"/>
    <w:rsid w:val="00D43190"/>
    <w:rsid w:val="00D47E7B"/>
    <w:rsid w:val="00D635C2"/>
    <w:rsid w:val="00D83CD1"/>
    <w:rsid w:val="00DA7A65"/>
    <w:rsid w:val="00DB1713"/>
    <w:rsid w:val="00DC66E3"/>
    <w:rsid w:val="00DD6615"/>
    <w:rsid w:val="00DD75CE"/>
    <w:rsid w:val="00DE2D4E"/>
    <w:rsid w:val="00E32B72"/>
    <w:rsid w:val="00E70C2E"/>
    <w:rsid w:val="00E73A35"/>
    <w:rsid w:val="00E856F1"/>
    <w:rsid w:val="00EA39D1"/>
    <w:rsid w:val="00EF3572"/>
    <w:rsid w:val="00EF7A28"/>
    <w:rsid w:val="00F0466E"/>
    <w:rsid w:val="00F373D3"/>
    <w:rsid w:val="00F82DB2"/>
    <w:rsid w:val="00FB31F2"/>
    <w:rsid w:val="00FE49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121"/>
    <w:pPr>
      <w:spacing w:after="0" w:line="240" w:lineRule="auto"/>
    </w:pPr>
  </w:style>
  <w:style w:type="paragraph" w:styleId="Header">
    <w:name w:val="header"/>
    <w:basedOn w:val="Normal"/>
    <w:link w:val="HeaderChar"/>
    <w:uiPriority w:val="99"/>
    <w:semiHidden/>
    <w:unhideWhenUsed/>
    <w:rsid w:val="001D48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48D7"/>
  </w:style>
  <w:style w:type="paragraph" w:styleId="Footer">
    <w:name w:val="footer"/>
    <w:basedOn w:val="Normal"/>
    <w:link w:val="FooterChar"/>
    <w:uiPriority w:val="99"/>
    <w:semiHidden/>
    <w:unhideWhenUsed/>
    <w:rsid w:val="001D48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48D7"/>
  </w:style>
  <w:style w:type="paragraph" w:styleId="BalloonText">
    <w:name w:val="Balloon Text"/>
    <w:basedOn w:val="Normal"/>
    <w:link w:val="BalloonTextChar"/>
    <w:uiPriority w:val="99"/>
    <w:semiHidden/>
    <w:unhideWhenUsed/>
    <w:rsid w:val="001D4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8D7"/>
    <w:rPr>
      <w:rFonts w:ascii="Tahoma" w:hAnsi="Tahoma" w:cs="Tahoma"/>
      <w:sz w:val="16"/>
      <w:szCs w:val="16"/>
    </w:rPr>
  </w:style>
  <w:style w:type="character" w:styleId="CommentReference">
    <w:name w:val="annotation reference"/>
    <w:basedOn w:val="DefaultParagraphFont"/>
    <w:uiPriority w:val="99"/>
    <w:semiHidden/>
    <w:unhideWhenUsed/>
    <w:rsid w:val="001D48D7"/>
    <w:rPr>
      <w:sz w:val="16"/>
      <w:szCs w:val="16"/>
    </w:rPr>
  </w:style>
  <w:style w:type="paragraph" w:styleId="CommentText">
    <w:name w:val="annotation text"/>
    <w:basedOn w:val="Normal"/>
    <w:link w:val="CommentTextChar"/>
    <w:uiPriority w:val="99"/>
    <w:semiHidden/>
    <w:unhideWhenUsed/>
    <w:rsid w:val="001D48D7"/>
    <w:pPr>
      <w:spacing w:line="240" w:lineRule="auto"/>
    </w:pPr>
    <w:rPr>
      <w:sz w:val="20"/>
      <w:szCs w:val="20"/>
    </w:rPr>
  </w:style>
  <w:style w:type="character" w:customStyle="1" w:styleId="CommentTextChar">
    <w:name w:val="Comment Text Char"/>
    <w:basedOn w:val="DefaultParagraphFont"/>
    <w:link w:val="CommentText"/>
    <w:uiPriority w:val="99"/>
    <w:semiHidden/>
    <w:rsid w:val="001D48D7"/>
    <w:rPr>
      <w:sz w:val="20"/>
      <w:szCs w:val="20"/>
    </w:rPr>
  </w:style>
  <w:style w:type="paragraph" w:styleId="CommentSubject">
    <w:name w:val="annotation subject"/>
    <w:basedOn w:val="CommentText"/>
    <w:next w:val="CommentText"/>
    <w:link w:val="CommentSubjectChar"/>
    <w:uiPriority w:val="99"/>
    <w:semiHidden/>
    <w:unhideWhenUsed/>
    <w:rsid w:val="001D48D7"/>
    <w:rPr>
      <w:b/>
      <w:bCs/>
    </w:rPr>
  </w:style>
  <w:style w:type="character" w:customStyle="1" w:styleId="CommentSubjectChar">
    <w:name w:val="Comment Subject Char"/>
    <w:basedOn w:val="CommentTextChar"/>
    <w:link w:val="CommentSubject"/>
    <w:uiPriority w:val="99"/>
    <w:semiHidden/>
    <w:rsid w:val="001D48D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jbh0</dc:creator>
  <cp:lastModifiedBy>bbarker</cp:lastModifiedBy>
  <cp:revision>2</cp:revision>
  <cp:lastPrinted>2011-10-11T19:55:00Z</cp:lastPrinted>
  <dcterms:created xsi:type="dcterms:W3CDTF">2011-10-12T14:58:00Z</dcterms:created>
  <dcterms:modified xsi:type="dcterms:W3CDTF">2011-10-12T14:58:00Z</dcterms:modified>
</cp:coreProperties>
</file>