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314" w:rsidRDefault="00DF1314" w:rsidP="00DF1314">
      <w:pPr>
        <w:jc w:val="center"/>
        <w:rPr>
          <w:b/>
          <w:sz w:val="24"/>
          <w:szCs w:val="24"/>
        </w:rPr>
      </w:pPr>
      <w:bookmarkStart w:id="0" w:name="_GoBack"/>
      <w:bookmarkEnd w:id="0"/>
      <w:r w:rsidRPr="009674E4">
        <w:rPr>
          <w:b/>
          <w:sz w:val="24"/>
          <w:szCs w:val="24"/>
        </w:rPr>
        <w:t>A</w:t>
      </w:r>
      <w:r w:rsidR="00C23248">
        <w:rPr>
          <w:b/>
          <w:sz w:val="24"/>
          <w:szCs w:val="24"/>
        </w:rPr>
        <w:t xml:space="preserve">ttachment </w:t>
      </w:r>
      <w:r w:rsidR="00DE1BB4">
        <w:rPr>
          <w:b/>
          <w:sz w:val="24"/>
          <w:szCs w:val="24"/>
        </w:rPr>
        <w:t>L-4</w:t>
      </w:r>
      <w:r w:rsidR="00C23248">
        <w:rPr>
          <w:b/>
          <w:sz w:val="24"/>
          <w:szCs w:val="24"/>
        </w:rPr>
        <w:t>:</w:t>
      </w:r>
    </w:p>
    <w:p w:rsidR="00C23248" w:rsidRPr="009674E4" w:rsidRDefault="00C23248" w:rsidP="00DF1314">
      <w:pPr>
        <w:jc w:val="center"/>
        <w:rPr>
          <w:b/>
          <w:sz w:val="24"/>
          <w:szCs w:val="24"/>
        </w:rPr>
      </w:pPr>
    </w:p>
    <w:p w:rsidR="00DF1314" w:rsidRPr="009674E4" w:rsidRDefault="00DF1314" w:rsidP="00DF1314">
      <w:pPr>
        <w:jc w:val="center"/>
        <w:rPr>
          <w:b/>
          <w:bCs/>
          <w:sz w:val="24"/>
          <w:szCs w:val="24"/>
        </w:rPr>
      </w:pPr>
      <w:r w:rsidRPr="009674E4">
        <w:rPr>
          <w:b/>
          <w:bCs/>
          <w:sz w:val="24"/>
          <w:szCs w:val="24"/>
        </w:rPr>
        <w:t xml:space="preserve">Framing a Cost Benefit Analyses (CBA) </w:t>
      </w:r>
    </w:p>
    <w:p w:rsidR="00DF1314" w:rsidRPr="009674E4" w:rsidRDefault="00DF1314" w:rsidP="00DF1314">
      <w:pPr>
        <w:jc w:val="both"/>
        <w:rPr>
          <w:rStyle w:val="Emphasis"/>
          <w:bCs/>
          <w:i w:val="0"/>
          <w:iCs w:val="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920"/>
      </w:tblGrid>
      <w:tr w:rsidR="00DF1314" w:rsidRPr="00D52E30" w:rsidTr="00616753">
        <w:tc>
          <w:tcPr>
            <w:tcW w:w="2088" w:type="dxa"/>
          </w:tcPr>
          <w:p w:rsidR="00DF1314" w:rsidRPr="00D52E30" w:rsidRDefault="00DF1314" w:rsidP="00616753">
            <w:pPr>
              <w:rPr>
                <w:b/>
                <w:sz w:val="22"/>
                <w:szCs w:val="22"/>
              </w:rPr>
            </w:pPr>
            <w:r w:rsidRPr="00D52E30">
              <w:rPr>
                <w:b/>
                <w:sz w:val="22"/>
                <w:szCs w:val="22"/>
              </w:rPr>
              <w:t>Define the following:</w:t>
            </w:r>
          </w:p>
        </w:tc>
        <w:tc>
          <w:tcPr>
            <w:tcW w:w="7920" w:type="dxa"/>
          </w:tcPr>
          <w:p w:rsidR="00DF1314" w:rsidRPr="00D52E30" w:rsidRDefault="00DF1314" w:rsidP="00616753">
            <w:pPr>
              <w:jc w:val="both"/>
              <w:rPr>
                <w:b/>
                <w:sz w:val="22"/>
                <w:szCs w:val="22"/>
              </w:rPr>
            </w:pPr>
            <w:r w:rsidRPr="00D52E30">
              <w:rPr>
                <w:b/>
                <w:sz w:val="22"/>
                <w:szCs w:val="22"/>
              </w:rPr>
              <w:t>Description</w:t>
            </w:r>
          </w:p>
        </w:tc>
      </w:tr>
      <w:tr w:rsidR="00DF1314" w:rsidRPr="00D52E30" w:rsidTr="00616753">
        <w:tc>
          <w:tcPr>
            <w:tcW w:w="2088" w:type="dxa"/>
          </w:tcPr>
          <w:p w:rsidR="00DF1314" w:rsidRPr="00D52E30" w:rsidRDefault="00DF1314" w:rsidP="00616753">
            <w:pPr>
              <w:rPr>
                <w:i/>
                <w:sz w:val="22"/>
                <w:szCs w:val="22"/>
              </w:rPr>
            </w:pPr>
            <w:r w:rsidRPr="00D52E30">
              <w:rPr>
                <w:i/>
                <w:sz w:val="22"/>
                <w:szCs w:val="22"/>
              </w:rPr>
              <w:t>Step 1: The problem</w:t>
            </w:r>
          </w:p>
        </w:tc>
        <w:tc>
          <w:tcPr>
            <w:tcW w:w="7920" w:type="dxa"/>
          </w:tcPr>
          <w:p w:rsidR="00DF1314" w:rsidRPr="00D52E30" w:rsidRDefault="00DF1314" w:rsidP="00616753">
            <w:pPr>
              <w:jc w:val="both"/>
              <w:rPr>
                <w:sz w:val="22"/>
                <w:szCs w:val="22"/>
              </w:rPr>
            </w:pPr>
            <w:r w:rsidRPr="00D52E30">
              <w:rPr>
                <w:sz w:val="22"/>
                <w:szCs w:val="22"/>
              </w:rPr>
              <w:t xml:space="preserve">The objective of the study is to examine how the cost of the </w:t>
            </w:r>
            <w:r>
              <w:rPr>
                <w:sz w:val="22"/>
                <w:szCs w:val="22"/>
              </w:rPr>
              <w:t>PHT-TLG</w:t>
            </w:r>
            <w:r w:rsidRPr="00D52E30">
              <w:rPr>
                <w:sz w:val="22"/>
                <w:szCs w:val="22"/>
              </w:rPr>
              <w:t xml:space="preserve"> intervention compares with the benefits</w:t>
            </w:r>
            <w:r>
              <w:rPr>
                <w:sz w:val="22"/>
                <w:szCs w:val="22"/>
              </w:rPr>
              <w:t>.</w:t>
            </w:r>
          </w:p>
        </w:tc>
      </w:tr>
      <w:tr w:rsidR="00DF1314" w:rsidRPr="00D52E30" w:rsidTr="00616753">
        <w:tc>
          <w:tcPr>
            <w:tcW w:w="2088" w:type="dxa"/>
          </w:tcPr>
          <w:p w:rsidR="00DF1314" w:rsidRPr="00D52E30" w:rsidRDefault="00DF1314" w:rsidP="00616753">
            <w:pPr>
              <w:rPr>
                <w:i/>
                <w:sz w:val="22"/>
                <w:szCs w:val="22"/>
              </w:rPr>
            </w:pPr>
            <w:r w:rsidRPr="00D52E30">
              <w:rPr>
                <w:i/>
                <w:sz w:val="22"/>
                <w:szCs w:val="22"/>
              </w:rPr>
              <w:t>Step 2: Control options</w:t>
            </w:r>
          </w:p>
        </w:tc>
        <w:tc>
          <w:tcPr>
            <w:tcW w:w="7920" w:type="dxa"/>
          </w:tcPr>
          <w:p w:rsidR="00DF1314" w:rsidRPr="00D52E30" w:rsidRDefault="00DF1314" w:rsidP="00616753">
            <w:pPr>
              <w:jc w:val="both"/>
              <w:rPr>
                <w:sz w:val="22"/>
                <w:szCs w:val="22"/>
              </w:rPr>
            </w:pPr>
            <w:r>
              <w:rPr>
                <w:sz w:val="22"/>
                <w:szCs w:val="22"/>
              </w:rPr>
              <w:t>PHT-TLG</w:t>
            </w:r>
            <w:r w:rsidRPr="00D52E30">
              <w:rPr>
                <w:sz w:val="22"/>
                <w:szCs w:val="22"/>
              </w:rPr>
              <w:t xml:space="preserve"> engineering intervention versus no control</w:t>
            </w:r>
          </w:p>
        </w:tc>
      </w:tr>
      <w:tr w:rsidR="00DF1314" w:rsidRPr="00D52E30" w:rsidTr="00616753">
        <w:tc>
          <w:tcPr>
            <w:tcW w:w="2088" w:type="dxa"/>
          </w:tcPr>
          <w:p w:rsidR="00DF1314" w:rsidRPr="00D52E30" w:rsidRDefault="00DF1314" w:rsidP="00616753">
            <w:pPr>
              <w:jc w:val="both"/>
              <w:rPr>
                <w:i/>
                <w:sz w:val="22"/>
                <w:szCs w:val="22"/>
              </w:rPr>
            </w:pPr>
            <w:r w:rsidRPr="00D52E30">
              <w:rPr>
                <w:i/>
                <w:sz w:val="22"/>
                <w:szCs w:val="22"/>
              </w:rPr>
              <w:t>Step 3: Audience</w:t>
            </w:r>
          </w:p>
        </w:tc>
        <w:tc>
          <w:tcPr>
            <w:tcW w:w="7920" w:type="dxa"/>
          </w:tcPr>
          <w:p w:rsidR="00DF1314" w:rsidRPr="00D52E30" w:rsidRDefault="00DF1314" w:rsidP="00616753">
            <w:pPr>
              <w:jc w:val="both"/>
              <w:rPr>
                <w:sz w:val="22"/>
                <w:szCs w:val="22"/>
              </w:rPr>
            </w:pPr>
            <w:r w:rsidRPr="00D52E30">
              <w:rPr>
                <w:sz w:val="22"/>
                <w:szCs w:val="22"/>
              </w:rPr>
              <w:t>Employers and employees, OBWC, unions</w:t>
            </w:r>
          </w:p>
        </w:tc>
      </w:tr>
      <w:tr w:rsidR="00DF1314" w:rsidRPr="00D52E30" w:rsidTr="00616753">
        <w:tc>
          <w:tcPr>
            <w:tcW w:w="2088" w:type="dxa"/>
          </w:tcPr>
          <w:p w:rsidR="00DF1314" w:rsidRPr="00D52E30" w:rsidRDefault="00DF1314" w:rsidP="00616753">
            <w:pPr>
              <w:jc w:val="both"/>
              <w:rPr>
                <w:i/>
                <w:sz w:val="22"/>
                <w:szCs w:val="22"/>
              </w:rPr>
            </w:pPr>
            <w:r w:rsidRPr="00D52E30">
              <w:rPr>
                <w:i/>
                <w:sz w:val="22"/>
                <w:szCs w:val="22"/>
              </w:rPr>
              <w:t>Step 4: Perspective</w:t>
            </w:r>
          </w:p>
        </w:tc>
        <w:tc>
          <w:tcPr>
            <w:tcW w:w="7920" w:type="dxa"/>
          </w:tcPr>
          <w:p w:rsidR="00DF1314" w:rsidRPr="00D52E30" w:rsidRDefault="00DF1314" w:rsidP="00616753">
            <w:pPr>
              <w:jc w:val="both"/>
              <w:rPr>
                <w:sz w:val="22"/>
                <w:szCs w:val="22"/>
              </w:rPr>
            </w:pPr>
            <w:r w:rsidRPr="00D52E30">
              <w:rPr>
                <w:sz w:val="22"/>
                <w:szCs w:val="22"/>
              </w:rPr>
              <w:t>OBWC  and insured establishment</w:t>
            </w:r>
            <w:r>
              <w:rPr>
                <w:sz w:val="22"/>
                <w:szCs w:val="22"/>
              </w:rPr>
              <w:t xml:space="preserve"> (a separate analysis for each)</w:t>
            </w:r>
          </w:p>
        </w:tc>
      </w:tr>
      <w:tr w:rsidR="00DF1314" w:rsidRPr="00D52E30" w:rsidTr="00616753">
        <w:tc>
          <w:tcPr>
            <w:tcW w:w="2088" w:type="dxa"/>
          </w:tcPr>
          <w:p w:rsidR="00DF1314" w:rsidRPr="00D52E30" w:rsidRDefault="00DF1314" w:rsidP="00616753">
            <w:pPr>
              <w:jc w:val="both"/>
              <w:rPr>
                <w:i/>
                <w:sz w:val="22"/>
                <w:szCs w:val="22"/>
              </w:rPr>
            </w:pPr>
            <w:r w:rsidRPr="00D52E30">
              <w:rPr>
                <w:i/>
                <w:sz w:val="22"/>
                <w:szCs w:val="22"/>
              </w:rPr>
              <w:t xml:space="preserve">Step 5: Time frame and Analytic horizon </w:t>
            </w:r>
          </w:p>
        </w:tc>
        <w:tc>
          <w:tcPr>
            <w:tcW w:w="7920" w:type="dxa"/>
          </w:tcPr>
          <w:p w:rsidR="00DF1314" w:rsidRPr="00D52E30" w:rsidRDefault="00DF1314" w:rsidP="00616753">
            <w:pPr>
              <w:jc w:val="both"/>
              <w:rPr>
                <w:sz w:val="22"/>
                <w:szCs w:val="22"/>
              </w:rPr>
            </w:pPr>
            <w:r w:rsidRPr="00D52E30">
              <w:rPr>
                <w:sz w:val="22"/>
                <w:szCs w:val="22"/>
              </w:rPr>
              <w:t xml:space="preserve">Two years from </w:t>
            </w:r>
            <w:r>
              <w:rPr>
                <w:sz w:val="22"/>
                <w:szCs w:val="22"/>
              </w:rPr>
              <w:t>PHT-TLG</w:t>
            </w:r>
            <w:r w:rsidRPr="00D52E30">
              <w:rPr>
                <w:sz w:val="22"/>
                <w:szCs w:val="22"/>
              </w:rPr>
              <w:t xml:space="preserve"> implementation </w:t>
            </w:r>
            <w:r w:rsidRPr="00D52E30">
              <w:rPr>
                <w:rStyle w:val="Emphasis"/>
                <w:bCs/>
                <w:sz w:val="22"/>
                <w:szCs w:val="22"/>
              </w:rPr>
              <w:t>(e.g. short enough that the outcomes are not unacceptably uncertain, but long enough to capture fully the costs and benefits that are attributable to the program, and to account for seasonal variations in program activity levels and targeted health outcomes),</w:t>
            </w:r>
          </w:p>
        </w:tc>
      </w:tr>
      <w:tr w:rsidR="00DF1314" w:rsidRPr="00D52E30" w:rsidTr="00616753">
        <w:tc>
          <w:tcPr>
            <w:tcW w:w="2088" w:type="dxa"/>
          </w:tcPr>
          <w:p w:rsidR="00DF1314" w:rsidRPr="00D52E30" w:rsidRDefault="00DF1314" w:rsidP="00616753">
            <w:pPr>
              <w:rPr>
                <w:i/>
                <w:sz w:val="22"/>
                <w:szCs w:val="22"/>
              </w:rPr>
            </w:pPr>
            <w:r w:rsidRPr="00D52E30">
              <w:rPr>
                <w:i/>
                <w:sz w:val="22"/>
                <w:szCs w:val="22"/>
              </w:rPr>
              <w:t xml:space="preserve">Step 6: Discount rate </w:t>
            </w:r>
            <w:r w:rsidRPr="00D52E30">
              <w:rPr>
                <w:rStyle w:val="Emphasis"/>
                <w:bCs/>
                <w:sz w:val="22"/>
                <w:szCs w:val="22"/>
              </w:rPr>
              <w:t xml:space="preserve"> </w:t>
            </w:r>
          </w:p>
        </w:tc>
        <w:tc>
          <w:tcPr>
            <w:tcW w:w="7920" w:type="dxa"/>
          </w:tcPr>
          <w:p w:rsidR="00DF1314" w:rsidRPr="00D52E30" w:rsidRDefault="00DF1314" w:rsidP="00616753">
            <w:pPr>
              <w:jc w:val="both"/>
              <w:rPr>
                <w:sz w:val="22"/>
                <w:szCs w:val="22"/>
              </w:rPr>
            </w:pPr>
            <w:r w:rsidRPr="00D52E30">
              <w:rPr>
                <w:sz w:val="22"/>
                <w:szCs w:val="22"/>
              </w:rPr>
              <w:t xml:space="preserve">6% </w:t>
            </w:r>
            <w:r w:rsidRPr="00D52E30">
              <w:rPr>
                <w:rStyle w:val="Emphasis"/>
                <w:bCs/>
                <w:sz w:val="22"/>
                <w:szCs w:val="22"/>
              </w:rPr>
              <w:t>(to compare benefits and costs that occur at different times by adjusting their values according to the time preference corresponding to the chosen perspective)</w:t>
            </w:r>
          </w:p>
        </w:tc>
      </w:tr>
      <w:tr w:rsidR="00DF1314" w:rsidRPr="00D52E30" w:rsidTr="00616753">
        <w:tc>
          <w:tcPr>
            <w:tcW w:w="2088" w:type="dxa"/>
          </w:tcPr>
          <w:p w:rsidR="00DF1314" w:rsidRPr="00D52E30" w:rsidRDefault="00DF1314" w:rsidP="00616753">
            <w:pPr>
              <w:jc w:val="both"/>
              <w:rPr>
                <w:i/>
                <w:sz w:val="22"/>
                <w:szCs w:val="22"/>
              </w:rPr>
            </w:pPr>
            <w:r w:rsidRPr="00D52E30">
              <w:rPr>
                <w:i/>
                <w:sz w:val="22"/>
                <w:szCs w:val="22"/>
              </w:rPr>
              <w:t>Step 7: Format</w:t>
            </w:r>
          </w:p>
        </w:tc>
        <w:tc>
          <w:tcPr>
            <w:tcW w:w="7920" w:type="dxa"/>
          </w:tcPr>
          <w:p w:rsidR="00DF1314" w:rsidRPr="00D52E30" w:rsidRDefault="00DF1314" w:rsidP="00616753">
            <w:pPr>
              <w:jc w:val="both"/>
              <w:rPr>
                <w:sz w:val="22"/>
                <w:szCs w:val="22"/>
              </w:rPr>
            </w:pPr>
            <w:r w:rsidRPr="00D52E30">
              <w:rPr>
                <w:sz w:val="22"/>
                <w:szCs w:val="22"/>
              </w:rPr>
              <w:t>Prospective experimental design (with randomization and control)</w:t>
            </w:r>
          </w:p>
        </w:tc>
      </w:tr>
    </w:tbl>
    <w:p w:rsidR="00DF1314" w:rsidRPr="009674E4" w:rsidRDefault="00DF1314" w:rsidP="00DF1314">
      <w:pPr>
        <w:jc w:val="both"/>
        <w:rPr>
          <w:rStyle w:val="Emphasis"/>
          <w:bCs/>
          <w:i w:val="0"/>
          <w:iCs w:val="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220"/>
      </w:tblGrid>
      <w:tr w:rsidR="00DF1314" w:rsidRPr="00D52E30" w:rsidTr="00616753">
        <w:tc>
          <w:tcPr>
            <w:tcW w:w="4788" w:type="dxa"/>
          </w:tcPr>
          <w:p w:rsidR="00DF1314" w:rsidRPr="00D52E30" w:rsidRDefault="00DF1314" w:rsidP="00616753">
            <w:pPr>
              <w:jc w:val="center"/>
              <w:rPr>
                <w:b/>
                <w:bCs/>
                <w:color w:val="000000"/>
                <w:sz w:val="22"/>
                <w:szCs w:val="22"/>
              </w:rPr>
            </w:pPr>
            <w:r w:rsidRPr="00D52E30">
              <w:rPr>
                <w:b/>
                <w:bCs/>
                <w:color w:val="000000"/>
                <w:sz w:val="22"/>
                <w:szCs w:val="22"/>
              </w:rPr>
              <w:t>Benefits*</w:t>
            </w:r>
          </w:p>
        </w:tc>
        <w:tc>
          <w:tcPr>
            <w:tcW w:w="5220" w:type="dxa"/>
          </w:tcPr>
          <w:p w:rsidR="00DF1314" w:rsidRPr="00D52E30" w:rsidRDefault="00DF1314" w:rsidP="00616753">
            <w:pPr>
              <w:jc w:val="center"/>
              <w:rPr>
                <w:b/>
                <w:bCs/>
                <w:color w:val="000000"/>
                <w:sz w:val="22"/>
                <w:szCs w:val="22"/>
              </w:rPr>
            </w:pPr>
            <w:r w:rsidRPr="00D52E30">
              <w:rPr>
                <w:b/>
                <w:bCs/>
                <w:color w:val="000000"/>
                <w:sz w:val="22"/>
                <w:szCs w:val="22"/>
              </w:rPr>
              <w:t>Costs*</w:t>
            </w:r>
          </w:p>
        </w:tc>
      </w:tr>
      <w:tr w:rsidR="00DF1314" w:rsidRPr="00D52E30" w:rsidTr="00616753">
        <w:tc>
          <w:tcPr>
            <w:tcW w:w="4788" w:type="dxa"/>
          </w:tcPr>
          <w:p w:rsidR="00DF1314" w:rsidRPr="00D52E30" w:rsidRDefault="00DF1314" w:rsidP="00616753">
            <w:pPr>
              <w:rPr>
                <w:color w:val="000000"/>
                <w:sz w:val="22"/>
                <w:szCs w:val="22"/>
              </w:rPr>
            </w:pPr>
            <w:r w:rsidRPr="00D52E30">
              <w:rPr>
                <w:b/>
                <w:bCs/>
                <w:color w:val="000000"/>
                <w:sz w:val="22"/>
                <w:szCs w:val="22"/>
              </w:rPr>
              <w:t>Direct costs averted</w:t>
            </w:r>
            <w:r w:rsidRPr="00D52E30">
              <w:rPr>
                <w:color w:val="000000"/>
                <w:sz w:val="22"/>
                <w:szCs w:val="22"/>
              </w:rPr>
              <w:t xml:space="preserve"> </w:t>
            </w:r>
          </w:p>
          <w:p w:rsidR="00DF1314" w:rsidRPr="00D52E30" w:rsidRDefault="00DF1314" w:rsidP="00DF1314">
            <w:pPr>
              <w:numPr>
                <w:ilvl w:val="0"/>
                <w:numId w:val="1"/>
              </w:numPr>
              <w:rPr>
                <w:color w:val="000000"/>
                <w:sz w:val="22"/>
                <w:szCs w:val="22"/>
              </w:rPr>
            </w:pPr>
            <w:r w:rsidRPr="00D52E30">
              <w:rPr>
                <w:color w:val="000000"/>
                <w:sz w:val="22"/>
                <w:szCs w:val="22"/>
              </w:rPr>
              <w:t>Averted workers’ compensation costs (both medical and indemnity)</w:t>
            </w:r>
          </w:p>
          <w:p w:rsidR="00DF1314" w:rsidRPr="00D52E30" w:rsidRDefault="00DF1314" w:rsidP="00616753">
            <w:pPr>
              <w:rPr>
                <w:color w:val="000000"/>
                <w:sz w:val="22"/>
                <w:szCs w:val="22"/>
              </w:rPr>
            </w:pPr>
            <w:r w:rsidRPr="00D52E30">
              <w:rPr>
                <w:color w:val="000000"/>
                <w:sz w:val="22"/>
                <w:szCs w:val="22"/>
              </w:rPr>
              <w:t xml:space="preserve"> </w:t>
            </w:r>
          </w:p>
          <w:p w:rsidR="00DF1314" w:rsidRPr="00D52E30" w:rsidRDefault="00DF1314" w:rsidP="00616753">
            <w:pPr>
              <w:rPr>
                <w:color w:val="000000"/>
                <w:sz w:val="22"/>
                <w:szCs w:val="22"/>
              </w:rPr>
            </w:pPr>
            <w:r w:rsidRPr="00D52E30">
              <w:rPr>
                <w:b/>
                <w:bCs/>
                <w:color w:val="000000"/>
                <w:sz w:val="22"/>
                <w:szCs w:val="22"/>
              </w:rPr>
              <w:t>Indirect costs averted</w:t>
            </w:r>
            <w:r w:rsidRPr="00D52E30">
              <w:rPr>
                <w:color w:val="000000"/>
                <w:sz w:val="22"/>
                <w:szCs w:val="22"/>
              </w:rPr>
              <w:t xml:space="preserve"> </w:t>
            </w:r>
          </w:p>
          <w:p w:rsidR="00DF1314" w:rsidRPr="00D52E30" w:rsidRDefault="00DF1314" w:rsidP="00DF1314">
            <w:pPr>
              <w:numPr>
                <w:ilvl w:val="0"/>
                <w:numId w:val="1"/>
              </w:numPr>
              <w:rPr>
                <w:color w:val="000000"/>
                <w:sz w:val="22"/>
                <w:szCs w:val="22"/>
              </w:rPr>
            </w:pPr>
            <w:r w:rsidRPr="00D52E30">
              <w:rPr>
                <w:color w:val="000000"/>
                <w:sz w:val="22"/>
                <w:szCs w:val="22"/>
              </w:rPr>
              <w:t>Reduced or averted costs of absenteeism</w:t>
            </w:r>
          </w:p>
          <w:p w:rsidR="00DF1314" w:rsidRPr="00D52E30" w:rsidRDefault="00DF1314" w:rsidP="00DF1314">
            <w:pPr>
              <w:numPr>
                <w:ilvl w:val="0"/>
                <w:numId w:val="1"/>
              </w:numPr>
              <w:rPr>
                <w:color w:val="000000"/>
                <w:sz w:val="22"/>
                <w:szCs w:val="22"/>
              </w:rPr>
            </w:pPr>
            <w:r w:rsidRPr="00D52E30">
              <w:rPr>
                <w:color w:val="000000"/>
                <w:sz w:val="22"/>
                <w:szCs w:val="22"/>
              </w:rPr>
              <w:t xml:space="preserve">Reduced or averted costs of </w:t>
            </w:r>
            <w:proofErr w:type="spellStart"/>
            <w:r w:rsidRPr="00D52E30">
              <w:rPr>
                <w:color w:val="000000"/>
                <w:sz w:val="22"/>
                <w:szCs w:val="22"/>
              </w:rPr>
              <w:t>presenteeism</w:t>
            </w:r>
            <w:proofErr w:type="spellEnd"/>
            <w:r w:rsidRPr="00D52E30">
              <w:rPr>
                <w:color w:val="000000"/>
                <w:sz w:val="22"/>
                <w:szCs w:val="22"/>
              </w:rPr>
              <w:t>+</w:t>
            </w:r>
          </w:p>
          <w:p w:rsidR="00DF1314" w:rsidRPr="00D52E30" w:rsidRDefault="00DF1314" w:rsidP="00DF1314">
            <w:pPr>
              <w:numPr>
                <w:ilvl w:val="0"/>
                <w:numId w:val="1"/>
              </w:numPr>
              <w:rPr>
                <w:color w:val="000000"/>
                <w:sz w:val="22"/>
                <w:szCs w:val="22"/>
              </w:rPr>
            </w:pPr>
            <w:r w:rsidRPr="00D52E30">
              <w:rPr>
                <w:color w:val="000000"/>
                <w:sz w:val="22"/>
                <w:szCs w:val="22"/>
              </w:rPr>
              <w:t>Reduced turnover costs</w:t>
            </w:r>
          </w:p>
          <w:p w:rsidR="00DF1314" w:rsidRPr="00D52E30" w:rsidRDefault="00DF1314" w:rsidP="00616753">
            <w:pPr>
              <w:rPr>
                <w:color w:val="000000"/>
                <w:sz w:val="22"/>
                <w:szCs w:val="22"/>
              </w:rPr>
            </w:pPr>
          </w:p>
          <w:p w:rsidR="00DF1314" w:rsidRPr="00D52E30" w:rsidRDefault="00DF1314" w:rsidP="00616753">
            <w:pPr>
              <w:rPr>
                <w:b/>
                <w:color w:val="000000"/>
                <w:sz w:val="22"/>
                <w:szCs w:val="22"/>
              </w:rPr>
            </w:pPr>
            <w:r w:rsidRPr="00D52E30">
              <w:rPr>
                <w:b/>
                <w:color w:val="000000"/>
                <w:sz w:val="22"/>
                <w:szCs w:val="22"/>
              </w:rPr>
              <w:t>Value Added</w:t>
            </w:r>
          </w:p>
          <w:p w:rsidR="00DF1314" w:rsidRPr="00D52E30" w:rsidRDefault="00DF1314" w:rsidP="00DF1314">
            <w:pPr>
              <w:numPr>
                <w:ilvl w:val="0"/>
                <w:numId w:val="1"/>
              </w:numPr>
              <w:rPr>
                <w:color w:val="000000"/>
                <w:sz w:val="22"/>
                <w:szCs w:val="22"/>
              </w:rPr>
            </w:pPr>
            <w:r w:rsidRPr="00D52E30">
              <w:rPr>
                <w:color w:val="000000"/>
                <w:sz w:val="22"/>
                <w:szCs w:val="22"/>
              </w:rPr>
              <w:t>Improved product quality (e.g. less damaged products from improved handling of appliances)</w:t>
            </w:r>
          </w:p>
          <w:p w:rsidR="00DF1314" w:rsidRPr="00D52E30" w:rsidRDefault="00DF1314" w:rsidP="00DF1314">
            <w:pPr>
              <w:numPr>
                <w:ilvl w:val="0"/>
                <w:numId w:val="1"/>
              </w:numPr>
              <w:rPr>
                <w:color w:val="000000"/>
                <w:sz w:val="22"/>
                <w:szCs w:val="22"/>
              </w:rPr>
            </w:pPr>
            <w:r w:rsidRPr="00D52E30">
              <w:rPr>
                <w:color w:val="000000"/>
                <w:sz w:val="22"/>
                <w:szCs w:val="22"/>
              </w:rPr>
              <w:t>Improved delivery efficiency (e.g. shorter delivery times and reduced personnel costs due to 1-person versus 2 person delivery)</w:t>
            </w:r>
          </w:p>
        </w:tc>
        <w:tc>
          <w:tcPr>
            <w:tcW w:w="5220" w:type="dxa"/>
          </w:tcPr>
          <w:p w:rsidR="00DF1314" w:rsidRPr="00D52E30" w:rsidRDefault="00DF1314" w:rsidP="00616753">
            <w:pPr>
              <w:rPr>
                <w:color w:val="000000"/>
                <w:sz w:val="22"/>
                <w:szCs w:val="22"/>
              </w:rPr>
            </w:pPr>
            <w:r w:rsidRPr="00D52E30">
              <w:rPr>
                <w:b/>
                <w:bCs/>
                <w:color w:val="000000"/>
                <w:sz w:val="22"/>
                <w:szCs w:val="22"/>
              </w:rPr>
              <w:t>Direct costs</w:t>
            </w:r>
            <w:r w:rsidRPr="00D52E30">
              <w:rPr>
                <w:color w:val="000000"/>
                <w:sz w:val="22"/>
                <w:szCs w:val="22"/>
              </w:rPr>
              <w:t xml:space="preserve"> </w:t>
            </w:r>
          </w:p>
          <w:p w:rsidR="00DF1314" w:rsidRPr="00D52E30" w:rsidRDefault="00DF1314" w:rsidP="00DF1314">
            <w:pPr>
              <w:numPr>
                <w:ilvl w:val="0"/>
                <w:numId w:val="2"/>
              </w:numPr>
              <w:rPr>
                <w:sz w:val="22"/>
                <w:szCs w:val="22"/>
              </w:rPr>
            </w:pPr>
            <w:r w:rsidRPr="00D52E30">
              <w:rPr>
                <w:sz w:val="22"/>
                <w:szCs w:val="22"/>
              </w:rPr>
              <w:t>Cost of new/ replacement equipment</w:t>
            </w:r>
          </w:p>
          <w:p w:rsidR="00DF1314" w:rsidRPr="00D52E30" w:rsidRDefault="00DF1314" w:rsidP="00DF1314">
            <w:pPr>
              <w:numPr>
                <w:ilvl w:val="0"/>
                <w:numId w:val="2"/>
              </w:numPr>
              <w:jc w:val="both"/>
              <w:rPr>
                <w:sz w:val="22"/>
                <w:szCs w:val="22"/>
              </w:rPr>
            </w:pPr>
            <w:r w:rsidRPr="00D52E30">
              <w:rPr>
                <w:sz w:val="22"/>
                <w:szCs w:val="22"/>
              </w:rPr>
              <w:t>Equipment maintenance</w:t>
            </w:r>
          </w:p>
          <w:p w:rsidR="00DF1314" w:rsidRPr="00D52E30" w:rsidRDefault="00DF1314" w:rsidP="00616753">
            <w:pPr>
              <w:jc w:val="both"/>
              <w:rPr>
                <w:sz w:val="22"/>
                <w:szCs w:val="22"/>
              </w:rPr>
            </w:pPr>
          </w:p>
          <w:p w:rsidR="00DF1314" w:rsidRPr="00D52E30" w:rsidRDefault="00DF1314" w:rsidP="00616753">
            <w:pPr>
              <w:rPr>
                <w:color w:val="000000"/>
                <w:sz w:val="22"/>
                <w:szCs w:val="22"/>
              </w:rPr>
            </w:pPr>
            <w:r w:rsidRPr="00D52E30">
              <w:rPr>
                <w:b/>
                <w:bCs/>
                <w:color w:val="000000"/>
                <w:sz w:val="22"/>
                <w:szCs w:val="22"/>
              </w:rPr>
              <w:t>Indirect (productivity losses)</w:t>
            </w:r>
            <w:r w:rsidRPr="00D52E30">
              <w:rPr>
                <w:color w:val="000000"/>
                <w:sz w:val="22"/>
                <w:szCs w:val="22"/>
              </w:rPr>
              <w:t xml:space="preserve"> </w:t>
            </w:r>
          </w:p>
          <w:p w:rsidR="00DF1314" w:rsidRPr="00D52E30" w:rsidRDefault="00DF1314" w:rsidP="00DF1314">
            <w:pPr>
              <w:numPr>
                <w:ilvl w:val="0"/>
                <w:numId w:val="3"/>
              </w:numPr>
              <w:rPr>
                <w:color w:val="000000"/>
                <w:sz w:val="22"/>
                <w:szCs w:val="22"/>
              </w:rPr>
            </w:pPr>
            <w:r w:rsidRPr="00D52E30">
              <w:rPr>
                <w:color w:val="000000"/>
                <w:sz w:val="22"/>
                <w:szCs w:val="22"/>
              </w:rPr>
              <w:t>Productivity losses to company attributable to program</w:t>
            </w:r>
          </w:p>
          <w:p w:rsidR="00DF1314" w:rsidRPr="00D52E30" w:rsidRDefault="00DF1314" w:rsidP="00DF1314">
            <w:pPr>
              <w:numPr>
                <w:ilvl w:val="0"/>
                <w:numId w:val="3"/>
              </w:numPr>
              <w:rPr>
                <w:sz w:val="22"/>
                <w:szCs w:val="22"/>
              </w:rPr>
            </w:pPr>
            <w:r w:rsidRPr="00D52E30">
              <w:rPr>
                <w:color w:val="000000"/>
                <w:sz w:val="22"/>
                <w:szCs w:val="22"/>
              </w:rPr>
              <w:t>Productivity losses to employees attributable to program</w:t>
            </w:r>
          </w:p>
        </w:tc>
      </w:tr>
      <w:tr w:rsidR="00DF1314" w:rsidRPr="00D52E30" w:rsidTr="00616753">
        <w:tc>
          <w:tcPr>
            <w:tcW w:w="4788" w:type="dxa"/>
          </w:tcPr>
          <w:p w:rsidR="00DF1314" w:rsidRPr="00D52E30" w:rsidRDefault="00DF1314" w:rsidP="00616753">
            <w:pPr>
              <w:rPr>
                <w:b/>
                <w:bCs/>
                <w:color w:val="000000"/>
                <w:sz w:val="22"/>
                <w:szCs w:val="22"/>
              </w:rPr>
            </w:pPr>
            <w:r w:rsidRPr="00D52E30">
              <w:rPr>
                <w:b/>
                <w:bCs/>
                <w:color w:val="000000"/>
                <w:sz w:val="22"/>
                <w:szCs w:val="22"/>
              </w:rPr>
              <w:t>Intangible benefits+</w:t>
            </w:r>
          </w:p>
          <w:p w:rsidR="00DF1314" w:rsidRPr="00D52E30" w:rsidRDefault="00DF1314" w:rsidP="00616753">
            <w:pPr>
              <w:jc w:val="both"/>
              <w:rPr>
                <w:sz w:val="22"/>
                <w:szCs w:val="22"/>
              </w:rPr>
            </w:pPr>
            <w:r w:rsidRPr="00D52E30">
              <w:rPr>
                <w:bCs/>
                <w:color w:val="000000"/>
                <w:sz w:val="22"/>
                <w:szCs w:val="22"/>
              </w:rPr>
              <w:t xml:space="preserve">Averted pain and suffering from </w:t>
            </w:r>
            <w:r>
              <w:rPr>
                <w:bCs/>
                <w:color w:val="000000"/>
                <w:sz w:val="22"/>
                <w:szCs w:val="22"/>
              </w:rPr>
              <w:t xml:space="preserve">back </w:t>
            </w:r>
            <w:r w:rsidRPr="00D52E30">
              <w:rPr>
                <w:bCs/>
                <w:color w:val="000000"/>
                <w:sz w:val="22"/>
                <w:szCs w:val="22"/>
              </w:rPr>
              <w:t xml:space="preserve">injury </w:t>
            </w:r>
          </w:p>
        </w:tc>
        <w:tc>
          <w:tcPr>
            <w:tcW w:w="5220" w:type="dxa"/>
          </w:tcPr>
          <w:p w:rsidR="00DF1314" w:rsidRPr="00D52E30" w:rsidRDefault="00DF1314" w:rsidP="00616753">
            <w:pPr>
              <w:rPr>
                <w:b/>
                <w:bCs/>
                <w:color w:val="000000"/>
                <w:sz w:val="22"/>
                <w:szCs w:val="22"/>
              </w:rPr>
            </w:pPr>
            <w:r w:rsidRPr="00D52E30">
              <w:rPr>
                <w:b/>
                <w:bCs/>
                <w:color w:val="000000"/>
                <w:sz w:val="22"/>
                <w:szCs w:val="22"/>
              </w:rPr>
              <w:t>Intangible costs+</w:t>
            </w:r>
          </w:p>
          <w:p w:rsidR="00DF1314" w:rsidRPr="00D52E30" w:rsidRDefault="00DF1314" w:rsidP="00616753">
            <w:pPr>
              <w:jc w:val="both"/>
              <w:rPr>
                <w:bCs/>
                <w:color w:val="000000"/>
                <w:sz w:val="22"/>
                <w:szCs w:val="22"/>
              </w:rPr>
            </w:pPr>
            <w:r w:rsidRPr="00D52E30">
              <w:rPr>
                <w:bCs/>
                <w:color w:val="000000"/>
                <w:sz w:val="22"/>
                <w:szCs w:val="22"/>
              </w:rPr>
              <w:t xml:space="preserve">Stress on employees caused by program </w:t>
            </w:r>
          </w:p>
        </w:tc>
      </w:tr>
      <w:tr w:rsidR="00DF1314" w:rsidRPr="00D52E30" w:rsidTr="00616753">
        <w:tc>
          <w:tcPr>
            <w:tcW w:w="10008" w:type="dxa"/>
            <w:gridSpan w:val="2"/>
          </w:tcPr>
          <w:p w:rsidR="00DF1314" w:rsidRPr="00D52E30" w:rsidRDefault="00DF1314" w:rsidP="00616753">
            <w:pPr>
              <w:rPr>
                <w:color w:val="000000"/>
                <w:sz w:val="22"/>
                <w:szCs w:val="22"/>
              </w:rPr>
            </w:pPr>
            <w:r w:rsidRPr="00D52E30">
              <w:rPr>
                <w:b/>
                <w:bCs/>
                <w:color w:val="000000"/>
                <w:sz w:val="22"/>
                <w:szCs w:val="22"/>
              </w:rPr>
              <w:t>*</w:t>
            </w:r>
            <w:r w:rsidRPr="00D52E30">
              <w:rPr>
                <w:bCs/>
                <w:color w:val="000000"/>
                <w:sz w:val="22"/>
                <w:szCs w:val="22"/>
              </w:rPr>
              <w:t xml:space="preserve">For </w:t>
            </w:r>
            <w:r>
              <w:rPr>
                <w:bCs/>
                <w:color w:val="000000"/>
                <w:sz w:val="22"/>
                <w:szCs w:val="22"/>
              </w:rPr>
              <w:t>most</w:t>
            </w:r>
            <w:r w:rsidRPr="00D52E30">
              <w:rPr>
                <w:bCs/>
                <w:color w:val="000000"/>
                <w:sz w:val="22"/>
                <w:szCs w:val="22"/>
              </w:rPr>
              <w:t xml:space="preserve"> benefits and costs, source of information will be e</w:t>
            </w:r>
            <w:r w:rsidRPr="00D52E30">
              <w:rPr>
                <w:color w:val="000000"/>
                <w:sz w:val="22"/>
                <w:szCs w:val="22"/>
              </w:rPr>
              <w:t>stablishment and OBWC records</w:t>
            </w:r>
          </w:p>
          <w:p w:rsidR="00DF1314" w:rsidRPr="00D52E30" w:rsidRDefault="00DF1314" w:rsidP="00616753">
            <w:pPr>
              <w:rPr>
                <w:color w:val="000000"/>
                <w:sz w:val="22"/>
                <w:szCs w:val="22"/>
              </w:rPr>
            </w:pPr>
            <w:r w:rsidRPr="00D52E30">
              <w:rPr>
                <w:color w:val="000000"/>
                <w:sz w:val="22"/>
                <w:szCs w:val="22"/>
              </w:rPr>
              <w:t>+</w:t>
            </w:r>
            <w:r w:rsidRPr="00D52E30">
              <w:rPr>
                <w:bCs/>
                <w:color w:val="000000"/>
                <w:sz w:val="22"/>
                <w:szCs w:val="22"/>
              </w:rPr>
              <w:t xml:space="preserve"> W</w:t>
            </w:r>
            <w:r w:rsidRPr="00D52E30">
              <w:rPr>
                <w:color w:val="000000"/>
                <w:sz w:val="22"/>
                <w:szCs w:val="22"/>
              </w:rPr>
              <w:t>ill not be estimated in this study</w:t>
            </w:r>
          </w:p>
        </w:tc>
      </w:tr>
    </w:tbl>
    <w:p w:rsidR="00DF1314" w:rsidRPr="009674E4" w:rsidRDefault="00DF1314" w:rsidP="00DF1314">
      <w:pPr>
        <w:jc w:val="center"/>
        <w:rPr>
          <w:rFonts w:eastAsia="MS Mincho"/>
          <w:sz w:val="24"/>
          <w:szCs w:val="24"/>
          <w:lang w:eastAsia="ja-JP"/>
        </w:rPr>
      </w:pPr>
      <w:r w:rsidRPr="009674E4">
        <w:rPr>
          <w:rFonts w:eastAsia="MS Mincho"/>
          <w:sz w:val="24"/>
          <w:szCs w:val="24"/>
          <w:lang w:eastAsia="ja-JP"/>
        </w:rPr>
        <w:t xml:space="preserve"> </w:t>
      </w:r>
    </w:p>
    <w:p w:rsidR="00DF1314" w:rsidRPr="009674E4" w:rsidRDefault="00DF1314" w:rsidP="00DF1314">
      <w:pPr>
        <w:jc w:val="both"/>
        <w:rPr>
          <w:sz w:val="24"/>
          <w:szCs w:val="24"/>
        </w:rPr>
      </w:pPr>
      <w:r w:rsidRPr="009674E4">
        <w:rPr>
          <w:sz w:val="24"/>
          <w:szCs w:val="24"/>
        </w:rPr>
        <w:t xml:space="preserve">The formula for </w:t>
      </w:r>
      <w:r w:rsidRPr="009674E4">
        <w:rPr>
          <w:rStyle w:val="Emphasis"/>
          <w:bCs/>
          <w:sz w:val="24"/>
          <w:szCs w:val="24"/>
        </w:rPr>
        <w:t>NPV, where:  r = discount rate (interest rate), t = year, and n = analytic horizon (in years)</w:t>
      </w:r>
      <w:r w:rsidRPr="009674E4">
        <w:rPr>
          <w:sz w:val="24"/>
          <w:szCs w:val="24"/>
        </w:rPr>
        <w:t xml:space="preserve"> is:</w:t>
      </w:r>
      <w:r>
        <w:rPr>
          <w:sz w:val="24"/>
          <w:szCs w:val="24"/>
        </w:rPr>
        <w:t xml:space="preserve">  </w:t>
      </w:r>
      <w:r w:rsidRPr="009674E4">
        <w:rPr>
          <w:position w:val="-46"/>
          <w:sz w:val="24"/>
          <w:szCs w:val="24"/>
        </w:rPr>
        <w:object w:dxaOrig="30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0.75pt" o:ole="">
            <v:imagedata r:id="rId6" o:title=""/>
          </v:shape>
          <o:OLEObject Type="Embed" ProgID="Equation.3" ShapeID="_x0000_i1025" DrawAspect="Content" ObjectID="_1381317717" r:id="rId7"/>
        </w:object>
      </w:r>
    </w:p>
    <w:p w:rsidR="00DF1314" w:rsidRPr="009674E4" w:rsidRDefault="00DF1314" w:rsidP="00DF1314">
      <w:pPr>
        <w:rPr>
          <w:b/>
          <w:sz w:val="24"/>
          <w:szCs w:val="24"/>
        </w:rPr>
      </w:pPr>
      <w:r w:rsidRPr="009674E4">
        <w:rPr>
          <w:sz w:val="24"/>
          <w:szCs w:val="24"/>
        </w:rPr>
        <w:t>The formulas for ROI are presented below</w:t>
      </w:r>
      <w:proofErr w:type="gramStart"/>
      <w:r w:rsidRPr="009674E4">
        <w:rPr>
          <w:sz w:val="24"/>
          <w:szCs w:val="24"/>
        </w:rPr>
        <w:t>:</w:t>
      </w:r>
      <w:r>
        <w:rPr>
          <w:sz w:val="24"/>
          <w:szCs w:val="24"/>
        </w:rPr>
        <w:t xml:space="preserve">  </w:t>
      </w:r>
      <w:r w:rsidRPr="009674E4">
        <w:rPr>
          <w:position w:val="-30"/>
          <w:sz w:val="24"/>
          <w:szCs w:val="24"/>
        </w:rPr>
        <w:object w:dxaOrig="2320" w:dyaOrig="680">
          <v:shape id="_x0000_i1026" type="#_x0000_t75" style="width:90.75pt;height:27pt" o:ole="">
            <v:imagedata r:id="rId8" o:title=""/>
          </v:shape>
          <o:OLEObject Type="Embed" ProgID="Equation.3" ShapeID="_x0000_i1026" DrawAspect="Content" ObjectID="_1381317718" r:id="rId9"/>
        </w:object>
      </w:r>
      <w:r w:rsidRPr="009674E4">
        <w:rPr>
          <w:sz w:val="24"/>
          <w:szCs w:val="24"/>
        </w:rPr>
        <w:t xml:space="preserve"> ,</w:t>
      </w:r>
      <w:proofErr w:type="gramEnd"/>
      <w:r w:rsidRPr="009674E4">
        <w:rPr>
          <w:sz w:val="24"/>
          <w:szCs w:val="24"/>
        </w:rPr>
        <w:t xml:space="preserve">    or    </w:t>
      </w:r>
      <w:r w:rsidRPr="009674E4">
        <w:rPr>
          <w:position w:val="-32"/>
          <w:sz w:val="24"/>
          <w:szCs w:val="24"/>
        </w:rPr>
        <w:object w:dxaOrig="2000" w:dyaOrig="760">
          <v:shape id="_x0000_i1027" type="#_x0000_t75" style="width:75pt;height:28.5pt" o:ole="">
            <v:imagedata r:id="rId10" o:title=""/>
          </v:shape>
          <o:OLEObject Type="Embed" ProgID="Equation.3" ShapeID="_x0000_i1027" DrawAspect="Content" ObjectID="_1381317719" r:id="rId11"/>
        </w:object>
      </w:r>
    </w:p>
    <w:p w:rsidR="00DF1314" w:rsidRDefault="00DF1314" w:rsidP="00DF1314">
      <w:pPr>
        <w:pStyle w:val="NormalWeb"/>
        <w:spacing w:before="0" w:beforeAutospacing="0" w:after="0" w:afterAutospacing="0"/>
        <w:jc w:val="center"/>
        <w:rPr>
          <w:b/>
        </w:rPr>
      </w:pPr>
      <w:r>
        <w:rPr>
          <w:b/>
        </w:rPr>
        <w:br w:type="page"/>
      </w:r>
    </w:p>
    <w:sectPr w:rsidR="00DF1314" w:rsidSect="006C0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778"/>
    <w:multiLevelType w:val="hybridMultilevel"/>
    <w:tmpl w:val="7F0A43F6"/>
    <w:lvl w:ilvl="0" w:tplc="96106E9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57F1963"/>
    <w:multiLevelType w:val="hybridMultilevel"/>
    <w:tmpl w:val="E0129E58"/>
    <w:lvl w:ilvl="0" w:tplc="96106E9E">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8303A05"/>
    <w:multiLevelType w:val="hybridMultilevel"/>
    <w:tmpl w:val="1C149B78"/>
    <w:lvl w:ilvl="0" w:tplc="96106E9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F1314"/>
    <w:rsid w:val="00114AE9"/>
    <w:rsid w:val="00206DE8"/>
    <w:rsid w:val="006C09E9"/>
    <w:rsid w:val="00AB7C3C"/>
    <w:rsid w:val="00C23248"/>
    <w:rsid w:val="00C43958"/>
    <w:rsid w:val="00D33F97"/>
    <w:rsid w:val="00DE1BB4"/>
    <w:rsid w:val="00DF1314"/>
    <w:rsid w:val="00F7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1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F1314"/>
    <w:pPr>
      <w:spacing w:before="100" w:beforeAutospacing="1" w:after="100" w:afterAutospacing="1"/>
    </w:pPr>
    <w:rPr>
      <w:sz w:val="24"/>
      <w:szCs w:val="24"/>
    </w:rPr>
  </w:style>
  <w:style w:type="character" w:styleId="Emphasis">
    <w:name w:val="Emphasis"/>
    <w:basedOn w:val="DefaultParagraphFont"/>
    <w:qFormat/>
    <w:rsid w:val="00DF13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Sharon Harrison</cp:lastModifiedBy>
  <cp:revision>2</cp:revision>
  <dcterms:created xsi:type="dcterms:W3CDTF">2011-10-28T18:35:00Z</dcterms:created>
  <dcterms:modified xsi:type="dcterms:W3CDTF">2011-10-28T18:35:00Z</dcterms:modified>
</cp:coreProperties>
</file>