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5B606A" w:rsidP="0038553A">
      <w:pPr>
        <w:jc w:val="center"/>
        <w:rPr>
          <w:lang w:val="en-CA"/>
        </w:rPr>
      </w:pPr>
      <w:r>
        <w:rPr>
          <w:lang w:val="en-CA"/>
        </w:rPr>
        <w:t>Supporting Statement A</w:t>
      </w: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A2780D" w:rsidP="0038553A">
      <w:pPr>
        <w:jc w:val="center"/>
      </w:pPr>
      <w:r w:rsidRPr="00A2780D">
        <w:rPr>
          <w:lang w:val="en-CA"/>
        </w:rPr>
        <w:t>M</w:t>
      </w:r>
      <w:r>
        <w:rPr>
          <w:lang w:val="en-CA"/>
        </w:rPr>
        <w:t>USCULOSKELETAL DISORDER</w:t>
      </w:r>
      <w:r w:rsidRPr="00A2780D">
        <w:rPr>
          <w:lang w:val="en-CA"/>
        </w:rPr>
        <w:t xml:space="preserve"> (MSD)</w:t>
      </w:r>
      <w:r>
        <w:rPr>
          <w:lang w:val="en-CA"/>
        </w:rPr>
        <w:t xml:space="preserve"> INTERVENTION EFFECTIVENESS IN WHOLESALE/ RETAIL TRADE OPERATIONS</w:t>
      </w: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r w:rsidRPr="00F81BA5">
        <w:t>Request for Office of Management and Budget (OMB) Review and Approval</w:t>
      </w:r>
    </w:p>
    <w:p w:rsidR="0038553A" w:rsidRPr="00F81BA5" w:rsidRDefault="0038553A" w:rsidP="0038553A">
      <w:pPr>
        <w:jc w:val="center"/>
      </w:pPr>
      <w:proofErr w:type="gramStart"/>
      <w:r w:rsidRPr="00F81BA5">
        <w:t>for</w:t>
      </w:r>
      <w:proofErr w:type="gramEnd"/>
      <w:r w:rsidRPr="00F81BA5">
        <w:t xml:space="preserve"> a Federally Sponsored Data Collection</w:t>
      </w: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 w:rsidR="0038553A" w:rsidRPr="00F81BA5" w:rsidRDefault="0038553A" w:rsidP="0038553A">
      <w:pPr>
        <w:jc w:val="center"/>
      </w:pPr>
    </w:p>
    <w:p w:rsidR="0038553A" w:rsidRPr="00F81BA5" w:rsidRDefault="0038553A" w:rsidP="0038553A">
      <w:pPr>
        <w:jc w:val="center"/>
      </w:pPr>
    </w:p>
    <w:p w:rsidR="0038553A" w:rsidRPr="00F81BA5" w:rsidRDefault="0038553A" w:rsidP="0038553A"/>
    <w:p w:rsidR="00530AF0" w:rsidRDefault="00A2780D" w:rsidP="0038553A">
      <w:pPr>
        <w:jc w:val="center"/>
        <w:rPr>
          <w:lang w:val="de-DE"/>
        </w:rPr>
      </w:pPr>
      <w:r>
        <w:rPr>
          <w:lang w:val="de-DE"/>
        </w:rPr>
        <w:t>Steve Wurzelbacher</w:t>
      </w:r>
      <w:r w:rsidR="0038553A" w:rsidRPr="00F81BA5">
        <w:rPr>
          <w:lang w:val="de-DE"/>
        </w:rPr>
        <w:t>, Ph.D.</w:t>
      </w:r>
    </w:p>
    <w:p w:rsidR="0038553A" w:rsidRPr="00F81BA5" w:rsidRDefault="00530AF0" w:rsidP="0038553A">
      <w:pPr>
        <w:jc w:val="center"/>
        <w:rPr>
          <w:lang w:val="de-DE"/>
        </w:rPr>
      </w:pPr>
      <w:r>
        <w:rPr>
          <w:lang w:val="de-DE"/>
        </w:rPr>
        <w:t>Research Industrial Hygienist</w:t>
      </w:r>
      <w:r w:rsidR="00B37682" w:rsidRPr="00F81BA5">
        <w:rPr>
          <w:lang w:val="en-CA"/>
        </w:rPr>
        <w:fldChar w:fldCharType="begin"/>
      </w:r>
      <w:r w:rsidR="0038553A" w:rsidRPr="00F81BA5">
        <w:rPr>
          <w:lang w:val="de-DE"/>
        </w:rPr>
        <w:instrText xml:space="preserve"> SEQ CHAPTER \h \r 1</w:instrText>
      </w:r>
      <w:r w:rsidR="00B37682" w:rsidRPr="00F81BA5">
        <w:rPr>
          <w:lang w:val="en-CA"/>
        </w:rPr>
        <w:fldChar w:fldCharType="end"/>
      </w:r>
    </w:p>
    <w:p w:rsidR="0038553A" w:rsidRPr="00F81BA5" w:rsidRDefault="0038553A" w:rsidP="00530AF0">
      <w:pPr>
        <w:jc w:val="center"/>
      </w:pPr>
      <w:r w:rsidRPr="00F81BA5">
        <w:t>Project Officer</w:t>
      </w:r>
    </w:p>
    <w:p w:rsidR="0038553A" w:rsidRPr="00F81BA5" w:rsidRDefault="00A2780D" w:rsidP="0038553A">
      <w:pPr>
        <w:jc w:val="center"/>
      </w:pPr>
      <w:r>
        <w:t>swurzelbacher</w:t>
      </w:r>
      <w:r w:rsidR="0038553A" w:rsidRPr="00F81BA5">
        <w:t>@</w:t>
      </w:r>
      <w:r w:rsidR="00BE0E22">
        <w:t>cdc.gov</w:t>
      </w:r>
    </w:p>
    <w:p w:rsidR="0038553A" w:rsidRPr="00F81BA5" w:rsidRDefault="0038553A" w:rsidP="0038553A">
      <w:pPr>
        <w:jc w:val="center"/>
      </w:pPr>
    </w:p>
    <w:p w:rsidR="0038553A" w:rsidRPr="00F81BA5" w:rsidRDefault="0038553A" w:rsidP="0038553A">
      <w:pPr>
        <w:jc w:val="center"/>
      </w:pPr>
      <w:r w:rsidRPr="00F81BA5">
        <w:t>National Institute for Occupational Safety and Health</w:t>
      </w:r>
    </w:p>
    <w:p w:rsidR="0038553A" w:rsidRPr="00F81BA5" w:rsidRDefault="0038553A" w:rsidP="0038553A">
      <w:pPr>
        <w:jc w:val="center"/>
      </w:pPr>
      <w:r w:rsidRPr="00F81BA5">
        <w:t>Division of Surveillance, Hazard Evaluations, and Field Studies</w:t>
      </w:r>
    </w:p>
    <w:p w:rsidR="0038553A" w:rsidRPr="00F81BA5" w:rsidRDefault="0038553A" w:rsidP="0038553A">
      <w:pPr>
        <w:jc w:val="center"/>
      </w:pPr>
      <w:r w:rsidRPr="00F81BA5">
        <w:t>4676 Columbia Parkway</w:t>
      </w:r>
      <w:r w:rsidR="00226509">
        <w:t xml:space="preserve"> Mail Stop R14</w:t>
      </w:r>
    </w:p>
    <w:p w:rsidR="0038553A" w:rsidRPr="00F81BA5" w:rsidRDefault="0038553A" w:rsidP="0038553A">
      <w:pPr>
        <w:jc w:val="center"/>
      </w:pPr>
      <w:smartTag w:uri="urn:schemas-microsoft-com:office:smarttags" w:element="place">
        <w:smartTag w:uri="urn:schemas-microsoft-com:office:smarttags" w:element="City">
          <w:r w:rsidRPr="00F81BA5">
            <w:t>Cincinnati</w:t>
          </w:r>
        </w:smartTag>
        <w:r w:rsidRPr="00F81BA5">
          <w:t xml:space="preserve">, </w:t>
        </w:r>
        <w:smartTag w:uri="urn:schemas-microsoft-com:office:smarttags" w:element="State">
          <w:r w:rsidRPr="00F81BA5">
            <w:t>Ohio</w:t>
          </w:r>
        </w:smartTag>
        <w:r w:rsidRPr="00F81BA5">
          <w:t xml:space="preserve"> </w:t>
        </w:r>
        <w:smartTag w:uri="urn:schemas-microsoft-com:office:smarttags" w:element="PostalCode">
          <w:r w:rsidRPr="00F81BA5">
            <w:t>45226</w:t>
          </w:r>
        </w:smartTag>
      </w:smartTag>
    </w:p>
    <w:p w:rsidR="0038553A" w:rsidRPr="00F81BA5" w:rsidRDefault="0038553A" w:rsidP="0038553A">
      <w:pPr>
        <w:jc w:val="center"/>
      </w:pPr>
    </w:p>
    <w:p w:rsidR="0038553A" w:rsidRPr="00F81BA5" w:rsidRDefault="0038553A" w:rsidP="0038553A">
      <w:pPr>
        <w:jc w:val="center"/>
      </w:pPr>
      <w:r w:rsidRPr="00F81BA5">
        <w:t>513-841-4</w:t>
      </w:r>
      <w:r w:rsidR="00A2780D">
        <w:t>322</w:t>
      </w:r>
      <w:r w:rsidR="00EB3A2B">
        <w:tab/>
        <w:t>(phone</w:t>
      </w:r>
      <w:r w:rsidRPr="00F81BA5">
        <w:t>)</w:t>
      </w:r>
    </w:p>
    <w:p w:rsidR="0038553A" w:rsidRPr="00F81BA5" w:rsidRDefault="0038553A" w:rsidP="0038553A">
      <w:pPr>
        <w:jc w:val="center"/>
      </w:pPr>
      <w:r w:rsidRPr="00F81BA5">
        <w:t>513-841-</w:t>
      </w:r>
      <w:r w:rsidR="00A2780D">
        <w:t>4486</w:t>
      </w:r>
      <w:r w:rsidRPr="00F81BA5">
        <w:t xml:space="preserve"> (fax)</w:t>
      </w:r>
    </w:p>
    <w:p w:rsidR="0038553A" w:rsidRPr="00F81BA5" w:rsidRDefault="0038553A" w:rsidP="0038553A">
      <w:pPr>
        <w:jc w:val="center"/>
      </w:pPr>
    </w:p>
    <w:p w:rsidR="0038553A" w:rsidRPr="00F81BA5" w:rsidRDefault="00576670" w:rsidP="0038553A">
      <w:pPr>
        <w:jc w:val="center"/>
      </w:pPr>
      <w:r>
        <w:t>August 11</w:t>
      </w:r>
      <w:r w:rsidR="00396751" w:rsidRPr="00AC23F3">
        <w:t>, 201</w:t>
      </w:r>
      <w:r w:rsidR="00A2780D" w:rsidRPr="00AC23F3">
        <w:t>1</w:t>
      </w:r>
    </w:p>
    <w:p w:rsidR="00B9590E" w:rsidRDefault="0038553A" w:rsidP="00B9590E">
      <w:pPr>
        <w:jc w:val="center"/>
        <w:rPr>
          <w:b/>
          <w:bCs/>
        </w:rPr>
      </w:pPr>
      <w:r w:rsidRPr="00F81BA5">
        <w:br w:type="page"/>
      </w:r>
      <w:r w:rsidR="00B37682" w:rsidRPr="007A66F8">
        <w:rPr>
          <w:lang w:val="en-CA"/>
        </w:rPr>
        <w:lastRenderedPageBreak/>
        <w:fldChar w:fldCharType="begin"/>
      </w:r>
      <w:r w:rsidRPr="007A66F8">
        <w:rPr>
          <w:lang w:val="en-CA"/>
        </w:rPr>
        <w:instrText xml:space="preserve"> SEQ CHAPTER \h \r 1</w:instrText>
      </w:r>
      <w:r w:rsidR="00B37682" w:rsidRPr="007A66F8">
        <w:rPr>
          <w:lang w:val="en-CA"/>
        </w:rPr>
        <w:fldChar w:fldCharType="end"/>
      </w:r>
      <w:r w:rsidR="00B9590E" w:rsidRPr="007A66F8">
        <w:rPr>
          <w:b/>
          <w:bCs/>
        </w:rPr>
        <w:t>Table of Contents</w:t>
      </w:r>
    </w:p>
    <w:p w:rsidR="00B9590E" w:rsidRPr="00F81BA5" w:rsidRDefault="00B9590E" w:rsidP="00B9590E">
      <w:pPr>
        <w:jc w:val="right"/>
      </w:pPr>
      <w:r w:rsidRPr="00F81BA5">
        <w:rPr>
          <w:bCs/>
        </w:rPr>
        <w:t>Section Title</w:t>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t>Page Number</w:t>
      </w:r>
      <w:r w:rsidR="00B37682" w:rsidRPr="00F81BA5">
        <w:rPr>
          <w:lang w:val="en-CA"/>
        </w:rPr>
        <w:fldChar w:fldCharType="begin"/>
      </w:r>
      <w:r w:rsidRPr="00F81BA5">
        <w:rPr>
          <w:lang w:val="en-CA"/>
        </w:rPr>
        <w:instrText xml:space="preserve"> SEQ CHAPTER \h \r 1</w:instrText>
      </w:r>
      <w:r w:rsidR="00B37682" w:rsidRPr="00F81BA5">
        <w:rPr>
          <w:lang w:val="en-CA"/>
        </w:rPr>
        <w:fldChar w:fldCharType="end"/>
      </w:r>
    </w:p>
    <w:p w:rsidR="00B9590E" w:rsidRDefault="00B9590E" w:rsidP="00B9590E">
      <w:pPr>
        <w:jc w:val="right"/>
        <w:rPr>
          <w:lang w:val="en-CA"/>
        </w:rPr>
      </w:pPr>
    </w:p>
    <w:p w:rsidR="00B9590E" w:rsidRDefault="00B9590E" w:rsidP="00B9590E">
      <w:pPr>
        <w:jc w:val="center"/>
        <w:rPr>
          <w:b/>
          <w:bCs/>
        </w:rPr>
      </w:pPr>
    </w:p>
    <w:p w:rsidR="00B9590E" w:rsidRDefault="00B9590E" w:rsidP="00B9590E">
      <w:pPr>
        <w:jc w:val="center"/>
        <w:rPr>
          <w:b/>
          <w:bCs/>
        </w:rPr>
      </w:pPr>
    </w:p>
    <w:p w:rsidR="00B9590E" w:rsidRPr="006100EC" w:rsidRDefault="00B37682" w:rsidP="00B9590E">
      <w:r w:rsidRPr="00C077A8">
        <w:fldChar w:fldCharType="begin"/>
      </w:r>
      <w:r w:rsidR="00B9590E" w:rsidRPr="00C077A8">
        <w:instrText>TOC \f</w:instrText>
      </w:r>
      <w:r w:rsidRPr="00C077A8">
        <w:fldChar w:fldCharType="separate"/>
      </w:r>
      <w:r w:rsidR="00B9590E" w:rsidRPr="006100EC">
        <w:rPr>
          <w:bCs/>
        </w:rPr>
        <w:t>A.  J</w:t>
      </w:r>
      <w:r w:rsidR="006100EC">
        <w:rPr>
          <w:bCs/>
        </w:rPr>
        <w:t>USTIFICATION</w:t>
      </w:r>
    </w:p>
    <w:p w:rsidR="00B9590E" w:rsidRPr="00C077A8" w:rsidRDefault="00B9590E" w:rsidP="00B9590E">
      <w:pPr>
        <w:tabs>
          <w:tab w:val="right" w:leader="dot" w:pos="9360"/>
        </w:tabs>
        <w:ind w:left="1440" w:hanging="720"/>
      </w:pPr>
      <w:r w:rsidRPr="00C077A8">
        <w:t>A1.    Circumstances Making the Collection of Information Necessary</w:t>
      </w:r>
      <w:r w:rsidRPr="00C077A8">
        <w:tab/>
      </w:r>
      <w:r w:rsidR="00C26095">
        <w:t>4</w:t>
      </w:r>
    </w:p>
    <w:p w:rsidR="00B9590E" w:rsidRPr="00C077A8" w:rsidRDefault="00B9590E" w:rsidP="00B9590E">
      <w:pPr>
        <w:tabs>
          <w:tab w:val="right" w:leader="dot" w:pos="9360"/>
        </w:tabs>
        <w:ind w:left="1440" w:hanging="720"/>
      </w:pPr>
      <w:r>
        <w:t xml:space="preserve">A2.    Purpose and Use of </w:t>
      </w:r>
      <w:r w:rsidRPr="00C077A8">
        <w:t>Information Collection</w:t>
      </w:r>
      <w:r w:rsidRPr="00C077A8">
        <w:tab/>
      </w:r>
      <w:r w:rsidR="00C26095">
        <w:t>9</w:t>
      </w:r>
    </w:p>
    <w:p w:rsidR="00B9590E" w:rsidRDefault="00B9590E" w:rsidP="00B9590E">
      <w:pPr>
        <w:tabs>
          <w:tab w:val="right" w:leader="dot" w:pos="9360"/>
        </w:tabs>
        <w:ind w:left="1440" w:hanging="720"/>
      </w:pPr>
      <w:r w:rsidRPr="00C077A8">
        <w:t>A3.    Use of Improved Information Technology and Burden Reduction</w:t>
      </w:r>
      <w:r w:rsidRPr="00C077A8">
        <w:tab/>
      </w:r>
      <w:r w:rsidR="00C26095">
        <w:t>12</w:t>
      </w:r>
    </w:p>
    <w:p w:rsidR="00B9590E" w:rsidRDefault="00B9590E" w:rsidP="00B9590E">
      <w:pPr>
        <w:tabs>
          <w:tab w:val="right" w:leader="dot" w:pos="9360"/>
        </w:tabs>
        <w:ind w:left="1440" w:hanging="720"/>
      </w:pPr>
      <w:r w:rsidRPr="00C077A8">
        <w:t>A4.    Efforts to Identify Duplication and Use of Similar Information</w:t>
      </w:r>
      <w:r w:rsidRPr="00C077A8">
        <w:tab/>
      </w:r>
      <w:r w:rsidR="00C26095">
        <w:t>13</w:t>
      </w:r>
    </w:p>
    <w:p w:rsidR="00B9590E" w:rsidRDefault="00B9590E" w:rsidP="00B9590E">
      <w:pPr>
        <w:tabs>
          <w:tab w:val="right" w:leader="dot" w:pos="9360"/>
        </w:tabs>
        <w:ind w:left="1440" w:hanging="720"/>
      </w:pPr>
      <w:r w:rsidRPr="00C077A8">
        <w:t>A5.    Impact on Small Businesses or Other Small Entities</w:t>
      </w:r>
      <w:r w:rsidRPr="00C077A8">
        <w:tab/>
      </w:r>
      <w:r w:rsidR="00C26095">
        <w:t>13</w:t>
      </w:r>
    </w:p>
    <w:p w:rsidR="00B9590E" w:rsidRDefault="00B9590E" w:rsidP="00B9590E">
      <w:pPr>
        <w:tabs>
          <w:tab w:val="right" w:leader="dot" w:pos="9360"/>
        </w:tabs>
        <w:ind w:left="1440" w:hanging="720"/>
      </w:pPr>
      <w:r w:rsidRPr="00C077A8">
        <w:t>A6.    Consequences of Collecting</w:t>
      </w:r>
      <w:r>
        <w:t xml:space="preserve"> the</w:t>
      </w:r>
      <w:r w:rsidRPr="00C077A8">
        <w:t xml:space="preserve"> Information Less Frequently</w:t>
      </w:r>
      <w:r w:rsidRPr="00C077A8">
        <w:tab/>
      </w:r>
      <w:r w:rsidR="00C26095">
        <w:t>14</w:t>
      </w:r>
    </w:p>
    <w:p w:rsidR="00B9590E" w:rsidRDefault="00B9590E" w:rsidP="00B9590E">
      <w:pPr>
        <w:tabs>
          <w:tab w:val="right" w:leader="dot" w:pos="9360"/>
        </w:tabs>
        <w:ind w:left="1440" w:hanging="720"/>
      </w:pPr>
      <w:r w:rsidRPr="00C077A8">
        <w:t>A7.    Special Circumstances Relating to the Guidelines of 5 CFR</w:t>
      </w:r>
      <w:r>
        <w:t xml:space="preserve"> 1320.5</w:t>
      </w:r>
      <w:r>
        <w:tab/>
      </w:r>
      <w:r w:rsidR="00C26095">
        <w:t>14</w:t>
      </w:r>
    </w:p>
    <w:p w:rsidR="00B9590E" w:rsidRDefault="00B9590E" w:rsidP="00B9590E">
      <w:pPr>
        <w:tabs>
          <w:tab w:val="right" w:leader="dot" w:pos="9360"/>
        </w:tabs>
        <w:ind w:left="1440" w:hanging="720"/>
      </w:pPr>
      <w:r w:rsidRPr="00C077A8">
        <w:t>A8.    Comments in Response to the Federal Register Notice and Efforts</w:t>
      </w:r>
      <w:r>
        <w:t xml:space="preserve"> to Consult Outside the Agency</w:t>
      </w:r>
      <w:r>
        <w:tab/>
      </w:r>
      <w:r w:rsidR="00C26095">
        <w:t>14</w:t>
      </w:r>
    </w:p>
    <w:p w:rsidR="00B9590E" w:rsidRDefault="00B9590E" w:rsidP="00B9590E">
      <w:pPr>
        <w:tabs>
          <w:tab w:val="right" w:leader="dot" w:pos="9360"/>
        </w:tabs>
        <w:ind w:left="1440" w:hanging="720"/>
      </w:pPr>
      <w:r w:rsidRPr="00C077A8">
        <w:t xml:space="preserve">A9.    Explanation of Any </w:t>
      </w:r>
      <w:r>
        <w:t>Payment or Gift to Respondents</w:t>
      </w:r>
      <w:r>
        <w:tab/>
      </w:r>
      <w:r w:rsidR="00C26095">
        <w:t>18</w:t>
      </w:r>
    </w:p>
    <w:p w:rsidR="00B9590E" w:rsidRDefault="00B9590E" w:rsidP="00B9590E">
      <w:pPr>
        <w:tabs>
          <w:tab w:val="right" w:leader="dot" w:pos="9360"/>
        </w:tabs>
        <w:ind w:left="1440" w:hanging="720"/>
      </w:pPr>
      <w:r w:rsidRPr="00C077A8">
        <w:t>A10.  Assurance of Confident</w:t>
      </w:r>
      <w:r>
        <w:t>iality Provided to Respondents</w:t>
      </w:r>
      <w:r>
        <w:tab/>
      </w:r>
      <w:r w:rsidR="00C26095">
        <w:t>18</w:t>
      </w:r>
    </w:p>
    <w:p w:rsidR="00B9590E" w:rsidRDefault="00B9590E" w:rsidP="00B9590E">
      <w:pPr>
        <w:tabs>
          <w:tab w:val="right" w:leader="dot" w:pos="9360"/>
        </w:tabs>
        <w:ind w:left="1440" w:hanging="720"/>
      </w:pPr>
      <w:r w:rsidRPr="00C077A8">
        <w:t>A11.  Justification for Sensitive Questions</w:t>
      </w:r>
      <w:r w:rsidRPr="00C077A8">
        <w:tab/>
      </w:r>
      <w:r w:rsidR="00C26095">
        <w:t>20</w:t>
      </w:r>
    </w:p>
    <w:p w:rsidR="00B9590E" w:rsidRDefault="00B9590E" w:rsidP="00B9590E">
      <w:pPr>
        <w:tabs>
          <w:tab w:val="right" w:leader="dot" w:pos="9360"/>
        </w:tabs>
        <w:ind w:left="1440" w:hanging="720"/>
      </w:pPr>
      <w:r w:rsidRPr="00C077A8">
        <w:t>A12.  Estimates of Annualized Burden Hours and Costs</w:t>
      </w:r>
      <w:r w:rsidRPr="00C077A8">
        <w:tab/>
      </w:r>
      <w:r w:rsidR="00361B17">
        <w:t>21</w:t>
      </w:r>
    </w:p>
    <w:p w:rsidR="00B9590E" w:rsidRDefault="00B9590E" w:rsidP="00B9590E">
      <w:pPr>
        <w:tabs>
          <w:tab w:val="right" w:leader="dot" w:pos="9360"/>
        </w:tabs>
        <w:ind w:left="1440" w:hanging="720"/>
      </w:pPr>
      <w:r>
        <w:t xml:space="preserve">A13.  Estimates of </w:t>
      </w:r>
      <w:r w:rsidRPr="00C077A8">
        <w:t>Other Total Ann</w:t>
      </w:r>
      <w:r>
        <w:t>ual Cost Burden to Respondents or</w:t>
      </w:r>
      <w:r w:rsidRPr="00C077A8">
        <w:t xml:space="preserve"> Record Keepers</w:t>
      </w:r>
      <w:r w:rsidRPr="00C077A8">
        <w:tab/>
      </w:r>
      <w:r w:rsidR="00361B17">
        <w:t>23</w:t>
      </w:r>
    </w:p>
    <w:p w:rsidR="00B9590E" w:rsidRDefault="00B9590E" w:rsidP="00B9590E">
      <w:pPr>
        <w:tabs>
          <w:tab w:val="right" w:leader="dot" w:pos="9360"/>
        </w:tabs>
        <w:ind w:left="1440" w:hanging="720"/>
      </w:pPr>
      <w:r w:rsidRPr="00C077A8">
        <w:t>A14.  Annualized C</w:t>
      </w:r>
      <w:r>
        <w:t>ost to the Government</w:t>
      </w:r>
      <w:r>
        <w:tab/>
      </w:r>
      <w:r w:rsidR="00361B17">
        <w:t>23</w:t>
      </w:r>
    </w:p>
    <w:p w:rsidR="00B9590E" w:rsidRDefault="00B9590E" w:rsidP="00B9590E">
      <w:pPr>
        <w:tabs>
          <w:tab w:val="right" w:leader="dot" w:pos="9360"/>
        </w:tabs>
        <w:ind w:left="1440" w:hanging="720"/>
      </w:pPr>
      <w:r w:rsidRPr="00C077A8">
        <w:t>A15.  Explanation for P</w:t>
      </w:r>
      <w:r>
        <w:t>rogram Changes or Adjustments</w:t>
      </w:r>
      <w:r>
        <w:tab/>
      </w:r>
      <w:r w:rsidR="00361B17">
        <w:t>24</w:t>
      </w:r>
    </w:p>
    <w:p w:rsidR="00B9590E" w:rsidRDefault="00B9590E" w:rsidP="00B9590E">
      <w:pPr>
        <w:tabs>
          <w:tab w:val="right" w:leader="dot" w:pos="9360"/>
        </w:tabs>
        <w:ind w:left="1440" w:hanging="720"/>
      </w:pPr>
      <w:r w:rsidRPr="00C077A8">
        <w:t>A16.  Plans for Tabulation and Publication and Project Time Schedule</w:t>
      </w:r>
      <w:r w:rsidRPr="00C077A8">
        <w:tab/>
      </w:r>
      <w:r w:rsidR="00361B17">
        <w:t>24</w:t>
      </w:r>
    </w:p>
    <w:p w:rsidR="00B9590E" w:rsidRDefault="00B9590E" w:rsidP="00B9590E">
      <w:pPr>
        <w:tabs>
          <w:tab w:val="right" w:leader="dot" w:pos="9360"/>
        </w:tabs>
        <w:ind w:left="1440" w:hanging="720"/>
      </w:pPr>
      <w:r w:rsidRPr="00C077A8">
        <w:t>A17.  Reason(s) Display of OMB Exp</w:t>
      </w:r>
      <w:r>
        <w:t>iration Date is Inappropriate</w:t>
      </w:r>
      <w:r>
        <w:tab/>
      </w:r>
      <w:r w:rsidR="00361B17">
        <w:t>25</w:t>
      </w:r>
    </w:p>
    <w:p w:rsidR="00B9590E" w:rsidRDefault="00B9590E" w:rsidP="00B9590E">
      <w:pPr>
        <w:tabs>
          <w:tab w:val="right" w:leader="dot" w:pos="9360"/>
        </w:tabs>
        <w:ind w:left="1440" w:hanging="720"/>
      </w:pPr>
      <w:r w:rsidRPr="00C077A8">
        <w:t>A18.  Exceptions to Certification for Paperw</w:t>
      </w:r>
      <w:r>
        <w:t>ork Reduction Act Submissions</w:t>
      </w:r>
      <w:r>
        <w:tab/>
      </w:r>
      <w:r w:rsidR="00361B17">
        <w:t>26</w:t>
      </w:r>
    </w:p>
    <w:p w:rsidR="00B9590E" w:rsidRDefault="00B9590E" w:rsidP="00B9590E"/>
    <w:p w:rsidR="00B9590E" w:rsidRDefault="00B9590E" w:rsidP="00B9590E">
      <w:pPr>
        <w:tabs>
          <w:tab w:val="right" w:leader="dot" w:pos="9360"/>
        </w:tabs>
        <w:ind w:left="720" w:hanging="720"/>
      </w:pPr>
      <w:r w:rsidRPr="006100EC">
        <w:rPr>
          <w:bCs/>
        </w:rPr>
        <w:t>B.  C</w:t>
      </w:r>
      <w:r w:rsidR="006100EC">
        <w:rPr>
          <w:bCs/>
        </w:rPr>
        <w:t>OLLECTION OF INFORMATION EMPLOYING STATISTICAL METHODS</w:t>
      </w:r>
      <w:r>
        <w:tab/>
      </w:r>
      <w:r w:rsidR="006100EC">
        <w:t>29</w:t>
      </w:r>
    </w:p>
    <w:p w:rsidR="00B9590E" w:rsidRDefault="00B9590E" w:rsidP="00B9590E">
      <w:pPr>
        <w:tabs>
          <w:tab w:val="right" w:leader="dot" w:pos="9360"/>
        </w:tabs>
        <w:ind w:left="1440" w:hanging="720"/>
      </w:pPr>
      <w:r w:rsidRPr="00C077A8">
        <w:t xml:space="preserve">B1.    Respondent </w:t>
      </w:r>
      <w:r>
        <w:t>Universe and Sampling Methods</w:t>
      </w:r>
      <w:r>
        <w:tab/>
      </w:r>
      <w:r w:rsidR="006100EC">
        <w:t>29</w:t>
      </w:r>
    </w:p>
    <w:p w:rsidR="00B9590E" w:rsidRDefault="00B9590E" w:rsidP="00B9590E">
      <w:pPr>
        <w:tabs>
          <w:tab w:val="right" w:leader="dot" w:pos="9360"/>
        </w:tabs>
        <w:ind w:left="1440" w:hanging="720"/>
      </w:pPr>
      <w:r w:rsidRPr="00C077A8">
        <w:t xml:space="preserve">B2.    Procedures for </w:t>
      </w:r>
      <w:r>
        <w:t>the Collection of Information</w:t>
      </w:r>
      <w:r>
        <w:tab/>
      </w:r>
      <w:r w:rsidR="006100EC">
        <w:t>31</w:t>
      </w:r>
    </w:p>
    <w:p w:rsidR="00B9590E" w:rsidRDefault="00B9590E" w:rsidP="00B9590E">
      <w:pPr>
        <w:tabs>
          <w:tab w:val="right" w:leader="dot" w:pos="9360"/>
        </w:tabs>
        <w:ind w:left="1440" w:hanging="720"/>
      </w:pPr>
      <w:r w:rsidRPr="00C077A8">
        <w:t>B3.    Methods to Maximize Response Ra</w:t>
      </w:r>
      <w:r>
        <w:t>tes and Deal with Nonresponse</w:t>
      </w:r>
      <w:r>
        <w:tab/>
      </w:r>
      <w:r w:rsidR="006100EC">
        <w:t>40</w:t>
      </w:r>
    </w:p>
    <w:p w:rsidR="00B9590E" w:rsidRDefault="00B9590E" w:rsidP="00B9590E">
      <w:pPr>
        <w:tabs>
          <w:tab w:val="right" w:leader="dot" w:pos="9360"/>
        </w:tabs>
        <w:ind w:left="1440" w:hanging="720"/>
      </w:pPr>
      <w:r w:rsidRPr="00C077A8">
        <w:t>B4.    Tests of Procedure</w:t>
      </w:r>
      <w:r>
        <w:t>s or Methods to be Undertaken</w:t>
      </w:r>
      <w:r>
        <w:tab/>
      </w:r>
      <w:r w:rsidR="006100EC">
        <w:t>43</w:t>
      </w:r>
    </w:p>
    <w:p w:rsidR="00B9590E" w:rsidRDefault="00B9590E" w:rsidP="00B9590E">
      <w:pPr>
        <w:tabs>
          <w:tab w:val="right" w:leader="dot" w:pos="9360"/>
        </w:tabs>
        <w:ind w:left="1440" w:hanging="720"/>
      </w:pPr>
      <w:r w:rsidRPr="00C077A8">
        <w:t xml:space="preserve">B5.    Individuals Consulted on Statistical </w:t>
      </w:r>
      <w:r>
        <w:t>Aspects and Individuals Collecting and/or Analyzing Data</w:t>
      </w:r>
      <w:r>
        <w:tab/>
      </w:r>
      <w:r w:rsidR="006100EC">
        <w:t>44</w:t>
      </w:r>
    </w:p>
    <w:p w:rsidR="00B9590E" w:rsidRDefault="00B9590E" w:rsidP="00B9590E"/>
    <w:p w:rsidR="00B9590E" w:rsidRPr="00C077A8" w:rsidRDefault="006100EC" w:rsidP="00B9590E">
      <w:pPr>
        <w:tabs>
          <w:tab w:val="right" w:leader="dot" w:pos="9360"/>
        </w:tabs>
      </w:pPr>
      <w:r>
        <w:t>LITERATURE CITED</w:t>
      </w:r>
      <w:r w:rsidR="00B9590E" w:rsidRPr="00004159">
        <w:rPr>
          <w:b/>
        </w:rPr>
        <w:t xml:space="preserve"> </w:t>
      </w:r>
      <w:r w:rsidR="00B9590E" w:rsidRPr="00C077A8">
        <w:tab/>
      </w:r>
      <w:r w:rsidR="00B37682" w:rsidRPr="00C077A8">
        <w:fldChar w:fldCharType="end"/>
      </w:r>
      <w:r>
        <w:t>46</w:t>
      </w:r>
    </w:p>
    <w:p w:rsidR="00B9590E" w:rsidRPr="00C077A8" w:rsidRDefault="00B9590E" w:rsidP="00B9590E">
      <w:pPr>
        <w:rPr>
          <w:b/>
          <w:bCs/>
        </w:rPr>
      </w:pPr>
    </w:p>
    <w:p w:rsidR="00B9590E" w:rsidRPr="006100EC" w:rsidRDefault="006100EC" w:rsidP="00B9590E">
      <w:pPr>
        <w:rPr>
          <w:bCs/>
        </w:rPr>
      </w:pPr>
      <w:r>
        <w:rPr>
          <w:bCs/>
        </w:rPr>
        <w:t>LIST OF ATTACHMENTS</w:t>
      </w:r>
    </w:p>
    <w:p w:rsidR="00242A30" w:rsidRPr="00242A30" w:rsidRDefault="00242A30" w:rsidP="00B9590E"/>
    <w:p w:rsidR="00B9590E" w:rsidRPr="00242A30" w:rsidRDefault="00B9590E" w:rsidP="00B9590E">
      <w:pPr>
        <w:tabs>
          <w:tab w:val="left" w:pos="720"/>
          <w:tab w:val="left" w:pos="1440"/>
          <w:tab w:val="left" w:pos="2160"/>
        </w:tabs>
        <w:ind w:left="2160" w:hanging="2160"/>
        <w:rPr>
          <w:b/>
        </w:rPr>
      </w:pPr>
      <w:r w:rsidRPr="00242A30">
        <w:t>Attachment A:</w:t>
      </w:r>
      <w:r w:rsidRPr="00242A30">
        <w:tab/>
        <w:t>Occupational Safety and Health Act [29CFR §</w:t>
      </w:r>
      <w:r w:rsidR="00811A71" w:rsidRPr="00242A30">
        <w:t xml:space="preserve"> </w:t>
      </w:r>
      <w:r w:rsidRPr="00242A30">
        <w:t>671]</w:t>
      </w:r>
    </w:p>
    <w:p w:rsidR="009E3D9F" w:rsidRPr="00242A30" w:rsidRDefault="00B9590E" w:rsidP="00B9590E">
      <w:pPr>
        <w:tabs>
          <w:tab w:val="left" w:pos="720"/>
          <w:tab w:val="left" w:pos="1440"/>
          <w:tab w:val="left" w:pos="2160"/>
        </w:tabs>
        <w:ind w:left="2160" w:hanging="2160"/>
      </w:pPr>
      <w:r w:rsidRPr="00242A30">
        <w:t xml:space="preserve">Attachment B: </w:t>
      </w:r>
      <w:r w:rsidR="009E3D9F" w:rsidRPr="00242A30">
        <w:t>60-Day Federal Register Notice</w:t>
      </w:r>
    </w:p>
    <w:p w:rsidR="009E3D9F" w:rsidRPr="00242A30" w:rsidRDefault="00B9590E" w:rsidP="009E3D9F">
      <w:pPr>
        <w:tabs>
          <w:tab w:val="left" w:pos="720"/>
          <w:tab w:val="left" w:pos="1440"/>
          <w:tab w:val="left" w:pos="2160"/>
        </w:tabs>
        <w:ind w:left="2160" w:hanging="2160"/>
      </w:pPr>
      <w:r w:rsidRPr="00242A30">
        <w:t xml:space="preserve">Attachment C: </w:t>
      </w:r>
      <w:r w:rsidR="009E3D9F" w:rsidRPr="00242A30">
        <w:t>NIOSH Strategic Goals and Activities</w:t>
      </w:r>
    </w:p>
    <w:p w:rsidR="00B9590E" w:rsidRPr="00242A30" w:rsidRDefault="00B9590E" w:rsidP="00B9590E">
      <w:pPr>
        <w:tabs>
          <w:tab w:val="left" w:pos="720"/>
          <w:tab w:val="left" w:pos="1440"/>
          <w:tab w:val="left" w:pos="2160"/>
        </w:tabs>
        <w:ind w:left="2160" w:hanging="2160"/>
      </w:pPr>
      <w:r w:rsidRPr="00242A30">
        <w:t>Attachment D</w:t>
      </w:r>
      <w:r w:rsidR="00811A71" w:rsidRPr="00242A30">
        <w:t>-1</w:t>
      </w:r>
      <w:r w:rsidRPr="00242A30">
        <w:t>:</w:t>
      </w:r>
      <w:r w:rsidR="00811A71" w:rsidRPr="00242A30">
        <w:t xml:space="preserve"> Relation of Project to Broader CDC Research Agenda</w:t>
      </w:r>
    </w:p>
    <w:p w:rsidR="00811A71" w:rsidRPr="00242A30" w:rsidRDefault="00811A71" w:rsidP="00B9590E">
      <w:pPr>
        <w:tabs>
          <w:tab w:val="left" w:pos="720"/>
          <w:tab w:val="left" w:pos="1440"/>
          <w:tab w:val="left" w:pos="2160"/>
        </w:tabs>
        <w:ind w:left="2160" w:hanging="2160"/>
      </w:pPr>
      <w:r w:rsidRPr="00242A30">
        <w:t>Attachment D-2: Prior MSD Intervention Studies</w:t>
      </w:r>
    </w:p>
    <w:p w:rsidR="00811A71" w:rsidRPr="00242A30" w:rsidRDefault="00811A71" w:rsidP="00B9590E">
      <w:pPr>
        <w:tabs>
          <w:tab w:val="left" w:pos="720"/>
          <w:tab w:val="left" w:pos="1440"/>
          <w:tab w:val="left" w:pos="2160"/>
        </w:tabs>
        <w:ind w:left="2160" w:hanging="2160"/>
      </w:pPr>
      <w:r w:rsidRPr="00242A30">
        <w:t>Attachment</w:t>
      </w:r>
      <w:r w:rsidR="00B577B5" w:rsidRPr="00242A30">
        <w:t xml:space="preserve"> E-1</w:t>
      </w:r>
      <w:r w:rsidRPr="00242A30">
        <w:t>:</w:t>
      </w:r>
      <w:r w:rsidR="00B577B5" w:rsidRPr="00242A30">
        <w:t xml:space="preserve"> OBWC</w:t>
      </w:r>
      <w:r w:rsidR="00242A30">
        <w:t xml:space="preserve"> </w:t>
      </w:r>
      <w:r w:rsidR="00B577B5" w:rsidRPr="00242A30">
        <w:t>- NIOSH Letter of Agreement.</w:t>
      </w:r>
    </w:p>
    <w:p w:rsidR="00811A71" w:rsidRPr="00242A30" w:rsidRDefault="00811A71" w:rsidP="00B9590E">
      <w:pPr>
        <w:tabs>
          <w:tab w:val="left" w:pos="720"/>
          <w:tab w:val="left" w:pos="1440"/>
          <w:tab w:val="left" w:pos="2160"/>
        </w:tabs>
        <w:ind w:left="2160" w:hanging="2160"/>
      </w:pPr>
      <w:r w:rsidRPr="00242A30">
        <w:t xml:space="preserve">Attachment </w:t>
      </w:r>
      <w:r w:rsidR="00B577B5" w:rsidRPr="00242A30">
        <w:t>E-2</w:t>
      </w:r>
      <w:r w:rsidRPr="00242A30">
        <w:t>:</w:t>
      </w:r>
      <w:r w:rsidR="00B577B5" w:rsidRPr="00242A30">
        <w:t xml:space="preserve"> Letter of Support from OBWC</w:t>
      </w:r>
    </w:p>
    <w:p w:rsidR="00811A71" w:rsidRPr="00242A30" w:rsidRDefault="00811A71" w:rsidP="00B9590E">
      <w:pPr>
        <w:tabs>
          <w:tab w:val="left" w:pos="720"/>
          <w:tab w:val="left" w:pos="1440"/>
          <w:tab w:val="left" w:pos="2160"/>
        </w:tabs>
        <w:ind w:left="2160" w:hanging="2160"/>
      </w:pPr>
      <w:r w:rsidRPr="00242A30">
        <w:lastRenderedPageBreak/>
        <w:t xml:space="preserve">Attachment </w:t>
      </w:r>
      <w:r w:rsidR="00B577B5" w:rsidRPr="00242A30">
        <w:t>E-3</w:t>
      </w:r>
      <w:r w:rsidRPr="00242A30">
        <w:t>:</w:t>
      </w:r>
      <w:r w:rsidR="00B577B5" w:rsidRPr="00242A30">
        <w:t xml:space="preserve"> Comparison of US and Ohio NAICS Codes</w:t>
      </w:r>
    </w:p>
    <w:p w:rsidR="00811A71" w:rsidRPr="00242A30" w:rsidRDefault="00811A71" w:rsidP="00B9590E">
      <w:pPr>
        <w:tabs>
          <w:tab w:val="left" w:pos="720"/>
          <w:tab w:val="left" w:pos="1440"/>
          <w:tab w:val="left" w:pos="2160"/>
        </w:tabs>
        <w:ind w:left="2160" w:hanging="2160"/>
      </w:pPr>
      <w:r w:rsidRPr="00242A30">
        <w:t>Attachment</w:t>
      </w:r>
      <w:r w:rsidR="0000728B" w:rsidRPr="00242A30">
        <w:t xml:space="preserve"> F</w:t>
      </w:r>
      <w:r w:rsidRPr="00242A30">
        <w:t>:</w:t>
      </w:r>
      <w:r w:rsidR="0000728B" w:rsidRPr="00242A30">
        <w:t xml:space="preserve"> Information Security Plan</w:t>
      </w:r>
    </w:p>
    <w:p w:rsidR="00811A71" w:rsidRPr="00242A30" w:rsidRDefault="00811A71" w:rsidP="00B9590E">
      <w:pPr>
        <w:tabs>
          <w:tab w:val="left" w:pos="720"/>
          <w:tab w:val="left" w:pos="1440"/>
          <w:tab w:val="left" w:pos="2160"/>
        </w:tabs>
        <w:ind w:left="2160" w:hanging="2160"/>
      </w:pPr>
      <w:r w:rsidRPr="00242A30">
        <w:t>Attachment</w:t>
      </w:r>
      <w:r w:rsidR="006504DE" w:rsidRPr="00242A30">
        <w:t xml:space="preserve"> G-1</w:t>
      </w:r>
      <w:r w:rsidRPr="00242A30">
        <w:t>:</w:t>
      </w:r>
      <w:r w:rsidR="006504DE" w:rsidRPr="00242A30">
        <w:t xml:space="preserve"> Informed Consent- Questionnaire Data Collection</w:t>
      </w:r>
    </w:p>
    <w:p w:rsidR="00811A71" w:rsidRPr="00242A30" w:rsidRDefault="00811A71" w:rsidP="00B9590E">
      <w:pPr>
        <w:tabs>
          <w:tab w:val="left" w:pos="720"/>
          <w:tab w:val="left" w:pos="1440"/>
          <w:tab w:val="left" w:pos="2160"/>
        </w:tabs>
        <w:ind w:left="2160" w:hanging="2160"/>
      </w:pPr>
      <w:r w:rsidRPr="00242A30">
        <w:t xml:space="preserve">Attachment </w:t>
      </w:r>
      <w:r w:rsidR="006504DE" w:rsidRPr="00242A30">
        <w:t>G-2</w:t>
      </w:r>
      <w:r w:rsidRPr="00242A30">
        <w:t>:</w:t>
      </w:r>
      <w:r w:rsidR="006504DE" w:rsidRPr="00242A30">
        <w:t xml:space="preserve"> Informed Consent- Low Back Functional Assessment</w:t>
      </w:r>
    </w:p>
    <w:p w:rsidR="00811A71" w:rsidRPr="00242A30" w:rsidRDefault="00811A71" w:rsidP="00B9590E">
      <w:pPr>
        <w:tabs>
          <w:tab w:val="left" w:pos="720"/>
          <w:tab w:val="left" w:pos="1440"/>
          <w:tab w:val="left" w:pos="2160"/>
        </w:tabs>
        <w:ind w:left="2160" w:hanging="2160"/>
      </w:pPr>
      <w:r w:rsidRPr="00242A30">
        <w:t xml:space="preserve">Attachment </w:t>
      </w:r>
      <w:r w:rsidR="004A30AE" w:rsidRPr="00242A30">
        <w:t>G-3</w:t>
      </w:r>
      <w:r w:rsidRPr="00242A30">
        <w:t>:</w:t>
      </w:r>
      <w:r w:rsidR="006504DE" w:rsidRPr="00242A30">
        <w:t xml:space="preserve"> </w:t>
      </w:r>
      <w:r w:rsidR="004A30AE" w:rsidRPr="00242A30">
        <w:t>Verbal Consent of Photographic Image Release</w:t>
      </w:r>
    </w:p>
    <w:p w:rsidR="00811A71" w:rsidRPr="00242A30" w:rsidRDefault="00811A71" w:rsidP="00B9590E">
      <w:pPr>
        <w:tabs>
          <w:tab w:val="left" w:pos="720"/>
          <w:tab w:val="left" w:pos="1440"/>
          <w:tab w:val="left" w:pos="2160"/>
        </w:tabs>
        <w:ind w:left="2160" w:hanging="2160"/>
      </w:pPr>
      <w:r w:rsidRPr="00242A30">
        <w:t>Attachment</w:t>
      </w:r>
      <w:r w:rsidR="004A30AE" w:rsidRPr="00242A30">
        <w:t xml:space="preserve"> H-1</w:t>
      </w:r>
      <w:r w:rsidRPr="00242A30">
        <w:t>:</w:t>
      </w:r>
      <w:r w:rsidR="004A30AE" w:rsidRPr="00242A30">
        <w:t xml:space="preserve"> Self-Reported Low Back Pain Questionnaire</w:t>
      </w:r>
    </w:p>
    <w:p w:rsidR="00811A71" w:rsidRPr="00242A30" w:rsidRDefault="00C762E7" w:rsidP="00B9590E">
      <w:pPr>
        <w:tabs>
          <w:tab w:val="left" w:pos="720"/>
          <w:tab w:val="left" w:pos="1440"/>
          <w:tab w:val="left" w:pos="2160"/>
        </w:tabs>
        <w:ind w:left="2160" w:hanging="2160"/>
      </w:pPr>
      <w:r w:rsidRPr="00242A30">
        <w:t>Attachment H-</w:t>
      </w:r>
      <w:r w:rsidR="000672D4" w:rsidRPr="00242A30">
        <w:t>2</w:t>
      </w:r>
      <w:r w:rsidRPr="00242A30">
        <w:t>:</w:t>
      </w:r>
      <w:r w:rsidR="000672D4" w:rsidRPr="00242A30">
        <w:t xml:space="preserve"> Self-Reported </w:t>
      </w:r>
      <w:r w:rsidR="00DE7C54">
        <w:t>Upper Extremity</w:t>
      </w:r>
      <w:r w:rsidR="000672D4" w:rsidRPr="00242A30">
        <w:t xml:space="preserve"> Pain Questionnaire</w:t>
      </w:r>
    </w:p>
    <w:p w:rsidR="00C762E7" w:rsidRPr="00242A30" w:rsidRDefault="00C762E7" w:rsidP="00B9590E">
      <w:pPr>
        <w:tabs>
          <w:tab w:val="left" w:pos="720"/>
          <w:tab w:val="left" w:pos="1440"/>
          <w:tab w:val="left" w:pos="2160"/>
        </w:tabs>
        <w:ind w:left="2160" w:hanging="2160"/>
      </w:pPr>
      <w:r w:rsidRPr="00242A30">
        <w:t>Attachment H-</w:t>
      </w:r>
      <w:r w:rsidR="000672D4" w:rsidRPr="00242A30">
        <w:t>3</w:t>
      </w:r>
      <w:r w:rsidRPr="00242A30">
        <w:t>:</w:t>
      </w:r>
      <w:r w:rsidR="000672D4" w:rsidRPr="00242A30">
        <w:t xml:space="preserve"> Self-Reported Specific Job Tasks and Safety Incidents Questionnaire</w:t>
      </w:r>
    </w:p>
    <w:p w:rsidR="00C762E7" w:rsidRPr="00242A30" w:rsidRDefault="00C762E7" w:rsidP="00B9590E">
      <w:pPr>
        <w:tabs>
          <w:tab w:val="left" w:pos="720"/>
          <w:tab w:val="left" w:pos="1440"/>
          <w:tab w:val="left" w:pos="2160"/>
        </w:tabs>
        <w:ind w:left="2160" w:hanging="2160"/>
      </w:pPr>
      <w:r w:rsidRPr="00242A30">
        <w:t>Attachment</w:t>
      </w:r>
      <w:r w:rsidR="00321421" w:rsidRPr="00242A30">
        <w:t xml:space="preserve"> H-4</w:t>
      </w:r>
      <w:r w:rsidRPr="00242A30">
        <w:t>:</w:t>
      </w:r>
      <w:r w:rsidR="00321421" w:rsidRPr="00242A30">
        <w:t xml:space="preserve"> Self-Reported General Work Environment and Health Questionnaire</w:t>
      </w:r>
    </w:p>
    <w:p w:rsidR="00C762E7" w:rsidRPr="00242A30" w:rsidRDefault="00C762E7" w:rsidP="00B9590E">
      <w:pPr>
        <w:tabs>
          <w:tab w:val="left" w:pos="720"/>
          <w:tab w:val="left" w:pos="1440"/>
          <w:tab w:val="left" w:pos="2160"/>
        </w:tabs>
        <w:ind w:left="2160" w:hanging="2160"/>
      </w:pPr>
      <w:r w:rsidRPr="00242A30">
        <w:t>Attachment H-</w:t>
      </w:r>
      <w:r w:rsidR="00321421" w:rsidRPr="00242A30">
        <w:t>5</w:t>
      </w:r>
      <w:r w:rsidRPr="00242A30">
        <w:t>:</w:t>
      </w:r>
      <w:r w:rsidR="00321421" w:rsidRPr="00242A30">
        <w:t xml:space="preserve"> Early Exit Interview</w:t>
      </w:r>
    </w:p>
    <w:p w:rsidR="00C762E7" w:rsidRPr="00242A30" w:rsidRDefault="00C762E7" w:rsidP="00B9590E">
      <w:pPr>
        <w:tabs>
          <w:tab w:val="left" w:pos="720"/>
          <w:tab w:val="left" w:pos="1440"/>
          <w:tab w:val="left" w:pos="2160"/>
        </w:tabs>
        <w:ind w:left="2160" w:hanging="2160"/>
      </w:pPr>
      <w:r w:rsidRPr="00242A30">
        <w:t xml:space="preserve">Attachment </w:t>
      </w:r>
      <w:r w:rsidR="00A51C4E" w:rsidRPr="00242A30">
        <w:t>I</w:t>
      </w:r>
      <w:r w:rsidRPr="00242A30">
        <w:t>:</w:t>
      </w:r>
      <w:r w:rsidR="00A51C4E" w:rsidRPr="00242A30">
        <w:t xml:space="preserve"> Low Back Functional Assessment</w:t>
      </w:r>
    </w:p>
    <w:p w:rsidR="00C762E7" w:rsidRPr="00242A30" w:rsidRDefault="00C762E7" w:rsidP="00B9590E">
      <w:pPr>
        <w:tabs>
          <w:tab w:val="left" w:pos="720"/>
          <w:tab w:val="left" w:pos="1440"/>
          <w:tab w:val="left" w:pos="2160"/>
        </w:tabs>
        <w:ind w:left="2160" w:hanging="2160"/>
      </w:pPr>
      <w:r w:rsidRPr="00242A30">
        <w:t>Attachment</w:t>
      </w:r>
      <w:r w:rsidR="00A51C4E" w:rsidRPr="00242A30">
        <w:t xml:space="preserve"> J</w:t>
      </w:r>
      <w:r w:rsidRPr="00242A30">
        <w:t>-1:</w:t>
      </w:r>
      <w:r w:rsidR="00A51C4E" w:rsidRPr="00242A30">
        <w:t xml:space="preserve"> Establishment Recruitment Flyer</w:t>
      </w:r>
    </w:p>
    <w:p w:rsidR="00C762E7" w:rsidRPr="00242A30" w:rsidRDefault="00C762E7" w:rsidP="00B9590E">
      <w:pPr>
        <w:tabs>
          <w:tab w:val="left" w:pos="720"/>
          <w:tab w:val="left" w:pos="1440"/>
          <w:tab w:val="left" w:pos="2160"/>
        </w:tabs>
        <w:ind w:left="2160" w:hanging="2160"/>
      </w:pPr>
      <w:r w:rsidRPr="00242A30">
        <w:t>Attachment</w:t>
      </w:r>
      <w:r w:rsidR="00A51C4E" w:rsidRPr="00242A30">
        <w:t xml:space="preserve"> J</w:t>
      </w:r>
      <w:r w:rsidRPr="00242A30">
        <w:t>-</w:t>
      </w:r>
      <w:r w:rsidR="007E1904" w:rsidRPr="00242A30">
        <w:t>2</w:t>
      </w:r>
      <w:r w:rsidRPr="00242A30">
        <w:t>:</w:t>
      </w:r>
      <w:r w:rsidR="007E1904" w:rsidRPr="00242A30">
        <w:t xml:space="preserve"> OBWC Safety Grants Application</w:t>
      </w:r>
    </w:p>
    <w:p w:rsidR="00A51C4E" w:rsidRPr="00242A30" w:rsidRDefault="00A51C4E" w:rsidP="00A51C4E">
      <w:pPr>
        <w:tabs>
          <w:tab w:val="left" w:pos="720"/>
          <w:tab w:val="left" w:pos="1440"/>
          <w:tab w:val="left" w:pos="2160"/>
        </w:tabs>
        <w:ind w:left="2160" w:hanging="2160"/>
      </w:pPr>
      <w:r w:rsidRPr="00242A30">
        <w:t>Attachment J-</w:t>
      </w:r>
      <w:r w:rsidR="007E1904" w:rsidRPr="00242A30">
        <w:t>3</w:t>
      </w:r>
      <w:r w:rsidRPr="00242A30">
        <w:t>:</w:t>
      </w:r>
      <w:r w:rsidR="007E1904" w:rsidRPr="00242A30">
        <w:t xml:space="preserve"> Volunteer Employee Responsibilities</w:t>
      </w:r>
    </w:p>
    <w:p w:rsidR="00A51C4E" w:rsidRPr="00242A30" w:rsidRDefault="00A51C4E" w:rsidP="00A51C4E">
      <w:pPr>
        <w:tabs>
          <w:tab w:val="left" w:pos="720"/>
          <w:tab w:val="left" w:pos="1440"/>
          <w:tab w:val="left" w:pos="2160"/>
        </w:tabs>
        <w:ind w:left="2160" w:hanging="2160"/>
      </w:pPr>
      <w:r w:rsidRPr="00242A30">
        <w:t>Attachment J-</w:t>
      </w:r>
      <w:r w:rsidR="00041A17" w:rsidRPr="00242A30">
        <w:t>4</w:t>
      </w:r>
      <w:r w:rsidRPr="00242A30">
        <w:t>:</w:t>
      </w:r>
      <w:r w:rsidR="00041A17" w:rsidRPr="00242A30">
        <w:t xml:space="preserve"> Individual Recruitment Flyer</w:t>
      </w:r>
    </w:p>
    <w:p w:rsidR="00A51C4E" w:rsidRPr="00242A30" w:rsidRDefault="00A51C4E" w:rsidP="00A51C4E">
      <w:pPr>
        <w:tabs>
          <w:tab w:val="left" w:pos="720"/>
          <w:tab w:val="left" w:pos="1440"/>
          <w:tab w:val="left" w:pos="2160"/>
        </w:tabs>
        <w:ind w:left="2160" w:hanging="2160"/>
      </w:pPr>
      <w:r w:rsidRPr="00242A30">
        <w:t xml:space="preserve">Attachment </w:t>
      </w:r>
      <w:r w:rsidR="00041A17" w:rsidRPr="00242A30">
        <w:t>K</w:t>
      </w:r>
      <w:r w:rsidRPr="00242A30">
        <w:t>:</w:t>
      </w:r>
      <w:r w:rsidR="00041A17" w:rsidRPr="00242A30">
        <w:t xml:space="preserve"> IRB approval for Data Collection</w:t>
      </w:r>
    </w:p>
    <w:p w:rsidR="00A51C4E" w:rsidRPr="00242A30" w:rsidRDefault="00A51C4E" w:rsidP="00A51C4E">
      <w:pPr>
        <w:tabs>
          <w:tab w:val="left" w:pos="720"/>
          <w:tab w:val="left" w:pos="1440"/>
          <w:tab w:val="left" w:pos="2160"/>
        </w:tabs>
        <w:ind w:left="2160" w:hanging="2160"/>
      </w:pPr>
      <w:r w:rsidRPr="00242A30">
        <w:t xml:space="preserve">Attachment </w:t>
      </w:r>
      <w:r w:rsidR="00041A17" w:rsidRPr="00242A30">
        <w:t>L</w:t>
      </w:r>
      <w:r w:rsidRPr="00242A30">
        <w:t>-1:</w:t>
      </w:r>
      <w:r w:rsidR="00041A17" w:rsidRPr="00242A30">
        <w:t xml:space="preserve"> Details of Interventions</w:t>
      </w:r>
    </w:p>
    <w:p w:rsidR="00041A17" w:rsidRPr="00C26F03" w:rsidRDefault="00041A17" w:rsidP="00A51C4E">
      <w:pPr>
        <w:tabs>
          <w:tab w:val="left" w:pos="720"/>
          <w:tab w:val="left" w:pos="1440"/>
          <w:tab w:val="left" w:pos="2160"/>
        </w:tabs>
        <w:ind w:left="2160" w:hanging="2160"/>
      </w:pPr>
      <w:r w:rsidRPr="00C26F03">
        <w:t>Attachment L</w:t>
      </w:r>
      <w:r w:rsidR="002873C6" w:rsidRPr="00C26F03">
        <w:t>-2</w:t>
      </w:r>
      <w:r w:rsidRPr="00C26F03">
        <w:t>:</w:t>
      </w:r>
      <w:r w:rsidR="002873C6" w:rsidRPr="00C26F03">
        <w:t xml:space="preserve"> MSD Intervention Study Design</w:t>
      </w:r>
    </w:p>
    <w:p w:rsidR="00041A17" w:rsidRPr="00C26F03" w:rsidRDefault="00041A17" w:rsidP="00A51C4E">
      <w:pPr>
        <w:tabs>
          <w:tab w:val="left" w:pos="720"/>
          <w:tab w:val="left" w:pos="1440"/>
          <w:tab w:val="left" w:pos="2160"/>
        </w:tabs>
        <w:ind w:left="2160" w:hanging="2160"/>
      </w:pPr>
      <w:r w:rsidRPr="00C26F03">
        <w:t>Attachment L-</w:t>
      </w:r>
      <w:r w:rsidR="002873C6" w:rsidRPr="00C26F03">
        <w:t>3</w:t>
      </w:r>
      <w:r w:rsidRPr="00C26F03">
        <w:t>:</w:t>
      </w:r>
      <w:r w:rsidR="002873C6" w:rsidRPr="00C26F03">
        <w:t xml:space="preserve"> Descriptions of Outcome Measures.</w:t>
      </w:r>
    </w:p>
    <w:p w:rsidR="00041A17" w:rsidRDefault="00041A17" w:rsidP="00A51C4E">
      <w:pPr>
        <w:tabs>
          <w:tab w:val="left" w:pos="720"/>
          <w:tab w:val="left" w:pos="1440"/>
          <w:tab w:val="left" w:pos="2160"/>
        </w:tabs>
        <w:ind w:left="2160" w:hanging="2160"/>
      </w:pPr>
      <w:r w:rsidRPr="00242A30">
        <w:t>Attachment L-</w:t>
      </w:r>
      <w:r w:rsidR="00242A30" w:rsidRPr="00242A30">
        <w:t>5</w:t>
      </w:r>
      <w:r w:rsidRPr="00242A30">
        <w:t>:</w:t>
      </w:r>
      <w:r w:rsidR="00242A30" w:rsidRPr="00242A30">
        <w:t xml:space="preserve"> Study Limitations</w:t>
      </w:r>
    </w:p>
    <w:p w:rsidR="00A51C4E" w:rsidRDefault="00A51C4E" w:rsidP="00B9590E">
      <w:pPr>
        <w:tabs>
          <w:tab w:val="left" w:pos="720"/>
          <w:tab w:val="left" w:pos="1440"/>
          <w:tab w:val="left" w:pos="2160"/>
        </w:tabs>
        <w:ind w:left="2160" w:hanging="2160"/>
      </w:pPr>
    </w:p>
    <w:p w:rsidR="00B9590E" w:rsidRPr="00F81BA5" w:rsidRDefault="00B9590E" w:rsidP="009E3D9F">
      <w:pPr>
        <w:tabs>
          <w:tab w:val="left" w:pos="720"/>
          <w:tab w:val="left" w:pos="1440"/>
          <w:tab w:val="left" w:pos="2160"/>
        </w:tabs>
        <w:ind w:left="2160" w:hanging="2160"/>
        <w:rPr>
          <w:bCs/>
        </w:rPr>
      </w:pPr>
      <w:r>
        <w:tab/>
      </w:r>
    </w:p>
    <w:p w:rsidR="0038553A" w:rsidRPr="00F81BA5" w:rsidRDefault="0038553A" w:rsidP="0038553A">
      <w:pPr>
        <w:rPr>
          <w:bCs/>
        </w:rPr>
      </w:pPr>
    </w:p>
    <w:p w:rsidR="0038553A" w:rsidRPr="00F81BA5" w:rsidRDefault="0038553A" w:rsidP="0038553A">
      <w:pPr>
        <w:tabs>
          <w:tab w:val="left" w:pos="720"/>
          <w:tab w:val="left" w:pos="1440"/>
          <w:tab w:val="left" w:pos="2160"/>
        </w:tabs>
        <w:ind w:left="2160" w:hanging="2160"/>
      </w:pPr>
    </w:p>
    <w:p w:rsidR="0038553A" w:rsidRPr="00F81BA5" w:rsidRDefault="0038553A" w:rsidP="0038553A">
      <w:pPr>
        <w:tabs>
          <w:tab w:val="left" w:pos="720"/>
          <w:tab w:val="left" w:pos="1440"/>
          <w:tab w:val="left" w:pos="2160"/>
        </w:tabs>
        <w:ind w:left="2160" w:hanging="2160"/>
      </w:pPr>
    </w:p>
    <w:p w:rsidR="0038553A" w:rsidRPr="00F81BA5" w:rsidRDefault="00691A38" w:rsidP="0038553A">
      <w:pPr>
        <w:tabs>
          <w:tab w:val="left" w:pos="720"/>
          <w:tab w:val="left" w:pos="1440"/>
          <w:tab w:val="left" w:pos="2160"/>
        </w:tabs>
        <w:ind w:left="2160" w:hanging="2160"/>
        <w:rPr>
          <w:bCs/>
        </w:rPr>
        <w:sectPr w:rsidR="0038553A" w:rsidRPr="00F81BA5" w:rsidSect="0038553A">
          <w:footerReference w:type="even" r:id="rId9"/>
          <w:footerReference w:type="default" r:id="rId10"/>
          <w:pgSz w:w="12240" w:h="15840"/>
          <w:pgMar w:top="1440" w:right="1800" w:bottom="1440" w:left="1800" w:header="720" w:footer="720" w:gutter="0"/>
          <w:cols w:space="720"/>
          <w:docGrid w:linePitch="360"/>
        </w:sectPr>
      </w:pPr>
      <w:r w:rsidRPr="00F81BA5">
        <w:br w:type="page"/>
      </w:r>
    </w:p>
    <w:p w:rsidR="0038553A" w:rsidRDefault="00FE6EB1" w:rsidP="00FE6EB1">
      <w:pPr>
        <w:jc w:val="center"/>
        <w:rPr>
          <w:b/>
          <w:sz w:val="32"/>
          <w:szCs w:val="32"/>
        </w:rPr>
      </w:pPr>
      <w:r w:rsidRPr="00FE6EB1">
        <w:rPr>
          <w:b/>
          <w:sz w:val="32"/>
          <w:szCs w:val="32"/>
        </w:rPr>
        <w:lastRenderedPageBreak/>
        <w:t>SECTION A. JUSTIFICATION</w:t>
      </w:r>
    </w:p>
    <w:p w:rsidR="00FE6EB1" w:rsidRPr="00FE6EB1" w:rsidRDefault="00FE6EB1" w:rsidP="00FE6EB1">
      <w:pPr>
        <w:jc w:val="center"/>
        <w:rPr>
          <w:b/>
          <w:sz w:val="32"/>
          <w:szCs w:val="32"/>
        </w:rPr>
      </w:pPr>
    </w:p>
    <w:p w:rsidR="0038553A" w:rsidRPr="00F70333" w:rsidRDefault="0038553A" w:rsidP="0038553A">
      <w:pPr>
        <w:pStyle w:val="Heading2"/>
        <w:rPr>
          <w:b w:val="0"/>
        </w:rPr>
      </w:pPr>
      <w:bookmarkStart w:id="0" w:name="_Toc239826773"/>
      <w:bookmarkStart w:id="1" w:name="_Toc248821740"/>
      <w:bookmarkStart w:id="2" w:name="_Toc261966284"/>
      <w:r w:rsidRPr="00F70333">
        <w:rPr>
          <w:b w:val="0"/>
        </w:rPr>
        <w:t>A1.</w:t>
      </w:r>
      <w:r w:rsidRPr="00F70333">
        <w:rPr>
          <w:b w:val="0"/>
        </w:rPr>
        <w:tab/>
        <w:t>Circumstances Making the Collection of Information Necessary</w:t>
      </w:r>
      <w:bookmarkEnd w:id="0"/>
      <w:bookmarkEnd w:id="1"/>
      <w:bookmarkEnd w:id="2"/>
    </w:p>
    <w:p w:rsidR="0038553A" w:rsidRPr="00F70333" w:rsidRDefault="0038553A" w:rsidP="0038553A">
      <w:pPr>
        <w:pStyle w:val="Heading3"/>
        <w:rPr>
          <w:b w:val="0"/>
          <w:u w:val="none"/>
        </w:rPr>
      </w:pPr>
      <w:bookmarkStart w:id="3" w:name="_Toc248224215"/>
      <w:r w:rsidRPr="00F70333">
        <w:rPr>
          <w:b w:val="0"/>
          <w:u w:val="none"/>
        </w:rPr>
        <w:t>Background</w:t>
      </w:r>
      <w:bookmarkEnd w:id="3"/>
    </w:p>
    <w:p w:rsidR="0038553A" w:rsidRPr="00F70333" w:rsidRDefault="0038553A" w:rsidP="0038553A"/>
    <w:p w:rsidR="00137A2C" w:rsidRPr="00F70333" w:rsidRDefault="0038553A" w:rsidP="0038553A">
      <w:r w:rsidRPr="00F70333">
        <w:t xml:space="preserve">This is a new information collection request </w:t>
      </w:r>
      <w:r w:rsidR="0053489A" w:rsidRPr="00F70333">
        <w:t xml:space="preserve">(ICR) </w:t>
      </w:r>
      <w:r w:rsidRPr="00F70333">
        <w:t>from the National Institute for Occupational Safety and Health (NIOSH), Centers for Disease Control and Prevention</w:t>
      </w:r>
      <w:r w:rsidR="005918EE" w:rsidRPr="00F70333">
        <w:t xml:space="preserve"> (CDC)</w:t>
      </w:r>
      <w:r w:rsidRPr="00F70333">
        <w:t xml:space="preserve">. </w:t>
      </w:r>
      <w:r w:rsidR="00137A2C" w:rsidRPr="00F70333">
        <w:t>This data collection is authorized by Section 20(a) (1) of the Occupational Safety and Health Act (29 U.S.C. 669) (</w:t>
      </w:r>
      <w:r w:rsidR="00137A2C" w:rsidRPr="00F70333">
        <w:rPr>
          <w:b/>
        </w:rPr>
        <w:t>Attachment A</w:t>
      </w:r>
      <w:r w:rsidR="00137A2C" w:rsidRPr="00F70333">
        <w:t>).</w:t>
      </w:r>
      <w:r w:rsidR="00725031" w:rsidRPr="00F70333">
        <w:t xml:space="preserve"> The 60-day Notice for this collection was published in the Federal Register on June 1, 2011, as required by 5 CFR 1320.8(d) (</w:t>
      </w:r>
      <w:r w:rsidR="00725031" w:rsidRPr="00F70333">
        <w:rPr>
          <w:b/>
        </w:rPr>
        <w:t>Attachment B)</w:t>
      </w:r>
      <w:r w:rsidR="00725031" w:rsidRPr="00F70333">
        <w:t>.</w:t>
      </w:r>
    </w:p>
    <w:p w:rsidR="00137A2C" w:rsidRPr="00F70333" w:rsidRDefault="00137A2C" w:rsidP="0038553A"/>
    <w:p w:rsidR="00FD162D" w:rsidRPr="00F70333" w:rsidRDefault="0038553A" w:rsidP="0038553A">
      <w:r w:rsidRPr="00F70333">
        <w:t>The proposed information collection will address the need</w:t>
      </w:r>
      <w:r w:rsidR="00725031" w:rsidRPr="00F70333">
        <w:t xml:space="preserve"> to</w:t>
      </w:r>
      <w:r w:rsidR="00725031" w:rsidRPr="00F70333">
        <w:rPr>
          <w:rFonts w:eastAsia="MS Mincho"/>
          <w:lang w:eastAsia="ja-JP"/>
        </w:rPr>
        <w:t xml:space="preserve"> assess the effectiveness of occupational safety and health (OSH) interventions for musculoskeletal disorders </w:t>
      </w:r>
      <w:r w:rsidR="00FD162D" w:rsidRPr="00F70333">
        <w:rPr>
          <w:rFonts w:eastAsia="MS Mincho"/>
          <w:lang w:eastAsia="ja-JP"/>
        </w:rPr>
        <w:t xml:space="preserve">(MSDs) </w:t>
      </w:r>
      <w:r w:rsidR="00725031" w:rsidRPr="00F70333">
        <w:rPr>
          <w:rFonts w:eastAsia="MS Mincho"/>
          <w:lang w:eastAsia="ja-JP"/>
        </w:rPr>
        <w:t xml:space="preserve">among wholesale/ retail trade </w:t>
      </w:r>
      <w:r w:rsidR="00FD162D" w:rsidRPr="00F70333">
        <w:rPr>
          <w:rFonts w:eastAsia="MS Mincho"/>
          <w:lang w:eastAsia="ja-JP"/>
        </w:rPr>
        <w:t xml:space="preserve">(WRT) </w:t>
      </w:r>
      <w:r w:rsidR="00725031" w:rsidRPr="00F70333">
        <w:rPr>
          <w:rFonts w:eastAsia="MS Mincho"/>
          <w:lang w:eastAsia="ja-JP"/>
        </w:rPr>
        <w:t>workers</w:t>
      </w:r>
      <w:r w:rsidR="00725031" w:rsidRPr="00F70333">
        <w:t xml:space="preserve">. </w:t>
      </w:r>
      <w:r w:rsidR="00304325" w:rsidRPr="00F70333">
        <w:t>This need is</w:t>
      </w:r>
      <w:r w:rsidR="005918EE" w:rsidRPr="00F70333">
        <w:t xml:space="preserve"> expressed </w:t>
      </w:r>
      <w:r w:rsidR="00304325" w:rsidRPr="00F70333">
        <w:t xml:space="preserve">in a number of </w:t>
      </w:r>
      <w:r w:rsidRPr="00F70333">
        <w:t>NIOSH Strategic Goal</w:t>
      </w:r>
      <w:r w:rsidR="00304325" w:rsidRPr="00F70333">
        <w:t xml:space="preserve">s </w:t>
      </w:r>
      <w:r w:rsidRPr="00F70333">
        <w:t>(</w:t>
      </w:r>
      <w:r w:rsidRPr="00F70333">
        <w:rPr>
          <w:b/>
        </w:rPr>
        <w:t>Attachment C</w:t>
      </w:r>
      <w:r w:rsidR="00304325" w:rsidRPr="00F70333">
        <w:t>).</w:t>
      </w:r>
      <w:r w:rsidR="00FD162D" w:rsidRPr="00F70333">
        <w:t xml:space="preserve"> </w:t>
      </w:r>
      <w:r w:rsidRPr="00F70333">
        <w:t xml:space="preserve">This study will provide current important information on the health and safety of </w:t>
      </w:r>
      <w:r w:rsidR="00FD162D" w:rsidRPr="00F70333">
        <w:t>WRT workers</w:t>
      </w:r>
      <w:r w:rsidRPr="00F70333">
        <w:t xml:space="preserve"> that is not available elsewhere. </w:t>
      </w:r>
      <w:r w:rsidR="00DE6E1A" w:rsidRPr="00F70333">
        <w:rPr>
          <w:rFonts w:eastAsia="MS Mincho"/>
          <w:lang w:eastAsia="ja-JP"/>
        </w:rPr>
        <w:t xml:space="preserve">This project is part of </w:t>
      </w:r>
      <w:r w:rsidR="00440224" w:rsidRPr="00F70333">
        <w:rPr>
          <w:rFonts w:eastAsia="MS Mincho"/>
          <w:lang w:eastAsia="ja-JP"/>
        </w:rPr>
        <w:t>the mission of CDC-NIOSH to conduct rigorous scientific intervention effectiveness research to support the evidenced</w:t>
      </w:r>
      <w:r w:rsidR="005215AC" w:rsidRPr="00F70333">
        <w:rPr>
          <w:rFonts w:eastAsia="MS Mincho"/>
          <w:lang w:eastAsia="ja-JP"/>
        </w:rPr>
        <w:t xml:space="preserve"> </w:t>
      </w:r>
      <w:r w:rsidR="00440224" w:rsidRPr="00F70333">
        <w:rPr>
          <w:rFonts w:eastAsia="MS Mincho"/>
          <w:lang w:eastAsia="ja-JP"/>
        </w:rPr>
        <w:t xml:space="preserve">based prevention of occupational injuries and illnesses. </w:t>
      </w:r>
      <w:r w:rsidR="00440224" w:rsidRPr="00F70333">
        <w:t xml:space="preserve">Additional information </w:t>
      </w:r>
      <w:r w:rsidR="0053489A" w:rsidRPr="00F70333">
        <w:t>on</w:t>
      </w:r>
      <w:r w:rsidR="00440224" w:rsidRPr="00F70333">
        <w:t xml:space="preserve"> how this project integrates into CDC’s broader research agenda is provided in </w:t>
      </w:r>
      <w:r w:rsidR="00440224" w:rsidRPr="00F70333">
        <w:rPr>
          <w:b/>
        </w:rPr>
        <w:t>Attachment D</w:t>
      </w:r>
      <w:r w:rsidR="008B0B4D" w:rsidRPr="00F70333">
        <w:rPr>
          <w:b/>
        </w:rPr>
        <w:t>-1</w:t>
      </w:r>
      <w:r w:rsidR="00440224" w:rsidRPr="00F70333">
        <w:t>.</w:t>
      </w:r>
    </w:p>
    <w:p w:rsidR="00FD162D" w:rsidRPr="00F70333" w:rsidRDefault="00FD162D" w:rsidP="0038553A"/>
    <w:p w:rsidR="00FD162D" w:rsidRPr="00F70333" w:rsidRDefault="00FD162D" w:rsidP="007255FD">
      <w:r w:rsidRPr="00F70333">
        <w:t xml:space="preserve">MSDs currently account for approximately </w:t>
      </w:r>
      <w:r w:rsidR="00957D98" w:rsidRPr="00F70333">
        <w:t>28</w:t>
      </w:r>
      <w:r w:rsidRPr="00F70333">
        <w:t xml:space="preserve">% of the total non-fatal injuries and illnesses </w:t>
      </w:r>
      <w:r w:rsidR="00957D98" w:rsidRPr="00F70333">
        <w:t xml:space="preserve">with days away from work or restricted duty (DAW) </w:t>
      </w:r>
      <w:r w:rsidRPr="00F70333">
        <w:t>in private industry (</w:t>
      </w:r>
      <w:r w:rsidR="00215BC5">
        <w:t xml:space="preserve">Bureau of Labor Statistics, </w:t>
      </w:r>
      <w:r w:rsidRPr="00F70333">
        <w:t xml:space="preserve">BLS, </w:t>
      </w:r>
      <w:r w:rsidR="00957D98" w:rsidRPr="00F70333">
        <w:t>2010</w:t>
      </w:r>
      <w:r w:rsidRPr="00F70333">
        <w:t>).  Liberty Mutual has estimated direct workers’ compensation costs to industry in the US in 200</w:t>
      </w:r>
      <w:r w:rsidR="00957D98" w:rsidRPr="00F70333">
        <w:t>8</w:t>
      </w:r>
      <w:r w:rsidRPr="00F70333">
        <w:t xml:space="preserve"> to be $5</w:t>
      </w:r>
      <w:r w:rsidR="00957D98" w:rsidRPr="00F70333">
        <w:t>3.4</w:t>
      </w:r>
      <w:r w:rsidRPr="00F70333">
        <w:t xml:space="preserve"> billion (up from $</w:t>
      </w:r>
      <w:r w:rsidR="00957D98" w:rsidRPr="00F70333">
        <w:t>48.6B in</w:t>
      </w:r>
      <w:r w:rsidRPr="00F70333">
        <w:t xml:space="preserve"> 2006), with $1</w:t>
      </w:r>
      <w:r w:rsidR="00957D98" w:rsidRPr="00F70333">
        <w:t>5.2</w:t>
      </w:r>
      <w:r w:rsidRPr="00F70333">
        <w:t xml:space="preserve"> billion </w:t>
      </w:r>
      <w:r w:rsidR="00957D98" w:rsidRPr="00F70333">
        <w:t xml:space="preserve">(28%) </w:t>
      </w:r>
      <w:r w:rsidRPr="00F70333">
        <w:t>attributed to MSDs ($1</w:t>
      </w:r>
      <w:r w:rsidR="00957D98" w:rsidRPr="00F70333">
        <w:t>3.4</w:t>
      </w:r>
      <w:r w:rsidRPr="00F70333">
        <w:t>B overexertion, $</w:t>
      </w:r>
      <w:r w:rsidR="00957D98" w:rsidRPr="00F70333">
        <w:t>1.8</w:t>
      </w:r>
      <w:r w:rsidRPr="00F70333">
        <w:t>B repetitive motion) (Liberty Mutual 20</w:t>
      </w:r>
      <w:r w:rsidR="00957D98" w:rsidRPr="00F70333">
        <w:t>10</w:t>
      </w:r>
      <w:r w:rsidRPr="00F70333">
        <w:t xml:space="preserve"> Safety Index). </w:t>
      </w:r>
      <w:r w:rsidR="007255FD" w:rsidRPr="00F70333">
        <w:t>The wholesale and retail trade (WRT) sector employs over 21 million workers, or nearly 19% of the annual average employment in private industry (Anderson, 201</w:t>
      </w:r>
      <w:r w:rsidR="00A96A72" w:rsidRPr="00F70333">
        <w:t>0</w:t>
      </w:r>
      <w:r w:rsidR="007255FD" w:rsidRPr="00F70333">
        <w:t xml:space="preserve">). </w:t>
      </w:r>
      <w:r w:rsidRPr="00F70333">
        <w:t xml:space="preserve">MSDs also currently account for </w:t>
      </w:r>
      <w:r w:rsidR="00957D98" w:rsidRPr="00F70333">
        <w:t>28</w:t>
      </w:r>
      <w:r w:rsidRPr="00F70333">
        <w:t>% of the total non-fatal injuries and illne</w:t>
      </w:r>
      <w:r w:rsidR="00957D98" w:rsidRPr="00F70333">
        <w:t>sses in the WRT sector (BLS, 2010</w:t>
      </w:r>
      <w:r w:rsidRPr="00F70333">
        <w:t>).  Among all sectors, the WRT sector has some of the highest rates of MSDs involving days away from work (DAW). For example, wholesale trade and retail trade rank 3</w:t>
      </w:r>
      <w:r w:rsidRPr="00F70333">
        <w:rPr>
          <w:vertAlign w:val="superscript"/>
        </w:rPr>
        <w:t>rd</w:t>
      </w:r>
      <w:r w:rsidRPr="00F70333">
        <w:t xml:space="preserve"> and 4</w:t>
      </w:r>
      <w:r w:rsidRPr="00F70333">
        <w:rPr>
          <w:vertAlign w:val="superscript"/>
        </w:rPr>
        <w:t>th</w:t>
      </w:r>
      <w:r w:rsidRPr="00F70333">
        <w:t xml:space="preserve"> among all sectors with respective rates of 42.7 and 42.5 MSD DAW cases per 10,000 FTE. Of MSD DAW cases in the WRT sector in 2006, the vast majority (67,250 cases, ~91%) were cases where the event or exposure was overexertion (e.g. during material handling) versus repetitive motion (6,640 cases, ~9%). </w:t>
      </w:r>
      <w:r w:rsidR="0023634D">
        <w:t xml:space="preserve">Since the majority of MSDs in WRT are related to </w:t>
      </w:r>
      <w:r w:rsidR="0023634D" w:rsidRPr="001F1A11">
        <w:t xml:space="preserve">overexertion, identifying effective controls to reduce these types of outcomes is an important step to </w:t>
      </w:r>
      <w:r w:rsidRPr="001F1A11">
        <w:t>redu</w:t>
      </w:r>
      <w:r w:rsidR="001A754C" w:rsidRPr="001F1A11">
        <w:t xml:space="preserve">ce </w:t>
      </w:r>
      <w:r w:rsidRPr="001F1A11">
        <w:t>the overall injury/ illness burden in the WRT sector.</w:t>
      </w:r>
      <w:r w:rsidRPr="00F70333">
        <w:t xml:space="preserve"> </w:t>
      </w:r>
    </w:p>
    <w:p w:rsidR="00FD162D" w:rsidRPr="00F70333" w:rsidRDefault="00FD162D" w:rsidP="00FD162D">
      <w:pPr>
        <w:autoSpaceDE w:val="0"/>
        <w:autoSpaceDN w:val="0"/>
        <w:adjustRightInd w:val="0"/>
      </w:pPr>
    </w:p>
    <w:p w:rsidR="000B6B56" w:rsidRPr="00F70333" w:rsidRDefault="00FD162D" w:rsidP="000B6B56">
      <w:r w:rsidRPr="00F70333">
        <w:t xml:space="preserve">Studies indicate that </w:t>
      </w:r>
      <w:r w:rsidR="007444DB" w:rsidRPr="00F70333">
        <w:t xml:space="preserve">overexertion MSDs are primarily </w:t>
      </w:r>
      <w:r w:rsidRPr="00F70333">
        <w:t xml:space="preserve">caused by physical risk factors associated with manual material handling (MMH), including high task repetition, excessive biomechanical loading on body joints, and awkward body postures (Kumar </w:t>
      </w:r>
      <w:r w:rsidRPr="00F70333">
        <w:lastRenderedPageBreak/>
        <w:t>2001).  It has also been indicated that combined exposure to multiple risk factors (versus single physical risk factors) produce the most adverse health effects (</w:t>
      </w:r>
      <w:proofErr w:type="spellStart"/>
      <w:r w:rsidRPr="00F70333">
        <w:t>Marras</w:t>
      </w:r>
      <w:proofErr w:type="spellEnd"/>
      <w:r w:rsidRPr="00F70333">
        <w:t xml:space="preserve"> 2000).  For example, repetitive and heavy manual lifting in awkward postures have been found to be major risk factors for low back disorders in many studies (Waters et al., 1993; Waters et al., 1998; </w:t>
      </w:r>
      <w:proofErr w:type="spellStart"/>
      <w:r w:rsidRPr="00F70333">
        <w:t>Marras</w:t>
      </w:r>
      <w:proofErr w:type="spellEnd"/>
      <w:r w:rsidRPr="00F70333">
        <w:t xml:space="preserve"> et al., 1995;</w:t>
      </w:r>
      <w:r w:rsidRPr="00F70333">
        <w:rPr>
          <w:rStyle w:val="RefList"/>
          <w:bCs/>
        </w:rPr>
        <w:t xml:space="preserve"> </w:t>
      </w:r>
      <w:proofErr w:type="spellStart"/>
      <w:r w:rsidRPr="00F70333">
        <w:rPr>
          <w:rStyle w:val="RefList"/>
          <w:bCs/>
        </w:rPr>
        <w:t>Westgaard</w:t>
      </w:r>
      <w:proofErr w:type="spellEnd"/>
      <w:r w:rsidRPr="00F70333">
        <w:rPr>
          <w:rStyle w:val="RefList"/>
          <w:bCs/>
        </w:rPr>
        <w:t xml:space="preserve"> et al., 1996; </w:t>
      </w:r>
      <w:r w:rsidRPr="00F70333">
        <w:t xml:space="preserve">NIOSH 1997; </w:t>
      </w:r>
      <w:proofErr w:type="spellStart"/>
      <w:r w:rsidRPr="00F70333">
        <w:t>Gagono</w:t>
      </w:r>
      <w:proofErr w:type="spellEnd"/>
      <w:r w:rsidRPr="00F70333">
        <w:t xml:space="preserve"> et al., 2000).  Although it is proposed that primary prevention interventions designed to reduce the multiple risk factors involved in MMH (high force, awkward postures, task repetition) will reduce future overexertion MSDs, relatively few true experimental studies have been conducted to test this hypothesis. Most MSD intervention effectiveness studies have been quasi-experimental (e.g. pre- and post- intervention studies without control groups or randomization).</w:t>
      </w:r>
      <w:r w:rsidR="00562603" w:rsidRPr="00F70333">
        <w:t xml:space="preserve"> </w:t>
      </w:r>
      <w:r w:rsidRPr="00F70333">
        <w:t xml:space="preserve"> Those studies that have focused on the effectiveness of MSD engineering controls alone have tended to focus on short term workload assessments as outcomes rather than MSD symptoms/ cases and have been mixed in quality and findings (van der </w:t>
      </w:r>
      <w:proofErr w:type="spellStart"/>
      <w:r w:rsidRPr="00F70333">
        <w:t>Molen</w:t>
      </w:r>
      <w:proofErr w:type="spellEnd"/>
      <w:r w:rsidRPr="00F70333">
        <w:t xml:space="preserve"> et al 2005).</w:t>
      </w:r>
      <w:r w:rsidR="00562603" w:rsidRPr="00F70333">
        <w:t xml:space="preserve"> </w:t>
      </w:r>
      <w:r w:rsidR="00C97831" w:rsidRPr="00F70333">
        <w:t>For example, several recent literature reviews (</w:t>
      </w:r>
      <w:proofErr w:type="spellStart"/>
      <w:r w:rsidR="00C97831" w:rsidRPr="00F70333">
        <w:t>Bigos</w:t>
      </w:r>
      <w:proofErr w:type="spellEnd"/>
      <w:r w:rsidR="00C97831" w:rsidRPr="00F70333">
        <w:t xml:space="preserve"> et al. 2009; van </w:t>
      </w:r>
      <w:proofErr w:type="spellStart"/>
      <w:r w:rsidR="00C97831" w:rsidRPr="00F70333">
        <w:t>Duijvenbode</w:t>
      </w:r>
      <w:proofErr w:type="spellEnd"/>
      <w:r w:rsidR="00C97831" w:rsidRPr="00F70333">
        <w:t xml:space="preserve"> et al 2009; </w:t>
      </w:r>
      <w:proofErr w:type="spellStart"/>
      <w:r w:rsidR="00C97831" w:rsidRPr="00F70333">
        <w:t>Sahar</w:t>
      </w:r>
      <w:proofErr w:type="spellEnd"/>
      <w:r w:rsidR="00C97831" w:rsidRPr="00F70333">
        <w:t xml:space="preserve"> et al 2009; </w:t>
      </w:r>
      <w:proofErr w:type="spellStart"/>
      <w:r w:rsidR="00C97831" w:rsidRPr="00F70333">
        <w:t>Tveito</w:t>
      </w:r>
      <w:proofErr w:type="spellEnd"/>
      <w:r w:rsidR="00C97831" w:rsidRPr="00F70333">
        <w:t xml:space="preserve"> et al 2004) found few high-quality studies to support the efficacy of engineering ergonomic interventions designed to reduce low back pain. </w:t>
      </w:r>
      <w:r w:rsidR="00562603" w:rsidRPr="00F70333">
        <w:t xml:space="preserve">See </w:t>
      </w:r>
      <w:r w:rsidR="00562603" w:rsidRPr="00F70333">
        <w:rPr>
          <w:b/>
        </w:rPr>
        <w:t xml:space="preserve">Attachment </w:t>
      </w:r>
      <w:r w:rsidR="008B0B4D" w:rsidRPr="00F70333">
        <w:rPr>
          <w:b/>
        </w:rPr>
        <w:t>D</w:t>
      </w:r>
      <w:r w:rsidR="00DE7509" w:rsidRPr="00F70333">
        <w:rPr>
          <w:b/>
        </w:rPr>
        <w:t>-2</w:t>
      </w:r>
      <w:r w:rsidR="008B0B4D" w:rsidRPr="00F70333">
        <w:rPr>
          <w:b/>
        </w:rPr>
        <w:t xml:space="preserve"> </w:t>
      </w:r>
      <w:r w:rsidR="000B6B56" w:rsidRPr="00F70333">
        <w:t xml:space="preserve">for additional information on prior MSD intervention studies. </w:t>
      </w:r>
      <w:r w:rsidR="00562603" w:rsidRPr="00F70333">
        <w:t xml:space="preserve"> </w:t>
      </w:r>
    </w:p>
    <w:p w:rsidR="000B6B56" w:rsidRPr="00F70333" w:rsidRDefault="000B6B56" w:rsidP="00562603">
      <w:pPr>
        <w:autoSpaceDE w:val="0"/>
        <w:autoSpaceDN w:val="0"/>
        <w:adjustRightInd w:val="0"/>
      </w:pPr>
    </w:p>
    <w:p w:rsidR="00411D7A" w:rsidRPr="00F70333" w:rsidRDefault="000B6B56" w:rsidP="00562603">
      <w:pPr>
        <w:autoSpaceDE w:val="0"/>
        <w:autoSpaceDN w:val="0"/>
        <w:adjustRightInd w:val="0"/>
      </w:pPr>
      <w:r w:rsidRPr="00F70333">
        <w:rPr>
          <w:color w:val="231F20"/>
        </w:rPr>
        <w:t>C</w:t>
      </w:r>
      <w:r w:rsidR="007444DB" w:rsidRPr="00F70333">
        <w:rPr>
          <w:color w:val="231F20"/>
        </w:rPr>
        <w:t xml:space="preserve">learly there is a need to conduct rigorous experimental research to define further the effectiveness of MSD control interventions. </w:t>
      </w:r>
      <w:r w:rsidR="007444DB" w:rsidRPr="00F70333">
        <w:rPr>
          <w:rFonts w:eastAsia="MS Mincho"/>
          <w:lang w:eastAsia="ja-JP"/>
        </w:rPr>
        <w:t>A renewed partnership between</w:t>
      </w:r>
      <w:r w:rsidR="0004538C" w:rsidRPr="00F70333">
        <w:rPr>
          <w:rFonts w:eastAsia="MS Mincho"/>
          <w:lang w:eastAsia="ja-JP"/>
        </w:rPr>
        <w:t xml:space="preserve"> NIOSH and</w:t>
      </w:r>
      <w:r w:rsidR="007444DB" w:rsidRPr="00F70333">
        <w:rPr>
          <w:rFonts w:eastAsia="MS Mincho"/>
          <w:lang w:eastAsia="ja-JP"/>
        </w:rPr>
        <w:t xml:space="preserve"> </w:t>
      </w:r>
      <w:r w:rsidR="007444DB" w:rsidRPr="00F70333">
        <w:rPr>
          <w:rFonts w:eastAsia="MS Mincho"/>
        </w:rPr>
        <w:t xml:space="preserve">the </w:t>
      </w:r>
      <w:r w:rsidR="007444DB" w:rsidRPr="00F70333">
        <w:rPr>
          <w:color w:val="231F20"/>
        </w:rPr>
        <w:t>Ohio Bureau of Workers Compensation</w:t>
      </w:r>
      <w:r w:rsidR="007444DB" w:rsidRPr="00F70333">
        <w:rPr>
          <w:rFonts w:eastAsia="MS Mincho"/>
        </w:rPr>
        <w:t xml:space="preserve"> (OBWC)</w:t>
      </w:r>
      <w:r w:rsidR="007444DB" w:rsidRPr="00F70333">
        <w:rPr>
          <w:rFonts w:eastAsia="MS Mincho"/>
          <w:lang w:eastAsia="ja-JP"/>
        </w:rPr>
        <w:t xml:space="preserve"> </w:t>
      </w:r>
      <w:r w:rsidR="007444DB" w:rsidRPr="00F70333">
        <w:t xml:space="preserve">provides a timely opportunity to conduct such research in a relevant, efficient, and impactful manner. </w:t>
      </w:r>
      <w:r w:rsidR="00411D7A" w:rsidRPr="00F70333">
        <w:rPr>
          <w:rFonts w:eastAsia="MS Mincho"/>
          <w:lang w:eastAsia="ja-JP"/>
        </w:rPr>
        <w:t xml:space="preserve">Although several researchers have published studies using OBWC data in the past, OBWC and NIOSH have recently </w:t>
      </w:r>
      <w:r w:rsidR="0053489A" w:rsidRPr="00F70333">
        <w:rPr>
          <w:rFonts w:eastAsia="MS Mincho"/>
          <w:lang w:eastAsia="ja-JP"/>
        </w:rPr>
        <w:t>d</w:t>
      </w:r>
      <w:r w:rsidR="00411D7A" w:rsidRPr="00F70333">
        <w:rPr>
          <w:rFonts w:eastAsia="MS Mincho"/>
          <w:lang w:eastAsia="ja-JP"/>
        </w:rPr>
        <w:t>evelop</w:t>
      </w:r>
      <w:r w:rsidR="0053489A" w:rsidRPr="00F70333">
        <w:rPr>
          <w:rFonts w:eastAsia="MS Mincho"/>
          <w:lang w:eastAsia="ja-JP"/>
        </w:rPr>
        <w:t>ed</w:t>
      </w:r>
      <w:r w:rsidR="00411D7A" w:rsidRPr="00F70333">
        <w:rPr>
          <w:rFonts w:eastAsia="MS Mincho"/>
          <w:lang w:eastAsia="ja-JP"/>
        </w:rPr>
        <w:t xml:space="preserve"> a formal agreement </w:t>
      </w:r>
      <w:r w:rsidR="0053489A" w:rsidRPr="00F70333">
        <w:rPr>
          <w:rFonts w:eastAsia="MS Mincho"/>
          <w:lang w:eastAsia="ja-JP"/>
        </w:rPr>
        <w:t>(</w:t>
      </w:r>
      <w:r w:rsidR="0053489A" w:rsidRPr="00F70333">
        <w:rPr>
          <w:rFonts w:eastAsia="MS Mincho"/>
          <w:b/>
          <w:lang w:eastAsia="ja-JP"/>
        </w:rPr>
        <w:t>Attachment E</w:t>
      </w:r>
      <w:r w:rsidR="00DE7509" w:rsidRPr="00F70333">
        <w:rPr>
          <w:rFonts w:eastAsia="MS Mincho"/>
          <w:b/>
          <w:lang w:eastAsia="ja-JP"/>
        </w:rPr>
        <w:t>-1</w:t>
      </w:r>
      <w:r w:rsidR="0053489A" w:rsidRPr="00F70333">
        <w:rPr>
          <w:rFonts w:eastAsia="MS Mincho"/>
          <w:lang w:eastAsia="ja-JP"/>
        </w:rPr>
        <w:t xml:space="preserve">) </w:t>
      </w:r>
      <w:r w:rsidR="00411D7A" w:rsidRPr="00F70333">
        <w:rPr>
          <w:rFonts w:eastAsia="MS Mincho"/>
          <w:lang w:eastAsia="ja-JP"/>
        </w:rPr>
        <w:t xml:space="preserve">to collaborate on a number of research goals, including descriptive WC data analyses, evaluation of prior OBWC-sponsored programs, and prospective intervention research. OBWC has many strengths as a potential research partner, including its size (approximately 250,000 insured establishments), diversity of industry that is largely representative of the larger US in both industry classification </w:t>
      </w:r>
      <w:r w:rsidR="0031461A">
        <w:rPr>
          <w:rFonts w:eastAsia="MS Mincho"/>
          <w:lang w:eastAsia="ja-JP"/>
        </w:rPr>
        <w:t>[</w:t>
      </w:r>
      <w:r w:rsidR="00411D7A" w:rsidRPr="00F70333">
        <w:rPr>
          <w:rFonts w:eastAsia="MS Mincho"/>
          <w:lang w:eastAsia="ja-JP"/>
        </w:rPr>
        <w:t xml:space="preserve">both general 2-digit </w:t>
      </w:r>
      <w:r w:rsidR="0031461A">
        <w:rPr>
          <w:rFonts w:eastAsia="MS Mincho"/>
          <w:lang w:eastAsia="ja-JP"/>
        </w:rPr>
        <w:t>North American Industry Classification System (</w:t>
      </w:r>
      <w:r w:rsidR="00411D7A" w:rsidRPr="00F70333">
        <w:rPr>
          <w:rFonts w:eastAsia="MS Mincho"/>
          <w:lang w:eastAsia="ja-JP"/>
        </w:rPr>
        <w:t>NAICS</w:t>
      </w:r>
      <w:r w:rsidR="0031461A">
        <w:rPr>
          <w:rFonts w:eastAsia="MS Mincho"/>
          <w:lang w:eastAsia="ja-JP"/>
        </w:rPr>
        <w:t>)</w:t>
      </w:r>
      <w:r w:rsidR="00411D7A" w:rsidRPr="00F70333">
        <w:rPr>
          <w:rFonts w:eastAsia="MS Mincho"/>
          <w:lang w:eastAsia="ja-JP"/>
        </w:rPr>
        <w:t xml:space="preserve"> and WRT sub sectors</w:t>
      </w:r>
      <w:r w:rsidR="0031461A">
        <w:rPr>
          <w:rFonts w:eastAsia="MS Mincho"/>
          <w:lang w:eastAsia="ja-JP"/>
        </w:rPr>
        <w:t>]</w:t>
      </w:r>
      <w:r w:rsidR="00411D7A" w:rsidRPr="00F70333">
        <w:rPr>
          <w:rFonts w:eastAsia="MS Mincho"/>
          <w:lang w:eastAsia="ja-JP"/>
        </w:rPr>
        <w:t xml:space="preserve"> and establishment size distribution (</w:t>
      </w:r>
      <w:r w:rsidR="00411D7A" w:rsidRPr="00F70333">
        <w:rPr>
          <w:rFonts w:eastAsia="MS Mincho"/>
          <w:b/>
          <w:lang w:eastAsia="ja-JP"/>
        </w:rPr>
        <w:t>A</w:t>
      </w:r>
      <w:r w:rsidR="007444DB" w:rsidRPr="00F70333">
        <w:rPr>
          <w:rFonts w:eastAsia="MS Mincho"/>
          <w:b/>
          <w:lang w:eastAsia="ja-JP"/>
        </w:rPr>
        <w:t xml:space="preserve">ttachment </w:t>
      </w:r>
      <w:r w:rsidR="00DE7509" w:rsidRPr="00F70333">
        <w:rPr>
          <w:rFonts w:eastAsia="MS Mincho"/>
          <w:b/>
          <w:lang w:eastAsia="ja-JP"/>
        </w:rPr>
        <w:t>E-</w:t>
      </w:r>
      <w:r w:rsidR="008528F0" w:rsidRPr="00F70333">
        <w:rPr>
          <w:rFonts w:eastAsia="MS Mincho"/>
          <w:b/>
          <w:lang w:eastAsia="ja-JP"/>
        </w:rPr>
        <w:t>3</w:t>
      </w:r>
      <w:r w:rsidR="00411D7A" w:rsidRPr="00F70333">
        <w:rPr>
          <w:rFonts w:eastAsia="MS Mincho"/>
          <w:lang w:eastAsia="ja-JP"/>
        </w:rPr>
        <w:t>), geographical proximity to the Cincinnati, OH and Morgantown, WV locations of NIOSH, and perhaps most importantly, their active engagement in intervention research. OBWC represents an ideal</w:t>
      </w:r>
      <w:r w:rsidR="00D352E8" w:rsidRPr="00F70333">
        <w:rPr>
          <w:rFonts w:eastAsia="MS Mincho"/>
          <w:lang w:eastAsia="ja-JP"/>
        </w:rPr>
        <w:t xml:space="preserve"> translational research </w:t>
      </w:r>
      <w:r w:rsidR="00411D7A" w:rsidRPr="00F70333">
        <w:rPr>
          <w:rFonts w:eastAsia="MS Mincho"/>
          <w:lang w:eastAsia="ja-JP"/>
        </w:rPr>
        <w:t xml:space="preserve">partner. OBWC is an extremely pro-active workers compensation insurance carrier that spends millions of dollars annually supporting many programs to encourage insured companies to improve their primary through tertiary </w:t>
      </w:r>
      <w:smartTag w:uri="urn:schemas-microsoft-com:office:smarttags" w:element="place">
        <w:smartTag w:uri="urn:schemas-microsoft-com:office:smarttags" w:element="City">
          <w:r w:rsidR="00411D7A" w:rsidRPr="00F70333">
            <w:rPr>
              <w:rFonts w:eastAsia="MS Mincho"/>
              <w:lang w:eastAsia="ja-JP"/>
            </w:rPr>
            <w:t>OSH</w:t>
          </w:r>
        </w:smartTag>
      </w:smartTag>
      <w:r w:rsidR="00411D7A" w:rsidRPr="00F70333">
        <w:rPr>
          <w:rFonts w:eastAsia="MS Mincho"/>
          <w:lang w:eastAsia="ja-JP"/>
        </w:rPr>
        <w:t xml:space="preserve"> prevention programs. For example, in </w:t>
      </w:r>
      <w:r w:rsidR="00411D7A" w:rsidRPr="00F70333">
        <w:t xml:space="preserve">1999 OBWC initiated a program known as “Safety Grants” to provide matching funds to insured employers to put into place </w:t>
      </w:r>
      <w:smartTag w:uri="urn:schemas-microsoft-com:office:smarttags" w:element="place">
        <w:smartTag w:uri="urn:schemas-microsoft-com:office:smarttags" w:element="City">
          <w:r w:rsidR="00411D7A" w:rsidRPr="00F70333">
            <w:t>OSH</w:t>
          </w:r>
        </w:smartTag>
      </w:smartTag>
      <w:r w:rsidR="00411D7A" w:rsidRPr="00F70333">
        <w:t xml:space="preserve"> controls and measure effectiveness. From 1999 to 2009, this was a </w:t>
      </w:r>
      <w:r w:rsidR="0004538C" w:rsidRPr="00F70333">
        <w:t>3</w:t>
      </w:r>
      <w:r w:rsidR="00411D7A" w:rsidRPr="00F70333">
        <w:t>-1 (OBWC to employer) matching with up to $40,000 per grant. Over the history of the program, OBWC has provided over 1,500 Safety Grants (111 in the WRT sector), with approximately 100 grants implem</w:t>
      </w:r>
      <w:r w:rsidR="0004538C" w:rsidRPr="00F70333">
        <w:t>ented per year and a total of $3</w:t>
      </w:r>
      <w:r w:rsidR="00411D7A" w:rsidRPr="00F70333">
        <w:t xml:space="preserve"> million annually in matching funds. As with all OBWC programs, insured companies are encouraged to participate and submit grant applications. Initial ideas for feasible controls often originate during field consultation visits by OBWC loss control staff (safety, ergonomics, and industrial hygiene specialists) while working directly with the personnel </w:t>
      </w:r>
      <w:r w:rsidR="00411D7A" w:rsidRPr="00F70333">
        <w:lastRenderedPageBreak/>
        <w:t xml:space="preserve">of insured companies. Occasionally, OBWC targets specific industries with interventions. For example, OBWC targeted nursing homes because of high MSD rates and the presence of feasible control options (patient handling devices and practices). To receive the grant, OBWC requires that companies participate in onsite evaluations to document before and after workplace changes and provide 2 years of follow-up data. A number of completed Safety Grant projects (~15%) are shared as “best practices” for various sectors (including WRT) through the OBWC website. </w:t>
      </w:r>
    </w:p>
    <w:p w:rsidR="00411D7A" w:rsidRPr="00F70333" w:rsidRDefault="00411D7A" w:rsidP="00411D7A"/>
    <w:p w:rsidR="00411D7A" w:rsidRPr="00F70333" w:rsidRDefault="00411D7A" w:rsidP="00411D7A">
      <w:r w:rsidRPr="00F70333">
        <w:t>In summary, OBWC has years of experience in developing, implementing, evaluating, and disseminating OSH controls with clients and has in effect conducted 1,500 quasi experimental intervention studies. Although OBWC has actively engaged in prevention research, the organization is dedicated to demonstrating the effectiveness of their various programs using the most scientifically rigorous methods possible. For this reason, OBWC is eager to collaborate wi</w:t>
      </w:r>
      <w:r w:rsidRPr="00F70333">
        <w:rPr>
          <w:rFonts w:eastAsia="MS Mincho"/>
          <w:lang w:eastAsia="ja-JP"/>
        </w:rPr>
        <w:t>th NIOSH on a number of research project</w:t>
      </w:r>
      <w:r w:rsidR="00D352E8" w:rsidRPr="00F70333">
        <w:rPr>
          <w:rFonts w:eastAsia="MS Mincho"/>
          <w:lang w:eastAsia="ja-JP"/>
        </w:rPr>
        <w:t>s including this MSD intervention research study</w:t>
      </w:r>
      <w:r w:rsidRPr="00F70333">
        <w:rPr>
          <w:lang w:eastAsia="ja-JP"/>
        </w:rPr>
        <w:t xml:space="preserve">. In this way, evidence based practices can be shared with the greatest audience possible and </w:t>
      </w:r>
      <w:r w:rsidRPr="00F70333">
        <w:rPr>
          <w:rFonts w:eastAsia="MS Mincho"/>
          <w:lang w:eastAsia="ja-JP"/>
        </w:rPr>
        <w:t xml:space="preserve">OBWC can efficiently allocate their own resources among program alternatives that range widely from primary prevention to disability management. </w:t>
      </w:r>
    </w:p>
    <w:p w:rsidR="005F3E34" w:rsidRPr="00F70333" w:rsidRDefault="005F3E34" w:rsidP="00FD162D">
      <w:pPr>
        <w:rPr>
          <w:color w:val="231F20"/>
        </w:rPr>
      </w:pPr>
    </w:p>
    <w:p w:rsidR="00883D81" w:rsidRPr="00F70333" w:rsidRDefault="00D117B8" w:rsidP="00883D81">
      <w:pPr>
        <w:rPr>
          <w:bCs/>
          <w:iCs/>
        </w:rPr>
      </w:pPr>
      <w:r w:rsidRPr="00F70333">
        <w:rPr>
          <w:rFonts w:eastAsia="MS Mincho"/>
        </w:rPr>
        <w:t>F</w:t>
      </w:r>
      <w:r w:rsidR="005F3E34" w:rsidRPr="00F70333">
        <w:rPr>
          <w:rFonts w:eastAsia="MS Mincho"/>
        </w:rPr>
        <w:t>or the current study</w:t>
      </w:r>
      <w:r w:rsidRPr="00F70333">
        <w:rPr>
          <w:rFonts w:eastAsia="MS Mincho"/>
        </w:rPr>
        <w:t xml:space="preserve">, NIOSH and the </w:t>
      </w:r>
      <w:r w:rsidR="0004538C" w:rsidRPr="00F70333">
        <w:rPr>
          <w:rFonts w:eastAsia="MS Mincho"/>
        </w:rPr>
        <w:t>OBWC</w:t>
      </w:r>
      <w:r w:rsidRPr="00F70333">
        <w:rPr>
          <w:rFonts w:eastAsia="MS Mincho"/>
        </w:rPr>
        <w:t xml:space="preserve"> will collaborate on </w:t>
      </w:r>
      <w:r w:rsidRPr="00F70333">
        <w:t xml:space="preserve">a multi-site intervention study at OBWC-insured WRT companies from 2011-2014. In </w:t>
      </w:r>
      <w:r w:rsidR="0004538C" w:rsidRPr="00F70333">
        <w:t xml:space="preserve">overview, </w:t>
      </w:r>
      <w:r w:rsidRPr="00F70333">
        <w:t>M</w:t>
      </w:r>
      <w:r w:rsidR="00AC34F0" w:rsidRPr="00F70333">
        <w:t>SD</w:t>
      </w:r>
      <w:r w:rsidRPr="00F70333">
        <w:t xml:space="preserve"> engineering </w:t>
      </w:r>
      <w:r w:rsidR="00AC34F0" w:rsidRPr="00F70333">
        <w:t xml:space="preserve">control </w:t>
      </w:r>
      <w:r w:rsidRPr="00F70333">
        <w:t>interventions (stair-climbing, powered hand trucks and powered truck lift gate</w:t>
      </w:r>
      <w:r w:rsidR="000411AF" w:rsidRPr="00F70333">
        <w:t>s</w:t>
      </w:r>
      <w:r w:rsidRPr="00F70333">
        <w:t xml:space="preserve">) will be tested for effectiveness in reducing self-reported back and </w:t>
      </w:r>
      <w:r w:rsidR="00DE7C54" w:rsidRPr="00F70333">
        <w:t>upper extremity</w:t>
      </w:r>
      <w:r w:rsidRPr="00F70333">
        <w:t xml:space="preserve"> pain among </w:t>
      </w:r>
      <w:r w:rsidR="0057471F" w:rsidRPr="00F70333">
        <w:t>960</w:t>
      </w:r>
      <w:r w:rsidRPr="00F70333">
        <w:t xml:space="preserve"> employees performing delivery operations in 72 WRT establishments using a prospective experimental design (</w:t>
      </w:r>
      <w:r w:rsidRPr="00F70333">
        <w:rPr>
          <w:bCs/>
          <w:iCs/>
        </w:rPr>
        <w:t xml:space="preserve">multiple baselines across groups with randomization). </w:t>
      </w:r>
      <w:bookmarkStart w:id="4" w:name="_Toc248224216"/>
    </w:p>
    <w:p w:rsidR="00883D81" w:rsidRPr="00F70333" w:rsidRDefault="00883D81" w:rsidP="00883D81">
      <w:pPr>
        <w:rPr>
          <w:bCs/>
          <w:iCs/>
        </w:rPr>
      </w:pPr>
    </w:p>
    <w:p w:rsidR="0038553A" w:rsidRPr="00F70333" w:rsidRDefault="0038553A" w:rsidP="00883D81">
      <w:r w:rsidRPr="00F70333">
        <w:t>Privacy Impact Assessment</w:t>
      </w:r>
      <w:bookmarkEnd w:id="4"/>
    </w:p>
    <w:p w:rsidR="00883D81" w:rsidRPr="00F70333" w:rsidRDefault="00883D81" w:rsidP="00E07467">
      <w:pPr>
        <w:keepNext/>
        <w:keepLines/>
        <w:tabs>
          <w:tab w:val="left" w:pos="2160"/>
        </w:tabs>
        <w:rPr>
          <w:color w:val="000000"/>
        </w:rPr>
      </w:pPr>
    </w:p>
    <w:p w:rsidR="00E07467" w:rsidRPr="00F70333" w:rsidRDefault="002F76AE" w:rsidP="00E07467">
      <w:pPr>
        <w:keepNext/>
        <w:keepLines/>
        <w:tabs>
          <w:tab w:val="left" w:pos="2160"/>
        </w:tabs>
        <w:rPr>
          <w:rFonts w:ascii="Arial" w:hAnsi="Arial" w:cs="Arial"/>
        </w:rPr>
      </w:pPr>
      <w:r w:rsidRPr="00F70333">
        <w:rPr>
          <w:color w:val="000000"/>
        </w:rPr>
        <w:t xml:space="preserve">The study will collect both </w:t>
      </w:r>
      <w:r w:rsidR="0004538C" w:rsidRPr="00F70333">
        <w:rPr>
          <w:color w:val="000000"/>
        </w:rPr>
        <w:t xml:space="preserve">potentially </w:t>
      </w:r>
      <w:r w:rsidRPr="00F70333">
        <w:rPr>
          <w:color w:val="000000"/>
        </w:rPr>
        <w:t xml:space="preserve">sensitive data (self-reported MSD symptoms and results from low back functional assessments) and personal identifiers (name, address, phone number, employee clock number).  The method of handling the information </w:t>
      </w:r>
      <w:r w:rsidR="00594A55" w:rsidRPr="00F70333">
        <w:rPr>
          <w:color w:val="000000"/>
        </w:rPr>
        <w:t>will comply</w:t>
      </w:r>
      <w:r w:rsidRPr="00F70333">
        <w:rPr>
          <w:color w:val="000000"/>
        </w:rPr>
        <w:t xml:space="preserve"> with the Freedom of Information Act and the Privacy Act of 1974. Disclosure under the Privacy Act System is permitted: to private contractors assisting NIOSH; to collaborating researchers under certain limited circumstances to conduct further investigations; to the Department of Justice in the event of litigation; and to a congressional office assisting individuals in obtaining their records. </w:t>
      </w:r>
      <w:r w:rsidR="00E07467" w:rsidRPr="00F70333">
        <w:rPr>
          <w:color w:val="000000"/>
        </w:rPr>
        <w:t>All data collection and r</w:t>
      </w:r>
      <w:r w:rsidR="00E07467" w:rsidRPr="00F70333">
        <w:t xml:space="preserve">ecords management </w:t>
      </w:r>
      <w:r w:rsidRPr="00F70333">
        <w:t>practices</w:t>
      </w:r>
      <w:r w:rsidR="00E07467" w:rsidRPr="00F70333">
        <w:t xml:space="preserve"> and systems (including the online survey) </w:t>
      </w:r>
      <w:r w:rsidRPr="00F70333">
        <w:t>will adhere to all applicable federal, Health and Human Services (HHS), Centers for Disease Control (CDC), and NIOSH IT security policies and procedures [Security Requirements for Federal Information Technology Resources, January 2010; Health and Human Services Acquisition Regulation (HHSAR), Clause 352.239-72]. For example, data will be stored on encrypted CDs, flash drives, and/or</w:t>
      </w:r>
      <w:r w:rsidR="004A6B51">
        <w:t xml:space="preserve"> file transfer protocol </w:t>
      </w:r>
      <w:r w:rsidR="004A6B51" w:rsidRPr="001F1A11">
        <w:t>(</w:t>
      </w:r>
      <w:r w:rsidRPr="001F1A11">
        <w:t>ftp</w:t>
      </w:r>
      <w:r w:rsidR="004A6B51" w:rsidRPr="001F1A11">
        <w:t>)</w:t>
      </w:r>
      <w:r w:rsidRPr="00F70333">
        <w:t xml:space="preserve"> sites according to applicable Federal Information Processing Standards Publications (FIPS PUBS, see </w:t>
      </w:r>
      <w:hyperlink r:id="rId11" w:history="1">
        <w:r w:rsidRPr="00F70333">
          <w:rPr>
            <w:rStyle w:val="Hyperlink"/>
          </w:rPr>
          <w:t>http://www.itl.nist.gov/fipspubs</w:t>
        </w:r>
      </w:hyperlink>
      <w:r w:rsidRPr="00F70333">
        <w:t xml:space="preserve">).  </w:t>
      </w:r>
      <w:r w:rsidR="00E07467" w:rsidRPr="00F70333">
        <w:t>See the</w:t>
      </w:r>
      <w:r w:rsidR="004E57C1" w:rsidRPr="00F70333">
        <w:t xml:space="preserve"> Information</w:t>
      </w:r>
      <w:r w:rsidR="00E07467" w:rsidRPr="00F70333">
        <w:t xml:space="preserve"> Security Plan in </w:t>
      </w:r>
      <w:r w:rsidR="00DE7509" w:rsidRPr="00F70333">
        <w:rPr>
          <w:b/>
        </w:rPr>
        <w:t>Attachment F</w:t>
      </w:r>
      <w:r w:rsidR="00E07467" w:rsidRPr="00F70333">
        <w:t xml:space="preserve"> for more information.</w:t>
      </w:r>
    </w:p>
    <w:p w:rsidR="002F76AE" w:rsidRPr="00F70333" w:rsidRDefault="002F76AE" w:rsidP="002F76AE"/>
    <w:p w:rsidR="002F76AE" w:rsidRPr="00F70333" w:rsidRDefault="002F76AE" w:rsidP="002F76AE">
      <w:pPr>
        <w:rPr>
          <w:color w:val="000000"/>
        </w:rPr>
      </w:pPr>
    </w:p>
    <w:p w:rsidR="00B3349E" w:rsidRPr="00F70333" w:rsidRDefault="002F76AE" w:rsidP="0004538C">
      <w:r w:rsidRPr="00F70333">
        <w:rPr>
          <w:color w:val="000000"/>
        </w:rPr>
        <w:t xml:space="preserve">Questionnaires will be administered </w:t>
      </w:r>
      <w:r w:rsidR="00594A55" w:rsidRPr="00F70333">
        <w:rPr>
          <w:color w:val="000000"/>
        </w:rPr>
        <w:t>primar</w:t>
      </w:r>
      <w:r w:rsidR="005109B6" w:rsidRPr="00F70333">
        <w:rPr>
          <w:color w:val="000000"/>
        </w:rPr>
        <w:t>ily</w:t>
      </w:r>
      <w:r w:rsidR="00594A55" w:rsidRPr="00F70333">
        <w:rPr>
          <w:color w:val="000000"/>
        </w:rPr>
        <w:t xml:space="preserve"> using a </w:t>
      </w:r>
      <w:r w:rsidRPr="00F70333">
        <w:t>self-</w:t>
      </w:r>
      <w:r w:rsidR="00594A55" w:rsidRPr="00F70333">
        <w:t xml:space="preserve">administered secure web portal. </w:t>
      </w:r>
      <w:r w:rsidR="00B3349E" w:rsidRPr="00F70333">
        <w:t xml:space="preserve">The survey will be on a secure web site that will be accessible by sampled members of the participating </w:t>
      </w:r>
      <w:r w:rsidR="0004538C" w:rsidRPr="00F70333">
        <w:t>establishments</w:t>
      </w:r>
      <w:r w:rsidR="00B3349E" w:rsidRPr="00F70333">
        <w:t xml:space="preserve">.  The hyperlink and internet address to the survey will only be made available to members of participating </w:t>
      </w:r>
      <w:r w:rsidR="0004538C" w:rsidRPr="00F70333">
        <w:t>establishments</w:t>
      </w:r>
      <w:r w:rsidRPr="00F70333">
        <w:t xml:space="preserve"> and researchers conducting the study. The</w:t>
      </w:r>
      <w:r w:rsidR="00B3349E" w:rsidRPr="00F70333">
        <w:t xml:space="preserve"> information will not be directed at children under the age of thirteen years. Aggregated survey results will be made available on the NIOSH public internet site. Please see below for additional information related to the Privacy Impact Assessment.</w:t>
      </w:r>
    </w:p>
    <w:p w:rsidR="0038553A" w:rsidRPr="00F70333" w:rsidRDefault="0038553A" w:rsidP="0038553A">
      <w:pPr>
        <w:pStyle w:val="Heading3"/>
        <w:rPr>
          <w:b w:val="0"/>
          <w:u w:val="none"/>
        </w:rPr>
      </w:pPr>
      <w:bookmarkStart w:id="5" w:name="_Toc248224217"/>
      <w:r w:rsidRPr="00F70333">
        <w:rPr>
          <w:b w:val="0"/>
          <w:u w:val="none"/>
        </w:rPr>
        <w:t>Overview of the Data Collection System</w:t>
      </w:r>
      <w:bookmarkEnd w:id="5"/>
    </w:p>
    <w:p w:rsidR="0038553A" w:rsidRPr="00F70333" w:rsidRDefault="0038553A" w:rsidP="0038553A"/>
    <w:p w:rsidR="00A24928" w:rsidRPr="00F70333" w:rsidRDefault="002F76AE" w:rsidP="00023587">
      <w:pPr>
        <w:tabs>
          <w:tab w:val="left" w:pos="0"/>
          <w:tab w:val="left" w:pos="360"/>
          <w:tab w:val="left" w:pos="1080"/>
        </w:tabs>
      </w:pPr>
      <w:r w:rsidRPr="00F70333">
        <w:rPr>
          <w:color w:val="000000"/>
        </w:rPr>
        <w:t xml:space="preserve">Questionnaires will be administered </w:t>
      </w:r>
      <w:r w:rsidRPr="00F70333">
        <w:t xml:space="preserve">using several options (self-administered secure web portal, self-administered hard copy forms, and telephonic interviews). The respondent will be strongly encouraged to use the self-administered web-based format of the survey. </w:t>
      </w:r>
      <w:r w:rsidR="00946903" w:rsidRPr="00F70333">
        <w:t xml:space="preserve">It is estimated that the vast majority (95%) will be collected via the online system. </w:t>
      </w:r>
      <w:r w:rsidRPr="00F70333">
        <w:t xml:space="preserve">For those respondents lacking internet connections or those who do not wish to complete a web-based survey, a hard copy format will next be offered. An interview option will be offered as a last resort for those respondents who do not find the web-based or hard copy formats acceptable. </w:t>
      </w:r>
      <w:r w:rsidR="00A24928" w:rsidRPr="00F70333">
        <w:t xml:space="preserve">Survey data will be collected for this study primarily using an online secure website </w:t>
      </w:r>
      <w:r w:rsidR="00BB1AA7" w:rsidRPr="00F70333">
        <w:t xml:space="preserve">that </w:t>
      </w:r>
      <w:r w:rsidRPr="00F70333">
        <w:rPr>
          <w:color w:val="000000"/>
        </w:rPr>
        <w:t>will comply with applicable 508 requirements to accommodate individuals with disabilities</w:t>
      </w:r>
      <w:r w:rsidR="0004538C" w:rsidRPr="00F70333">
        <w:rPr>
          <w:color w:val="000000"/>
        </w:rPr>
        <w:t xml:space="preserve"> (</w:t>
      </w:r>
      <w:hyperlink r:id="rId12" w:history="1">
        <w:r w:rsidR="0004538C" w:rsidRPr="00F70333">
          <w:rPr>
            <w:rStyle w:val="Hyperlink"/>
          </w:rPr>
          <w:t>http://www.hhs.gov/od/508policy</w:t>
        </w:r>
      </w:hyperlink>
      <w:r w:rsidR="0004538C" w:rsidRPr="00F70333">
        <w:t>)</w:t>
      </w:r>
      <w:r w:rsidRPr="00F70333">
        <w:rPr>
          <w:color w:val="000000"/>
        </w:rPr>
        <w:t>.</w:t>
      </w:r>
      <w:r w:rsidR="00A24928" w:rsidRPr="00F70333">
        <w:rPr>
          <w:color w:val="000000"/>
        </w:rPr>
        <w:t xml:space="preserve"> </w:t>
      </w:r>
      <w:r w:rsidR="00A24928" w:rsidRPr="00F70333">
        <w:t xml:space="preserve">NIOSH researchers will </w:t>
      </w:r>
      <w:r w:rsidR="00A00441" w:rsidRPr="00F70333">
        <w:t xml:space="preserve">primarily </w:t>
      </w:r>
      <w:r w:rsidR="00A24928" w:rsidRPr="00F70333">
        <w:t xml:space="preserve">conduct the data collection and contractors will </w:t>
      </w:r>
      <w:r w:rsidR="00A00441" w:rsidRPr="00F70333">
        <w:t xml:space="preserve">be used in support roles for data management. </w:t>
      </w:r>
      <w:r w:rsidR="00A24928" w:rsidRPr="00F70333">
        <w:t xml:space="preserve">Information will be maintained until the conclusion of the study in 2015. </w:t>
      </w:r>
    </w:p>
    <w:p w:rsidR="0038553A" w:rsidRPr="00F70333" w:rsidRDefault="0038553A" w:rsidP="0038553A">
      <w:pPr>
        <w:pStyle w:val="Heading3"/>
        <w:rPr>
          <w:b w:val="0"/>
          <w:u w:val="none"/>
        </w:rPr>
      </w:pPr>
      <w:bookmarkStart w:id="6" w:name="_Toc248224218"/>
      <w:r w:rsidRPr="00F70333">
        <w:rPr>
          <w:b w:val="0"/>
          <w:u w:val="none"/>
        </w:rPr>
        <w:lastRenderedPageBreak/>
        <w:t xml:space="preserve">Items of Information to be </w:t>
      </w:r>
      <w:proofErr w:type="gramStart"/>
      <w:r w:rsidRPr="00F70333">
        <w:rPr>
          <w:b w:val="0"/>
          <w:u w:val="none"/>
        </w:rPr>
        <w:t>Collected</w:t>
      </w:r>
      <w:bookmarkEnd w:id="6"/>
      <w:proofErr w:type="gramEnd"/>
    </w:p>
    <w:p w:rsidR="00594A55" w:rsidRPr="00F70333" w:rsidRDefault="00594A55" w:rsidP="00594A55">
      <w:pPr>
        <w:rPr>
          <w:lang w:eastAsia="ja-JP"/>
        </w:rPr>
      </w:pPr>
    </w:p>
    <w:p w:rsidR="00C36947" w:rsidRPr="00F70333" w:rsidRDefault="00594A55" w:rsidP="00594A55">
      <w:r w:rsidRPr="00F70333">
        <w:t>Information in identifiable form (IIF) will be collected</w:t>
      </w:r>
      <w:r w:rsidR="003C28F4" w:rsidRPr="00F70333">
        <w:t xml:space="preserve"> as part of the informed consent form</w:t>
      </w:r>
      <w:r w:rsidR="008E529C" w:rsidRPr="00F70333">
        <w:t>s</w:t>
      </w:r>
      <w:r w:rsidR="003C28F4" w:rsidRPr="00F70333">
        <w:t xml:space="preserve"> (</w:t>
      </w:r>
      <w:r w:rsidR="003C28F4" w:rsidRPr="00F70333">
        <w:rPr>
          <w:b/>
        </w:rPr>
        <w:t>A</w:t>
      </w:r>
      <w:r w:rsidR="005109B6" w:rsidRPr="00F70333">
        <w:rPr>
          <w:b/>
        </w:rPr>
        <w:t>ttachment</w:t>
      </w:r>
      <w:r w:rsidR="008E529C" w:rsidRPr="00F70333">
        <w:rPr>
          <w:b/>
        </w:rPr>
        <w:t>s</w:t>
      </w:r>
      <w:r w:rsidR="005109B6" w:rsidRPr="00F70333">
        <w:rPr>
          <w:b/>
        </w:rPr>
        <w:t xml:space="preserve"> </w:t>
      </w:r>
      <w:r w:rsidR="008E529C" w:rsidRPr="00F70333">
        <w:rPr>
          <w:b/>
        </w:rPr>
        <w:t>G</w:t>
      </w:r>
      <w:r w:rsidR="008D4F52" w:rsidRPr="00F70333">
        <w:rPr>
          <w:b/>
        </w:rPr>
        <w:t>-1 and G-2</w:t>
      </w:r>
      <w:r w:rsidR="003C28F4" w:rsidRPr="00F70333">
        <w:rPr>
          <w:b/>
        </w:rPr>
        <w:t xml:space="preserve">) </w:t>
      </w:r>
      <w:r w:rsidR="003C28F4" w:rsidRPr="00F70333">
        <w:t>for this study</w:t>
      </w:r>
      <w:r w:rsidRPr="00F70333">
        <w:t xml:space="preserve">. </w:t>
      </w:r>
      <w:r w:rsidR="00C36947" w:rsidRPr="00F70333">
        <w:t>This includes</w:t>
      </w:r>
      <w:r w:rsidR="003C28F4" w:rsidRPr="00F70333">
        <w:t xml:space="preserve">: </w:t>
      </w:r>
      <w:r w:rsidR="00497E52" w:rsidRPr="00F70333">
        <w:t>first and last name, s</w:t>
      </w:r>
      <w:r w:rsidR="003C28F4" w:rsidRPr="00F70333">
        <w:t xml:space="preserve">treet </w:t>
      </w:r>
      <w:r w:rsidR="00497E52" w:rsidRPr="00F70333">
        <w:t>a</w:t>
      </w:r>
      <w:r w:rsidR="003C28F4" w:rsidRPr="00F70333">
        <w:t xml:space="preserve">ddress, </w:t>
      </w:r>
      <w:r w:rsidR="00497E52" w:rsidRPr="00F70333">
        <w:t>p</w:t>
      </w:r>
      <w:r w:rsidR="003C28F4" w:rsidRPr="00F70333">
        <w:t xml:space="preserve">hone </w:t>
      </w:r>
      <w:r w:rsidR="00497E52" w:rsidRPr="00F70333">
        <w:t>n</w:t>
      </w:r>
      <w:r w:rsidR="003C28F4" w:rsidRPr="00F70333">
        <w:t xml:space="preserve">umber, </w:t>
      </w:r>
      <w:r w:rsidR="00497E52" w:rsidRPr="00F70333">
        <w:t>e</w:t>
      </w:r>
      <w:r w:rsidR="003C28F4" w:rsidRPr="00F70333">
        <w:t xml:space="preserve">mail </w:t>
      </w:r>
      <w:r w:rsidR="00497E52" w:rsidRPr="00F70333">
        <w:t>a</w:t>
      </w:r>
      <w:r w:rsidR="003C28F4" w:rsidRPr="00F70333">
        <w:t xml:space="preserve">ddress, </w:t>
      </w:r>
      <w:r w:rsidR="00497E52" w:rsidRPr="00F70333">
        <w:t>and date of b</w:t>
      </w:r>
      <w:r w:rsidR="00C36947" w:rsidRPr="00F70333">
        <w:t>irth</w:t>
      </w:r>
      <w:r w:rsidR="003C28F4" w:rsidRPr="00F70333">
        <w:t>.</w:t>
      </w:r>
      <w:r w:rsidR="00497E52" w:rsidRPr="00F70333">
        <w:t xml:space="preserve"> </w:t>
      </w:r>
    </w:p>
    <w:p w:rsidR="006013E6" w:rsidRPr="00F70333" w:rsidRDefault="006013E6" w:rsidP="00594A55">
      <w:pPr>
        <w:rPr>
          <w:lang w:eastAsia="ja-JP"/>
        </w:rPr>
      </w:pPr>
    </w:p>
    <w:p w:rsidR="003C28F4" w:rsidRPr="00F70333" w:rsidRDefault="003C28F4" w:rsidP="00023587">
      <w:pPr>
        <w:rPr>
          <w:lang w:eastAsia="ja-JP"/>
        </w:rPr>
      </w:pPr>
      <w:r w:rsidRPr="00F70333">
        <w:rPr>
          <w:lang w:eastAsia="ja-JP"/>
        </w:rPr>
        <w:t xml:space="preserve">Additional information collected is described below. </w:t>
      </w:r>
      <w:r w:rsidR="00A51B40" w:rsidRPr="00F70333">
        <w:t xml:space="preserve">All information will be used to determine whether there are significant differences in reported </w:t>
      </w:r>
      <w:r w:rsidR="005109B6" w:rsidRPr="00F70333">
        <w:t xml:space="preserve">musculoskeletal pain </w:t>
      </w:r>
      <w:r w:rsidR="00A51B40" w:rsidRPr="00F70333">
        <w:t xml:space="preserve">and functional back pain score ratios (pre/ post intervention scores) when intervention and control groups are compared, while controlling for covariates. Individual participant personal information will not be published in any identifiable form and will be protected to the extent allowed by law (Freedom of Information Act and the Privacy Act).  The questionnaire data and clinical examination are standard tools used to establish the degree of clinical disorder (lumbago) </w:t>
      </w:r>
      <w:r w:rsidR="005109B6" w:rsidRPr="00F70333">
        <w:t xml:space="preserve">and </w:t>
      </w:r>
      <w:r w:rsidR="00DE7C54" w:rsidRPr="00F70333">
        <w:t>upper extremity</w:t>
      </w:r>
      <w:r w:rsidR="005109B6" w:rsidRPr="00F70333">
        <w:t xml:space="preserve"> pain </w:t>
      </w:r>
      <w:r w:rsidR="00A51B40" w:rsidRPr="00F70333">
        <w:t>among the participants.  The study is designed to determine the usefulness of the prophylactic intervention in preventing lumbago</w:t>
      </w:r>
      <w:r w:rsidR="005109B6" w:rsidRPr="00F70333">
        <w:t xml:space="preserve"> and </w:t>
      </w:r>
      <w:r w:rsidR="00DE7C54" w:rsidRPr="00F70333">
        <w:t>upper extremity</w:t>
      </w:r>
      <w:r w:rsidR="005109B6" w:rsidRPr="00F70333">
        <w:t xml:space="preserve"> pain</w:t>
      </w:r>
      <w:r w:rsidR="00A51B40" w:rsidRPr="00F70333">
        <w:t>.</w:t>
      </w:r>
    </w:p>
    <w:p w:rsidR="003C28F4" w:rsidRPr="00F70333" w:rsidRDefault="003C28F4" w:rsidP="00023587">
      <w:pPr>
        <w:rPr>
          <w:lang w:eastAsia="ja-JP"/>
        </w:rPr>
      </w:pPr>
    </w:p>
    <w:p w:rsidR="00023587" w:rsidRPr="00F70333" w:rsidRDefault="005109B6" w:rsidP="00023587">
      <w:r w:rsidRPr="00F70333">
        <w:rPr>
          <w:i/>
        </w:rPr>
        <w:t xml:space="preserve">1: </w:t>
      </w:r>
      <w:r w:rsidR="00023587" w:rsidRPr="00F70333">
        <w:rPr>
          <w:i/>
        </w:rPr>
        <w:t>Primary Questionnaires</w:t>
      </w:r>
      <w:r w:rsidR="00023587" w:rsidRPr="00F70333">
        <w:t xml:space="preserve"> (administered to all </w:t>
      </w:r>
      <w:r w:rsidR="0057471F" w:rsidRPr="00F70333">
        <w:t>960</w:t>
      </w:r>
      <w:r w:rsidR="00023587" w:rsidRPr="00F70333">
        <w:t xml:space="preserve"> participants at baseline and every 3 months for 2 years; </w:t>
      </w:r>
      <w:r w:rsidR="00516A1B" w:rsidRPr="00F70333">
        <w:t>15</w:t>
      </w:r>
      <w:r w:rsidR="00023587" w:rsidRPr="00F70333">
        <w:t xml:space="preserve"> minutes estimated time for all primary questionnaires combined per data collection):</w:t>
      </w:r>
    </w:p>
    <w:p w:rsidR="00594A55" w:rsidRPr="00F70333" w:rsidRDefault="00594A55" w:rsidP="00023587"/>
    <w:p w:rsidR="00023587" w:rsidRPr="00F70333" w:rsidRDefault="00023587" w:rsidP="00023587">
      <w:pPr>
        <w:pStyle w:val="ListParagraph"/>
        <w:numPr>
          <w:ilvl w:val="0"/>
          <w:numId w:val="35"/>
        </w:numPr>
        <w:spacing w:after="200" w:line="240" w:lineRule="auto"/>
        <w:jc w:val="left"/>
        <w:rPr>
          <w:sz w:val="24"/>
          <w:szCs w:val="24"/>
        </w:rPr>
      </w:pPr>
      <w:r w:rsidRPr="00F70333">
        <w:rPr>
          <w:sz w:val="24"/>
          <w:szCs w:val="24"/>
          <w:u w:val="single"/>
        </w:rPr>
        <w:t>Self-reported low back pain:</w:t>
      </w:r>
      <w:r w:rsidRPr="00F70333">
        <w:rPr>
          <w:sz w:val="24"/>
          <w:szCs w:val="24"/>
        </w:rPr>
        <w:t xml:space="preserve"> Th</w:t>
      </w:r>
      <w:r w:rsidR="00497E52" w:rsidRPr="00F70333">
        <w:rPr>
          <w:sz w:val="24"/>
          <w:szCs w:val="24"/>
        </w:rPr>
        <w:t>e</w:t>
      </w:r>
      <w:r w:rsidR="00E63D32" w:rsidRPr="00F70333">
        <w:rPr>
          <w:sz w:val="24"/>
          <w:szCs w:val="24"/>
        </w:rPr>
        <w:t xml:space="preserve"> </w:t>
      </w:r>
      <w:r w:rsidRPr="00F70333">
        <w:rPr>
          <w:sz w:val="24"/>
          <w:szCs w:val="24"/>
        </w:rPr>
        <w:t>first main outcome</w:t>
      </w:r>
      <w:r w:rsidR="00A51B40" w:rsidRPr="00F70333">
        <w:rPr>
          <w:sz w:val="24"/>
          <w:szCs w:val="24"/>
        </w:rPr>
        <w:t xml:space="preserve"> will be self-reported low back pain</w:t>
      </w:r>
      <w:r w:rsidRPr="00F70333">
        <w:rPr>
          <w:sz w:val="24"/>
          <w:szCs w:val="24"/>
        </w:rPr>
        <w:t xml:space="preserve">, as measured by the North American Spine Society (NASS) Lumbar Spine Outcome Assessment Instrument (17 items; </w:t>
      </w:r>
      <w:r w:rsidR="00F017EA" w:rsidRPr="00F70333">
        <w:rPr>
          <w:sz w:val="24"/>
          <w:szCs w:val="24"/>
        </w:rPr>
        <w:t>5 minutes estimated time combined per data collection</w:t>
      </w:r>
      <w:r w:rsidR="00F017EA" w:rsidRPr="00F70333">
        <w:rPr>
          <w:b/>
          <w:sz w:val="24"/>
          <w:szCs w:val="24"/>
        </w:rPr>
        <w:t xml:space="preserve"> </w:t>
      </w:r>
      <w:r w:rsidRPr="00F70333">
        <w:rPr>
          <w:b/>
          <w:sz w:val="24"/>
          <w:szCs w:val="24"/>
        </w:rPr>
        <w:t>A</w:t>
      </w:r>
      <w:r w:rsidR="005109B6" w:rsidRPr="00F70333">
        <w:rPr>
          <w:b/>
          <w:sz w:val="24"/>
          <w:szCs w:val="24"/>
        </w:rPr>
        <w:t xml:space="preserve">ttachment </w:t>
      </w:r>
      <w:r w:rsidR="008D4F52" w:rsidRPr="00F70333">
        <w:rPr>
          <w:b/>
          <w:sz w:val="24"/>
          <w:szCs w:val="24"/>
        </w:rPr>
        <w:t>H-1</w:t>
      </w:r>
      <w:r w:rsidRPr="00F70333">
        <w:rPr>
          <w:sz w:val="24"/>
          <w:szCs w:val="24"/>
        </w:rPr>
        <w:t>)</w:t>
      </w:r>
      <w:r w:rsidR="00E63D32" w:rsidRPr="00F70333">
        <w:rPr>
          <w:sz w:val="24"/>
          <w:szCs w:val="24"/>
        </w:rPr>
        <w:t xml:space="preserve">. </w:t>
      </w:r>
    </w:p>
    <w:p w:rsidR="00023587" w:rsidRPr="00F70333" w:rsidRDefault="00023587" w:rsidP="00023587">
      <w:pPr>
        <w:pStyle w:val="ListParagraph"/>
        <w:spacing w:line="240" w:lineRule="auto"/>
        <w:ind w:left="1080"/>
        <w:rPr>
          <w:sz w:val="24"/>
          <w:szCs w:val="24"/>
        </w:rPr>
      </w:pPr>
    </w:p>
    <w:p w:rsidR="00594A55" w:rsidRPr="00F70333" w:rsidRDefault="00594A55" w:rsidP="00594A55">
      <w:pPr>
        <w:pStyle w:val="ListParagraph"/>
        <w:numPr>
          <w:ilvl w:val="0"/>
          <w:numId w:val="35"/>
        </w:numPr>
        <w:spacing w:after="200" w:line="240" w:lineRule="auto"/>
        <w:jc w:val="left"/>
        <w:rPr>
          <w:sz w:val="24"/>
          <w:szCs w:val="24"/>
        </w:rPr>
      </w:pPr>
      <w:r w:rsidRPr="00F70333">
        <w:rPr>
          <w:sz w:val="24"/>
          <w:szCs w:val="24"/>
          <w:u w:val="single"/>
        </w:rPr>
        <w:t xml:space="preserve">Self-reported </w:t>
      </w:r>
      <w:r w:rsidR="00DE7C54" w:rsidRPr="00F70333">
        <w:rPr>
          <w:sz w:val="24"/>
          <w:szCs w:val="24"/>
          <w:u w:val="single"/>
        </w:rPr>
        <w:t>upper extremity</w:t>
      </w:r>
      <w:r w:rsidRPr="00F70333">
        <w:rPr>
          <w:sz w:val="24"/>
          <w:szCs w:val="24"/>
          <w:u w:val="single"/>
        </w:rPr>
        <w:t xml:space="preserve"> pain:</w:t>
      </w:r>
      <w:r w:rsidRPr="00F70333">
        <w:rPr>
          <w:sz w:val="24"/>
          <w:szCs w:val="24"/>
        </w:rPr>
        <w:t xml:space="preserve"> </w:t>
      </w:r>
      <w:r w:rsidR="00497E52" w:rsidRPr="00F70333">
        <w:rPr>
          <w:sz w:val="24"/>
          <w:szCs w:val="24"/>
        </w:rPr>
        <w:t>The</w:t>
      </w:r>
      <w:r w:rsidRPr="00F70333">
        <w:rPr>
          <w:sz w:val="24"/>
          <w:szCs w:val="24"/>
        </w:rPr>
        <w:t xml:space="preserve"> </w:t>
      </w:r>
      <w:r w:rsidR="003C28F4" w:rsidRPr="00F70333">
        <w:rPr>
          <w:sz w:val="24"/>
          <w:szCs w:val="24"/>
        </w:rPr>
        <w:t>second main</w:t>
      </w:r>
      <w:r w:rsidR="00A51B40" w:rsidRPr="00F70333">
        <w:rPr>
          <w:sz w:val="24"/>
          <w:szCs w:val="24"/>
        </w:rPr>
        <w:t xml:space="preserve"> outcome will be self-reported </w:t>
      </w:r>
      <w:r w:rsidR="00DE7C54" w:rsidRPr="00F70333">
        <w:rPr>
          <w:sz w:val="24"/>
          <w:szCs w:val="24"/>
        </w:rPr>
        <w:t>upper extremity</w:t>
      </w:r>
      <w:r w:rsidR="00A51B40" w:rsidRPr="00F70333">
        <w:rPr>
          <w:sz w:val="24"/>
          <w:szCs w:val="24"/>
        </w:rPr>
        <w:t xml:space="preserve"> pain, </w:t>
      </w:r>
      <w:r w:rsidRPr="00F70333">
        <w:rPr>
          <w:sz w:val="24"/>
          <w:szCs w:val="24"/>
        </w:rPr>
        <w:t>as measured by the Quick DASH (Disabilities of the Arm, Shoulder and Hand) questionnaire (1</w:t>
      </w:r>
      <w:r w:rsidR="005109B6" w:rsidRPr="00F70333">
        <w:rPr>
          <w:sz w:val="24"/>
          <w:szCs w:val="24"/>
        </w:rPr>
        <w:t>6</w:t>
      </w:r>
      <w:r w:rsidR="003C28F4" w:rsidRPr="00F70333">
        <w:rPr>
          <w:sz w:val="24"/>
          <w:szCs w:val="24"/>
        </w:rPr>
        <w:t xml:space="preserve"> items</w:t>
      </w:r>
      <w:r w:rsidR="00A51B40" w:rsidRPr="00F70333">
        <w:rPr>
          <w:sz w:val="24"/>
          <w:szCs w:val="24"/>
        </w:rPr>
        <w:t>;</w:t>
      </w:r>
      <w:r w:rsidR="00F017EA" w:rsidRPr="00F70333">
        <w:rPr>
          <w:sz w:val="24"/>
          <w:szCs w:val="24"/>
        </w:rPr>
        <w:t xml:space="preserve"> 5 minutes estimated time combined per data collection</w:t>
      </w:r>
      <w:r w:rsidRPr="00F70333">
        <w:rPr>
          <w:sz w:val="24"/>
          <w:szCs w:val="24"/>
        </w:rPr>
        <w:t xml:space="preserve"> </w:t>
      </w:r>
      <w:r w:rsidR="005109B6" w:rsidRPr="00F70333">
        <w:rPr>
          <w:b/>
          <w:sz w:val="24"/>
          <w:szCs w:val="24"/>
        </w:rPr>
        <w:t xml:space="preserve">Attachment </w:t>
      </w:r>
      <w:r w:rsidR="008D4F52" w:rsidRPr="00F70333">
        <w:rPr>
          <w:b/>
          <w:sz w:val="24"/>
          <w:szCs w:val="24"/>
        </w:rPr>
        <w:t>H-2</w:t>
      </w:r>
      <w:r w:rsidR="005109B6" w:rsidRPr="00F70333">
        <w:rPr>
          <w:sz w:val="24"/>
          <w:szCs w:val="24"/>
        </w:rPr>
        <w:t>).</w:t>
      </w:r>
    </w:p>
    <w:p w:rsidR="003C28F4" w:rsidRPr="00F70333" w:rsidRDefault="003C28F4" w:rsidP="003C28F4">
      <w:pPr>
        <w:pStyle w:val="ListParagraph"/>
        <w:rPr>
          <w:sz w:val="24"/>
          <w:szCs w:val="24"/>
        </w:rPr>
      </w:pPr>
    </w:p>
    <w:p w:rsidR="003C28F4" w:rsidRPr="00F70333" w:rsidRDefault="003C28F4" w:rsidP="003C28F4">
      <w:pPr>
        <w:pStyle w:val="ListParagraph"/>
        <w:numPr>
          <w:ilvl w:val="0"/>
          <w:numId w:val="35"/>
        </w:numPr>
        <w:spacing w:after="200" w:line="240" w:lineRule="auto"/>
        <w:jc w:val="left"/>
        <w:rPr>
          <w:sz w:val="24"/>
          <w:szCs w:val="24"/>
        </w:rPr>
      </w:pPr>
      <w:r w:rsidRPr="00F70333">
        <w:rPr>
          <w:sz w:val="24"/>
          <w:szCs w:val="24"/>
          <w:u w:val="single"/>
        </w:rPr>
        <w:t>Self-reported specific job tasks and safety incidents</w:t>
      </w:r>
      <w:r w:rsidRPr="00F70333">
        <w:rPr>
          <w:sz w:val="24"/>
          <w:szCs w:val="24"/>
        </w:rPr>
        <w:t xml:space="preserve">: </w:t>
      </w:r>
      <w:r w:rsidR="00A51B40" w:rsidRPr="00F70333">
        <w:rPr>
          <w:sz w:val="24"/>
          <w:szCs w:val="24"/>
        </w:rPr>
        <w:t>This questionnaire will collect ex</w:t>
      </w:r>
      <w:r w:rsidRPr="00F70333">
        <w:rPr>
          <w:sz w:val="24"/>
          <w:szCs w:val="24"/>
        </w:rPr>
        <w:t>posure information regarding specific tasks related to the use of the intervention</w:t>
      </w:r>
      <w:r w:rsidR="00A00441" w:rsidRPr="00F70333">
        <w:rPr>
          <w:sz w:val="24"/>
          <w:szCs w:val="24"/>
        </w:rPr>
        <w:t>, material handling exposures,</w:t>
      </w:r>
      <w:r w:rsidRPr="00F70333">
        <w:rPr>
          <w:sz w:val="24"/>
          <w:szCs w:val="24"/>
        </w:rPr>
        <w:t xml:space="preserve"> and</w:t>
      </w:r>
      <w:r w:rsidR="00F017EA" w:rsidRPr="00F70333">
        <w:rPr>
          <w:sz w:val="24"/>
          <w:szCs w:val="24"/>
        </w:rPr>
        <w:t xml:space="preserve"> safety incidents (20 items; 5 minutes estimated time combined per data collection</w:t>
      </w:r>
      <w:r w:rsidR="00F017EA" w:rsidRPr="00F70333">
        <w:rPr>
          <w:b/>
          <w:sz w:val="24"/>
          <w:szCs w:val="24"/>
        </w:rPr>
        <w:t xml:space="preserve"> </w:t>
      </w:r>
      <w:r w:rsidR="005109B6" w:rsidRPr="00F70333">
        <w:rPr>
          <w:b/>
          <w:sz w:val="24"/>
          <w:szCs w:val="24"/>
        </w:rPr>
        <w:t xml:space="preserve">Attachment </w:t>
      </w:r>
      <w:r w:rsidR="008D4F52" w:rsidRPr="00F70333">
        <w:rPr>
          <w:b/>
          <w:sz w:val="24"/>
          <w:szCs w:val="24"/>
        </w:rPr>
        <w:t>H-3</w:t>
      </w:r>
      <w:r w:rsidR="005109B6" w:rsidRPr="00F70333">
        <w:rPr>
          <w:sz w:val="24"/>
          <w:szCs w:val="24"/>
        </w:rPr>
        <w:t>).</w:t>
      </w:r>
    </w:p>
    <w:p w:rsidR="00023587" w:rsidRPr="00F70333" w:rsidRDefault="005109B6" w:rsidP="00023587">
      <w:r w:rsidRPr="00F70333">
        <w:rPr>
          <w:i/>
        </w:rPr>
        <w:t xml:space="preserve">2: </w:t>
      </w:r>
      <w:r w:rsidR="00023587" w:rsidRPr="00F70333">
        <w:rPr>
          <w:i/>
        </w:rPr>
        <w:t>Secondary Questionnaires</w:t>
      </w:r>
      <w:r w:rsidR="00023587" w:rsidRPr="00F70333">
        <w:t xml:space="preserve"> </w:t>
      </w:r>
    </w:p>
    <w:p w:rsidR="003C28F4" w:rsidRPr="00F70333" w:rsidRDefault="003C28F4" w:rsidP="00023587"/>
    <w:p w:rsidR="00023587" w:rsidRPr="00F70333" w:rsidRDefault="00023587" w:rsidP="00023587">
      <w:pPr>
        <w:pStyle w:val="ListParagraph"/>
        <w:numPr>
          <w:ilvl w:val="0"/>
          <w:numId w:val="35"/>
        </w:numPr>
        <w:spacing w:after="200" w:line="240" w:lineRule="auto"/>
        <w:jc w:val="left"/>
        <w:rPr>
          <w:sz w:val="24"/>
          <w:szCs w:val="24"/>
        </w:rPr>
      </w:pPr>
      <w:r w:rsidRPr="00F70333">
        <w:rPr>
          <w:sz w:val="24"/>
          <w:szCs w:val="24"/>
          <w:u w:val="single"/>
        </w:rPr>
        <w:t>Self-reported general work environment and health</w:t>
      </w:r>
      <w:r w:rsidRPr="00F70333">
        <w:rPr>
          <w:sz w:val="24"/>
          <w:szCs w:val="24"/>
        </w:rPr>
        <w:t xml:space="preserve">: </w:t>
      </w:r>
      <w:r w:rsidR="00A51B40" w:rsidRPr="00F70333">
        <w:rPr>
          <w:sz w:val="24"/>
          <w:szCs w:val="24"/>
        </w:rPr>
        <w:t>This questionnaire will collect c</w:t>
      </w:r>
      <w:r w:rsidRPr="00F70333">
        <w:rPr>
          <w:sz w:val="24"/>
          <w:szCs w:val="24"/>
        </w:rPr>
        <w:t>ovariate exposure information related to overall work conditions, health, and behaviors (</w:t>
      </w:r>
      <w:r w:rsidR="008C0287" w:rsidRPr="00F70333">
        <w:rPr>
          <w:sz w:val="24"/>
          <w:szCs w:val="24"/>
        </w:rPr>
        <w:t>28</w:t>
      </w:r>
      <w:r w:rsidRPr="00F70333">
        <w:rPr>
          <w:sz w:val="24"/>
          <w:szCs w:val="24"/>
        </w:rPr>
        <w:t xml:space="preserve"> items, administered to all </w:t>
      </w:r>
      <w:r w:rsidR="0057471F" w:rsidRPr="00F70333">
        <w:rPr>
          <w:sz w:val="24"/>
          <w:szCs w:val="24"/>
        </w:rPr>
        <w:t>960</w:t>
      </w:r>
      <w:r w:rsidRPr="00F70333">
        <w:rPr>
          <w:sz w:val="24"/>
          <w:szCs w:val="24"/>
        </w:rPr>
        <w:t xml:space="preserve"> participants at baseline and every 12 months for 2 years; </w:t>
      </w:r>
      <w:r w:rsidR="00516A1B" w:rsidRPr="00F70333">
        <w:rPr>
          <w:sz w:val="24"/>
          <w:szCs w:val="24"/>
        </w:rPr>
        <w:t>10</w:t>
      </w:r>
      <w:r w:rsidRPr="00F70333">
        <w:rPr>
          <w:sz w:val="24"/>
          <w:szCs w:val="24"/>
        </w:rPr>
        <w:t xml:space="preserve"> minutes estimated time combined per data collection) (</w:t>
      </w:r>
      <w:r w:rsidR="005109B6" w:rsidRPr="00F70333">
        <w:rPr>
          <w:b/>
          <w:sz w:val="24"/>
          <w:szCs w:val="24"/>
        </w:rPr>
        <w:t xml:space="preserve">Attachment </w:t>
      </w:r>
      <w:r w:rsidR="008D4F52" w:rsidRPr="00F70333">
        <w:rPr>
          <w:b/>
          <w:sz w:val="24"/>
          <w:szCs w:val="24"/>
        </w:rPr>
        <w:t>H-4</w:t>
      </w:r>
      <w:r w:rsidRPr="00F70333">
        <w:rPr>
          <w:b/>
          <w:sz w:val="24"/>
          <w:szCs w:val="24"/>
        </w:rPr>
        <w:t>)</w:t>
      </w:r>
      <w:r w:rsidR="00A51B40" w:rsidRPr="00F70333">
        <w:rPr>
          <w:b/>
          <w:sz w:val="24"/>
          <w:szCs w:val="24"/>
        </w:rPr>
        <w:t xml:space="preserve">. </w:t>
      </w:r>
    </w:p>
    <w:p w:rsidR="00594A55" w:rsidRPr="00F70333" w:rsidRDefault="005109B6" w:rsidP="00594A55">
      <w:r w:rsidRPr="00F70333">
        <w:rPr>
          <w:i/>
        </w:rPr>
        <w:t xml:space="preserve">3: </w:t>
      </w:r>
      <w:r w:rsidR="00594A55" w:rsidRPr="00F70333">
        <w:rPr>
          <w:i/>
        </w:rPr>
        <w:t>Clinical Examination</w:t>
      </w:r>
      <w:r w:rsidR="00594A55" w:rsidRPr="00F70333">
        <w:t xml:space="preserve"> (administered to a 20% sample of participants at baseline and every 12 months for 2 years; </w:t>
      </w:r>
      <w:r w:rsidR="00516A1B" w:rsidRPr="00F70333">
        <w:t>2</w:t>
      </w:r>
      <w:r w:rsidR="00594A55" w:rsidRPr="00F70333">
        <w:t>0 minutes total required time per data collection):</w:t>
      </w:r>
    </w:p>
    <w:p w:rsidR="003C28F4" w:rsidRPr="00F70333" w:rsidRDefault="003C28F4" w:rsidP="00594A55"/>
    <w:p w:rsidR="00270B64" w:rsidRPr="00F70333" w:rsidRDefault="00594A55" w:rsidP="00270B64">
      <w:pPr>
        <w:pStyle w:val="ListParagraph"/>
        <w:numPr>
          <w:ilvl w:val="0"/>
          <w:numId w:val="36"/>
        </w:numPr>
        <w:spacing w:after="200" w:line="240" w:lineRule="auto"/>
        <w:jc w:val="left"/>
        <w:rPr>
          <w:sz w:val="24"/>
          <w:szCs w:val="24"/>
        </w:rPr>
      </w:pPr>
      <w:r w:rsidRPr="00F70333">
        <w:rPr>
          <w:sz w:val="24"/>
          <w:szCs w:val="24"/>
          <w:u w:val="single"/>
        </w:rPr>
        <w:t>Low Back Functional Assessment</w:t>
      </w:r>
      <w:r w:rsidRPr="00F70333">
        <w:rPr>
          <w:sz w:val="24"/>
          <w:szCs w:val="24"/>
        </w:rPr>
        <w:t>: A test conducted onsite (e.g. by a physical therapist) at the volunteer establishment, where participants will be asked to perform several functions (e.g. back movements) to test range-of-motion (ROM) and current back pain (</w:t>
      </w:r>
      <w:r w:rsidR="005109B6" w:rsidRPr="00F70333">
        <w:rPr>
          <w:b/>
          <w:sz w:val="24"/>
          <w:szCs w:val="24"/>
        </w:rPr>
        <w:t xml:space="preserve">Attachment </w:t>
      </w:r>
      <w:r w:rsidR="008D4F52" w:rsidRPr="00F70333">
        <w:rPr>
          <w:b/>
          <w:sz w:val="24"/>
          <w:szCs w:val="24"/>
        </w:rPr>
        <w:t>I</w:t>
      </w:r>
      <w:r w:rsidRPr="00F70333">
        <w:rPr>
          <w:sz w:val="24"/>
          <w:szCs w:val="24"/>
        </w:rPr>
        <w:t>)</w:t>
      </w:r>
      <w:r w:rsidR="00497E52" w:rsidRPr="00F70333">
        <w:rPr>
          <w:sz w:val="24"/>
          <w:szCs w:val="24"/>
        </w:rPr>
        <w:t>.</w:t>
      </w:r>
      <w:r w:rsidR="00A51B40" w:rsidRPr="00F70333">
        <w:rPr>
          <w:sz w:val="24"/>
          <w:szCs w:val="24"/>
        </w:rPr>
        <w:t xml:space="preserve"> </w:t>
      </w:r>
    </w:p>
    <w:p w:rsidR="00270B64" w:rsidRPr="00F70333" w:rsidRDefault="00270B64" w:rsidP="00270B64">
      <w:pPr>
        <w:pStyle w:val="ListParagraph"/>
        <w:spacing w:after="200" w:line="240" w:lineRule="auto"/>
        <w:ind w:left="0"/>
        <w:jc w:val="left"/>
        <w:rPr>
          <w:sz w:val="24"/>
          <w:szCs w:val="24"/>
          <w:u w:val="single"/>
        </w:rPr>
      </w:pPr>
    </w:p>
    <w:p w:rsidR="00497E52" w:rsidRPr="00F70333" w:rsidRDefault="00497E52" w:rsidP="00270B64">
      <w:pPr>
        <w:pStyle w:val="ListParagraph"/>
        <w:spacing w:after="200" w:line="240" w:lineRule="auto"/>
        <w:ind w:left="0"/>
        <w:jc w:val="left"/>
        <w:rPr>
          <w:sz w:val="24"/>
          <w:szCs w:val="24"/>
        </w:rPr>
      </w:pPr>
      <w:r w:rsidRPr="00F70333">
        <w:rPr>
          <w:sz w:val="24"/>
          <w:szCs w:val="24"/>
        </w:rPr>
        <w:t xml:space="preserve">A limited amount of digital video may be collected at participant sites to document the types of tasks being conducted pre and post intervention. This video data will not be linked back to any individual participant data. All video data will be kept confidential and managed in accordance with the </w:t>
      </w:r>
      <w:r w:rsidR="008250BB" w:rsidRPr="00F70333">
        <w:rPr>
          <w:color w:val="000000"/>
          <w:sz w:val="24"/>
          <w:szCs w:val="24"/>
        </w:rPr>
        <w:t xml:space="preserve">Privacy Act of 1974, Title 5, United States Code, Section 522 (a). </w:t>
      </w:r>
      <w:r w:rsidRPr="00F70333">
        <w:rPr>
          <w:sz w:val="24"/>
          <w:szCs w:val="24"/>
        </w:rPr>
        <w:t xml:space="preserve">To ensure participants’ privacy, the only identification in the video databases will be a NIOSH assigned participant company code and task code. The code identifiers will be kept in a secure location in the </w:t>
      </w:r>
      <w:r w:rsidR="00A00441" w:rsidRPr="00F70333">
        <w:rPr>
          <w:sz w:val="24"/>
          <w:szCs w:val="24"/>
        </w:rPr>
        <w:t xml:space="preserve">principal </w:t>
      </w:r>
      <w:r w:rsidRPr="00F70333">
        <w:rPr>
          <w:sz w:val="24"/>
          <w:szCs w:val="24"/>
        </w:rPr>
        <w:t xml:space="preserve">investigators’ office.  Videos will be saved on a NIOSH computer network that is only accessible by the principal investigator, </w:t>
      </w:r>
      <w:r w:rsidRPr="00F70333">
        <w:rPr>
          <w:color w:val="000000"/>
          <w:sz w:val="24"/>
          <w:szCs w:val="24"/>
        </w:rPr>
        <w:t>study co-investigators,</w:t>
      </w:r>
      <w:r w:rsidRPr="00F70333">
        <w:rPr>
          <w:sz w:val="24"/>
          <w:szCs w:val="24"/>
        </w:rPr>
        <w:t xml:space="preserve"> and some supporting staff for the study.  The participating companies will not have access to the videos.  Prior to the video data collection, participants will be asked for permission to video, and uses of participants’ video data will be explained to them (</w:t>
      </w:r>
      <w:r w:rsidR="005109B6" w:rsidRPr="00F70333">
        <w:rPr>
          <w:b/>
          <w:sz w:val="24"/>
          <w:szCs w:val="24"/>
        </w:rPr>
        <w:t xml:space="preserve">Attachment </w:t>
      </w:r>
      <w:r w:rsidR="005161EA" w:rsidRPr="00F70333">
        <w:rPr>
          <w:b/>
          <w:sz w:val="24"/>
          <w:szCs w:val="24"/>
        </w:rPr>
        <w:t>G-3</w:t>
      </w:r>
      <w:r w:rsidRPr="00F70333">
        <w:rPr>
          <w:sz w:val="24"/>
          <w:szCs w:val="24"/>
        </w:rPr>
        <w:t>).</w:t>
      </w:r>
      <w:r w:rsidRPr="00F70333">
        <w:rPr>
          <w:b/>
          <w:sz w:val="24"/>
          <w:szCs w:val="24"/>
        </w:rPr>
        <w:t xml:space="preserve"> </w:t>
      </w:r>
      <w:r w:rsidRPr="00F70333">
        <w:rPr>
          <w:sz w:val="24"/>
          <w:szCs w:val="24"/>
        </w:rPr>
        <w:t> </w:t>
      </w:r>
      <w:r w:rsidRPr="00F70333">
        <w:rPr>
          <w:color w:val="000000"/>
          <w:sz w:val="24"/>
          <w:szCs w:val="24"/>
        </w:rPr>
        <w:t xml:space="preserve">The digital video data saved on the NIOSH network will be transferred to DVD discs and saved in a file cabinet located in the principal investigator’s office.  The principal investigator and study co-investigators may use the video data for designing future interventions or understanding material handling tasks in the WRT </w:t>
      </w:r>
      <w:r w:rsidRPr="00F70333">
        <w:rPr>
          <w:sz w:val="24"/>
          <w:szCs w:val="24"/>
        </w:rPr>
        <w:t>sector.</w:t>
      </w:r>
    </w:p>
    <w:p w:rsidR="0038553A" w:rsidRPr="00F70333" w:rsidRDefault="0038553A" w:rsidP="0038553A">
      <w:pPr>
        <w:pStyle w:val="Heading3"/>
        <w:rPr>
          <w:b w:val="0"/>
          <w:u w:val="none"/>
        </w:rPr>
      </w:pPr>
      <w:bookmarkStart w:id="7" w:name="_Toc248224219"/>
      <w:r w:rsidRPr="00F70333">
        <w:rPr>
          <w:b w:val="0"/>
          <w:u w:val="none"/>
        </w:rPr>
        <w:t>Identification of Website(s) and Website Content Directed at Children Under 13 Years of Age</w:t>
      </w:r>
      <w:bookmarkEnd w:id="7"/>
    </w:p>
    <w:p w:rsidR="0038553A" w:rsidRPr="00F70333" w:rsidRDefault="0038553A" w:rsidP="0038553A"/>
    <w:p w:rsidR="00A00441" w:rsidRPr="00F70333" w:rsidRDefault="00A00441" w:rsidP="00A00441">
      <w:pPr>
        <w:keepNext/>
        <w:keepLines/>
        <w:tabs>
          <w:tab w:val="left" w:pos="2160"/>
        </w:tabs>
        <w:rPr>
          <w:rFonts w:ascii="Arial" w:hAnsi="Arial" w:cs="Arial"/>
        </w:rPr>
      </w:pPr>
      <w:r w:rsidRPr="00F70333">
        <w:t>As described, t</w:t>
      </w:r>
      <w:r w:rsidR="0038553A" w:rsidRPr="00F70333">
        <w:t xml:space="preserve">he proposed research will involve the collection of information through </w:t>
      </w:r>
      <w:r w:rsidRPr="00F70333">
        <w:t xml:space="preserve">a secure </w:t>
      </w:r>
      <w:r w:rsidR="0038553A" w:rsidRPr="00F70333">
        <w:t>website</w:t>
      </w:r>
      <w:r w:rsidRPr="00F70333">
        <w:t>. The research w</w:t>
      </w:r>
      <w:r w:rsidR="0038553A" w:rsidRPr="00F70333">
        <w:t xml:space="preserve">ill not direct any website content at children </w:t>
      </w:r>
      <w:proofErr w:type="gramStart"/>
      <w:r w:rsidR="0038553A" w:rsidRPr="00F70333">
        <w:t>under</w:t>
      </w:r>
      <w:proofErr w:type="gramEnd"/>
      <w:r w:rsidR="0038553A" w:rsidRPr="00F70333">
        <w:t xml:space="preserve"> 13 years of age.</w:t>
      </w:r>
      <w:r w:rsidRPr="00F70333">
        <w:t xml:space="preserve"> </w:t>
      </w:r>
      <w:r w:rsidRPr="00F70333">
        <w:rPr>
          <w:color w:val="000000"/>
        </w:rPr>
        <w:t>All data collection and r</w:t>
      </w:r>
      <w:r w:rsidRPr="00F70333">
        <w:t xml:space="preserve">ecords management practices and systems (including the online survey system) will adhere to all applicable federal, Health and Human Services (HHS), Centers for Disease Control (CDC), and NIOSH IT security policies and procedures [Security Requirements for Federal Information Technology Resources, January 2010; Health and Human Services Acquisition Regulation (HHSAR), Clause 352.239-72]. See the </w:t>
      </w:r>
      <w:r w:rsidR="004E57C1" w:rsidRPr="00F70333">
        <w:t xml:space="preserve">Information </w:t>
      </w:r>
      <w:r w:rsidRPr="00F70333">
        <w:t xml:space="preserve">Security Plan in </w:t>
      </w:r>
      <w:r w:rsidRPr="00F70333">
        <w:rPr>
          <w:b/>
        </w:rPr>
        <w:t xml:space="preserve">Attachment </w:t>
      </w:r>
      <w:r w:rsidR="005161EA" w:rsidRPr="00F70333">
        <w:rPr>
          <w:b/>
        </w:rPr>
        <w:t>F</w:t>
      </w:r>
      <w:r w:rsidRPr="00F70333">
        <w:t xml:space="preserve"> for more information.</w:t>
      </w:r>
    </w:p>
    <w:p w:rsidR="0038553A" w:rsidRPr="00F70333" w:rsidRDefault="0038553A" w:rsidP="0038553A">
      <w:pPr>
        <w:pStyle w:val="Heading2"/>
        <w:rPr>
          <w:b w:val="0"/>
        </w:rPr>
      </w:pPr>
      <w:bookmarkStart w:id="8" w:name="_Toc239826774"/>
      <w:bookmarkStart w:id="9" w:name="_Toc248821741"/>
      <w:bookmarkStart w:id="10" w:name="_Toc261966285"/>
      <w:r w:rsidRPr="00F70333">
        <w:rPr>
          <w:b w:val="0"/>
        </w:rPr>
        <w:t>A2.</w:t>
      </w:r>
      <w:r w:rsidRPr="00F70333">
        <w:rPr>
          <w:b w:val="0"/>
        </w:rPr>
        <w:tab/>
        <w:t>Purpose and Use of Information Collection</w:t>
      </w:r>
      <w:bookmarkEnd w:id="8"/>
      <w:bookmarkEnd w:id="9"/>
      <w:bookmarkEnd w:id="10"/>
    </w:p>
    <w:p w:rsidR="003465EE" w:rsidRPr="00F70333" w:rsidRDefault="003465EE" w:rsidP="003465EE">
      <w:pPr>
        <w:rPr>
          <w:lang w:eastAsia="ja-JP"/>
        </w:rPr>
      </w:pPr>
    </w:p>
    <w:p w:rsidR="003465EE" w:rsidRPr="00F70333" w:rsidRDefault="003465EE" w:rsidP="003465EE">
      <w:r w:rsidRPr="00F70333">
        <w:t xml:space="preserve">All information collected will be used to determine whether </w:t>
      </w:r>
      <w:r w:rsidR="00A51B40" w:rsidRPr="00F70333">
        <w:t xml:space="preserve">the tested MSD interventions are effective in reducing </w:t>
      </w:r>
      <w:r w:rsidR="008250BB" w:rsidRPr="00F70333">
        <w:t>self-</w:t>
      </w:r>
      <w:r w:rsidRPr="00F70333">
        <w:t xml:space="preserve">reported back and </w:t>
      </w:r>
      <w:r w:rsidR="00DE7C54" w:rsidRPr="00F70333">
        <w:t>upper extremity</w:t>
      </w:r>
      <w:r w:rsidRPr="00F70333">
        <w:t xml:space="preserve"> pain</w:t>
      </w:r>
      <w:r w:rsidR="00A51B40" w:rsidRPr="00F70333">
        <w:t xml:space="preserve"> among WRT delivery personnel. </w:t>
      </w:r>
      <w:r w:rsidRPr="00F70333">
        <w:t xml:space="preserve"> Results of the study (in de-identified and aggregated form) will be disseminated in the scientific literature and in educational materials through NIOSH and OBWC channels (website, publications). </w:t>
      </w:r>
      <w:r w:rsidRPr="00F70333">
        <w:rPr>
          <w:color w:val="000000"/>
        </w:rPr>
        <w:t xml:space="preserve">The </w:t>
      </w:r>
      <w:r w:rsidR="005109B6" w:rsidRPr="00F70333">
        <w:rPr>
          <w:color w:val="000000"/>
        </w:rPr>
        <w:t>privacy</w:t>
      </w:r>
      <w:r w:rsidRPr="00F70333">
        <w:rPr>
          <w:color w:val="000000"/>
        </w:rPr>
        <w:t xml:space="preserve"> of all data collected will be protected to the extent legally possible, as covered by the Privacy Act of 1974, Title 5, </w:t>
      </w:r>
      <w:r w:rsidRPr="00F70333">
        <w:rPr>
          <w:color w:val="000000"/>
        </w:rPr>
        <w:lastRenderedPageBreak/>
        <w:t xml:space="preserve">United States Code, Section 522 (a).   </w:t>
      </w:r>
      <w:r w:rsidRPr="00F70333">
        <w:t xml:space="preserve">Individual participant personal information will not be published in any identifiable form. </w:t>
      </w:r>
    </w:p>
    <w:p w:rsidR="00A51B40" w:rsidRPr="00F70333" w:rsidRDefault="00A51B40" w:rsidP="003465EE"/>
    <w:p w:rsidR="003B554E" w:rsidRPr="00F70333" w:rsidRDefault="00A51B40" w:rsidP="00566480">
      <w:r w:rsidRPr="00F70333">
        <w:t xml:space="preserve">The data collection </w:t>
      </w:r>
      <w:r w:rsidR="003B554E" w:rsidRPr="00F70333">
        <w:t xml:space="preserve">for the MSD intervention study is part of a multi-phase project between NIOSH and OBWC that is fully funded from </w:t>
      </w:r>
      <w:r w:rsidR="005109B6" w:rsidRPr="00F70333">
        <w:t>Fiscal Year 2011</w:t>
      </w:r>
      <w:r w:rsidR="003B554E" w:rsidRPr="00F70333">
        <w:t xml:space="preserve"> through </w:t>
      </w:r>
      <w:r w:rsidR="005109B6" w:rsidRPr="00F70333">
        <w:t>Fiscal Year 2014</w:t>
      </w:r>
      <w:r w:rsidR="003B554E" w:rsidRPr="00F70333">
        <w:t xml:space="preserve">. The project was awarded federal funds through the NIOSH National Occupational Research Agenda (NORA) competitive process for intramural research. </w:t>
      </w:r>
      <w:r w:rsidR="007E408F" w:rsidRPr="00F70333">
        <w:t xml:space="preserve">OBWC is also funding the majority of costs of the actual interventions (powered hand trucks and lift gates) through a 2:1 matching grant process. </w:t>
      </w:r>
    </w:p>
    <w:p w:rsidR="007E408F" w:rsidRPr="00F70333" w:rsidRDefault="007E408F" w:rsidP="00566480"/>
    <w:p w:rsidR="00411D7A" w:rsidRPr="00F70333" w:rsidRDefault="007E408F" w:rsidP="00566480">
      <w:pPr>
        <w:rPr>
          <w:color w:val="231F20"/>
        </w:rPr>
      </w:pPr>
      <w:r w:rsidRPr="00F70333">
        <w:t xml:space="preserve">The data collection is </w:t>
      </w:r>
      <w:r w:rsidR="00A51B40" w:rsidRPr="00F70333">
        <w:t xml:space="preserve">justified because very few clinical trials for the effectiveness of MSD controls </w:t>
      </w:r>
      <w:r w:rsidR="00566480" w:rsidRPr="00F70333">
        <w:t xml:space="preserve">have been conducted. </w:t>
      </w:r>
      <w:r w:rsidR="00566480" w:rsidRPr="00F70333">
        <w:rPr>
          <w:color w:val="231F20"/>
        </w:rPr>
        <w:t>Clearly there is a need to conduct rigorous experimental research to define further the effectiveness of MSD control interventions</w:t>
      </w:r>
      <w:r w:rsidR="00A40987" w:rsidRPr="00F70333">
        <w:rPr>
          <w:color w:val="231F20"/>
        </w:rPr>
        <w:t>. This will enable e</w:t>
      </w:r>
      <w:r w:rsidR="00411D7A" w:rsidRPr="00F70333">
        <w:rPr>
          <w:lang w:eastAsia="ja-JP"/>
        </w:rPr>
        <w:t xml:space="preserve">vidence based practices </w:t>
      </w:r>
      <w:r w:rsidR="00A40987" w:rsidRPr="00F70333">
        <w:rPr>
          <w:lang w:eastAsia="ja-JP"/>
        </w:rPr>
        <w:t>to</w:t>
      </w:r>
      <w:r w:rsidR="00411D7A" w:rsidRPr="00F70333">
        <w:rPr>
          <w:lang w:eastAsia="ja-JP"/>
        </w:rPr>
        <w:t xml:space="preserve"> be shared with the greatest audience possible</w:t>
      </w:r>
      <w:r w:rsidR="00566480" w:rsidRPr="00F70333">
        <w:rPr>
          <w:color w:val="231F20"/>
        </w:rPr>
        <w:t xml:space="preserve">. </w:t>
      </w:r>
      <w:r w:rsidR="00411D7A" w:rsidRPr="00F70333">
        <w:rPr>
          <w:color w:val="231F20"/>
        </w:rPr>
        <w:t xml:space="preserve">Such data has practical utility to the federal government, state government, and private stakeholders. </w:t>
      </w:r>
    </w:p>
    <w:p w:rsidR="00411D7A" w:rsidRPr="00F70333" w:rsidRDefault="00411D7A" w:rsidP="00566480">
      <w:pPr>
        <w:rPr>
          <w:color w:val="231F20"/>
        </w:rPr>
      </w:pPr>
    </w:p>
    <w:p w:rsidR="00566480" w:rsidRPr="00F70333" w:rsidRDefault="00411D7A" w:rsidP="00566480">
      <w:pPr>
        <w:rPr>
          <w:color w:val="231F20"/>
        </w:rPr>
      </w:pPr>
      <w:r w:rsidRPr="00F70333">
        <w:rPr>
          <w:color w:val="231F20"/>
        </w:rPr>
        <w:t xml:space="preserve">For example, </w:t>
      </w:r>
      <w:r w:rsidR="00856654" w:rsidRPr="00F70333">
        <w:rPr>
          <w:color w:val="231F20"/>
        </w:rPr>
        <w:t xml:space="preserve">the </w:t>
      </w:r>
      <w:r w:rsidRPr="00F70333">
        <w:rPr>
          <w:color w:val="231F20"/>
        </w:rPr>
        <w:t xml:space="preserve">federal </w:t>
      </w:r>
      <w:r w:rsidR="00A40987" w:rsidRPr="00F70333">
        <w:rPr>
          <w:color w:val="231F20"/>
        </w:rPr>
        <w:t>O</w:t>
      </w:r>
      <w:r w:rsidR="00856654" w:rsidRPr="00F70333">
        <w:rPr>
          <w:color w:val="231F20"/>
        </w:rPr>
        <w:t>ccupational and S</w:t>
      </w:r>
      <w:bookmarkStart w:id="11" w:name="_GoBack"/>
      <w:bookmarkEnd w:id="11"/>
      <w:r w:rsidR="00856654" w:rsidRPr="00F70333">
        <w:rPr>
          <w:color w:val="231F20"/>
        </w:rPr>
        <w:t xml:space="preserve">afety </w:t>
      </w:r>
      <w:r w:rsidR="001F4A52" w:rsidRPr="00F70333">
        <w:rPr>
          <w:color w:val="231F20"/>
        </w:rPr>
        <w:t>and Health Administration (O</w:t>
      </w:r>
      <w:r w:rsidR="00A40987" w:rsidRPr="00F70333">
        <w:rPr>
          <w:color w:val="231F20"/>
        </w:rPr>
        <w:t>SHA</w:t>
      </w:r>
      <w:r w:rsidR="001F4A52" w:rsidRPr="00F70333">
        <w:rPr>
          <w:color w:val="231F20"/>
        </w:rPr>
        <w:t>)</w:t>
      </w:r>
      <w:r w:rsidR="00A40987" w:rsidRPr="00F70333">
        <w:rPr>
          <w:color w:val="231F20"/>
        </w:rPr>
        <w:t xml:space="preserve"> </w:t>
      </w:r>
      <w:proofErr w:type="gramStart"/>
      <w:r w:rsidR="00A40987" w:rsidRPr="00F70333">
        <w:rPr>
          <w:color w:val="231F20"/>
        </w:rPr>
        <w:t>is</w:t>
      </w:r>
      <w:proofErr w:type="gramEnd"/>
      <w:r w:rsidR="00991325" w:rsidRPr="00F70333">
        <w:rPr>
          <w:color w:val="231F20"/>
        </w:rPr>
        <w:t xml:space="preserve"> </w:t>
      </w:r>
      <w:r w:rsidR="00A40987" w:rsidRPr="00F70333">
        <w:rPr>
          <w:color w:val="231F20"/>
        </w:rPr>
        <w:t xml:space="preserve">seeking input about </w:t>
      </w:r>
      <w:r w:rsidR="001F4A52" w:rsidRPr="00F70333">
        <w:rPr>
          <w:color w:val="231F20"/>
        </w:rPr>
        <w:t xml:space="preserve">the </w:t>
      </w:r>
      <w:r w:rsidR="00A40987" w:rsidRPr="00F70333">
        <w:rPr>
          <w:color w:val="231F20"/>
        </w:rPr>
        <w:t xml:space="preserve">relevance of MSD-focused safety and health regulations. </w:t>
      </w:r>
      <w:r w:rsidR="00566480" w:rsidRPr="00F70333">
        <w:rPr>
          <w:color w:val="231F20"/>
        </w:rPr>
        <w:t>Recently, OSHA announced intention to restore a record keeping regulation to document MSDs on OSHA 300 logs</w:t>
      </w:r>
      <w:r w:rsidR="001F4A52" w:rsidRPr="00F70333">
        <w:rPr>
          <w:color w:val="231F20"/>
        </w:rPr>
        <w:t xml:space="preserve"> (</w:t>
      </w:r>
      <w:r w:rsidR="005215AC" w:rsidRPr="00F70333">
        <w:t>US Federal Register, 2010a)</w:t>
      </w:r>
      <w:r w:rsidR="00BE06B1" w:rsidRPr="00F70333">
        <w:rPr>
          <w:color w:val="231F20"/>
        </w:rPr>
        <w:t>.</w:t>
      </w:r>
      <w:r w:rsidR="00566480" w:rsidRPr="00F70333">
        <w:rPr>
          <w:color w:val="231F20"/>
        </w:rPr>
        <w:t xml:space="preserve"> </w:t>
      </w:r>
      <w:r w:rsidRPr="00F70333">
        <w:rPr>
          <w:color w:val="231F20"/>
        </w:rPr>
        <w:t>OSHA has also proposed a regulation for an injury/illness prevention program that could include the framework for MSD control</w:t>
      </w:r>
      <w:r w:rsidR="001F4A52" w:rsidRPr="00F70333">
        <w:rPr>
          <w:color w:val="231F20"/>
        </w:rPr>
        <w:t xml:space="preserve"> </w:t>
      </w:r>
      <w:r w:rsidR="005215AC" w:rsidRPr="00F70333">
        <w:rPr>
          <w:color w:val="231F20"/>
        </w:rPr>
        <w:t>(</w:t>
      </w:r>
      <w:r w:rsidR="005215AC" w:rsidRPr="00F70333">
        <w:t xml:space="preserve">US Federal </w:t>
      </w:r>
      <w:r w:rsidR="005215AC" w:rsidRPr="00CE0CC8">
        <w:t>Register, 2010b)</w:t>
      </w:r>
      <w:r w:rsidR="005215AC" w:rsidRPr="00CE0CC8">
        <w:rPr>
          <w:color w:val="231F20"/>
        </w:rPr>
        <w:t xml:space="preserve">. </w:t>
      </w:r>
      <w:r w:rsidR="00D150ED" w:rsidRPr="00CE0CC8">
        <w:rPr>
          <w:color w:val="231F20"/>
        </w:rPr>
        <w:t xml:space="preserve">OSHA is in the process of soliciting input for both potential standards. </w:t>
      </w:r>
      <w:r w:rsidR="00BE06B1" w:rsidRPr="00CE0CC8">
        <w:rPr>
          <w:color w:val="231F20"/>
        </w:rPr>
        <w:t xml:space="preserve">OSHA is also required to submit </w:t>
      </w:r>
      <w:r w:rsidR="00C62E1E" w:rsidRPr="00CE0CC8">
        <w:rPr>
          <w:color w:val="231F20"/>
        </w:rPr>
        <w:t xml:space="preserve">justification </w:t>
      </w:r>
      <w:r w:rsidR="00BE06B1" w:rsidRPr="00CE0CC8">
        <w:rPr>
          <w:color w:val="231F20"/>
        </w:rPr>
        <w:t xml:space="preserve">for the implementation of proposed regulations. Without rigorous studies on the effectiveness of primary prevention </w:t>
      </w:r>
      <w:r w:rsidR="001F4A52" w:rsidRPr="00CE0CC8">
        <w:rPr>
          <w:color w:val="231F20"/>
        </w:rPr>
        <w:t xml:space="preserve">approaches </w:t>
      </w:r>
      <w:r w:rsidR="00BE06B1" w:rsidRPr="00CE0CC8">
        <w:rPr>
          <w:color w:val="231F20"/>
        </w:rPr>
        <w:t xml:space="preserve">in general, </w:t>
      </w:r>
      <w:r w:rsidR="001F4A52" w:rsidRPr="00CE0CC8">
        <w:rPr>
          <w:color w:val="231F20"/>
        </w:rPr>
        <w:t xml:space="preserve">and MSD interventions specifically, </w:t>
      </w:r>
      <w:r w:rsidR="00BE06B1" w:rsidRPr="00CE0CC8">
        <w:rPr>
          <w:color w:val="231F20"/>
        </w:rPr>
        <w:t>such analyses can be difficult.</w:t>
      </w:r>
      <w:r w:rsidR="00BE06B1" w:rsidRPr="00F70333">
        <w:rPr>
          <w:color w:val="231F20"/>
        </w:rPr>
        <w:t xml:space="preserve"> </w:t>
      </w:r>
    </w:p>
    <w:p w:rsidR="00BE06B1" w:rsidRPr="00F70333" w:rsidRDefault="00BE06B1" w:rsidP="00566480">
      <w:pPr>
        <w:rPr>
          <w:color w:val="231F20"/>
        </w:rPr>
      </w:pPr>
    </w:p>
    <w:p w:rsidR="00E1565E" w:rsidRPr="00F70333" w:rsidRDefault="00411D7A" w:rsidP="00E1565E">
      <w:pPr>
        <w:rPr>
          <w:rFonts w:eastAsia="MS Mincho"/>
          <w:lang w:eastAsia="ja-JP"/>
        </w:rPr>
      </w:pPr>
      <w:r w:rsidRPr="00F70333">
        <w:rPr>
          <w:color w:val="231F20"/>
        </w:rPr>
        <w:t xml:space="preserve">State organizations such as </w:t>
      </w:r>
      <w:r w:rsidR="00A40987" w:rsidRPr="00F70333">
        <w:rPr>
          <w:color w:val="231F20"/>
        </w:rPr>
        <w:t xml:space="preserve">the </w:t>
      </w:r>
      <w:r w:rsidRPr="00F70333">
        <w:rPr>
          <w:color w:val="231F20"/>
        </w:rPr>
        <w:t xml:space="preserve">OBWC </w:t>
      </w:r>
      <w:r w:rsidR="00A40987" w:rsidRPr="00F70333">
        <w:rPr>
          <w:color w:val="231F20"/>
        </w:rPr>
        <w:t xml:space="preserve">that sponsor </w:t>
      </w:r>
      <w:r w:rsidR="00E26B9D" w:rsidRPr="00F70333">
        <w:rPr>
          <w:color w:val="231F20"/>
        </w:rPr>
        <w:t>prevention programs are seeking to evaluate th</w:t>
      </w:r>
      <w:r w:rsidRPr="00F70333">
        <w:t>e effectiveness of their various programs using the most scientifically rigorous methods possible. For this reason, OBWC is eager to collaborate wi</w:t>
      </w:r>
      <w:r w:rsidR="00E26B9D" w:rsidRPr="00F70333">
        <w:rPr>
          <w:rFonts w:eastAsia="MS Mincho"/>
          <w:lang w:eastAsia="ja-JP"/>
        </w:rPr>
        <w:t>th NIOSH on this project</w:t>
      </w:r>
      <w:r w:rsidR="00BE06B1" w:rsidRPr="00F70333">
        <w:rPr>
          <w:rFonts w:eastAsia="MS Mincho"/>
          <w:lang w:eastAsia="ja-JP"/>
        </w:rPr>
        <w:t xml:space="preserve"> and OBWC has offered substantial financial resources (over $</w:t>
      </w:r>
      <w:r w:rsidR="00D150ED" w:rsidRPr="00F70333">
        <w:rPr>
          <w:rFonts w:eastAsia="MS Mincho"/>
          <w:lang w:eastAsia="ja-JP"/>
        </w:rPr>
        <w:t>5</w:t>
      </w:r>
      <w:r w:rsidR="00BE06B1" w:rsidRPr="00F70333">
        <w:rPr>
          <w:rFonts w:eastAsia="MS Mincho"/>
          <w:lang w:eastAsia="ja-JP"/>
        </w:rPr>
        <w:t xml:space="preserve">00,000 </w:t>
      </w:r>
      <w:r w:rsidR="001F4A52" w:rsidRPr="00F70333">
        <w:rPr>
          <w:rFonts w:eastAsia="MS Mincho"/>
          <w:lang w:eastAsia="ja-JP"/>
        </w:rPr>
        <w:t xml:space="preserve">in </w:t>
      </w:r>
      <w:r w:rsidR="00BE06B1" w:rsidRPr="00F70333">
        <w:rPr>
          <w:rFonts w:eastAsia="MS Mincho"/>
          <w:lang w:eastAsia="ja-JP"/>
        </w:rPr>
        <w:t xml:space="preserve">matching grants) to support the proposed prospective intervention study. </w:t>
      </w:r>
      <w:r w:rsidR="00D150ED" w:rsidRPr="00F70333">
        <w:rPr>
          <w:lang w:eastAsia="ja-JP"/>
        </w:rPr>
        <w:t xml:space="preserve">The goal is to identify </w:t>
      </w:r>
      <w:r w:rsidRPr="00F70333">
        <w:rPr>
          <w:lang w:eastAsia="ja-JP"/>
        </w:rPr>
        <w:t xml:space="preserve">evidence based practices </w:t>
      </w:r>
      <w:r w:rsidR="00D150ED" w:rsidRPr="00F70333">
        <w:rPr>
          <w:lang w:eastAsia="ja-JP"/>
        </w:rPr>
        <w:t xml:space="preserve">and programs </w:t>
      </w:r>
      <w:r w:rsidRPr="00F70333">
        <w:rPr>
          <w:lang w:eastAsia="ja-JP"/>
        </w:rPr>
        <w:t>can be shared with</w:t>
      </w:r>
      <w:r w:rsidR="00D150ED" w:rsidRPr="00F70333">
        <w:rPr>
          <w:lang w:eastAsia="ja-JP"/>
        </w:rPr>
        <w:t xml:space="preserve"> the greatest audience possible. In this way,</w:t>
      </w:r>
      <w:r w:rsidRPr="00F70333">
        <w:rPr>
          <w:lang w:eastAsia="ja-JP"/>
        </w:rPr>
        <w:t xml:space="preserve"> </w:t>
      </w:r>
      <w:r w:rsidRPr="00F70333">
        <w:rPr>
          <w:rFonts w:eastAsia="MS Mincho"/>
          <w:lang w:eastAsia="ja-JP"/>
        </w:rPr>
        <w:t>OBWC</w:t>
      </w:r>
      <w:r w:rsidR="00D150ED" w:rsidRPr="00F70333">
        <w:rPr>
          <w:rFonts w:eastAsia="MS Mincho"/>
          <w:lang w:eastAsia="ja-JP"/>
        </w:rPr>
        <w:t xml:space="preserve"> can efficiently allo</w:t>
      </w:r>
      <w:r w:rsidR="001F4A52" w:rsidRPr="00F70333">
        <w:rPr>
          <w:rFonts w:eastAsia="MS Mincho"/>
          <w:lang w:eastAsia="ja-JP"/>
        </w:rPr>
        <w:t xml:space="preserve">cate their </w:t>
      </w:r>
      <w:r w:rsidRPr="00F70333">
        <w:rPr>
          <w:rFonts w:eastAsia="MS Mincho"/>
          <w:lang w:eastAsia="ja-JP"/>
        </w:rPr>
        <w:t>resources among program alternatives that range widely from primary prevention to disability management</w:t>
      </w:r>
      <w:r w:rsidR="00BE06B1" w:rsidRPr="00F70333">
        <w:rPr>
          <w:rFonts w:eastAsia="MS Mincho"/>
          <w:lang w:eastAsia="ja-JP"/>
        </w:rPr>
        <w:t>.</w:t>
      </w:r>
      <w:r w:rsidR="00572955" w:rsidRPr="00F70333">
        <w:rPr>
          <w:rFonts w:eastAsia="MS Mincho"/>
          <w:lang w:eastAsia="ja-JP"/>
        </w:rPr>
        <w:t xml:space="preserve"> </w:t>
      </w:r>
      <w:r w:rsidR="00E1565E" w:rsidRPr="00F70333">
        <w:rPr>
          <w:rFonts w:eastAsia="MS Mincho"/>
          <w:lang w:eastAsia="ja-JP"/>
        </w:rPr>
        <w:t>OBWC and NIOSH have also formalized an agreement (</w:t>
      </w:r>
      <w:r w:rsidR="00E1565E" w:rsidRPr="00F70333">
        <w:rPr>
          <w:rFonts w:eastAsia="MS Mincho"/>
          <w:b/>
          <w:lang w:eastAsia="ja-JP"/>
        </w:rPr>
        <w:t>A</w:t>
      </w:r>
      <w:r w:rsidR="001F4A52" w:rsidRPr="00F70333">
        <w:rPr>
          <w:rFonts w:eastAsia="MS Mincho"/>
          <w:b/>
          <w:lang w:eastAsia="ja-JP"/>
        </w:rPr>
        <w:t>ttachment</w:t>
      </w:r>
      <w:r w:rsidR="00262BBF" w:rsidRPr="00F70333">
        <w:rPr>
          <w:rFonts w:eastAsia="MS Mincho"/>
          <w:b/>
          <w:lang w:eastAsia="ja-JP"/>
        </w:rPr>
        <w:t xml:space="preserve"> E</w:t>
      </w:r>
      <w:r w:rsidR="00735B03" w:rsidRPr="00F70333">
        <w:rPr>
          <w:rFonts w:eastAsia="MS Mincho"/>
          <w:b/>
          <w:lang w:eastAsia="ja-JP"/>
        </w:rPr>
        <w:t>-1</w:t>
      </w:r>
      <w:r w:rsidR="00E1565E" w:rsidRPr="00F70333">
        <w:rPr>
          <w:rFonts w:eastAsia="MS Mincho"/>
          <w:lang w:eastAsia="ja-JP"/>
        </w:rPr>
        <w:t xml:space="preserve">) to outline a collaborative research partnership and specify a data sharing agreement to ensure </w:t>
      </w:r>
      <w:r w:rsidR="00B54786">
        <w:rPr>
          <w:rFonts w:eastAsia="MS Mincho"/>
          <w:lang w:eastAsia="ja-JP"/>
        </w:rPr>
        <w:t>data security</w:t>
      </w:r>
      <w:r w:rsidR="00D150ED" w:rsidRPr="00F70333">
        <w:rPr>
          <w:rFonts w:eastAsia="MS Mincho"/>
          <w:lang w:eastAsia="ja-JP"/>
        </w:rPr>
        <w:t xml:space="preserve">. This MSD intervention study represents one of the first steps </w:t>
      </w:r>
      <w:r w:rsidR="00E1565E" w:rsidRPr="00F70333">
        <w:rPr>
          <w:rFonts w:eastAsia="MS Mincho"/>
          <w:lang w:eastAsia="ja-JP"/>
        </w:rPr>
        <w:t xml:space="preserve">towards addressing many of the partnership goals, starting with the WRT sector and OBWC is committed to supporting these projects (see the letter of support from OBWC in </w:t>
      </w:r>
      <w:r w:rsidR="001F4A52" w:rsidRPr="00F70333">
        <w:rPr>
          <w:rFonts w:eastAsia="MS Mincho"/>
          <w:b/>
          <w:lang w:eastAsia="ja-JP"/>
        </w:rPr>
        <w:t xml:space="preserve">Attachment </w:t>
      </w:r>
      <w:r w:rsidR="00735B03" w:rsidRPr="00F70333">
        <w:rPr>
          <w:rFonts w:eastAsia="MS Mincho"/>
          <w:b/>
          <w:lang w:eastAsia="ja-JP"/>
        </w:rPr>
        <w:t>E-2</w:t>
      </w:r>
      <w:r w:rsidR="00E1565E" w:rsidRPr="00F70333">
        <w:rPr>
          <w:rFonts w:eastAsia="MS Mincho"/>
          <w:lang w:eastAsia="ja-JP"/>
        </w:rPr>
        <w:t xml:space="preserve">). </w:t>
      </w:r>
    </w:p>
    <w:p w:rsidR="00D150ED" w:rsidRPr="00F70333" w:rsidRDefault="00D150ED" w:rsidP="00E1565E">
      <w:pPr>
        <w:rPr>
          <w:rFonts w:eastAsia="MS Mincho"/>
          <w:lang w:eastAsia="ja-JP"/>
        </w:rPr>
      </w:pPr>
    </w:p>
    <w:p w:rsidR="00D150ED" w:rsidRPr="00F70333" w:rsidRDefault="001F4A52" w:rsidP="00E1565E">
      <w:pPr>
        <w:rPr>
          <w:rFonts w:eastAsia="MS Mincho"/>
          <w:b/>
          <w:lang w:eastAsia="ja-JP"/>
        </w:rPr>
      </w:pPr>
      <w:r w:rsidRPr="00F70333">
        <w:rPr>
          <w:rFonts w:eastAsia="MS Mincho"/>
          <w:lang w:eastAsia="ja-JP"/>
        </w:rPr>
        <w:t>The results</w:t>
      </w:r>
      <w:r w:rsidR="00D150ED" w:rsidRPr="00F70333">
        <w:rPr>
          <w:rFonts w:eastAsia="MS Mincho"/>
          <w:lang w:eastAsia="ja-JP"/>
        </w:rPr>
        <w:t xml:space="preserve"> of the current study are also relevant for private companies (such</w:t>
      </w:r>
      <w:r w:rsidR="009F7539">
        <w:rPr>
          <w:rFonts w:eastAsia="MS Mincho"/>
          <w:lang w:eastAsia="ja-JP"/>
        </w:rPr>
        <w:t xml:space="preserve"> as</w:t>
      </w:r>
      <w:r w:rsidR="00D150ED" w:rsidRPr="00F70333">
        <w:rPr>
          <w:rFonts w:eastAsia="MS Mincho"/>
          <w:lang w:eastAsia="ja-JP"/>
        </w:rPr>
        <w:t xml:space="preserve"> </w:t>
      </w:r>
      <w:r w:rsidR="00991325" w:rsidRPr="00F70333">
        <w:rPr>
          <w:rFonts w:eastAsia="MS Mincho"/>
          <w:lang w:eastAsia="ja-JP"/>
        </w:rPr>
        <w:t xml:space="preserve">WRT companies, </w:t>
      </w:r>
      <w:r w:rsidR="00D150ED" w:rsidRPr="00F70333">
        <w:rPr>
          <w:rFonts w:eastAsia="MS Mincho"/>
          <w:lang w:eastAsia="ja-JP"/>
        </w:rPr>
        <w:t xml:space="preserve">workers compensation </w:t>
      </w:r>
      <w:r w:rsidR="00991325" w:rsidRPr="00F70333">
        <w:rPr>
          <w:rFonts w:eastAsia="MS Mincho"/>
          <w:lang w:eastAsia="ja-JP"/>
        </w:rPr>
        <w:t>or</w:t>
      </w:r>
      <w:r w:rsidR="00D150ED" w:rsidRPr="00F70333">
        <w:rPr>
          <w:rFonts w:eastAsia="MS Mincho"/>
          <w:lang w:eastAsia="ja-JP"/>
        </w:rPr>
        <w:t xml:space="preserve"> health insurance carriers) that may sponsor prevention programs. </w:t>
      </w:r>
      <w:r w:rsidRPr="00F70333">
        <w:rPr>
          <w:rFonts w:eastAsia="MS Mincho"/>
          <w:lang w:eastAsia="ja-JP"/>
        </w:rPr>
        <w:t>Sponsored-grant</w:t>
      </w:r>
      <w:r w:rsidR="00452B47" w:rsidRPr="00F70333">
        <w:rPr>
          <w:rFonts w:eastAsia="MS Mincho"/>
          <w:lang w:eastAsia="ja-JP"/>
        </w:rPr>
        <w:t xml:space="preserve"> programs for engineering controls (like the </w:t>
      </w:r>
      <w:r w:rsidRPr="00F70333">
        <w:rPr>
          <w:rFonts w:eastAsia="MS Mincho"/>
          <w:lang w:eastAsia="ja-JP"/>
        </w:rPr>
        <w:t xml:space="preserve">OBWC </w:t>
      </w:r>
      <w:r w:rsidR="00452B47" w:rsidRPr="00F70333">
        <w:rPr>
          <w:rFonts w:eastAsia="MS Mincho"/>
          <w:lang w:eastAsia="ja-JP"/>
        </w:rPr>
        <w:t xml:space="preserve">Safety Grants program involved in this study) are currently rare among private </w:t>
      </w:r>
      <w:r w:rsidR="00452B47" w:rsidRPr="00F70333">
        <w:rPr>
          <w:rFonts w:eastAsia="MS Mincho"/>
          <w:lang w:eastAsia="ja-JP"/>
        </w:rPr>
        <w:lastRenderedPageBreak/>
        <w:t xml:space="preserve">insurance companies. If a rigorous experimental study can determine the </w:t>
      </w:r>
      <w:r w:rsidRPr="00F70333">
        <w:rPr>
          <w:rFonts w:eastAsia="MS Mincho"/>
          <w:lang w:eastAsia="ja-JP"/>
        </w:rPr>
        <w:t xml:space="preserve">level of effectiveness </w:t>
      </w:r>
      <w:r w:rsidR="00452B47" w:rsidRPr="00F70333">
        <w:rPr>
          <w:rFonts w:eastAsia="MS Mincho"/>
          <w:lang w:eastAsia="ja-JP"/>
        </w:rPr>
        <w:t xml:space="preserve">of such a program, other insurance </w:t>
      </w:r>
      <w:r w:rsidR="00991325" w:rsidRPr="00F70333">
        <w:rPr>
          <w:rFonts w:eastAsia="MS Mincho"/>
          <w:lang w:eastAsia="ja-JP"/>
        </w:rPr>
        <w:t xml:space="preserve">and WRT </w:t>
      </w:r>
      <w:r w:rsidR="00452B47" w:rsidRPr="00F70333">
        <w:rPr>
          <w:rFonts w:eastAsia="MS Mincho"/>
          <w:lang w:eastAsia="ja-JP"/>
        </w:rPr>
        <w:t>companies may utilize this d</w:t>
      </w:r>
      <w:r w:rsidRPr="00F70333">
        <w:rPr>
          <w:rFonts w:eastAsia="MS Mincho"/>
          <w:lang w:eastAsia="ja-JP"/>
        </w:rPr>
        <w:t>ata to determine whether such a</w:t>
      </w:r>
      <w:r w:rsidR="00452B47" w:rsidRPr="00F70333">
        <w:rPr>
          <w:rFonts w:eastAsia="MS Mincho"/>
          <w:lang w:eastAsia="ja-JP"/>
        </w:rPr>
        <w:t xml:space="preserve"> program should be implemented or expanded. </w:t>
      </w:r>
    </w:p>
    <w:p w:rsidR="00411D7A" w:rsidRPr="00F70333" w:rsidRDefault="00411D7A" w:rsidP="00E26B9D">
      <w:pPr>
        <w:rPr>
          <w:rFonts w:eastAsia="MS Mincho"/>
          <w:lang w:eastAsia="ja-JP"/>
        </w:rPr>
      </w:pPr>
    </w:p>
    <w:p w:rsidR="00572955" w:rsidRPr="00F70333" w:rsidRDefault="00572955" w:rsidP="00572955">
      <w:pPr>
        <w:autoSpaceDE w:val="0"/>
        <w:autoSpaceDN w:val="0"/>
        <w:adjustRightInd w:val="0"/>
        <w:rPr>
          <w:color w:val="000000"/>
        </w:rPr>
      </w:pPr>
      <w:r w:rsidRPr="00F70333">
        <w:rPr>
          <w:color w:val="000000"/>
        </w:rPr>
        <w:t>The findings from this project will also be transferred to private stakeholders</w:t>
      </w:r>
      <w:r w:rsidR="001F4A52" w:rsidRPr="00F70333">
        <w:rPr>
          <w:color w:val="000000"/>
        </w:rPr>
        <w:t xml:space="preserve"> and</w:t>
      </w:r>
      <w:r w:rsidRPr="00F70333">
        <w:rPr>
          <w:color w:val="000000"/>
        </w:rPr>
        <w:t xml:space="preserve"> OSH practitioners using several main channels:</w:t>
      </w:r>
    </w:p>
    <w:p w:rsidR="00572955" w:rsidRPr="00F70333" w:rsidRDefault="00572955" w:rsidP="00572955">
      <w:pPr>
        <w:autoSpaceDE w:val="0"/>
        <w:autoSpaceDN w:val="0"/>
        <w:adjustRightInd w:val="0"/>
        <w:ind w:left="390"/>
        <w:rPr>
          <w:color w:val="000000"/>
        </w:rPr>
      </w:pPr>
    </w:p>
    <w:p w:rsidR="00572955" w:rsidRPr="00F70333" w:rsidRDefault="00572955" w:rsidP="00572955">
      <w:pPr>
        <w:autoSpaceDE w:val="0"/>
        <w:autoSpaceDN w:val="0"/>
        <w:adjustRightInd w:val="0"/>
        <w:ind w:left="390"/>
        <w:rPr>
          <w:color w:val="000000"/>
        </w:rPr>
      </w:pPr>
      <w:r w:rsidRPr="00F70333">
        <w:rPr>
          <w:color w:val="000000"/>
        </w:rPr>
        <w:t>OBWC (website, publications, annual safe</w:t>
      </w:r>
      <w:r w:rsidR="001F4A52" w:rsidRPr="00F70333">
        <w:rPr>
          <w:color w:val="000000"/>
        </w:rPr>
        <w:t>ty conference</w:t>
      </w:r>
      <w:r w:rsidRPr="00F70333">
        <w:rPr>
          <w:color w:val="000000"/>
        </w:rPr>
        <w:t>, and personnel)</w:t>
      </w:r>
    </w:p>
    <w:p w:rsidR="00572955" w:rsidRPr="00F70333" w:rsidRDefault="00572955"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F70333">
        <w:rPr>
          <w:color w:val="000000"/>
          <w:sz w:val="24"/>
          <w:szCs w:val="24"/>
        </w:rPr>
        <w:t xml:space="preserve">The OBWC has a developed infrastructure to reach companies within the state of Ohio. NIOSH and OBWC just signed a </w:t>
      </w:r>
      <w:r w:rsidR="001F4A52" w:rsidRPr="00F70333">
        <w:rPr>
          <w:color w:val="000000"/>
          <w:sz w:val="24"/>
          <w:szCs w:val="24"/>
        </w:rPr>
        <w:t xml:space="preserve">formal agreement </w:t>
      </w:r>
      <w:r w:rsidRPr="00F70333">
        <w:rPr>
          <w:color w:val="000000"/>
          <w:sz w:val="24"/>
          <w:szCs w:val="24"/>
        </w:rPr>
        <w:t>and this project will leverage this collaboration to encourage participation in the studies, solicit input from WRT companies, and provide results as they become available. As well, OBWC off</w:t>
      </w:r>
      <w:r w:rsidR="001F4A52" w:rsidRPr="00F70333">
        <w:rPr>
          <w:color w:val="000000"/>
          <w:sz w:val="24"/>
          <w:szCs w:val="24"/>
        </w:rPr>
        <w:t>ers a free yearly safety conference (with an average attendance of ~6,000)</w:t>
      </w:r>
      <w:r w:rsidRPr="00F70333">
        <w:rPr>
          <w:color w:val="000000"/>
          <w:sz w:val="24"/>
          <w:szCs w:val="24"/>
        </w:rPr>
        <w:t xml:space="preserve"> where presentations and workshops about the studies will be conducted. </w:t>
      </w:r>
    </w:p>
    <w:p w:rsidR="00572955" w:rsidRPr="00F70333" w:rsidRDefault="00572955" w:rsidP="00572955">
      <w:pPr>
        <w:autoSpaceDE w:val="0"/>
        <w:autoSpaceDN w:val="0"/>
        <w:adjustRightInd w:val="0"/>
        <w:ind w:left="390"/>
        <w:rPr>
          <w:color w:val="000000"/>
        </w:rPr>
      </w:pPr>
    </w:p>
    <w:p w:rsidR="00572955" w:rsidRPr="00F70333" w:rsidRDefault="00572955" w:rsidP="00572955">
      <w:pPr>
        <w:autoSpaceDE w:val="0"/>
        <w:autoSpaceDN w:val="0"/>
        <w:adjustRightInd w:val="0"/>
        <w:ind w:left="390"/>
        <w:rPr>
          <w:color w:val="000000"/>
        </w:rPr>
      </w:pPr>
      <w:r w:rsidRPr="00F70333">
        <w:rPr>
          <w:color w:val="000000"/>
        </w:rPr>
        <w:t>NIOSH (website, publications, and personnel)</w:t>
      </w:r>
    </w:p>
    <w:p w:rsidR="00572955" w:rsidRPr="00F70333" w:rsidRDefault="00572955"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F70333">
        <w:rPr>
          <w:color w:val="000000"/>
          <w:sz w:val="24"/>
          <w:szCs w:val="24"/>
        </w:rPr>
        <w:t xml:space="preserve">Links to the same dissemination products outlined in the OBWC section above will </w:t>
      </w:r>
      <w:r w:rsidR="001F4A52" w:rsidRPr="00F70333">
        <w:rPr>
          <w:color w:val="000000"/>
          <w:sz w:val="24"/>
          <w:szCs w:val="24"/>
        </w:rPr>
        <w:t xml:space="preserve">also </w:t>
      </w:r>
      <w:r w:rsidRPr="00F70333">
        <w:rPr>
          <w:color w:val="000000"/>
          <w:sz w:val="24"/>
          <w:szCs w:val="24"/>
        </w:rPr>
        <w:t xml:space="preserve">be cross promoted on the WRT portion of the NIOSH website. </w:t>
      </w:r>
    </w:p>
    <w:p w:rsidR="00572955" w:rsidRPr="00F70333" w:rsidRDefault="00572955" w:rsidP="00572955">
      <w:pPr>
        <w:autoSpaceDE w:val="0"/>
        <w:autoSpaceDN w:val="0"/>
        <w:adjustRightInd w:val="0"/>
        <w:ind w:left="390"/>
        <w:rPr>
          <w:color w:val="000000"/>
        </w:rPr>
      </w:pPr>
    </w:p>
    <w:p w:rsidR="00572955" w:rsidRPr="00F70333" w:rsidRDefault="00572955" w:rsidP="00572955">
      <w:pPr>
        <w:autoSpaceDE w:val="0"/>
        <w:autoSpaceDN w:val="0"/>
        <w:adjustRightInd w:val="0"/>
        <w:ind w:left="390"/>
        <w:rPr>
          <w:color w:val="000000"/>
        </w:rPr>
      </w:pPr>
      <w:r w:rsidRPr="00F70333">
        <w:rPr>
          <w:color w:val="000000"/>
        </w:rPr>
        <w:t>WRT trade organizations (website, publications, and personnel)</w:t>
      </w:r>
    </w:p>
    <w:p w:rsidR="00572955" w:rsidRPr="00F70333" w:rsidRDefault="00572955"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F70333">
        <w:rPr>
          <w:color w:val="000000"/>
          <w:sz w:val="24"/>
          <w:szCs w:val="24"/>
        </w:rPr>
        <w:t xml:space="preserve">Links to the same dissemination products will also be provided directly to several trade organizations (such as the Retail Industry Leaders Association). Additional outreach is already being conducted with other WRT trade organizations within the state of Ohio (e.g. Ohio Grocers Association) to raise awareness of NIOSH in general, and the specific studies with OBWC and to solicit input and participation in the research. Aspects of the studies will also be submitted for publication in trade journals. </w:t>
      </w:r>
    </w:p>
    <w:p w:rsidR="00572955" w:rsidRPr="00F70333" w:rsidRDefault="00572955" w:rsidP="00572955">
      <w:pPr>
        <w:pStyle w:val="ListParagraph"/>
        <w:autoSpaceDE w:val="0"/>
        <w:autoSpaceDN w:val="0"/>
        <w:adjustRightInd w:val="0"/>
        <w:ind w:left="1080"/>
        <w:rPr>
          <w:color w:val="000000"/>
          <w:sz w:val="24"/>
          <w:szCs w:val="24"/>
        </w:rPr>
      </w:pPr>
    </w:p>
    <w:p w:rsidR="00572955" w:rsidRPr="00F70333" w:rsidRDefault="00572955" w:rsidP="00572955">
      <w:pPr>
        <w:autoSpaceDE w:val="0"/>
        <w:autoSpaceDN w:val="0"/>
        <w:adjustRightInd w:val="0"/>
        <w:ind w:left="390"/>
        <w:rPr>
          <w:color w:val="000000"/>
        </w:rPr>
      </w:pPr>
      <w:r w:rsidRPr="00F70333">
        <w:rPr>
          <w:color w:val="000000"/>
        </w:rPr>
        <w:t>Peer reviewed journals</w:t>
      </w:r>
    </w:p>
    <w:p w:rsidR="00572955" w:rsidRPr="00F70333" w:rsidRDefault="001F4A52"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F70333">
        <w:rPr>
          <w:color w:val="000000"/>
          <w:sz w:val="24"/>
          <w:szCs w:val="24"/>
        </w:rPr>
        <w:t>For this study</w:t>
      </w:r>
      <w:r w:rsidR="00572955" w:rsidRPr="00F70333">
        <w:rPr>
          <w:color w:val="000000"/>
          <w:sz w:val="24"/>
          <w:szCs w:val="24"/>
        </w:rPr>
        <w:t xml:space="preserve">, at least one manuscript will be submitted for publication in </w:t>
      </w:r>
      <w:r w:rsidRPr="00F70333">
        <w:rPr>
          <w:color w:val="000000"/>
          <w:sz w:val="24"/>
          <w:szCs w:val="24"/>
        </w:rPr>
        <w:t xml:space="preserve">a </w:t>
      </w:r>
      <w:r w:rsidR="00572955" w:rsidRPr="00F70333">
        <w:rPr>
          <w:color w:val="000000"/>
          <w:sz w:val="24"/>
          <w:szCs w:val="24"/>
        </w:rPr>
        <w:t xml:space="preserve">peer reviewed journal. Main audiences for these types of journals are fellow researchers, but also OSH practitioners. </w:t>
      </w:r>
    </w:p>
    <w:p w:rsidR="0038553A" w:rsidRPr="00F70333" w:rsidRDefault="0038553A" w:rsidP="0038553A">
      <w:pPr>
        <w:pStyle w:val="Heading3"/>
        <w:rPr>
          <w:b w:val="0"/>
          <w:u w:val="none"/>
        </w:rPr>
      </w:pPr>
      <w:bookmarkStart w:id="12" w:name="_Toc248224220"/>
      <w:r w:rsidRPr="00F70333">
        <w:rPr>
          <w:b w:val="0"/>
          <w:u w:val="none"/>
        </w:rPr>
        <w:t>Privacy Impact Assessment Information</w:t>
      </w:r>
      <w:bookmarkEnd w:id="12"/>
    </w:p>
    <w:p w:rsidR="0038553A" w:rsidRPr="00F70333" w:rsidRDefault="0038553A" w:rsidP="0038553A"/>
    <w:p w:rsidR="00DF176A" w:rsidRPr="00F70333" w:rsidRDefault="00DF176A" w:rsidP="00DF176A">
      <w:r w:rsidRPr="00F70333">
        <w:t>Information in identifiable form (IIF) will be collected as part of the informed consent forms (</w:t>
      </w:r>
      <w:r w:rsidRPr="00F70333">
        <w:rPr>
          <w:b/>
        </w:rPr>
        <w:t>Attachments G</w:t>
      </w:r>
      <w:r w:rsidR="00454018" w:rsidRPr="00F70333">
        <w:rPr>
          <w:b/>
        </w:rPr>
        <w:t>-</w:t>
      </w:r>
      <w:r w:rsidR="006C3C98">
        <w:rPr>
          <w:b/>
        </w:rPr>
        <w:t>1</w:t>
      </w:r>
      <w:r w:rsidR="00454018" w:rsidRPr="00F70333">
        <w:rPr>
          <w:b/>
        </w:rPr>
        <w:t xml:space="preserve"> and G-2</w:t>
      </w:r>
      <w:r w:rsidRPr="00F70333">
        <w:rPr>
          <w:b/>
        </w:rPr>
        <w:t xml:space="preserve">) </w:t>
      </w:r>
      <w:r w:rsidRPr="00F70333">
        <w:t xml:space="preserve">for this study. This includes: first and last name, street address, phone number, email address, and date of birth. </w:t>
      </w:r>
      <w:r w:rsidR="000A17B3" w:rsidRPr="00F70333">
        <w:t xml:space="preserve">Individual information will not be collected on the other surveys, which will be identified only using unique identifier (created by NIOSH) to track the responses of the participant over the course of </w:t>
      </w:r>
      <w:r w:rsidR="000A17B3" w:rsidRPr="001F1A11">
        <w:t>the study.</w:t>
      </w:r>
      <w:r w:rsidR="00AB1A46" w:rsidRPr="001F1A11">
        <w:t xml:space="preserve"> </w:t>
      </w:r>
      <w:r w:rsidR="001228A5" w:rsidRPr="001F1A11">
        <w:t>Individual</w:t>
      </w:r>
      <w:r w:rsidR="001228A5" w:rsidRPr="00F70333">
        <w:t xml:space="preserve"> participant personal information will not be published in any identifiable form and will be protected to the extent allowed by law (Freedom of Information Act and the Privacy Act). </w:t>
      </w:r>
      <w:r w:rsidR="005215AC" w:rsidRPr="00F70333">
        <w:t xml:space="preserve">Information will be maintained until the </w:t>
      </w:r>
      <w:r w:rsidR="005215AC" w:rsidRPr="00F70333">
        <w:lastRenderedPageBreak/>
        <w:t xml:space="preserve">conclusion of the study in 2015. </w:t>
      </w:r>
      <w:r w:rsidR="001228A5" w:rsidRPr="00F70333">
        <w:t>The IIF data will only be used by NIOSH researchers for the purposes outlined below</w:t>
      </w:r>
      <w:r w:rsidR="000A17B3" w:rsidRPr="00F70333">
        <w:t>.</w:t>
      </w:r>
    </w:p>
    <w:p w:rsidR="00DF176A" w:rsidRPr="00F70333" w:rsidRDefault="00DF176A" w:rsidP="00DF176A"/>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120"/>
      </w:tblGrid>
      <w:tr w:rsidR="001228A5" w:rsidRPr="00F70333" w:rsidTr="006A3D8D">
        <w:trPr>
          <w:trHeight w:val="368"/>
        </w:trPr>
        <w:tc>
          <w:tcPr>
            <w:tcW w:w="1980" w:type="dxa"/>
          </w:tcPr>
          <w:p w:rsidR="001228A5" w:rsidRPr="00F70333" w:rsidRDefault="001228A5" w:rsidP="00DF176A">
            <w:pPr>
              <w:rPr>
                <w:b/>
              </w:rPr>
            </w:pPr>
            <w:r w:rsidRPr="00F70333">
              <w:rPr>
                <w:b/>
              </w:rPr>
              <w:t xml:space="preserve">IIF Being Collected </w:t>
            </w:r>
          </w:p>
          <w:p w:rsidR="00EC2E93" w:rsidRPr="00F70333" w:rsidRDefault="00EC2E93" w:rsidP="00DF176A">
            <w:pPr>
              <w:rPr>
                <w:b/>
              </w:rPr>
            </w:pPr>
          </w:p>
        </w:tc>
        <w:tc>
          <w:tcPr>
            <w:tcW w:w="6120" w:type="dxa"/>
          </w:tcPr>
          <w:p w:rsidR="001228A5" w:rsidRPr="00F70333" w:rsidRDefault="001228A5" w:rsidP="00DF176A">
            <w:pPr>
              <w:rPr>
                <w:b/>
              </w:rPr>
            </w:pPr>
            <w:r w:rsidRPr="00F70333">
              <w:rPr>
                <w:b/>
              </w:rPr>
              <w:t>Purpose</w:t>
            </w:r>
            <w:r w:rsidR="00EC2E93" w:rsidRPr="00F70333">
              <w:rPr>
                <w:b/>
              </w:rPr>
              <w:t>s</w:t>
            </w:r>
          </w:p>
          <w:p w:rsidR="00EC2E93" w:rsidRPr="00F70333" w:rsidRDefault="00EC2E93" w:rsidP="00DF176A">
            <w:pPr>
              <w:rPr>
                <w:b/>
              </w:rPr>
            </w:pPr>
          </w:p>
        </w:tc>
      </w:tr>
      <w:tr w:rsidR="001228A5" w:rsidRPr="00F70333" w:rsidTr="006A3D8D">
        <w:tc>
          <w:tcPr>
            <w:tcW w:w="1980" w:type="dxa"/>
          </w:tcPr>
          <w:p w:rsidR="001228A5" w:rsidRPr="00F70333" w:rsidRDefault="00EC2E93" w:rsidP="00EC2E93">
            <w:r w:rsidRPr="00F70333">
              <w:t>F</w:t>
            </w:r>
            <w:r w:rsidR="001228A5" w:rsidRPr="00F70333">
              <w:t>irst and last name</w:t>
            </w:r>
            <w:r w:rsidRPr="00F70333">
              <w:t xml:space="preserve"> of individual participant</w:t>
            </w:r>
          </w:p>
        </w:tc>
        <w:tc>
          <w:tcPr>
            <w:tcW w:w="6120" w:type="dxa"/>
          </w:tcPr>
          <w:p w:rsidR="001228A5" w:rsidRPr="00F70333" w:rsidRDefault="001228A5" w:rsidP="00EC2E93">
            <w:r w:rsidRPr="00F70333">
              <w:t xml:space="preserve">The participant’s </w:t>
            </w:r>
            <w:r w:rsidR="000A17B3" w:rsidRPr="00F70333">
              <w:t xml:space="preserve">first and last </w:t>
            </w:r>
            <w:r w:rsidRPr="00F70333">
              <w:t>name (in combination with their birth date) will be used to link to a unique identifier</w:t>
            </w:r>
            <w:r w:rsidR="000A17B3" w:rsidRPr="00F70333">
              <w:t xml:space="preserve"> (created by NIOSH)</w:t>
            </w:r>
            <w:r w:rsidRPr="00F70333">
              <w:t xml:space="preserve"> </w:t>
            </w:r>
            <w:r w:rsidR="000A17B3" w:rsidRPr="00F70333">
              <w:t xml:space="preserve">to track the responses of the participant over the course of the study. </w:t>
            </w:r>
          </w:p>
          <w:p w:rsidR="00EC2E93" w:rsidRPr="00F70333" w:rsidRDefault="00EC2E93" w:rsidP="00EC2E93"/>
        </w:tc>
      </w:tr>
      <w:tr w:rsidR="001228A5" w:rsidRPr="00F70333" w:rsidTr="006A3D8D">
        <w:tc>
          <w:tcPr>
            <w:tcW w:w="1980" w:type="dxa"/>
          </w:tcPr>
          <w:p w:rsidR="001228A5" w:rsidRPr="00F70333" w:rsidRDefault="001228A5" w:rsidP="00EC2E93">
            <w:r w:rsidRPr="00F70333">
              <w:t xml:space="preserve">Street </w:t>
            </w:r>
            <w:r w:rsidR="00EC2E93" w:rsidRPr="00F70333">
              <w:t>a</w:t>
            </w:r>
            <w:r w:rsidRPr="00F70333">
              <w:t>ddress</w:t>
            </w:r>
            <w:r w:rsidR="00EC2E93" w:rsidRPr="00F70333">
              <w:t xml:space="preserve"> of individual participant</w:t>
            </w:r>
          </w:p>
        </w:tc>
        <w:tc>
          <w:tcPr>
            <w:tcW w:w="6120" w:type="dxa"/>
          </w:tcPr>
          <w:p w:rsidR="001228A5" w:rsidRPr="00F70333" w:rsidRDefault="001228A5" w:rsidP="00DF176A">
            <w:r w:rsidRPr="00F70333">
              <w:t xml:space="preserve">The street address will be used to send the participant hard copy questionnaires </w:t>
            </w:r>
            <w:r w:rsidR="000A17B3" w:rsidRPr="00F70333">
              <w:t>if the participant requests paper versions for their mode of data collection. The street address will also be used to send a</w:t>
            </w:r>
            <w:r w:rsidR="00EC2E93" w:rsidRPr="00F70333">
              <w:t xml:space="preserve"> hard copy of final study results </w:t>
            </w:r>
            <w:r w:rsidRPr="00F70333">
              <w:t>if requested</w:t>
            </w:r>
            <w:r w:rsidR="000A17B3" w:rsidRPr="00F70333">
              <w:t xml:space="preserve"> by the individual</w:t>
            </w:r>
            <w:r w:rsidRPr="00F70333">
              <w:t xml:space="preserve">. </w:t>
            </w:r>
          </w:p>
          <w:p w:rsidR="00EC2E93" w:rsidRPr="00F70333" w:rsidRDefault="00EC2E93" w:rsidP="00DF176A"/>
        </w:tc>
      </w:tr>
      <w:tr w:rsidR="001228A5" w:rsidRPr="00F70333" w:rsidTr="006A3D8D">
        <w:trPr>
          <w:trHeight w:val="917"/>
        </w:trPr>
        <w:tc>
          <w:tcPr>
            <w:tcW w:w="1980" w:type="dxa"/>
          </w:tcPr>
          <w:p w:rsidR="001228A5" w:rsidRPr="00F70333" w:rsidRDefault="00EC2E93" w:rsidP="001228A5">
            <w:r w:rsidRPr="00F70333">
              <w:t>P</w:t>
            </w:r>
            <w:r w:rsidR="001228A5" w:rsidRPr="00F70333">
              <w:t>hone number</w:t>
            </w:r>
            <w:r w:rsidRPr="00F70333">
              <w:t xml:space="preserve"> of individual participant</w:t>
            </w:r>
          </w:p>
        </w:tc>
        <w:tc>
          <w:tcPr>
            <w:tcW w:w="6120" w:type="dxa"/>
          </w:tcPr>
          <w:p w:rsidR="001228A5" w:rsidRPr="00F70333" w:rsidRDefault="00EC2E93" w:rsidP="00EC2E93">
            <w:r w:rsidRPr="00F70333">
              <w:t>The phone number will be used if the participant requests a phone interview for their mode of data collection. If the participant gives permission, the phone number will be used to prompt participants to submit quarterly data collections. If the participant gives permission, the phone number will also be used for the early exit interview to contact those participants who choose to leave the study.</w:t>
            </w:r>
          </w:p>
          <w:p w:rsidR="00EC2E93" w:rsidRPr="00F70333" w:rsidRDefault="00EC2E93" w:rsidP="00EC2E93"/>
        </w:tc>
      </w:tr>
      <w:tr w:rsidR="001228A5" w:rsidRPr="00F70333" w:rsidTr="006A3D8D">
        <w:tc>
          <w:tcPr>
            <w:tcW w:w="1980" w:type="dxa"/>
          </w:tcPr>
          <w:p w:rsidR="001228A5" w:rsidRPr="00F70333" w:rsidRDefault="00EC2E93" w:rsidP="00DF176A">
            <w:r w:rsidRPr="00F70333">
              <w:t>Email address of individual participant</w:t>
            </w:r>
          </w:p>
        </w:tc>
        <w:tc>
          <w:tcPr>
            <w:tcW w:w="6120" w:type="dxa"/>
          </w:tcPr>
          <w:p w:rsidR="001228A5" w:rsidRPr="00F70333" w:rsidRDefault="00EC2E93" w:rsidP="00EC2E93">
            <w:r w:rsidRPr="00F70333">
              <w:t xml:space="preserve">If the participant gives permission, the email address will be used to prompt participants to submit quarterly data collections. </w:t>
            </w:r>
          </w:p>
          <w:p w:rsidR="00EC2E93" w:rsidRPr="00F70333" w:rsidRDefault="00EC2E93" w:rsidP="00EC2E93"/>
        </w:tc>
      </w:tr>
      <w:tr w:rsidR="00EC2E93" w:rsidRPr="00F70333" w:rsidTr="006A3D8D">
        <w:tc>
          <w:tcPr>
            <w:tcW w:w="1980" w:type="dxa"/>
          </w:tcPr>
          <w:p w:rsidR="00EC2E93" w:rsidRPr="00F70333" w:rsidRDefault="00EC2E93" w:rsidP="00DF176A">
            <w:r w:rsidRPr="00F70333">
              <w:t>Date of birth</w:t>
            </w:r>
          </w:p>
        </w:tc>
        <w:tc>
          <w:tcPr>
            <w:tcW w:w="6120" w:type="dxa"/>
          </w:tcPr>
          <w:p w:rsidR="00EC2E93" w:rsidRPr="00F70333" w:rsidRDefault="00EC2E93" w:rsidP="00EC2E93">
            <w:r w:rsidRPr="00F70333">
              <w:t xml:space="preserve">The participant’s date of birth (in combination with their first and last name) </w:t>
            </w:r>
            <w:r w:rsidR="00A759C3" w:rsidRPr="00F70333">
              <w:t xml:space="preserve">will be used to link to a unique identifier (created by NIOSH) to track the responses of the participant over the course of the study. </w:t>
            </w:r>
            <w:r w:rsidRPr="00F70333">
              <w:t xml:space="preserve"> </w:t>
            </w:r>
            <w:r w:rsidR="000A17B3" w:rsidRPr="00F70333">
              <w:t>The date of birth will also be co</w:t>
            </w:r>
            <w:r w:rsidR="00F133F2" w:rsidRPr="00F70333">
              <w:t xml:space="preserve">mpared to a self-reported </w:t>
            </w:r>
            <w:r w:rsidR="000A17B3" w:rsidRPr="00F70333">
              <w:t xml:space="preserve">“age in years” that will be used as a covariate in analyses. </w:t>
            </w:r>
          </w:p>
          <w:p w:rsidR="00EC2E93" w:rsidRPr="00F70333" w:rsidRDefault="00EC2E93" w:rsidP="00EC2E93"/>
        </w:tc>
      </w:tr>
    </w:tbl>
    <w:p w:rsidR="00DF176A" w:rsidRPr="00F70333" w:rsidRDefault="00DF176A" w:rsidP="00DF176A"/>
    <w:p w:rsidR="00A759C3" w:rsidRPr="00F70333" w:rsidRDefault="00A759C3" w:rsidP="00DF176A">
      <w:pPr>
        <w:rPr>
          <w:sz w:val="22"/>
          <w:szCs w:val="22"/>
        </w:rPr>
      </w:pPr>
      <w:r w:rsidRPr="00F70333">
        <w:t xml:space="preserve">The proposed survey contains one question </w:t>
      </w:r>
      <w:r w:rsidR="00AB1A46" w:rsidRPr="00F70333">
        <w:t xml:space="preserve">that may be considered sensitive as it is </w:t>
      </w:r>
      <w:r w:rsidRPr="00F70333">
        <w:t xml:space="preserve">related to sexual behavior (item 13 in the standard NASS Lumbar Spine Outcome Assessment Instrument, </w:t>
      </w:r>
      <w:r w:rsidRPr="00F70333">
        <w:rPr>
          <w:b/>
        </w:rPr>
        <w:t xml:space="preserve">Attachment </w:t>
      </w:r>
      <w:r w:rsidR="00454018" w:rsidRPr="00F70333">
        <w:rPr>
          <w:b/>
        </w:rPr>
        <w:t>H-1</w:t>
      </w:r>
      <w:r w:rsidRPr="00F70333">
        <w:t xml:space="preserve">). </w:t>
      </w:r>
      <w:r w:rsidR="00AB1A46" w:rsidRPr="00F70333">
        <w:t xml:space="preserve">The question is not explicit (described in A11 below) only inquires about sexual behavior for the purposes of establishing the level of back pain. </w:t>
      </w:r>
      <w:r w:rsidRPr="00F70333">
        <w:t xml:space="preserve">The impact on the privacy of the individual is </w:t>
      </w:r>
      <w:r w:rsidR="00AB1A46" w:rsidRPr="00F70333">
        <w:t xml:space="preserve">considered to be </w:t>
      </w:r>
      <w:r w:rsidRPr="00F70333">
        <w:t>minimal if there</w:t>
      </w:r>
      <w:r w:rsidRPr="00F70333">
        <w:rPr>
          <w:sz w:val="22"/>
          <w:szCs w:val="22"/>
        </w:rPr>
        <w:t xml:space="preserve"> were a breach of</w:t>
      </w:r>
      <w:r w:rsidR="005373AC">
        <w:rPr>
          <w:sz w:val="22"/>
          <w:szCs w:val="22"/>
        </w:rPr>
        <w:t xml:space="preserve"> security.</w:t>
      </w:r>
    </w:p>
    <w:p w:rsidR="0038553A" w:rsidRPr="00F70333" w:rsidRDefault="0038553A" w:rsidP="0038553A">
      <w:pPr>
        <w:pStyle w:val="Heading2"/>
        <w:rPr>
          <w:b w:val="0"/>
        </w:rPr>
      </w:pPr>
      <w:bookmarkStart w:id="13" w:name="_Toc239826775"/>
      <w:bookmarkStart w:id="14" w:name="_Toc248821742"/>
      <w:bookmarkStart w:id="15" w:name="_Toc261966286"/>
      <w:r w:rsidRPr="00F70333">
        <w:rPr>
          <w:b w:val="0"/>
        </w:rPr>
        <w:lastRenderedPageBreak/>
        <w:t>A3.</w:t>
      </w:r>
      <w:r w:rsidRPr="00F70333">
        <w:rPr>
          <w:b w:val="0"/>
        </w:rPr>
        <w:tab/>
        <w:t>Use of Improved Information Technology and Burden Reduction</w:t>
      </w:r>
      <w:bookmarkEnd w:id="13"/>
      <w:bookmarkEnd w:id="14"/>
      <w:bookmarkEnd w:id="15"/>
    </w:p>
    <w:p w:rsidR="007E408F" w:rsidRPr="00F70333" w:rsidRDefault="007E408F" w:rsidP="0038553A"/>
    <w:p w:rsidR="007E408F" w:rsidRPr="00F70333" w:rsidRDefault="007E408F" w:rsidP="007E408F">
      <w:pPr>
        <w:tabs>
          <w:tab w:val="left" w:pos="0"/>
          <w:tab w:val="left" w:pos="360"/>
          <w:tab w:val="left" w:pos="1080"/>
        </w:tabs>
      </w:pPr>
      <w:r w:rsidRPr="00F70333">
        <w:t xml:space="preserve">In order to maximize efficiency and reduce burden, a web-based survey is proposed for the majority (estimated 95%) of all data collection.  At a secure web site, the survey will be constructed for easy respondent use, allowing the automatic administration of skip patterns, while maintaining a simple, seamless navigation. Web-based surveys have gained increasing acceptance as a research tool as they offer many advantages, including:  </w:t>
      </w:r>
    </w:p>
    <w:p w:rsidR="007E408F" w:rsidRPr="00F70333" w:rsidRDefault="007E408F" w:rsidP="007E408F">
      <w:pPr>
        <w:tabs>
          <w:tab w:val="left" w:pos="0"/>
          <w:tab w:val="left" w:pos="360"/>
          <w:tab w:val="left" w:pos="1080"/>
        </w:tabs>
      </w:pPr>
    </w:p>
    <w:p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On-line surveys create cost efficiencies because respondents complete them during a much shorter window of time than other survey modes, and at a substantially reduced cost (i.e., less labor is involved than telephone or in-person surveys; postage is required for mail-based surveys);</w:t>
      </w:r>
    </w:p>
    <w:p w:rsidR="007E408F" w:rsidRPr="00F70333" w:rsidRDefault="007E408F" w:rsidP="007E408F">
      <w:pPr>
        <w:pStyle w:val="ListParagraph"/>
      </w:pPr>
    </w:p>
    <w:p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 xml:space="preserve">On-line surveys create time efficiencies (i.e., less time to complete the survey because it can be programmed to efficiently guide respondents through skip patterns so that they are not asked questions that do not apply to them or have to spend time navigating through complex instructions); </w:t>
      </w:r>
    </w:p>
    <w:p w:rsidR="007E408F" w:rsidRPr="00F70333" w:rsidRDefault="007E408F" w:rsidP="007E408F">
      <w:pPr>
        <w:pStyle w:val="ListParagraph"/>
      </w:pPr>
    </w:p>
    <w:p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All responses are automatically recorded, allowing for minimal data cleaning, and rapid tabulation and analysis of findings;</w:t>
      </w:r>
    </w:p>
    <w:p w:rsidR="007E408F" w:rsidRPr="00F70333" w:rsidRDefault="007E408F" w:rsidP="007E408F">
      <w:pPr>
        <w:tabs>
          <w:tab w:val="left" w:pos="0"/>
          <w:tab w:val="left" w:pos="360"/>
          <w:tab w:val="left" w:pos="720"/>
        </w:tabs>
      </w:pPr>
    </w:p>
    <w:p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 xml:space="preserve">Respondents potentially have the option of answering questions in a private setting where they feel comfortable and at ease (e.g., at home); </w:t>
      </w:r>
    </w:p>
    <w:p w:rsidR="007E408F" w:rsidRPr="00F70333" w:rsidRDefault="007E408F" w:rsidP="007E408F">
      <w:pPr>
        <w:pStyle w:val="ListParagraph"/>
      </w:pPr>
    </w:p>
    <w:p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Respondents can complete the survey within their own time schedule, and can exit the survey at any time and resume the survey where they ended;</w:t>
      </w:r>
    </w:p>
    <w:p w:rsidR="007E408F" w:rsidRPr="00F70333" w:rsidRDefault="007E408F" w:rsidP="007E408F">
      <w:pPr>
        <w:pStyle w:val="ListParagraph"/>
      </w:pPr>
    </w:p>
    <w:p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 xml:space="preserve">Previous research [Catalano et al 2006] </w:t>
      </w:r>
      <w:r w:rsidR="00946903" w:rsidRPr="00F70333">
        <w:t xml:space="preserve">suggests that workers in some industries </w:t>
      </w:r>
      <w:r w:rsidRPr="00F70333">
        <w:t xml:space="preserve">prefer completing an online survey when given a choice between a web survey and a paper survey. </w:t>
      </w:r>
    </w:p>
    <w:p w:rsidR="007E408F" w:rsidRPr="00F70333" w:rsidRDefault="007E408F" w:rsidP="007E408F">
      <w:pPr>
        <w:tabs>
          <w:tab w:val="left" w:pos="0"/>
          <w:tab w:val="left" w:pos="360"/>
          <w:tab w:val="left" w:pos="1080"/>
        </w:tabs>
      </w:pPr>
    </w:p>
    <w:p w:rsidR="00946903" w:rsidRPr="00F70333" w:rsidRDefault="00946903" w:rsidP="00946903">
      <w:pPr>
        <w:tabs>
          <w:tab w:val="left" w:pos="0"/>
          <w:tab w:val="left" w:pos="360"/>
          <w:tab w:val="left" w:pos="1080"/>
        </w:tabs>
      </w:pPr>
      <w:r w:rsidRPr="00F70333">
        <w:t xml:space="preserve">The respondent will be strongly encouraged to use the self-administered web-based format of the survey. For those respondents lacking internet connections or those who do not wish to complete a web-based survey, a hard copy format will next be offered. It is estimated approximately 5% of respondents will require hard copy formats. An interview option will be offered as a last resort for those respondents who do not find the web-based or hard copy formats acceptable. It is estimated approximately less than 1% of respondents will require personal interview formats. </w:t>
      </w:r>
    </w:p>
    <w:p w:rsidR="0038553A" w:rsidRPr="00F70333" w:rsidRDefault="0038553A" w:rsidP="0038553A">
      <w:pPr>
        <w:pStyle w:val="Heading2"/>
        <w:rPr>
          <w:b w:val="0"/>
        </w:rPr>
      </w:pPr>
      <w:bookmarkStart w:id="16" w:name="_Toc239826776"/>
      <w:bookmarkStart w:id="17" w:name="_Toc248821743"/>
      <w:bookmarkStart w:id="18" w:name="_Toc261966287"/>
      <w:r w:rsidRPr="00F70333">
        <w:rPr>
          <w:b w:val="0"/>
        </w:rPr>
        <w:t>A4.</w:t>
      </w:r>
      <w:r w:rsidRPr="00F70333">
        <w:rPr>
          <w:b w:val="0"/>
        </w:rPr>
        <w:tab/>
        <w:t>Efforts to Identify Duplication and Use of Similar Information</w:t>
      </w:r>
      <w:bookmarkEnd w:id="16"/>
      <w:bookmarkEnd w:id="17"/>
      <w:bookmarkEnd w:id="18"/>
    </w:p>
    <w:p w:rsidR="00BE39A8" w:rsidRPr="00F70333" w:rsidRDefault="00BE39A8" w:rsidP="00BE39A8">
      <w:pPr>
        <w:rPr>
          <w:lang w:eastAsia="ja-JP"/>
        </w:rPr>
      </w:pPr>
    </w:p>
    <w:p w:rsidR="00BE39A8" w:rsidRPr="00F70333" w:rsidRDefault="00BE39A8" w:rsidP="00BE39A8">
      <w:pPr>
        <w:tabs>
          <w:tab w:val="left" w:pos="0"/>
          <w:tab w:val="left" w:pos="540"/>
        </w:tabs>
      </w:pPr>
      <w:r w:rsidRPr="00F70333">
        <w:t>NIOSH has searched the scientific literature, contacted colleagues at NIOSH and OSHA, contacted professional, labor and industry organizations repre</w:t>
      </w:r>
      <w:r w:rsidR="00473E46" w:rsidRPr="00F70333">
        <w:t>senting WRT workers.  To date, NIOSH is</w:t>
      </w:r>
      <w:r w:rsidRPr="00F70333">
        <w:t xml:space="preserve"> unaware of any prospective MSD intervention effectiveness study being conducted in the WRT sector with such an experimental design</w:t>
      </w:r>
      <w:r w:rsidR="00991325" w:rsidRPr="00F70333">
        <w:t xml:space="preserve"> as the proposed study</w:t>
      </w:r>
      <w:r w:rsidRPr="00F70333">
        <w:t xml:space="preserve">. As </w:t>
      </w:r>
      <w:r w:rsidRPr="00F70333">
        <w:lastRenderedPageBreak/>
        <w:t>evidenced by the letters of support (</w:t>
      </w:r>
      <w:r w:rsidRPr="00F70333">
        <w:rPr>
          <w:b/>
        </w:rPr>
        <w:t xml:space="preserve">Attachment </w:t>
      </w:r>
      <w:r w:rsidR="009166B9" w:rsidRPr="00F70333">
        <w:rPr>
          <w:b/>
        </w:rPr>
        <w:t>E-2</w:t>
      </w:r>
      <w:r w:rsidRPr="00F70333">
        <w:t xml:space="preserve">), the OBWC agrees that there is a need for such a </w:t>
      </w:r>
      <w:r w:rsidR="00100F38" w:rsidRPr="00F70333">
        <w:t xml:space="preserve">rigorous </w:t>
      </w:r>
      <w:r w:rsidRPr="00F70333">
        <w:t xml:space="preserve">study to determine the effectiveness of the sponsored grant program and identify evidence based practices. </w:t>
      </w:r>
    </w:p>
    <w:p w:rsidR="0038553A" w:rsidRPr="00F70333" w:rsidRDefault="0038553A" w:rsidP="0038553A">
      <w:pPr>
        <w:pStyle w:val="Heading2"/>
        <w:rPr>
          <w:b w:val="0"/>
        </w:rPr>
      </w:pPr>
      <w:bookmarkStart w:id="19" w:name="_Toc239826777"/>
      <w:bookmarkStart w:id="20" w:name="_Toc248821744"/>
      <w:bookmarkStart w:id="21" w:name="_Toc261966288"/>
      <w:r w:rsidRPr="00F70333">
        <w:rPr>
          <w:b w:val="0"/>
        </w:rPr>
        <w:t>A5.</w:t>
      </w:r>
      <w:r w:rsidRPr="00F70333">
        <w:rPr>
          <w:b w:val="0"/>
        </w:rPr>
        <w:tab/>
        <w:t>Impact on Small Businesses or Other Small Entities</w:t>
      </w:r>
      <w:bookmarkEnd w:id="19"/>
      <w:bookmarkEnd w:id="20"/>
      <w:bookmarkEnd w:id="21"/>
    </w:p>
    <w:p w:rsidR="001F197B" w:rsidRPr="00F70333" w:rsidRDefault="001F197B" w:rsidP="0038553A"/>
    <w:p w:rsidR="0038553A" w:rsidRPr="00F70333" w:rsidRDefault="0038553A" w:rsidP="0038553A">
      <w:r w:rsidRPr="00F70333">
        <w:t>S</w:t>
      </w:r>
      <w:r w:rsidR="00A40583" w:rsidRPr="00F70333">
        <w:t xml:space="preserve">mall OBWC-insured WRT businesses that perform delivery operations will be included in this study. To reduce burden for all respondents, a web-based survey will be used for the majority of data collection. All participants </w:t>
      </w:r>
      <w:r w:rsidRPr="00F70333">
        <w:t xml:space="preserve">will be asked to complete the entire survey, but questions have been held to the minimum required for the intended use of the data. </w:t>
      </w:r>
    </w:p>
    <w:p w:rsidR="0038553A" w:rsidRPr="00F70333" w:rsidRDefault="0038553A" w:rsidP="0038553A">
      <w:pPr>
        <w:pStyle w:val="Heading2"/>
        <w:rPr>
          <w:b w:val="0"/>
        </w:rPr>
      </w:pPr>
      <w:bookmarkStart w:id="22" w:name="_Toc239826778"/>
      <w:bookmarkStart w:id="23" w:name="_Toc248821745"/>
      <w:bookmarkStart w:id="24" w:name="_Toc261966289"/>
      <w:r w:rsidRPr="00F70333">
        <w:rPr>
          <w:b w:val="0"/>
        </w:rPr>
        <w:t>A6.</w:t>
      </w:r>
      <w:r w:rsidRPr="00F70333">
        <w:rPr>
          <w:b w:val="0"/>
        </w:rPr>
        <w:tab/>
        <w:t>Consequences of Information Collected Less Frequently</w:t>
      </w:r>
      <w:bookmarkEnd w:id="22"/>
      <w:bookmarkEnd w:id="23"/>
      <w:bookmarkEnd w:id="24"/>
    </w:p>
    <w:p w:rsidR="00343A22" w:rsidRPr="00F70333" w:rsidRDefault="00343A22" w:rsidP="0038553A"/>
    <w:p w:rsidR="00343A22" w:rsidRPr="00F70333" w:rsidRDefault="00343A22" w:rsidP="0038553A">
      <w:r w:rsidRPr="00F70333">
        <w:t xml:space="preserve">Respondents will be asked to respond to the data collection at baseline and every 3 months for a 2 year period. </w:t>
      </w:r>
      <w:r w:rsidR="007E702C" w:rsidRPr="00F70333">
        <w:t xml:space="preserve">The </w:t>
      </w:r>
      <w:r w:rsidR="004A1907" w:rsidRPr="00F70333">
        <w:t>data being collected includes</w:t>
      </w:r>
      <w:r w:rsidR="007E702C" w:rsidRPr="00F70333">
        <w:t xml:space="preserve"> self-reported low back/ </w:t>
      </w:r>
      <w:r w:rsidR="00DE7C54" w:rsidRPr="00F70333">
        <w:t>upper extremity</w:t>
      </w:r>
      <w:r w:rsidR="007E702C" w:rsidRPr="00F70333">
        <w:t xml:space="preserve"> pain</w:t>
      </w:r>
      <w:r w:rsidR="004A1907" w:rsidRPr="00F70333">
        <w:t>, material handling exposures</w:t>
      </w:r>
      <w:r w:rsidR="007E702C" w:rsidRPr="00F70333">
        <w:t xml:space="preserve"> and usage of the MSD intervention</w:t>
      </w:r>
      <w:r w:rsidR="00214159" w:rsidRPr="00F70333">
        <w:t xml:space="preserve"> (</w:t>
      </w:r>
      <w:r w:rsidR="00214159" w:rsidRPr="00F70333">
        <w:rPr>
          <w:b/>
        </w:rPr>
        <w:t>A</w:t>
      </w:r>
      <w:r w:rsidR="00473E46" w:rsidRPr="00F70333">
        <w:rPr>
          <w:b/>
        </w:rPr>
        <w:t xml:space="preserve">ttachments </w:t>
      </w:r>
      <w:r w:rsidR="009166B9" w:rsidRPr="00F70333">
        <w:rPr>
          <w:b/>
        </w:rPr>
        <w:t>H1- H4</w:t>
      </w:r>
      <w:r w:rsidR="00214159" w:rsidRPr="00F70333">
        <w:t>)</w:t>
      </w:r>
      <w:r w:rsidR="007E702C" w:rsidRPr="00F70333">
        <w:t>. The frequency of</w:t>
      </w:r>
      <w:r w:rsidR="004A1907" w:rsidRPr="00F70333">
        <w:t xml:space="preserve"> this</w:t>
      </w:r>
      <w:r w:rsidR="007E702C" w:rsidRPr="00F70333">
        <w:t xml:space="preserve"> data col</w:t>
      </w:r>
      <w:r w:rsidR="004A1907" w:rsidRPr="00F70333">
        <w:t xml:space="preserve">lection is justified because </w:t>
      </w:r>
      <w:r w:rsidR="007E702C" w:rsidRPr="00F70333">
        <w:t>musculoskeletal pain</w:t>
      </w:r>
      <w:r w:rsidR="004A1907" w:rsidRPr="00F70333">
        <w:t xml:space="preserve"> and exposures can vary over time </w:t>
      </w:r>
      <w:r w:rsidR="00473E46" w:rsidRPr="00F70333">
        <w:t>(</w:t>
      </w:r>
      <w:proofErr w:type="spellStart"/>
      <w:r w:rsidR="00D300F9" w:rsidRPr="00F70333">
        <w:t>McGorry</w:t>
      </w:r>
      <w:proofErr w:type="spellEnd"/>
      <w:r w:rsidR="00D300F9" w:rsidRPr="00F70333">
        <w:t xml:space="preserve"> et al 2011)</w:t>
      </w:r>
      <w:r w:rsidR="00473E46" w:rsidRPr="00F70333">
        <w:t xml:space="preserve"> </w:t>
      </w:r>
      <w:r w:rsidR="004A1907" w:rsidRPr="00F70333">
        <w:t xml:space="preserve">and </w:t>
      </w:r>
      <w:r w:rsidR="007E702C" w:rsidRPr="00F70333">
        <w:t>less frequent measure</w:t>
      </w:r>
      <w:r w:rsidR="004A1907" w:rsidRPr="00F70333">
        <w:t>s</w:t>
      </w:r>
      <w:r w:rsidR="007E702C" w:rsidRPr="00F70333">
        <w:t xml:space="preserve"> would not be sensitive to episodes of pain that resolve within a 3 month period</w:t>
      </w:r>
      <w:r w:rsidR="004A1907" w:rsidRPr="00F70333">
        <w:t xml:space="preserve"> or </w:t>
      </w:r>
      <w:r w:rsidR="009A50AD" w:rsidRPr="00F70333">
        <w:t xml:space="preserve">to </w:t>
      </w:r>
      <w:r w:rsidR="004A1907" w:rsidRPr="00F70333">
        <w:t>changing work exposures</w:t>
      </w:r>
      <w:r w:rsidR="007E702C" w:rsidRPr="00F70333">
        <w:t xml:space="preserve">. The planned frequency of data collection is already at a minimum level to reduce burden on respondents while also retaining sensitivity for a valid intervention effectiveness study. </w:t>
      </w:r>
      <w:r w:rsidRPr="00F70333">
        <w:t>There are no legal obstacles to reduce the burden.</w:t>
      </w:r>
    </w:p>
    <w:p w:rsidR="0038553A" w:rsidRPr="00F70333" w:rsidRDefault="0038553A" w:rsidP="0038553A">
      <w:pPr>
        <w:pStyle w:val="Heading2"/>
        <w:rPr>
          <w:b w:val="0"/>
        </w:rPr>
      </w:pPr>
      <w:bookmarkStart w:id="25" w:name="_Toc239826779"/>
      <w:bookmarkStart w:id="26" w:name="_Toc248821746"/>
      <w:bookmarkStart w:id="27" w:name="_Toc261966290"/>
      <w:r w:rsidRPr="00F70333">
        <w:rPr>
          <w:b w:val="0"/>
        </w:rPr>
        <w:t>A7.</w:t>
      </w:r>
      <w:r w:rsidRPr="00F70333">
        <w:rPr>
          <w:b w:val="0"/>
        </w:rPr>
        <w:tab/>
        <w:t xml:space="preserve">Special Circumstances </w:t>
      </w:r>
      <w:proofErr w:type="spellStart"/>
      <w:r w:rsidRPr="00F70333">
        <w:rPr>
          <w:b w:val="0"/>
        </w:rPr>
        <w:t>Relatingto</w:t>
      </w:r>
      <w:proofErr w:type="spellEnd"/>
      <w:r w:rsidRPr="00F70333">
        <w:rPr>
          <w:b w:val="0"/>
        </w:rPr>
        <w:t xml:space="preserve"> the Guidelines of 5 CFR 1320.5</w:t>
      </w:r>
      <w:bookmarkEnd w:id="25"/>
      <w:bookmarkEnd w:id="26"/>
      <w:bookmarkEnd w:id="27"/>
    </w:p>
    <w:p w:rsidR="00473E46" w:rsidRPr="00F70333" w:rsidRDefault="00473E46" w:rsidP="0038553A"/>
    <w:p w:rsidR="0038553A" w:rsidRPr="00F70333" w:rsidRDefault="0038553A" w:rsidP="0038553A">
      <w:r w:rsidRPr="00F70333">
        <w:t>There are no special circumstances associated with this data collection activity. This request fully complies with regulation 5 CFR 1320.5.</w:t>
      </w:r>
    </w:p>
    <w:p w:rsidR="0038553A" w:rsidRPr="00F70333" w:rsidRDefault="0038553A" w:rsidP="0038553A">
      <w:pPr>
        <w:pStyle w:val="Heading2"/>
        <w:ind w:left="720" w:hanging="720"/>
        <w:rPr>
          <w:b w:val="0"/>
        </w:rPr>
      </w:pPr>
      <w:bookmarkStart w:id="28" w:name="_Toc239826780"/>
      <w:bookmarkStart w:id="29" w:name="_Toc248821747"/>
      <w:bookmarkStart w:id="30" w:name="_Toc261966291"/>
      <w:r w:rsidRPr="00F70333">
        <w:rPr>
          <w:b w:val="0"/>
        </w:rPr>
        <w:t>A8.</w:t>
      </w:r>
      <w:r w:rsidRPr="00F70333">
        <w:rPr>
          <w:b w:val="0"/>
        </w:rPr>
        <w:tab/>
        <w:t>Comments in Response to the Federal Register Notice and Efforts to Consult Outside the Agency</w:t>
      </w:r>
      <w:bookmarkEnd w:id="28"/>
      <w:bookmarkEnd w:id="29"/>
      <w:bookmarkEnd w:id="30"/>
    </w:p>
    <w:p w:rsidR="00CF3A2A" w:rsidRPr="00F70333" w:rsidRDefault="00CF3A2A" w:rsidP="0038553A">
      <w:pPr>
        <w:pStyle w:val="QuickA"/>
        <w:ind w:left="0" w:firstLine="0"/>
      </w:pPr>
    </w:p>
    <w:p w:rsidR="00CF3A2A" w:rsidRPr="00F70333" w:rsidRDefault="00FA7614" w:rsidP="00FA7614">
      <w:pPr>
        <w:pStyle w:val="QuickA"/>
        <w:tabs>
          <w:tab w:val="left" w:pos="0"/>
          <w:tab w:val="left" w:pos="360"/>
          <w:tab w:val="left" w:pos="1080"/>
        </w:tabs>
        <w:ind w:left="0" w:firstLine="0"/>
        <w:outlineLvl w:val="9"/>
      </w:pPr>
      <w:r w:rsidRPr="00F70333">
        <w:t>A:</w:t>
      </w:r>
      <w:r w:rsidR="00473E46" w:rsidRPr="00F70333">
        <w:t xml:space="preserve"> </w:t>
      </w:r>
      <w:r w:rsidRPr="00F70333">
        <w:t xml:space="preserve"> </w:t>
      </w:r>
      <w:r w:rsidR="00CF3A2A" w:rsidRPr="00F70333">
        <w:t xml:space="preserve">In accordance with 5 CFR 1320.8(d), a review of the proposed study was sought </w:t>
      </w:r>
      <w:r w:rsidR="00CF3A2A" w:rsidRPr="005D3038">
        <w:t xml:space="preserve">through a 60-day publication period in the </w:t>
      </w:r>
      <w:r w:rsidR="00CF3A2A" w:rsidRPr="005D3038">
        <w:rPr>
          <w:i/>
        </w:rPr>
        <w:t>Federal Register</w:t>
      </w:r>
      <w:r w:rsidR="00CF3A2A" w:rsidRPr="005D3038">
        <w:t xml:space="preserve"> (</w:t>
      </w:r>
      <w:r w:rsidR="00941743" w:rsidRPr="005D3038">
        <w:t>May 18</w:t>
      </w:r>
      <w:r w:rsidR="00E07467" w:rsidRPr="005D3038">
        <w:t>, 2011</w:t>
      </w:r>
      <w:r w:rsidR="00CF3A2A" w:rsidRPr="005D3038">
        <w:rPr>
          <w:u w:val="single"/>
        </w:rPr>
        <w:t xml:space="preserve">, Vol. </w:t>
      </w:r>
      <w:r w:rsidR="00941743" w:rsidRPr="005D3038">
        <w:rPr>
          <w:u w:val="single"/>
        </w:rPr>
        <w:t>76</w:t>
      </w:r>
      <w:r w:rsidR="00CF3A2A" w:rsidRPr="005D3038">
        <w:rPr>
          <w:u w:val="single"/>
        </w:rPr>
        <w:t xml:space="preserve">, No. </w:t>
      </w:r>
      <w:r w:rsidR="00941743" w:rsidRPr="005D3038">
        <w:rPr>
          <w:u w:val="single"/>
        </w:rPr>
        <w:t>96</w:t>
      </w:r>
      <w:r w:rsidR="00CF3A2A" w:rsidRPr="005D3038">
        <w:rPr>
          <w:u w:val="single"/>
        </w:rPr>
        <w:t xml:space="preserve">, pages </w:t>
      </w:r>
      <w:r w:rsidR="00941743" w:rsidRPr="005D3038">
        <w:rPr>
          <w:u w:val="single"/>
        </w:rPr>
        <w:t>28788 -28789</w:t>
      </w:r>
      <w:r w:rsidR="00F63E7A">
        <w:rPr>
          <w:u w:val="single"/>
        </w:rPr>
        <w:t>),</w:t>
      </w:r>
      <w:r w:rsidR="00CF3A2A" w:rsidRPr="005D3038">
        <w:t xml:space="preserve"> (</w:t>
      </w:r>
      <w:r w:rsidR="00CF3A2A" w:rsidRPr="005D3038">
        <w:rPr>
          <w:b/>
          <w:bCs/>
          <w:iCs/>
        </w:rPr>
        <w:t xml:space="preserve">Attachment </w:t>
      </w:r>
      <w:r w:rsidR="00F2045C" w:rsidRPr="005D3038">
        <w:rPr>
          <w:b/>
          <w:bCs/>
          <w:iCs/>
        </w:rPr>
        <w:t>B</w:t>
      </w:r>
      <w:r w:rsidR="00CF3A2A" w:rsidRPr="005D3038">
        <w:rPr>
          <w:bCs/>
          <w:iCs/>
        </w:rPr>
        <w:t>).</w:t>
      </w:r>
      <w:r w:rsidR="00CF3A2A" w:rsidRPr="00F70333">
        <w:rPr>
          <w:bCs/>
          <w:iCs/>
        </w:rPr>
        <w:t xml:space="preserve">  </w:t>
      </w:r>
      <w:r w:rsidR="00E419EE" w:rsidRPr="00F70333">
        <w:rPr>
          <w:bCs/>
          <w:iCs/>
        </w:rPr>
        <w:t xml:space="preserve">No </w:t>
      </w:r>
      <w:r w:rsidR="00CF3A2A" w:rsidRPr="00F70333">
        <w:rPr>
          <w:bCs/>
          <w:iCs/>
        </w:rPr>
        <w:t xml:space="preserve">comments were received in response to the Federal Register notice. </w:t>
      </w:r>
    </w:p>
    <w:p w:rsidR="00FA7614" w:rsidRPr="00F70333" w:rsidRDefault="00FA7614" w:rsidP="00FA7614">
      <w:pPr>
        <w:pStyle w:val="QuickA"/>
        <w:tabs>
          <w:tab w:val="left" w:pos="0"/>
          <w:tab w:val="left" w:pos="360"/>
          <w:tab w:val="left" w:pos="1080"/>
        </w:tabs>
        <w:ind w:left="0" w:firstLine="0"/>
        <w:outlineLvl w:val="9"/>
      </w:pPr>
    </w:p>
    <w:p w:rsidR="00981EEA" w:rsidRPr="00F70333" w:rsidRDefault="00FA7614" w:rsidP="00981EEA">
      <w:pPr>
        <w:pStyle w:val="QuickA"/>
        <w:tabs>
          <w:tab w:val="left" w:pos="0"/>
          <w:tab w:val="left" w:pos="360"/>
        </w:tabs>
        <w:ind w:left="0" w:firstLine="0"/>
      </w:pPr>
      <w:r w:rsidRPr="00F70333">
        <w:t xml:space="preserve">B: </w:t>
      </w:r>
      <w:r w:rsidR="00473E46" w:rsidRPr="00F70333">
        <w:t xml:space="preserve"> </w:t>
      </w:r>
      <w:r w:rsidR="00CF3A2A" w:rsidRPr="00F70333">
        <w:t xml:space="preserve">NIOSH has consulted </w:t>
      </w:r>
      <w:r w:rsidR="0038553A" w:rsidRPr="00F70333">
        <w:t>with numerous individuals and organizations outside the agency regarding the availability and usefulness of the proposed data collection</w:t>
      </w:r>
      <w:r w:rsidR="00981EEA" w:rsidRPr="00F70333">
        <w:t>. The following chronology documents these contacts:</w:t>
      </w:r>
    </w:p>
    <w:p w:rsidR="00FA7614" w:rsidRPr="00F70333" w:rsidRDefault="00FA7614" w:rsidP="00FA7614">
      <w:pPr>
        <w:pStyle w:val="Heading4"/>
        <w:rPr>
          <w:b/>
        </w:rPr>
      </w:pPr>
      <w:r w:rsidRPr="00F70333">
        <w:rPr>
          <w:b/>
        </w:rPr>
        <w:t>2009</w:t>
      </w:r>
    </w:p>
    <w:p w:rsidR="00473E46" w:rsidRPr="00F70333" w:rsidRDefault="00473E46" w:rsidP="00473E46">
      <w:pPr>
        <w:rPr>
          <w:lang w:eastAsia="ja-JP"/>
        </w:rPr>
      </w:pPr>
    </w:p>
    <w:p w:rsidR="003405A7" w:rsidRPr="00F70333" w:rsidRDefault="00FA7614" w:rsidP="00FA7614">
      <w:r w:rsidRPr="00F70333">
        <w:rPr>
          <w:rFonts w:eastAsia="MS Mincho"/>
          <w:lang w:eastAsia="ja-JP"/>
        </w:rPr>
        <w:lastRenderedPageBreak/>
        <w:t xml:space="preserve">NIOSH researchers met several times with OBWC representatives from 2009-2010 to establish a long term and sustainable research partnership and discuss research goals and projects. </w:t>
      </w:r>
      <w:r w:rsidR="00BD6EC8" w:rsidRPr="00F70333">
        <w:rPr>
          <w:rFonts w:eastAsia="MS Mincho"/>
          <w:lang w:eastAsia="ja-JP"/>
        </w:rPr>
        <w:t>A formal agreement (</w:t>
      </w:r>
      <w:r w:rsidR="00885B9A" w:rsidRPr="00F70333">
        <w:rPr>
          <w:b/>
        </w:rPr>
        <w:t>Attachment</w:t>
      </w:r>
      <w:r w:rsidR="00BD6EC8" w:rsidRPr="00F70333">
        <w:rPr>
          <w:rFonts w:eastAsia="MS Mincho"/>
          <w:b/>
          <w:lang w:eastAsia="ja-JP"/>
        </w:rPr>
        <w:t xml:space="preserve"> </w:t>
      </w:r>
      <w:r w:rsidR="00F2045C" w:rsidRPr="00F70333">
        <w:rPr>
          <w:rFonts w:eastAsia="MS Mincho"/>
          <w:b/>
          <w:lang w:eastAsia="ja-JP"/>
        </w:rPr>
        <w:t>E</w:t>
      </w:r>
      <w:r w:rsidR="00771D9D" w:rsidRPr="00F70333">
        <w:rPr>
          <w:rFonts w:eastAsia="MS Mincho"/>
          <w:b/>
          <w:lang w:eastAsia="ja-JP"/>
        </w:rPr>
        <w:t>-1</w:t>
      </w:r>
      <w:r w:rsidR="00BD6EC8" w:rsidRPr="00F70333">
        <w:rPr>
          <w:rFonts w:eastAsia="MS Mincho"/>
          <w:lang w:eastAsia="ja-JP"/>
        </w:rPr>
        <w:t xml:space="preserve">) was then developed outline a collaborative research partnership and specify a data sharing agreement to ensure </w:t>
      </w:r>
      <w:r w:rsidR="006A62B4">
        <w:rPr>
          <w:rFonts w:eastAsia="MS Mincho"/>
          <w:lang w:eastAsia="ja-JP"/>
        </w:rPr>
        <w:t>data security</w:t>
      </w:r>
      <w:r w:rsidR="005B6628">
        <w:rPr>
          <w:rFonts w:eastAsia="MS Mincho"/>
          <w:lang w:eastAsia="ja-JP"/>
        </w:rPr>
        <w:t xml:space="preserve">. </w:t>
      </w:r>
      <w:r w:rsidR="00BD6EC8" w:rsidRPr="00F70333">
        <w:rPr>
          <w:rFonts w:eastAsia="MS Mincho"/>
          <w:lang w:eastAsia="ja-JP"/>
        </w:rPr>
        <w:t xml:space="preserve"> </w:t>
      </w:r>
      <w:r w:rsidR="00981EEA" w:rsidRPr="00F70333">
        <w:rPr>
          <w:rFonts w:eastAsia="MS Mincho"/>
          <w:lang w:eastAsia="ja-JP"/>
        </w:rPr>
        <w:t>An early stated goal was to</w:t>
      </w:r>
      <w:r w:rsidRPr="00F70333">
        <w:rPr>
          <w:rFonts w:eastAsia="MS Mincho"/>
          <w:lang w:eastAsia="ja-JP"/>
        </w:rPr>
        <w:t xml:space="preserve"> evaluate the effectiveness of the OBWC sponsored prevention programs</w:t>
      </w:r>
      <w:r w:rsidR="00992B51" w:rsidRPr="00F70333">
        <w:rPr>
          <w:rFonts w:eastAsia="MS Mincho"/>
          <w:lang w:eastAsia="ja-JP"/>
        </w:rPr>
        <w:t xml:space="preserve"> such as the Sa</w:t>
      </w:r>
      <w:r w:rsidRPr="00F70333">
        <w:t>fety Grants</w:t>
      </w:r>
      <w:r w:rsidR="00992B51" w:rsidRPr="00F70333">
        <w:t xml:space="preserve"> program described earlier. </w:t>
      </w:r>
      <w:r w:rsidRPr="00F70333">
        <w:t xml:space="preserve"> </w:t>
      </w:r>
      <w:r w:rsidR="00BD6EC8" w:rsidRPr="00F70333">
        <w:t xml:space="preserve">NIOSH and OBWC </w:t>
      </w:r>
      <w:r w:rsidR="00992B51" w:rsidRPr="00F70333">
        <w:t>c</w:t>
      </w:r>
      <w:r w:rsidR="00BD6EC8" w:rsidRPr="00F70333">
        <w:t xml:space="preserve">o-developed the current MSD research study as a way to determine if the grants were functioning to reduce MSD symptoms in target employees. As indicated in the background literature review, very few </w:t>
      </w:r>
      <w:r w:rsidR="00981EEA" w:rsidRPr="00F70333">
        <w:t xml:space="preserve">MSD intervention </w:t>
      </w:r>
      <w:r w:rsidR="00BD6EC8" w:rsidRPr="00F70333">
        <w:t xml:space="preserve">studies have been </w:t>
      </w:r>
      <w:r w:rsidR="00981EEA" w:rsidRPr="00F70333">
        <w:t xml:space="preserve">designed </w:t>
      </w:r>
      <w:r w:rsidR="00992B51" w:rsidRPr="00F70333">
        <w:t xml:space="preserve">in such a rigorous way </w:t>
      </w:r>
      <w:r w:rsidR="00981EEA" w:rsidRPr="00F70333">
        <w:t xml:space="preserve">and conducted for this purpose. </w:t>
      </w:r>
      <w:r w:rsidR="00BD6EC8" w:rsidRPr="00F70333">
        <w:t xml:space="preserve"> </w:t>
      </w:r>
    </w:p>
    <w:p w:rsidR="003405A7" w:rsidRPr="00F70333" w:rsidRDefault="003405A7" w:rsidP="00FA7614"/>
    <w:p w:rsidR="003405A7" w:rsidRPr="00F70333" w:rsidRDefault="00473E46" w:rsidP="00FA7614">
      <w:pPr>
        <w:rPr>
          <w:b/>
          <w:i/>
        </w:rPr>
      </w:pPr>
      <w:r w:rsidRPr="00F70333">
        <w:rPr>
          <w:b/>
          <w:i/>
        </w:rPr>
        <w:t xml:space="preserve">January </w:t>
      </w:r>
      <w:r w:rsidR="00BD6EC8" w:rsidRPr="00F70333">
        <w:rPr>
          <w:b/>
          <w:i/>
        </w:rPr>
        <w:t>2010</w:t>
      </w:r>
    </w:p>
    <w:p w:rsidR="00473E46" w:rsidRPr="00F70333" w:rsidRDefault="00473E46" w:rsidP="00FA7614">
      <w:pPr>
        <w:rPr>
          <w:b/>
          <w:i/>
        </w:rPr>
      </w:pPr>
    </w:p>
    <w:p w:rsidR="00BD6EC8" w:rsidRPr="00F70333" w:rsidRDefault="00BD6EC8" w:rsidP="00FA7614">
      <w:r w:rsidRPr="00F70333">
        <w:t xml:space="preserve">During the development phase of this project, NIOSH conferred with other researchers from the Institutes for Work and Health (Dr. Ben Amick) about the design of the MSD intervention study. </w:t>
      </w:r>
    </w:p>
    <w:p w:rsidR="00D300F9" w:rsidRPr="00F70333" w:rsidRDefault="00D300F9" w:rsidP="00FA7614"/>
    <w:p w:rsidR="00D300F9" w:rsidRPr="00F70333" w:rsidRDefault="00D300F9" w:rsidP="00D300F9">
      <w:r w:rsidRPr="00F70333">
        <w:t>Benjamin C. Amick III, PhD</w:t>
      </w:r>
    </w:p>
    <w:p w:rsidR="00D300F9" w:rsidRPr="00F70333" w:rsidRDefault="00D300F9" w:rsidP="00D300F9">
      <w:r w:rsidRPr="00F70333">
        <w:t>Professor of Behavioral Sciences and Epidemiology</w:t>
      </w:r>
    </w:p>
    <w:p w:rsidR="00D300F9" w:rsidRPr="00F70333" w:rsidRDefault="00D300F9" w:rsidP="00D300F9">
      <w:r w:rsidRPr="00F70333">
        <w:t>University of Texas School of Public Health</w:t>
      </w:r>
    </w:p>
    <w:p w:rsidR="00D300F9" w:rsidRPr="00F70333" w:rsidRDefault="00D300F9" w:rsidP="00D300F9">
      <w:r w:rsidRPr="00F70333">
        <w:t>713-500-9496</w:t>
      </w:r>
    </w:p>
    <w:p w:rsidR="00D300F9" w:rsidRPr="00F70333" w:rsidRDefault="00CE0CC8" w:rsidP="00D300F9">
      <w:hyperlink r:id="rId13" w:history="1">
        <w:r w:rsidR="00D300F9" w:rsidRPr="00F70333">
          <w:rPr>
            <w:rStyle w:val="Hyperlink"/>
            <w:color w:val="auto"/>
          </w:rPr>
          <w:t>benjamin.c.amick@uth.tmc.edu</w:t>
        </w:r>
      </w:hyperlink>
    </w:p>
    <w:p w:rsidR="0038553A" w:rsidRPr="00F70333" w:rsidRDefault="00473E46" w:rsidP="0038553A">
      <w:pPr>
        <w:pStyle w:val="Heading4"/>
        <w:rPr>
          <w:b/>
        </w:rPr>
      </w:pPr>
      <w:r w:rsidRPr="00F70333">
        <w:rPr>
          <w:b/>
        </w:rPr>
        <w:t xml:space="preserve">March to July </w:t>
      </w:r>
      <w:r w:rsidR="0038553A" w:rsidRPr="00F70333">
        <w:rPr>
          <w:b/>
        </w:rPr>
        <w:t>20</w:t>
      </w:r>
      <w:r w:rsidR="00FA7614" w:rsidRPr="00F70333">
        <w:rPr>
          <w:b/>
        </w:rPr>
        <w:t>10</w:t>
      </w:r>
    </w:p>
    <w:p w:rsidR="00473E46" w:rsidRPr="00F70333" w:rsidRDefault="00473E46" w:rsidP="00302EC4">
      <w:pPr>
        <w:pStyle w:val="QuickA"/>
        <w:ind w:left="0" w:firstLine="0"/>
        <w:rPr>
          <w:color w:val="auto"/>
        </w:rPr>
      </w:pPr>
    </w:p>
    <w:p w:rsidR="00C1617D" w:rsidRPr="00F70333" w:rsidRDefault="00473E46" w:rsidP="00302EC4">
      <w:pPr>
        <w:pStyle w:val="QuickA"/>
        <w:ind w:left="0" w:firstLine="0"/>
      </w:pPr>
      <w:r w:rsidRPr="00F70333">
        <w:rPr>
          <w:color w:val="auto"/>
        </w:rPr>
        <w:t>T</w:t>
      </w:r>
      <w:r w:rsidR="0038553A" w:rsidRPr="00F70333">
        <w:t xml:space="preserve">he </w:t>
      </w:r>
      <w:r w:rsidR="00BD6EC8" w:rsidRPr="00F70333">
        <w:t xml:space="preserve">MSD intervention study was </w:t>
      </w:r>
      <w:r w:rsidR="0038553A" w:rsidRPr="00F70333">
        <w:t xml:space="preserve">peer-reviewed </w:t>
      </w:r>
      <w:r w:rsidR="00C1617D" w:rsidRPr="00F70333">
        <w:t xml:space="preserve">as part of a multi-phase project between NIOSH and OBWC </w:t>
      </w:r>
      <w:r w:rsidR="0038553A" w:rsidRPr="00F70333">
        <w:t>and rated based on project approach, potential impact, innovation, and significance</w:t>
      </w:r>
      <w:r w:rsidR="00302EC4" w:rsidRPr="00F70333">
        <w:t xml:space="preserve">  through the NIOSH National Occupational Research Agenda (NORA) competitive process for intramural research.</w:t>
      </w:r>
      <w:r w:rsidR="0038553A" w:rsidRPr="00F70333">
        <w:t xml:space="preserve"> The project received favorable scores and </w:t>
      </w:r>
      <w:r w:rsidR="00302EC4" w:rsidRPr="00F70333">
        <w:t>was chosen for funding by NIOSH</w:t>
      </w:r>
      <w:r w:rsidR="00C1617D" w:rsidRPr="00F70333">
        <w:t xml:space="preserve"> from F</w:t>
      </w:r>
      <w:r w:rsidR="00C26FBF" w:rsidRPr="00F70333">
        <w:t>iscal Year 2011</w:t>
      </w:r>
      <w:r w:rsidR="00C1617D" w:rsidRPr="00F70333">
        <w:t xml:space="preserve"> through F</w:t>
      </w:r>
      <w:r w:rsidR="00C26FBF" w:rsidRPr="00F70333">
        <w:t>iscal Year 201</w:t>
      </w:r>
      <w:r w:rsidR="00C1617D" w:rsidRPr="00F70333">
        <w:t xml:space="preserve">4. </w:t>
      </w:r>
      <w:r w:rsidR="00885B9A" w:rsidRPr="00F70333">
        <w:t xml:space="preserve">The </w:t>
      </w:r>
      <w:r w:rsidR="00C1617D" w:rsidRPr="00F70333">
        <w:t xml:space="preserve">OBWC is also funding the majority of costs of the actual </w:t>
      </w:r>
      <w:r w:rsidR="00981EEA" w:rsidRPr="00F70333">
        <w:t xml:space="preserve">MSD </w:t>
      </w:r>
      <w:r w:rsidR="00C1617D" w:rsidRPr="00F70333">
        <w:t xml:space="preserve">interventions (powered hand trucks and lift gates) through a 2:1 matching grant process. </w:t>
      </w:r>
    </w:p>
    <w:p w:rsidR="004A61ED" w:rsidRPr="00F70333" w:rsidRDefault="004A61ED" w:rsidP="00302EC4">
      <w:pPr>
        <w:pStyle w:val="QuickA"/>
        <w:ind w:left="0" w:firstLine="0"/>
      </w:pPr>
    </w:p>
    <w:p w:rsidR="00473E46" w:rsidRPr="00F70333" w:rsidRDefault="00473E46" w:rsidP="00302EC4">
      <w:pPr>
        <w:pStyle w:val="QuickA"/>
        <w:ind w:left="0" w:firstLine="0"/>
        <w:rPr>
          <w:b/>
          <w:i/>
        </w:rPr>
      </w:pPr>
      <w:r w:rsidRPr="00F70333">
        <w:rPr>
          <w:b/>
          <w:i/>
        </w:rPr>
        <w:t>December 9, 2010</w:t>
      </w:r>
    </w:p>
    <w:p w:rsidR="00473E46" w:rsidRPr="00F70333" w:rsidRDefault="00473E46" w:rsidP="00302EC4">
      <w:pPr>
        <w:pStyle w:val="QuickA"/>
        <w:ind w:left="0" w:firstLine="0"/>
      </w:pPr>
    </w:p>
    <w:p w:rsidR="00631F04" w:rsidRPr="00F70333" w:rsidRDefault="00631F04" w:rsidP="00302EC4">
      <w:pPr>
        <w:pStyle w:val="QuickA"/>
        <w:ind w:left="0" w:firstLine="0"/>
      </w:pPr>
      <w:r w:rsidRPr="00F70333">
        <w:t>NIOSH and OBWC presented an overview of the study to the NIOSH MSD NORA Cross-Sector meeting. This meeting includes MSD researchers from across NIOSH and academic institutions. The MSD intervention study was discussed informally during the meeting and feedback was received.</w:t>
      </w:r>
      <w:r w:rsidR="00473E46" w:rsidRPr="00F70333">
        <w:t xml:space="preserve"> </w:t>
      </w:r>
    </w:p>
    <w:p w:rsidR="0038553A" w:rsidRPr="00F70333" w:rsidRDefault="00473E46" w:rsidP="0038553A">
      <w:pPr>
        <w:pStyle w:val="Heading4"/>
        <w:rPr>
          <w:b/>
        </w:rPr>
      </w:pPr>
      <w:r w:rsidRPr="00F70333">
        <w:rPr>
          <w:b/>
        </w:rPr>
        <w:t xml:space="preserve">January </w:t>
      </w:r>
      <w:r w:rsidR="0038553A" w:rsidRPr="00F70333">
        <w:rPr>
          <w:b/>
        </w:rPr>
        <w:t>20</w:t>
      </w:r>
      <w:r w:rsidR="00302EC4" w:rsidRPr="00F70333">
        <w:rPr>
          <w:b/>
        </w:rPr>
        <w:t>11</w:t>
      </w:r>
    </w:p>
    <w:p w:rsidR="00473E46" w:rsidRPr="00F70333" w:rsidRDefault="00473E46" w:rsidP="00473E46">
      <w:pPr>
        <w:rPr>
          <w:lang w:eastAsia="ja-JP"/>
        </w:rPr>
      </w:pPr>
    </w:p>
    <w:p w:rsidR="004A61ED" w:rsidRPr="00F70333" w:rsidRDefault="00302EC4" w:rsidP="0038553A">
      <w:pPr>
        <w:pStyle w:val="QuickA"/>
        <w:ind w:left="0" w:firstLine="0"/>
      </w:pPr>
      <w:r w:rsidRPr="00F70333">
        <w:t>NIOSH continued to work with OBWC to refine the MSD intervention protocol. As part of this process, NIOSH solicited</w:t>
      </w:r>
      <w:r w:rsidR="002B72A0" w:rsidRPr="00F70333">
        <w:t xml:space="preserve"> </w:t>
      </w:r>
      <w:r w:rsidRPr="00F70333">
        <w:t xml:space="preserve">input from OBWC staff ergonomists to </w:t>
      </w:r>
      <w:r w:rsidR="002B72A0" w:rsidRPr="00F70333">
        <w:t xml:space="preserve">determine what ergonomic engineering controls (equipment, tools, work station designs) they have </w:t>
      </w:r>
      <w:r w:rsidR="002B72A0" w:rsidRPr="00F70333">
        <w:lastRenderedPageBreak/>
        <w:t>recommended for WRT cli</w:t>
      </w:r>
      <w:r w:rsidR="00981EEA" w:rsidRPr="00F70333">
        <w:t xml:space="preserve">ents, </w:t>
      </w:r>
      <w:r w:rsidR="002B72A0" w:rsidRPr="00F70333">
        <w:t>which controls have been m</w:t>
      </w:r>
      <w:r w:rsidR="007968CF">
        <w:t xml:space="preserve">ost effective in reducing MSDs </w:t>
      </w:r>
      <w:r w:rsidR="002B72A0" w:rsidRPr="00F70333">
        <w:t xml:space="preserve">in WRT, and what controls need to be developed for WRT.  </w:t>
      </w:r>
      <w:r w:rsidR="00981EEA" w:rsidRPr="00F70333">
        <w:t xml:space="preserve">This information was used to develop background information for the focus meeting described next. </w:t>
      </w:r>
      <w:r w:rsidR="00535EF4" w:rsidRPr="00F70333">
        <w:t xml:space="preserve"> </w:t>
      </w:r>
      <w:r w:rsidR="00AD5E6F" w:rsidRPr="00F70333">
        <w:t>Those contacted are listed below.</w:t>
      </w:r>
    </w:p>
    <w:p w:rsidR="00AD5E6F" w:rsidRPr="00F70333" w:rsidRDefault="00AD5E6F" w:rsidP="0038553A">
      <w:pPr>
        <w:pStyle w:val="QuickA"/>
        <w:ind w:left="0" w:firstLine="0"/>
      </w:pPr>
    </w:p>
    <w:p w:rsidR="004A61ED" w:rsidRPr="00F70333" w:rsidRDefault="004A61ED" w:rsidP="0038553A">
      <w:pPr>
        <w:pStyle w:val="QuickA"/>
        <w:ind w:left="0" w:firstLine="0"/>
      </w:pPr>
      <w:r w:rsidRPr="00F70333">
        <w:t xml:space="preserve">Steve Hanna, </w:t>
      </w:r>
      <w:r w:rsidR="00AD5E6F" w:rsidRPr="00F70333">
        <w:t xml:space="preserve">Ergonomist, </w:t>
      </w:r>
      <w:r w:rsidRPr="00F70333">
        <w:t>OBWC</w:t>
      </w:r>
      <w:r w:rsidR="00AD5E6F" w:rsidRPr="00F70333">
        <w:t xml:space="preserve">, </w:t>
      </w:r>
      <w:r w:rsidRPr="00F70333">
        <w:t>330-904-4315</w:t>
      </w:r>
      <w:r w:rsidR="00AD5E6F" w:rsidRPr="00F70333">
        <w:t xml:space="preserve">, </w:t>
      </w:r>
      <w:hyperlink r:id="rId14" w:history="1">
        <w:r w:rsidRPr="00F70333">
          <w:rPr>
            <w:rStyle w:val="Hyperlink"/>
          </w:rPr>
          <w:t>Stephen.h.1@bwc.state.oh.us</w:t>
        </w:r>
      </w:hyperlink>
    </w:p>
    <w:p w:rsidR="004A61ED" w:rsidRPr="00F70333" w:rsidRDefault="004A61ED" w:rsidP="0038553A">
      <w:pPr>
        <w:pStyle w:val="QuickA"/>
        <w:ind w:left="0" w:firstLine="0"/>
      </w:pPr>
      <w:r w:rsidRPr="00F70333">
        <w:t xml:space="preserve">Dennis Apple, </w:t>
      </w:r>
      <w:r w:rsidR="00AD5E6F" w:rsidRPr="00F70333">
        <w:t>Ergonomist, OBWC,</w:t>
      </w:r>
      <w:r w:rsidR="00390F48" w:rsidRPr="00F70333">
        <w:t xml:space="preserve"> </w:t>
      </w:r>
      <w:r w:rsidRPr="00F70333">
        <w:t>740-435-4333</w:t>
      </w:r>
      <w:r w:rsidR="00AD5E6F" w:rsidRPr="00F70333">
        <w:t>,</w:t>
      </w:r>
      <w:r w:rsidR="00390F48" w:rsidRPr="00F70333">
        <w:t xml:space="preserve"> </w:t>
      </w:r>
      <w:hyperlink r:id="rId15" w:history="1">
        <w:r w:rsidRPr="00F70333">
          <w:rPr>
            <w:rStyle w:val="Hyperlink"/>
          </w:rPr>
          <w:t>Dennis.apple@bwc.state.oh.us</w:t>
        </w:r>
      </w:hyperlink>
    </w:p>
    <w:p w:rsidR="00390F48" w:rsidRPr="00F70333" w:rsidRDefault="00390F48" w:rsidP="002B72A0">
      <w:pPr>
        <w:pStyle w:val="QuickA"/>
        <w:ind w:left="0" w:firstLine="0"/>
      </w:pPr>
      <w:r w:rsidRPr="00F70333">
        <w:t xml:space="preserve">Mike </w:t>
      </w:r>
      <w:proofErr w:type="spellStart"/>
      <w:r w:rsidRPr="00F70333">
        <w:t>Rienerth</w:t>
      </w:r>
      <w:proofErr w:type="spellEnd"/>
      <w:r w:rsidRPr="00F70333">
        <w:t xml:space="preserve">, Ergonomist, OBWC, 216-538-9724, </w:t>
      </w:r>
      <w:hyperlink r:id="rId16" w:history="1">
        <w:r w:rsidRPr="00F70333">
          <w:rPr>
            <w:rStyle w:val="Hyperlink"/>
          </w:rPr>
          <w:t>Michael.R.1@bwc.state.oh.us</w:t>
        </w:r>
      </w:hyperlink>
    </w:p>
    <w:p w:rsidR="00390F48" w:rsidRPr="00F70333" w:rsidRDefault="00390F48" w:rsidP="002B72A0">
      <w:pPr>
        <w:pStyle w:val="QuickA"/>
        <w:ind w:left="0" w:firstLine="0"/>
        <w:rPr>
          <w:b/>
          <w:i/>
        </w:rPr>
      </w:pPr>
    </w:p>
    <w:p w:rsidR="00473E46" w:rsidRPr="00F70333" w:rsidRDefault="00885B9A" w:rsidP="002B72A0">
      <w:pPr>
        <w:pStyle w:val="QuickA"/>
        <w:ind w:left="0" w:firstLine="0"/>
        <w:rPr>
          <w:b/>
          <w:i/>
        </w:rPr>
      </w:pPr>
      <w:r w:rsidRPr="00F70333">
        <w:rPr>
          <w:b/>
          <w:i/>
        </w:rPr>
        <w:t>January 24, 2011</w:t>
      </w:r>
      <w:r w:rsidR="002B72A0" w:rsidRPr="00F70333">
        <w:rPr>
          <w:b/>
          <w:i/>
        </w:rPr>
        <w:t xml:space="preserve"> </w:t>
      </w:r>
    </w:p>
    <w:p w:rsidR="00885B9A" w:rsidRPr="00F70333" w:rsidRDefault="00885B9A" w:rsidP="002B72A0">
      <w:pPr>
        <w:pStyle w:val="QuickA"/>
        <w:ind w:left="0" w:firstLine="0"/>
      </w:pPr>
    </w:p>
    <w:p w:rsidR="00535EF4" w:rsidRPr="00F70333" w:rsidRDefault="002B72A0" w:rsidP="002B72A0">
      <w:pPr>
        <w:pStyle w:val="QuickA"/>
        <w:ind w:left="0" w:firstLine="0"/>
      </w:pPr>
      <w:r w:rsidRPr="00F70333">
        <w:t>NIOSH held a focus group meeting at NIOSH in Cincinnati, OH with 8 OBWC staff to discuss additional interventions and target industries to add to the</w:t>
      </w:r>
      <w:r w:rsidR="00981EEA" w:rsidRPr="00F70333">
        <w:t xml:space="preserve"> MSD intervention </w:t>
      </w:r>
      <w:r w:rsidRPr="00F70333">
        <w:t xml:space="preserve">study to meet </w:t>
      </w:r>
      <w:r w:rsidR="00981EEA" w:rsidRPr="00F70333">
        <w:t>O</w:t>
      </w:r>
      <w:r w:rsidRPr="00F70333">
        <w:t>BWC’s needs further and broaden study reach. OBWC Attendees included</w:t>
      </w:r>
      <w:r w:rsidR="00473E46" w:rsidRPr="00F70333">
        <w:t>:</w:t>
      </w:r>
      <w:r w:rsidRPr="00F70333">
        <w:t xml:space="preserve"> </w:t>
      </w:r>
    </w:p>
    <w:p w:rsidR="00473E46" w:rsidRPr="00F70333" w:rsidRDefault="00473E46" w:rsidP="002B72A0">
      <w:pPr>
        <w:pStyle w:val="QuickA"/>
        <w:ind w:left="0" w:firstLine="0"/>
      </w:pPr>
    </w:p>
    <w:p w:rsidR="00896986" w:rsidRPr="00F70333" w:rsidRDefault="00896986" w:rsidP="007069B6">
      <w:pPr>
        <w:ind w:left="720"/>
      </w:pPr>
      <w:r w:rsidRPr="00F70333">
        <w:t xml:space="preserve">Cheryl Giordano, Ergonomist, 513-520-7071, </w:t>
      </w:r>
      <w:hyperlink r:id="rId17" w:history="1">
        <w:r w:rsidRPr="00F70333">
          <w:rPr>
            <w:rStyle w:val="Hyperlink"/>
          </w:rPr>
          <w:t>Cheryl.G.12@bwc.state.oh.us</w:t>
        </w:r>
      </w:hyperlink>
    </w:p>
    <w:p w:rsidR="00896986" w:rsidRPr="00F70333" w:rsidRDefault="00896986" w:rsidP="007069B6">
      <w:pPr>
        <w:ind w:left="720"/>
      </w:pPr>
      <w:r w:rsidRPr="00F70333">
        <w:t xml:space="preserve">Mark Giordano, Ergonomist, 513-520-2618, </w:t>
      </w:r>
      <w:hyperlink r:id="rId18" w:history="1">
        <w:r w:rsidRPr="00F70333">
          <w:rPr>
            <w:rStyle w:val="Hyperlink"/>
          </w:rPr>
          <w:t>Mark.G.1@bwc.state.oh.us</w:t>
        </w:r>
      </w:hyperlink>
    </w:p>
    <w:p w:rsidR="00896986" w:rsidRPr="00F70333" w:rsidRDefault="00896986" w:rsidP="007069B6">
      <w:pPr>
        <w:ind w:left="720"/>
      </w:pPr>
      <w:r w:rsidRPr="00F70333">
        <w:t xml:space="preserve">Trish Harris, Service Office Manager, 513-583-4512, </w:t>
      </w:r>
      <w:hyperlink r:id="rId19" w:history="1">
        <w:r w:rsidRPr="00F70333">
          <w:rPr>
            <w:rStyle w:val="Hyperlink"/>
          </w:rPr>
          <w:t>Patricia.H.1@bwc.state.oh.us</w:t>
        </w:r>
      </w:hyperlink>
    </w:p>
    <w:p w:rsidR="00896986" w:rsidRPr="00F70333" w:rsidRDefault="00896986" w:rsidP="007069B6">
      <w:pPr>
        <w:ind w:left="720"/>
      </w:pPr>
      <w:r w:rsidRPr="00F70333">
        <w:t xml:space="preserve">Mike Lampl, Ergonomics Technical Advisor, 614-995-203, </w:t>
      </w:r>
      <w:hyperlink r:id="rId20" w:history="1">
        <w:r w:rsidRPr="00F70333">
          <w:rPr>
            <w:rStyle w:val="Hyperlink"/>
          </w:rPr>
          <w:t>Michael.L.1@bwc.state.oh.us</w:t>
        </w:r>
      </w:hyperlink>
    </w:p>
    <w:p w:rsidR="00896986" w:rsidRPr="00F70333" w:rsidRDefault="00896986" w:rsidP="007069B6">
      <w:pPr>
        <w:ind w:left="720"/>
      </w:pPr>
      <w:r w:rsidRPr="00F70333">
        <w:t xml:space="preserve">Carol Morrison, Manager, Business Development, 614-644-8225, </w:t>
      </w:r>
      <w:hyperlink r:id="rId21" w:history="1">
        <w:r w:rsidRPr="00F70333">
          <w:rPr>
            <w:rStyle w:val="Hyperlink"/>
          </w:rPr>
          <w:t>Carol.M.1@bwc.state.oh.us</w:t>
        </w:r>
      </w:hyperlink>
    </w:p>
    <w:p w:rsidR="00896986" w:rsidRPr="00F70333" w:rsidRDefault="00896986" w:rsidP="007069B6">
      <w:pPr>
        <w:ind w:left="720"/>
      </w:pPr>
      <w:r w:rsidRPr="00F70333">
        <w:t xml:space="preserve">Theresa Paxton, Ergonomist, 513-520-8167, </w:t>
      </w:r>
      <w:hyperlink r:id="rId22" w:history="1">
        <w:r w:rsidRPr="00F70333">
          <w:rPr>
            <w:rStyle w:val="Hyperlink"/>
          </w:rPr>
          <w:t>Theresa.P.1@bwc.state.oh.us</w:t>
        </w:r>
      </w:hyperlink>
    </w:p>
    <w:p w:rsidR="00896986" w:rsidRPr="00F70333" w:rsidRDefault="00896986" w:rsidP="007069B6">
      <w:pPr>
        <w:ind w:left="720"/>
      </w:pPr>
      <w:proofErr w:type="spellStart"/>
      <w:r w:rsidRPr="00F70333">
        <w:t>Mireya</w:t>
      </w:r>
      <w:proofErr w:type="spellEnd"/>
      <w:r w:rsidRPr="00F70333">
        <w:t xml:space="preserve"> Springer, Ergonomist, 614-562-5417, </w:t>
      </w:r>
      <w:hyperlink r:id="rId23" w:history="1">
        <w:r w:rsidRPr="00F70333">
          <w:rPr>
            <w:rStyle w:val="Hyperlink"/>
          </w:rPr>
          <w:t>Mireya.S.1@bwc.state.oh.us</w:t>
        </w:r>
      </w:hyperlink>
    </w:p>
    <w:p w:rsidR="00896986" w:rsidRPr="00F70333" w:rsidRDefault="00896986" w:rsidP="007069B6">
      <w:pPr>
        <w:ind w:left="720"/>
      </w:pPr>
      <w:proofErr w:type="spellStart"/>
      <w:r w:rsidRPr="00F70333">
        <w:t>Ivana</w:t>
      </w:r>
      <w:proofErr w:type="spellEnd"/>
      <w:r w:rsidRPr="00F70333">
        <w:t xml:space="preserve"> Wireman, Ergonomist, 937-269-6040, </w:t>
      </w:r>
      <w:hyperlink r:id="rId24" w:history="1">
        <w:r w:rsidRPr="00F70333">
          <w:rPr>
            <w:rStyle w:val="Hyperlink"/>
          </w:rPr>
          <w:t>Ivana.W.1@bwc.state.oh.us</w:t>
        </w:r>
      </w:hyperlink>
    </w:p>
    <w:p w:rsidR="00896986" w:rsidRPr="00F70333" w:rsidRDefault="00896986" w:rsidP="00896986"/>
    <w:p w:rsidR="002B72A0" w:rsidRPr="00F70333" w:rsidRDefault="0019660B" w:rsidP="0019660B">
      <w:r w:rsidRPr="00F70333">
        <w:t>As a summary, th</w:t>
      </w:r>
      <w:r w:rsidR="002B72A0" w:rsidRPr="00F70333">
        <w:t>e group agreed</w:t>
      </w:r>
      <w:r w:rsidR="00851C87" w:rsidRPr="00F70333">
        <w:t xml:space="preserve"> that</w:t>
      </w:r>
      <w:r w:rsidR="002B72A0" w:rsidRPr="00F70333">
        <w:t xml:space="preserve"> the best way to expand the study would be to keep the focus on the material handling of large items (100+ lbs.) or stacked smaller items (1-100 lbs. per item, 100+ lbs. per stack), mainly during delivery-related operations, but include a</w:t>
      </w:r>
      <w:r w:rsidRPr="00F70333">
        <w:t xml:space="preserve"> wider variety of WRT companies (</w:t>
      </w:r>
      <w:r w:rsidR="00473E46" w:rsidRPr="00F70333">
        <w:t>a</w:t>
      </w:r>
      <w:r w:rsidR="002B72A0" w:rsidRPr="00F70333">
        <w:t xml:space="preserve">ppliance/ </w:t>
      </w:r>
      <w:r w:rsidR="00473E46" w:rsidRPr="00F70333">
        <w:t>f</w:t>
      </w:r>
      <w:r w:rsidR="002B72A0" w:rsidRPr="00F70333">
        <w:t xml:space="preserve">urniture delivery; </w:t>
      </w:r>
      <w:r w:rsidR="00473E46" w:rsidRPr="00F70333">
        <w:t>b</w:t>
      </w:r>
      <w:r w:rsidR="002B72A0" w:rsidRPr="00F70333">
        <w:t xml:space="preserve">everage distribution; </w:t>
      </w:r>
      <w:r w:rsidR="00473E46" w:rsidRPr="00F70333">
        <w:t>f</w:t>
      </w:r>
      <w:r w:rsidR="002B72A0" w:rsidRPr="00F70333">
        <w:t xml:space="preserve">ood distribution; </w:t>
      </w:r>
      <w:r w:rsidR="00473E46" w:rsidRPr="00F70333">
        <w:t>h</w:t>
      </w:r>
      <w:r w:rsidR="002B72A0" w:rsidRPr="00F70333">
        <w:t xml:space="preserve">eating/ </w:t>
      </w:r>
      <w:r w:rsidR="00473E46" w:rsidRPr="00F70333">
        <w:t>v</w:t>
      </w:r>
      <w:r w:rsidR="002B72A0" w:rsidRPr="00F70333">
        <w:t>entilation suppliers</w:t>
      </w:r>
      <w:r w:rsidR="00473E46" w:rsidRPr="00F70333">
        <w:t>; v</w:t>
      </w:r>
      <w:r w:rsidR="002B72A0" w:rsidRPr="00F70333">
        <w:t xml:space="preserve">ending services; </w:t>
      </w:r>
      <w:r w:rsidR="00981EEA" w:rsidRPr="00F70333">
        <w:t xml:space="preserve">and </w:t>
      </w:r>
      <w:r w:rsidR="00473E46" w:rsidRPr="00F70333">
        <w:t>o</w:t>
      </w:r>
      <w:r w:rsidR="002B72A0" w:rsidRPr="00F70333">
        <w:t>ffice supplies- copier service</w:t>
      </w:r>
      <w:r w:rsidRPr="00F70333">
        <w:t xml:space="preserve">). The group also agreed </w:t>
      </w:r>
      <w:r w:rsidR="00851C87" w:rsidRPr="00F70333">
        <w:t xml:space="preserve">that the study should </w:t>
      </w:r>
      <w:r w:rsidRPr="00F70333">
        <w:t>focus on two priority controls (powered h</w:t>
      </w:r>
      <w:r w:rsidR="002B72A0" w:rsidRPr="00F70333">
        <w:t>and t</w:t>
      </w:r>
      <w:r w:rsidRPr="00F70333">
        <w:t xml:space="preserve">rucks and lift gates). </w:t>
      </w:r>
      <w:r w:rsidR="002B72A0" w:rsidRPr="00F70333">
        <w:t xml:space="preserve">The group </w:t>
      </w:r>
      <w:r w:rsidR="00981EEA" w:rsidRPr="00F70333">
        <w:t xml:space="preserve">further </w:t>
      </w:r>
      <w:r w:rsidR="002B72A0" w:rsidRPr="00F70333">
        <w:t xml:space="preserve">agreed that the expanded WRT study will meet many of the needs for ergonomic research in the transportation sector because the focus will be mainly on delivery operations with similar risks.  </w:t>
      </w:r>
      <w:r w:rsidRPr="00F70333">
        <w:t>Next steps were outlined to:</w:t>
      </w:r>
    </w:p>
    <w:p w:rsidR="0019660B" w:rsidRPr="00F70333" w:rsidRDefault="0019660B" w:rsidP="002B72A0">
      <w:pPr>
        <w:ind w:left="720"/>
      </w:pPr>
    </w:p>
    <w:p w:rsidR="002B72A0" w:rsidRPr="00F70333" w:rsidRDefault="002B72A0" w:rsidP="002B72A0">
      <w:pPr>
        <w:pStyle w:val="ListParagraph"/>
        <w:numPr>
          <w:ilvl w:val="0"/>
          <w:numId w:val="43"/>
        </w:numPr>
        <w:spacing w:after="200" w:line="240" w:lineRule="auto"/>
        <w:jc w:val="left"/>
        <w:rPr>
          <w:sz w:val="24"/>
          <w:szCs w:val="24"/>
        </w:rPr>
      </w:pPr>
      <w:r w:rsidRPr="00F70333">
        <w:rPr>
          <w:sz w:val="24"/>
          <w:szCs w:val="24"/>
        </w:rPr>
        <w:t xml:space="preserve">Find current and potential users of priority controls among </w:t>
      </w:r>
      <w:r w:rsidR="0019660B" w:rsidRPr="00F70333">
        <w:rPr>
          <w:sz w:val="24"/>
          <w:szCs w:val="24"/>
        </w:rPr>
        <w:t>O</w:t>
      </w:r>
      <w:r w:rsidRPr="00F70333">
        <w:rPr>
          <w:sz w:val="24"/>
          <w:szCs w:val="24"/>
        </w:rPr>
        <w:t>BWC WRT clients</w:t>
      </w:r>
    </w:p>
    <w:p w:rsidR="002B72A0" w:rsidRPr="00F70333" w:rsidRDefault="002B72A0" w:rsidP="002B72A0">
      <w:pPr>
        <w:pStyle w:val="ListParagraph"/>
        <w:numPr>
          <w:ilvl w:val="0"/>
          <w:numId w:val="42"/>
        </w:numPr>
        <w:spacing w:after="200" w:line="240" w:lineRule="auto"/>
        <w:jc w:val="left"/>
        <w:rPr>
          <w:sz w:val="24"/>
          <w:szCs w:val="24"/>
        </w:rPr>
      </w:pPr>
      <w:r w:rsidRPr="00F70333">
        <w:rPr>
          <w:sz w:val="24"/>
          <w:szCs w:val="24"/>
        </w:rPr>
        <w:t>Seek input from WRT clients about ergonomic best practices through Safety Council meetings and onsite visits to build case study library</w:t>
      </w:r>
    </w:p>
    <w:p w:rsidR="002B72A0" w:rsidRPr="00F70333" w:rsidRDefault="002B72A0" w:rsidP="002B72A0">
      <w:pPr>
        <w:pStyle w:val="ListParagraph"/>
        <w:numPr>
          <w:ilvl w:val="0"/>
          <w:numId w:val="40"/>
        </w:numPr>
        <w:spacing w:after="200" w:line="276" w:lineRule="auto"/>
        <w:jc w:val="left"/>
        <w:rPr>
          <w:sz w:val="24"/>
          <w:szCs w:val="24"/>
        </w:rPr>
      </w:pPr>
      <w:r w:rsidRPr="00F70333">
        <w:rPr>
          <w:sz w:val="24"/>
          <w:szCs w:val="24"/>
        </w:rPr>
        <w:t xml:space="preserve">Facilitate NIOSH visits to </w:t>
      </w:r>
      <w:r w:rsidR="0019660B" w:rsidRPr="00F70333">
        <w:rPr>
          <w:sz w:val="24"/>
          <w:szCs w:val="24"/>
        </w:rPr>
        <w:t>O</w:t>
      </w:r>
      <w:r w:rsidRPr="00F70333">
        <w:rPr>
          <w:sz w:val="24"/>
          <w:szCs w:val="24"/>
        </w:rPr>
        <w:t>BWC WRT clients (especially current users of controls)</w:t>
      </w:r>
    </w:p>
    <w:p w:rsidR="002B72A0" w:rsidRPr="00F70333" w:rsidRDefault="002B72A0" w:rsidP="002B72A0">
      <w:pPr>
        <w:pStyle w:val="ListParagraph"/>
        <w:numPr>
          <w:ilvl w:val="0"/>
          <w:numId w:val="40"/>
        </w:numPr>
        <w:spacing w:after="200" w:line="276" w:lineRule="auto"/>
        <w:jc w:val="left"/>
        <w:rPr>
          <w:b/>
          <w:sz w:val="24"/>
          <w:szCs w:val="24"/>
        </w:rPr>
      </w:pPr>
      <w:r w:rsidRPr="00F70333">
        <w:rPr>
          <w:sz w:val="24"/>
          <w:szCs w:val="24"/>
        </w:rPr>
        <w:t>Begin informal recruiting of new clients for study</w:t>
      </w:r>
    </w:p>
    <w:p w:rsidR="002B72A0" w:rsidRPr="00F70333" w:rsidRDefault="002B72A0" w:rsidP="002B72A0">
      <w:pPr>
        <w:pStyle w:val="ListParagraph"/>
        <w:numPr>
          <w:ilvl w:val="0"/>
          <w:numId w:val="42"/>
        </w:numPr>
        <w:spacing w:after="200" w:line="240" w:lineRule="auto"/>
        <w:jc w:val="left"/>
        <w:rPr>
          <w:sz w:val="24"/>
          <w:szCs w:val="24"/>
        </w:rPr>
      </w:pPr>
      <w:r w:rsidRPr="00F70333">
        <w:rPr>
          <w:sz w:val="24"/>
          <w:szCs w:val="24"/>
        </w:rPr>
        <w:lastRenderedPageBreak/>
        <w:t xml:space="preserve">Prepare </w:t>
      </w:r>
      <w:r w:rsidR="00851C87" w:rsidRPr="00F70333">
        <w:rPr>
          <w:sz w:val="24"/>
          <w:szCs w:val="24"/>
        </w:rPr>
        <w:t xml:space="preserve">a </w:t>
      </w:r>
      <w:r w:rsidRPr="00F70333">
        <w:rPr>
          <w:sz w:val="24"/>
          <w:szCs w:val="24"/>
        </w:rPr>
        <w:t>new Safety</w:t>
      </w:r>
      <w:r w:rsidR="0019660B" w:rsidRPr="00F70333">
        <w:rPr>
          <w:sz w:val="24"/>
          <w:szCs w:val="24"/>
        </w:rPr>
        <w:t xml:space="preserve"> Grants</w:t>
      </w:r>
      <w:r w:rsidRPr="00F70333">
        <w:rPr>
          <w:sz w:val="24"/>
          <w:szCs w:val="24"/>
        </w:rPr>
        <w:t xml:space="preserve"> application for WRT study for formal recruiting </w:t>
      </w:r>
    </w:p>
    <w:p w:rsidR="00302EC4" w:rsidRPr="00F70333" w:rsidRDefault="0019660B" w:rsidP="0038553A">
      <w:pPr>
        <w:pStyle w:val="QuickA"/>
        <w:ind w:left="0" w:firstLine="0"/>
        <w:rPr>
          <w:b/>
          <w:i/>
        </w:rPr>
      </w:pPr>
      <w:r w:rsidRPr="00F70333">
        <w:rPr>
          <w:b/>
          <w:i/>
        </w:rPr>
        <w:t>February to March 2011</w:t>
      </w:r>
    </w:p>
    <w:p w:rsidR="00776A7F" w:rsidRPr="00F70333" w:rsidRDefault="00776A7F" w:rsidP="0038553A">
      <w:pPr>
        <w:pStyle w:val="QuickA"/>
        <w:ind w:left="0" w:firstLine="0"/>
        <w:rPr>
          <w:b/>
          <w:i/>
        </w:rPr>
      </w:pPr>
    </w:p>
    <w:p w:rsidR="0019660B" w:rsidRPr="00F70333" w:rsidRDefault="0019660B" w:rsidP="0038553A">
      <w:pPr>
        <w:pStyle w:val="QuickA"/>
        <w:ind w:left="0" w:firstLine="0"/>
      </w:pPr>
      <w:r w:rsidRPr="00F70333">
        <w:t xml:space="preserve">NIOSH and OBWC contacted several OBWC WRT clients who were current users of the intended controls. Feedback </w:t>
      </w:r>
      <w:r w:rsidR="00981EEA" w:rsidRPr="00F70333">
        <w:t xml:space="preserve">via emails and phone calls </w:t>
      </w:r>
      <w:r w:rsidRPr="00F70333">
        <w:t xml:space="preserve">was received about the effectiveness of the control and the general design of the new study. </w:t>
      </w:r>
      <w:r w:rsidR="00776A7F" w:rsidRPr="00F70333">
        <w:t xml:space="preserve">Those contacted are listed below. </w:t>
      </w:r>
    </w:p>
    <w:p w:rsidR="00776A7F" w:rsidRPr="00F70333" w:rsidRDefault="00776A7F" w:rsidP="0038553A">
      <w:pPr>
        <w:pStyle w:val="QuickA"/>
        <w:ind w:left="0" w:firstLine="0"/>
      </w:pPr>
    </w:p>
    <w:p w:rsidR="00776A7F" w:rsidRPr="00F70333" w:rsidRDefault="00776A7F" w:rsidP="007069B6">
      <w:pPr>
        <w:pStyle w:val="QuickA"/>
        <w:ind w:left="720" w:firstLine="0"/>
      </w:pPr>
      <w:r w:rsidRPr="00F70333">
        <w:t xml:space="preserve">Roger Patten, </w:t>
      </w:r>
      <w:hyperlink r:id="rId25" w:history="1">
        <w:r w:rsidRPr="00F70333">
          <w:rPr>
            <w:rStyle w:val="Hyperlink"/>
          </w:rPr>
          <w:t>r.patten@frontier.com</w:t>
        </w:r>
      </w:hyperlink>
    </w:p>
    <w:p w:rsidR="00776A7F" w:rsidRPr="00F70333" w:rsidRDefault="00776A7F" w:rsidP="007069B6">
      <w:pPr>
        <w:pStyle w:val="QuickA"/>
        <w:ind w:left="720" w:firstLine="0"/>
      </w:pPr>
      <w:r w:rsidRPr="00F70333">
        <w:t xml:space="preserve">Ken Norris, </w:t>
      </w:r>
      <w:hyperlink r:id="rId26" w:history="1">
        <w:r w:rsidRPr="00F70333">
          <w:rPr>
            <w:rStyle w:val="Hyperlink"/>
          </w:rPr>
          <w:t>knorris6@columbus.rr.com</w:t>
        </w:r>
      </w:hyperlink>
    </w:p>
    <w:p w:rsidR="00776A7F" w:rsidRPr="00F70333" w:rsidRDefault="00776A7F" w:rsidP="007069B6">
      <w:pPr>
        <w:pStyle w:val="QuickA"/>
        <w:ind w:left="720" w:firstLine="0"/>
      </w:pPr>
      <w:r w:rsidRPr="00F70333">
        <w:t xml:space="preserve">Rick Stephenson, </w:t>
      </w:r>
      <w:hyperlink r:id="rId27" w:history="1">
        <w:r w:rsidRPr="00F70333">
          <w:rPr>
            <w:rStyle w:val="Hyperlink"/>
          </w:rPr>
          <w:t>r.stephenson@zoominternet.net</w:t>
        </w:r>
      </w:hyperlink>
    </w:p>
    <w:p w:rsidR="0019660B" w:rsidRPr="00F70333" w:rsidRDefault="0019660B" w:rsidP="0038553A">
      <w:pPr>
        <w:pStyle w:val="QuickA"/>
        <w:ind w:left="0" w:firstLine="0"/>
      </w:pPr>
    </w:p>
    <w:p w:rsidR="00776A7F" w:rsidRPr="00F70333" w:rsidRDefault="0019660B" w:rsidP="0038553A">
      <w:pPr>
        <w:pStyle w:val="QuickA"/>
        <w:ind w:left="0" w:firstLine="0"/>
      </w:pPr>
      <w:r w:rsidRPr="00F70333">
        <w:t>NIOSH and OBWC also contacted trade associations (Ohio Association of Wholesaler – Distributors, Ohio Council of Retail Merchants, Ohio Wholesale Marketers Association, Wholesale Beer &amp; Wine of Ohio) to advertise the study and solicit feedback .</w:t>
      </w:r>
      <w:r w:rsidR="00305614" w:rsidRPr="00F70333">
        <w:t xml:space="preserve"> Those contacted are listed below.</w:t>
      </w:r>
    </w:p>
    <w:p w:rsidR="00305614" w:rsidRPr="00F70333" w:rsidRDefault="00305614" w:rsidP="0038553A">
      <w:pPr>
        <w:pStyle w:val="QuickA"/>
        <w:ind w:left="0" w:firstLine="0"/>
      </w:pPr>
    </w:p>
    <w:tbl>
      <w:tblPr>
        <w:tblW w:w="9225" w:type="dxa"/>
        <w:tblInd w:w="98" w:type="dxa"/>
        <w:tblLook w:val="04A0" w:firstRow="1" w:lastRow="0" w:firstColumn="1" w:lastColumn="0" w:noHBand="0" w:noVBand="1"/>
      </w:tblPr>
      <w:tblGrid>
        <w:gridCol w:w="2440"/>
        <w:gridCol w:w="1620"/>
        <w:gridCol w:w="1536"/>
        <w:gridCol w:w="3629"/>
      </w:tblGrid>
      <w:tr w:rsidR="00305614" w:rsidRPr="00F70333" w:rsidTr="005C51CF">
        <w:trPr>
          <w:trHeight w:val="540"/>
        </w:trPr>
        <w:tc>
          <w:tcPr>
            <w:tcW w:w="2440" w:type="dxa"/>
            <w:tcBorders>
              <w:top w:val="single" w:sz="8" w:space="0" w:color="auto"/>
              <w:left w:val="single" w:sz="8" w:space="0" w:color="auto"/>
              <w:bottom w:val="single" w:sz="8" w:space="0" w:color="auto"/>
              <w:right w:val="single" w:sz="8" w:space="0" w:color="auto"/>
            </w:tcBorders>
            <w:shd w:val="clear" w:color="auto" w:fill="auto"/>
            <w:hideMark/>
          </w:tcPr>
          <w:p w:rsidR="00305614" w:rsidRPr="00F70333" w:rsidRDefault="00305614" w:rsidP="005C51CF">
            <w:pPr>
              <w:jc w:val="center"/>
              <w:rPr>
                <w:color w:val="000000"/>
              </w:rPr>
            </w:pPr>
            <w:r w:rsidRPr="00F70333">
              <w:rPr>
                <w:color w:val="000000"/>
              </w:rPr>
              <w:t>Trade Organization</w:t>
            </w:r>
          </w:p>
        </w:tc>
        <w:tc>
          <w:tcPr>
            <w:tcW w:w="1620" w:type="dxa"/>
            <w:tcBorders>
              <w:top w:val="single" w:sz="8" w:space="0" w:color="auto"/>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Contact</w:t>
            </w:r>
          </w:p>
        </w:tc>
        <w:tc>
          <w:tcPr>
            <w:tcW w:w="1536" w:type="dxa"/>
            <w:tcBorders>
              <w:top w:val="single" w:sz="8" w:space="0" w:color="auto"/>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 xml:space="preserve">Contact Phone </w:t>
            </w:r>
          </w:p>
        </w:tc>
        <w:tc>
          <w:tcPr>
            <w:tcW w:w="3629" w:type="dxa"/>
            <w:tcBorders>
              <w:top w:val="single" w:sz="8" w:space="0" w:color="auto"/>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FF"/>
                <w:u w:val="single"/>
              </w:rPr>
            </w:pPr>
            <w:r w:rsidRPr="00F70333">
              <w:rPr>
                <w:color w:val="000000"/>
              </w:rPr>
              <w:t>Contact Email</w:t>
            </w:r>
          </w:p>
        </w:tc>
      </w:tr>
      <w:tr w:rsidR="00305614" w:rsidRPr="00F70333" w:rsidTr="005C51CF">
        <w:trPr>
          <w:trHeight w:val="540"/>
        </w:trPr>
        <w:tc>
          <w:tcPr>
            <w:tcW w:w="2440" w:type="dxa"/>
            <w:tcBorders>
              <w:top w:val="single" w:sz="8" w:space="0" w:color="auto"/>
              <w:left w:val="single" w:sz="8" w:space="0" w:color="auto"/>
              <w:bottom w:val="single" w:sz="8" w:space="0" w:color="auto"/>
              <w:right w:val="single" w:sz="8" w:space="0" w:color="auto"/>
            </w:tcBorders>
            <w:shd w:val="clear" w:color="auto" w:fill="auto"/>
            <w:hideMark/>
          </w:tcPr>
          <w:p w:rsidR="00305614" w:rsidRPr="00F70333" w:rsidRDefault="00305614" w:rsidP="005C51CF">
            <w:pPr>
              <w:jc w:val="center"/>
              <w:rPr>
                <w:color w:val="000000"/>
              </w:rPr>
            </w:pPr>
            <w:r w:rsidRPr="00F70333">
              <w:rPr>
                <w:color w:val="000000"/>
              </w:rPr>
              <w:t>Ohio Association of Wholesaler - Distributors</w:t>
            </w:r>
          </w:p>
        </w:tc>
        <w:tc>
          <w:tcPr>
            <w:tcW w:w="1620" w:type="dxa"/>
            <w:tcBorders>
              <w:top w:val="single" w:sz="8" w:space="0" w:color="auto"/>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Ed Cain</w:t>
            </w:r>
          </w:p>
        </w:tc>
        <w:tc>
          <w:tcPr>
            <w:tcW w:w="1536" w:type="dxa"/>
            <w:tcBorders>
              <w:top w:val="single" w:sz="8" w:space="0" w:color="auto"/>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614.221.7833</w:t>
            </w:r>
          </w:p>
        </w:tc>
        <w:tc>
          <w:tcPr>
            <w:tcW w:w="3629" w:type="dxa"/>
            <w:tcBorders>
              <w:top w:val="single" w:sz="8" w:space="0" w:color="auto"/>
              <w:left w:val="nil"/>
              <w:bottom w:val="single" w:sz="8" w:space="0" w:color="auto"/>
              <w:right w:val="single" w:sz="8" w:space="0" w:color="auto"/>
            </w:tcBorders>
            <w:shd w:val="clear" w:color="auto" w:fill="auto"/>
            <w:noWrap/>
            <w:hideMark/>
          </w:tcPr>
          <w:p w:rsidR="00305614" w:rsidRPr="00F70333" w:rsidRDefault="00CE0CC8" w:rsidP="005C51CF">
            <w:pPr>
              <w:jc w:val="center"/>
              <w:rPr>
                <w:color w:val="0000FF"/>
                <w:u w:val="single"/>
              </w:rPr>
            </w:pPr>
            <w:hyperlink r:id="rId28" w:history="1">
              <w:r w:rsidR="00305614" w:rsidRPr="00F70333">
                <w:rPr>
                  <w:color w:val="0000FF"/>
                  <w:u w:val="single"/>
                </w:rPr>
                <w:t>edwardc@ohioretailmerchants.com</w:t>
              </w:r>
            </w:hyperlink>
          </w:p>
        </w:tc>
      </w:tr>
      <w:tr w:rsidR="00305614" w:rsidRPr="00F70333" w:rsidTr="005C51CF">
        <w:trPr>
          <w:trHeight w:val="540"/>
        </w:trPr>
        <w:tc>
          <w:tcPr>
            <w:tcW w:w="2440" w:type="dxa"/>
            <w:tcBorders>
              <w:top w:val="nil"/>
              <w:left w:val="single" w:sz="8" w:space="0" w:color="auto"/>
              <w:bottom w:val="single" w:sz="8" w:space="0" w:color="auto"/>
              <w:right w:val="single" w:sz="8" w:space="0" w:color="auto"/>
            </w:tcBorders>
            <w:shd w:val="clear" w:color="auto" w:fill="auto"/>
            <w:hideMark/>
          </w:tcPr>
          <w:p w:rsidR="00305614" w:rsidRPr="00F70333" w:rsidRDefault="00305614" w:rsidP="005C51CF">
            <w:pPr>
              <w:jc w:val="center"/>
              <w:rPr>
                <w:color w:val="000000"/>
              </w:rPr>
            </w:pPr>
            <w:r w:rsidRPr="00F70333">
              <w:rPr>
                <w:color w:val="000000"/>
              </w:rPr>
              <w:t>Ohio Council of Retail Merchants</w:t>
            </w:r>
          </w:p>
        </w:tc>
        <w:tc>
          <w:tcPr>
            <w:tcW w:w="1620" w:type="dxa"/>
            <w:tcBorders>
              <w:top w:val="nil"/>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Gordon Gough</w:t>
            </w:r>
          </w:p>
        </w:tc>
        <w:tc>
          <w:tcPr>
            <w:tcW w:w="1536" w:type="dxa"/>
            <w:tcBorders>
              <w:top w:val="nil"/>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614.221.7833</w:t>
            </w:r>
          </w:p>
        </w:tc>
        <w:tc>
          <w:tcPr>
            <w:tcW w:w="3629" w:type="dxa"/>
            <w:tcBorders>
              <w:top w:val="nil"/>
              <w:left w:val="nil"/>
              <w:bottom w:val="single" w:sz="8" w:space="0" w:color="auto"/>
              <w:right w:val="single" w:sz="8" w:space="0" w:color="auto"/>
            </w:tcBorders>
            <w:shd w:val="clear" w:color="auto" w:fill="auto"/>
            <w:noWrap/>
            <w:hideMark/>
          </w:tcPr>
          <w:p w:rsidR="00305614" w:rsidRPr="00F70333" w:rsidRDefault="00CE0CC8" w:rsidP="005C51CF">
            <w:pPr>
              <w:jc w:val="center"/>
              <w:rPr>
                <w:color w:val="0000FF"/>
                <w:u w:val="single"/>
              </w:rPr>
            </w:pPr>
            <w:hyperlink r:id="rId29" w:history="1">
              <w:r w:rsidR="00305614" w:rsidRPr="00F70333">
                <w:rPr>
                  <w:color w:val="0000FF"/>
                  <w:u w:val="single"/>
                </w:rPr>
                <w:t>gordong@ohioretailmerchants.com</w:t>
              </w:r>
            </w:hyperlink>
          </w:p>
        </w:tc>
      </w:tr>
      <w:tr w:rsidR="00305614" w:rsidRPr="00F70333" w:rsidTr="005C51CF">
        <w:trPr>
          <w:trHeight w:val="540"/>
        </w:trPr>
        <w:tc>
          <w:tcPr>
            <w:tcW w:w="2440" w:type="dxa"/>
            <w:tcBorders>
              <w:top w:val="nil"/>
              <w:left w:val="single" w:sz="8" w:space="0" w:color="auto"/>
              <w:bottom w:val="single" w:sz="8" w:space="0" w:color="auto"/>
              <w:right w:val="single" w:sz="8" w:space="0" w:color="auto"/>
            </w:tcBorders>
            <w:shd w:val="clear" w:color="auto" w:fill="auto"/>
            <w:hideMark/>
          </w:tcPr>
          <w:p w:rsidR="00305614" w:rsidRPr="00F70333" w:rsidRDefault="00305614" w:rsidP="005C51CF">
            <w:pPr>
              <w:jc w:val="center"/>
              <w:rPr>
                <w:color w:val="000000"/>
              </w:rPr>
            </w:pPr>
            <w:r w:rsidRPr="00F70333">
              <w:rPr>
                <w:color w:val="000000"/>
              </w:rPr>
              <w:t>Ohio Wholesale Marketers Association</w:t>
            </w:r>
          </w:p>
        </w:tc>
        <w:tc>
          <w:tcPr>
            <w:tcW w:w="1620" w:type="dxa"/>
            <w:tcBorders>
              <w:top w:val="nil"/>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 xml:space="preserve">Beth A. </w:t>
            </w:r>
            <w:proofErr w:type="spellStart"/>
            <w:r w:rsidRPr="00F70333">
              <w:rPr>
                <w:color w:val="000000"/>
              </w:rPr>
              <w:t>Wymer</w:t>
            </w:r>
            <w:proofErr w:type="spellEnd"/>
          </w:p>
        </w:tc>
        <w:tc>
          <w:tcPr>
            <w:tcW w:w="1536" w:type="dxa"/>
            <w:tcBorders>
              <w:top w:val="nil"/>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614.224.3435</w:t>
            </w:r>
          </w:p>
        </w:tc>
        <w:tc>
          <w:tcPr>
            <w:tcW w:w="3629" w:type="dxa"/>
            <w:tcBorders>
              <w:top w:val="nil"/>
              <w:left w:val="nil"/>
              <w:bottom w:val="single" w:sz="8" w:space="0" w:color="auto"/>
              <w:right w:val="single" w:sz="8" w:space="0" w:color="auto"/>
            </w:tcBorders>
            <w:shd w:val="clear" w:color="auto" w:fill="auto"/>
            <w:noWrap/>
            <w:hideMark/>
          </w:tcPr>
          <w:p w:rsidR="00305614" w:rsidRPr="00F70333" w:rsidRDefault="00CE0CC8" w:rsidP="005C51CF">
            <w:pPr>
              <w:jc w:val="center"/>
              <w:rPr>
                <w:color w:val="0000FF"/>
                <w:u w:val="single"/>
              </w:rPr>
            </w:pPr>
            <w:hyperlink r:id="rId30" w:history="1">
              <w:r w:rsidR="00305614" w:rsidRPr="00F70333">
                <w:rPr>
                  <w:color w:val="0000FF"/>
                  <w:u w:val="single"/>
                </w:rPr>
                <w:t>owma@att.net</w:t>
              </w:r>
            </w:hyperlink>
          </w:p>
        </w:tc>
      </w:tr>
      <w:tr w:rsidR="00305614" w:rsidRPr="00F70333" w:rsidTr="005C51CF">
        <w:trPr>
          <w:trHeight w:val="540"/>
        </w:trPr>
        <w:tc>
          <w:tcPr>
            <w:tcW w:w="2440" w:type="dxa"/>
            <w:tcBorders>
              <w:top w:val="nil"/>
              <w:left w:val="single" w:sz="8" w:space="0" w:color="auto"/>
              <w:bottom w:val="single" w:sz="8" w:space="0" w:color="auto"/>
              <w:right w:val="single" w:sz="8" w:space="0" w:color="auto"/>
            </w:tcBorders>
            <w:shd w:val="clear" w:color="auto" w:fill="auto"/>
            <w:hideMark/>
          </w:tcPr>
          <w:p w:rsidR="00305614" w:rsidRPr="00F70333" w:rsidRDefault="00305614" w:rsidP="005C51CF">
            <w:pPr>
              <w:jc w:val="center"/>
              <w:rPr>
                <w:color w:val="000000"/>
              </w:rPr>
            </w:pPr>
            <w:r w:rsidRPr="00F70333">
              <w:rPr>
                <w:color w:val="000000"/>
              </w:rPr>
              <w:t>National Retail Hardware Association</w:t>
            </w:r>
          </w:p>
        </w:tc>
        <w:tc>
          <w:tcPr>
            <w:tcW w:w="1620" w:type="dxa"/>
            <w:tcBorders>
              <w:top w:val="nil"/>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Thomas Smith</w:t>
            </w:r>
          </w:p>
        </w:tc>
        <w:tc>
          <w:tcPr>
            <w:tcW w:w="1536" w:type="dxa"/>
            <w:tcBorders>
              <w:top w:val="nil"/>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317.275.9432</w:t>
            </w:r>
          </w:p>
        </w:tc>
        <w:tc>
          <w:tcPr>
            <w:tcW w:w="3629" w:type="dxa"/>
            <w:tcBorders>
              <w:top w:val="nil"/>
              <w:left w:val="nil"/>
              <w:bottom w:val="single" w:sz="8" w:space="0" w:color="auto"/>
              <w:right w:val="single" w:sz="8" w:space="0" w:color="auto"/>
            </w:tcBorders>
            <w:shd w:val="clear" w:color="auto" w:fill="auto"/>
            <w:noWrap/>
            <w:hideMark/>
          </w:tcPr>
          <w:p w:rsidR="00305614" w:rsidRPr="00F70333" w:rsidRDefault="00CE0CC8" w:rsidP="005C51CF">
            <w:pPr>
              <w:jc w:val="center"/>
              <w:rPr>
                <w:color w:val="0000FF"/>
                <w:u w:val="single"/>
              </w:rPr>
            </w:pPr>
            <w:hyperlink r:id="rId31" w:history="1">
              <w:r w:rsidR="00305614" w:rsidRPr="00F70333">
                <w:rPr>
                  <w:color w:val="0000FF"/>
                  <w:u w:val="single"/>
                </w:rPr>
                <w:t>tsmith@nrha.org</w:t>
              </w:r>
            </w:hyperlink>
          </w:p>
        </w:tc>
      </w:tr>
      <w:tr w:rsidR="00305614" w:rsidRPr="00F70333" w:rsidTr="005C51CF">
        <w:trPr>
          <w:trHeight w:val="540"/>
        </w:trPr>
        <w:tc>
          <w:tcPr>
            <w:tcW w:w="2440" w:type="dxa"/>
            <w:tcBorders>
              <w:top w:val="nil"/>
              <w:left w:val="single" w:sz="8" w:space="0" w:color="auto"/>
              <w:bottom w:val="single" w:sz="8" w:space="0" w:color="auto"/>
              <w:right w:val="single" w:sz="8" w:space="0" w:color="auto"/>
            </w:tcBorders>
            <w:shd w:val="clear" w:color="auto" w:fill="auto"/>
            <w:hideMark/>
          </w:tcPr>
          <w:p w:rsidR="00305614" w:rsidRPr="00F70333" w:rsidRDefault="00305614" w:rsidP="005C51CF">
            <w:pPr>
              <w:jc w:val="center"/>
              <w:rPr>
                <w:color w:val="000000"/>
              </w:rPr>
            </w:pPr>
            <w:r w:rsidRPr="00F70333">
              <w:rPr>
                <w:color w:val="000000"/>
              </w:rPr>
              <w:t>Wholesale Beer &amp; Wine of Ohio</w:t>
            </w:r>
          </w:p>
        </w:tc>
        <w:tc>
          <w:tcPr>
            <w:tcW w:w="1620" w:type="dxa"/>
            <w:tcBorders>
              <w:top w:val="nil"/>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Susan Remy</w:t>
            </w:r>
          </w:p>
        </w:tc>
        <w:tc>
          <w:tcPr>
            <w:tcW w:w="1536" w:type="dxa"/>
            <w:tcBorders>
              <w:top w:val="nil"/>
              <w:left w:val="nil"/>
              <w:bottom w:val="single" w:sz="8" w:space="0" w:color="auto"/>
              <w:right w:val="single" w:sz="8" w:space="0" w:color="auto"/>
            </w:tcBorders>
            <w:shd w:val="clear" w:color="auto" w:fill="auto"/>
            <w:noWrap/>
            <w:hideMark/>
          </w:tcPr>
          <w:p w:rsidR="00305614" w:rsidRPr="00F70333" w:rsidRDefault="00305614" w:rsidP="005C51CF">
            <w:pPr>
              <w:jc w:val="center"/>
              <w:rPr>
                <w:color w:val="000000"/>
              </w:rPr>
            </w:pPr>
            <w:r w:rsidRPr="00F70333">
              <w:rPr>
                <w:color w:val="000000"/>
              </w:rPr>
              <w:t>614.224.3500</w:t>
            </w:r>
          </w:p>
        </w:tc>
        <w:tc>
          <w:tcPr>
            <w:tcW w:w="3629" w:type="dxa"/>
            <w:tcBorders>
              <w:top w:val="nil"/>
              <w:left w:val="nil"/>
              <w:bottom w:val="single" w:sz="8" w:space="0" w:color="auto"/>
              <w:right w:val="single" w:sz="8" w:space="0" w:color="auto"/>
            </w:tcBorders>
            <w:shd w:val="clear" w:color="auto" w:fill="auto"/>
            <w:noWrap/>
            <w:hideMark/>
          </w:tcPr>
          <w:p w:rsidR="00305614" w:rsidRPr="00F70333" w:rsidRDefault="00CE0CC8" w:rsidP="005C51CF">
            <w:pPr>
              <w:jc w:val="center"/>
              <w:rPr>
                <w:color w:val="0000FF"/>
                <w:u w:val="single"/>
              </w:rPr>
            </w:pPr>
            <w:hyperlink r:id="rId32" w:history="1">
              <w:r w:rsidR="00305614" w:rsidRPr="00F70333">
                <w:rPr>
                  <w:color w:val="0000FF"/>
                  <w:u w:val="single"/>
                </w:rPr>
                <w:t>sremy@wbwao.org</w:t>
              </w:r>
            </w:hyperlink>
          </w:p>
        </w:tc>
      </w:tr>
    </w:tbl>
    <w:p w:rsidR="0019660B" w:rsidRPr="00F70333" w:rsidRDefault="0019660B" w:rsidP="0038553A">
      <w:pPr>
        <w:pStyle w:val="QuickA"/>
        <w:ind w:left="0" w:firstLine="0"/>
      </w:pPr>
    </w:p>
    <w:p w:rsidR="00885B9A" w:rsidRPr="00F70333" w:rsidRDefault="00885B9A" w:rsidP="0038553A">
      <w:pPr>
        <w:pStyle w:val="QuickA"/>
        <w:ind w:left="0" w:firstLine="0"/>
        <w:rPr>
          <w:b/>
          <w:i/>
        </w:rPr>
      </w:pPr>
      <w:r w:rsidRPr="00F70333">
        <w:rPr>
          <w:b/>
          <w:i/>
        </w:rPr>
        <w:t>March 15, 2011</w:t>
      </w:r>
    </w:p>
    <w:p w:rsidR="00885B9A" w:rsidRPr="00F70333" w:rsidRDefault="00885B9A" w:rsidP="0038553A">
      <w:pPr>
        <w:pStyle w:val="QuickA"/>
        <w:ind w:left="0" w:firstLine="0"/>
      </w:pPr>
    </w:p>
    <w:p w:rsidR="006E7EB7" w:rsidRPr="00F70333" w:rsidRDefault="006E7EB7" w:rsidP="0038553A">
      <w:pPr>
        <w:pStyle w:val="QuickA"/>
        <w:ind w:left="0" w:firstLine="0"/>
      </w:pPr>
      <w:r w:rsidRPr="00F70333">
        <w:t xml:space="preserve">NIOSH sponsored a meeting in Cincinnati on March 15, 2011 to discuss the overall NIOSH and OBWC research collaboration. The MSD intervention study was discussed informally during the meeting and feedback was received. </w:t>
      </w:r>
    </w:p>
    <w:p w:rsidR="00885B9A" w:rsidRPr="00F70333" w:rsidRDefault="00885B9A" w:rsidP="0038553A">
      <w:pPr>
        <w:pStyle w:val="QuickA"/>
        <w:ind w:left="0" w:firstLine="0"/>
      </w:pPr>
    </w:p>
    <w:p w:rsidR="00885B9A" w:rsidRPr="00F70333" w:rsidRDefault="00885B9A" w:rsidP="00885B9A">
      <w:pPr>
        <w:pStyle w:val="QuickA"/>
        <w:ind w:left="0" w:firstLine="0"/>
        <w:rPr>
          <w:b/>
          <w:i/>
        </w:rPr>
      </w:pPr>
      <w:r w:rsidRPr="00F70333">
        <w:rPr>
          <w:b/>
          <w:i/>
        </w:rPr>
        <w:t>March 31, 2011</w:t>
      </w:r>
    </w:p>
    <w:p w:rsidR="00885B9A" w:rsidRPr="00F70333" w:rsidRDefault="00885B9A" w:rsidP="0038553A">
      <w:pPr>
        <w:pStyle w:val="QuickA"/>
        <w:ind w:left="0" w:firstLine="0"/>
      </w:pPr>
    </w:p>
    <w:p w:rsidR="0019660B" w:rsidRPr="00F70333" w:rsidRDefault="0019660B" w:rsidP="0038553A">
      <w:pPr>
        <w:pStyle w:val="QuickA"/>
        <w:ind w:left="0" w:firstLine="0"/>
      </w:pPr>
      <w:r w:rsidRPr="00F70333">
        <w:t xml:space="preserve">NIOSH </w:t>
      </w:r>
      <w:r w:rsidR="00981EEA" w:rsidRPr="00F70333">
        <w:t>gave</w:t>
      </w:r>
      <w:r w:rsidRPr="00F70333">
        <w:t xml:space="preserve"> a session presentation on March 31, 2011 at the Ohio Safety Congress (an annual conference sponsored by OBWC that averages over 6,000 attendees) to detail current research including the current MSD intervention study. Informal feedback was solicited about the study among OBWC-insured WRT clients and OBWC staff. </w:t>
      </w:r>
      <w:r w:rsidR="006E7EB7" w:rsidRPr="00F70333">
        <w:t xml:space="preserve">The study was also highlighted during the one of the conference’s keynote addresses. </w:t>
      </w:r>
      <w:r w:rsidRPr="00F70333">
        <w:t xml:space="preserve">An </w:t>
      </w:r>
      <w:r w:rsidRPr="00F70333">
        <w:lastRenderedPageBreak/>
        <w:t>informational flyer</w:t>
      </w:r>
      <w:r w:rsidR="006E7EB7" w:rsidRPr="00F70333">
        <w:t xml:space="preserve"> about the study</w:t>
      </w:r>
      <w:r w:rsidRPr="00F70333">
        <w:t xml:space="preserve"> (</w:t>
      </w:r>
      <w:r w:rsidR="00885B9A" w:rsidRPr="00F70333">
        <w:rPr>
          <w:b/>
        </w:rPr>
        <w:t>Attachment</w:t>
      </w:r>
      <w:r w:rsidRPr="00F70333">
        <w:rPr>
          <w:b/>
        </w:rPr>
        <w:t xml:space="preserve"> </w:t>
      </w:r>
      <w:r w:rsidR="00771D9D" w:rsidRPr="00F70333">
        <w:rPr>
          <w:b/>
        </w:rPr>
        <w:t>J-1</w:t>
      </w:r>
      <w:r w:rsidR="006E7EB7" w:rsidRPr="00F70333">
        <w:t xml:space="preserve">) was also disseminated at the conference. </w:t>
      </w:r>
    </w:p>
    <w:p w:rsidR="0019660B" w:rsidRPr="00F70333" w:rsidRDefault="0019660B" w:rsidP="0038553A">
      <w:pPr>
        <w:pStyle w:val="QuickA"/>
        <w:ind w:left="0" w:firstLine="0"/>
      </w:pPr>
    </w:p>
    <w:p w:rsidR="0019660B" w:rsidRPr="00F70333" w:rsidRDefault="0019660B" w:rsidP="0019660B">
      <w:pPr>
        <w:pStyle w:val="QuickA"/>
        <w:ind w:left="0" w:firstLine="0"/>
        <w:rPr>
          <w:b/>
          <w:i/>
        </w:rPr>
      </w:pPr>
      <w:r w:rsidRPr="00F70333">
        <w:rPr>
          <w:b/>
          <w:i/>
        </w:rPr>
        <w:t>April 2011</w:t>
      </w:r>
    </w:p>
    <w:p w:rsidR="00885B9A" w:rsidRPr="00F70333" w:rsidRDefault="00885B9A" w:rsidP="0019660B">
      <w:pPr>
        <w:pStyle w:val="QuickA"/>
        <w:ind w:left="0" w:firstLine="0"/>
        <w:rPr>
          <w:b/>
          <w:i/>
        </w:rPr>
      </w:pPr>
    </w:p>
    <w:p w:rsidR="006E7EB7" w:rsidRPr="00F70333" w:rsidRDefault="006E7EB7" w:rsidP="0038553A">
      <w:pPr>
        <w:pStyle w:val="QuickA"/>
        <w:ind w:left="0" w:firstLine="0"/>
      </w:pPr>
      <w:r w:rsidRPr="00F70333">
        <w:t>NIOSH and OBWC sent the informational flyer (</w:t>
      </w:r>
      <w:r w:rsidR="00885B9A" w:rsidRPr="00F70333">
        <w:rPr>
          <w:b/>
        </w:rPr>
        <w:t>Attachment</w:t>
      </w:r>
      <w:r w:rsidRPr="00F70333">
        <w:rPr>
          <w:b/>
        </w:rPr>
        <w:t xml:space="preserve"> </w:t>
      </w:r>
      <w:r w:rsidR="00771D9D" w:rsidRPr="00F70333">
        <w:rPr>
          <w:b/>
        </w:rPr>
        <w:t>J-1</w:t>
      </w:r>
      <w:r w:rsidRPr="00F70333">
        <w:t xml:space="preserve">) to all OBWC safety and health staff, and to all OBWC-sponsored Safety Councils. The safety councils include over 20 regional groups throughout Ohio that are composed of diverse group of members including labor organization representatives, trade association members, and OBWC-insured company safety and health staff. The purpose of the Councils is to provide a forum for sharing best safety/ health practices among members through regular meetings and events. </w:t>
      </w:r>
      <w:r w:rsidR="00981EEA" w:rsidRPr="00F70333">
        <w:t xml:space="preserve">The councils were informed about the study and asked for feedback. </w:t>
      </w:r>
    </w:p>
    <w:p w:rsidR="0038553A" w:rsidRPr="00F70333" w:rsidRDefault="0038553A" w:rsidP="0038553A">
      <w:pPr>
        <w:pStyle w:val="Heading2"/>
        <w:rPr>
          <w:b w:val="0"/>
        </w:rPr>
      </w:pPr>
      <w:bookmarkStart w:id="31" w:name="_Toc239826781"/>
      <w:bookmarkStart w:id="32" w:name="_Toc248821748"/>
      <w:bookmarkStart w:id="33" w:name="_Toc261966292"/>
      <w:r w:rsidRPr="00F70333">
        <w:rPr>
          <w:b w:val="0"/>
        </w:rPr>
        <w:t>A9.</w:t>
      </w:r>
      <w:r w:rsidRPr="00F70333">
        <w:rPr>
          <w:b w:val="0"/>
        </w:rPr>
        <w:tab/>
        <w:t>Explanation of Any Payment or Gift to Respondents</w:t>
      </w:r>
      <w:bookmarkEnd w:id="31"/>
      <w:bookmarkEnd w:id="32"/>
      <w:bookmarkEnd w:id="33"/>
      <w:r w:rsidRPr="00F70333">
        <w:rPr>
          <w:b w:val="0"/>
        </w:rPr>
        <w:t xml:space="preserve"> </w:t>
      </w:r>
    </w:p>
    <w:p w:rsidR="00535EF4" w:rsidRPr="00F70333" w:rsidRDefault="00535EF4" w:rsidP="00535EF4">
      <w:pPr>
        <w:rPr>
          <w:lang w:eastAsia="ja-JP"/>
        </w:rPr>
      </w:pPr>
    </w:p>
    <w:p w:rsidR="00885B9A" w:rsidRPr="00F70333" w:rsidRDefault="00885B9A" w:rsidP="00885B9A">
      <w:r w:rsidRPr="00F70333">
        <w:t xml:space="preserve">Participants will be given a $5 cash card (useable anywhere that accepts major credit cards) upon completion of each combined questionnaire data collection (a total of $45 for the entire study). Participants who complete surveys will also be entered into drawings each quarter to win prizes such as electronic gear. </w:t>
      </w:r>
      <w:r w:rsidRPr="00F70333">
        <w:rPr>
          <w:lang w:eastAsia="ja-JP"/>
        </w:rPr>
        <w:t xml:space="preserve">Participants who participate in the low back functional assessment </w:t>
      </w:r>
      <w:r w:rsidRPr="00F70333">
        <w:t>(</w:t>
      </w:r>
      <w:r w:rsidRPr="00F70333">
        <w:rPr>
          <w:b/>
        </w:rPr>
        <w:t xml:space="preserve">Attachment </w:t>
      </w:r>
      <w:r w:rsidR="00771D9D" w:rsidRPr="00F70333">
        <w:rPr>
          <w:b/>
        </w:rPr>
        <w:t>I</w:t>
      </w:r>
      <w:r w:rsidRPr="00F70333">
        <w:t>)</w:t>
      </w:r>
      <w:r w:rsidR="00F2045C" w:rsidRPr="00F70333">
        <w:t xml:space="preserve"> </w:t>
      </w:r>
      <w:r w:rsidRPr="00F70333">
        <w:rPr>
          <w:lang w:eastAsia="ja-JP"/>
        </w:rPr>
        <w:t xml:space="preserve">will be given </w:t>
      </w:r>
      <w:r w:rsidRPr="00F70333">
        <w:t>a $25 gift certificate if the test is conducted outside of normal work hours. It has been demonstrated that incentives increase participation and reduce non</w:t>
      </w:r>
      <w:r w:rsidR="00851C87" w:rsidRPr="00F70333">
        <w:t>-</w:t>
      </w:r>
      <w:r w:rsidRPr="00F70333">
        <w:t>response bias among study participants [</w:t>
      </w:r>
      <w:proofErr w:type="spellStart"/>
      <w:r w:rsidRPr="00F70333">
        <w:t>Dillman</w:t>
      </w:r>
      <w:proofErr w:type="spellEnd"/>
      <w:r w:rsidRPr="00F70333">
        <w:t xml:space="preserve"> 1996, as reported by </w:t>
      </w:r>
      <w:proofErr w:type="spellStart"/>
      <w:r w:rsidRPr="00F70333">
        <w:t>Shettle</w:t>
      </w:r>
      <w:proofErr w:type="spellEnd"/>
      <w:r w:rsidRPr="00F70333">
        <w:t xml:space="preserve"> and Mooney 1999]. </w:t>
      </w:r>
      <w:proofErr w:type="spellStart"/>
      <w:r w:rsidRPr="00F70333">
        <w:t>Belman</w:t>
      </w:r>
      <w:proofErr w:type="spellEnd"/>
      <w:r w:rsidRPr="00F70333">
        <w:t xml:space="preserve"> et al. [2005] offered a monetary incentive of $20 for participation in their study, achieving a 70% participation rate.  Comments received during focus groups with OBWC staff and other stakeholders indicated that incentives would encourage delivery personnel to participate in this study. </w:t>
      </w:r>
    </w:p>
    <w:p w:rsidR="0038553A" w:rsidRPr="00F70333" w:rsidRDefault="0038553A" w:rsidP="0038553A">
      <w:pPr>
        <w:pStyle w:val="Heading2"/>
        <w:rPr>
          <w:b w:val="0"/>
        </w:rPr>
      </w:pPr>
      <w:bookmarkStart w:id="34" w:name="_Toc239826782"/>
      <w:bookmarkStart w:id="35" w:name="_Toc248821749"/>
      <w:bookmarkStart w:id="36" w:name="_Toc261966293"/>
      <w:r w:rsidRPr="00F70333">
        <w:rPr>
          <w:b w:val="0"/>
        </w:rPr>
        <w:t>A10.</w:t>
      </w:r>
      <w:r w:rsidRPr="00F70333">
        <w:rPr>
          <w:b w:val="0"/>
        </w:rPr>
        <w:tab/>
        <w:t>Assurance of Confidentiality Provided to Respondents</w:t>
      </w:r>
      <w:bookmarkEnd w:id="34"/>
      <w:bookmarkEnd w:id="35"/>
      <w:bookmarkEnd w:id="36"/>
    </w:p>
    <w:p w:rsidR="00C02420" w:rsidRPr="00F70333" w:rsidRDefault="00C02420" w:rsidP="00C02420">
      <w:pPr>
        <w:rPr>
          <w:lang w:eastAsia="ja-JP"/>
        </w:rPr>
      </w:pPr>
    </w:p>
    <w:p w:rsidR="00B571FD" w:rsidRPr="00F70333" w:rsidRDefault="0038553A" w:rsidP="0038553A">
      <w:r w:rsidRPr="00F70333">
        <w:t xml:space="preserve">The </w:t>
      </w:r>
      <w:r w:rsidR="00795237" w:rsidRPr="00F70333">
        <w:t>interview</w:t>
      </w:r>
      <w:r w:rsidRPr="00F70333">
        <w:t xml:space="preserve"> will collect potentially sensitive information about health status.</w:t>
      </w:r>
      <w:r w:rsidR="00B571FD" w:rsidRPr="00F70333">
        <w:t xml:space="preserve"> Risks to participants are low </w:t>
      </w:r>
      <w:r w:rsidRPr="00F70333">
        <w:t xml:space="preserve">since </w:t>
      </w:r>
      <w:r w:rsidR="00B571FD" w:rsidRPr="00F70333">
        <w:t>the only</w:t>
      </w:r>
      <w:r w:rsidRPr="00F70333">
        <w:t xml:space="preserve"> </w:t>
      </w:r>
      <w:r w:rsidR="004B06D2" w:rsidRPr="00F70333">
        <w:t>information in identifiable form (</w:t>
      </w:r>
      <w:r w:rsidRPr="00F70333">
        <w:t>IIF</w:t>
      </w:r>
      <w:r w:rsidR="004B06D2" w:rsidRPr="00F70333">
        <w:t>)</w:t>
      </w:r>
      <w:r w:rsidR="00B571FD" w:rsidRPr="00F70333">
        <w:t xml:space="preserve"> is being collected for the purposes of informed consent. Each participant that enrolls in the study will be subsequently identified only with a code on all other information collection</w:t>
      </w:r>
      <w:r w:rsidR="002B4177" w:rsidRPr="00F70333">
        <w:t xml:space="preserve"> form</w:t>
      </w:r>
      <w:r w:rsidR="00B571FD" w:rsidRPr="00F70333">
        <w:t xml:space="preserve">s. </w:t>
      </w:r>
    </w:p>
    <w:p w:rsidR="00517669" w:rsidRPr="00F70333" w:rsidRDefault="0038553A" w:rsidP="00517669">
      <w:r w:rsidRPr="00F70333">
        <w:t>IRB approval for th</w:t>
      </w:r>
      <w:r w:rsidR="00C438A6" w:rsidRPr="00F70333">
        <w:t>is</w:t>
      </w:r>
      <w:r w:rsidRPr="00F70333">
        <w:t xml:space="preserve"> data collection </w:t>
      </w:r>
      <w:r w:rsidR="00C438A6" w:rsidRPr="00F70333">
        <w:t>has been obtained (</w:t>
      </w:r>
      <w:r w:rsidR="004B06D2" w:rsidRPr="00F70333">
        <w:rPr>
          <w:b/>
        </w:rPr>
        <w:t xml:space="preserve">Attachment </w:t>
      </w:r>
      <w:r w:rsidR="00C61B68" w:rsidRPr="00F70333">
        <w:rPr>
          <w:b/>
        </w:rPr>
        <w:t>K</w:t>
      </w:r>
      <w:r w:rsidR="00C438A6" w:rsidRPr="00F70333">
        <w:t>)</w:t>
      </w:r>
      <w:r w:rsidRPr="00F70333">
        <w:t>.</w:t>
      </w:r>
      <w:bookmarkStart w:id="37" w:name="_Toc248224221"/>
    </w:p>
    <w:p w:rsidR="005C51CF" w:rsidRPr="00F70333" w:rsidRDefault="005C51CF" w:rsidP="00517669"/>
    <w:p w:rsidR="005C51CF" w:rsidRPr="00F70333" w:rsidRDefault="00B07294" w:rsidP="00517669">
      <w:r w:rsidRPr="00F70333">
        <w:t>Several controls (safeguards) will be put into place to minimize the possibility of unauthorized access, use, or dissemination of the information being collected</w:t>
      </w:r>
      <w:r w:rsidR="00213918" w:rsidRPr="00F70333">
        <w:t>. Records will be retained and destroyed in accordance with the applicable CDC Records Control Schedule</w:t>
      </w:r>
      <w:r w:rsidR="00D324DA" w:rsidRPr="00F70333">
        <w:t xml:space="preserve"> (see </w:t>
      </w:r>
      <w:hyperlink r:id="rId33" w:history="1">
        <w:r w:rsidR="00D324DA" w:rsidRPr="00F70333">
          <w:rPr>
            <w:rStyle w:val="Hyperlink"/>
          </w:rPr>
          <w:t>http://aops-mas-iis.od.cdc.gov/Policy/Doc/policy449.htm</w:t>
        </w:r>
      </w:hyperlink>
      <w:r w:rsidR="00D324DA" w:rsidRPr="00F70333">
        <w:rPr>
          <w:b/>
        </w:rPr>
        <w:t>)</w:t>
      </w:r>
      <w:r w:rsidR="00213918" w:rsidRPr="00F70333">
        <w:t xml:space="preserve">. </w:t>
      </w:r>
      <w:r w:rsidR="005C51CF" w:rsidRPr="00F70333">
        <w:t xml:space="preserve">Planned controls </w:t>
      </w:r>
      <w:r w:rsidRPr="00F70333">
        <w:t>are summarized in the table below.</w:t>
      </w:r>
    </w:p>
    <w:p w:rsidR="005C51CF" w:rsidRPr="00F70333" w:rsidRDefault="005C51CF" w:rsidP="005176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8"/>
        <w:gridCol w:w="1710"/>
      </w:tblGrid>
      <w:tr w:rsidR="005C51CF" w:rsidRPr="00F70333" w:rsidTr="00050A2B">
        <w:tc>
          <w:tcPr>
            <w:tcW w:w="7128" w:type="dxa"/>
          </w:tcPr>
          <w:p w:rsidR="005C51CF" w:rsidRPr="00F70333" w:rsidRDefault="005C51CF" w:rsidP="00517669">
            <w:r w:rsidRPr="00F70333">
              <w:t>Control Descriptions</w:t>
            </w:r>
          </w:p>
        </w:tc>
        <w:tc>
          <w:tcPr>
            <w:tcW w:w="1710" w:type="dxa"/>
          </w:tcPr>
          <w:p w:rsidR="005C51CF" w:rsidRPr="00F70333" w:rsidRDefault="005C51CF" w:rsidP="00517669">
            <w:r w:rsidRPr="00F70333">
              <w:t>Control Type</w:t>
            </w:r>
          </w:p>
        </w:tc>
      </w:tr>
      <w:tr w:rsidR="005C51CF" w:rsidRPr="00F70333" w:rsidTr="00050A2B">
        <w:tc>
          <w:tcPr>
            <w:tcW w:w="7128" w:type="dxa"/>
          </w:tcPr>
          <w:p w:rsidR="005C51CF" w:rsidRPr="00F70333" w:rsidRDefault="005C51CF" w:rsidP="00050A2B">
            <w:pPr>
              <w:numPr>
                <w:ilvl w:val="0"/>
                <w:numId w:val="42"/>
              </w:numPr>
            </w:pPr>
            <w:r w:rsidRPr="00F70333">
              <w:t xml:space="preserve">User Identification </w:t>
            </w:r>
          </w:p>
          <w:p w:rsidR="005C51CF" w:rsidRPr="00F70333" w:rsidRDefault="005C51CF" w:rsidP="00050A2B">
            <w:pPr>
              <w:numPr>
                <w:ilvl w:val="0"/>
                <w:numId w:val="46"/>
              </w:numPr>
            </w:pPr>
            <w:r w:rsidRPr="00F70333">
              <w:t xml:space="preserve">Passwords </w:t>
            </w:r>
          </w:p>
          <w:p w:rsidR="005C51CF" w:rsidRPr="00F70333" w:rsidRDefault="005C51CF" w:rsidP="00050A2B">
            <w:pPr>
              <w:numPr>
                <w:ilvl w:val="0"/>
                <w:numId w:val="46"/>
              </w:numPr>
            </w:pPr>
            <w:r w:rsidRPr="00F70333">
              <w:t xml:space="preserve">Firewall </w:t>
            </w:r>
          </w:p>
          <w:p w:rsidR="005C51CF" w:rsidRPr="00F70333" w:rsidRDefault="005C51CF" w:rsidP="00050A2B">
            <w:pPr>
              <w:numPr>
                <w:ilvl w:val="0"/>
                <w:numId w:val="46"/>
              </w:numPr>
            </w:pPr>
            <w:r w:rsidRPr="00F70333">
              <w:lastRenderedPageBreak/>
              <w:t xml:space="preserve">Virtual Private Network (VPN) </w:t>
            </w:r>
          </w:p>
          <w:p w:rsidR="005C51CF" w:rsidRPr="00F70333" w:rsidRDefault="005C51CF" w:rsidP="00050A2B">
            <w:pPr>
              <w:numPr>
                <w:ilvl w:val="0"/>
                <w:numId w:val="46"/>
              </w:numPr>
            </w:pPr>
            <w:r w:rsidRPr="00F70333">
              <w:t xml:space="preserve">Encryption </w:t>
            </w:r>
          </w:p>
          <w:p w:rsidR="005C51CF" w:rsidRPr="00F70333" w:rsidRDefault="005C51CF" w:rsidP="00050A2B">
            <w:pPr>
              <w:numPr>
                <w:ilvl w:val="0"/>
                <w:numId w:val="46"/>
              </w:numPr>
            </w:pPr>
            <w:r w:rsidRPr="00F70333">
              <w:t xml:space="preserve">Intrusion Detection System (IDS) </w:t>
            </w:r>
          </w:p>
          <w:p w:rsidR="005C51CF" w:rsidRPr="00F70333" w:rsidRDefault="005C51CF" w:rsidP="00050A2B">
            <w:pPr>
              <w:numPr>
                <w:ilvl w:val="0"/>
                <w:numId w:val="46"/>
              </w:numPr>
            </w:pPr>
            <w:r w:rsidRPr="00F70333">
              <w:t xml:space="preserve">Common Access Cards (CAC) </w:t>
            </w:r>
          </w:p>
          <w:p w:rsidR="005C51CF" w:rsidRPr="00F70333" w:rsidRDefault="005C51CF" w:rsidP="00050A2B">
            <w:pPr>
              <w:numPr>
                <w:ilvl w:val="0"/>
                <w:numId w:val="46"/>
              </w:numPr>
            </w:pPr>
            <w:r w:rsidRPr="00F70333">
              <w:t xml:space="preserve">Smart Cards </w:t>
            </w:r>
          </w:p>
          <w:p w:rsidR="005C51CF" w:rsidRPr="00F70333" w:rsidRDefault="005C51CF" w:rsidP="005C51CF"/>
        </w:tc>
        <w:tc>
          <w:tcPr>
            <w:tcW w:w="1710" w:type="dxa"/>
          </w:tcPr>
          <w:p w:rsidR="005C51CF" w:rsidRPr="00F70333" w:rsidRDefault="005C51CF" w:rsidP="00517669">
            <w:r w:rsidRPr="00F70333">
              <w:lastRenderedPageBreak/>
              <w:t>Technical</w:t>
            </w:r>
          </w:p>
        </w:tc>
      </w:tr>
      <w:tr w:rsidR="005C51CF" w:rsidRPr="00F70333" w:rsidTr="00050A2B">
        <w:tc>
          <w:tcPr>
            <w:tcW w:w="7128" w:type="dxa"/>
          </w:tcPr>
          <w:p w:rsidR="005C51CF" w:rsidRPr="00F70333" w:rsidRDefault="005C51CF" w:rsidP="00050A2B">
            <w:pPr>
              <w:numPr>
                <w:ilvl w:val="0"/>
                <w:numId w:val="47"/>
              </w:numPr>
              <w:rPr>
                <w:lang w:eastAsia="ja-JP"/>
              </w:rPr>
            </w:pPr>
            <w:r w:rsidRPr="00F70333">
              <w:rPr>
                <w:lang w:eastAsia="ja-JP"/>
              </w:rPr>
              <w:lastRenderedPageBreak/>
              <w:t>Guards</w:t>
            </w:r>
          </w:p>
          <w:p w:rsidR="005C51CF" w:rsidRPr="00F70333" w:rsidRDefault="005C51CF" w:rsidP="00050A2B">
            <w:pPr>
              <w:numPr>
                <w:ilvl w:val="0"/>
                <w:numId w:val="47"/>
              </w:numPr>
              <w:rPr>
                <w:lang w:eastAsia="ja-JP"/>
              </w:rPr>
            </w:pPr>
            <w:r w:rsidRPr="00F70333">
              <w:rPr>
                <w:lang w:eastAsia="ja-JP"/>
              </w:rPr>
              <w:t>Identification Badges</w:t>
            </w:r>
          </w:p>
          <w:p w:rsidR="005C51CF" w:rsidRPr="00F70333" w:rsidRDefault="005C51CF" w:rsidP="00050A2B">
            <w:pPr>
              <w:numPr>
                <w:ilvl w:val="0"/>
                <w:numId w:val="47"/>
              </w:numPr>
              <w:rPr>
                <w:lang w:eastAsia="ja-JP"/>
              </w:rPr>
            </w:pPr>
            <w:r w:rsidRPr="00F70333">
              <w:rPr>
                <w:lang w:eastAsia="ja-JP"/>
              </w:rPr>
              <w:t>Key Cards</w:t>
            </w:r>
          </w:p>
          <w:p w:rsidR="005C51CF" w:rsidRPr="00F70333" w:rsidRDefault="005C51CF" w:rsidP="00050A2B">
            <w:pPr>
              <w:numPr>
                <w:ilvl w:val="0"/>
                <w:numId w:val="47"/>
              </w:numPr>
              <w:rPr>
                <w:lang w:eastAsia="ja-JP"/>
              </w:rPr>
            </w:pPr>
            <w:r w:rsidRPr="00F70333">
              <w:rPr>
                <w:lang w:eastAsia="ja-JP"/>
              </w:rPr>
              <w:t>Closed Circuit TV (CCTV)</w:t>
            </w:r>
          </w:p>
          <w:p w:rsidR="005C51CF" w:rsidRPr="00F70333" w:rsidRDefault="005C51CF" w:rsidP="00517669"/>
        </w:tc>
        <w:tc>
          <w:tcPr>
            <w:tcW w:w="1710" w:type="dxa"/>
          </w:tcPr>
          <w:p w:rsidR="005C51CF" w:rsidRPr="00F70333" w:rsidRDefault="005C51CF" w:rsidP="005C51CF">
            <w:pPr>
              <w:rPr>
                <w:lang w:eastAsia="ja-JP"/>
              </w:rPr>
            </w:pPr>
            <w:r w:rsidRPr="00F70333">
              <w:rPr>
                <w:lang w:eastAsia="ja-JP"/>
              </w:rPr>
              <w:t xml:space="preserve">Physical </w:t>
            </w:r>
          </w:p>
          <w:p w:rsidR="005C51CF" w:rsidRPr="00F70333" w:rsidRDefault="005C51CF" w:rsidP="00517669"/>
        </w:tc>
      </w:tr>
      <w:tr w:rsidR="005C51CF" w:rsidRPr="00F70333" w:rsidTr="00050A2B">
        <w:tc>
          <w:tcPr>
            <w:tcW w:w="7128" w:type="dxa"/>
          </w:tcPr>
          <w:p w:rsidR="005C51CF" w:rsidRPr="00F70333" w:rsidRDefault="00B07294" w:rsidP="005C51CF">
            <w:pPr>
              <w:pStyle w:val="Heading3"/>
              <w:rPr>
                <w:b w:val="0"/>
                <w:sz w:val="24"/>
                <w:szCs w:val="24"/>
                <w:u w:val="none"/>
              </w:rPr>
            </w:pPr>
            <w:r w:rsidRPr="00F70333">
              <w:rPr>
                <w:b w:val="0"/>
                <w:sz w:val="24"/>
                <w:szCs w:val="24"/>
                <w:u w:val="none"/>
              </w:rPr>
              <w:t xml:space="preserve">1. </w:t>
            </w:r>
            <w:r w:rsidRPr="00F70333">
              <w:rPr>
                <w:sz w:val="24"/>
                <w:szCs w:val="24"/>
                <w:u w:val="none"/>
              </w:rPr>
              <w:t>Security Plan:</w:t>
            </w:r>
            <w:r w:rsidRPr="00F70333">
              <w:rPr>
                <w:b w:val="0"/>
                <w:sz w:val="24"/>
                <w:szCs w:val="24"/>
                <w:u w:val="none"/>
              </w:rPr>
              <w:t xml:space="preserve"> The</w:t>
            </w:r>
            <w:r w:rsidR="005C51CF" w:rsidRPr="00F70333">
              <w:rPr>
                <w:b w:val="0"/>
                <w:sz w:val="24"/>
                <w:szCs w:val="24"/>
                <w:u w:val="none"/>
              </w:rPr>
              <w:t xml:space="preserve"> system security plan</w:t>
            </w:r>
            <w:r w:rsidRPr="00F70333">
              <w:rPr>
                <w:b w:val="0"/>
                <w:sz w:val="24"/>
                <w:szCs w:val="24"/>
                <w:u w:val="none"/>
              </w:rPr>
              <w:t xml:space="preserve"> for this information collection is detailed in </w:t>
            </w:r>
            <w:r w:rsidRPr="00F70333">
              <w:rPr>
                <w:sz w:val="24"/>
                <w:szCs w:val="24"/>
                <w:u w:val="none"/>
              </w:rPr>
              <w:t xml:space="preserve">Attachment </w:t>
            </w:r>
            <w:r w:rsidR="00536555" w:rsidRPr="00F70333">
              <w:rPr>
                <w:sz w:val="24"/>
                <w:szCs w:val="24"/>
                <w:u w:val="none"/>
              </w:rPr>
              <w:t>F</w:t>
            </w:r>
            <w:r w:rsidR="00213918" w:rsidRPr="00F70333">
              <w:rPr>
                <w:sz w:val="24"/>
                <w:szCs w:val="24"/>
                <w:u w:val="none"/>
              </w:rPr>
              <w:t>.</w:t>
            </w:r>
          </w:p>
          <w:p w:rsidR="005C51CF" w:rsidRPr="00F70333" w:rsidRDefault="005C51CF" w:rsidP="005C51CF">
            <w:pPr>
              <w:pStyle w:val="Heading3"/>
              <w:rPr>
                <w:b w:val="0"/>
                <w:sz w:val="24"/>
                <w:szCs w:val="24"/>
                <w:u w:val="none"/>
              </w:rPr>
            </w:pPr>
            <w:r w:rsidRPr="00F70333">
              <w:rPr>
                <w:b w:val="0"/>
                <w:sz w:val="24"/>
                <w:szCs w:val="24"/>
                <w:u w:val="none"/>
              </w:rPr>
              <w:t xml:space="preserve">2. </w:t>
            </w:r>
            <w:r w:rsidR="00B07294" w:rsidRPr="00F70333">
              <w:rPr>
                <w:sz w:val="24"/>
                <w:szCs w:val="24"/>
                <w:u w:val="none"/>
              </w:rPr>
              <w:t>Contingency Plan:</w:t>
            </w:r>
            <w:r w:rsidR="00B07294" w:rsidRPr="00F70333">
              <w:rPr>
                <w:b w:val="0"/>
                <w:sz w:val="24"/>
                <w:szCs w:val="24"/>
                <w:u w:val="none"/>
              </w:rPr>
              <w:t xml:space="preserve"> Files be backed up will be backed-up weekly using an offsite Microsoft SQL server based in Atlanta, GA CDC offices. </w:t>
            </w:r>
          </w:p>
          <w:p w:rsidR="005C51CF" w:rsidRPr="00F70333" w:rsidRDefault="00B07294" w:rsidP="005C51CF">
            <w:pPr>
              <w:pStyle w:val="Heading3"/>
              <w:rPr>
                <w:b w:val="0"/>
                <w:sz w:val="24"/>
                <w:szCs w:val="24"/>
                <w:u w:val="none"/>
              </w:rPr>
            </w:pPr>
            <w:r w:rsidRPr="00F70333">
              <w:rPr>
                <w:b w:val="0"/>
                <w:sz w:val="24"/>
                <w:szCs w:val="24"/>
                <w:u w:val="none"/>
              </w:rPr>
              <w:t xml:space="preserve">3: </w:t>
            </w:r>
            <w:r w:rsidRPr="00F70333">
              <w:rPr>
                <w:sz w:val="24"/>
                <w:szCs w:val="24"/>
                <w:u w:val="none"/>
              </w:rPr>
              <w:t>User Manuals</w:t>
            </w:r>
            <w:r w:rsidRPr="00F70333">
              <w:rPr>
                <w:b w:val="0"/>
                <w:sz w:val="24"/>
                <w:szCs w:val="24"/>
                <w:u w:val="none"/>
              </w:rPr>
              <w:t>: Created for this information collection.</w:t>
            </w:r>
          </w:p>
          <w:p w:rsidR="005C51CF" w:rsidRPr="00F70333" w:rsidRDefault="00B07294" w:rsidP="005C51CF">
            <w:pPr>
              <w:pStyle w:val="Heading3"/>
              <w:rPr>
                <w:b w:val="0"/>
                <w:sz w:val="24"/>
                <w:szCs w:val="24"/>
                <w:u w:val="none"/>
              </w:rPr>
            </w:pPr>
            <w:r w:rsidRPr="00F70333">
              <w:rPr>
                <w:b w:val="0"/>
                <w:sz w:val="24"/>
                <w:szCs w:val="24"/>
                <w:u w:val="none"/>
              </w:rPr>
              <w:t>4</w:t>
            </w:r>
            <w:r w:rsidR="005C51CF" w:rsidRPr="00F70333">
              <w:rPr>
                <w:b w:val="0"/>
                <w:sz w:val="24"/>
                <w:szCs w:val="24"/>
                <w:u w:val="none"/>
              </w:rPr>
              <w:t xml:space="preserve">. </w:t>
            </w:r>
            <w:r w:rsidRPr="00F70333">
              <w:rPr>
                <w:sz w:val="24"/>
                <w:szCs w:val="24"/>
                <w:u w:val="none"/>
              </w:rPr>
              <w:t>Personnel Training</w:t>
            </w:r>
            <w:r w:rsidRPr="00F70333">
              <w:rPr>
                <w:b w:val="0"/>
                <w:sz w:val="24"/>
                <w:szCs w:val="24"/>
                <w:u w:val="none"/>
              </w:rPr>
              <w:t xml:space="preserve">: All CDC and contract </w:t>
            </w:r>
            <w:r w:rsidR="005C51CF" w:rsidRPr="00F70333">
              <w:rPr>
                <w:b w:val="0"/>
                <w:sz w:val="24"/>
                <w:szCs w:val="24"/>
                <w:u w:val="none"/>
              </w:rPr>
              <w:t xml:space="preserve">personnel (principal investigator, managers, operators, contractors and/or program staff) </w:t>
            </w:r>
            <w:r w:rsidRPr="00F70333">
              <w:rPr>
                <w:b w:val="0"/>
                <w:sz w:val="24"/>
                <w:szCs w:val="24"/>
                <w:u w:val="none"/>
              </w:rPr>
              <w:t xml:space="preserve">will receive yearly training </w:t>
            </w:r>
            <w:r w:rsidR="005C51CF" w:rsidRPr="00F70333">
              <w:rPr>
                <w:b w:val="0"/>
                <w:sz w:val="24"/>
                <w:szCs w:val="24"/>
                <w:u w:val="none"/>
              </w:rPr>
              <w:t>using the system and made aware of their responsibilities for protecting the information being coll</w:t>
            </w:r>
            <w:r w:rsidRPr="00F70333">
              <w:rPr>
                <w:b w:val="0"/>
                <w:sz w:val="24"/>
                <w:szCs w:val="24"/>
                <w:u w:val="none"/>
              </w:rPr>
              <w:t>ected and maintained.</w:t>
            </w:r>
          </w:p>
          <w:p w:rsidR="005C51CF" w:rsidRPr="00F70333" w:rsidRDefault="00B07294" w:rsidP="005C51CF">
            <w:pPr>
              <w:pStyle w:val="Heading3"/>
              <w:rPr>
                <w:b w:val="0"/>
                <w:sz w:val="24"/>
                <w:szCs w:val="24"/>
                <w:u w:val="none"/>
              </w:rPr>
            </w:pPr>
            <w:r w:rsidRPr="00F70333">
              <w:rPr>
                <w:b w:val="0"/>
                <w:sz w:val="24"/>
                <w:szCs w:val="24"/>
                <w:u w:val="none"/>
              </w:rPr>
              <w:t>5</w:t>
            </w:r>
            <w:r w:rsidR="005C51CF" w:rsidRPr="00F70333">
              <w:rPr>
                <w:b w:val="0"/>
                <w:sz w:val="24"/>
                <w:szCs w:val="24"/>
                <w:u w:val="none"/>
              </w:rPr>
              <w:t xml:space="preserve">. </w:t>
            </w:r>
            <w:r w:rsidRPr="00F70333">
              <w:rPr>
                <w:sz w:val="24"/>
                <w:szCs w:val="24"/>
                <w:u w:val="none"/>
              </w:rPr>
              <w:t>Contractor Adherence</w:t>
            </w:r>
            <w:r w:rsidRPr="00F70333">
              <w:rPr>
                <w:b w:val="0"/>
                <w:sz w:val="24"/>
                <w:szCs w:val="24"/>
                <w:u w:val="none"/>
              </w:rPr>
              <w:t>: Co</w:t>
            </w:r>
            <w:r w:rsidR="005C51CF" w:rsidRPr="00F70333">
              <w:rPr>
                <w:b w:val="0"/>
                <w:sz w:val="24"/>
                <w:szCs w:val="24"/>
                <w:u w:val="none"/>
              </w:rPr>
              <w:t>n</w:t>
            </w:r>
            <w:r w:rsidRPr="00F70333">
              <w:rPr>
                <w:b w:val="0"/>
                <w:sz w:val="24"/>
                <w:szCs w:val="24"/>
                <w:u w:val="none"/>
              </w:rPr>
              <w:t xml:space="preserve">tracts for staff that operate or use the system </w:t>
            </w:r>
            <w:r w:rsidR="005C51CF" w:rsidRPr="00F70333">
              <w:rPr>
                <w:b w:val="0"/>
                <w:sz w:val="24"/>
                <w:szCs w:val="24"/>
                <w:u w:val="none"/>
              </w:rPr>
              <w:t>will include clauses ensuring adherence to p</w:t>
            </w:r>
            <w:r w:rsidRPr="00F70333">
              <w:rPr>
                <w:b w:val="0"/>
                <w:sz w:val="24"/>
                <w:szCs w:val="24"/>
                <w:u w:val="none"/>
              </w:rPr>
              <w:t>rivacy provisions and practices.</w:t>
            </w:r>
          </w:p>
          <w:p w:rsidR="005C51CF" w:rsidRPr="00F70333" w:rsidRDefault="00B07294" w:rsidP="005C51CF">
            <w:pPr>
              <w:pStyle w:val="Heading3"/>
              <w:rPr>
                <w:b w:val="0"/>
                <w:sz w:val="24"/>
                <w:szCs w:val="24"/>
                <w:u w:val="none"/>
              </w:rPr>
            </w:pPr>
            <w:r w:rsidRPr="00F70333">
              <w:rPr>
                <w:b w:val="0"/>
                <w:sz w:val="24"/>
                <w:szCs w:val="24"/>
                <w:u w:val="none"/>
              </w:rPr>
              <w:t>6</w:t>
            </w:r>
            <w:r w:rsidR="005C51CF" w:rsidRPr="00F70333">
              <w:rPr>
                <w:b w:val="0"/>
                <w:sz w:val="24"/>
                <w:szCs w:val="24"/>
                <w:u w:val="none"/>
              </w:rPr>
              <w:t xml:space="preserve">. </w:t>
            </w:r>
            <w:r w:rsidRPr="00F70333">
              <w:rPr>
                <w:sz w:val="24"/>
                <w:szCs w:val="24"/>
                <w:u w:val="none"/>
              </w:rPr>
              <w:t>Access Levels</w:t>
            </w:r>
            <w:r w:rsidRPr="00F70333">
              <w:rPr>
                <w:b w:val="0"/>
                <w:sz w:val="24"/>
                <w:szCs w:val="24"/>
                <w:u w:val="none"/>
              </w:rPr>
              <w:t>: Me</w:t>
            </w:r>
            <w:r w:rsidR="005C51CF" w:rsidRPr="00F70333">
              <w:rPr>
                <w:b w:val="0"/>
                <w:sz w:val="24"/>
                <w:szCs w:val="24"/>
                <w:u w:val="none"/>
              </w:rPr>
              <w:t>thods</w:t>
            </w:r>
            <w:r w:rsidRPr="00F70333">
              <w:rPr>
                <w:b w:val="0"/>
                <w:sz w:val="24"/>
                <w:szCs w:val="24"/>
                <w:u w:val="none"/>
              </w:rPr>
              <w:t xml:space="preserve"> will be put into </w:t>
            </w:r>
            <w:r w:rsidR="005C51CF" w:rsidRPr="00F70333">
              <w:rPr>
                <w:b w:val="0"/>
                <w:sz w:val="24"/>
                <w:szCs w:val="24"/>
                <w:u w:val="none"/>
              </w:rPr>
              <w:t xml:space="preserve">place to ensure </w:t>
            </w:r>
            <w:r w:rsidR="008E2BA5" w:rsidRPr="00F70333">
              <w:rPr>
                <w:b w:val="0"/>
                <w:sz w:val="24"/>
                <w:szCs w:val="24"/>
                <w:u w:val="none"/>
              </w:rPr>
              <w:t xml:space="preserve">the </w:t>
            </w:r>
            <w:r w:rsidR="005C51CF" w:rsidRPr="00F70333">
              <w:rPr>
                <w:b w:val="0"/>
                <w:sz w:val="24"/>
                <w:szCs w:val="24"/>
                <w:u w:val="none"/>
              </w:rPr>
              <w:t xml:space="preserve">least privilege </w:t>
            </w:r>
            <w:r w:rsidR="008E2BA5" w:rsidRPr="00F70333">
              <w:rPr>
                <w:b w:val="0"/>
                <w:sz w:val="24"/>
                <w:szCs w:val="24"/>
                <w:u w:val="none"/>
              </w:rPr>
              <w:t xml:space="preserve">possible </w:t>
            </w:r>
            <w:r w:rsidR="005C51CF" w:rsidRPr="00F70333">
              <w:rPr>
                <w:b w:val="0"/>
                <w:sz w:val="24"/>
                <w:szCs w:val="24"/>
                <w:u w:val="none"/>
              </w:rPr>
              <w:t>(e.g., access is “role based” on a “need to know” basis</w:t>
            </w:r>
            <w:r w:rsidRPr="00F70333">
              <w:rPr>
                <w:b w:val="0"/>
                <w:sz w:val="24"/>
                <w:szCs w:val="24"/>
                <w:u w:val="none"/>
              </w:rPr>
              <w:t xml:space="preserve">). Accountability will be ensured through yearly security reviews. </w:t>
            </w:r>
            <w:r w:rsidR="005C51CF" w:rsidRPr="00F70333">
              <w:rPr>
                <w:b w:val="0"/>
                <w:sz w:val="24"/>
                <w:szCs w:val="24"/>
                <w:u w:val="none"/>
              </w:rPr>
              <w:t xml:space="preserve"> </w:t>
            </w:r>
          </w:p>
          <w:p w:rsidR="005C51CF" w:rsidRPr="00F70333" w:rsidRDefault="00B07294" w:rsidP="005C51CF">
            <w:pPr>
              <w:pStyle w:val="Heading3"/>
              <w:rPr>
                <w:b w:val="0"/>
                <w:sz w:val="24"/>
                <w:szCs w:val="24"/>
                <w:u w:val="none"/>
              </w:rPr>
            </w:pPr>
            <w:r w:rsidRPr="00F70333">
              <w:rPr>
                <w:b w:val="0"/>
                <w:sz w:val="24"/>
                <w:szCs w:val="24"/>
                <w:u w:val="none"/>
              </w:rPr>
              <w:t>7</w:t>
            </w:r>
            <w:r w:rsidR="005C51CF" w:rsidRPr="00F70333">
              <w:rPr>
                <w:b w:val="0"/>
                <w:sz w:val="24"/>
                <w:szCs w:val="24"/>
                <w:u w:val="none"/>
              </w:rPr>
              <w:t xml:space="preserve">. </w:t>
            </w:r>
            <w:r w:rsidRPr="00F70333">
              <w:rPr>
                <w:sz w:val="24"/>
                <w:szCs w:val="24"/>
                <w:u w:val="none"/>
              </w:rPr>
              <w:t>IIF Policy</w:t>
            </w:r>
            <w:r w:rsidRPr="00F70333">
              <w:rPr>
                <w:b w:val="0"/>
                <w:sz w:val="24"/>
                <w:szCs w:val="24"/>
                <w:u w:val="none"/>
              </w:rPr>
              <w:t xml:space="preserve">: There are CDC </w:t>
            </w:r>
            <w:r w:rsidR="005C51CF" w:rsidRPr="00F70333">
              <w:rPr>
                <w:b w:val="0"/>
                <w:sz w:val="24"/>
                <w:szCs w:val="24"/>
                <w:u w:val="none"/>
              </w:rPr>
              <w:t>policies or guidelines in place with regard to the r</w:t>
            </w:r>
            <w:r w:rsidRPr="00F70333">
              <w:rPr>
                <w:b w:val="0"/>
                <w:sz w:val="24"/>
                <w:szCs w:val="24"/>
                <w:u w:val="none"/>
              </w:rPr>
              <w:t>etention and destruction of IIF.</w:t>
            </w:r>
          </w:p>
          <w:p w:rsidR="005C51CF" w:rsidRPr="00F70333" w:rsidRDefault="005C51CF" w:rsidP="00517669">
            <w:pPr>
              <w:rPr>
                <w:b/>
              </w:rPr>
            </w:pPr>
          </w:p>
        </w:tc>
        <w:tc>
          <w:tcPr>
            <w:tcW w:w="1710" w:type="dxa"/>
          </w:tcPr>
          <w:p w:rsidR="005C51CF" w:rsidRPr="00F70333" w:rsidRDefault="005C51CF" w:rsidP="00517669">
            <w:r w:rsidRPr="00F70333">
              <w:t>Administrative</w:t>
            </w:r>
          </w:p>
        </w:tc>
      </w:tr>
    </w:tbl>
    <w:p w:rsidR="005C51CF" w:rsidRPr="00F70333" w:rsidRDefault="005C51CF" w:rsidP="00517669">
      <w:pPr>
        <w:rPr>
          <w:b/>
        </w:rPr>
      </w:pPr>
    </w:p>
    <w:p w:rsidR="0038553A" w:rsidRPr="00F70333" w:rsidRDefault="0038553A" w:rsidP="0038553A">
      <w:pPr>
        <w:pStyle w:val="Heading3"/>
        <w:rPr>
          <w:b w:val="0"/>
          <w:u w:val="none"/>
        </w:rPr>
      </w:pPr>
      <w:r w:rsidRPr="00F70333">
        <w:rPr>
          <w:b w:val="0"/>
          <w:u w:val="none"/>
        </w:rPr>
        <w:t>Privacy Impact Assessment Information</w:t>
      </w:r>
      <w:bookmarkEnd w:id="37"/>
    </w:p>
    <w:p w:rsidR="0038553A" w:rsidRPr="00F70333" w:rsidRDefault="0038553A" w:rsidP="0038553A"/>
    <w:p w:rsidR="0038553A" w:rsidRPr="00F70333" w:rsidRDefault="00D324DA" w:rsidP="0038553A">
      <w:r w:rsidRPr="00F70333">
        <w:t xml:space="preserve">A. </w:t>
      </w:r>
      <w:proofErr w:type="gramStart"/>
      <w:r w:rsidR="0038553A" w:rsidRPr="00F70333">
        <w:t>The</w:t>
      </w:r>
      <w:proofErr w:type="gramEnd"/>
      <w:r w:rsidR="0038553A" w:rsidRPr="00F70333">
        <w:t xml:space="preserve"> CDC’s Information Collection Review Office has reviewed this application and has determined that the Privacy Act is applicable. </w:t>
      </w:r>
    </w:p>
    <w:p w:rsidR="0038553A" w:rsidRPr="00F70333" w:rsidRDefault="0038553A" w:rsidP="0038553A"/>
    <w:p w:rsidR="0038553A" w:rsidRPr="00F70333" w:rsidRDefault="00D324DA" w:rsidP="0038553A">
      <w:r w:rsidRPr="00F70333">
        <w:lastRenderedPageBreak/>
        <w:t xml:space="preserve">B. </w:t>
      </w:r>
      <w:r w:rsidR="0038553A" w:rsidRPr="00F70333">
        <w:t xml:space="preserve">Access to individual data will be limited to authorized NIOSH researchers and contractors. </w:t>
      </w:r>
      <w:r w:rsidR="007A482A" w:rsidRPr="00F70333">
        <w:t xml:space="preserve">Physical controls: </w:t>
      </w:r>
      <w:r w:rsidR="0038553A" w:rsidRPr="00F70333">
        <w:t>NIOSH facilities have 24-hour security</w:t>
      </w:r>
      <w:r w:rsidR="007A482A" w:rsidRPr="00F70333">
        <w:t xml:space="preserve"> guards</w:t>
      </w:r>
      <w:r w:rsidR="0038553A" w:rsidRPr="00F70333">
        <w:t xml:space="preserve">, </w:t>
      </w:r>
      <w:r w:rsidR="007A482A" w:rsidRPr="00F70333">
        <w:t>and key card ID badges must be used to enter the buildings.</w:t>
      </w:r>
      <w:r w:rsidR="00A54905" w:rsidRPr="00F70333">
        <w:t xml:space="preserve"> Data in hardcopy form will be stored in locked rooms or cabinets. Technical controls: a</w:t>
      </w:r>
      <w:r w:rsidR="0038553A" w:rsidRPr="00F70333">
        <w:t xml:space="preserve">ll </w:t>
      </w:r>
      <w:r w:rsidR="00A54905" w:rsidRPr="00F70333">
        <w:t xml:space="preserve">electronic </w:t>
      </w:r>
      <w:r w:rsidR="0038553A" w:rsidRPr="00F70333">
        <w:t xml:space="preserve">data will be stored on secure servers </w:t>
      </w:r>
      <w:r w:rsidR="00A54905" w:rsidRPr="00F70333">
        <w:t xml:space="preserve">that are protected with firewalls and </w:t>
      </w:r>
      <w:r w:rsidR="0038553A" w:rsidRPr="00F70333">
        <w:t>passwords. Any contractor charged with data collection, preparation, or management tasks to be performed away from a NIOSH facility will be required to follow equivalent procedures.</w:t>
      </w:r>
    </w:p>
    <w:p w:rsidR="00A54905" w:rsidRPr="00F70333" w:rsidRDefault="00A54905" w:rsidP="0038553A"/>
    <w:p w:rsidR="00A54905" w:rsidRPr="00F70333" w:rsidRDefault="00A54905" w:rsidP="00A54905">
      <w:r w:rsidRPr="00F70333">
        <w:t xml:space="preserve">The process for handling security incidents is defined in the system's </w:t>
      </w:r>
      <w:r w:rsidR="004E57C1" w:rsidRPr="00F70333">
        <w:t xml:space="preserve">Information </w:t>
      </w:r>
      <w:r w:rsidRPr="00F70333">
        <w:t>Security Plan</w:t>
      </w:r>
      <w:r w:rsidR="00D324DA" w:rsidRPr="00F70333">
        <w:t xml:space="preserve"> (</w:t>
      </w:r>
      <w:r w:rsidR="00D324DA" w:rsidRPr="00F70333">
        <w:rPr>
          <w:b/>
        </w:rPr>
        <w:t xml:space="preserve">Attachment </w:t>
      </w:r>
      <w:r w:rsidR="00480A15" w:rsidRPr="00F70333">
        <w:rPr>
          <w:b/>
        </w:rPr>
        <w:t>F</w:t>
      </w:r>
      <w:r w:rsidR="00D324DA" w:rsidRPr="00F70333">
        <w:t>)</w:t>
      </w:r>
      <w:r w:rsidRPr="00F70333">
        <w:t>. Event monitoring and incident response is a shared responsibility between the system's team and the Office of the Chief Information Security Officer (OCISO). Reports of suspicious security or adverse privacy related events should be directed to the component's Information Systems Security Officer,</w:t>
      </w:r>
      <w:r w:rsidR="0068283A" w:rsidRPr="00F70333">
        <w:t xml:space="preserve"> </w:t>
      </w:r>
      <w:r w:rsidRPr="00F70333">
        <w:t xml:space="preserve">CDC helpdesk, or to the CDC Incident Response Team. The CDC OCISO reports to the </w:t>
      </w:r>
      <w:smartTag w:uri="urn:schemas-microsoft-com:office:smarttags" w:element="place">
        <w:smartTag w:uri="urn:schemas-microsoft-com:office:smarttags" w:element="country-region">
          <w:r w:rsidRPr="00F70333">
            <w:t>HHS</w:t>
          </w:r>
        </w:smartTag>
        <w:r w:rsidRPr="00F70333">
          <w:t xml:space="preserve"> </w:t>
        </w:r>
        <w:smartTag w:uri="urn:schemas-microsoft-com:office:smarttags" w:element="country-region">
          <w:r w:rsidRPr="00F70333">
            <w:t>Secure</w:t>
          </w:r>
        </w:smartTag>
        <w:r w:rsidRPr="00F70333">
          <w:t xml:space="preserve"> </w:t>
        </w:r>
        <w:smartTag w:uri="urn:schemas-microsoft-com:office:smarttags" w:element="country-region">
          <w:r w:rsidRPr="00F70333">
            <w:t>One</w:t>
          </w:r>
        </w:smartTag>
        <w:r w:rsidR="0068283A" w:rsidRPr="00F70333">
          <w:t xml:space="preserve"> </w:t>
        </w:r>
        <w:smartTag w:uri="urn:schemas-microsoft-com:office:smarttags" w:element="country-region">
          <w:r w:rsidRPr="00F70333">
            <w:t>Communications</w:t>
          </w:r>
        </w:smartTag>
        <w:r w:rsidRPr="00F70333">
          <w:t xml:space="preserve"> </w:t>
        </w:r>
        <w:smartTag w:uri="urn:schemas-microsoft-com:office:smarttags" w:element="PlaceType">
          <w:r w:rsidRPr="00F70333">
            <w:t>Center</w:t>
          </w:r>
        </w:smartTag>
      </w:smartTag>
      <w:r w:rsidRPr="00F70333">
        <w:t>, which reports incidents to US-CERT as appropriate</w:t>
      </w:r>
    </w:p>
    <w:p w:rsidR="0038553A" w:rsidRPr="00F70333" w:rsidRDefault="0038553A" w:rsidP="0038553A"/>
    <w:p w:rsidR="006575B7" w:rsidRPr="00F70333" w:rsidRDefault="00D324DA" w:rsidP="0038553A">
      <w:r w:rsidRPr="00F70333">
        <w:t xml:space="preserve">C. </w:t>
      </w:r>
      <w:r w:rsidR="006575B7" w:rsidRPr="00F70333">
        <w:t>R</w:t>
      </w:r>
      <w:r w:rsidR="0038553A" w:rsidRPr="00F70333">
        <w:t xml:space="preserve">espondents </w:t>
      </w:r>
      <w:r w:rsidR="00B9342B" w:rsidRPr="00F70333">
        <w:t xml:space="preserve">will </w:t>
      </w:r>
      <w:r w:rsidR="0038553A" w:rsidRPr="00F70333">
        <w:t xml:space="preserve">be provided </w:t>
      </w:r>
      <w:r w:rsidR="0067347A" w:rsidRPr="00F70333">
        <w:t xml:space="preserve">be asked to sign </w:t>
      </w:r>
      <w:r w:rsidR="006575B7" w:rsidRPr="00F70333">
        <w:t>w</w:t>
      </w:r>
      <w:r w:rsidR="0038553A" w:rsidRPr="00F70333">
        <w:t xml:space="preserve">ritten consent </w:t>
      </w:r>
      <w:r w:rsidR="0067347A" w:rsidRPr="00F70333">
        <w:t xml:space="preserve">form </w:t>
      </w:r>
      <w:r w:rsidR="0038553A" w:rsidRPr="00F70333">
        <w:t>(</w:t>
      </w:r>
      <w:r w:rsidR="0067347A" w:rsidRPr="00F70333">
        <w:rPr>
          <w:b/>
        </w:rPr>
        <w:t>Attachments G</w:t>
      </w:r>
      <w:r w:rsidR="00480A15" w:rsidRPr="00F70333">
        <w:rPr>
          <w:b/>
        </w:rPr>
        <w:t>-1 and G-2)</w:t>
      </w:r>
      <w:r w:rsidR="0038553A" w:rsidRPr="00F70333">
        <w:t xml:space="preserve">. </w:t>
      </w:r>
      <w:r w:rsidR="006575B7" w:rsidRPr="00F70333">
        <w:t>The form</w:t>
      </w:r>
      <w:r w:rsidR="0067347A" w:rsidRPr="00F70333">
        <w:t>s describe</w:t>
      </w:r>
      <w:r w:rsidR="006575B7" w:rsidRPr="00F70333">
        <w:t xml:space="preserve"> how respondents are informed about the intended uses of the information collection and plans for sharing the information.</w:t>
      </w:r>
    </w:p>
    <w:p w:rsidR="006575B7" w:rsidRPr="00F70333" w:rsidRDefault="006575B7" w:rsidP="0038553A"/>
    <w:p w:rsidR="006575B7" w:rsidRPr="00F70333" w:rsidRDefault="00D324DA" w:rsidP="006575B7">
      <w:r w:rsidRPr="00F70333">
        <w:t>D.</w:t>
      </w:r>
      <w:r w:rsidR="008E2BA5" w:rsidRPr="00F70333">
        <w:t xml:space="preserve"> </w:t>
      </w:r>
      <w:r w:rsidR="0038553A" w:rsidRPr="00F70333">
        <w:t>Respondents will be informed that their participation is voluntary, and that they may discontinue the survey at any time. They will also be advised that they will not lose any benefits to which they are otherwise entitled if they chose not to participate. The Privacy Act does apply</w:t>
      </w:r>
      <w:r w:rsidR="006575B7" w:rsidRPr="00F70333">
        <w:t xml:space="preserve"> and the informed consent form</w:t>
      </w:r>
      <w:r w:rsidR="0067347A" w:rsidRPr="00F70333">
        <w:t>s</w:t>
      </w:r>
      <w:r w:rsidR="006575B7" w:rsidRPr="00F70333">
        <w:t xml:space="preserve"> (</w:t>
      </w:r>
      <w:bookmarkStart w:id="38" w:name="_Toc239826783"/>
      <w:bookmarkStart w:id="39" w:name="_Toc248821750"/>
      <w:bookmarkStart w:id="40" w:name="_Toc261966294"/>
      <w:r w:rsidR="00480A15" w:rsidRPr="00F70333">
        <w:rPr>
          <w:b/>
        </w:rPr>
        <w:t>Attachments G-1 and G-2</w:t>
      </w:r>
      <w:r w:rsidR="0067347A" w:rsidRPr="00F70333">
        <w:t xml:space="preserve">) address </w:t>
      </w:r>
      <w:r w:rsidR="006575B7" w:rsidRPr="00F70333">
        <w:t xml:space="preserve">the effect on the respondent of not responding to the data collection request, the intended uses of the data, with </w:t>
      </w:r>
      <w:proofErr w:type="gramStart"/>
      <w:r w:rsidR="006575B7" w:rsidRPr="00F70333">
        <w:t>whom</w:t>
      </w:r>
      <w:proofErr w:type="gramEnd"/>
      <w:r w:rsidR="006575B7" w:rsidRPr="00F70333">
        <w:t xml:space="preserve"> information will be shared, and the legal authority for the data collection.</w:t>
      </w:r>
    </w:p>
    <w:p w:rsidR="006575B7" w:rsidRPr="00F70333" w:rsidRDefault="006575B7" w:rsidP="006575B7"/>
    <w:p w:rsidR="0038553A" w:rsidRPr="00F70333" w:rsidRDefault="0038553A" w:rsidP="006575B7">
      <w:pPr>
        <w:rPr>
          <w:sz w:val="28"/>
          <w:szCs w:val="28"/>
        </w:rPr>
      </w:pPr>
      <w:r w:rsidRPr="00F70333">
        <w:rPr>
          <w:sz w:val="28"/>
          <w:szCs w:val="28"/>
        </w:rPr>
        <w:t>A11.</w:t>
      </w:r>
      <w:r w:rsidRPr="00F70333">
        <w:rPr>
          <w:sz w:val="28"/>
          <w:szCs w:val="28"/>
        </w:rPr>
        <w:tab/>
        <w:t>Justification for Sensitive Questions</w:t>
      </w:r>
      <w:bookmarkEnd w:id="38"/>
      <w:bookmarkEnd w:id="39"/>
      <w:bookmarkEnd w:id="40"/>
    </w:p>
    <w:p w:rsidR="008807A6" w:rsidRPr="00F70333" w:rsidRDefault="008807A6" w:rsidP="006575B7">
      <w:pPr>
        <w:rPr>
          <w:b/>
        </w:rPr>
      </w:pPr>
    </w:p>
    <w:p w:rsidR="008807A6" w:rsidRPr="00F70333" w:rsidRDefault="0038553A" w:rsidP="008807A6">
      <w:r w:rsidRPr="00F70333">
        <w:t>The proposed</w:t>
      </w:r>
      <w:r w:rsidR="008807A6" w:rsidRPr="00F70333">
        <w:t xml:space="preserve"> survey contains one question </w:t>
      </w:r>
      <w:r w:rsidR="002B4177" w:rsidRPr="00F70333">
        <w:t xml:space="preserve">(included in the standard NASS Lumbar Spine Outcome Assessment Instrument, </w:t>
      </w:r>
      <w:r w:rsidR="002B4177" w:rsidRPr="00F70333">
        <w:rPr>
          <w:b/>
        </w:rPr>
        <w:t xml:space="preserve">Attachment </w:t>
      </w:r>
      <w:r w:rsidR="00480A15" w:rsidRPr="00F70333">
        <w:rPr>
          <w:b/>
        </w:rPr>
        <w:t>H-1</w:t>
      </w:r>
      <w:r w:rsidR="002B4177" w:rsidRPr="00F70333">
        <w:t xml:space="preserve">) </w:t>
      </w:r>
      <w:r w:rsidR="008807A6" w:rsidRPr="00F70333">
        <w:t>related to sexual behavior that may be considered sensitive. This question is provided below:</w:t>
      </w:r>
    </w:p>
    <w:p w:rsidR="008807A6" w:rsidRPr="00F70333" w:rsidRDefault="008807A6" w:rsidP="008807A6"/>
    <w:p w:rsidR="008807A6" w:rsidRPr="00F70333" w:rsidRDefault="008807A6" w:rsidP="008807A6">
      <w:r w:rsidRPr="00F70333">
        <w:t>13. In the past week, how has pain affected your sex life?</w:t>
      </w:r>
    </w:p>
    <w:p w:rsidR="008807A6" w:rsidRPr="00F70333" w:rsidRDefault="008807A6" w:rsidP="008807A6"/>
    <w:p w:rsidR="008807A6" w:rsidRPr="00F70333" w:rsidRDefault="008807A6" w:rsidP="008807A6">
      <w:r w:rsidRPr="00F70333">
        <w:t xml:space="preserve"> </w:t>
      </w:r>
      <w:proofErr w:type="gramStart"/>
      <w:r w:rsidRPr="00F70333">
        <w:t>My</w:t>
      </w:r>
      <w:proofErr w:type="gramEnd"/>
      <w:r w:rsidRPr="00F70333">
        <w:t xml:space="preserve"> sex life is unchanged.</w:t>
      </w:r>
    </w:p>
    <w:p w:rsidR="008807A6" w:rsidRPr="00F70333" w:rsidRDefault="008807A6" w:rsidP="008807A6">
      <w:r w:rsidRPr="00F70333">
        <w:t xml:space="preserve"> </w:t>
      </w:r>
      <w:proofErr w:type="gramStart"/>
      <w:r w:rsidRPr="00F70333">
        <w:t>My</w:t>
      </w:r>
      <w:proofErr w:type="gramEnd"/>
      <w:r w:rsidRPr="00F70333">
        <w:t xml:space="preserve"> sex life is unchanged, but causes some pain.</w:t>
      </w:r>
    </w:p>
    <w:p w:rsidR="008807A6" w:rsidRPr="00F70333" w:rsidRDefault="008807A6" w:rsidP="008807A6">
      <w:r w:rsidRPr="00F70333">
        <w:t xml:space="preserve"> </w:t>
      </w:r>
      <w:proofErr w:type="gramStart"/>
      <w:r w:rsidRPr="00F70333">
        <w:t>My</w:t>
      </w:r>
      <w:proofErr w:type="gramEnd"/>
      <w:r w:rsidRPr="00F70333">
        <w:t xml:space="preserve"> sex life is nearly unchanged, but it is very painful.</w:t>
      </w:r>
    </w:p>
    <w:p w:rsidR="008807A6" w:rsidRPr="00F70333" w:rsidRDefault="008807A6" w:rsidP="008807A6">
      <w:r w:rsidRPr="00F70333">
        <w:t xml:space="preserve"> </w:t>
      </w:r>
      <w:proofErr w:type="gramStart"/>
      <w:r w:rsidRPr="00F70333">
        <w:t>My</w:t>
      </w:r>
      <w:proofErr w:type="gramEnd"/>
      <w:r w:rsidRPr="00F70333">
        <w:t xml:space="preserve"> sex life is severely restricted by pain.</w:t>
      </w:r>
    </w:p>
    <w:p w:rsidR="008807A6" w:rsidRPr="00F70333" w:rsidRDefault="008807A6" w:rsidP="008807A6">
      <w:r w:rsidRPr="00F70333">
        <w:t xml:space="preserve"> </w:t>
      </w:r>
      <w:proofErr w:type="gramStart"/>
      <w:r w:rsidRPr="00F70333">
        <w:t>My</w:t>
      </w:r>
      <w:proofErr w:type="gramEnd"/>
      <w:r w:rsidRPr="00F70333">
        <w:t xml:space="preserve"> sex life is nearly absent because of pain.</w:t>
      </w:r>
    </w:p>
    <w:p w:rsidR="008807A6" w:rsidRPr="00F70333" w:rsidRDefault="008807A6" w:rsidP="008807A6">
      <w:r w:rsidRPr="00F70333">
        <w:t> Pain prevents any sex life at all.</w:t>
      </w:r>
    </w:p>
    <w:p w:rsidR="008807A6" w:rsidRPr="00F70333" w:rsidRDefault="008807A6" w:rsidP="008807A6"/>
    <w:p w:rsidR="0038553A" w:rsidRPr="00F70333" w:rsidRDefault="008807A6" w:rsidP="0038553A">
      <w:r w:rsidRPr="00F70333">
        <w:t xml:space="preserve">The question is not explicit and only inquires about </w:t>
      </w:r>
      <w:r w:rsidR="002B4177" w:rsidRPr="00F70333">
        <w:t xml:space="preserve">sexual behavior </w:t>
      </w:r>
      <w:r w:rsidRPr="00F70333">
        <w:t xml:space="preserve">for the purposes of establishing the level of back pain.  This question is part of the NASS instrument has </w:t>
      </w:r>
      <w:r w:rsidRPr="00F70333">
        <w:lastRenderedPageBreak/>
        <w:t>been found to have acceptability, high re-test reliability, internal reliability, and validity for low back pain and disability in multiple language translations (</w:t>
      </w:r>
      <w:proofErr w:type="spellStart"/>
      <w:r w:rsidRPr="00F70333">
        <w:t>Daltroy</w:t>
      </w:r>
      <w:proofErr w:type="spellEnd"/>
      <w:r w:rsidRPr="00F70333">
        <w:t xml:space="preserve"> et al 1996; </w:t>
      </w:r>
      <w:proofErr w:type="spellStart"/>
      <w:r w:rsidRPr="00F70333">
        <w:t>Schochat</w:t>
      </w:r>
      <w:proofErr w:type="spellEnd"/>
      <w:r w:rsidRPr="00F70333">
        <w:t xml:space="preserve"> et al 2000; Pose et al 1999; Padua et al 2001; </w:t>
      </w:r>
      <w:proofErr w:type="spellStart"/>
      <w:r w:rsidRPr="00F70333">
        <w:t>Bosković</w:t>
      </w:r>
      <w:proofErr w:type="spellEnd"/>
      <w:r w:rsidRPr="00F70333">
        <w:t xml:space="preserve"> et al 2009; Schneider et al 2007; </w:t>
      </w:r>
      <w:proofErr w:type="spellStart"/>
      <w:r w:rsidRPr="00F70333">
        <w:t>Schluessmann</w:t>
      </w:r>
      <w:proofErr w:type="spellEnd"/>
      <w:r w:rsidRPr="00F70333">
        <w:t xml:space="preserve"> et al 2009; </w:t>
      </w:r>
      <w:proofErr w:type="spellStart"/>
      <w:r w:rsidRPr="00F70333">
        <w:t>Sigl</w:t>
      </w:r>
      <w:proofErr w:type="spellEnd"/>
      <w:r w:rsidRPr="00F70333">
        <w:t xml:space="preserve"> et al 2006; </w:t>
      </w:r>
      <w:proofErr w:type="spellStart"/>
      <w:r w:rsidRPr="00F70333">
        <w:t>Weigl</w:t>
      </w:r>
      <w:proofErr w:type="spellEnd"/>
      <w:r w:rsidRPr="00F70333">
        <w:t xml:space="preserve"> et al 2006; Schaeren et al 2005). To remove this question may negatively affect the scoring of the questionnaire and comparisons to numerous other studies that have used the questionnaire with this particular question.</w:t>
      </w:r>
      <w:r w:rsidR="0038553A" w:rsidRPr="00F70333">
        <w:t xml:space="preserve"> Answering these questions poses little risk to the driver since </w:t>
      </w:r>
      <w:r w:rsidRPr="00F70333">
        <w:t>all NASS questionnaire</w:t>
      </w:r>
      <w:r w:rsidR="002B4177" w:rsidRPr="00F70333">
        <w:t>s</w:t>
      </w:r>
      <w:r w:rsidRPr="00F70333">
        <w:t xml:space="preserve"> will be coded </w:t>
      </w:r>
      <w:r w:rsidR="002B4177" w:rsidRPr="00F70333">
        <w:t xml:space="preserve">with a participant ID </w:t>
      </w:r>
      <w:r w:rsidRPr="00F70333">
        <w:t xml:space="preserve">and only linked to data of individually </w:t>
      </w:r>
      <w:r w:rsidR="004B06D2" w:rsidRPr="00F70333">
        <w:t>identifiable form (</w:t>
      </w:r>
      <w:r w:rsidR="0038553A" w:rsidRPr="00F70333">
        <w:t>IIF</w:t>
      </w:r>
      <w:r w:rsidR="004B06D2" w:rsidRPr="00F70333">
        <w:t>)</w:t>
      </w:r>
      <w:r w:rsidRPr="00F70333">
        <w:t xml:space="preserve"> that is being collected for the informed consent process</w:t>
      </w:r>
      <w:r w:rsidR="0038553A" w:rsidRPr="00F70333">
        <w:t>.</w:t>
      </w:r>
    </w:p>
    <w:p w:rsidR="0038553A" w:rsidRPr="00F70333" w:rsidRDefault="0038553A" w:rsidP="0038553A">
      <w:pPr>
        <w:pStyle w:val="Heading2"/>
        <w:rPr>
          <w:b w:val="0"/>
        </w:rPr>
      </w:pPr>
      <w:bookmarkStart w:id="41" w:name="_Toc239826784"/>
      <w:bookmarkStart w:id="42" w:name="_Toc248821751"/>
      <w:bookmarkStart w:id="43" w:name="_Toc261966295"/>
      <w:r w:rsidRPr="00F70333">
        <w:rPr>
          <w:b w:val="0"/>
        </w:rPr>
        <w:t>A12.</w:t>
      </w:r>
      <w:r w:rsidRPr="00F70333">
        <w:rPr>
          <w:b w:val="0"/>
        </w:rPr>
        <w:tab/>
        <w:t>Estimates of Annualized Burden Hours and Costs</w:t>
      </w:r>
      <w:bookmarkEnd w:id="41"/>
      <w:bookmarkEnd w:id="42"/>
      <w:bookmarkEnd w:id="43"/>
    </w:p>
    <w:p w:rsidR="007979EA" w:rsidRPr="00F70333" w:rsidRDefault="007979EA" w:rsidP="0038553A"/>
    <w:p w:rsidR="0038553A" w:rsidRPr="00F70333" w:rsidRDefault="0038553A" w:rsidP="0038553A">
      <w:r w:rsidRPr="00F70333">
        <w:t>A. Annualized Burden to Respondents</w:t>
      </w:r>
    </w:p>
    <w:p w:rsidR="0038553A" w:rsidRPr="00F70333" w:rsidRDefault="0038553A" w:rsidP="0038553A"/>
    <w:p w:rsidR="0038553A" w:rsidRPr="00F70333" w:rsidRDefault="0038553A" w:rsidP="0038553A">
      <w:r w:rsidRPr="00F70333">
        <w:t>No direct costs will accrue to respondents other than their time to complete the survey. We estimate that</w:t>
      </w:r>
      <w:r w:rsidR="0025199E" w:rsidRPr="00F70333">
        <w:t xml:space="preserve"> a </w:t>
      </w:r>
      <w:r w:rsidR="007818E9" w:rsidRPr="00F70333">
        <w:t>maximum of 960 individuals will participant in the MSD intervention data collection</w:t>
      </w:r>
      <w:r w:rsidR="008E2BA5" w:rsidRPr="00F70333">
        <w:t>. This includes 384 individuals per intervention and a 25% uncertainty factor for second-year replacement firms/individuals. It is estimated that 75% of participants will be male based on expected demographics for delivery operations of large items.</w:t>
      </w:r>
      <w:r w:rsidR="00141C61" w:rsidRPr="00F70333">
        <w:t xml:space="preserve"> The hour-burden estimates include the time for reviewing instructions, searching existing data sources, gathering and maintaining the data needed, and completing and reviewing the collection of information. All hour-burden estimates were derived based on estimates reported in the literature for these instruments, from prior CDC-NIOSH studies that utilized these forms, and informal pilot testing. No new formal samples of respondents were performed.</w:t>
      </w:r>
      <w:r w:rsidR="004B06D2" w:rsidRPr="00F70333">
        <w:t xml:space="preserve"> The number of </w:t>
      </w:r>
      <w:r w:rsidR="00141C61" w:rsidRPr="00F70333">
        <w:t>early exit int</w:t>
      </w:r>
      <w:r w:rsidR="004B06D2" w:rsidRPr="00F70333">
        <w:t xml:space="preserve">erviews is based on an estimated </w:t>
      </w:r>
      <w:r w:rsidR="00141C61" w:rsidRPr="00F70333">
        <w:t>11</w:t>
      </w:r>
      <w:r w:rsidR="004B06D2" w:rsidRPr="00F70333">
        <w:t xml:space="preserve">% </w:t>
      </w:r>
      <w:r w:rsidR="00141C61" w:rsidRPr="00F70333">
        <w:t>exit rate</w:t>
      </w:r>
      <w:r w:rsidR="00514252" w:rsidRPr="00F70333">
        <w:t>.</w:t>
      </w:r>
    </w:p>
    <w:p w:rsidR="004B06D2" w:rsidRPr="00F70333" w:rsidRDefault="004B06D2" w:rsidP="0038553A"/>
    <w:p w:rsidR="00514252" w:rsidRPr="00F70333" w:rsidRDefault="00514252" w:rsidP="00514252">
      <w:pPr>
        <w:jc w:val="center"/>
      </w:pPr>
      <w:proofErr w:type="gramStart"/>
      <w:r w:rsidRPr="0059356D">
        <w:t>Table A.12-1.</w:t>
      </w:r>
      <w:proofErr w:type="gramEnd"/>
      <w:r w:rsidRPr="0059356D">
        <w:t xml:space="preserve"> Estimated Annualized Burden to Respondents</w:t>
      </w:r>
    </w:p>
    <w:p w:rsidR="007F1CDE" w:rsidRPr="00F70333" w:rsidRDefault="007F1CDE" w:rsidP="00514252">
      <w:pPr>
        <w:jc w:val="center"/>
      </w:pPr>
    </w:p>
    <w:tbl>
      <w:tblPr>
        <w:tblW w:w="8583" w:type="dxa"/>
        <w:tblInd w:w="98" w:type="dxa"/>
        <w:tblLook w:val="04A0" w:firstRow="1" w:lastRow="0" w:firstColumn="1" w:lastColumn="0" w:noHBand="0" w:noVBand="1"/>
      </w:tblPr>
      <w:tblGrid>
        <w:gridCol w:w="1450"/>
        <w:gridCol w:w="2160"/>
        <w:gridCol w:w="1443"/>
        <w:gridCol w:w="1437"/>
        <w:gridCol w:w="1170"/>
        <w:gridCol w:w="923"/>
      </w:tblGrid>
      <w:tr w:rsidR="00CF3605" w:rsidRPr="00F70333" w:rsidTr="00C84648">
        <w:trPr>
          <w:trHeight w:val="1275"/>
        </w:trPr>
        <w:tc>
          <w:tcPr>
            <w:tcW w:w="1450" w:type="dxa"/>
            <w:tcBorders>
              <w:top w:val="single" w:sz="8" w:space="0" w:color="auto"/>
              <w:left w:val="single" w:sz="8" w:space="0" w:color="auto"/>
              <w:bottom w:val="single" w:sz="8" w:space="0" w:color="auto"/>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Type of Respondent</w:t>
            </w:r>
          </w:p>
        </w:tc>
        <w:tc>
          <w:tcPr>
            <w:tcW w:w="2160" w:type="dxa"/>
            <w:tcBorders>
              <w:top w:val="single" w:sz="8" w:space="0" w:color="auto"/>
              <w:left w:val="nil"/>
              <w:bottom w:val="single" w:sz="8" w:space="0" w:color="auto"/>
              <w:right w:val="single" w:sz="8" w:space="0" w:color="auto"/>
            </w:tcBorders>
            <w:shd w:val="clear" w:color="auto" w:fill="auto"/>
            <w:hideMark/>
          </w:tcPr>
          <w:p w:rsidR="00CF3605" w:rsidRPr="00E0527E" w:rsidRDefault="00CF3605" w:rsidP="00C84648">
            <w:pPr>
              <w:jc w:val="center"/>
              <w:rPr>
                <w:color w:val="000000"/>
              </w:rPr>
            </w:pPr>
            <w:r w:rsidRPr="00E0527E">
              <w:rPr>
                <w:color w:val="000000"/>
              </w:rPr>
              <w:t>Form Name</w:t>
            </w:r>
          </w:p>
        </w:tc>
        <w:tc>
          <w:tcPr>
            <w:tcW w:w="1443" w:type="dxa"/>
            <w:tcBorders>
              <w:top w:val="single" w:sz="8" w:space="0" w:color="auto"/>
              <w:left w:val="nil"/>
              <w:bottom w:val="single" w:sz="8" w:space="0" w:color="auto"/>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Number of Respondents</w:t>
            </w:r>
          </w:p>
        </w:tc>
        <w:tc>
          <w:tcPr>
            <w:tcW w:w="1437" w:type="dxa"/>
            <w:tcBorders>
              <w:top w:val="single" w:sz="8" w:space="0" w:color="auto"/>
              <w:left w:val="nil"/>
              <w:bottom w:val="single" w:sz="8" w:space="0" w:color="auto"/>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Number of Responses per Respondent</w:t>
            </w:r>
          </w:p>
        </w:tc>
        <w:tc>
          <w:tcPr>
            <w:tcW w:w="1170" w:type="dxa"/>
            <w:tcBorders>
              <w:top w:val="single" w:sz="8" w:space="0" w:color="auto"/>
              <w:left w:val="nil"/>
              <w:bottom w:val="single" w:sz="8" w:space="0" w:color="auto"/>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Avg. Burden per Response (in hours)</w:t>
            </w:r>
          </w:p>
        </w:tc>
        <w:tc>
          <w:tcPr>
            <w:tcW w:w="923" w:type="dxa"/>
            <w:tcBorders>
              <w:top w:val="single" w:sz="8" w:space="0" w:color="auto"/>
              <w:left w:val="nil"/>
              <w:bottom w:val="single" w:sz="8" w:space="0" w:color="auto"/>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Total Burden (in hours)</w:t>
            </w:r>
          </w:p>
        </w:tc>
      </w:tr>
      <w:tr w:rsidR="00CF3605" w:rsidRPr="00C24BFB" w:rsidTr="00C84648">
        <w:trPr>
          <w:trHeight w:val="645"/>
        </w:trPr>
        <w:tc>
          <w:tcPr>
            <w:tcW w:w="1450" w:type="dxa"/>
            <w:vMerge w:val="restart"/>
            <w:tcBorders>
              <w:top w:val="nil"/>
              <w:left w:val="single" w:sz="8" w:space="0" w:color="auto"/>
              <w:bottom w:val="single" w:sz="8" w:space="0" w:color="000000"/>
              <w:right w:val="single" w:sz="8" w:space="0" w:color="auto"/>
            </w:tcBorders>
            <w:shd w:val="clear" w:color="auto" w:fill="auto"/>
            <w:vAlign w:val="center"/>
            <w:hideMark/>
          </w:tcPr>
          <w:p w:rsidR="00CF3605" w:rsidRPr="00C24BFB" w:rsidRDefault="00CF3605" w:rsidP="00C84648">
            <w:pPr>
              <w:jc w:val="center"/>
              <w:rPr>
                <w:color w:val="000000"/>
                <w:highlight w:val="yellow"/>
              </w:rPr>
            </w:pPr>
            <w:r w:rsidRPr="006046D1">
              <w:rPr>
                <w:color w:val="000000"/>
              </w:rPr>
              <w:t>Delivery Workers in Wholesale/ Retail Trade (WRT) Operations</w:t>
            </w:r>
          </w:p>
        </w:tc>
        <w:tc>
          <w:tcPr>
            <w:tcW w:w="2160" w:type="dxa"/>
            <w:tcBorders>
              <w:top w:val="nil"/>
              <w:left w:val="nil"/>
              <w:bottom w:val="nil"/>
              <w:right w:val="single" w:sz="8" w:space="0" w:color="auto"/>
            </w:tcBorders>
            <w:shd w:val="clear" w:color="auto" w:fill="auto"/>
            <w:hideMark/>
          </w:tcPr>
          <w:p w:rsidR="00CF3605" w:rsidRPr="00E0527E" w:rsidRDefault="00CF3605" w:rsidP="00C84648">
            <w:pPr>
              <w:jc w:val="center"/>
              <w:rPr>
                <w:color w:val="000000"/>
              </w:rPr>
            </w:pPr>
            <w:r w:rsidRPr="00E0527E">
              <w:rPr>
                <w:color w:val="000000"/>
              </w:rPr>
              <w:t>Self-reported low back pain</w:t>
            </w:r>
          </w:p>
        </w:tc>
        <w:tc>
          <w:tcPr>
            <w:tcW w:w="1443" w:type="dxa"/>
            <w:tcBorders>
              <w:top w:val="nil"/>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960</w:t>
            </w:r>
          </w:p>
        </w:tc>
        <w:tc>
          <w:tcPr>
            <w:tcW w:w="1437" w:type="dxa"/>
            <w:tcBorders>
              <w:top w:val="nil"/>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4.5</w:t>
            </w:r>
          </w:p>
        </w:tc>
        <w:tc>
          <w:tcPr>
            <w:tcW w:w="1170" w:type="dxa"/>
            <w:tcBorders>
              <w:top w:val="nil"/>
              <w:left w:val="nil"/>
              <w:bottom w:val="nil"/>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5/60</w:t>
            </w:r>
          </w:p>
        </w:tc>
        <w:tc>
          <w:tcPr>
            <w:tcW w:w="923" w:type="dxa"/>
            <w:tcBorders>
              <w:top w:val="nil"/>
              <w:left w:val="nil"/>
              <w:bottom w:val="nil"/>
              <w:right w:val="single" w:sz="8" w:space="0" w:color="auto"/>
            </w:tcBorders>
            <w:shd w:val="clear" w:color="auto" w:fill="auto"/>
            <w:hideMark/>
          </w:tcPr>
          <w:p w:rsidR="00CF3605" w:rsidRPr="006046D1" w:rsidRDefault="00CF3605" w:rsidP="00C84648">
            <w:pPr>
              <w:jc w:val="center"/>
            </w:pPr>
            <w:r w:rsidRPr="006046D1">
              <w:t>360</w:t>
            </w:r>
          </w:p>
        </w:tc>
      </w:tr>
      <w:tr w:rsidR="00CF3605" w:rsidRPr="00C24BFB" w:rsidTr="00C84648">
        <w:trPr>
          <w:trHeight w:val="735"/>
        </w:trPr>
        <w:tc>
          <w:tcPr>
            <w:tcW w:w="1450" w:type="dxa"/>
            <w:vMerge/>
            <w:tcBorders>
              <w:top w:val="nil"/>
              <w:left w:val="single" w:sz="8" w:space="0" w:color="auto"/>
              <w:bottom w:val="single" w:sz="8" w:space="0" w:color="000000"/>
              <w:right w:val="single" w:sz="8" w:space="0" w:color="auto"/>
            </w:tcBorders>
            <w:vAlign w:val="center"/>
            <w:hideMark/>
          </w:tcPr>
          <w:p w:rsidR="00CF3605" w:rsidRPr="00C24BFB" w:rsidRDefault="00CF3605" w:rsidP="00C84648">
            <w:pPr>
              <w:rPr>
                <w:color w:val="000000"/>
                <w:highlight w:val="yellow"/>
              </w:rPr>
            </w:pPr>
          </w:p>
        </w:tc>
        <w:tc>
          <w:tcPr>
            <w:tcW w:w="2160" w:type="dxa"/>
            <w:tcBorders>
              <w:top w:val="single" w:sz="8" w:space="0" w:color="auto"/>
              <w:left w:val="nil"/>
              <w:bottom w:val="single" w:sz="8" w:space="0" w:color="auto"/>
              <w:right w:val="single" w:sz="8" w:space="0" w:color="auto"/>
            </w:tcBorders>
            <w:shd w:val="clear" w:color="auto" w:fill="auto"/>
            <w:hideMark/>
          </w:tcPr>
          <w:p w:rsidR="00CF3605" w:rsidRPr="00E0527E" w:rsidRDefault="00CF3605" w:rsidP="00C84648">
            <w:pPr>
              <w:jc w:val="center"/>
              <w:rPr>
                <w:color w:val="000000"/>
              </w:rPr>
            </w:pPr>
            <w:r w:rsidRPr="00E0527E">
              <w:rPr>
                <w:color w:val="000000"/>
              </w:rPr>
              <w:t>Self-reported upper extremity pain</w:t>
            </w:r>
          </w:p>
        </w:tc>
        <w:tc>
          <w:tcPr>
            <w:tcW w:w="1443" w:type="dxa"/>
            <w:tcBorders>
              <w:top w:val="nil"/>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960</w:t>
            </w:r>
          </w:p>
        </w:tc>
        <w:tc>
          <w:tcPr>
            <w:tcW w:w="1437" w:type="dxa"/>
            <w:tcBorders>
              <w:top w:val="nil"/>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4.5</w:t>
            </w:r>
          </w:p>
        </w:tc>
        <w:tc>
          <w:tcPr>
            <w:tcW w:w="1170" w:type="dxa"/>
            <w:tcBorders>
              <w:top w:val="single" w:sz="8" w:space="0" w:color="auto"/>
              <w:left w:val="nil"/>
              <w:bottom w:val="nil"/>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5/60</w:t>
            </w:r>
          </w:p>
        </w:tc>
        <w:tc>
          <w:tcPr>
            <w:tcW w:w="923" w:type="dxa"/>
            <w:tcBorders>
              <w:top w:val="single" w:sz="8" w:space="0" w:color="auto"/>
              <w:left w:val="nil"/>
              <w:bottom w:val="nil"/>
              <w:right w:val="single" w:sz="8" w:space="0" w:color="auto"/>
            </w:tcBorders>
            <w:shd w:val="clear" w:color="auto" w:fill="auto"/>
            <w:hideMark/>
          </w:tcPr>
          <w:p w:rsidR="00CF3605" w:rsidRPr="006046D1" w:rsidRDefault="00CF3605" w:rsidP="00C84648">
            <w:pPr>
              <w:jc w:val="center"/>
            </w:pPr>
            <w:r w:rsidRPr="006046D1">
              <w:t>360</w:t>
            </w:r>
          </w:p>
        </w:tc>
      </w:tr>
      <w:tr w:rsidR="00CF3605" w:rsidRPr="00C24BFB" w:rsidTr="00C84648">
        <w:trPr>
          <w:trHeight w:val="1095"/>
        </w:trPr>
        <w:tc>
          <w:tcPr>
            <w:tcW w:w="1450" w:type="dxa"/>
            <w:vMerge/>
            <w:tcBorders>
              <w:top w:val="nil"/>
              <w:left w:val="single" w:sz="8" w:space="0" w:color="auto"/>
              <w:bottom w:val="single" w:sz="8" w:space="0" w:color="000000"/>
              <w:right w:val="single" w:sz="8" w:space="0" w:color="auto"/>
            </w:tcBorders>
            <w:vAlign w:val="center"/>
            <w:hideMark/>
          </w:tcPr>
          <w:p w:rsidR="00CF3605" w:rsidRPr="00C24BFB" w:rsidRDefault="00CF3605" w:rsidP="00C84648">
            <w:pPr>
              <w:rPr>
                <w:color w:val="000000"/>
                <w:highlight w:val="yellow"/>
              </w:rPr>
            </w:pPr>
          </w:p>
        </w:tc>
        <w:tc>
          <w:tcPr>
            <w:tcW w:w="2160" w:type="dxa"/>
            <w:tcBorders>
              <w:top w:val="nil"/>
              <w:left w:val="nil"/>
              <w:bottom w:val="single" w:sz="8" w:space="0" w:color="auto"/>
              <w:right w:val="single" w:sz="8" w:space="0" w:color="auto"/>
            </w:tcBorders>
            <w:shd w:val="clear" w:color="auto" w:fill="auto"/>
            <w:hideMark/>
          </w:tcPr>
          <w:p w:rsidR="00CF3605" w:rsidRPr="00E0527E" w:rsidRDefault="00CF3605" w:rsidP="00C84648">
            <w:pPr>
              <w:jc w:val="center"/>
              <w:rPr>
                <w:color w:val="000000"/>
              </w:rPr>
            </w:pPr>
            <w:r w:rsidRPr="00E0527E">
              <w:rPr>
                <w:color w:val="000000"/>
              </w:rPr>
              <w:t>Self-reported specific job tasks and safety incidents</w:t>
            </w:r>
          </w:p>
        </w:tc>
        <w:tc>
          <w:tcPr>
            <w:tcW w:w="1443" w:type="dxa"/>
            <w:tcBorders>
              <w:top w:val="nil"/>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960</w:t>
            </w:r>
          </w:p>
        </w:tc>
        <w:tc>
          <w:tcPr>
            <w:tcW w:w="1437" w:type="dxa"/>
            <w:tcBorders>
              <w:top w:val="nil"/>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4.5</w:t>
            </w:r>
          </w:p>
        </w:tc>
        <w:tc>
          <w:tcPr>
            <w:tcW w:w="1170" w:type="dxa"/>
            <w:tcBorders>
              <w:top w:val="single" w:sz="8" w:space="0" w:color="auto"/>
              <w:left w:val="nil"/>
              <w:bottom w:val="nil"/>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5/60</w:t>
            </w:r>
          </w:p>
        </w:tc>
        <w:tc>
          <w:tcPr>
            <w:tcW w:w="923" w:type="dxa"/>
            <w:tcBorders>
              <w:top w:val="single" w:sz="8" w:space="0" w:color="auto"/>
              <w:left w:val="nil"/>
              <w:bottom w:val="nil"/>
              <w:right w:val="single" w:sz="8" w:space="0" w:color="auto"/>
            </w:tcBorders>
            <w:shd w:val="clear" w:color="auto" w:fill="auto"/>
            <w:hideMark/>
          </w:tcPr>
          <w:p w:rsidR="00CF3605" w:rsidRPr="006046D1" w:rsidRDefault="00CF3605" w:rsidP="00C84648">
            <w:pPr>
              <w:jc w:val="center"/>
            </w:pPr>
            <w:r w:rsidRPr="006046D1">
              <w:t>360</w:t>
            </w:r>
          </w:p>
        </w:tc>
      </w:tr>
      <w:tr w:rsidR="00CF3605" w:rsidRPr="00C24BFB" w:rsidTr="00C84648">
        <w:trPr>
          <w:trHeight w:val="960"/>
        </w:trPr>
        <w:tc>
          <w:tcPr>
            <w:tcW w:w="1450" w:type="dxa"/>
            <w:vMerge/>
            <w:tcBorders>
              <w:top w:val="nil"/>
              <w:left w:val="single" w:sz="8" w:space="0" w:color="auto"/>
              <w:bottom w:val="single" w:sz="8" w:space="0" w:color="000000"/>
              <w:right w:val="single" w:sz="8" w:space="0" w:color="auto"/>
            </w:tcBorders>
            <w:vAlign w:val="center"/>
            <w:hideMark/>
          </w:tcPr>
          <w:p w:rsidR="00CF3605" w:rsidRPr="00C24BFB" w:rsidRDefault="00CF3605" w:rsidP="00C84648">
            <w:pPr>
              <w:rPr>
                <w:color w:val="000000"/>
                <w:highlight w:val="yellow"/>
              </w:rPr>
            </w:pPr>
          </w:p>
        </w:tc>
        <w:tc>
          <w:tcPr>
            <w:tcW w:w="2160" w:type="dxa"/>
            <w:tcBorders>
              <w:top w:val="nil"/>
              <w:left w:val="nil"/>
              <w:bottom w:val="single" w:sz="8" w:space="0" w:color="auto"/>
              <w:right w:val="single" w:sz="8" w:space="0" w:color="auto"/>
            </w:tcBorders>
            <w:shd w:val="clear" w:color="auto" w:fill="auto"/>
            <w:hideMark/>
          </w:tcPr>
          <w:p w:rsidR="00CF3605" w:rsidRPr="00E0527E" w:rsidRDefault="00CF3605" w:rsidP="00C84648">
            <w:pPr>
              <w:jc w:val="center"/>
              <w:rPr>
                <w:color w:val="000000"/>
              </w:rPr>
            </w:pPr>
            <w:r w:rsidRPr="00E0527E">
              <w:rPr>
                <w:color w:val="000000"/>
              </w:rPr>
              <w:t>Self-reported general work environment and health</w:t>
            </w:r>
          </w:p>
        </w:tc>
        <w:tc>
          <w:tcPr>
            <w:tcW w:w="1443" w:type="dxa"/>
            <w:tcBorders>
              <w:top w:val="nil"/>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960</w:t>
            </w:r>
          </w:p>
        </w:tc>
        <w:tc>
          <w:tcPr>
            <w:tcW w:w="1437" w:type="dxa"/>
            <w:tcBorders>
              <w:top w:val="nil"/>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Pr>
                <w:color w:val="000000"/>
              </w:rPr>
              <w:t>1.5</w:t>
            </w:r>
          </w:p>
        </w:tc>
        <w:tc>
          <w:tcPr>
            <w:tcW w:w="1170" w:type="dxa"/>
            <w:tcBorders>
              <w:top w:val="single" w:sz="8" w:space="0" w:color="auto"/>
              <w:left w:val="nil"/>
              <w:bottom w:val="nil"/>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10/60</w:t>
            </w:r>
          </w:p>
        </w:tc>
        <w:tc>
          <w:tcPr>
            <w:tcW w:w="923" w:type="dxa"/>
            <w:tcBorders>
              <w:top w:val="single" w:sz="8" w:space="0" w:color="auto"/>
              <w:left w:val="nil"/>
              <w:bottom w:val="nil"/>
              <w:right w:val="single" w:sz="8" w:space="0" w:color="auto"/>
            </w:tcBorders>
            <w:shd w:val="clear" w:color="auto" w:fill="auto"/>
            <w:hideMark/>
          </w:tcPr>
          <w:p w:rsidR="00CF3605" w:rsidRPr="006046D1" w:rsidRDefault="00CF3605" w:rsidP="00C84648">
            <w:pPr>
              <w:jc w:val="center"/>
            </w:pPr>
            <w:r>
              <w:t>240</w:t>
            </w:r>
          </w:p>
        </w:tc>
      </w:tr>
      <w:tr w:rsidR="00CF3605" w:rsidRPr="00C24BFB" w:rsidTr="00C84648">
        <w:trPr>
          <w:trHeight w:val="645"/>
        </w:trPr>
        <w:tc>
          <w:tcPr>
            <w:tcW w:w="1450" w:type="dxa"/>
            <w:vMerge/>
            <w:tcBorders>
              <w:top w:val="nil"/>
              <w:left w:val="single" w:sz="8" w:space="0" w:color="auto"/>
              <w:bottom w:val="single" w:sz="8" w:space="0" w:color="000000"/>
              <w:right w:val="single" w:sz="8" w:space="0" w:color="auto"/>
            </w:tcBorders>
            <w:vAlign w:val="center"/>
            <w:hideMark/>
          </w:tcPr>
          <w:p w:rsidR="00CF3605" w:rsidRPr="00C24BFB" w:rsidRDefault="00CF3605" w:rsidP="00C84648">
            <w:pPr>
              <w:rPr>
                <w:color w:val="000000"/>
                <w:highlight w:val="yellow"/>
              </w:rPr>
            </w:pPr>
          </w:p>
        </w:tc>
        <w:tc>
          <w:tcPr>
            <w:tcW w:w="2160" w:type="dxa"/>
            <w:tcBorders>
              <w:top w:val="nil"/>
              <w:left w:val="nil"/>
              <w:bottom w:val="single" w:sz="8" w:space="0" w:color="auto"/>
              <w:right w:val="single" w:sz="8" w:space="0" w:color="auto"/>
            </w:tcBorders>
            <w:shd w:val="clear" w:color="auto" w:fill="auto"/>
            <w:hideMark/>
          </w:tcPr>
          <w:p w:rsidR="00CF3605" w:rsidRPr="00E0527E" w:rsidRDefault="00CF3605" w:rsidP="00C84648">
            <w:pPr>
              <w:jc w:val="center"/>
              <w:rPr>
                <w:color w:val="000000"/>
              </w:rPr>
            </w:pPr>
            <w:r w:rsidRPr="00E0527E">
              <w:rPr>
                <w:color w:val="000000"/>
              </w:rPr>
              <w:t xml:space="preserve">Informed Consent Form </w:t>
            </w:r>
          </w:p>
          <w:p w:rsidR="00CF3605" w:rsidRPr="00E0527E" w:rsidRDefault="00CF3605" w:rsidP="00C84648">
            <w:pPr>
              <w:jc w:val="center"/>
              <w:rPr>
                <w:color w:val="000000"/>
              </w:rPr>
            </w:pPr>
            <w:r w:rsidRPr="00E0527E">
              <w:rPr>
                <w:color w:val="000000"/>
              </w:rPr>
              <w:t>(Overall Study)</w:t>
            </w:r>
          </w:p>
        </w:tc>
        <w:tc>
          <w:tcPr>
            <w:tcW w:w="1443" w:type="dxa"/>
            <w:tcBorders>
              <w:top w:val="nil"/>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960</w:t>
            </w:r>
          </w:p>
        </w:tc>
        <w:tc>
          <w:tcPr>
            <w:tcW w:w="1437" w:type="dxa"/>
            <w:tcBorders>
              <w:top w:val="nil"/>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Pr>
                <w:color w:val="000000"/>
              </w:rPr>
              <w:t>.5</w:t>
            </w:r>
          </w:p>
        </w:tc>
        <w:tc>
          <w:tcPr>
            <w:tcW w:w="1170" w:type="dxa"/>
            <w:tcBorders>
              <w:top w:val="single" w:sz="8" w:space="0" w:color="auto"/>
              <w:left w:val="nil"/>
              <w:bottom w:val="nil"/>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5/60</w:t>
            </w:r>
          </w:p>
        </w:tc>
        <w:tc>
          <w:tcPr>
            <w:tcW w:w="923" w:type="dxa"/>
            <w:tcBorders>
              <w:top w:val="single" w:sz="8" w:space="0" w:color="auto"/>
              <w:left w:val="nil"/>
              <w:bottom w:val="nil"/>
              <w:right w:val="single" w:sz="8" w:space="0" w:color="auto"/>
            </w:tcBorders>
            <w:shd w:val="clear" w:color="auto" w:fill="auto"/>
            <w:hideMark/>
          </w:tcPr>
          <w:p w:rsidR="00CF3605" w:rsidRPr="006046D1" w:rsidRDefault="00CF3605" w:rsidP="00C84648">
            <w:pPr>
              <w:jc w:val="center"/>
            </w:pPr>
            <w:r>
              <w:t>4</w:t>
            </w:r>
            <w:r w:rsidRPr="006046D1">
              <w:t>0</w:t>
            </w:r>
          </w:p>
        </w:tc>
      </w:tr>
      <w:tr w:rsidR="00CF3605" w:rsidRPr="00C24BFB" w:rsidTr="00C84648">
        <w:trPr>
          <w:trHeight w:val="645"/>
        </w:trPr>
        <w:tc>
          <w:tcPr>
            <w:tcW w:w="1450" w:type="dxa"/>
            <w:vMerge/>
            <w:tcBorders>
              <w:top w:val="nil"/>
              <w:left w:val="single" w:sz="8" w:space="0" w:color="auto"/>
              <w:bottom w:val="single" w:sz="8" w:space="0" w:color="000000"/>
              <w:right w:val="single" w:sz="8" w:space="0" w:color="auto"/>
            </w:tcBorders>
            <w:vAlign w:val="center"/>
            <w:hideMark/>
          </w:tcPr>
          <w:p w:rsidR="00CF3605" w:rsidRPr="00C24BFB" w:rsidRDefault="00CF3605" w:rsidP="00C84648">
            <w:pPr>
              <w:rPr>
                <w:color w:val="000000"/>
                <w:highlight w:val="yellow"/>
              </w:rPr>
            </w:pPr>
          </w:p>
        </w:tc>
        <w:tc>
          <w:tcPr>
            <w:tcW w:w="2160" w:type="dxa"/>
            <w:tcBorders>
              <w:top w:val="nil"/>
              <w:left w:val="nil"/>
              <w:bottom w:val="single" w:sz="8" w:space="0" w:color="auto"/>
              <w:right w:val="single" w:sz="8" w:space="0" w:color="auto"/>
            </w:tcBorders>
            <w:shd w:val="clear" w:color="auto" w:fill="auto"/>
            <w:hideMark/>
          </w:tcPr>
          <w:p w:rsidR="00CF3605" w:rsidRPr="00E0527E" w:rsidRDefault="00CF3605" w:rsidP="00C84648">
            <w:pPr>
              <w:jc w:val="center"/>
              <w:rPr>
                <w:color w:val="000000"/>
              </w:rPr>
            </w:pPr>
            <w:r w:rsidRPr="00E0527E">
              <w:rPr>
                <w:color w:val="000000"/>
              </w:rPr>
              <w:t>Low Back Functional Assessment</w:t>
            </w:r>
          </w:p>
        </w:tc>
        <w:tc>
          <w:tcPr>
            <w:tcW w:w="1443" w:type="dxa"/>
            <w:tcBorders>
              <w:top w:val="nil"/>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192</w:t>
            </w:r>
          </w:p>
        </w:tc>
        <w:tc>
          <w:tcPr>
            <w:tcW w:w="1437" w:type="dxa"/>
            <w:tcBorders>
              <w:top w:val="nil"/>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Pr>
                <w:color w:val="000000"/>
              </w:rPr>
              <w:t>1.5</w:t>
            </w:r>
          </w:p>
        </w:tc>
        <w:tc>
          <w:tcPr>
            <w:tcW w:w="1170" w:type="dxa"/>
            <w:tcBorders>
              <w:top w:val="single" w:sz="8" w:space="0" w:color="auto"/>
              <w:left w:val="nil"/>
              <w:bottom w:val="nil"/>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20/60</w:t>
            </w:r>
          </w:p>
        </w:tc>
        <w:tc>
          <w:tcPr>
            <w:tcW w:w="923" w:type="dxa"/>
            <w:tcBorders>
              <w:top w:val="single" w:sz="8" w:space="0" w:color="auto"/>
              <w:left w:val="nil"/>
              <w:bottom w:val="nil"/>
              <w:right w:val="single" w:sz="8" w:space="0" w:color="auto"/>
            </w:tcBorders>
            <w:shd w:val="clear" w:color="auto" w:fill="auto"/>
            <w:hideMark/>
          </w:tcPr>
          <w:p w:rsidR="00CF3605" w:rsidRPr="006046D1" w:rsidRDefault="00CF3605" w:rsidP="00C84648">
            <w:pPr>
              <w:jc w:val="center"/>
            </w:pPr>
            <w:r>
              <w:t>96</w:t>
            </w:r>
          </w:p>
        </w:tc>
      </w:tr>
      <w:tr w:rsidR="00CF3605" w:rsidRPr="00C24BFB" w:rsidTr="00C84648">
        <w:trPr>
          <w:trHeight w:val="1275"/>
        </w:trPr>
        <w:tc>
          <w:tcPr>
            <w:tcW w:w="1450" w:type="dxa"/>
            <w:vMerge/>
            <w:tcBorders>
              <w:top w:val="nil"/>
              <w:left w:val="single" w:sz="8" w:space="0" w:color="auto"/>
              <w:bottom w:val="single" w:sz="8" w:space="0" w:color="000000"/>
              <w:right w:val="single" w:sz="8" w:space="0" w:color="auto"/>
            </w:tcBorders>
            <w:vAlign w:val="center"/>
            <w:hideMark/>
          </w:tcPr>
          <w:p w:rsidR="00CF3605" w:rsidRPr="00C24BFB" w:rsidRDefault="00CF3605" w:rsidP="00C84648">
            <w:pPr>
              <w:rPr>
                <w:color w:val="000000"/>
                <w:highlight w:val="yellow"/>
              </w:rPr>
            </w:pPr>
          </w:p>
        </w:tc>
        <w:tc>
          <w:tcPr>
            <w:tcW w:w="2160" w:type="dxa"/>
            <w:tcBorders>
              <w:top w:val="nil"/>
              <w:left w:val="nil"/>
              <w:bottom w:val="single" w:sz="8" w:space="0" w:color="auto"/>
              <w:right w:val="single" w:sz="8" w:space="0" w:color="auto"/>
            </w:tcBorders>
            <w:shd w:val="clear" w:color="auto" w:fill="auto"/>
            <w:hideMark/>
          </w:tcPr>
          <w:p w:rsidR="00CF3605" w:rsidRPr="00E0527E" w:rsidRDefault="00CF3605" w:rsidP="00C84648">
            <w:pPr>
              <w:jc w:val="center"/>
              <w:rPr>
                <w:color w:val="000000"/>
              </w:rPr>
            </w:pPr>
            <w:r w:rsidRPr="00E0527E">
              <w:rPr>
                <w:color w:val="000000"/>
              </w:rPr>
              <w:t xml:space="preserve">Informed Consent Form </w:t>
            </w:r>
          </w:p>
          <w:p w:rsidR="00CF3605" w:rsidRPr="00E0527E" w:rsidRDefault="00CF3605" w:rsidP="00C84648">
            <w:pPr>
              <w:jc w:val="center"/>
              <w:rPr>
                <w:color w:val="000000"/>
              </w:rPr>
            </w:pPr>
            <w:r w:rsidRPr="00E0527E">
              <w:rPr>
                <w:color w:val="000000"/>
              </w:rPr>
              <w:t>(Low Back Functional Assessment)</w:t>
            </w:r>
          </w:p>
        </w:tc>
        <w:tc>
          <w:tcPr>
            <w:tcW w:w="1443" w:type="dxa"/>
            <w:tcBorders>
              <w:top w:val="nil"/>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960</w:t>
            </w:r>
          </w:p>
        </w:tc>
        <w:tc>
          <w:tcPr>
            <w:tcW w:w="1437" w:type="dxa"/>
            <w:tcBorders>
              <w:top w:val="nil"/>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Pr>
                <w:color w:val="000000"/>
              </w:rPr>
              <w:t>.5</w:t>
            </w:r>
          </w:p>
        </w:tc>
        <w:tc>
          <w:tcPr>
            <w:tcW w:w="1170" w:type="dxa"/>
            <w:tcBorders>
              <w:top w:val="single" w:sz="8" w:space="0" w:color="auto"/>
              <w:left w:val="nil"/>
              <w:bottom w:val="nil"/>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5/60</w:t>
            </w:r>
          </w:p>
        </w:tc>
        <w:tc>
          <w:tcPr>
            <w:tcW w:w="923" w:type="dxa"/>
            <w:tcBorders>
              <w:top w:val="single" w:sz="8" w:space="0" w:color="auto"/>
              <w:left w:val="nil"/>
              <w:bottom w:val="nil"/>
              <w:right w:val="single" w:sz="8" w:space="0" w:color="auto"/>
            </w:tcBorders>
            <w:shd w:val="clear" w:color="auto" w:fill="auto"/>
            <w:hideMark/>
          </w:tcPr>
          <w:p w:rsidR="00CF3605" w:rsidRPr="006046D1" w:rsidRDefault="00CF3605" w:rsidP="00C84648">
            <w:pPr>
              <w:jc w:val="center"/>
            </w:pPr>
            <w:r>
              <w:t>4</w:t>
            </w:r>
            <w:r w:rsidRPr="006046D1">
              <w:t>0</w:t>
            </w:r>
          </w:p>
        </w:tc>
      </w:tr>
      <w:tr w:rsidR="00CF3605" w:rsidRPr="00C24BFB" w:rsidTr="00C84648">
        <w:trPr>
          <w:trHeight w:val="330"/>
        </w:trPr>
        <w:tc>
          <w:tcPr>
            <w:tcW w:w="1450" w:type="dxa"/>
            <w:vMerge/>
            <w:tcBorders>
              <w:top w:val="nil"/>
              <w:left w:val="single" w:sz="8" w:space="0" w:color="auto"/>
              <w:bottom w:val="single" w:sz="8" w:space="0" w:color="000000"/>
              <w:right w:val="single" w:sz="8" w:space="0" w:color="auto"/>
            </w:tcBorders>
            <w:vAlign w:val="center"/>
            <w:hideMark/>
          </w:tcPr>
          <w:p w:rsidR="00CF3605" w:rsidRPr="00C24BFB" w:rsidRDefault="00CF3605" w:rsidP="00C84648">
            <w:pPr>
              <w:rPr>
                <w:color w:val="000000"/>
                <w:highlight w:val="yellow"/>
              </w:rPr>
            </w:pPr>
          </w:p>
        </w:tc>
        <w:tc>
          <w:tcPr>
            <w:tcW w:w="2160" w:type="dxa"/>
            <w:tcBorders>
              <w:top w:val="nil"/>
              <w:left w:val="nil"/>
              <w:bottom w:val="single" w:sz="8" w:space="0" w:color="auto"/>
              <w:right w:val="single" w:sz="8" w:space="0" w:color="auto"/>
            </w:tcBorders>
            <w:shd w:val="clear" w:color="auto" w:fill="auto"/>
            <w:hideMark/>
          </w:tcPr>
          <w:p w:rsidR="00CF3605" w:rsidRPr="00E0527E" w:rsidRDefault="00CF3605" w:rsidP="00C84648">
            <w:pPr>
              <w:jc w:val="center"/>
              <w:rPr>
                <w:color w:val="000000"/>
              </w:rPr>
            </w:pPr>
            <w:r w:rsidRPr="00E0527E">
              <w:rPr>
                <w:color w:val="000000"/>
              </w:rPr>
              <w:t>Early Exit Interview</w:t>
            </w:r>
          </w:p>
        </w:tc>
        <w:tc>
          <w:tcPr>
            <w:tcW w:w="1443" w:type="dxa"/>
            <w:tcBorders>
              <w:top w:val="nil"/>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106</w:t>
            </w:r>
          </w:p>
        </w:tc>
        <w:tc>
          <w:tcPr>
            <w:tcW w:w="1437" w:type="dxa"/>
            <w:tcBorders>
              <w:top w:val="nil"/>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Pr>
                <w:color w:val="000000"/>
              </w:rPr>
              <w:t>.5</w:t>
            </w:r>
          </w:p>
        </w:tc>
        <w:tc>
          <w:tcPr>
            <w:tcW w:w="1170" w:type="dxa"/>
            <w:tcBorders>
              <w:top w:val="single" w:sz="8" w:space="0" w:color="auto"/>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sidRPr="006046D1">
              <w:rPr>
                <w:color w:val="000000"/>
              </w:rPr>
              <w:t>5/60</w:t>
            </w:r>
          </w:p>
        </w:tc>
        <w:tc>
          <w:tcPr>
            <w:tcW w:w="923" w:type="dxa"/>
            <w:tcBorders>
              <w:top w:val="single" w:sz="8" w:space="0" w:color="auto"/>
              <w:left w:val="nil"/>
              <w:bottom w:val="single" w:sz="8" w:space="0" w:color="auto"/>
              <w:right w:val="single" w:sz="8" w:space="0" w:color="auto"/>
            </w:tcBorders>
            <w:shd w:val="clear" w:color="auto" w:fill="auto"/>
            <w:hideMark/>
          </w:tcPr>
          <w:p w:rsidR="00CF3605" w:rsidRPr="006046D1" w:rsidRDefault="00CF3605" w:rsidP="00C84648">
            <w:pPr>
              <w:jc w:val="center"/>
            </w:pPr>
            <w:r>
              <w:t>4.4</w:t>
            </w:r>
          </w:p>
        </w:tc>
      </w:tr>
      <w:tr w:rsidR="00CF3605" w:rsidRPr="00F70333" w:rsidTr="00C84648">
        <w:trPr>
          <w:trHeight w:val="330"/>
        </w:trPr>
        <w:tc>
          <w:tcPr>
            <w:tcW w:w="766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3605" w:rsidRPr="006046D1" w:rsidRDefault="00CF3605" w:rsidP="00C84648">
            <w:pPr>
              <w:jc w:val="right"/>
              <w:rPr>
                <w:color w:val="000000"/>
              </w:rPr>
            </w:pPr>
            <w:r w:rsidRPr="006046D1">
              <w:rPr>
                <w:color w:val="000000"/>
              </w:rPr>
              <w:t>Total Hours</w:t>
            </w:r>
          </w:p>
        </w:tc>
        <w:tc>
          <w:tcPr>
            <w:tcW w:w="923" w:type="dxa"/>
            <w:tcBorders>
              <w:top w:val="nil"/>
              <w:left w:val="nil"/>
              <w:bottom w:val="single" w:sz="8" w:space="0" w:color="auto"/>
              <w:right w:val="single" w:sz="8" w:space="0" w:color="auto"/>
            </w:tcBorders>
            <w:shd w:val="clear" w:color="auto" w:fill="auto"/>
            <w:hideMark/>
          </w:tcPr>
          <w:p w:rsidR="00CF3605" w:rsidRPr="006046D1" w:rsidRDefault="00CF3605" w:rsidP="00C84648">
            <w:pPr>
              <w:jc w:val="center"/>
              <w:rPr>
                <w:color w:val="000000"/>
              </w:rPr>
            </w:pPr>
            <w:r>
              <w:rPr>
                <w:color w:val="000000"/>
              </w:rPr>
              <w:t>1,500</w:t>
            </w:r>
          </w:p>
        </w:tc>
      </w:tr>
    </w:tbl>
    <w:p w:rsidR="007F1CDE" w:rsidRPr="00F70333" w:rsidRDefault="007F1CDE" w:rsidP="00CF3605"/>
    <w:p w:rsidR="0038553A" w:rsidRPr="00F70333" w:rsidRDefault="0038553A" w:rsidP="0038553A"/>
    <w:p w:rsidR="0038553A" w:rsidRPr="00F70333" w:rsidRDefault="0038553A" w:rsidP="0038553A">
      <w:r w:rsidRPr="0059356D">
        <w:t>B. Annualized Cost to Respondents</w:t>
      </w:r>
    </w:p>
    <w:p w:rsidR="0038553A" w:rsidRPr="00F70333" w:rsidRDefault="0038553A" w:rsidP="0038553A"/>
    <w:p w:rsidR="003938D6" w:rsidRPr="00F70333" w:rsidRDefault="0038553A" w:rsidP="003938D6">
      <w:r w:rsidRPr="00F70333">
        <w:t xml:space="preserve">The total estimated annualized cost to respondents is </w:t>
      </w:r>
      <w:r w:rsidR="00E23997" w:rsidRPr="00F70333">
        <w:rPr>
          <w:color w:val="000000"/>
          <w:szCs w:val="22"/>
        </w:rPr>
        <w:t>$39,565.99</w:t>
      </w:r>
      <w:r w:rsidRPr="00F70333">
        <w:t xml:space="preserve">, as summarized in Table A.12-2. The mean hourly wage rate for </w:t>
      </w:r>
      <w:r w:rsidR="00340A81" w:rsidRPr="00F70333">
        <w:t>Transportation and M</w:t>
      </w:r>
      <w:r w:rsidR="003938D6" w:rsidRPr="00F70333">
        <w:t xml:space="preserve">aterial </w:t>
      </w:r>
      <w:r w:rsidR="00340A81" w:rsidRPr="00F70333">
        <w:t>M</w:t>
      </w:r>
      <w:r w:rsidR="003938D6" w:rsidRPr="00F70333">
        <w:t>oving in the wholesale/ retail trade industry is $13.19 (</w:t>
      </w:r>
      <w:r w:rsidRPr="00F70333">
        <w:t xml:space="preserve">Bureau of Labor Statistics </w:t>
      </w:r>
      <w:r w:rsidR="003938D6" w:rsidRPr="00F70333">
        <w:t xml:space="preserve">- Table 3. Hourly </w:t>
      </w:r>
      <w:proofErr w:type="gramStart"/>
      <w:r w:rsidR="003938D6" w:rsidRPr="00F70333">
        <w:t>mean</w:t>
      </w:r>
      <w:proofErr w:type="gramEnd"/>
      <w:r w:rsidR="003938D6" w:rsidRPr="00F70333">
        <w:t xml:space="preserve"> wage rates by industry and occupational group, May 2009).</w:t>
      </w:r>
    </w:p>
    <w:p w:rsidR="00EC77C4" w:rsidRPr="00F70333" w:rsidRDefault="00EC77C4" w:rsidP="00514252">
      <w:pPr>
        <w:jc w:val="center"/>
      </w:pPr>
    </w:p>
    <w:p w:rsidR="0038553A" w:rsidRPr="00F70333" w:rsidRDefault="0038553A" w:rsidP="00514252">
      <w:pPr>
        <w:jc w:val="center"/>
      </w:pPr>
      <w:proofErr w:type="gramStart"/>
      <w:r w:rsidRPr="00F70333">
        <w:t>Table A.12-2.</w:t>
      </w:r>
      <w:proofErr w:type="gramEnd"/>
      <w:r w:rsidRPr="00F70333">
        <w:t xml:space="preserve"> Estimated Annualized Cost to Respondents</w:t>
      </w:r>
    </w:p>
    <w:p w:rsidR="007F1CDE" w:rsidRPr="00F70333" w:rsidRDefault="007F1CDE" w:rsidP="00514252">
      <w:pPr>
        <w:jc w:val="center"/>
      </w:pPr>
    </w:p>
    <w:tbl>
      <w:tblPr>
        <w:tblW w:w="8280" w:type="dxa"/>
        <w:tblInd w:w="198" w:type="dxa"/>
        <w:tblLook w:val="04A0" w:firstRow="1" w:lastRow="0" w:firstColumn="1" w:lastColumn="0" w:noHBand="0" w:noVBand="1"/>
      </w:tblPr>
      <w:tblGrid>
        <w:gridCol w:w="1701"/>
        <w:gridCol w:w="2206"/>
        <w:gridCol w:w="1403"/>
        <w:gridCol w:w="1283"/>
        <w:gridCol w:w="1687"/>
      </w:tblGrid>
      <w:tr w:rsidR="00CF3605" w:rsidRPr="00F70333" w:rsidTr="00C84648">
        <w:trPr>
          <w:trHeight w:val="1275"/>
        </w:trPr>
        <w:tc>
          <w:tcPr>
            <w:tcW w:w="1701" w:type="dxa"/>
            <w:tcBorders>
              <w:top w:val="single" w:sz="8" w:space="0" w:color="auto"/>
              <w:left w:val="single" w:sz="8" w:space="0" w:color="auto"/>
              <w:bottom w:val="single" w:sz="8" w:space="0" w:color="auto"/>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Type of Respondent</w:t>
            </w:r>
          </w:p>
        </w:tc>
        <w:tc>
          <w:tcPr>
            <w:tcW w:w="2206" w:type="dxa"/>
            <w:tcBorders>
              <w:top w:val="single" w:sz="8" w:space="0" w:color="auto"/>
              <w:left w:val="nil"/>
              <w:bottom w:val="single" w:sz="8" w:space="0" w:color="auto"/>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Form Name</w:t>
            </w:r>
          </w:p>
        </w:tc>
        <w:tc>
          <w:tcPr>
            <w:tcW w:w="1403" w:type="dxa"/>
            <w:tcBorders>
              <w:top w:val="single" w:sz="8" w:space="0" w:color="auto"/>
              <w:left w:val="nil"/>
              <w:bottom w:val="single" w:sz="8" w:space="0" w:color="auto"/>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Total Burden (in hours)</w:t>
            </w:r>
          </w:p>
        </w:tc>
        <w:tc>
          <w:tcPr>
            <w:tcW w:w="1283" w:type="dxa"/>
            <w:tcBorders>
              <w:top w:val="single" w:sz="8" w:space="0" w:color="auto"/>
              <w:left w:val="nil"/>
              <w:bottom w:val="single" w:sz="8" w:space="0" w:color="auto"/>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Average Hourly Wage Rate</w:t>
            </w:r>
          </w:p>
        </w:tc>
        <w:tc>
          <w:tcPr>
            <w:tcW w:w="1687" w:type="dxa"/>
            <w:tcBorders>
              <w:top w:val="single" w:sz="8" w:space="0" w:color="auto"/>
              <w:left w:val="nil"/>
              <w:bottom w:val="single" w:sz="8" w:space="0" w:color="auto"/>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Total Respondent Costs</w:t>
            </w:r>
          </w:p>
        </w:tc>
      </w:tr>
      <w:tr w:rsidR="00CF3605" w:rsidRPr="00F70333" w:rsidTr="00C84648">
        <w:trPr>
          <w:trHeight w:val="645"/>
        </w:trPr>
        <w:tc>
          <w:tcPr>
            <w:tcW w:w="1701" w:type="dxa"/>
            <w:vMerge w:val="restart"/>
            <w:tcBorders>
              <w:top w:val="nil"/>
              <w:left w:val="single" w:sz="8" w:space="0" w:color="auto"/>
              <w:right w:val="single" w:sz="8" w:space="0" w:color="auto"/>
            </w:tcBorders>
            <w:shd w:val="clear" w:color="auto" w:fill="auto"/>
            <w:vAlign w:val="center"/>
            <w:hideMark/>
          </w:tcPr>
          <w:p w:rsidR="00CF3605" w:rsidRPr="00F70333" w:rsidRDefault="00CF3605" w:rsidP="00C84648">
            <w:pPr>
              <w:jc w:val="center"/>
              <w:rPr>
                <w:color w:val="000000"/>
              </w:rPr>
            </w:pPr>
            <w:r w:rsidRPr="00F70333">
              <w:rPr>
                <w:color w:val="000000"/>
              </w:rPr>
              <w:t>Delivery Workers in Wholesale/ Retail Trade (WRT) Operations</w:t>
            </w:r>
          </w:p>
        </w:tc>
        <w:tc>
          <w:tcPr>
            <w:tcW w:w="2206" w:type="dxa"/>
            <w:tcBorders>
              <w:top w:val="nil"/>
              <w:left w:val="nil"/>
              <w:bottom w:val="nil"/>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Self-reported low back pain</w:t>
            </w:r>
          </w:p>
        </w:tc>
        <w:tc>
          <w:tcPr>
            <w:tcW w:w="1403" w:type="dxa"/>
            <w:tcBorders>
              <w:top w:val="single" w:sz="8" w:space="0" w:color="auto"/>
              <w:left w:val="nil"/>
              <w:bottom w:val="nil"/>
              <w:right w:val="single" w:sz="8" w:space="0" w:color="auto"/>
            </w:tcBorders>
            <w:shd w:val="clear" w:color="auto" w:fill="auto"/>
            <w:hideMark/>
          </w:tcPr>
          <w:p w:rsidR="00CF3605" w:rsidRPr="00F70333" w:rsidRDefault="00CF3605" w:rsidP="00C84648">
            <w:pPr>
              <w:jc w:val="center"/>
            </w:pPr>
            <w:r>
              <w:t>360</w:t>
            </w:r>
          </w:p>
        </w:tc>
        <w:tc>
          <w:tcPr>
            <w:tcW w:w="1283" w:type="dxa"/>
            <w:tcBorders>
              <w:top w:val="single" w:sz="8" w:space="0" w:color="auto"/>
              <w:left w:val="nil"/>
              <w:bottom w:val="single" w:sz="8" w:space="0" w:color="auto"/>
              <w:right w:val="single" w:sz="8" w:space="0" w:color="auto"/>
            </w:tcBorders>
            <w:shd w:val="clear" w:color="auto" w:fill="auto"/>
            <w:noWrap/>
            <w:hideMark/>
          </w:tcPr>
          <w:p w:rsidR="00CF3605" w:rsidRPr="00F70333" w:rsidRDefault="00CF3605" w:rsidP="00C84648">
            <w:pPr>
              <w:jc w:val="center"/>
              <w:rPr>
                <w:color w:val="000000"/>
              </w:rPr>
            </w:pPr>
            <w:r w:rsidRPr="00F70333">
              <w:rPr>
                <w:color w:val="000000"/>
              </w:rPr>
              <w:t>$13.19</w:t>
            </w:r>
          </w:p>
        </w:tc>
        <w:tc>
          <w:tcPr>
            <w:tcW w:w="1687" w:type="dxa"/>
            <w:tcBorders>
              <w:top w:val="single" w:sz="8" w:space="0" w:color="auto"/>
              <w:left w:val="nil"/>
              <w:bottom w:val="single" w:sz="8" w:space="0" w:color="auto"/>
              <w:right w:val="single" w:sz="8" w:space="0" w:color="auto"/>
            </w:tcBorders>
            <w:shd w:val="clear" w:color="auto" w:fill="auto"/>
            <w:noWrap/>
            <w:hideMark/>
          </w:tcPr>
          <w:p w:rsidR="00CF3605" w:rsidRPr="00F70333" w:rsidRDefault="00CF3605" w:rsidP="00C84648">
            <w:pPr>
              <w:jc w:val="center"/>
              <w:rPr>
                <w:color w:val="000000"/>
                <w:szCs w:val="22"/>
              </w:rPr>
            </w:pPr>
            <w:r w:rsidRPr="00F70333">
              <w:rPr>
                <w:color w:val="000000"/>
                <w:szCs w:val="22"/>
              </w:rPr>
              <w:t>$</w:t>
            </w:r>
            <w:r>
              <w:rPr>
                <w:color w:val="000000"/>
                <w:szCs w:val="22"/>
              </w:rPr>
              <w:t>4748</w:t>
            </w:r>
          </w:p>
        </w:tc>
      </w:tr>
      <w:tr w:rsidR="00CF3605" w:rsidRPr="00F70333" w:rsidTr="00C84648">
        <w:trPr>
          <w:trHeight w:val="735"/>
        </w:trPr>
        <w:tc>
          <w:tcPr>
            <w:tcW w:w="1701" w:type="dxa"/>
            <w:vMerge/>
            <w:tcBorders>
              <w:left w:val="single" w:sz="8" w:space="0" w:color="auto"/>
              <w:right w:val="single" w:sz="8" w:space="0" w:color="auto"/>
            </w:tcBorders>
            <w:shd w:val="clear" w:color="auto" w:fill="auto"/>
            <w:vAlign w:val="center"/>
            <w:hideMark/>
          </w:tcPr>
          <w:p w:rsidR="00CF3605" w:rsidRPr="00F70333" w:rsidRDefault="00CF3605" w:rsidP="00C84648">
            <w:pPr>
              <w:rPr>
                <w:color w:val="000000"/>
              </w:rPr>
            </w:pPr>
          </w:p>
        </w:tc>
        <w:tc>
          <w:tcPr>
            <w:tcW w:w="2206" w:type="dxa"/>
            <w:tcBorders>
              <w:top w:val="single" w:sz="8" w:space="0" w:color="auto"/>
              <w:left w:val="nil"/>
              <w:bottom w:val="single" w:sz="8" w:space="0" w:color="auto"/>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Self-reported upper extremity pain</w:t>
            </w:r>
          </w:p>
        </w:tc>
        <w:tc>
          <w:tcPr>
            <w:tcW w:w="1403" w:type="dxa"/>
            <w:tcBorders>
              <w:top w:val="single" w:sz="8" w:space="0" w:color="auto"/>
              <w:left w:val="nil"/>
              <w:bottom w:val="nil"/>
              <w:right w:val="single" w:sz="8" w:space="0" w:color="auto"/>
            </w:tcBorders>
            <w:shd w:val="clear" w:color="auto" w:fill="auto"/>
            <w:hideMark/>
          </w:tcPr>
          <w:p w:rsidR="00CF3605" w:rsidRPr="00F70333" w:rsidRDefault="00CF3605" w:rsidP="00C84648">
            <w:pPr>
              <w:jc w:val="center"/>
            </w:pPr>
            <w:r>
              <w:t>360</w:t>
            </w:r>
          </w:p>
        </w:tc>
        <w:tc>
          <w:tcPr>
            <w:tcW w:w="1283" w:type="dxa"/>
            <w:tcBorders>
              <w:top w:val="nil"/>
              <w:left w:val="nil"/>
              <w:bottom w:val="single" w:sz="8" w:space="0" w:color="auto"/>
              <w:right w:val="single" w:sz="8" w:space="0" w:color="auto"/>
            </w:tcBorders>
            <w:shd w:val="clear" w:color="auto" w:fill="auto"/>
            <w:noWrap/>
            <w:hideMark/>
          </w:tcPr>
          <w:p w:rsidR="00CF3605" w:rsidRPr="00F70333" w:rsidRDefault="00CF3605" w:rsidP="00C84648">
            <w:pPr>
              <w:jc w:val="center"/>
              <w:rPr>
                <w:color w:val="000000"/>
              </w:rPr>
            </w:pPr>
            <w:r w:rsidRPr="00F70333">
              <w:rPr>
                <w:color w:val="000000"/>
              </w:rPr>
              <w:t>$13.19</w:t>
            </w:r>
          </w:p>
        </w:tc>
        <w:tc>
          <w:tcPr>
            <w:tcW w:w="1687" w:type="dxa"/>
            <w:tcBorders>
              <w:top w:val="nil"/>
              <w:left w:val="nil"/>
              <w:bottom w:val="single" w:sz="8" w:space="0" w:color="auto"/>
              <w:right w:val="single" w:sz="8" w:space="0" w:color="auto"/>
            </w:tcBorders>
            <w:shd w:val="clear" w:color="auto" w:fill="auto"/>
            <w:noWrap/>
            <w:hideMark/>
          </w:tcPr>
          <w:p w:rsidR="00CF3605" w:rsidRPr="00F70333" w:rsidRDefault="00CF3605" w:rsidP="00C84648">
            <w:pPr>
              <w:jc w:val="center"/>
              <w:rPr>
                <w:color w:val="000000"/>
                <w:szCs w:val="22"/>
              </w:rPr>
            </w:pPr>
            <w:r w:rsidRPr="00F70333">
              <w:rPr>
                <w:color w:val="000000"/>
                <w:szCs w:val="22"/>
              </w:rPr>
              <w:t>$</w:t>
            </w:r>
            <w:r>
              <w:rPr>
                <w:color w:val="000000"/>
                <w:szCs w:val="22"/>
              </w:rPr>
              <w:t>4748</w:t>
            </w:r>
          </w:p>
        </w:tc>
      </w:tr>
      <w:tr w:rsidR="00CF3605" w:rsidRPr="00F70333" w:rsidTr="00C84648">
        <w:trPr>
          <w:trHeight w:val="1095"/>
        </w:trPr>
        <w:tc>
          <w:tcPr>
            <w:tcW w:w="1701" w:type="dxa"/>
            <w:vMerge/>
            <w:tcBorders>
              <w:left w:val="single" w:sz="8" w:space="0" w:color="auto"/>
              <w:right w:val="single" w:sz="8" w:space="0" w:color="auto"/>
            </w:tcBorders>
            <w:shd w:val="clear" w:color="auto" w:fill="auto"/>
            <w:vAlign w:val="center"/>
            <w:hideMark/>
          </w:tcPr>
          <w:p w:rsidR="00CF3605" w:rsidRPr="00F70333" w:rsidRDefault="00CF3605" w:rsidP="00C84648">
            <w:pPr>
              <w:rPr>
                <w:color w:val="000000"/>
              </w:rPr>
            </w:pPr>
          </w:p>
        </w:tc>
        <w:tc>
          <w:tcPr>
            <w:tcW w:w="2206" w:type="dxa"/>
            <w:tcBorders>
              <w:top w:val="nil"/>
              <w:left w:val="nil"/>
              <w:bottom w:val="single" w:sz="8" w:space="0" w:color="auto"/>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Self-reported specific job tasks and safety incidents</w:t>
            </w:r>
          </w:p>
        </w:tc>
        <w:tc>
          <w:tcPr>
            <w:tcW w:w="1403" w:type="dxa"/>
            <w:tcBorders>
              <w:top w:val="single" w:sz="8" w:space="0" w:color="auto"/>
              <w:left w:val="nil"/>
              <w:bottom w:val="nil"/>
              <w:right w:val="single" w:sz="8" w:space="0" w:color="auto"/>
            </w:tcBorders>
            <w:shd w:val="clear" w:color="auto" w:fill="auto"/>
            <w:hideMark/>
          </w:tcPr>
          <w:p w:rsidR="00CF3605" w:rsidRPr="00F70333" w:rsidRDefault="00CF3605" w:rsidP="00C84648">
            <w:pPr>
              <w:jc w:val="center"/>
            </w:pPr>
            <w:r>
              <w:t>360</w:t>
            </w:r>
          </w:p>
        </w:tc>
        <w:tc>
          <w:tcPr>
            <w:tcW w:w="1283" w:type="dxa"/>
            <w:tcBorders>
              <w:top w:val="nil"/>
              <w:left w:val="nil"/>
              <w:bottom w:val="single" w:sz="8" w:space="0" w:color="auto"/>
              <w:right w:val="single" w:sz="8" w:space="0" w:color="auto"/>
            </w:tcBorders>
            <w:shd w:val="clear" w:color="auto" w:fill="auto"/>
            <w:noWrap/>
            <w:hideMark/>
          </w:tcPr>
          <w:p w:rsidR="00CF3605" w:rsidRPr="00F70333" w:rsidRDefault="00CF3605" w:rsidP="00C84648">
            <w:pPr>
              <w:jc w:val="center"/>
              <w:rPr>
                <w:color w:val="000000"/>
              </w:rPr>
            </w:pPr>
            <w:r w:rsidRPr="00F70333">
              <w:rPr>
                <w:color w:val="000000"/>
              </w:rPr>
              <w:t>$13.19</w:t>
            </w:r>
          </w:p>
        </w:tc>
        <w:tc>
          <w:tcPr>
            <w:tcW w:w="1687" w:type="dxa"/>
            <w:tcBorders>
              <w:top w:val="nil"/>
              <w:left w:val="nil"/>
              <w:bottom w:val="single" w:sz="8" w:space="0" w:color="auto"/>
              <w:right w:val="single" w:sz="8" w:space="0" w:color="auto"/>
            </w:tcBorders>
            <w:shd w:val="clear" w:color="auto" w:fill="auto"/>
            <w:noWrap/>
            <w:hideMark/>
          </w:tcPr>
          <w:p w:rsidR="00CF3605" w:rsidRPr="00F70333" w:rsidRDefault="00CF3605" w:rsidP="00C84648">
            <w:pPr>
              <w:jc w:val="center"/>
              <w:rPr>
                <w:color w:val="000000"/>
                <w:szCs w:val="22"/>
              </w:rPr>
            </w:pPr>
            <w:r w:rsidRPr="00F70333">
              <w:rPr>
                <w:color w:val="000000"/>
                <w:szCs w:val="22"/>
              </w:rPr>
              <w:t>$</w:t>
            </w:r>
            <w:r>
              <w:rPr>
                <w:color w:val="000000"/>
                <w:szCs w:val="22"/>
              </w:rPr>
              <w:t>4748</w:t>
            </w:r>
          </w:p>
        </w:tc>
      </w:tr>
      <w:tr w:rsidR="00CF3605" w:rsidRPr="00F70333" w:rsidTr="00C84648">
        <w:trPr>
          <w:trHeight w:val="960"/>
        </w:trPr>
        <w:tc>
          <w:tcPr>
            <w:tcW w:w="1701" w:type="dxa"/>
            <w:vMerge/>
            <w:tcBorders>
              <w:left w:val="single" w:sz="8" w:space="0" w:color="auto"/>
              <w:right w:val="single" w:sz="8" w:space="0" w:color="auto"/>
            </w:tcBorders>
            <w:shd w:val="clear" w:color="auto" w:fill="auto"/>
            <w:vAlign w:val="center"/>
            <w:hideMark/>
          </w:tcPr>
          <w:p w:rsidR="00CF3605" w:rsidRPr="00F70333" w:rsidRDefault="00CF3605" w:rsidP="00C84648">
            <w:pPr>
              <w:rPr>
                <w:color w:val="000000"/>
              </w:rPr>
            </w:pPr>
          </w:p>
        </w:tc>
        <w:tc>
          <w:tcPr>
            <w:tcW w:w="2206" w:type="dxa"/>
            <w:tcBorders>
              <w:top w:val="nil"/>
              <w:left w:val="nil"/>
              <w:bottom w:val="single" w:sz="8" w:space="0" w:color="auto"/>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Self-reported general work environment and health</w:t>
            </w:r>
          </w:p>
        </w:tc>
        <w:tc>
          <w:tcPr>
            <w:tcW w:w="1403" w:type="dxa"/>
            <w:tcBorders>
              <w:top w:val="single" w:sz="8" w:space="0" w:color="auto"/>
              <w:left w:val="nil"/>
              <w:bottom w:val="nil"/>
              <w:right w:val="single" w:sz="8" w:space="0" w:color="auto"/>
            </w:tcBorders>
            <w:shd w:val="clear" w:color="auto" w:fill="auto"/>
            <w:hideMark/>
          </w:tcPr>
          <w:p w:rsidR="00CF3605" w:rsidRPr="00F70333" w:rsidRDefault="00CF3605" w:rsidP="00C84648">
            <w:pPr>
              <w:jc w:val="center"/>
            </w:pPr>
            <w:r>
              <w:t>240</w:t>
            </w:r>
          </w:p>
        </w:tc>
        <w:tc>
          <w:tcPr>
            <w:tcW w:w="1283" w:type="dxa"/>
            <w:tcBorders>
              <w:top w:val="nil"/>
              <w:left w:val="nil"/>
              <w:bottom w:val="single" w:sz="8" w:space="0" w:color="auto"/>
              <w:right w:val="single" w:sz="8" w:space="0" w:color="auto"/>
            </w:tcBorders>
            <w:shd w:val="clear" w:color="auto" w:fill="auto"/>
            <w:noWrap/>
            <w:hideMark/>
          </w:tcPr>
          <w:p w:rsidR="00CF3605" w:rsidRPr="00F70333" w:rsidRDefault="00CF3605" w:rsidP="00C84648">
            <w:pPr>
              <w:jc w:val="center"/>
              <w:rPr>
                <w:color w:val="000000"/>
              </w:rPr>
            </w:pPr>
            <w:r w:rsidRPr="00F70333">
              <w:rPr>
                <w:color w:val="000000"/>
              </w:rPr>
              <w:t>$13.19</w:t>
            </w:r>
          </w:p>
        </w:tc>
        <w:tc>
          <w:tcPr>
            <w:tcW w:w="1687" w:type="dxa"/>
            <w:tcBorders>
              <w:top w:val="nil"/>
              <w:left w:val="nil"/>
              <w:bottom w:val="single" w:sz="8" w:space="0" w:color="auto"/>
              <w:right w:val="single" w:sz="8" w:space="0" w:color="auto"/>
            </w:tcBorders>
            <w:shd w:val="clear" w:color="auto" w:fill="auto"/>
            <w:noWrap/>
            <w:hideMark/>
          </w:tcPr>
          <w:p w:rsidR="00CF3605" w:rsidRPr="00F70333" w:rsidRDefault="00CF3605" w:rsidP="00C84648">
            <w:pPr>
              <w:jc w:val="center"/>
              <w:rPr>
                <w:color w:val="000000"/>
                <w:szCs w:val="22"/>
              </w:rPr>
            </w:pPr>
            <w:r w:rsidRPr="00F70333">
              <w:rPr>
                <w:color w:val="000000"/>
                <w:szCs w:val="22"/>
              </w:rPr>
              <w:t>$</w:t>
            </w:r>
            <w:r>
              <w:rPr>
                <w:color w:val="000000"/>
                <w:szCs w:val="22"/>
              </w:rPr>
              <w:t>3,166</w:t>
            </w:r>
          </w:p>
        </w:tc>
      </w:tr>
      <w:tr w:rsidR="00CF3605" w:rsidRPr="00F70333" w:rsidTr="00C84648">
        <w:trPr>
          <w:trHeight w:val="645"/>
        </w:trPr>
        <w:tc>
          <w:tcPr>
            <w:tcW w:w="1701" w:type="dxa"/>
            <w:vMerge/>
            <w:tcBorders>
              <w:left w:val="single" w:sz="8" w:space="0" w:color="auto"/>
              <w:right w:val="single" w:sz="8" w:space="0" w:color="auto"/>
            </w:tcBorders>
            <w:shd w:val="clear" w:color="auto" w:fill="auto"/>
            <w:vAlign w:val="center"/>
            <w:hideMark/>
          </w:tcPr>
          <w:p w:rsidR="00CF3605" w:rsidRPr="00F70333" w:rsidRDefault="00CF3605" w:rsidP="00C84648">
            <w:pPr>
              <w:rPr>
                <w:color w:val="000000"/>
              </w:rPr>
            </w:pPr>
          </w:p>
        </w:tc>
        <w:tc>
          <w:tcPr>
            <w:tcW w:w="2206" w:type="dxa"/>
            <w:tcBorders>
              <w:top w:val="nil"/>
              <w:left w:val="nil"/>
              <w:bottom w:val="single" w:sz="8" w:space="0" w:color="auto"/>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Informed Consent Form (Overall Study)</w:t>
            </w:r>
          </w:p>
        </w:tc>
        <w:tc>
          <w:tcPr>
            <w:tcW w:w="1403" w:type="dxa"/>
            <w:tcBorders>
              <w:top w:val="single" w:sz="8" w:space="0" w:color="auto"/>
              <w:left w:val="nil"/>
              <w:bottom w:val="nil"/>
              <w:right w:val="single" w:sz="8" w:space="0" w:color="auto"/>
            </w:tcBorders>
            <w:shd w:val="clear" w:color="auto" w:fill="auto"/>
            <w:hideMark/>
          </w:tcPr>
          <w:p w:rsidR="00CF3605" w:rsidRPr="00F70333" w:rsidRDefault="00CF3605" w:rsidP="00C84648">
            <w:pPr>
              <w:jc w:val="center"/>
            </w:pPr>
            <w:r>
              <w:t>4</w:t>
            </w:r>
            <w:r w:rsidRPr="00F70333">
              <w:t>0</w:t>
            </w:r>
          </w:p>
        </w:tc>
        <w:tc>
          <w:tcPr>
            <w:tcW w:w="1283" w:type="dxa"/>
            <w:tcBorders>
              <w:top w:val="nil"/>
              <w:left w:val="nil"/>
              <w:bottom w:val="single" w:sz="8" w:space="0" w:color="auto"/>
              <w:right w:val="single" w:sz="8" w:space="0" w:color="auto"/>
            </w:tcBorders>
            <w:shd w:val="clear" w:color="auto" w:fill="auto"/>
            <w:noWrap/>
            <w:hideMark/>
          </w:tcPr>
          <w:p w:rsidR="00CF3605" w:rsidRPr="00F70333" w:rsidRDefault="00CF3605" w:rsidP="00C84648">
            <w:pPr>
              <w:jc w:val="center"/>
              <w:rPr>
                <w:color w:val="000000"/>
              </w:rPr>
            </w:pPr>
            <w:r w:rsidRPr="00F70333">
              <w:rPr>
                <w:color w:val="000000"/>
              </w:rPr>
              <w:t>$13.19</w:t>
            </w:r>
          </w:p>
        </w:tc>
        <w:tc>
          <w:tcPr>
            <w:tcW w:w="1687" w:type="dxa"/>
            <w:tcBorders>
              <w:top w:val="nil"/>
              <w:left w:val="nil"/>
              <w:bottom w:val="single" w:sz="8" w:space="0" w:color="auto"/>
              <w:right w:val="single" w:sz="8" w:space="0" w:color="auto"/>
            </w:tcBorders>
            <w:shd w:val="clear" w:color="auto" w:fill="auto"/>
            <w:noWrap/>
            <w:hideMark/>
          </w:tcPr>
          <w:p w:rsidR="00CF3605" w:rsidRPr="00F70333" w:rsidRDefault="00CF3605" w:rsidP="00C84648">
            <w:pPr>
              <w:jc w:val="center"/>
              <w:rPr>
                <w:color w:val="000000"/>
                <w:szCs w:val="22"/>
              </w:rPr>
            </w:pPr>
            <w:r w:rsidRPr="00F70333">
              <w:rPr>
                <w:color w:val="000000"/>
                <w:szCs w:val="22"/>
              </w:rPr>
              <w:t>$</w:t>
            </w:r>
            <w:r>
              <w:rPr>
                <w:color w:val="000000"/>
                <w:szCs w:val="22"/>
              </w:rPr>
              <w:t>528</w:t>
            </w:r>
          </w:p>
        </w:tc>
      </w:tr>
      <w:tr w:rsidR="00CF3605" w:rsidRPr="00F70333" w:rsidTr="00C84648">
        <w:trPr>
          <w:trHeight w:val="645"/>
        </w:trPr>
        <w:tc>
          <w:tcPr>
            <w:tcW w:w="1701" w:type="dxa"/>
            <w:vMerge/>
            <w:tcBorders>
              <w:left w:val="single" w:sz="8" w:space="0" w:color="auto"/>
              <w:right w:val="single" w:sz="8" w:space="0" w:color="auto"/>
            </w:tcBorders>
            <w:shd w:val="clear" w:color="auto" w:fill="auto"/>
            <w:vAlign w:val="center"/>
            <w:hideMark/>
          </w:tcPr>
          <w:p w:rsidR="00CF3605" w:rsidRPr="00F70333" w:rsidRDefault="00CF3605" w:rsidP="00C84648">
            <w:pPr>
              <w:rPr>
                <w:color w:val="000000"/>
              </w:rPr>
            </w:pPr>
          </w:p>
        </w:tc>
        <w:tc>
          <w:tcPr>
            <w:tcW w:w="2206" w:type="dxa"/>
            <w:tcBorders>
              <w:top w:val="nil"/>
              <w:left w:val="nil"/>
              <w:bottom w:val="single" w:sz="8" w:space="0" w:color="auto"/>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Low Back Functional Assessment</w:t>
            </w:r>
          </w:p>
        </w:tc>
        <w:tc>
          <w:tcPr>
            <w:tcW w:w="1403" w:type="dxa"/>
            <w:tcBorders>
              <w:top w:val="single" w:sz="8" w:space="0" w:color="auto"/>
              <w:left w:val="nil"/>
              <w:bottom w:val="nil"/>
              <w:right w:val="single" w:sz="8" w:space="0" w:color="auto"/>
            </w:tcBorders>
            <w:shd w:val="clear" w:color="auto" w:fill="auto"/>
            <w:hideMark/>
          </w:tcPr>
          <w:p w:rsidR="00CF3605" w:rsidRPr="00F70333" w:rsidRDefault="00CF3605" w:rsidP="00C84648">
            <w:pPr>
              <w:jc w:val="center"/>
            </w:pPr>
            <w:r>
              <w:t>96</w:t>
            </w:r>
          </w:p>
        </w:tc>
        <w:tc>
          <w:tcPr>
            <w:tcW w:w="1283" w:type="dxa"/>
            <w:tcBorders>
              <w:top w:val="nil"/>
              <w:left w:val="nil"/>
              <w:bottom w:val="single" w:sz="8" w:space="0" w:color="auto"/>
              <w:right w:val="single" w:sz="8" w:space="0" w:color="auto"/>
            </w:tcBorders>
            <w:shd w:val="clear" w:color="auto" w:fill="auto"/>
            <w:noWrap/>
            <w:hideMark/>
          </w:tcPr>
          <w:p w:rsidR="00CF3605" w:rsidRPr="00F70333" w:rsidRDefault="00CF3605" w:rsidP="00C84648">
            <w:pPr>
              <w:jc w:val="center"/>
              <w:rPr>
                <w:color w:val="000000"/>
              </w:rPr>
            </w:pPr>
            <w:r w:rsidRPr="00F70333">
              <w:rPr>
                <w:color w:val="000000"/>
              </w:rPr>
              <w:t>$13.19</w:t>
            </w:r>
          </w:p>
        </w:tc>
        <w:tc>
          <w:tcPr>
            <w:tcW w:w="1687" w:type="dxa"/>
            <w:tcBorders>
              <w:top w:val="nil"/>
              <w:left w:val="nil"/>
              <w:bottom w:val="single" w:sz="8" w:space="0" w:color="auto"/>
              <w:right w:val="single" w:sz="8" w:space="0" w:color="auto"/>
            </w:tcBorders>
            <w:shd w:val="clear" w:color="auto" w:fill="auto"/>
            <w:noWrap/>
            <w:hideMark/>
          </w:tcPr>
          <w:p w:rsidR="00CF3605" w:rsidRPr="00F70333" w:rsidRDefault="00CF3605" w:rsidP="00C84648">
            <w:pPr>
              <w:jc w:val="center"/>
              <w:rPr>
                <w:color w:val="000000"/>
                <w:szCs w:val="22"/>
              </w:rPr>
            </w:pPr>
            <w:r w:rsidRPr="00F70333">
              <w:rPr>
                <w:color w:val="000000"/>
                <w:szCs w:val="22"/>
              </w:rPr>
              <w:t>$</w:t>
            </w:r>
            <w:r>
              <w:rPr>
                <w:color w:val="000000"/>
                <w:szCs w:val="22"/>
              </w:rPr>
              <w:t>1,266</w:t>
            </w:r>
          </w:p>
        </w:tc>
      </w:tr>
      <w:tr w:rsidR="00CF3605" w:rsidRPr="00F70333" w:rsidTr="00C84648">
        <w:trPr>
          <w:trHeight w:val="1275"/>
        </w:trPr>
        <w:tc>
          <w:tcPr>
            <w:tcW w:w="1701" w:type="dxa"/>
            <w:vMerge/>
            <w:tcBorders>
              <w:left w:val="single" w:sz="8" w:space="0" w:color="auto"/>
              <w:right w:val="single" w:sz="8" w:space="0" w:color="auto"/>
            </w:tcBorders>
            <w:shd w:val="clear" w:color="auto" w:fill="auto"/>
            <w:vAlign w:val="center"/>
            <w:hideMark/>
          </w:tcPr>
          <w:p w:rsidR="00CF3605" w:rsidRPr="00F70333" w:rsidRDefault="00CF3605" w:rsidP="00C84648">
            <w:pPr>
              <w:rPr>
                <w:color w:val="000000"/>
              </w:rPr>
            </w:pPr>
          </w:p>
        </w:tc>
        <w:tc>
          <w:tcPr>
            <w:tcW w:w="2206" w:type="dxa"/>
            <w:tcBorders>
              <w:top w:val="nil"/>
              <w:left w:val="nil"/>
              <w:bottom w:val="single" w:sz="8" w:space="0" w:color="auto"/>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Informed Consent Form (Low Back Functional Assessment)</w:t>
            </w:r>
          </w:p>
        </w:tc>
        <w:tc>
          <w:tcPr>
            <w:tcW w:w="1403" w:type="dxa"/>
            <w:tcBorders>
              <w:top w:val="single" w:sz="8" w:space="0" w:color="auto"/>
              <w:left w:val="nil"/>
              <w:bottom w:val="nil"/>
              <w:right w:val="single" w:sz="8" w:space="0" w:color="auto"/>
            </w:tcBorders>
            <w:shd w:val="clear" w:color="auto" w:fill="auto"/>
            <w:hideMark/>
          </w:tcPr>
          <w:p w:rsidR="00CF3605" w:rsidRPr="00F70333" w:rsidRDefault="00CF3605" w:rsidP="00C84648">
            <w:pPr>
              <w:jc w:val="center"/>
            </w:pPr>
            <w:r>
              <w:t>4</w:t>
            </w:r>
            <w:r w:rsidRPr="00F70333">
              <w:t>0</w:t>
            </w:r>
          </w:p>
        </w:tc>
        <w:tc>
          <w:tcPr>
            <w:tcW w:w="1283" w:type="dxa"/>
            <w:tcBorders>
              <w:top w:val="nil"/>
              <w:left w:val="nil"/>
              <w:bottom w:val="single" w:sz="8" w:space="0" w:color="auto"/>
              <w:right w:val="single" w:sz="8" w:space="0" w:color="auto"/>
            </w:tcBorders>
            <w:shd w:val="clear" w:color="auto" w:fill="auto"/>
            <w:noWrap/>
            <w:hideMark/>
          </w:tcPr>
          <w:p w:rsidR="00CF3605" w:rsidRPr="00F70333" w:rsidRDefault="00CF3605" w:rsidP="00C84648">
            <w:pPr>
              <w:jc w:val="center"/>
              <w:rPr>
                <w:color w:val="000000"/>
              </w:rPr>
            </w:pPr>
            <w:r w:rsidRPr="00F70333">
              <w:rPr>
                <w:color w:val="000000"/>
              </w:rPr>
              <w:t>$13.19</w:t>
            </w:r>
          </w:p>
        </w:tc>
        <w:tc>
          <w:tcPr>
            <w:tcW w:w="1687" w:type="dxa"/>
            <w:tcBorders>
              <w:top w:val="nil"/>
              <w:left w:val="nil"/>
              <w:bottom w:val="single" w:sz="8" w:space="0" w:color="auto"/>
              <w:right w:val="single" w:sz="8" w:space="0" w:color="auto"/>
            </w:tcBorders>
            <w:shd w:val="clear" w:color="auto" w:fill="auto"/>
            <w:noWrap/>
            <w:hideMark/>
          </w:tcPr>
          <w:p w:rsidR="00CF3605" w:rsidRPr="00F70333" w:rsidRDefault="00CF3605" w:rsidP="00C84648">
            <w:pPr>
              <w:jc w:val="center"/>
              <w:rPr>
                <w:color w:val="000000"/>
                <w:szCs w:val="22"/>
              </w:rPr>
            </w:pPr>
            <w:r w:rsidRPr="00F70333">
              <w:rPr>
                <w:color w:val="000000"/>
                <w:szCs w:val="22"/>
              </w:rPr>
              <w:t>$</w:t>
            </w:r>
            <w:r>
              <w:rPr>
                <w:color w:val="000000"/>
                <w:szCs w:val="22"/>
              </w:rPr>
              <w:t>528</w:t>
            </w:r>
          </w:p>
        </w:tc>
      </w:tr>
      <w:tr w:rsidR="00CF3605" w:rsidRPr="00F70333" w:rsidTr="00C84648">
        <w:trPr>
          <w:trHeight w:val="330"/>
        </w:trPr>
        <w:tc>
          <w:tcPr>
            <w:tcW w:w="1701" w:type="dxa"/>
            <w:vMerge/>
            <w:tcBorders>
              <w:left w:val="single" w:sz="8" w:space="0" w:color="auto"/>
              <w:bottom w:val="single" w:sz="8" w:space="0" w:color="auto"/>
              <w:right w:val="single" w:sz="8" w:space="0" w:color="auto"/>
            </w:tcBorders>
            <w:shd w:val="clear" w:color="auto" w:fill="auto"/>
            <w:vAlign w:val="center"/>
            <w:hideMark/>
          </w:tcPr>
          <w:p w:rsidR="00CF3605" w:rsidRPr="00F70333" w:rsidRDefault="00CF3605" w:rsidP="00C84648">
            <w:pPr>
              <w:rPr>
                <w:color w:val="000000"/>
              </w:rPr>
            </w:pPr>
          </w:p>
        </w:tc>
        <w:tc>
          <w:tcPr>
            <w:tcW w:w="2206" w:type="dxa"/>
            <w:tcBorders>
              <w:top w:val="nil"/>
              <w:left w:val="nil"/>
              <w:bottom w:val="single" w:sz="8" w:space="0" w:color="auto"/>
              <w:right w:val="single" w:sz="8" w:space="0" w:color="auto"/>
            </w:tcBorders>
            <w:shd w:val="clear" w:color="auto" w:fill="auto"/>
            <w:hideMark/>
          </w:tcPr>
          <w:p w:rsidR="00CF3605" w:rsidRPr="00F70333" w:rsidRDefault="00CF3605" w:rsidP="00C84648">
            <w:pPr>
              <w:jc w:val="center"/>
              <w:rPr>
                <w:color w:val="000000"/>
              </w:rPr>
            </w:pPr>
            <w:r w:rsidRPr="00F70333">
              <w:rPr>
                <w:color w:val="000000"/>
              </w:rPr>
              <w:t>Early Exit Interview</w:t>
            </w:r>
          </w:p>
        </w:tc>
        <w:tc>
          <w:tcPr>
            <w:tcW w:w="1403" w:type="dxa"/>
            <w:tcBorders>
              <w:top w:val="single" w:sz="8" w:space="0" w:color="auto"/>
              <w:left w:val="nil"/>
              <w:bottom w:val="single" w:sz="8" w:space="0" w:color="auto"/>
              <w:right w:val="single" w:sz="8" w:space="0" w:color="auto"/>
            </w:tcBorders>
            <w:shd w:val="clear" w:color="auto" w:fill="auto"/>
            <w:hideMark/>
          </w:tcPr>
          <w:p w:rsidR="00CF3605" w:rsidRPr="00F70333" w:rsidRDefault="00CF3605" w:rsidP="00C84648">
            <w:pPr>
              <w:jc w:val="center"/>
            </w:pPr>
            <w:r>
              <w:t>4.4</w:t>
            </w:r>
          </w:p>
        </w:tc>
        <w:tc>
          <w:tcPr>
            <w:tcW w:w="1283" w:type="dxa"/>
            <w:tcBorders>
              <w:top w:val="nil"/>
              <w:left w:val="nil"/>
              <w:bottom w:val="single" w:sz="8" w:space="0" w:color="auto"/>
              <w:right w:val="single" w:sz="8" w:space="0" w:color="auto"/>
            </w:tcBorders>
            <w:shd w:val="clear" w:color="auto" w:fill="auto"/>
            <w:noWrap/>
            <w:hideMark/>
          </w:tcPr>
          <w:p w:rsidR="00CF3605" w:rsidRPr="00F70333" w:rsidRDefault="00CF3605" w:rsidP="00C84648">
            <w:pPr>
              <w:jc w:val="center"/>
              <w:rPr>
                <w:color w:val="000000"/>
              </w:rPr>
            </w:pPr>
            <w:r w:rsidRPr="00F70333">
              <w:rPr>
                <w:color w:val="000000"/>
              </w:rPr>
              <w:t>$13.19</w:t>
            </w:r>
          </w:p>
        </w:tc>
        <w:tc>
          <w:tcPr>
            <w:tcW w:w="1687" w:type="dxa"/>
            <w:tcBorders>
              <w:top w:val="nil"/>
              <w:left w:val="nil"/>
              <w:bottom w:val="single" w:sz="8" w:space="0" w:color="auto"/>
              <w:right w:val="single" w:sz="8" w:space="0" w:color="auto"/>
            </w:tcBorders>
            <w:shd w:val="clear" w:color="auto" w:fill="auto"/>
            <w:noWrap/>
            <w:hideMark/>
          </w:tcPr>
          <w:p w:rsidR="00CF3605" w:rsidRPr="00F70333" w:rsidRDefault="00CF3605" w:rsidP="00C84648">
            <w:pPr>
              <w:jc w:val="center"/>
              <w:rPr>
                <w:color w:val="000000"/>
                <w:szCs w:val="22"/>
              </w:rPr>
            </w:pPr>
            <w:r w:rsidRPr="00F70333">
              <w:rPr>
                <w:color w:val="000000"/>
                <w:szCs w:val="22"/>
              </w:rPr>
              <w:t>$</w:t>
            </w:r>
            <w:r>
              <w:rPr>
                <w:color w:val="000000"/>
                <w:szCs w:val="22"/>
              </w:rPr>
              <w:t>58</w:t>
            </w:r>
          </w:p>
        </w:tc>
      </w:tr>
      <w:tr w:rsidR="00CF3605" w:rsidRPr="00F70333" w:rsidTr="00C84648">
        <w:trPr>
          <w:trHeight w:val="330"/>
        </w:trPr>
        <w:tc>
          <w:tcPr>
            <w:tcW w:w="6593"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CF3605" w:rsidRPr="00F70333" w:rsidRDefault="00CF3605" w:rsidP="00C84648">
            <w:pPr>
              <w:rPr>
                <w:color w:val="000000"/>
              </w:rPr>
            </w:pPr>
            <w:r w:rsidRPr="00F70333">
              <w:rPr>
                <w:color w:val="000000"/>
              </w:rPr>
              <w:t>Total</w:t>
            </w:r>
          </w:p>
        </w:tc>
        <w:tc>
          <w:tcPr>
            <w:tcW w:w="1687" w:type="dxa"/>
            <w:tcBorders>
              <w:top w:val="single" w:sz="8" w:space="0" w:color="auto"/>
              <w:left w:val="nil"/>
              <w:bottom w:val="single" w:sz="8" w:space="0" w:color="auto"/>
              <w:right w:val="single" w:sz="8" w:space="0" w:color="auto"/>
            </w:tcBorders>
            <w:shd w:val="clear" w:color="auto" w:fill="auto"/>
            <w:noWrap/>
            <w:hideMark/>
          </w:tcPr>
          <w:p w:rsidR="00CF3605" w:rsidRPr="00F70333" w:rsidRDefault="00CF3605" w:rsidP="00C84648">
            <w:pPr>
              <w:jc w:val="center"/>
              <w:rPr>
                <w:color w:val="000000"/>
                <w:szCs w:val="22"/>
              </w:rPr>
            </w:pPr>
            <w:r w:rsidRPr="00F70333">
              <w:rPr>
                <w:color w:val="000000"/>
                <w:szCs w:val="22"/>
              </w:rPr>
              <w:t>$</w:t>
            </w:r>
            <w:r>
              <w:rPr>
                <w:color w:val="000000"/>
                <w:szCs w:val="22"/>
              </w:rPr>
              <w:t>19,790</w:t>
            </w:r>
          </w:p>
        </w:tc>
      </w:tr>
    </w:tbl>
    <w:p w:rsidR="007F1CDE" w:rsidRPr="00F70333" w:rsidRDefault="007F1CDE" w:rsidP="007F1CDE"/>
    <w:p w:rsidR="0038553A" w:rsidRPr="00F70333" w:rsidRDefault="0038553A" w:rsidP="0038553A">
      <w:r w:rsidRPr="00F70333">
        <w:t xml:space="preserve">   </w:t>
      </w:r>
    </w:p>
    <w:p w:rsidR="0038553A" w:rsidRPr="00F70333" w:rsidRDefault="0038553A" w:rsidP="0038553A">
      <w:pPr>
        <w:outlineLvl w:val="1"/>
        <w:rPr>
          <w:rStyle w:val="Heading2Char"/>
          <w:b w:val="0"/>
        </w:rPr>
      </w:pPr>
      <w:bookmarkStart w:id="44" w:name="_Toc239826785"/>
      <w:bookmarkStart w:id="45" w:name="_Toc248224222"/>
      <w:bookmarkStart w:id="46" w:name="_Toc248224359"/>
      <w:bookmarkStart w:id="47" w:name="_Toc248224902"/>
      <w:bookmarkStart w:id="48" w:name="_Toc248225333"/>
      <w:bookmarkStart w:id="49" w:name="_Toc248225622"/>
      <w:bookmarkStart w:id="50" w:name="_Toc248821752"/>
      <w:bookmarkStart w:id="51" w:name="_Toc261966296"/>
      <w:r w:rsidRPr="00F70333">
        <w:rPr>
          <w:rStyle w:val="Heading2Char"/>
          <w:b w:val="0"/>
        </w:rPr>
        <w:t>A13.</w:t>
      </w:r>
      <w:r w:rsidRPr="00F70333">
        <w:rPr>
          <w:rStyle w:val="Heading2Char"/>
          <w:b w:val="0"/>
        </w:rPr>
        <w:tab/>
        <w:t>Estimates of Other Total Annual Cost Burden to Respondents or Record Keepers</w:t>
      </w:r>
      <w:bookmarkEnd w:id="44"/>
      <w:bookmarkEnd w:id="45"/>
      <w:bookmarkEnd w:id="46"/>
      <w:bookmarkEnd w:id="47"/>
      <w:bookmarkEnd w:id="48"/>
      <w:bookmarkEnd w:id="49"/>
      <w:bookmarkEnd w:id="50"/>
      <w:bookmarkEnd w:id="51"/>
    </w:p>
    <w:p w:rsidR="003938D6" w:rsidRPr="00F70333" w:rsidRDefault="003938D6" w:rsidP="0038553A">
      <w:pPr>
        <w:outlineLvl w:val="1"/>
        <w:rPr>
          <w:rStyle w:val="Heading2Char"/>
          <w:b w:val="0"/>
        </w:rPr>
      </w:pPr>
    </w:p>
    <w:p w:rsidR="0038553A" w:rsidRPr="00F70333" w:rsidRDefault="0038553A" w:rsidP="0038553A">
      <w:r w:rsidRPr="00F70333">
        <w:t>There are no capital or maintenance costs to respondents.</w:t>
      </w:r>
    </w:p>
    <w:p w:rsidR="0038553A" w:rsidRPr="00F70333" w:rsidRDefault="0038553A" w:rsidP="0038553A"/>
    <w:p w:rsidR="0038553A" w:rsidRPr="00F70333" w:rsidRDefault="0038553A" w:rsidP="0038553A">
      <w:pPr>
        <w:pStyle w:val="Heading2"/>
        <w:rPr>
          <w:b w:val="0"/>
        </w:rPr>
      </w:pPr>
      <w:bookmarkStart w:id="52" w:name="_Toc239826786"/>
      <w:bookmarkStart w:id="53" w:name="_Toc248821753"/>
      <w:bookmarkStart w:id="54" w:name="_Toc261966297"/>
      <w:r w:rsidRPr="00F70333">
        <w:rPr>
          <w:b w:val="0"/>
        </w:rPr>
        <w:t>A14.</w:t>
      </w:r>
      <w:r w:rsidRPr="00F70333">
        <w:rPr>
          <w:b w:val="0"/>
        </w:rPr>
        <w:tab/>
        <w:t>Annualized Cost to the Government</w:t>
      </w:r>
      <w:bookmarkEnd w:id="52"/>
      <w:bookmarkEnd w:id="53"/>
      <w:bookmarkEnd w:id="54"/>
    </w:p>
    <w:p w:rsidR="00125462" w:rsidRPr="00F70333" w:rsidRDefault="00125462" w:rsidP="00125462">
      <w:pPr>
        <w:rPr>
          <w:lang w:eastAsia="ja-JP"/>
        </w:rPr>
      </w:pPr>
    </w:p>
    <w:p w:rsidR="0038553A" w:rsidRPr="00F70333" w:rsidRDefault="0038553A" w:rsidP="0038553A">
      <w:r w:rsidRPr="00F70333">
        <w:t xml:space="preserve">Total costs include work performed </w:t>
      </w:r>
      <w:r w:rsidR="00535E57" w:rsidRPr="00F70333">
        <w:t xml:space="preserve">over the course of four years </w:t>
      </w:r>
      <w:r w:rsidRPr="00F70333">
        <w:t xml:space="preserve">by </w:t>
      </w:r>
      <w:r w:rsidR="00125462" w:rsidRPr="00F70333">
        <w:t>CDC</w:t>
      </w:r>
      <w:r w:rsidR="00077388" w:rsidRPr="00F70333">
        <w:t xml:space="preserve"> research personnel</w:t>
      </w:r>
      <w:r w:rsidR="00535E57" w:rsidRPr="00F70333">
        <w:t xml:space="preserve"> (1 industrial hygienist, 2 epidemiologists, and 1 statistician)</w:t>
      </w:r>
      <w:r w:rsidR="00077388" w:rsidRPr="00F70333">
        <w:t xml:space="preserve"> and contracted administrative</w:t>
      </w:r>
      <w:r w:rsidR="00125462" w:rsidRPr="00F70333">
        <w:t xml:space="preserve"> personnel, including </w:t>
      </w:r>
      <w:r w:rsidRPr="00F70333">
        <w:t>tasks such as: (1) development of survey materials; (2) development of sampl</w:t>
      </w:r>
      <w:r w:rsidR="00535E57" w:rsidRPr="00F70333">
        <w:t>ing</w:t>
      </w:r>
      <w:r w:rsidRPr="00F70333">
        <w:t xml:space="preserve"> frame and sample selection; (3) survey conduct; (4) sample tracking; (5) data receipt and processing; and (6) data entry and delivery.  Estimated annualized costs to the Federal Government for the survey period are presented in Table A.14-1 below.</w:t>
      </w:r>
    </w:p>
    <w:p w:rsidR="003C0C00" w:rsidRPr="00F70333" w:rsidRDefault="003C0C00" w:rsidP="0038553A"/>
    <w:p w:rsidR="0038553A" w:rsidRDefault="0038553A" w:rsidP="00514252">
      <w:pPr>
        <w:jc w:val="center"/>
      </w:pPr>
      <w:proofErr w:type="gramStart"/>
      <w:r w:rsidRPr="00F70333">
        <w:t>Table A.14-1.</w:t>
      </w:r>
      <w:proofErr w:type="gramEnd"/>
      <w:r w:rsidRPr="00F70333">
        <w:t xml:space="preserve"> Estimated Annualized Cost to the Federal Government</w:t>
      </w:r>
    </w:p>
    <w:p w:rsidR="00C74207" w:rsidRDefault="00C74207" w:rsidP="00514252">
      <w:pPr>
        <w:jc w:val="center"/>
      </w:pPr>
    </w:p>
    <w:p w:rsidR="00125462" w:rsidRPr="00F70333" w:rsidRDefault="00125462" w:rsidP="00514252">
      <w:pPr>
        <w:jc w:val="center"/>
      </w:pP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296"/>
        <w:gridCol w:w="1296"/>
        <w:gridCol w:w="1296"/>
        <w:gridCol w:w="1296"/>
        <w:gridCol w:w="1416"/>
        <w:gridCol w:w="1323"/>
      </w:tblGrid>
      <w:tr w:rsidR="006329F1" w:rsidRPr="00F70333" w:rsidTr="006329F1">
        <w:tc>
          <w:tcPr>
            <w:tcW w:w="1729" w:type="dxa"/>
          </w:tcPr>
          <w:p w:rsidR="006329F1" w:rsidRPr="00F70333" w:rsidRDefault="006329F1" w:rsidP="006329F1">
            <w:pPr>
              <w:jc w:val="center"/>
              <w:rPr>
                <w:color w:val="000000"/>
              </w:rPr>
            </w:pPr>
          </w:p>
        </w:tc>
        <w:tc>
          <w:tcPr>
            <w:tcW w:w="1296" w:type="dxa"/>
          </w:tcPr>
          <w:p w:rsidR="006329F1" w:rsidRPr="00F70333" w:rsidRDefault="006329F1" w:rsidP="006329F1">
            <w:pPr>
              <w:jc w:val="center"/>
              <w:rPr>
                <w:color w:val="000000"/>
              </w:rPr>
            </w:pPr>
            <w:r w:rsidRPr="00F70333">
              <w:rPr>
                <w:color w:val="000000"/>
              </w:rPr>
              <w:t>FY2011</w:t>
            </w:r>
          </w:p>
        </w:tc>
        <w:tc>
          <w:tcPr>
            <w:tcW w:w="1296" w:type="dxa"/>
          </w:tcPr>
          <w:p w:rsidR="006329F1" w:rsidRPr="00F70333" w:rsidRDefault="006329F1" w:rsidP="006329F1">
            <w:pPr>
              <w:jc w:val="center"/>
              <w:rPr>
                <w:color w:val="000000"/>
              </w:rPr>
            </w:pPr>
            <w:r w:rsidRPr="00F70333">
              <w:rPr>
                <w:color w:val="000000"/>
              </w:rPr>
              <w:t>FY2012</w:t>
            </w:r>
          </w:p>
        </w:tc>
        <w:tc>
          <w:tcPr>
            <w:tcW w:w="1296" w:type="dxa"/>
          </w:tcPr>
          <w:p w:rsidR="006329F1" w:rsidRPr="00F70333" w:rsidRDefault="006329F1" w:rsidP="006329F1">
            <w:pPr>
              <w:jc w:val="center"/>
              <w:rPr>
                <w:color w:val="000000"/>
              </w:rPr>
            </w:pPr>
            <w:r w:rsidRPr="00F70333">
              <w:rPr>
                <w:color w:val="000000"/>
              </w:rPr>
              <w:t>FY2013</w:t>
            </w:r>
          </w:p>
        </w:tc>
        <w:tc>
          <w:tcPr>
            <w:tcW w:w="1296" w:type="dxa"/>
          </w:tcPr>
          <w:p w:rsidR="006329F1" w:rsidRPr="00F70333" w:rsidRDefault="006329F1" w:rsidP="006329F1">
            <w:pPr>
              <w:jc w:val="center"/>
              <w:rPr>
                <w:color w:val="000000"/>
              </w:rPr>
            </w:pPr>
            <w:r w:rsidRPr="00F70333">
              <w:rPr>
                <w:color w:val="000000"/>
              </w:rPr>
              <w:t>FY2014</w:t>
            </w:r>
          </w:p>
        </w:tc>
        <w:tc>
          <w:tcPr>
            <w:tcW w:w="1416" w:type="dxa"/>
          </w:tcPr>
          <w:p w:rsidR="006329F1" w:rsidRPr="00F70333" w:rsidRDefault="006329F1" w:rsidP="006329F1">
            <w:pPr>
              <w:jc w:val="center"/>
              <w:rPr>
                <w:color w:val="000000"/>
              </w:rPr>
            </w:pPr>
            <w:r w:rsidRPr="00F70333">
              <w:rPr>
                <w:color w:val="000000"/>
              </w:rPr>
              <w:t>TOTAL</w:t>
            </w:r>
          </w:p>
          <w:p w:rsidR="006329F1" w:rsidRPr="00F70333" w:rsidRDefault="006329F1" w:rsidP="006329F1">
            <w:pPr>
              <w:jc w:val="center"/>
              <w:rPr>
                <w:color w:val="000000"/>
              </w:rPr>
            </w:pPr>
            <w:r w:rsidRPr="00F70333">
              <w:rPr>
                <w:color w:val="000000"/>
              </w:rPr>
              <w:t>PROJECT</w:t>
            </w:r>
          </w:p>
        </w:tc>
        <w:tc>
          <w:tcPr>
            <w:tcW w:w="1323" w:type="dxa"/>
          </w:tcPr>
          <w:p w:rsidR="006329F1" w:rsidRPr="00F70333" w:rsidRDefault="006329F1" w:rsidP="006329F1">
            <w:pPr>
              <w:jc w:val="center"/>
              <w:rPr>
                <w:color w:val="000000"/>
              </w:rPr>
            </w:pPr>
            <w:r w:rsidRPr="00F70333">
              <w:rPr>
                <w:color w:val="000000"/>
              </w:rPr>
              <w:t>Annualized Cost</w:t>
            </w:r>
          </w:p>
        </w:tc>
      </w:tr>
      <w:tr w:rsidR="00171BC0" w:rsidRPr="00F70333" w:rsidTr="00171BC0">
        <w:tc>
          <w:tcPr>
            <w:tcW w:w="1729" w:type="dxa"/>
          </w:tcPr>
          <w:p w:rsidR="00171BC0" w:rsidRPr="00F70333" w:rsidRDefault="00171BC0" w:rsidP="006329F1">
            <w:pPr>
              <w:jc w:val="center"/>
              <w:rPr>
                <w:color w:val="000000"/>
              </w:rPr>
            </w:pPr>
            <w:r w:rsidRPr="00F70333">
              <w:rPr>
                <w:color w:val="000000"/>
              </w:rPr>
              <w:t>CDC Personnel Salaries and Benefits</w:t>
            </w:r>
            <w:r w:rsidRPr="00F70333">
              <w:rPr>
                <w:color w:val="000000"/>
                <w:sz w:val="28"/>
                <w:szCs w:val="28"/>
                <w:vertAlign w:val="superscript"/>
              </w:rPr>
              <w:t xml:space="preserve"> a</w:t>
            </w:r>
          </w:p>
        </w:tc>
        <w:tc>
          <w:tcPr>
            <w:tcW w:w="1296" w:type="dxa"/>
          </w:tcPr>
          <w:p w:rsidR="00171BC0" w:rsidRPr="00F70333" w:rsidRDefault="00171BC0" w:rsidP="00171BC0">
            <w:pPr>
              <w:jc w:val="center"/>
              <w:rPr>
                <w:color w:val="000000"/>
                <w:szCs w:val="22"/>
              </w:rPr>
            </w:pPr>
            <w:r w:rsidRPr="00F70333">
              <w:rPr>
                <w:color w:val="000000"/>
                <w:szCs w:val="22"/>
              </w:rPr>
              <w:t>$16,588.60</w:t>
            </w:r>
          </w:p>
        </w:tc>
        <w:tc>
          <w:tcPr>
            <w:tcW w:w="1296" w:type="dxa"/>
          </w:tcPr>
          <w:p w:rsidR="00171BC0" w:rsidRPr="00F70333" w:rsidRDefault="00171BC0" w:rsidP="00171BC0">
            <w:pPr>
              <w:jc w:val="center"/>
              <w:rPr>
                <w:color w:val="000000"/>
                <w:szCs w:val="22"/>
              </w:rPr>
            </w:pPr>
            <w:r w:rsidRPr="00F70333">
              <w:rPr>
                <w:color w:val="000000"/>
                <w:szCs w:val="22"/>
              </w:rPr>
              <w:t>$17,418.03</w:t>
            </w:r>
          </w:p>
        </w:tc>
        <w:tc>
          <w:tcPr>
            <w:tcW w:w="1296" w:type="dxa"/>
          </w:tcPr>
          <w:p w:rsidR="00171BC0" w:rsidRPr="00F70333" w:rsidRDefault="00171BC0" w:rsidP="00171BC0">
            <w:pPr>
              <w:jc w:val="center"/>
              <w:rPr>
                <w:color w:val="000000"/>
                <w:szCs w:val="22"/>
              </w:rPr>
            </w:pPr>
            <w:r w:rsidRPr="00F70333">
              <w:rPr>
                <w:color w:val="000000"/>
                <w:szCs w:val="22"/>
              </w:rPr>
              <w:t>$18,288.93</w:t>
            </w:r>
          </w:p>
        </w:tc>
        <w:tc>
          <w:tcPr>
            <w:tcW w:w="1296" w:type="dxa"/>
          </w:tcPr>
          <w:p w:rsidR="00171BC0" w:rsidRPr="00F70333" w:rsidRDefault="00171BC0" w:rsidP="00171BC0">
            <w:pPr>
              <w:jc w:val="center"/>
              <w:rPr>
                <w:color w:val="000000"/>
                <w:szCs w:val="22"/>
              </w:rPr>
            </w:pPr>
            <w:r w:rsidRPr="00F70333">
              <w:rPr>
                <w:color w:val="000000"/>
                <w:szCs w:val="22"/>
              </w:rPr>
              <w:t>$19,203.38</w:t>
            </w:r>
          </w:p>
        </w:tc>
        <w:tc>
          <w:tcPr>
            <w:tcW w:w="1416" w:type="dxa"/>
          </w:tcPr>
          <w:p w:rsidR="00171BC0" w:rsidRPr="00F70333" w:rsidRDefault="00171BC0" w:rsidP="00171BC0">
            <w:pPr>
              <w:jc w:val="center"/>
              <w:rPr>
                <w:color w:val="000000"/>
                <w:szCs w:val="22"/>
              </w:rPr>
            </w:pPr>
            <w:r w:rsidRPr="00F70333">
              <w:rPr>
                <w:color w:val="000000"/>
                <w:szCs w:val="22"/>
              </w:rPr>
              <w:t>$71,498.94</w:t>
            </w:r>
          </w:p>
        </w:tc>
        <w:tc>
          <w:tcPr>
            <w:tcW w:w="1323" w:type="dxa"/>
          </w:tcPr>
          <w:p w:rsidR="00171BC0" w:rsidRPr="00F70333" w:rsidRDefault="00171BC0" w:rsidP="00171BC0">
            <w:pPr>
              <w:jc w:val="center"/>
              <w:rPr>
                <w:color w:val="000000"/>
                <w:szCs w:val="22"/>
              </w:rPr>
            </w:pPr>
            <w:r w:rsidRPr="00F70333">
              <w:rPr>
                <w:color w:val="000000"/>
                <w:szCs w:val="22"/>
              </w:rPr>
              <w:t>$17,874.73</w:t>
            </w:r>
          </w:p>
        </w:tc>
      </w:tr>
      <w:tr w:rsidR="00171BC0" w:rsidRPr="00F70333" w:rsidTr="00171BC0">
        <w:tc>
          <w:tcPr>
            <w:tcW w:w="1729" w:type="dxa"/>
          </w:tcPr>
          <w:p w:rsidR="00171BC0" w:rsidRPr="00F70333" w:rsidRDefault="00171BC0" w:rsidP="006329F1">
            <w:pPr>
              <w:jc w:val="center"/>
              <w:rPr>
                <w:color w:val="000000"/>
              </w:rPr>
            </w:pPr>
            <w:r w:rsidRPr="00F70333">
              <w:rPr>
                <w:color w:val="000000"/>
              </w:rPr>
              <w:t>Travel</w:t>
            </w:r>
          </w:p>
        </w:tc>
        <w:tc>
          <w:tcPr>
            <w:tcW w:w="1296" w:type="dxa"/>
          </w:tcPr>
          <w:p w:rsidR="00171BC0" w:rsidRPr="00F70333" w:rsidRDefault="00171BC0" w:rsidP="00171BC0">
            <w:pPr>
              <w:jc w:val="center"/>
              <w:rPr>
                <w:color w:val="000000"/>
                <w:szCs w:val="22"/>
              </w:rPr>
            </w:pPr>
            <w:r w:rsidRPr="00F70333">
              <w:rPr>
                <w:color w:val="000000"/>
                <w:szCs w:val="22"/>
              </w:rPr>
              <w:t>$1,180.00</w:t>
            </w:r>
          </w:p>
        </w:tc>
        <w:tc>
          <w:tcPr>
            <w:tcW w:w="1296" w:type="dxa"/>
          </w:tcPr>
          <w:p w:rsidR="00171BC0" w:rsidRPr="00F70333" w:rsidRDefault="00171BC0" w:rsidP="00171BC0">
            <w:pPr>
              <w:jc w:val="center"/>
              <w:rPr>
                <w:color w:val="000000"/>
                <w:szCs w:val="22"/>
              </w:rPr>
            </w:pPr>
            <w:r w:rsidRPr="00F70333">
              <w:rPr>
                <w:color w:val="000000"/>
                <w:szCs w:val="22"/>
              </w:rPr>
              <w:t>$1,470.00</w:t>
            </w:r>
          </w:p>
        </w:tc>
        <w:tc>
          <w:tcPr>
            <w:tcW w:w="1296" w:type="dxa"/>
          </w:tcPr>
          <w:p w:rsidR="00171BC0" w:rsidRPr="00F70333" w:rsidRDefault="00171BC0" w:rsidP="00171BC0">
            <w:pPr>
              <w:jc w:val="center"/>
              <w:rPr>
                <w:color w:val="000000"/>
                <w:szCs w:val="22"/>
              </w:rPr>
            </w:pPr>
            <w:r w:rsidRPr="00F70333">
              <w:rPr>
                <w:color w:val="000000"/>
                <w:szCs w:val="22"/>
              </w:rPr>
              <w:t>$1,470.00</w:t>
            </w:r>
          </w:p>
        </w:tc>
        <w:tc>
          <w:tcPr>
            <w:tcW w:w="1296" w:type="dxa"/>
          </w:tcPr>
          <w:p w:rsidR="00171BC0" w:rsidRPr="00F70333" w:rsidRDefault="00171BC0" w:rsidP="00171BC0">
            <w:pPr>
              <w:jc w:val="center"/>
              <w:rPr>
                <w:color w:val="000000"/>
                <w:szCs w:val="22"/>
              </w:rPr>
            </w:pPr>
            <w:r w:rsidRPr="00F70333">
              <w:rPr>
                <w:color w:val="000000"/>
                <w:szCs w:val="22"/>
              </w:rPr>
              <w:t>$1,450.00</w:t>
            </w:r>
          </w:p>
        </w:tc>
        <w:tc>
          <w:tcPr>
            <w:tcW w:w="1416" w:type="dxa"/>
          </w:tcPr>
          <w:p w:rsidR="00171BC0" w:rsidRPr="00F70333" w:rsidRDefault="00171BC0" w:rsidP="00171BC0">
            <w:pPr>
              <w:jc w:val="center"/>
              <w:rPr>
                <w:color w:val="000000"/>
                <w:szCs w:val="22"/>
              </w:rPr>
            </w:pPr>
            <w:r w:rsidRPr="00F70333">
              <w:rPr>
                <w:color w:val="000000"/>
                <w:szCs w:val="22"/>
              </w:rPr>
              <w:t>$5,570.00</w:t>
            </w:r>
          </w:p>
        </w:tc>
        <w:tc>
          <w:tcPr>
            <w:tcW w:w="1323" w:type="dxa"/>
          </w:tcPr>
          <w:p w:rsidR="00171BC0" w:rsidRPr="00F70333" w:rsidRDefault="00171BC0" w:rsidP="00171BC0">
            <w:pPr>
              <w:jc w:val="center"/>
              <w:rPr>
                <w:color w:val="000000"/>
                <w:szCs w:val="22"/>
              </w:rPr>
            </w:pPr>
            <w:r w:rsidRPr="00F70333">
              <w:rPr>
                <w:color w:val="000000"/>
                <w:szCs w:val="22"/>
              </w:rPr>
              <w:t>$1,392.50</w:t>
            </w:r>
          </w:p>
        </w:tc>
      </w:tr>
      <w:tr w:rsidR="00171BC0" w:rsidRPr="00F70333" w:rsidTr="00171BC0">
        <w:tc>
          <w:tcPr>
            <w:tcW w:w="1729" w:type="dxa"/>
          </w:tcPr>
          <w:p w:rsidR="00171BC0" w:rsidRPr="00F70333" w:rsidRDefault="00171BC0" w:rsidP="00D324DA">
            <w:pPr>
              <w:jc w:val="center"/>
              <w:rPr>
                <w:color w:val="000000"/>
              </w:rPr>
            </w:pPr>
            <w:r w:rsidRPr="00F70333">
              <w:rPr>
                <w:color w:val="000000"/>
              </w:rPr>
              <w:lastRenderedPageBreak/>
              <w:t xml:space="preserve">Contractual </w:t>
            </w:r>
          </w:p>
        </w:tc>
        <w:tc>
          <w:tcPr>
            <w:tcW w:w="1296" w:type="dxa"/>
          </w:tcPr>
          <w:p w:rsidR="00171BC0" w:rsidRPr="00F70333" w:rsidRDefault="00171BC0" w:rsidP="00171BC0">
            <w:pPr>
              <w:jc w:val="center"/>
              <w:rPr>
                <w:color w:val="000000"/>
                <w:szCs w:val="22"/>
              </w:rPr>
            </w:pPr>
            <w:r w:rsidRPr="00F70333">
              <w:rPr>
                <w:color w:val="000000"/>
                <w:szCs w:val="22"/>
              </w:rPr>
              <w:t>$13,000.00</w:t>
            </w:r>
          </w:p>
        </w:tc>
        <w:tc>
          <w:tcPr>
            <w:tcW w:w="1296" w:type="dxa"/>
          </w:tcPr>
          <w:p w:rsidR="00171BC0" w:rsidRPr="00F70333" w:rsidRDefault="00171BC0" w:rsidP="00171BC0">
            <w:pPr>
              <w:jc w:val="center"/>
              <w:rPr>
                <w:color w:val="000000"/>
                <w:szCs w:val="22"/>
              </w:rPr>
            </w:pPr>
            <w:r w:rsidRPr="00F70333">
              <w:rPr>
                <w:color w:val="000000"/>
                <w:szCs w:val="22"/>
              </w:rPr>
              <w:t>$13,000.00</w:t>
            </w:r>
          </w:p>
        </w:tc>
        <w:tc>
          <w:tcPr>
            <w:tcW w:w="1296" w:type="dxa"/>
          </w:tcPr>
          <w:p w:rsidR="00171BC0" w:rsidRPr="00F70333" w:rsidRDefault="00171BC0" w:rsidP="00171BC0">
            <w:pPr>
              <w:jc w:val="center"/>
              <w:rPr>
                <w:color w:val="000000"/>
                <w:szCs w:val="22"/>
              </w:rPr>
            </w:pPr>
            <w:r w:rsidRPr="00F70333">
              <w:rPr>
                <w:color w:val="000000"/>
                <w:szCs w:val="22"/>
              </w:rPr>
              <w:t>$13,000.00</w:t>
            </w:r>
          </w:p>
        </w:tc>
        <w:tc>
          <w:tcPr>
            <w:tcW w:w="1296" w:type="dxa"/>
          </w:tcPr>
          <w:p w:rsidR="00171BC0" w:rsidRPr="00F70333" w:rsidRDefault="00171BC0" w:rsidP="00171BC0">
            <w:pPr>
              <w:jc w:val="center"/>
              <w:rPr>
                <w:color w:val="000000"/>
                <w:szCs w:val="22"/>
              </w:rPr>
            </w:pPr>
            <w:r w:rsidRPr="00F70333">
              <w:rPr>
                <w:color w:val="000000"/>
                <w:szCs w:val="22"/>
              </w:rPr>
              <w:t>$13,000.00</w:t>
            </w:r>
          </w:p>
        </w:tc>
        <w:tc>
          <w:tcPr>
            <w:tcW w:w="1416" w:type="dxa"/>
          </w:tcPr>
          <w:p w:rsidR="00171BC0" w:rsidRPr="00F70333" w:rsidRDefault="00171BC0" w:rsidP="00171BC0">
            <w:pPr>
              <w:jc w:val="center"/>
              <w:rPr>
                <w:color w:val="000000"/>
                <w:szCs w:val="22"/>
              </w:rPr>
            </w:pPr>
            <w:r w:rsidRPr="00F70333">
              <w:rPr>
                <w:color w:val="000000"/>
                <w:szCs w:val="22"/>
              </w:rPr>
              <w:t>$52,000.00</w:t>
            </w:r>
          </w:p>
        </w:tc>
        <w:tc>
          <w:tcPr>
            <w:tcW w:w="1323" w:type="dxa"/>
          </w:tcPr>
          <w:p w:rsidR="00171BC0" w:rsidRPr="00F70333" w:rsidRDefault="00171BC0" w:rsidP="00171BC0">
            <w:pPr>
              <w:jc w:val="center"/>
              <w:rPr>
                <w:color w:val="000000"/>
                <w:szCs w:val="22"/>
              </w:rPr>
            </w:pPr>
            <w:r w:rsidRPr="00F70333">
              <w:rPr>
                <w:color w:val="000000"/>
                <w:szCs w:val="22"/>
              </w:rPr>
              <w:t>$13,000.00</w:t>
            </w:r>
          </w:p>
        </w:tc>
      </w:tr>
      <w:tr w:rsidR="00171BC0" w:rsidRPr="00F70333" w:rsidTr="00171BC0">
        <w:tc>
          <w:tcPr>
            <w:tcW w:w="1729" w:type="dxa"/>
          </w:tcPr>
          <w:p w:rsidR="00171BC0" w:rsidRPr="00F70333" w:rsidRDefault="00171BC0" w:rsidP="006329F1">
            <w:pPr>
              <w:jc w:val="center"/>
              <w:rPr>
                <w:color w:val="000000"/>
              </w:rPr>
            </w:pPr>
            <w:r w:rsidRPr="00F70333">
              <w:rPr>
                <w:color w:val="000000"/>
              </w:rPr>
              <w:t>Supplies</w:t>
            </w:r>
          </w:p>
        </w:tc>
        <w:tc>
          <w:tcPr>
            <w:tcW w:w="1296" w:type="dxa"/>
          </w:tcPr>
          <w:p w:rsidR="00171BC0" w:rsidRPr="00F70333" w:rsidRDefault="00171BC0" w:rsidP="00171BC0">
            <w:pPr>
              <w:jc w:val="center"/>
              <w:rPr>
                <w:color w:val="000000"/>
                <w:szCs w:val="22"/>
              </w:rPr>
            </w:pPr>
            <w:r w:rsidRPr="00F70333">
              <w:rPr>
                <w:color w:val="000000"/>
                <w:szCs w:val="22"/>
              </w:rPr>
              <w:t>$2,500.00</w:t>
            </w:r>
          </w:p>
        </w:tc>
        <w:tc>
          <w:tcPr>
            <w:tcW w:w="1296" w:type="dxa"/>
          </w:tcPr>
          <w:p w:rsidR="00171BC0" w:rsidRPr="00F70333" w:rsidRDefault="00171BC0" w:rsidP="00171BC0">
            <w:pPr>
              <w:jc w:val="center"/>
              <w:rPr>
                <w:color w:val="000000"/>
                <w:szCs w:val="22"/>
              </w:rPr>
            </w:pPr>
            <w:r w:rsidRPr="00F70333">
              <w:rPr>
                <w:color w:val="000000"/>
                <w:szCs w:val="22"/>
              </w:rPr>
              <w:t>$2,500.00</w:t>
            </w:r>
          </w:p>
        </w:tc>
        <w:tc>
          <w:tcPr>
            <w:tcW w:w="1296" w:type="dxa"/>
          </w:tcPr>
          <w:p w:rsidR="00171BC0" w:rsidRPr="00F70333" w:rsidRDefault="00171BC0" w:rsidP="00171BC0">
            <w:pPr>
              <w:jc w:val="center"/>
              <w:rPr>
                <w:color w:val="000000"/>
                <w:szCs w:val="22"/>
              </w:rPr>
            </w:pPr>
            <w:r w:rsidRPr="00F70333">
              <w:rPr>
                <w:color w:val="000000"/>
                <w:szCs w:val="22"/>
              </w:rPr>
              <w:t>$2,500.00</w:t>
            </w:r>
          </w:p>
        </w:tc>
        <w:tc>
          <w:tcPr>
            <w:tcW w:w="1296" w:type="dxa"/>
          </w:tcPr>
          <w:p w:rsidR="00171BC0" w:rsidRPr="00F70333" w:rsidRDefault="00171BC0" w:rsidP="00171BC0">
            <w:pPr>
              <w:jc w:val="center"/>
              <w:rPr>
                <w:color w:val="000000"/>
                <w:szCs w:val="22"/>
              </w:rPr>
            </w:pPr>
            <w:r w:rsidRPr="00F70333">
              <w:rPr>
                <w:color w:val="000000"/>
                <w:szCs w:val="22"/>
              </w:rPr>
              <w:t>$2,000.00</w:t>
            </w:r>
          </w:p>
        </w:tc>
        <w:tc>
          <w:tcPr>
            <w:tcW w:w="1416" w:type="dxa"/>
          </w:tcPr>
          <w:p w:rsidR="00171BC0" w:rsidRPr="00F70333" w:rsidRDefault="00171BC0" w:rsidP="00171BC0">
            <w:pPr>
              <w:jc w:val="center"/>
              <w:rPr>
                <w:color w:val="000000"/>
                <w:szCs w:val="22"/>
              </w:rPr>
            </w:pPr>
            <w:r w:rsidRPr="00F70333">
              <w:rPr>
                <w:color w:val="000000"/>
                <w:szCs w:val="22"/>
              </w:rPr>
              <w:t>$9,500.00</w:t>
            </w:r>
          </w:p>
        </w:tc>
        <w:tc>
          <w:tcPr>
            <w:tcW w:w="1323" w:type="dxa"/>
          </w:tcPr>
          <w:p w:rsidR="00171BC0" w:rsidRPr="00F70333" w:rsidRDefault="00171BC0" w:rsidP="00171BC0">
            <w:pPr>
              <w:jc w:val="center"/>
              <w:rPr>
                <w:color w:val="000000"/>
                <w:szCs w:val="22"/>
              </w:rPr>
            </w:pPr>
            <w:r w:rsidRPr="00F70333">
              <w:rPr>
                <w:color w:val="000000"/>
                <w:szCs w:val="22"/>
              </w:rPr>
              <w:t>$2,375.00</w:t>
            </w:r>
          </w:p>
        </w:tc>
      </w:tr>
      <w:tr w:rsidR="00BE0FAA" w:rsidRPr="00F70333" w:rsidTr="00BE0FAA">
        <w:tc>
          <w:tcPr>
            <w:tcW w:w="1729" w:type="dxa"/>
          </w:tcPr>
          <w:p w:rsidR="00BE0FAA" w:rsidRPr="00F70333" w:rsidRDefault="00BE0FAA" w:rsidP="00BE0FAA">
            <w:pPr>
              <w:jc w:val="center"/>
              <w:rPr>
                <w:color w:val="000000"/>
              </w:rPr>
            </w:pPr>
            <w:r w:rsidRPr="00F70333">
              <w:rPr>
                <w:color w:val="000000"/>
              </w:rPr>
              <w:t>OTHER (Incentives for participants to complete surveys)</w:t>
            </w:r>
          </w:p>
        </w:tc>
        <w:tc>
          <w:tcPr>
            <w:tcW w:w="1296" w:type="dxa"/>
          </w:tcPr>
          <w:p w:rsidR="00BE0FAA" w:rsidRPr="00F70333" w:rsidRDefault="00BE0FAA" w:rsidP="00BE0FAA">
            <w:pPr>
              <w:jc w:val="center"/>
              <w:rPr>
                <w:color w:val="000000"/>
                <w:szCs w:val="22"/>
              </w:rPr>
            </w:pPr>
            <w:r w:rsidRPr="00F70333">
              <w:rPr>
                <w:color w:val="000000"/>
                <w:szCs w:val="22"/>
              </w:rPr>
              <w:t>$9,000.00</w:t>
            </w:r>
          </w:p>
        </w:tc>
        <w:tc>
          <w:tcPr>
            <w:tcW w:w="1296" w:type="dxa"/>
          </w:tcPr>
          <w:p w:rsidR="00BE0FAA" w:rsidRPr="00F70333" w:rsidRDefault="00BE0FAA" w:rsidP="00BE0FAA">
            <w:pPr>
              <w:jc w:val="center"/>
              <w:rPr>
                <w:color w:val="000000"/>
                <w:szCs w:val="22"/>
              </w:rPr>
            </w:pPr>
            <w:r w:rsidRPr="00F70333">
              <w:rPr>
                <w:color w:val="000000"/>
                <w:szCs w:val="22"/>
              </w:rPr>
              <w:t>$9,000.00</w:t>
            </w:r>
          </w:p>
        </w:tc>
        <w:tc>
          <w:tcPr>
            <w:tcW w:w="1296" w:type="dxa"/>
          </w:tcPr>
          <w:p w:rsidR="00BE0FAA" w:rsidRPr="00F70333" w:rsidRDefault="00BE0FAA" w:rsidP="00BE0FAA">
            <w:pPr>
              <w:jc w:val="center"/>
              <w:rPr>
                <w:color w:val="000000"/>
                <w:szCs w:val="22"/>
              </w:rPr>
            </w:pPr>
            <w:r w:rsidRPr="00F70333">
              <w:rPr>
                <w:color w:val="000000"/>
                <w:szCs w:val="22"/>
              </w:rPr>
              <w:t>$9,000.00</w:t>
            </w:r>
          </w:p>
        </w:tc>
        <w:tc>
          <w:tcPr>
            <w:tcW w:w="1296" w:type="dxa"/>
          </w:tcPr>
          <w:p w:rsidR="00BE0FAA" w:rsidRPr="00F70333" w:rsidRDefault="00BE0FAA" w:rsidP="00BE0FAA">
            <w:pPr>
              <w:jc w:val="center"/>
              <w:rPr>
                <w:color w:val="000000"/>
                <w:szCs w:val="22"/>
              </w:rPr>
            </w:pPr>
            <w:r w:rsidRPr="00F70333">
              <w:rPr>
                <w:color w:val="000000"/>
                <w:szCs w:val="22"/>
              </w:rPr>
              <w:t>$9,000.00</w:t>
            </w:r>
          </w:p>
        </w:tc>
        <w:tc>
          <w:tcPr>
            <w:tcW w:w="1416" w:type="dxa"/>
          </w:tcPr>
          <w:p w:rsidR="00BE0FAA" w:rsidRPr="00F70333" w:rsidRDefault="00BE0FAA" w:rsidP="00BE0FAA">
            <w:pPr>
              <w:jc w:val="center"/>
              <w:rPr>
                <w:color w:val="000000"/>
                <w:szCs w:val="22"/>
              </w:rPr>
            </w:pPr>
            <w:r w:rsidRPr="00F70333">
              <w:rPr>
                <w:color w:val="000000"/>
                <w:szCs w:val="22"/>
              </w:rPr>
              <w:t>$36,000.00</w:t>
            </w:r>
          </w:p>
        </w:tc>
        <w:tc>
          <w:tcPr>
            <w:tcW w:w="1323" w:type="dxa"/>
          </w:tcPr>
          <w:p w:rsidR="00BE0FAA" w:rsidRPr="00F70333" w:rsidRDefault="00BE0FAA" w:rsidP="00BE0FAA">
            <w:pPr>
              <w:jc w:val="center"/>
              <w:rPr>
                <w:color w:val="000000"/>
                <w:szCs w:val="22"/>
              </w:rPr>
            </w:pPr>
            <w:r w:rsidRPr="00F70333">
              <w:rPr>
                <w:color w:val="000000"/>
                <w:szCs w:val="22"/>
              </w:rPr>
              <w:t>$9,000.00</w:t>
            </w:r>
          </w:p>
        </w:tc>
      </w:tr>
      <w:tr w:rsidR="00BE0FAA" w:rsidRPr="00F70333" w:rsidTr="00BE0FAA">
        <w:tc>
          <w:tcPr>
            <w:tcW w:w="1729" w:type="dxa"/>
          </w:tcPr>
          <w:p w:rsidR="00BE0FAA" w:rsidRPr="00F70333" w:rsidRDefault="00BE0FAA" w:rsidP="00BE0FAA">
            <w:pPr>
              <w:jc w:val="center"/>
              <w:rPr>
                <w:color w:val="000000"/>
              </w:rPr>
            </w:pPr>
          </w:p>
        </w:tc>
        <w:tc>
          <w:tcPr>
            <w:tcW w:w="1296" w:type="dxa"/>
          </w:tcPr>
          <w:p w:rsidR="00BE0FAA" w:rsidRPr="00F70333" w:rsidRDefault="00BE0FAA" w:rsidP="00BE0FAA">
            <w:pPr>
              <w:jc w:val="center"/>
              <w:rPr>
                <w:color w:val="000000"/>
                <w:szCs w:val="22"/>
              </w:rPr>
            </w:pPr>
          </w:p>
        </w:tc>
        <w:tc>
          <w:tcPr>
            <w:tcW w:w="1296" w:type="dxa"/>
          </w:tcPr>
          <w:p w:rsidR="00BE0FAA" w:rsidRPr="00F70333" w:rsidRDefault="00BE0FAA" w:rsidP="00BE0FAA">
            <w:pPr>
              <w:jc w:val="center"/>
              <w:rPr>
                <w:color w:val="000000"/>
                <w:szCs w:val="22"/>
              </w:rPr>
            </w:pPr>
          </w:p>
        </w:tc>
        <w:tc>
          <w:tcPr>
            <w:tcW w:w="1296" w:type="dxa"/>
          </w:tcPr>
          <w:p w:rsidR="00BE0FAA" w:rsidRPr="00F70333" w:rsidRDefault="00BE0FAA" w:rsidP="00BE0FAA">
            <w:pPr>
              <w:jc w:val="center"/>
              <w:rPr>
                <w:color w:val="000000"/>
                <w:szCs w:val="22"/>
              </w:rPr>
            </w:pPr>
          </w:p>
        </w:tc>
        <w:tc>
          <w:tcPr>
            <w:tcW w:w="1296" w:type="dxa"/>
          </w:tcPr>
          <w:p w:rsidR="00BE0FAA" w:rsidRPr="00F70333" w:rsidRDefault="00BE0FAA" w:rsidP="00BE0FAA">
            <w:pPr>
              <w:jc w:val="center"/>
              <w:rPr>
                <w:color w:val="000000"/>
                <w:szCs w:val="22"/>
              </w:rPr>
            </w:pPr>
            <w:r w:rsidRPr="00F70333">
              <w:rPr>
                <w:color w:val="000000"/>
                <w:szCs w:val="22"/>
              </w:rPr>
              <w:t>TOTAL</w:t>
            </w:r>
          </w:p>
        </w:tc>
        <w:tc>
          <w:tcPr>
            <w:tcW w:w="1416" w:type="dxa"/>
          </w:tcPr>
          <w:p w:rsidR="00BE0FAA" w:rsidRPr="00F70333" w:rsidRDefault="00BE0FAA" w:rsidP="00BE0FAA">
            <w:pPr>
              <w:jc w:val="center"/>
              <w:rPr>
                <w:color w:val="000000"/>
                <w:szCs w:val="22"/>
              </w:rPr>
            </w:pPr>
            <w:r w:rsidRPr="00F70333">
              <w:rPr>
                <w:color w:val="000000"/>
                <w:szCs w:val="22"/>
              </w:rPr>
              <w:t>$138,568.94</w:t>
            </w:r>
          </w:p>
        </w:tc>
        <w:tc>
          <w:tcPr>
            <w:tcW w:w="1323" w:type="dxa"/>
          </w:tcPr>
          <w:p w:rsidR="00BE0FAA" w:rsidRPr="00F70333" w:rsidRDefault="00BE0FAA" w:rsidP="00BE0FAA">
            <w:pPr>
              <w:jc w:val="center"/>
              <w:rPr>
                <w:color w:val="000000"/>
                <w:szCs w:val="22"/>
              </w:rPr>
            </w:pPr>
            <w:r w:rsidRPr="00F70333">
              <w:rPr>
                <w:color w:val="000000"/>
                <w:szCs w:val="22"/>
              </w:rPr>
              <w:t>$34,642.23</w:t>
            </w:r>
          </w:p>
        </w:tc>
      </w:tr>
    </w:tbl>
    <w:p w:rsidR="00077388" w:rsidRDefault="00077388" w:rsidP="0038553A">
      <w:pPr>
        <w:pStyle w:val="Heading2"/>
        <w:rPr>
          <w:b w:val="0"/>
          <w:sz w:val="20"/>
          <w:szCs w:val="20"/>
        </w:rPr>
      </w:pPr>
      <w:bookmarkStart w:id="55" w:name="_Toc239826787"/>
      <w:bookmarkStart w:id="56" w:name="_Toc248821754"/>
      <w:bookmarkStart w:id="57" w:name="_Toc261966298"/>
      <w:proofErr w:type="gramStart"/>
      <w:r w:rsidRPr="00F70333">
        <w:rPr>
          <w:b w:val="0"/>
          <w:vertAlign w:val="superscript"/>
        </w:rPr>
        <w:t>a</w:t>
      </w:r>
      <w:proofErr w:type="gramEnd"/>
      <w:r w:rsidRPr="00F70333">
        <w:rPr>
          <w:b w:val="0"/>
          <w:vertAlign w:val="superscript"/>
        </w:rPr>
        <w:t xml:space="preserve"> </w:t>
      </w:r>
      <w:r w:rsidRPr="00F70333">
        <w:rPr>
          <w:b w:val="0"/>
          <w:sz w:val="20"/>
          <w:szCs w:val="20"/>
        </w:rPr>
        <w:t>Includes a 3% personnel cost of living salary increase per year</w:t>
      </w:r>
    </w:p>
    <w:p w:rsidR="00407F9B" w:rsidRDefault="00407F9B" w:rsidP="00407F9B"/>
    <w:p w:rsidR="00407F9B" w:rsidRPr="00F70333" w:rsidRDefault="00407F9B" w:rsidP="00407F9B">
      <w:r>
        <w:t>The annualized cost to the Federal Government is $34,642.</w:t>
      </w:r>
    </w:p>
    <w:p w:rsidR="00407F9B" w:rsidRPr="00407F9B" w:rsidRDefault="00407F9B" w:rsidP="00407F9B">
      <w:pPr>
        <w:rPr>
          <w:lang w:eastAsia="ja-JP"/>
        </w:rPr>
      </w:pPr>
    </w:p>
    <w:p w:rsidR="0038553A" w:rsidRPr="00F70333" w:rsidRDefault="0038553A" w:rsidP="0038553A">
      <w:pPr>
        <w:pStyle w:val="Heading2"/>
        <w:rPr>
          <w:b w:val="0"/>
        </w:rPr>
      </w:pPr>
      <w:r w:rsidRPr="00F70333">
        <w:rPr>
          <w:b w:val="0"/>
        </w:rPr>
        <w:t>A15.</w:t>
      </w:r>
      <w:r w:rsidRPr="00F70333">
        <w:rPr>
          <w:b w:val="0"/>
        </w:rPr>
        <w:tab/>
        <w:t>Explanation for Program Changes or Adjustments</w:t>
      </w:r>
      <w:bookmarkEnd w:id="55"/>
      <w:bookmarkEnd w:id="56"/>
      <w:bookmarkEnd w:id="57"/>
    </w:p>
    <w:p w:rsidR="0038553A" w:rsidRPr="00F70333" w:rsidRDefault="0038553A" w:rsidP="0038553A">
      <w:r w:rsidRPr="00F70333">
        <w:t>This is a new data collection.</w:t>
      </w:r>
    </w:p>
    <w:p w:rsidR="0038553A" w:rsidRPr="00F70333" w:rsidRDefault="0038553A" w:rsidP="0038553A">
      <w:pPr>
        <w:pStyle w:val="Heading2"/>
        <w:rPr>
          <w:b w:val="0"/>
        </w:rPr>
      </w:pPr>
      <w:bookmarkStart w:id="58" w:name="_Toc239826788"/>
      <w:bookmarkStart w:id="59" w:name="_Toc248821755"/>
      <w:bookmarkStart w:id="60" w:name="_Toc261966299"/>
      <w:bookmarkStart w:id="61" w:name="OLE_LINK11"/>
      <w:bookmarkStart w:id="62" w:name="OLE_LINK12"/>
      <w:r w:rsidRPr="00F70333">
        <w:rPr>
          <w:b w:val="0"/>
        </w:rPr>
        <w:t>A16.</w:t>
      </w:r>
      <w:r w:rsidRPr="00F70333">
        <w:rPr>
          <w:b w:val="0"/>
        </w:rPr>
        <w:tab/>
        <w:t>Plans for Tabulation and Publication and Project Time Schedule</w:t>
      </w:r>
      <w:bookmarkEnd w:id="58"/>
      <w:bookmarkEnd w:id="59"/>
      <w:bookmarkEnd w:id="60"/>
    </w:p>
    <w:p w:rsidR="00F0406C" w:rsidRPr="00F70333" w:rsidRDefault="00F0406C" w:rsidP="0038553A"/>
    <w:p w:rsidR="0038553A" w:rsidRPr="00F70333" w:rsidRDefault="0038553A" w:rsidP="0038553A">
      <w:r w:rsidRPr="00F70333">
        <w:t>Statistical Analysis of the Data</w:t>
      </w:r>
    </w:p>
    <w:p w:rsidR="00514252" w:rsidRPr="00F70333" w:rsidRDefault="00514252" w:rsidP="0038553A"/>
    <w:p w:rsidR="007C6F6F" w:rsidRPr="00F70333" w:rsidRDefault="00A93C5E" w:rsidP="0038553A">
      <w:r w:rsidRPr="00F70333">
        <w:t xml:space="preserve">Data collection will be completed </w:t>
      </w:r>
      <w:r w:rsidR="00171BC0" w:rsidRPr="00F70333">
        <w:t>over two years</w:t>
      </w:r>
      <w:r w:rsidRPr="00F70333">
        <w:t xml:space="preserve">, followed by </w:t>
      </w:r>
      <w:r w:rsidR="00810E4F" w:rsidRPr="00F70333">
        <w:t xml:space="preserve">statistical </w:t>
      </w:r>
      <w:r w:rsidRPr="00F70333">
        <w:t>analysis</w:t>
      </w:r>
      <w:r w:rsidR="00810E4F" w:rsidRPr="00F70333">
        <w:t xml:space="preserve"> and dissemination of data.  </w:t>
      </w:r>
      <w:r w:rsidR="006F1144" w:rsidRPr="00F70333">
        <w:t xml:space="preserve">A full description of the </w:t>
      </w:r>
      <w:r w:rsidR="0067347A" w:rsidRPr="00F70333">
        <w:t xml:space="preserve">statistical </w:t>
      </w:r>
      <w:r w:rsidR="006F1144" w:rsidRPr="00F70333">
        <w:t xml:space="preserve">protocol is provided in </w:t>
      </w:r>
      <w:r w:rsidR="0067347A" w:rsidRPr="00F70333">
        <w:t>Part B</w:t>
      </w:r>
      <w:r w:rsidR="008E2BA5" w:rsidRPr="00F70333">
        <w:t>1 and B2</w:t>
      </w:r>
      <w:r w:rsidR="0067347A" w:rsidRPr="00F70333">
        <w:t xml:space="preserve"> of this ICR. </w:t>
      </w:r>
      <w:r w:rsidR="007C6F6F" w:rsidRPr="00F70333">
        <w:t>Results will be made available through publication in scientific journals and notices in trade publications, and through digital media such as the Internet.</w:t>
      </w:r>
    </w:p>
    <w:p w:rsidR="0038553A" w:rsidRPr="00F70333" w:rsidRDefault="0038553A" w:rsidP="0038553A"/>
    <w:p w:rsidR="0038553A" w:rsidRPr="00F70333" w:rsidRDefault="0038553A" w:rsidP="0038553A">
      <w:r w:rsidRPr="00F70333">
        <w:t>Project Time Schedule</w:t>
      </w:r>
    </w:p>
    <w:p w:rsidR="0038553A" w:rsidRPr="00F70333" w:rsidRDefault="0038553A" w:rsidP="009B0789">
      <w:pPr>
        <w:pStyle w:val="TableTitle"/>
        <w:jc w:val="center"/>
        <w:rPr>
          <w:rFonts w:ascii="Times New Roman" w:hAnsi="Times New Roman"/>
          <w:b w:val="0"/>
          <w:sz w:val="24"/>
          <w:szCs w:val="24"/>
        </w:rPr>
      </w:pPr>
      <w:bookmarkStart w:id="63" w:name="_Toc140979763"/>
      <w:bookmarkEnd w:id="61"/>
      <w:bookmarkEnd w:id="62"/>
      <w:proofErr w:type="gramStart"/>
      <w:r w:rsidRPr="00F70333">
        <w:rPr>
          <w:rFonts w:ascii="Times New Roman" w:hAnsi="Times New Roman"/>
          <w:b w:val="0"/>
          <w:sz w:val="24"/>
          <w:szCs w:val="24"/>
        </w:rPr>
        <w:t>Table A.16-1.</w:t>
      </w:r>
      <w:proofErr w:type="gramEnd"/>
      <w:r w:rsidRPr="00F70333">
        <w:rPr>
          <w:rFonts w:ascii="Times New Roman" w:hAnsi="Times New Roman"/>
          <w:b w:val="0"/>
          <w:sz w:val="24"/>
          <w:szCs w:val="24"/>
        </w:rPr>
        <w:t xml:space="preserve"> Project Time Schedule</w:t>
      </w:r>
      <w:bookmarkEnd w:id="63"/>
    </w:p>
    <w:tbl>
      <w:tblPr>
        <w:tblW w:w="882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7"/>
        <w:gridCol w:w="3960"/>
      </w:tblGrid>
      <w:tr w:rsidR="0038553A" w:rsidRPr="00F70333" w:rsidTr="0038553A">
        <w:trPr>
          <w:cantSplit/>
        </w:trPr>
        <w:tc>
          <w:tcPr>
            <w:tcW w:w="2757" w:type="pct"/>
            <w:tcBorders>
              <w:bottom w:val="single" w:sz="4" w:space="0" w:color="auto"/>
            </w:tcBorders>
            <w:noWrap/>
          </w:tcPr>
          <w:p w:rsidR="0038553A" w:rsidRPr="00F70333" w:rsidRDefault="0038553A" w:rsidP="0038553A">
            <w:pPr>
              <w:widowControl w:val="0"/>
              <w:autoSpaceDE w:val="0"/>
              <w:autoSpaceDN w:val="0"/>
              <w:adjustRightInd w:val="0"/>
              <w:spacing w:before="80" w:after="80"/>
              <w:jc w:val="center"/>
              <w:outlineLvl w:val="0"/>
              <w:rPr>
                <w:bCs/>
                <w:color w:val="000000"/>
              </w:rPr>
            </w:pPr>
            <w:r w:rsidRPr="00F70333">
              <w:rPr>
                <w:bCs/>
                <w:color w:val="000000"/>
              </w:rPr>
              <w:t>Activity</w:t>
            </w:r>
          </w:p>
        </w:tc>
        <w:tc>
          <w:tcPr>
            <w:tcW w:w="2243" w:type="pct"/>
            <w:tcBorders>
              <w:bottom w:val="single" w:sz="4" w:space="0" w:color="auto"/>
            </w:tcBorders>
            <w:noWrap/>
          </w:tcPr>
          <w:p w:rsidR="006F1144" w:rsidRPr="00F70333" w:rsidRDefault="0038553A" w:rsidP="0038553A">
            <w:pPr>
              <w:widowControl w:val="0"/>
              <w:autoSpaceDE w:val="0"/>
              <w:autoSpaceDN w:val="0"/>
              <w:adjustRightInd w:val="0"/>
              <w:spacing w:before="80" w:after="80"/>
              <w:jc w:val="center"/>
              <w:outlineLvl w:val="0"/>
              <w:rPr>
                <w:bCs/>
                <w:color w:val="000000"/>
              </w:rPr>
            </w:pPr>
            <w:r w:rsidRPr="00F70333">
              <w:rPr>
                <w:bCs/>
                <w:color w:val="000000"/>
              </w:rPr>
              <w:t>Time Schedule</w:t>
            </w:r>
          </w:p>
          <w:p w:rsidR="0038553A" w:rsidRPr="00F70333" w:rsidRDefault="0038553A" w:rsidP="0038553A">
            <w:pPr>
              <w:widowControl w:val="0"/>
              <w:autoSpaceDE w:val="0"/>
              <w:autoSpaceDN w:val="0"/>
              <w:adjustRightInd w:val="0"/>
              <w:spacing w:before="80" w:after="80"/>
              <w:jc w:val="center"/>
              <w:outlineLvl w:val="0"/>
              <w:rPr>
                <w:bCs/>
                <w:color w:val="000000"/>
              </w:rPr>
            </w:pPr>
            <w:r w:rsidRPr="00F70333">
              <w:rPr>
                <w:bCs/>
                <w:color w:val="000000"/>
              </w:rPr>
              <w:t xml:space="preserve"> (Months After OMB Approval)</w:t>
            </w:r>
          </w:p>
        </w:tc>
      </w:tr>
      <w:tr w:rsidR="00F0406C" w:rsidRPr="00F70333" w:rsidTr="0038553A">
        <w:trPr>
          <w:cantSplit/>
        </w:trPr>
        <w:tc>
          <w:tcPr>
            <w:tcW w:w="2757" w:type="pct"/>
            <w:noWrap/>
          </w:tcPr>
          <w:p w:rsidR="00F0406C" w:rsidRPr="00F70333" w:rsidRDefault="00F0406C" w:rsidP="00F0406C">
            <w:pPr>
              <w:widowControl w:val="0"/>
              <w:autoSpaceDE w:val="0"/>
              <w:autoSpaceDN w:val="0"/>
              <w:adjustRightInd w:val="0"/>
              <w:spacing w:before="80" w:after="80"/>
              <w:outlineLvl w:val="0"/>
              <w:rPr>
                <w:bCs/>
                <w:color w:val="000000"/>
              </w:rPr>
            </w:pPr>
            <w:r w:rsidRPr="00F70333">
              <w:rPr>
                <w:bCs/>
                <w:color w:val="000000"/>
              </w:rPr>
              <w:t>All survey data collection systems (e.g. online systems, materials) will be finalized.</w:t>
            </w:r>
          </w:p>
        </w:tc>
        <w:tc>
          <w:tcPr>
            <w:tcW w:w="2243" w:type="pct"/>
            <w:noWrap/>
          </w:tcPr>
          <w:p w:rsidR="00F0406C" w:rsidRPr="00F70333" w:rsidRDefault="00F0406C" w:rsidP="00F0406C">
            <w:pPr>
              <w:widowControl w:val="0"/>
              <w:autoSpaceDE w:val="0"/>
              <w:autoSpaceDN w:val="0"/>
              <w:adjustRightInd w:val="0"/>
              <w:spacing w:before="80" w:after="80"/>
              <w:outlineLvl w:val="0"/>
              <w:rPr>
                <w:bCs/>
                <w:color w:val="000000"/>
              </w:rPr>
            </w:pPr>
            <w:r w:rsidRPr="00F70333">
              <w:rPr>
                <w:bCs/>
                <w:color w:val="000000"/>
              </w:rPr>
              <w:t xml:space="preserve">Within 3 months after OMB approval </w:t>
            </w:r>
          </w:p>
        </w:tc>
      </w:tr>
      <w:tr w:rsidR="00F0406C" w:rsidRPr="00F70333" w:rsidTr="0038553A">
        <w:trPr>
          <w:cantSplit/>
        </w:trPr>
        <w:tc>
          <w:tcPr>
            <w:tcW w:w="2757" w:type="pct"/>
            <w:noWrap/>
          </w:tcPr>
          <w:p w:rsidR="00F0406C" w:rsidRPr="00F70333" w:rsidRDefault="00F0406C" w:rsidP="006D1634">
            <w:pPr>
              <w:widowControl w:val="0"/>
              <w:autoSpaceDE w:val="0"/>
              <w:autoSpaceDN w:val="0"/>
              <w:adjustRightInd w:val="0"/>
              <w:spacing w:before="80" w:after="80"/>
              <w:outlineLvl w:val="0"/>
              <w:rPr>
                <w:bCs/>
                <w:color w:val="000000"/>
              </w:rPr>
            </w:pPr>
            <w:r w:rsidRPr="00F70333">
              <w:rPr>
                <w:bCs/>
                <w:color w:val="000000"/>
              </w:rPr>
              <w:t>Individual participants will be recruited from establishments who have been recruited to receive the MSD interventions</w:t>
            </w:r>
            <w:r w:rsidR="0067347A" w:rsidRPr="00F70333">
              <w:rPr>
                <w:bCs/>
                <w:color w:val="000000"/>
              </w:rPr>
              <w:t>. Informed consent forms (</w:t>
            </w:r>
            <w:r w:rsidR="0067347A" w:rsidRPr="00F70333">
              <w:rPr>
                <w:b/>
                <w:bCs/>
              </w:rPr>
              <w:t>Attachments G</w:t>
            </w:r>
            <w:r w:rsidR="006D1634" w:rsidRPr="00F70333">
              <w:rPr>
                <w:b/>
                <w:bCs/>
              </w:rPr>
              <w:t>-1, G-2</w:t>
            </w:r>
            <w:r w:rsidR="0067347A" w:rsidRPr="00F70333">
              <w:rPr>
                <w:b/>
                <w:bCs/>
              </w:rPr>
              <w:t xml:space="preserve">) </w:t>
            </w:r>
            <w:r w:rsidR="0067347A" w:rsidRPr="00F70333">
              <w:rPr>
                <w:bCs/>
                <w:color w:val="000000"/>
              </w:rPr>
              <w:t xml:space="preserve">will be completed by participants. </w:t>
            </w:r>
          </w:p>
        </w:tc>
        <w:tc>
          <w:tcPr>
            <w:tcW w:w="2243" w:type="pct"/>
            <w:noWrap/>
          </w:tcPr>
          <w:p w:rsidR="00F0406C" w:rsidRPr="00F70333" w:rsidRDefault="00F0406C" w:rsidP="000C6194">
            <w:pPr>
              <w:widowControl w:val="0"/>
              <w:autoSpaceDE w:val="0"/>
              <w:autoSpaceDN w:val="0"/>
              <w:adjustRightInd w:val="0"/>
              <w:spacing w:before="80" w:after="80"/>
              <w:outlineLvl w:val="0"/>
              <w:rPr>
                <w:bCs/>
                <w:color w:val="000000"/>
              </w:rPr>
            </w:pPr>
            <w:r w:rsidRPr="00F70333">
              <w:rPr>
                <w:bCs/>
                <w:color w:val="000000"/>
              </w:rPr>
              <w:t>Within 6 months after OMB approval</w:t>
            </w:r>
          </w:p>
        </w:tc>
      </w:tr>
      <w:tr w:rsidR="00F0406C" w:rsidRPr="00F70333" w:rsidTr="0038553A">
        <w:trPr>
          <w:cantSplit/>
        </w:trPr>
        <w:tc>
          <w:tcPr>
            <w:tcW w:w="2757" w:type="pct"/>
            <w:noWrap/>
          </w:tcPr>
          <w:p w:rsidR="00F0406C" w:rsidRPr="00F70333" w:rsidRDefault="00F0406C" w:rsidP="006D1634">
            <w:pPr>
              <w:pStyle w:val="ListParagraph"/>
              <w:spacing w:line="240" w:lineRule="auto"/>
              <w:ind w:left="0"/>
              <w:jc w:val="left"/>
              <w:rPr>
                <w:bCs/>
                <w:sz w:val="24"/>
                <w:szCs w:val="24"/>
              </w:rPr>
            </w:pPr>
            <w:r w:rsidRPr="00F70333">
              <w:rPr>
                <w:sz w:val="24"/>
                <w:szCs w:val="24"/>
              </w:rPr>
              <w:lastRenderedPageBreak/>
              <w:t>The</w:t>
            </w:r>
            <w:r w:rsidRPr="00F70333">
              <w:rPr>
                <w:bCs/>
                <w:sz w:val="24"/>
                <w:szCs w:val="24"/>
              </w:rPr>
              <w:t xml:space="preserve"> MSD interventions will be placed in Group </w:t>
            </w:r>
            <w:proofErr w:type="gramStart"/>
            <w:r w:rsidRPr="00F70333">
              <w:rPr>
                <w:bCs/>
                <w:sz w:val="24"/>
                <w:szCs w:val="24"/>
              </w:rPr>
              <w:t>A</w:t>
            </w:r>
            <w:proofErr w:type="gramEnd"/>
            <w:r w:rsidRPr="00F70333">
              <w:rPr>
                <w:bCs/>
                <w:sz w:val="24"/>
                <w:szCs w:val="24"/>
              </w:rPr>
              <w:t xml:space="preserve"> establishments. Baseline data will be collected (exposure and outcome surveys, </w:t>
            </w:r>
            <w:r w:rsidRPr="00F70333">
              <w:rPr>
                <w:b/>
                <w:bCs/>
                <w:sz w:val="24"/>
                <w:szCs w:val="24"/>
              </w:rPr>
              <w:t>A</w:t>
            </w:r>
            <w:r w:rsidR="000C6194" w:rsidRPr="00F70333">
              <w:rPr>
                <w:b/>
                <w:bCs/>
                <w:sz w:val="24"/>
                <w:szCs w:val="24"/>
              </w:rPr>
              <w:t>ttachments</w:t>
            </w:r>
            <w:r w:rsidRPr="00F70333">
              <w:rPr>
                <w:b/>
                <w:bCs/>
                <w:sz w:val="24"/>
                <w:szCs w:val="24"/>
              </w:rPr>
              <w:t xml:space="preserve"> </w:t>
            </w:r>
            <w:r w:rsidR="006D1634" w:rsidRPr="00F70333">
              <w:rPr>
                <w:b/>
                <w:bCs/>
                <w:sz w:val="24"/>
                <w:szCs w:val="24"/>
              </w:rPr>
              <w:t>H1-H4</w:t>
            </w:r>
            <w:r w:rsidRPr="00F70333">
              <w:rPr>
                <w:bCs/>
                <w:sz w:val="24"/>
                <w:szCs w:val="24"/>
              </w:rPr>
              <w:t>) for Group A/B establishments will be collected. A 20% sample of individuals will complete low back functional tests</w:t>
            </w:r>
            <w:r w:rsidR="000C6194" w:rsidRPr="00F70333">
              <w:rPr>
                <w:bCs/>
                <w:sz w:val="24"/>
                <w:szCs w:val="24"/>
              </w:rPr>
              <w:t xml:space="preserve"> (</w:t>
            </w:r>
            <w:r w:rsidR="000C6194" w:rsidRPr="00F70333">
              <w:rPr>
                <w:b/>
                <w:bCs/>
                <w:sz w:val="24"/>
                <w:szCs w:val="24"/>
              </w:rPr>
              <w:t xml:space="preserve">Attachment </w:t>
            </w:r>
            <w:r w:rsidR="006D1634" w:rsidRPr="00F70333">
              <w:rPr>
                <w:b/>
                <w:bCs/>
                <w:sz w:val="24"/>
                <w:szCs w:val="24"/>
              </w:rPr>
              <w:t>I</w:t>
            </w:r>
            <w:r w:rsidR="000C6194" w:rsidRPr="00F70333">
              <w:rPr>
                <w:bCs/>
                <w:sz w:val="24"/>
                <w:szCs w:val="24"/>
              </w:rPr>
              <w:t>)</w:t>
            </w:r>
            <w:r w:rsidRPr="00F70333">
              <w:rPr>
                <w:bCs/>
                <w:sz w:val="24"/>
                <w:szCs w:val="24"/>
              </w:rPr>
              <w:t xml:space="preserve">. </w:t>
            </w:r>
          </w:p>
        </w:tc>
        <w:tc>
          <w:tcPr>
            <w:tcW w:w="2243" w:type="pct"/>
            <w:noWrap/>
          </w:tcPr>
          <w:p w:rsidR="00F0406C" w:rsidRPr="00F70333" w:rsidRDefault="00F0406C" w:rsidP="006F1144">
            <w:pPr>
              <w:widowControl w:val="0"/>
              <w:autoSpaceDE w:val="0"/>
              <w:autoSpaceDN w:val="0"/>
              <w:adjustRightInd w:val="0"/>
              <w:spacing w:before="80" w:after="80"/>
              <w:outlineLvl w:val="0"/>
              <w:rPr>
                <w:bCs/>
                <w:color w:val="000000"/>
              </w:rPr>
            </w:pPr>
            <w:r w:rsidRPr="00F70333">
              <w:rPr>
                <w:bCs/>
                <w:color w:val="000000"/>
              </w:rPr>
              <w:t>Within 6 months after OMB approval</w:t>
            </w:r>
          </w:p>
        </w:tc>
      </w:tr>
      <w:tr w:rsidR="00F0406C" w:rsidRPr="00F70333" w:rsidTr="0038553A">
        <w:trPr>
          <w:cantSplit/>
        </w:trPr>
        <w:tc>
          <w:tcPr>
            <w:tcW w:w="2757" w:type="pct"/>
            <w:noWrap/>
          </w:tcPr>
          <w:p w:rsidR="00F0406C" w:rsidRPr="00F70333" w:rsidRDefault="00F0406C" w:rsidP="006D1634">
            <w:pPr>
              <w:widowControl w:val="0"/>
              <w:autoSpaceDE w:val="0"/>
              <w:autoSpaceDN w:val="0"/>
              <w:adjustRightInd w:val="0"/>
              <w:spacing w:before="80" w:after="80"/>
              <w:outlineLvl w:val="0"/>
              <w:rPr>
                <w:bCs/>
                <w:color w:val="000000"/>
              </w:rPr>
            </w:pPr>
            <w:r w:rsidRPr="00F70333">
              <w:rPr>
                <w:bCs/>
                <w:color w:val="000000"/>
              </w:rPr>
              <w:t xml:space="preserve">First quarter data will be collected (self-reported low back/ </w:t>
            </w:r>
            <w:r w:rsidR="00DE7C54" w:rsidRPr="00F70333">
              <w:rPr>
                <w:bCs/>
                <w:color w:val="000000"/>
              </w:rPr>
              <w:t>upper extremity</w:t>
            </w:r>
            <w:r w:rsidRPr="00F70333">
              <w:rPr>
                <w:bCs/>
                <w:color w:val="000000"/>
              </w:rPr>
              <w:t xml:space="preserve"> pain, tasks, and safety incidents at 3 months, </w:t>
            </w:r>
            <w:r w:rsidR="0067347A" w:rsidRPr="00F70333">
              <w:rPr>
                <w:b/>
                <w:bCs/>
              </w:rPr>
              <w:t xml:space="preserve">Attachments </w:t>
            </w:r>
            <w:r w:rsidR="006D1634" w:rsidRPr="00F70333">
              <w:rPr>
                <w:b/>
                <w:bCs/>
              </w:rPr>
              <w:t>H1-H3</w:t>
            </w:r>
            <w:r w:rsidRPr="00F70333">
              <w:rPr>
                <w:bCs/>
                <w:color w:val="000000"/>
              </w:rPr>
              <w:t>).</w:t>
            </w:r>
          </w:p>
        </w:tc>
        <w:tc>
          <w:tcPr>
            <w:tcW w:w="2243" w:type="pct"/>
            <w:noWrap/>
          </w:tcPr>
          <w:p w:rsidR="00F0406C" w:rsidRPr="00F70333" w:rsidRDefault="00F0406C" w:rsidP="006F1144">
            <w:pPr>
              <w:widowControl w:val="0"/>
              <w:autoSpaceDE w:val="0"/>
              <w:autoSpaceDN w:val="0"/>
              <w:adjustRightInd w:val="0"/>
              <w:spacing w:before="80" w:after="80"/>
              <w:outlineLvl w:val="0"/>
              <w:rPr>
                <w:bCs/>
                <w:color w:val="000000"/>
              </w:rPr>
            </w:pPr>
            <w:r w:rsidRPr="00F70333">
              <w:rPr>
                <w:bCs/>
                <w:color w:val="000000"/>
              </w:rPr>
              <w:t>Within 9 months after OMB approval</w:t>
            </w:r>
          </w:p>
        </w:tc>
      </w:tr>
      <w:tr w:rsidR="00F0406C" w:rsidRPr="00F70333" w:rsidTr="0038553A">
        <w:trPr>
          <w:cantSplit/>
        </w:trPr>
        <w:tc>
          <w:tcPr>
            <w:tcW w:w="2757" w:type="pct"/>
            <w:noWrap/>
          </w:tcPr>
          <w:p w:rsidR="00F0406C" w:rsidRPr="00F70333" w:rsidRDefault="00F0406C" w:rsidP="006F1144">
            <w:pPr>
              <w:widowControl w:val="0"/>
              <w:autoSpaceDE w:val="0"/>
              <w:autoSpaceDN w:val="0"/>
              <w:adjustRightInd w:val="0"/>
              <w:spacing w:before="80" w:after="80"/>
              <w:outlineLvl w:val="0"/>
              <w:rPr>
                <w:bCs/>
                <w:color w:val="000000"/>
              </w:rPr>
            </w:pPr>
            <w:r w:rsidRPr="00F70333">
              <w:rPr>
                <w:bCs/>
                <w:color w:val="000000"/>
              </w:rPr>
              <w:t xml:space="preserve">Second quarter data will be collected (self-reported low back/ </w:t>
            </w:r>
            <w:r w:rsidR="00DE7C54" w:rsidRPr="00F70333">
              <w:rPr>
                <w:bCs/>
                <w:color w:val="000000"/>
              </w:rPr>
              <w:t>upper extremity</w:t>
            </w:r>
            <w:r w:rsidRPr="00F70333">
              <w:rPr>
                <w:bCs/>
                <w:color w:val="000000"/>
              </w:rPr>
              <w:t xml:space="preserve"> pain, tasks, and safety incidents at 6 months, </w:t>
            </w:r>
            <w:r w:rsidR="006D1634" w:rsidRPr="00F70333">
              <w:rPr>
                <w:b/>
                <w:bCs/>
              </w:rPr>
              <w:t>Attachments H1-H3</w:t>
            </w:r>
            <w:r w:rsidRPr="00F70333">
              <w:rPr>
                <w:bCs/>
                <w:color w:val="000000"/>
              </w:rPr>
              <w:t>).</w:t>
            </w:r>
          </w:p>
        </w:tc>
        <w:tc>
          <w:tcPr>
            <w:tcW w:w="2243" w:type="pct"/>
            <w:noWrap/>
          </w:tcPr>
          <w:p w:rsidR="00F0406C" w:rsidRPr="00F70333" w:rsidRDefault="00F0406C" w:rsidP="00BB4294">
            <w:pPr>
              <w:widowControl w:val="0"/>
              <w:autoSpaceDE w:val="0"/>
              <w:autoSpaceDN w:val="0"/>
              <w:adjustRightInd w:val="0"/>
              <w:spacing w:before="80" w:after="80"/>
              <w:outlineLvl w:val="0"/>
              <w:rPr>
                <w:bCs/>
                <w:color w:val="000000"/>
              </w:rPr>
            </w:pPr>
            <w:r w:rsidRPr="00F70333">
              <w:rPr>
                <w:bCs/>
                <w:color w:val="000000"/>
              </w:rPr>
              <w:t>Within 12 months after OMB approval</w:t>
            </w:r>
          </w:p>
        </w:tc>
      </w:tr>
      <w:tr w:rsidR="00F0406C" w:rsidRPr="00F70333" w:rsidTr="0038553A">
        <w:trPr>
          <w:cantSplit/>
        </w:trPr>
        <w:tc>
          <w:tcPr>
            <w:tcW w:w="2757" w:type="pct"/>
            <w:noWrap/>
          </w:tcPr>
          <w:p w:rsidR="00F0406C" w:rsidRPr="00F70333" w:rsidRDefault="00F0406C" w:rsidP="006F1144">
            <w:pPr>
              <w:widowControl w:val="0"/>
              <w:autoSpaceDE w:val="0"/>
              <w:autoSpaceDN w:val="0"/>
              <w:adjustRightInd w:val="0"/>
              <w:spacing w:before="80" w:after="80"/>
              <w:outlineLvl w:val="0"/>
              <w:rPr>
                <w:bCs/>
                <w:color w:val="000000"/>
              </w:rPr>
            </w:pPr>
            <w:r w:rsidRPr="00F70333">
              <w:rPr>
                <w:bCs/>
                <w:color w:val="000000"/>
              </w:rPr>
              <w:t xml:space="preserve">Third quarter data will be collected (self-reported low back/ </w:t>
            </w:r>
            <w:r w:rsidR="00DE7C54" w:rsidRPr="00F70333">
              <w:rPr>
                <w:bCs/>
                <w:color w:val="000000"/>
              </w:rPr>
              <w:t>upper extremity</w:t>
            </w:r>
            <w:r w:rsidRPr="00F70333">
              <w:rPr>
                <w:bCs/>
                <w:color w:val="000000"/>
              </w:rPr>
              <w:t xml:space="preserve"> pain, tasks, and safety incidents at 9 months, </w:t>
            </w:r>
            <w:r w:rsidR="006D1634" w:rsidRPr="00F70333">
              <w:rPr>
                <w:b/>
                <w:bCs/>
              </w:rPr>
              <w:t>Attachments H1-H3</w:t>
            </w:r>
            <w:r w:rsidRPr="00F70333">
              <w:rPr>
                <w:bCs/>
                <w:color w:val="000000"/>
              </w:rPr>
              <w:t>).</w:t>
            </w:r>
          </w:p>
        </w:tc>
        <w:tc>
          <w:tcPr>
            <w:tcW w:w="2243" w:type="pct"/>
            <w:noWrap/>
          </w:tcPr>
          <w:p w:rsidR="00F0406C" w:rsidRPr="00F70333" w:rsidRDefault="00F0406C" w:rsidP="00BB4294">
            <w:pPr>
              <w:widowControl w:val="0"/>
              <w:autoSpaceDE w:val="0"/>
              <w:autoSpaceDN w:val="0"/>
              <w:adjustRightInd w:val="0"/>
              <w:spacing w:before="80" w:after="80"/>
              <w:outlineLvl w:val="0"/>
              <w:rPr>
                <w:bCs/>
                <w:color w:val="000000"/>
              </w:rPr>
            </w:pPr>
            <w:r w:rsidRPr="00F70333">
              <w:rPr>
                <w:bCs/>
                <w:color w:val="000000"/>
              </w:rPr>
              <w:t>Within 15 months after OMB approval</w:t>
            </w:r>
          </w:p>
        </w:tc>
      </w:tr>
      <w:tr w:rsidR="00F0406C" w:rsidRPr="00F70333" w:rsidTr="0038553A">
        <w:trPr>
          <w:cantSplit/>
        </w:trPr>
        <w:tc>
          <w:tcPr>
            <w:tcW w:w="2757" w:type="pct"/>
            <w:noWrap/>
          </w:tcPr>
          <w:p w:rsidR="00F0406C" w:rsidRPr="00F70333" w:rsidRDefault="00F0406C" w:rsidP="006D1634">
            <w:pPr>
              <w:widowControl w:val="0"/>
              <w:autoSpaceDE w:val="0"/>
              <w:autoSpaceDN w:val="0"/>
              <w:adjustRightInd w:val="0"/>
              <w:spacing w:before="80" w:after="80"/>
              <w:outlineLvl w:val="0"/>
              <w:rPr>
                <w:bCs/>
                <w:color w:val="000000"/>
              </w:rPr>
            </w:pPr>
            <w:r w:rsidRPr="00F70333">
              <w:t>The</w:t>
            </w:r>
            <w:r w:rsidRPr="00F70333">
              <w:rPr>
                <w:bCs/>
              </w:rPr>
              <w:t xml:space="preserve"> MSD interventions will be placed in Group B establishments. First annual (fourth quarter) data will be collected (exposure and outcome surveys, </w:t>
            </w:r>
            <w:r w:rsidR="0067347A" w:rsidRPr="00F70333">
              <w:rPr>
                <w:b/>
                <w:bCs/>
              </w:rPr>
              <w:t xml:space="preserve">Attachments </w:t>
            </w:r>
            <w:proofErr w:type="spellStart"/>
            <w:r w:rsidR="006D1634" w:rsidRPr="00F70333">
              <w:rPr>
                <w:b/>
                <w:bCs/>
              </w:rPr>
              <w:t>Attachments</w:t>
            </w:r>
            <w:proofErr w:type="spellEnd"/>
            <w:r w:rsidR="006D1634" w:rsidRPr="00F70333">
              <w:rPr>
                <w:b/>
                <w:bCs/>
              </w:rPr>
              <w:t xml:space="preserve"> H1-H4</w:t>
            </w:r>
            <w:r w:rsidRPr="00F70333">
              <w:rPr>
                <w:bCs/>
              </w:rPr>
              <w:t>) for Group A/B establishments will be collected. The same 20% sample of individuals (from baseline) will complete low back functional tests</w:t>
            </w:r>
            <w:r w:rsidR="000C6194" w:rsidRPr="00F70333">
              <w:rPr>
                <w:bCs/>
              </w:rPr>
              <w:t xml:space="preserve"> (</w:t>
            </w:r>
            <w:r w:rsidR="0067347A" w:rsidRPr="00F70333">
              <w:rPr>
                <w:b/>
                <w:bCs/>
              </w:rPr>
              <w:t xml:space="preserve">Attachment </w:t>
            </w:r>
            <w:r w:rsidR="006D1634" w:rsidRPr="00F70333">
              <w:rPr>
                <w:b/>
                <w:bCs/>
              </w:rPr>
              <w:t>I</w:t>
            </w:r>
            <w:r w:rsidR="000C6194" w:rsidRPr="00F70333">
              <w:rPr>
                <w:bCs/>
              </w:rPr>
              <w:t>).</w:t>
            </w:r>
          </w:p>
        </w:tc>
        <w:tc>
          <w:tcPr>
            <w:tcW w:w="2243" w:type="pct"/>
            <w:noWrap/>
          </w:tcPr>
          <w:p w:rsidR="00F0406C" w:rsidRPr="00F70333" w:rsidRDefault="00F0406C" w:rsidP="00BB4294">
            <w:pPr>
              <w:widowControl w:val="0"/>
              <w:autoSpaceDE w:val="0"/>
              <w:autoSpaceDN w:val="0"/>
              <w:adjustRightInd w:val="0"/>
              <w:outlineLvl w:val="0"/>
              <w:rPr>
                <w:bCs/>
                <w:color w:val="000000"/>
              </w:rPr>
            </w:pPr>
            <w:r w:rsidRPr="00F70333">
              <w:rPr>
                <w:bCs/>
                <w:color w:val="000000"/>
              </w:rPr>
              <w:t>Within 18 months after OMB approval</w:t>
            </w:r>
          </w:p>
        </w:tc>
      </w:tr>
      <w:tr w:rsidR="00F0406C" w:rsidRPr="00F70333" w:rsidTr="0038553A">
        <w:trPr>
          <w:cantSplit/>
        </w:trPr>
        <w:tc>
          <w:tcPr>
            <w:tcW w:w="2757" w:type="pct"/>
            <w:noWrap/>
          </w:tcPr>
          <w:p w:rsidR="00F0406C" w:rsidRPr="00F70333" w:rsidRDefault="00F0406C" w:rsidP="006F1144">
            <w:pPr>
              <w:widowControl w:val="0"/>
              <w:autoSpaceDE w:val="0"/>
              <w:autoSpaceDN w:val="0"/>
              <w:adjustRightInd w:val="0"/>
              <w:spacing w:before="80" w:after="80"/>
              <w:outlineLvl w:val="0"/>
              <w:rPr>
                <w:bCs/>
                <w:color w:val="000000"/>
              </w:rPr>
            </w:pPr>
            <w:r w:rsidRPr="00F70333">
              <w:rPr>
                <w:bCs/>
                <w:color w:val="000000"/>
              </w:rPr>
              <w:t xml:space="preserve">Fifth quarter data will be collected (self-reported low back/ </w:t>
            </w:r>
            <w:r w:rsidR="00DE7C54" w:rsidRPr="00F70333">
              <w:rPr>
                <w:bCs/>
                <w:color w:val="000000"/>
              </w:rPr>
              <w:t>upper extremity</w:t>
            </w:r>
            <w:r w:rsidRPr="00F70333">
              <w:rPr>
                <w:bCs/>
                <w:color w:val="000000"/>
              </w:rPr>
              <w:t xml:space="preserve"> pain, tasks, and safety incidents at 15 months, </w:t>
            </w:r>
            <w:r w:rsidR="006D1634" w:rsidRPr="00F70333">
              <w:rPr>
                <w:b/>
                <w:bCs/>
              </w:rPr>
              <w:t>Attachments H1-H3</w:t>
            </w:r>
            <w:r w:rsidRPr="00F70333">
              <w:rPr>
                <w:bCs/>
                <w:color w:val="000000"/>
              </w:rPr>
              <w:t>).</w:t>
            </w:r>
          </w:p>
        </w:tc>
        <w:tc>
          <w:tcPr>
            <w:tcW w:w="2243" w:type="pct"/>
            <w:noWrap/>
          </w:tcPr>
          <w:p w:rsidR="00F0406C" w:rsidRPr="00F70333" w:rsidRDefault="00F0406C" w:rsidP="00BB4294">
            <w:pPr>
              <w:widowControl w:val="0"/>
              <w:autoSpaceDE w:val="0"/>
              <w:autoSpaceDN w:val="0"/>
              <w:adjustRightInd w:val="0"/>
              <w:outlineLvl w:val="0"/>
              <w:rPr>
                <w:bCs/>
                <w:color w:val="000000"/>
              </w:rPr>
            </w:pPr>
            <w:r w:rsidRPr="00F70333">
              <w:rPr>
                <w:bCs/>
                <w:color w:val="000000"/>
              </w:rPr>
              <w:t>Within 21 months after OMB approval</w:t>
            </w:r>
          </w:p>
        </w:tc>
      </w:tr>
      <w:tr w:rsidR="00F0406C" w:rsidRPr="00F70333" w:rsidTr="0038553A">
        <w:trPr>
          <w:cantSplit/>
        </w:trPr>
        <w:tc>
          <w:tcPr>
            <w:tcW w:w="2757" w:type="pct"/>
            <w:noWrap/>
          </w:tcPr>
          <w:p w:rsidR="00F0406C" w:rsidRPr="00F70333" w:rsidRDefault="00F0406C" w:rsidP="006F1144">
            <w:pPr>
              <w:widowControl w:val="0"/>
              <w:autoSpaceDE w:val="0"/>
              <w:autoSpaceDN w:val="0"/>
              <w:adjustRightInd w:val="0"/>
              <w:spacing w:before="80" w:after="80"/>
              <w:outlineLvl w:val="0"/>
              <w:rPr>
                <w:bCs/>
                <w:color w:val="000000"/>
              </w:rPr>
            </w:pPr>
            <w:r w:rsidRPr="00F70333">
              <w:rPr>
                <w:bCs/>
                <w:color w:val="000000"/>
              </w:rPr>
              <w:t xml:space="preserve">Sixth quarter data will be collected (self-reported low back/ </w:t>
            </w:r>
            <w:r w:rsidR="00DE7C54" w:rsidRPr="00F70333">
              <w:rPr>
                <w:bCs/>
                <w:color w:val="000000"/>
              </w:rPr>
              <w:t>upper extremity</w:t>
            </w:r>
            <w:r w:rsidRPr="00F70333">
              <w:rPr>
                <w:bCs/>
                <w:color w:val="000000"/>
              </w:rPr>
              <w:t xml:space="preserve"> pain, tasks, and safety incidents at 18 months, </w:t>
            </w:r>
            <w:r w:rsidR="006D1634" w:rsidRPr="00F70333">
              <w:rPr>
                <w:b/>
                <w:bCs/>
              </w:rPr>
              <w:t>Attachments H1-H3</w:t>
            </w:r>
            <w:r w:rsidRPr="00F70333">
              <w:rPr>
                <w:bCs/>
                <w:color w:val="000000"/>
              </w:rPr>
              <w:t>).</w:t>
            </w:r>
          </w:p>
        </w:tc>
        <w:tc>
          <w:tcPr>
            <w:tcW w:w="2243" w:type="pct"/>
            <w:noWrap/>
          </w:tcPr>
          <w:p w:rsidR="00F0406C" w:rsidRPr="00F70333" w:rsidRDefault="00F0406C" w:rsidP="00BB4294">
            <w:pPr>
              <w:widowControl w:val="0"/>
              <w:autoSpaceDE w:val="0"/>
              <w:autoSpaceDN w:val="0"/>
              <w:adjustRightInd w:val="0"/>
              <w:outlineLvl w:val="0"/>
              <w:rPr>
                <w:bCs/>
                <w:color w:val="000000"/>
              </w:rPr>
            </w:pPr>
            <w:r w:rsidRPr="00F70333">
              <w:rPr>
                <w:bCs/>
                <w:color w:val="000000"/>
              </w:rPr>
              <w:t>Within 24 months after OMB approval</w:t>
            </w:r>
          </w:p>
        </w:tc>
      </w:tr>
      <w:tr w:rsidR="00F0406C" w:rsidRPr="00F70333" w:rsidTr="006F1144">
        <w:trPr>
          <w:cantSplit/>
          <w:trHeight w:val="1187"/>
        </w:trPr>
        <w:tc>
          <w:tcPr>
            <w:tcW w:w="2757" w:type="pct"/>
            <w:noWrap/>
          </w:tcPr>
          <w:p w:rsidR="00F0406C" w:rsidRPr="00F70333" w:rsidRDefault="00F0406C" w:rsidP="006F1144">
            <w:pPr>
              <w:widowControl w:val="0"/>
              <w:autoSpaceDE w:val="0"/>
              <w:autoSpaceDN w:val="0"/>
              <w:adjustRightInd w:val="0"/>
              <w:spacing w:before="80" w:after="80"/>
              <w:outlineLvl w:val="0"/>
              <w:rPr>
                <w:bCs/>
                <w:color w:val="000000"/>
              </w:rPr>
            </w:pPr>
            <w:r w:rsidRPr="00F70333">
              <w:rPr>
                <w:bCs/>
                <w:color w:val="000000"/>
              </w:rPr>
              <w:t xml:space="preserve">Seventh quarter data will be collected (self-reported low back/ </w:t>
            </w:r>
            <w:r w:rsidR="00DE7C54" w:rsidRPr="00F70333">
              <w:rPr>
                <w:bCs/>
                <w:color w:val="000000"/>
              </w:rPr>
              <w:t>upper extremity</w:t>
            </w:r>
            <w:r w:rsidRPr="00F70333">
              <w:rPr>
                <w:bCs/>
                <w:color w:val="000000"/>
              </w:rPr>
              <w:t xml:space="preserve"> pain, tasks, and safety incidents at 21 months, </w:t>
            </w:r>
            <w:r w:rsidR="006D1634" w:rsidRPr="00F70333">
              <w:rPr>
                <w:b/>
                <w:bCs/>
              </w:rPr>
              <w:t>Attachments H1-H3</w:t>
            </w:r>
            <w:r w:rsidRPr="00F70333">
              <w:rPr>
                <w:bCs/>
                <w:color w:val="000000"/>
              </w:rPr>
              <w:t>).</w:t>
            </w:r>
          </w:p>
        </w:tc>
        <w:tc>
          <w:tcPr>
            <w:tcW w:w="2243" w:type="pct"/>
            <w:noWrap/>
          </w:tcPr>
          <w:p w:rsidR="00F0406C" w:rsidRPr="00F70333" w:rsidRDefault="00F0406C" w:rsidP="00BB4294">
            <w:pPr>
              <w:widowControl w:val="0"/>
              <w:autoSpaceDE w:val="0"/>
              <w:autoSpaceDN w:val="0"/>
              <w:adjustRightInd w:val="0"/>
              <w:outlineLvl w:val="0"/>
              <w:rPr>
                <w:bCs/>
                <w:color w:val="000000"/>
              </w:rPr>
            </w:pPr>
            <w:r w:rsidRPr="00F70333">
              <w:rPr>
                <w:bCs/>
                <w:color w:val="000000"/>
              </w:rPr>
              <w:t>Within 27 months after OMB approval</w:t>
            </w:r>
          </w:p>
        </w:tc>
      </w:tr>
      <w:tr w:rsidR="00F0406C" w:rsidRPr="00F70333" w:rsidTr="0038553A">
        <w:trPr>
          <w:cantSplit/>
        </w:trPr>
        <w:tc>
          <w:tcPr>
            <w:tcW w:w="2757" w:type="pct"/>
            <w:noWrap/>
          </w:tcPr>
          <w:p w:rsidR="00F0406C" w:rsidRPr="00F70333" w:rsidRDefault="00F0406C" w:rsidP="006D1634">
            <w:pPr>
              <w:widowControl w:val="0"/>
              <w:autoSpaceDE w:val="0"/>
              <w:autoSpaceDN w:val="0"/>
              <w:adjustRightInd w:val="0"/>
              <w:spacing w:before="80" w:after="80"/>
              <w:outlineLvl w:val="0"/>
              <w:rPr>
                <w:bCs/>
                <w:color w:val="000000"/>
              </w:rPr>
            </w:pPr>
            <w:r w:rsidRPr="00F70333">
              <w:rPr>
                <w:bCs/>
              </w:rPr>
              <w:lastRenderedPageBreak/>
              <w:t xml:space="preserve">Second annual (eighth quarter) data will be collected (exposure and outcome surveys, </w:t>
            </w:r>
            <w:r w:rsidR="006D1634" w:rsidRPr="00F70333">
              <w:rPr>
                <w:b/>
                <w:bCs/>
              </w:rPr>
              <w:t>Attachments H1-H4</w:t>
            </w:r>
            <w:r w:rsidRPr="00F70333">
              <w:rPr>
                <w:bCs/>
              </w:rPr>
              <w:t>) for</w:t>
            </w:r>
            <w:r w:rsidR="000C6194" w:rsidRPr="00F70333">
              <w:rPr>
                <w:bCs/>
              </w:rPr>
              <w:t xml:space="preserve"> </w:t>
            </w:r>
            <w:r w:rsidRPr="00F70333">
              <w:rPr>
                <w:bCs/>
              </w:rPr>
              <w:t>Group A/B establishments will be collected. The same 20% sample of individuals (from baseline) will com</w:t>
            </w:r>
            <w:r w:rsidR="000C6194" w:rsidRPr="00F70333">
              <w:rPr>
                <w:bCs/>
              </w:rPr>
              <w:t>plete low back functional tests (</w:t>
            </w:r>
            <w:r w:rsidR="0067347A" w:rsidRPr="00F70333">
              <w:rPr>
                <w:b/>
                <w:bCs/>
              </w:rPr>
              <w:t xml:space="preserve">Attachment </w:t>
            </w:r>
            <w:r w:rsidR="006D1634" w:rsidRPr="00F70333">
              <w:rPr>
                <w:b/>
                <w:bCs/>
              </w:rPr>
              <w:t>I</w:t>
            </w:r>
            <w:r w:rsidR="000C6194" w:rsidRPr="00F70333">
              <w:rPr>
                <w:bCs/>
              </w:rPr>
              <w:t>).</w:t>
            </w:r>
            <w:r w:rsidR="00B9590E" w:rsidRPr="00F70333">
              <w:rPr>
                <w:bCs/>
              </w:rPr>
              <w:t xml:space="preserve"> This is the end of survey </w:t>
            </w:r>
            <w:r w:rsidR="0067347A" w:rsidRPr="00F70333">
              <w:rPr>
                <w:bCs/>
              </w:rPr>
              <w:t xml:space="preserve">and low back functional test </w:t>
            </w:r>
            <w:r w:rsidR="00B9590E" w:rsidRPr="00F70333">
              <w:rPr>
                <w:bCs/>
              </w:rPr>
              <w:t>data collection.</w:t>
            </w:r>
          </w:p>
        </w:tc>
        <w:tc>
          <w:tcPr>
            <w:tcW w:w="2243" w:type="pct"/>
            <w:noWrap/>
          </w:tcPr>
          <w:p w:rsidR="00F0406C" w:rsidRPr="00F70333" w:rsidRDefault="00F0406C" w:rsidP="00BB4294">
            <w:pPr>
              <w:widowControl w:val="0"/>
              <w:autoSpaceDE w:val="0"/>
              <w:autoSpaceDN w:val="0"/>
              <w:adjustRightInd w:val="0"/>
              <w:outlineLvl w:val="0"/>
              <w:rPr>
                <w:bCs/>
                <w:color w:val="000000"/>
              </w:rPr>
            </w:pPr>
            <w:r w:rsidRPr="00F70333">
              <w:rPr>
                <w:bCs/>
                <w:color w:val="000000"/>
              </w:rPr>
              <w:t>Within 30 months after OMB approval</w:t>
            </w:r>
          </w:p>
        </w:tc>
      </w:tr>
      <w:tr w:rsidR="00F0406C" w:rsidRPr="00F70333" w:rsidTr="0038553A">
        <w:trPr>
          <w:cantSplit/>
        </w:trPr>
        <w:tc>
          <w:tcPr>
            <w:tcW w:w="2757" w:type="pct"/>
            <w:noWrap/>
          </w:tcPr>
          <w:p w:rsidR="00F0406C" w:rsidRPr="00F70333" w:rsidRDefault="00F0406C" w:rsidP="006F1144">
            <w:pPr>
              <w:widowControl w:val="0"/>
              <w:autoSpaceDE w:val="0"/>
              <w:autoSpaceDN w:val="0"/>
              <w:adjustRightInd w:val="0"/>
              <w:spacing w:before="80" w:after="80"/>
              <w:outlineLvl w:val="0"/>
              <w:rPr>
                <w:bCs/>
                <w:color w:val="000000"/>
              </w:rPr>
            </w:pPr>
            <w:r w:rsidRPr="00F70333">
              <w:rPr>
                <w:bCs/>
              </w:rPr>
              <w:t>The analysis of study data will be completed to d</w:t>
            </w:r>
            <w:r w:rsidRPr="00F70333">
              <w:t>etermine the effectiveness of multi-site MSD intervention at OBWC WRT establishments.</w:t>
            </w:r>
          </w:p>
        </w:tc>
        <w:tc>
          <w:tcPr>
            <w:tcW w:w="2243" w:type="pct"/>
            <w:noWrap/>
          </w:tcPr>
          <w:p w:rsidR="00F0406C" w:rsidRPr="00F70333" w:rsidRDefault="00F0406C" w:rsidP="00BB4294">
            <w:pPr>
              <w:widowControl w:val="0"/>
              <w:autoSpaceDE w:val="0"/>
              <w:autoSpaceDN w:val="0"/>
              <w:adjustRightInd w:val="0"/>
              <w:outlineLvl w:val="0"/>
              <w:rPr>
                <w:bCs/>
                <w:color w:val="000000"/>
              </w:rPr>
            </w:pPr>
            <w:r w:rsidRPr="00F70333">
              <w:rPr>
                <w:bCs/>
                <w:color w:val="000000"/>
              </w:rPr>
              <w:t>Within 42 months after OMB approval</w:t>
            </w:r>
          </w:p>
        </w:tc>
      </w:tr>
    </w:tbl>
    <w:p w:rsidR="0038553A" w:rsidRPr="00F70333" w:rsidRDefault="0038553A" w:rsidP="0038553A"/>
    <w:p w:rsidR="0038553A" w:rsidRPr="00F70333" w:rsidRDefault="0038553A" w:rsidP="0038553A">
      <w:pPr>
        <w:pStyle w:val="Heading2"/>
        <w:rPr>
          <w:b w:val="0"/>
        </w:rPr>
      </w:pPr>
      <w:bookmarkStart w:id="64" w:name="_Toc239826789"/>
      <w:bookmarkStart w:id="65" w:name="_Toc248821756"/>
      <w:bookmarkStart w:id="66" w:name="_Toc261966300"/>
      <w:r w:rsidRPr="00F70333">
        <w:rPr>
          <w:b w:val="0"/>
        </w:rPr>
        <w:t>A17.</w:t>
      </w:r>
      <w:r w:rsidRPr="00F70333">
        <w:rPr>
          <w:b w:val="0"/>
        </w:rPr>
        <w:tab/>
        <w:t>Reason(s) Display of OMB Expiration Date is Inappropriate</w:t>
      </w:r>
      <w:bookmarkEnd w:id="64"/>
      <w:bookmarkEnd w:id="65"/>
      <w:bookmarkEnd w:id="66"/>
    </w:p>
    <w:p w:rsidR="00B9590E" w:rsidRPr="00F70333" w:rsidRDefault="00B9590E" w:rsidP="00B9590E">
      <w:pPr>
        <w:rPr>
          <w:lang w:eastAsia="ja-JP"/>
        </w:rPr>
      </w:pPr>
    </w:p>
    <w:p w:rsidR="0038553A" w:rsidRPr="00F70333" w:rsidRDefault="0038553A" w:rsidP="0038553A">
      <w:r w:rsidRPr="00F70333">
        <w:t>There is no request for an expiration date display exemption.</w:t>
      </w:r>
    </w:p>
    <w:p w:rsidR="0038553A" w:rsidRPr="00F70333" w:rsidRDefault="0038553A" w:rsidP="0038553A"/>
    <w:p w:rsidR="0038553A" w:rsidRPr="00F70333" w:rsidRDefault="0038553A" w:rsidP="0038553A">
      <w:pPr>
        <w:pStyle w:val="Heading2"/>
        <w:rPr>
          <w:b w:val="0"/>
        </w:rPr>
      </w:pPr>
      <w:bookmarkStart w:id="67" w:name="_Toc239826790"/>
      <w:bookmarkStart w:id="68" w:name="_Toc248821757"/>
      <w:bookmarkStart w:id="69" w:name="_Toc261966301"/>
      <w:r w:rsidRPr="00F70333">
        <w:rPr>
          <w:b w:val="0"/>
        </w:rPr>
        <w:t>A18.</w:t>
      </w:r>
      <w:r w:rsidRPr="00F70333">
        <w:rPr>
          <w:b w:val="0"/>
        </w:rPr>
        <w:tab/>
        <w:t>Exceptions to Certification for Paperwork Reduction Act Submissions</w:t>
      </w:r>
      <w:bookmarkEnd w:id="67"/>
      <w:bookmarkEnd w:id="68"/>
      <w:bookmarkEnd w:id="69"/>
    </w:p>
    <w:p w:rsidR="00B9590E" w:rsidRPr="00F70333" w:rsidRDefault="00B9590E" w:rsidP="00B9590E">
      <w:pPr>
        <w:rPr>
          <w:lang w:eastAsia="ja-JP"/>
        </w:rPr>
      </w:pPr>
    </w:p>
    <w:p w:rsidR="0038553A" w:rsidRPr="00F81BA5" w:rsidRDefault="0038553A" w:rsidP="0038553A">
      <w:pPr>
        <w:rPr>
          <w:color w:val="000000"/>
          <w:lang w:eastAsia="ja-JP"/>
        </w:rPr>
      </w:pPr>
      <w:r w:rsidRPr="00F70333">
        <w:t>There are no exceptions being sought to the certification statement.</w:t>
      </w:r>
    </w:p>
    <w:sectPr w:rsidR="0038553A" w:rsidRPr="00F81BA5" w:rsidSect="0038553A">
      <w:headerReference w:type="even" r:id="rId34"/>
      <w:headerReference w:type="default" r:id="rId35"/>
      <w:headerReference w:type="first" r:id="rId36"/>
      <w:type w:val="continuous"/>
      <w:pgSz w:w="12240" w:h="15840" w:code="1"/>
      <w:pgMar w:top="1440" w:right="1800" w:bottom="1440" w:left="180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079" w:rsidRDefault="00114079">
      <w:r>
        <w:separator/>
      </w:r>
    </w:p>
  </w:endnote>
  <w:endnote w:type="continuationSeparator" w:id="0">
    <w:p w:rsidR="00114079" w:rsidRDefault="0011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4D" w:rsidRDefault="00B37682" w:rsidP="0038553A">
    <w:pPr>
      <w:pStyle w:val="Footer"/>
      <w:framePr w:wrap="around" w:vAnchor="text" w:hAnchor="margin" w:xAlign="center" w:y="1"/>
      <w:rPr>
        <w:rStyle w:val="PageNumber"/>
      </w:rPr>
    </w:pPr>
    <w:r>
      <w:rPr>
        <w:rStyle w:val="PageNumber"/>
      </w:rPr>
      <w:fldChar w:fldCharType="begin"/>
    </w:r>
    <w:r w:rsidR="008B0B4D">
      <w:rPr>
        <w:rStyle w:val="PageNumber"/>
      </w:rPr>
      <w:instrText xml:space="preserve">PAGE  </w:instrText>
    </w:r>
    <w:r>
      <w:rPr>
        <w:rStyle w:val="PageNumber"/>
      </w:rPr>
      <w:fldChar w:fldCharType="end"/>
    </w:r>
  </w:p>
  <w:p w:rsidR="008B0B4D" w:rsidRDefault="008B0B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4D" w:rsidRPr="00F0710F" w:rsidRDefault="00B37682" w:rsidP="0038553A">
    <w:pPr>
      <w:pStyle w:val="Footer"/>
      <w:framePr w:wrap="around" w:vAnchor="text" w:hAnchor="margin" w:xAlign="center" w:y="1"/>
      <w:rPr>
        <w:rStyle w:val="PageNumber"/>
        <w:sz w:val="24"/>
        <w:szCs w:val="24"/>
      </w:rPr>
    </w:pPr>
    <w:r w:rsidRPr="00F0710F">
      <w:rPr>
        <w:rStyle w:val="PageNumber"/>
        <w:sz w:val="24"/>
        <w:szCs w:val="24"/>
      </w:rPr>
      <w:fldChar w:fldCharType="begin"/>
    </w:r>
    <w:r w:rsidR="008B0B4D" w:rsidRPr="00F0710F">
      <w:rPr>
        <w:rStyle w:val="PageNumber"/>
        <w:sz w:val="24"/>
        <w:szCs w:val="24"/>
      </w:rPr>
      <w:instrText xml:space="preserve">PAGE  </w:instrText>
    </w:r>
    <w:r w:rsidRPr="00F0710F">
      <w:rPr>
        <w:rStyle w:val="PageNumber"/>
        <w:sz w:val="24"/>
        <w:szCs w:val="24"/>
      </w:rPr>
      <w:fldChar w:fldCharType="separate"/>
    </w:r>
    <w:r w:rsidR="00CE0CC8">
      <w:rPr>
        <w:rStyle w:val="PageNumber"/>
        <w:noProof/>
        <w:sz w:val="24"/>
        <w:szCs w:val="24"/>
      </w:rPr>
      <w:t>10</w:t>
    </w:r>
    <w:r w:rsidRPr="00F0710F">
      <w:rPr>
        <w:rStyle w:val="PageNumber"/>
        <w:sz w:val="24"/>
        <w:szCs w:val="24"/>
      </w:rPr>
      <w:fldChar w:fldCharType="end"/>
    </w:r>
  </w:p>
  <w:p w:rsidR="008B0B4D" w:rsidRPr="00C7102E" w:rsidRDefault="008B0B4D" w:rsidP="0038553A">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079" w:rsidRDefault="00114079">
      <w:r>
        <w:separator/>
      </w:r>
    </w:p>
  </w:footnote>
  <w:footnote w:type="continuationSeparator" w:id="0">
    <w:p w:rsidR="00114079" w:rsidRDefault="00114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4D" w:rsidRDefault="008B0B4D" w:rsidP="003855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4D" w:rsidRDefault="008B0B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4D" w:rsidRDefault="008B0B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singleLevel"/>
    <w:tmpl w:val="00000000"/>
    <w:lvl w:ilvl="0">
      <w:start w:val="1"/>
      <w:numFmt w:val="upperLetter"/>
      <w:lvlText w:val="%1."/>
      <w:lvlJc w:val="left"/>
      <w:pPr>
        <w:tabs>
          <w:tab w:val="num" w:pos="1080"/>
        </w:tabs>
      </w:pPr>
    </w:lvl>
  </w:abstractNum>
  <w:abstractNum w:abstractNumId="2">
    <w:nsid w:val="00000007"/>
    <w:multiLevelType w:val="multilevel"/>
    <w:tmpl w:val="00000000"/>
    <w:name w:val="AutoList2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8"/>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A"/>
    <w:multiLevelType w:val="multilevel"/>
    <w:tmpl w:val="00000000"/>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B"/>
    <w:multiLevelType w:val="multilevel"/>
    <w:tmpl w:val="00000000"/>
    <w:name w:val="AutoList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F"/>
    <w:multiLevelType w:val="multilevel"/>
    <w:tmpl w:val="00000000"/>
    <w:name w:val="AutoList13"/>
    <w:lvl w:ilvl="0">
      <w:start w:val="1"/>
      <w:numFmt w:val="lowerLetter"/>
      <w:lvlText w:val="(%1)"/>
      <w:lvlJc w:val="left"/>
    </w:lvl>
    <w:lvl w:ilvl="1">
      <w:start w:val="1"/>
      <w:numFmt w:val="decimal"/>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5CF0381"/>
    <w:multiLevelType w:val="hybridMultilevel"/>
    <w:tmpl w:val="FDB83FB4"/>
    <w:lvl w:ilvl="0" w:tplc="25B01538">
      <w:start w:val="10"/>
      <w:numFmt w:val="upperRoman"/>
      <w:lvlText w:val="%1."/>
      <w:lvlJc w:val="left"/>
      <w:pPr>
        <w:tabs>
          <w:tab w:val="num" w:pos="1080"/>
        </w:tabs>
        <w:ind w:left="1080" w:hanging="720"/>
      </w:pPr>
      <w:rPr>
        <w:rFonts w:hint="default"/>
        <w:u w:val="single"/>
      </w:rPr>
    </w:lvl>
    <w:lvl w:ilvl="1" w:tplc="A628CB64">
      <w:start w:val="2"/>
      <w:numFmt w:val="decimal"/>
      <w:lvlText w:val="%2."/>
      <w:lvlJc w:val="left"/>
      <w:pPr>
        <w:tabs>
          <w:tab w:val="num" w:pos="1440"/>
        </w:tabs>
        <w:ind w:left="1440" w:hanging="360"/>
      </w:pPr>
      <w:rPr>
        <w:rFonts w:hint="default"/>
        <w:u w:val="single"/>
      </w:rPr>
    </w:lvl>
    <w:lvl w:ilvl="2" w:tplc="04090015">
      <w:start w:val="1"/>
      <w:numFmt w:val="upperLetter"/>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77D7EB3"/>
    <w:multiLevelType w:val="hybridMultilevel"/>
    <w:tmpl w:val="D292CC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9065932"/>
    <w:multiLevelType w:val="hybridMultilevel"/>
    <w:tmpl w:val="FB905A58"/>
    <w:lvl w:ilvl="0" w:tplc="B226E00E">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0B1C55A7"/>
    <w:multiLevelType w:val="hybridMultilevel"/>
    <w:tmpl w:val="4172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F03018"/>
    <w:multiLevelType w:val="hybridMultilevel"/>
    <w:tmpl w:val="C3867E76"/>
    <w:lvl w:ilvl="0" w:tplc="3B78BA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CE7330A"/>
    <w:multiLevelType w:val="hybridMultilevel"/>
    <w:tmpl w:val="D980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AA5C47"/>
    <w:multiLevelType w:val="hybridMultilevel"/>
    <w:tmpl w:val="F8DC9F5C"/>
    <w:lvl w:ilvl="0" w:tplc="BBA66CE2">
      <w:start w:val="1"/>
      <w:numFmt w:val="decimal"/>
      <w:lvlText w:val="%1."/>
      <w:lvlJc w:val="left"/>
      <w:pPr>
        <w:tabs>
          <w:tab w:val="num" w:pos="840"/>
        </w:tabs>
        <w:ind w:left="840" w:hanging="480"/>
      </w:pPr>
      <w:rPr>
        <w:rFonts w:hint="default"/>
      </w:rPr>
    </w:lvl>
    <w:lvl w:ilvl="1" w:tplc="02223EB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ED002F3"/>
    <w:multiLevelType w:val="hybridMultilevel"/>
    <w:tmpl w:val="CC9AD5C0"/>
    <w:lvl w:ilvl="0" w:tplc="055E38F0">
      <w:start w:val="1"/>
      <w:numFmt w:val="bullet"/>
      <w:pStyle w:val="AppHeading1"/>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D629A6"/>
    <w:multiLevelType w:val="hybridMultilevel"/>
    <w:tmpl w:val="E456739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29B0067"/>
    <w:multiLevelType w:val="hybridMultilevel"/>
    <w:tmpl w:val="D21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10327C"/>
    <w:multiLevelType w:val="hybridMultilevel"/>
    <w:tmpl w:val="D5780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CB0974"/>
    <w:multiLevelType w:val="hybridMultilevel"/>
    <w:tmpl w:val="CAB2C00C"/>
    <w:lvl w:ilvl="0" w:tplc="39EA136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8441EAD"/>
    <w:multiLevelType w:val="hybridMultilevel"/>
    <w:tmpl w:val="1C007DA0"/>
    <w:lvl w:ilvl="0" w:tplc="5ADE8F2A">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CA17C2A"/>
    <w:multiLevelType w:val="hybridMultilevel"/>
    <w:tmpl w:val="1B8E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924A97"/>
    <w:multiLevelType w:val="hybridMultilevel"/>
    <w:tmpl w:val="AACAA9B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02E2CEB"/>
    <w:multiLevelType w:val="hybridMultilevel"/>
    <w:tmpl w:val="FB488C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3506F99"/>
    <w:multiLevelType w:val="multilevel"/>
    <w:tmpl w:val="AACAA9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37901EB"/>
    <w:multiLevelType w:val="hybridMultilevel"/>
    <w:tmpl w:val="722C63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3B521CA"/>
    <w:multiLevelType w:val="hybridMultilevel"/>
    <w:tmpl w:val="9D822512"/>
    <w:lvl w:ilvl="0" w:tplc="A1EC7D62">
      <w:start w:val="1"/>
      <w:numFmt w:val="upperRoman"/>
      <w:lvlText w:val="%1."/>
      <w:lvlJc w:val="left"/>
      <w:pPr>
        <w:tabs>
          <w:tab w:val="num" w:pos="720"/>
        </w:tabs>
        <w:ind w:left="720" w:hanging="720"/>
      </w:pPr>
      <w:rPr>
        <w:rFonts w:hint="default"/>
        <w:u w:val="single"/>
      </w:rPr>
    </w:lvl>
    <w:lvl w:ilvl="1" w:tplc="82AA39B8">
      <w:start w:val="1"/>
      <w:numFmt w:val="upperLetter"/>
      <w:lvlText w:val="%2."/>
      <w:lvlJc w:val="left"/>
      <w:pPr>
        <w:tabs>
          <w:tab w:val="num" w:pos="720"/>
        </w:tabs>
        <w:ind w:left="720" w:hanging="360"/>
      </w:pPr>
      <w:rPr>
        <w:rFonts w:hint="default"/>
        <w:u w:val="none"/>
      </w:rPr>
    </w:lvl>
    <w:lvl w:ilvl="2" w:tplc="19A420FA">
      <w:start w:val="1"/>
      <w:numFmt w:val="upperLetter"/>
      <w:lvlText w:val="%3."/>
      <w:lvlJc w:val="left"/>
      <w:pPr>
        <w:tabs>
          <w:tab w:val="num" w:pos="2340"/>
        </w:tabs>
        <w:ind w:left="2340" w:hanging="360"/>
      </w:pPr>
      <w:rPr>
        <w:rFonts w:hint="default"/>
        <w:u w:val="none"/>
      </w:rPr>
    </w:lvl>
    <w:lvl w:ilvl="3" w:tplc="DD303D3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4FF7C97"/>
    <w:multiLevelType w:val="hybridMultilevel"/>
    <w:tmpl w:val="7138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2162BF"/>
    <w:multiLevelType w:val="hybridMultilevel"/>
    <w:tmpl w:val="F4920FC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2495D27"/>
    <w:multiLevelType w:val="singleLevel"/>
    <w:tmpl w:val="6FE2D3D2"/>
    <w:lvl w:ilvl="0">
      <w:start w:val="1"/>
      <w:numFmt w:val="bullet"/>
      <w:pStyle w:val="SP-SglSpPara"/>
      <w:lvlText w:val="–"/>
      <w:lvlJc w:val="left"/>
      <w:pPr>
        <w:tabs>
          <w:tab w:val="num" w:pos="1728"/>
        </w:tabs>
        <w:ind w:left="1728" w:hanging="576"/>
      </w:pPr>
      <w:rPr>
        <w:rFonts w:ascii="Garamond" w:hAnsi="Garamond" w:hint="default"/>
        <w:sz w:val="28"/>
        <w:szCs w:val="36"/>
      </w:rPr>
    </w:lvl>
  </w:abstractNum>
  <w:abstractNum w:abstractNumId="30">
    <w:nsid w:val="367607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32">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66C5CB7"/>
    <w:multiLevelType w:val="hybridMultilevel"/>
    <w:tmpl w:val="C9B4B192"/>
    <w:lvl w:ilvl="0" w:tplc="C16017F0">
      <w:start w:val="1"/>
      <w:numFmt w:val="upperLetter"/>
      <w:lvlText w:val="%1)"/>
      <w:lvlJc w:val="left"/>
      <w:pPr>
        <w:tabs>
          <w:tab w:val="num" w:pos="720"/>
        </w:tabs>
        <w:ind w:left="720" w:hanging="360"/>
      </w:pPr>
      <w:rPr>
        <w:rFonts w:hint="default"/>
      </w:rPr>
    </w:lvl>
    <w:lvl w:ilvl="1" w:tplc="A7C012C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AAA1D37"/>
    <w:multiLevelType w:val="hybridMultilevel"/>
    <w:tmpl w:val="8980802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4DB83FA4"/>
    <w:multiLevelType w:val="hybridMultilevel"/>
    <w:tmpl w:val="CA9425FE"/>
    <w:lvl w:ilvl="0" w:tplc="7D1C3BBA">
      <w:start w:val="1"/>
      <w:numFmt w:val="decimal"/>
      <w:lvlText w:val="%1."/>
      <w:lvlJc w:val="left"/>
      <w:pPr>
        <w:tabs>
          <w:tab w:val="num" w:pos="466"/>
        </w:tabs>
        <w:ind w:left="466" w:hanging="360"/>
      </w:pPr>
      <w:rPr>
        <w:rFonts w:hint="default"/>
      </w:rPr>
    </w:lvl>
    <w:lvl w:ilvl="1" w:tplc="04090019">
      <w:start w:val="1"/>
      <w:numFmt w:val="lowerLetter"/>
      <w:lvlText w:val="%2."/>
      <w:lvlJc w:val="left"/>
      <w:pPr>
        <w:tabs>
          <w:tab w:val="num" w:pos="1186"/>
        </w:tabs>
        <w:ind w:left="1186" w:hanging="360"/>
      </w:pPr>
    </w:lvl>
    <w:lvl w:ilvl="2" w:tplc="0409001B" w:tentative="1">
      <w:start w:val="1"/>
      <w:numFmt w:val="lowerRoman"/>
      <w:lvlText w:val="%3."/>
      <w:lvlJc w:val="right"/>
      <w:pPr>
        <w:tabs>
          <w:tab w:val="num" w:pos="1906"/>
        </w:tabs>
        <w:ind w:left="1906" w:hanging="180"/>
      </w:pPr>
    </w:lvl>
    <w:lvl w:ilvl="3" w:tplc="0409000F" w:tentative="1">
      <w:start w:val="1"/>
      <w:numFmt w:val="decimal"/>
      <w:lvlText w:val="%4."/>
      <w:lvlJc w:val="left"/>
      <w:pPr>
        <w:tabs>
          <w:tab w:val="num" w:pos="2626"/>
        </w:tabs>
        <w:ind w:left="2626" w:hanging="360"/>
      </w:pPr>
    </w:lvl>
    <w:lvl w:ilvl="4" w:tplc="04090019" w:tentative="1">
      <w:start w:val="1"/>
      <w:numFmt w:val="lowerLetter"/>
      <w:lvlText w:val="%5."/>
      <w:lvlJc w:val="left"/>
      <w:pPr>
        <w:tabs>
          <w:tab w:val="num" w:pos="3346"/>
        </w:tabs>
        <w:ind w:left="3346" w:hanging="360"/>
      </w:pPr>
    </w:lvl>
    <w:lvl w:ilvl="5" w:tplc="0409001B" w:tentative="1">
      <w:start w:val="1"/>
      <w:numFmt w:val="lowerRoman"/>
      <w:lvlText w:val="%6."/>
      <w:lvlJc w:val="right"/>
      <w:pPr>
        <w:tabs>
          <w:tab w:val="num" w:pos="4066"/>
        </w:tabs>
        <w:ind w:left="4066" w:hanging="180"/>
      </w:pPr>
    </w:lvl>
    <w:lvl w:ilvl="6" w:tplc="0409000F" w:tentative="1">
      <w:start w:val="1"/>
      <w:numFmt w:val="decimal"/>
      <w:lvlText w:val="%7."/>
      <w:lvlJc w:val="left"/>
      <w:pPr>
        <w:tabs>
          <w:tab w:val="num" w:pos="4786"/>
        </w:tabs>
        <w:ind w:left="4786" w:hanging="360"/>
      </w:pPr>
    </w:lvl>
    <w:lvl w:ilvl="7" w:tplc="04090019" w:tentative="1">
      <w:start w:val="1"/>
      <w:numFmt w:val="lowerLetter"/>
      <w:lvlText w:val="%8."/>
      <w:lvlJc w:val="left"/>
      <w:pPr>
        <w:tabs>
          <w:tab w:val="num" w:pos="5506"/>
        </w:tabs>
        <w:ind w:left="5506" w:hanging="360"/>
      </w:pPr>
    </w:lvl>
    <w:lvl w:ilvl="8" w:tplc="0409001B" w:tentative="1">
      <w:start w:val="1"/>
      <w:numFmt w:val="lowerRoman"/>
      <w:lvlText w:val="%9."/>
      <w:lvlJc w:val="right"/>
      <w:pPr>
        <w:tabs>
          <w:tab w:val="num" w:pos="6226"/>
        </w:tabs>
        <w:ind w:left="6226" w:hanging="180"/>
      </w:pPr>
    </w:lvl>
  </w:abstractNum>
  <w:abstractNum w:abstractNumId="36">
    <w:nsid w:val="4DF16EDB"/>
    <w:multiLevelType w:val="hybridMultilevel"/>
    <w:tmpl w:val="9060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642385"/>
    <w:multiLevelType w:val="hybridMultilevel"/>
    <w:tmpl w:val="739EF2E4"/>
    <w:lvl w:ilvl="0" w:tplc="6840B8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1B95A77"/>
    <w:multiLevelType w:val="hybridMultilevel"/>
    <w:tmpl w:val="DA1E48F4"/>
    <w:lvl w:ilvl="0" w:tplc="96106E9E">
      <w:start w:val="1"/>
      <w:numFmt w:val="bullet"/>
      <w:lvlText w:val=""/>
      <w:lvlJc w:val="left"/>
      <w:pPr>
        <w:tabs>
          <w:tab w:val="num" w:pos="720"/>
        </w:tabs>
        <w:ind w:left="720" w:hanging="360"/>
      </w:pPr>
      <w:rPr>
        <w:rFonts w:ascii="Symbol" w:hAnsi="Symbol" w:hint="default"/>
        <w:sz w:val="20"/>
      </w:rPr>
    </w:lvl>
    <w:lvl w:ilvl="1" w:tplc="07C451E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27C2071"/>
    <w:multiLevelType w:val="hybridMultilevel"/>
    <w:tmpl w:val="771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245152"/>
    <w:multiLevelType w:val="hybridMultilevel"/>
    <w:tmpl w:val="256E31C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90A2E7F"/>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5DC22666"/>
    <w:multiLevelType w:val="hybridMultilevel"/>
    <w:tmpl w:val="B660F92E"/>
    <w:lvl w:ilvl="0" w:tplc="E03E4C20">
      <w:start w:val="100"/>
      <w:numFmt w:val="upperRoman"/>
      <w:lvlText w:val="%1."/>
      <w:lvlJc w:val="left"/>
      <w:pPr>
        <w:tabs>
          <w:tab w:val="num" w:pos="1800"/>
        </w:tabs>
        <w:ind w:left="1800" w:hanging="720"/>
      </w:pPr>
      <w:rPr>
        <w:rFonts w:cs="Arial" w:hint="default"/>
        <w:b w:val="0"/>
        <w:color w:val="000000"/>
        <w:sz w:val="28"/>
        <w:u w:val="singl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5F4B13B6"/>
    <w:multiLevelType w:val="hybridMultilevel"/>
    <w:tmpl w:val="C7D49F7E"/>
    <w:lvl w:ilvl="0" w:tplc="7AC6868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11B224E"/>
    <w:multiLevelType w:val="multilevel"/>
    <w:tmpl w:val="973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2DA042F"/>
    <w:multiLevelType w:val="multilevel"/>
    <w:tmpl w:val="9D822512"/>
    <w:lvl w:ilvl="0">
      <w:start w:val="1"/>
      <w:numFmt w:val="upperRoman"/>
      <w:lvlText w:val="%1."/>
      <w:lvlJc w:val="left"/>
      <w:pPr>
        <w:tabs>
          <w:tab w:val="num" w:pos="720"/>
        </w:tabs>
        <w:ind w:left="720" w:hanging="720"/>
      </w:pPr>
      <w:rPr>
        <w:rFonts w:hint="default"/>
        <w:u w:val="single"/>
      </w:rPr>
    </w:lvl>
    <w:lvl w:ilvl="1">
      <w:start w:val="1"/>
      <w:numFmt w:val="upperLetter"/>
      <w:lvlText w:val="%2."/>
      <w:lvlJc w:val="left"/>
      <w:pPr>
        <w:tabs>
          <w:tab w:val="num" w:pos="720"/>
        </w:tabs>
        <w:ind w:left="720" w:hanging="360"/>
      </w:pPr>
      <w:rPr>
        <w:rFonts w:hint="default"/>
        <w:u w:val="none"/>
      </w:rPr>
    </w:lvl>
    <w:lvl w:ilvl="2">
      <w:start w:val="1"/>
      <w:numFmt w:val="upperLetter"/>
      <w:lvlText w:val="%3."/>
      <w:lvlJc w:val="left"/>
      <w:pPr>
        <w:tabs>
          <w:tab w:val="num" w:pos="2340"/>
        </w:tabs>
        <w:ind w:left="2340" w:hanging="360"/>
      </w:pPr>
      <w:rPr>
        <w:rFonts w:hint="default"/>
        <w:u w:val="no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7265DA3"/>
    <w:multiLevelType w:val="hybridMultilevel"/>
    <w:tmpl w:val="FF90D28C"/>
    <w:lvl w:ilvl="0" w:tplc="2FC64F70">
      <w:start w:val="1"/>
      <w:numFmt w:val="upperLetter"/>
      <w:lvlText w:val="%1."/>
      <w:lvlJc w:val="left"/>
      <w:pPr>
        <w:tabs>
          <w:tab w:val="num" w:pos="3270"/>
        </w:tabs>
        <w:ind w:left="3270" w:hanging="465"/>
      </w:pPr>
      <w:rPr>
        <w:rFonts w:hint="default"/>
      </w:rPr>
    </w:lvl>
    <w:lvl w:ilvl="1" w:tplc="04090019" w:tentative="1">
      <w:start w:val="1"/>
      <w:numFmt w:val="lowerLetter"/>
      <w:lvlText w:val="%2."/>
      <w:lvlJc w:val="left"/>
      <w:pPr>
        <w:tabs>
          <w:tab w:val="num" w:pos="3885"/>
        </w:tabs>
        <w:ind w:left="3885" w:hanging="360"/>
      </w:pPr>
    </w:lvl>
    <w:lvl w:ilvl="2" w:tplc="0409001B" w:tentative="1">
      <w:start w:val="1"/>
      <w:numFmt w:val="lowerRoman"/>
      <w:lvlText w:val="%3."/>
      <w:lvlJc w:val="right"/>
      <w:pPr>
        <w:tabs>
          <w:tab w:val="num" w:pos="4605"/>
        </w:tabs>
        <w:ind w:left="4605" w:hanging="180"/>
      </w:pPr>
    </w:lvl>
    <w:lvl w:ilvl="3" w:tplc="0409000F" w:tentative="1">
      <w:start w:val="1"/>
      <w:numFmt w:val="decimal"/>
      <w:lvlText w:val="%4."/>
      <w:lvlJc w:val="left"/>
      <w:pPr>
        <w:tabs>
          <w:tab w:val="num" w:pos="5325"/>
        </w:tabs>
        <w:ind w:left="5325" w:hanging="360"/>
      </w:pPr>
    </w:lvl>
    <w:lvl w:ilvl="4" w:tplc="04090019" w:tentative="1">
      <w:start w:val="1"/>
      <w:numFmt w:val="lowerLetter"/>
      <w:lvlText w:val="%5."/>
      <w:lvlJc w:val="left"/>
      <w:pPr>
        <w:tabs>
          <w:tab w:val="num" w:pos="6045"/>
        </w:tabs>
        <w:ind w:left="6045" w:hanging="360"/>
      </w:pPr>
    </w:lvl>
    <w:lvl w:ilvl="5" w:tplc="0409001B" w:tentative="1">
      <w:start w:val="1"/>
      <w:numFmt w:val="lowerRoman"/>
      <w:lvlText w:val="%6."/>
      <w:lvlJc w:val="right"/>
      <w:pPr>
        <w:tabs>
          <w:tab w:val="num" w:pos="6765"/>
        </w:tabs>
        <w:ind w:left="6765" w:hanging="180"/>
      </w:pPr>
    </w:lvl>
    <w:lvl w:ilvl="6" w:tplc="0409000F" w:tentative="1">
      <w:start w:val="1"/>
      <w:numFmt w:val="decimal"/>
      <w:lvlText w:val="%7."/>
      <w:lvlJc w:val="left"/>
      <w:pPr>
        <w:tabs>
          <w:tab w:val="num" w:pos="7485"/>
        </w:tabs>
        <w:ind w:left="7485" w:hanging="360"/>
      </w:pPr>
    </w:lvl>
    <w:lvl w:ilvl="7" w:tplc="04090019" w:tentative="1">
      <w:start w:val="1"/>
      <w:numFmt w:val="lowerLetter"/>
      <w:lvlText w:val="%8."/>
      <w:lvlJc w:val="left"/>
      <w:pPr>
        <w:tabs>
          <w:tab w:val="num" w:pos="8205"/>
        </w:tabs>
        <w:ind w:left="8205" w:hanging="360"/>
      </w:pPr>
    </w:lvl>
    <w:lvl w:ilvl="8" w:tplc="0409001B" w:tentative="1">
      <w:start w:val="1"/>
      <w:numFmt w:val="lowerRoman"/>
      <w:lvlText w:val="%9."/>
      <w:lvlJc w:val="right"/>
      <w:pPr>
        <w:tabs>
          <w:tab w:val="num" w:pos="8925"/>
        </w:tabs>
        <w:ind w:left="8925" w:hanging="180"/>
      </w:pPr>
    </w:lvl>
  </w:abstractNum>
  <w:abstractNum w:abstractNumId="47">
    <w:nsid w:val="69F52217"/>
    <w:multiLevelType w:val="hybridMultilevel"/>
    <w:tmpl w:val="F2EE1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AC254E2"/>
    <w:multiLevelType w:val="hybridMultilevel"/>
    <w:tmpl w:val="ABFC55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C582C58"/>
    <w:multiLevelType w:val="hybridMultilevel"/>
    <w:tmpl w:val="D0C22D1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FB834A3"/>
    <w:multiLevelType w:val="multilevel"/>
    <w:tmpl w:val="976226A0"/>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 w:ilvl="0">
        <w:start w:val="1"/>
        <w:numFmt w:val="upperLetter"/>
        <w:lvlText w:val="%1."/>
        <w:lvlJc w:val="left"/>
      </w:lvl>
    </w:lvlOverride>
  </w:num>
  <w:num w:numId="2">
    <w:abstractNumId w:val="2"/>
    <w:lvlOverride w:ilvl="0">
      <w:startOverride w:val="2"/>
      <w:lvl w:ilvl="0">
        <w:start w:val="2"/>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15"/>
  </w:num>
  <w:num w:numId="4">
    <w:abstractNumId w:val="35"/>
  </w:num>
  <w:num w:numId="5">
    <w:abstractNumId w:val="14"/>
  </w:num>
  <w:num w:numId="6">
    <w:abstractNumId w:val="29"/>
  </w:num>
  <w:num w:numId="7">
    <w:abstractNumId w:val="7"/>
  </w:num>
  <w:num w:numId="8">
    <w:abstractNumId w:val="49"/>
  </w:num>
  <w:num w:numId="9">
    <w:abstractNumId w:val="28"/>
  </w:num>
  <w:num w:numId="10">
    <w:abstractNumId w:val="23"/>
  </w:num>
  <w:num w:numId="11">
    <w:abstractNumId w:val="30"/>
  </w:num>
  <w:num w:numId="12">
    <w:abstractNumId w:val="8"/>
  </w:num>
  <w:num w:numId="13">
    <w:abstractNumId w:val="9"/>
  </w:num>
  <w:num w:numId="14">
    <w:abstractNumId w:val="32"/>
  </w:num>
  <w:num w:numId="15">
    <w:abstractNumId w:val="16"/>
  </w:num>
  <w:num w:numId="16">
    <w:abstractNumId w:val="22"/>
  </w:num>
  <w:num w:numId="17">
    <w:abstractNumId w:val="26"/>
  </w:num>
  <w:num w:numId="18">
    <w:abstractNumId w:val="13"/>
  </w:num>
  <w:num w:numId="19">
    <w:abstractNumId w:val="11"/>
  </w:num>
  <w:num w:numId="20">
    <w:abstractNumId w:val="20"/>
  </w:num>
  <w:num w:numId="21">
    <w:abstractNumId w:val="37"/>
  </w:num>
  <w:num w:numId="22">
    <w:abstractNumId w:val="31"/>
  </w:num>
  <w:num w:numId="23">
    <w:abstractNumId w:val="33"/>
  </w:num>
  <w:num w:numId="24">
    <w:abstractNumId w:val="19"/>
  </w:num>
  <w:num w:numId="25">
    <w:abstractNumId w:val="40"/>
  </w:num>
  <w:num w:numId="26">
    <w:abstractNumId w:val="46"/>
  </w:num>
  <w:num w:numId="27">
    <w:abstractNumId w:val="43"/>
  </w:num>
  <w:num w:numId="28">
    <w:abstractNumId w:val="44"/>
  </w:num>
  <w:num w:numId="29">
    <w:abstractNumId w:val="24"/>
  </w:num>
  <w:num w:numId="30">
    <w:abstractNumId w:val="42"/>
  </w:num>
  <w:num w:numId="31">
    <w:abstractNumId w:val="50"/>
  </w:num>
  <w:num w:numId="32">
    <w:abstractNumId w:val="45"/>
  </w:num>
  <w:num w:numId="33">
    <w:abstractNumId w:val="41"/>
  </w:num>
  <w:num w:numId="34">
    <w:abstractNumId w:val="38"/>
  </w:num>
  <w:num w:numId="35">
    <w:abstractNumId w:val="25"/>
  </w:num>
  <w:num w:numId="36">
    <w:abstractNumId w:val="47"/>
  </w:num>
  <w:num w:numId="37">
    <w:abstractNumId w:val="48"/>
  </w:num>
  <w:num w:numId="38">
    <w:abstractNumId w:val="39"/>
  </w:num>
  <w:num w:numId="39">
    <w:abstractNumId w:val="34"/>
  </w:num>
  <w:num w:numId="40">
    <w:abstractNumId w:val="10"/>
  </w:num>
  <w:num w:numId="41">
    <w:abstractNumId w:val="36"/>
  </w:num>
  <w:num w:numId="42">
    <w:abstractNumId w:val="17"/>
  </w:num>
  <w:num w:numId="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18"/>
  </w:num>
  <w:num w:numId="46">
    <w:abstractNumId w:val="12"/>
  </w:num>
  <w:num w:numId="47">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0&lt;/Enabled&gt;&lt;ScanUnformatted&gt;1&lt;/ScanUnformatted&gt;&lt;ScanChanges&gt;1&lt;/ScanChanges&gt;&lt;/ENInstantFormat&gt;"/>
  </w:docVars>
  <w:rsids>
    <w:rsidRoot w:val="0038553A"/>
    <w:rsid w:val="00000A67"/>
    <w:rsid w:val="00003ECC"/>
    <w:rsid w:val="00006DBF"/>
    <w:rsid w:val="0000728B"/>
    <w:rsid w:val="00015DCB"/>
    <w:rsid w:val="00023587"/>
    <w:rsid w:val="0002744B"/>
    <w:rsid w:val="000274A0"/>
    <w:rsid w:val="00031545"/>
    <w:rsid w:val="000411AF"/>
    <w:rsid w:val="00041A17"/>
    <w:rsid w:val="000435F9"/>
    <w:rsid w:val="0004538C"/>
    <w:rsid w:val="00050A2B"/>
    <w:rsid w:val="00054885"/>
    <w:rsid w:val="000609FA"/>
    <w:rsid w:val="000672D4"/>
    <w:rsid w:val="000727C1"/>
    <w:rsid w:val="000729F8"/>
    <w:rsid w:val="00077388"/>
    <w:rsid w:val="000814FA"/>
    <w:rsid w:val="0008517E"/>
    <w:rsid w:val="000A17B3"/>
    <w:rsid w:val="000A6B08"/>
    <w:rsid w:val="000A6DC4"/>
    <w:rsid w:val="000B5365"/>
    <w:rsid w:val="000B6B56"/>
    <w:rsid w:val="000C2691"/>
    <w:rsid w:val="000C3E90"/>
    <w:rsid w:val="000C6194"/>
    <w:rsid w:val="000E7992"/>
    <w:rsid w:val="000F05D2"/>
    <w:rsid w:val="000F3CF1"/>
    <w:rsid w:val="00100F38"/>
    <w:rsid w:val="00102386"/>
    <w:rsid w:val="001030D8"/>
    <w:rsid w:val="00104379"/>
    <w:rsid w:val="00104D3F"/>
    <w:rsid w:val="00107C1B"/>
    <w:rsid w:val="00110E34"/>
    <w:rsid w:val="00114079"/>
    <w:rsid w:val="00116A75"/>
    <w:rsid w:val="00122227"/>
    <w:rsid w:val="001228A5"/>
    <w:rsid w:val="00123F0B"/>
    <w:rsid w:val="00125462"/>
    <w:rsid w:val="00131CE9"/>
    <w:rsid w:val="00137A2C"/>
    <w:rsid w:val="00141C61"/>
    <w:rsid w:val="00143FD8"/>
    <w:rsid w:val="00150DA5"/>
    <w:rsid w:val="00152CCF"/>
    <w:rsid w:val="00154ADB"/>
    <w:rsid w:val="00163356"/>
    <w:rsid w:val="001715A0"/>
    <w:rsid w:val="00171BC0"/>
    <w:rsid w:val="001734D5"/>
    <w:rsid w:val="00191EAF"/>
    <w:rsid w:val="0019660B"/>
    <w:rsid w:val="001A754C"/>
    <w:rsid w:val="001B7DC9"/>
    <w:rsid w:val="001D7619"/>
    <w:rsid w:val="001D792A"/>
    <w:rsid w:val="001F02A3"/>
    <w:rsid w:val="001F197B"/>
    <w:rsid w:val="001F1A11"/>
    <w:rsid w:val="001F4A52"/>
    <w:rsid w:val="002052A8"/>
    <w:rsid w:val="00206F70"/>
    <w:rsid w:val="00207491"/>
    <w:rsid w:val="00213918"/>
    <w:rsid w:val="00214159"/>
    <w:rsid w:val="00214E0F"/>
    <w:rsid w:val="002150E4"/>
    <w:rsid w:val="00215BC5"/>
    <w:rsid w:val="002201FB"/>
    <w:rsid w:val="00221130"/>
    <w:rsid w:val="00226509"/>
    <w:rsid w:val="0023634D"/>
    <w:rsid w:val="00240E38"/>
    <w:rsid w:val="00242A30"/>
    <w:rsid w:val="00247D2E"/>
    <w:rsid w:val="00250EC5"/>
    <w:rsid w:val="0025199E"/>
    <w:rsid w:val="00251CC7"/>
    <w:rsid w:val="002567D7"/>
    <w:rsid w:val="00262BBF"/>
    <w:rsid w:val="00264E82"/>
    <w:rsid w:val="00266DAC"/>
    <w:rsid w:val="00270B64"/>
    <w:rsid w:val="002735F3"/>
    <w:rsid w:val="002873C1"/>
    <w:rsid w:val="002873C6"/>
    <w:rsid w:val="002A032B"/>
    <w:rsid w:val="002A1DA9"/>
    <w:rsid w:val="002B4177"/>
    <w:rsid w:val="002B4E5A"/>
    <w:rsid w:val="002B72A0"/>
    <w:rsid w:val="002C06C1"/>
    <w:rsid w:val="002F0562"/>
    <w:rsid w:val="002F41B0"/>
    <w:rsid w:val="002F5857"/>
    <w:rsid w:val="002F76AE"/>
    <w:rsid w:val="00302EC4"/>
    <w:rsid w:val="00304325"/>
    <w:rsid w:val="00305614"/>
    <w:rsid w:val="0030631F"/>
    <w:rsid w:val="00312312"/>
    <w:rsid w:val="0031461A"/>
    <w:rsid w:val="003164A1"/>
    <w:rsid w:val="00321421"/>
    <w:rsid w:val="003302C3"/>
    <w:rsid w:val="00330FB5"/>
    <w:rsid w:val="00332F13"/>
    <w:rsid w:val="0033392F"/>
    <w:rsid w:val="003405A7"/>
    <w:rsid w:val="00340A81"/>
    <w:rsid w:val="00342923"/>
    <w:rsid w:val="003432BB"/>
    <w:rsid w:val="00343A22"/>
    <w:rsid w:val="003465EE"/>
    <w:rsid w:val="00361B17"/>
    <w:rsid w:val="00365BFB"/>
    <w:rsid w:val="00373430"/>
    <w:rsid w:val="003773AD"/>
    <w:rsid w:val="0038553A"/>
    <w:rsid w:val="00390F48"/>
    <w:rsid w:val="003938D6"/>
    <w:rsid w:val="00395B86"/>
    <w:rsid w:val="00396577"/>
    <w:rsid w:val="00396751"/>
    <w:rsid w:val="003A0A26"/>
    <w:rsid w:val="003B554E"/>
    <w:rsid w:val="003C0C00"/>
    <w:rsid w:val="003C28F4"/>
    <w:rsid w:val="003C2CD7"/>
    <w:rsid w:val="00407F9B"/>
    <w:rsid w:val="004107D5"/>
    <w:rsid w:val="00411D7A"/>
    <w:rsid w:val="004338B5"/>
    <w:rsid w:val="00440224"/>
    <w:rsid w:val="00447816"/>
    <w:rsid w:val="00447F45"/>
    <w:rsid w:val="00452B47"/>
    <w:rsid w:val="00454018"/>
    <w:rsid w:val="00461B7D"/>
    <w:rsid w:val="00473E46"/>
    <w:rsid w:val="004808F8"/>
    <w:rsid w:val="00480A15"/>
    <w:rsid w:val="00484B91"/>
    <w:rsid w:val="004925FB"/>
    <w:rsid w:val="00495416"/>
    <w:rsid w:val="00497E52"/>
    <w:rsid w:val="004A079E"/>
    <w:rsid w:val="004A1907"/>
    <w:rsid w:val="004A1DCC"/>
    <w:rsid w:val="004A30AE"/>
    <w:rsid w:val="004A61ED"/>
    <w:rsid w:val="004A6B51"/>
    <w:rsid w:val="004B06D2"/>
    <w:rsid w:val="004B3E61"/>
    <w:rsid w:val="004C1A76"/>
    <w:rsid w:val="004C3CFC"/>
    <w:rsid w:val="004D1966"/>
    <w:rsid w:val="004E57C1"/>
    <w:rsid w:val="004F1454"/>
    <w:rsid w:val="004F2734"/>
    <w:rsid w:val="004F3181"/>
    <w:rsid w:val="005009F8"/>
    <w:rsid w:val="00506425"/>
    <w:rsid w:val="005109B6"/>
    <w:rsid w:val="00514252"/>
    <w:rsid w:val="005161EA"/>
    <w:rsid w:val="00516A1B"/>
    <w:rsid w:val="00517669"/>
    <w:rsid w:val="005215AC"/>
    <w:rsid w:val="00530AF0"/>
    <w:rsid w:val="0053489A"/>
    <w:rsid w:val="00535E57"/>
    <w:rsid w:val="00535EF4"/>
    <w:rsid w:val="00536555"/>
    <w:rsid w:val="005373AC"/>
    <w:rsid w:val="00537447"/>
    <w:rsid w:val="00545A0B"/>
    <w:rsid w:val="0055450C"/>
    <w:rsid w:val="00556912"/>
    <w:rsid w:val="0055704D"/>
    <w:rsid w:val="00562603"/>
    <w:rsid w:val="0056534F"/>
    <w:rsid w:val="00566480"/>
    <w:rsid w:val="00570F52"/>
    <w:rsid w:val="00570FE5"/>
    <w:rsid w:val="00572955"/>
    <w:rsid w:val="0057471F"/>
    <w:rsid w:val="00575242"/>
    <w:rsid w:val="00576670"/>
    <w:rsid w:val="005772E4"/>
    <w:rsid w:val="00577C0A"/>
    <w:rsid w:val="005904CF"/>
    <w:rsid w:val="005918EE"/>
    <w:rsid w:val="0059356D"/>
    <w:rsid w:val="00594A55"/>
    <w:rsid w:val="0059532F"/>
    <w:rsid w:val="005A269F"/>
    <w:rsid w:val="005A7DB9"/>
    <w:rsid w:val="005B25C2"/>
    <w:rsid w:val="005B3A0E"/>
    <w:rsid w:val="005B3C6D"/>
    <w:rsid w:val="005B606A"/>
    <w:rsid w:val="005B6628"/>
    <w:rsid w:val="005C51CF"/>
    <w:rsid w:val="005D3038"/>
    <w:rsid w:val="005E394A"/>
    <w:rsid w:val="005E5E58"/>
    <w:rsid w:val="005E7827"/>
    <w:rsid w:val="005F2E84"/>
    <w:rsid w:val="005F3E34"/>
    <w:rsid w:val="006013E6"/>
    <w:rsid w:val="00602264"/>
    <w:rsid w:val="006036BD"/>
    <w:rsid w:val="006100EC"/>
    <w:rsid w:val="00614F1C"/>
    <w:rsid w:val="00622A0B"/>
    <w:rsid w:val="00631F04"/>
    <w:rsid w:val="006329C1"/>
    <w:rsid w:val="006329F1"/>
    <w:rsid w:val="00641A4D"/>
    <w:rsid w:val="00644D3E"/>
    <w:rsid w:val="00646C94"/>
    <w:rsid w:val="006504DE"/>
    <w:rsid w:val="006575B7"/>
    <w:rsid w:val="00657775"/>
    <w:rsid w:val="0066311E"/>
    <w:rsid w:val="00664C05"/>
    <w:rsid w:val="006706F3"/>
    <w:rsid w:val="0067347A"/>
    <w:rsid w:val="0068283A"/>
    <w:rsid w:val="00690480"/>
    <w:rsid w:val="00691A38"/>
    <w:rsid w:val="00692F20"/>
    <w:rsid w:val="006A0336"/>
    <w:rsid w:val="006A3D8D"/>
    <w:rsid w:val="006A62B4"/>
    <w:rsid w:val="006C3C98"/>
    <w:rsid w:val="006C62DA"/>
    <w:rsid w:val="006D1634"/>
    <w:rsid w:val="006E0A6C"/>
    <w:rsid w:val="006E7EB7"/>
    <w:rsid w:val="006F1144"/>
    <w:rsid w:val="00702D52"/>
    <w:rsid w:val="007069B6"/>
    <w:rsid w:val="00724FC5"/>
    <w:rsid w:val="00725031"/>
    <w:rsid w:val="007255FD"/>
    <w:rsid w:val="007260C2"/>
    <w:rsid w:val="00734CA2"/>
    <w:rsid w:val="00735B03"/>
    <w:rsid w:val="007444DB"/>
    <w:rsid w:val="00765EDE"/>
    <w:rsid w:val="00771489"/>
    <w:rsid w:val="00771D9D"/>
    <w:rsid w:val="007758CF"/>
    <w:rsid w:val="00776A7F"/>
    <w:rsid w:val="007818E9"/>
    <w:rsid w:val="00781C06"/>
    <w:rsid w:val="00781F70"/>
    <w:rsid w:val="00793AE1"/>
    <w:rsid w:val="007946FA"/>
    <w:rsid w:val="00795237"/>
    <w:rsid w:val="007968CF"/>
    <w:rsid w:val="007979EA"/>
    <w:rsid w:val="007A0C69"/>
    <w:rsid w:val="007A352E"/>
    <w:rsid w:val="007A482A"/>
    <w:rsid w:val="007A4ED8"/>
    <w:rsid w:val="007A60E8"/>
    <w:rsid w:val="007A66F8"/>
    <w:rsid w:val="007C6F6F"/>
    <w:rsid w:val="007C782B"/>
    <w:rsid w:val="007E1904"/>
    <w:rsid w:val="007E408F"/>
    <w:rsid w:val="007E702C"/>
    <w:rsid w:val="007F0FA5"/>
    <w:rsid w:val="007F1CDE"/>
    <w:rsid w:val="007F1D28"/>
    <w:rsid w:val="00810E4F"/>
    <w:rsid w:val="00811A71"/>
    <w:rsid w:val="008203E3"/>
    <w:rsid w:val="00820D0F"/>
    <w:rsid w:val="008250BB"/>
    <w:rsid w:val="0083638E"/>
    <w:rsid w:val="00837B57"/>
    <w:rsid w:val="0085149C"/>
    <w:rsid w:val="00851C87"/>
    <w:rsid w:val="00851CF6"/>
    <w:rsid w:val="008528F0"/>
    <w:rsid w:val="00856654"/>
    <w:rsid w:val="00865674"/>
    <w:rsid w:val="008807A6"/>
    <w:rsid w:val="00882270"/>
    <w:rsid w:val="00883D81"/>
    <w:rsid w:val="00885B9A"/>
    <w:rsid w:val="00891B5C"/>
    <w:rsid w:val="00896986"/>
    <w:rsid w:val="008A0D90"/>
    <w:rsid w:val="008A700F"/>
    <w:rsid w:val="008B0B4D"/>
    <w:rsid w:val="008B3437"/>
    <w:rsid w:val="008B7045"/>
    <w:rsid w:val="008B74D4"/>
    <w:rsid w:val="008C0287"/>
    <w:rsid w:val="008C1218"/>
    <w:rsid w:val="008C126E"/>
    <w:rsid w:val="008C6C2D"/>
    <w:rsid w:val="008D2156"/>
    <w:rsid w:val="008D4C7B"/>
    <w:rsid w:val="008D4F52"/>
    <w:rsid w:val="008E2BA5"/>
    <w:rsid w:val="008E529C"/>
    <w:rsid w:val="008E6063"/>
    <w:rsid w:val="008F21A6"/>
    <w:rsid w:val="00904FC9"/>
    <w:rsid w:val="00907337"/>
    <w:rsid w:val="00907679"/>
    <w:rsid w:val="009166B9"/>
    <w:rsid w:val="00926A02"/>
    <w:rsid w:val="00926ADA"/>
    <w:rsid w:val="009273DD"/>
    <w:rsid w:val="009279F6"/>
    <w:rsid w:val="009306A3"/>
    <w:rsid w:val="00941743"/>
    <w:rsid w:val="00946903"/>
    <w:rsid w:val="009505F6"/>
    <w:rsid w:val="00952FDF"/>
    <w:rsid w:val="00953103"/>
    <w:rsid w:val="00957D98"/>
    <w:rsid w:val="00957DB2"/>
    <w:rsid w:val="0096162E"/>
    <w:rsid w:val="00962E76"/>
    <w:rsid w:val="0097286C"/>
    <w:rsid w:val="00981EEA"/>
    <w:rsid w:val="00982084"/>
    <w:rsid w:val="00982AAE"/>
    <w:rsid w:val="00991325"/>
    <w:rsid w:val="00992B51"/>
    <w:rsid w:val="009950C0"/>
    <w:rsid w:val="00996234"/>
    <w:rsid w:val="009A33F7"/>
    <w:rsid w:val="009A3CA4"/>
    <w:rsid w:val="009A50AD"/>
    <w:rsid w:val="009B0789"/>
    <w:rsid w:val="009B1122"/>
    <w:rsid w:val="009B7999"/>
    <w:rsid w:val="009C12F1"/>
    <w:rsid w:val="009E26BD"/>
    <w:rsid w:val="009E3D9F"/>
    <w:rsid w:val="009E4A51"/>
    <w:rsid w:val="009E5843"/>
    <w:rsid w:val="009F4597"/>
    <w:rsid w:val="009F7539"/>
    <w:rsid w:val="00A00441"/>
    <w:rsid w:val="00A24928"/>
    <w:rsid w:val="00A2780D"/>
    <w:rsid w:val="00A40583"/>
    <w:rsid w:val="00A40987"/>
    <w:rsid w:val="00A40E3D"/>
    <w:rsid w:val="00A45D9D"/>
    <w:rsid w:val="00A51B40"/>
    <w:rsid w:val="00A51C4E"/>
    <w:rsid w:val="00A54905"/>
    <w:rsid w:val="00A56978"/>
    <w:rsid w:val="00A618CA"/>
    <w:rsid w:val="00A759C3"/>
    <w:rsid w:val="00A84E49"/>
    <w:rsid w:val="00A9179D"/>
    <w:rsid w:val="00A93C5E"/>
    <w:rsid w:val="00A96A72"/>
    <w:rsid w:val="00AA077C"/>
    <w:rsid w:val="00AA37DC"/>
    <w:rsid w:val="00AA6B56"/>
    <w:rsid w:val="00AB1821"/>
    <w:rsid w:val="00AB1A46"/>
    <w:rsid w:val="00AB1ED9"/>
    <w:rsid w:val="00AB3804"/>
    <w:rsid w:val="00AB3C11"/>
    <w:rsid w:val="00AB528C"/>
    <w:rsid w:val="00AC23F3"/>
    <w:rsid w:val="00AC34F0"/>
    <w:rsid w:val="00AC69A9"/>
    <w:rsid w:val="00AD16D2"/>
    <w:rsid w:val="00AD5E6F"/>
    <w:rsid w:val="00AE42D7"/>
    <w:rsid w:val="00AF1E11"/>
    <w:rsid w:val="00AF2F72"/>
    <w:rsid w:val="00B000D7"/>
    <w:rsid w:val="00B06DC6"/>
    <w:rsid w:val="00B07294"/>
    <w:rsid w:val="00B14525"/>
    <w:rsid w:val="00B3264F"/>
    <w:rsid w:val="00B3349E"/>
    <w:rsid w:val="00B370C4"/>
    <w:rsid w:val="00B370E1"/>
    <w:rsid w:val="00B37682"/>
    <w:rsid w:val="00B438EA"/>
    <w:rsid w:val="00B4456F"/>
    <w:rsid w:val="00B51D96"/>
    <w:rsid w:val="00B54786"/>
    <w:rsid w:val="00B571FD"/>
    <w:rsid w:val="00B577B5"/>
    <w:rsid w:val="00B6058D"/>
    <w:rsid w:val="00B60EC1"/>
    <w:rsid w:val="00B66571"/>
    <w:rsid w:val="00B71F8F"/>
    <w:rsid w:val="00B73B27"/>
    <w:rsid w:val="00B77D7A"/>
    <w:rsid w:val="00B9342B"/>
    <w:rsid w:val="00B946DC"/>
    <w:rsid w:val="00B9590E"/>
    <w:rsid w:val="00BA4E3E"/>
    <w:rsid w:val="00BB1AA7"/>
    <w:rsid w:val="00BB4294"/>
    <w:rsid w:val="00BC0764"/>
    <w:rsid w:val="00BC77A1"/>
    <w:rsid w:val="00BD6EC8"/>
    <w:rsid w:val="00BD7433"/>
    <w:rsid w:val="00BE06B1"/>
    <w:rsid w:val="00BE0E22"/>
    <w:rsid w:val="00BE0FAA"/>
    <w:rsid w:val="00BE1DF3"/>
    <w:rsid w:val="00BE39A8"/>
    <w:rsid w:val="00BF2562"/>
    <w:rsid w:val="00C02420"/>
    <w:rsid w:val="00C035D5"/>
    <w:rsid w:val="00C03F0F"/>
    <w:rsid w:val="00C0550E"/>
    <w:rsid w:val="00C127DF"/>
    <w:rsid w:val="00C1617D"/>
    <w:rsid w:val="00C207B8"/>
    <w:rsid w:val="00C26095"/>
    <w:rsid w:val="00C26AD3"/>
    <w:rsid w:val="00C26F03"/>
    <w:rsid w:val="00C26FBF"/>
    <w:rsid w:val="00C27EC7"/>
    <w:rsid w:val="00C30028"/>
    <w:rsid w:val="00C36947"/>
    <w:rsid w:val="00C438A6"/>
    <w:rsid w:val="00C44CE7"/>
    <w:rsid w:val="00C61B68"/>
    <w:rsid w:val="00C62E1E"/>
    <w:rsid w:val="00C64DEF"/>
    <w:rsid w:val="00C65D02"/>
    <w:rsid w:val="00C74207"/>
    <w:rsid w:val="00C762E7"/>
    <w:rsid w:val="00C80151"/>
    <w:rsid w:val="00C808EB"/>
    <w:rsid w:val="00C84648"/>
    <w:rsid w:val="00C97831"/>
    <w:rsid w:val="00CA5EDD"/>
    <w:rsid w:val="00CB1BCE"/>
    <w:rsid w:val="00CD0C88"/>
    <w:rsid w:val="00CD70CC"/>
    <w:rsid w:val="00CE07C2"/>
    <w:rsid w:val="00CE0B77"/>
    <w:rsid w:val="00CE0CC8"/>
    <w:rsid w:val="00CF2380"/>
    <w:rsid w:val="00CF3605"/>
    <w:rsid w:val="00CF3A2A"/>
    <w:rsid w:val="00D00366"/>
    <w:rsid w:val="00D032DF"/>
    <w:rsid w:val="00D038CF"/>
    <w:rsid w:val="00D06026"/>
    <w:rsid w:val="00D117B8"/>
    <w:rsid w:val="00D150ED"/>
    <w:rsid w:val="00D167A3"/>
    <w:rsid w:val="00D21BB1"/>
    <w:rsid w:val="00D300F9"/>
    <w:rsid w:val="00D324DA"/>
    <w:rsid w:val="00D352E8"/>
    <w:rsid w:val="00D46D34"/>
    <w:rsid w:val="00D474D5"/>
    <w:rsid w:val="00D506FA"/>
    <w:rsid w:val="00D54605"/>
    <w:rsid w:val="00D551EE"/>
    <w:rsid w:val="00D56D10"/>
    <w:rsid w:val="00D71A0D"/>
    <w:rsid w:val="00D7267A"/>
    <w:rsid w:val="00D76897"/>
    <w:rsid w:val="00D77CCB"/>
    <w:rsid w:val="00D84824"/>
    <w:rsid w:val="00D85B2F"/>
    <w:rsid w:val="00D907DD"/>
    <w:rsid w:val="00DC18EC"/>
    <w:rsid w:val="00DC50DF"/>
    <w:rsid w:val="00DD1D83"/>
    <w:rsid w:val="00DD3269"/>
    <w:rsid w:val="00DE0268"/>
    <w:rsid w:val="00DE4945"/>
    <w:rsid w:val="00DE6E1A"/>
    <w:rsid w:val="00DE7509"/>
    <w:rsid w:val="00DE7C54"/>
    <w:rsid w:val="00DF176A"/>
    <w:rsid w:val="00DF395C"/>
    <w:rsid w:val="00E014EF"/>
    <w:rsid w:val="00E03D9F"/>
    <w:rsid w:val="00E07467"/>
    <w:rsid w:val="00E1565E"/>
    <w:rsid w:val="00E16B93"/>
    <w:rsid w:val="00E2132B"/>
    <w:rsid w:val="00E23997"/>
    <w:rsid w:val="00E26B9D"/>
    <w:rsid w:val="00E40C42"/>
    <w:rsid w:val="00E40DAB"/>
    <w:rsid w:val="00E419EE"/>
    <w:rsid w:val="00E47ACC"/>
    <w:rsid w:val="00E63D32"/>
    <w:rsid w:val="00E8554F"/>
    <w:rsid w:val="00E91708"/>
    <w:rsid w:val="00E97314"/>
    <w:rsid w:val="00EB3A2B"/>
    <w:rsid w:val="00EC2B8B"/>
    <w:rsid w:val="00EC2E93"/>
    <w:rsid w:val="00EC77C4"/>
    <w:rsid w:val="00ED03DD"/>
    <w:rsid w:val="00ED6D06"/>
    <w:rsid w:val="00EF50AC"/>
    <w:rsid w:val="00EF5613"/>
    <w:rsid w:val="00EF57D2"/>
    <w:rsid w:val="00EF7919"/>
    <w:rsid w:val="00F017EA"/>
    <w:rsid w:val="00F0406C"/>
    <w:rsid w:val="00F133F2"/>
    <w:rsid w:val="00F157D5"/>
    <w:rsid w:val="00F17791"/>
    <w:rsid w:val="00F2045C"/>
    <w:rsid w:val="00F27FF3"/>
    <w:rsid w:val="00F3527D"/>
    <w:rsid w:val="00F37DDE"/>
    <w:rsid w:val="00F420C4"/>
    <w:rsid w:val="00F54AD0"/>
    <w:rsid w:val="00F63E7A"/>
    <w:rsid w:val="00F64ECE"/>
    <w:rsid w:val="00F66ED2"/>
    <w:rsid w:val="00F70333"/>
    <w:rsid w:val="00F72324"/>
    <w:rsid w:val="00F81BA5"/>
    <w:rsid w:val="00F8315A"/>
    <w:rsid w:val="00F90068"/>
    <w:rsid w:val="00FA34E3"/>
    <w:rsid w:val="00FA4A87"/>
    <w:rsid w:val="00FA4E2B"/>
    <w:rsid w:val="00FA7614"/>
    <w:rsid w:val="00FB0A7D"/>
    <w:rsid w:val="00FB1FD5"/>
    <w:rsid w:val="00FC179F"/>
    <w:rsid w:val="00FC4C0A"/>
    <w:rsid w:val="00FC5975"/>
    <w:rsid w:val="00FD162D"/>
    <w:rsid w:val="00FE0EF1"/>
    <w:rsid w:val="00FE6EB1"/>
    <w:rsid w:val="00FE7812"/>
    <w:rsid w:val="00FF167F"/>
    <w:rsid w:val="00FF33ED"/>
    <w:rsid w:val="00FF3514"/>
    <w:rsid w:val="00FF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682"/>
    <w:rPr>
      <w:sz w:val="24"/>
      <w:szCs w:val="24"/>
    </w:rPr>
  </w:style>
  <w:style w:type="paragraph" w:styleId="Heading1">
    <w:name w:val="heading 1"/>
    <w:aliases w:val="H1-Sec.Head"/>
    <w:basedOn w:val="Normal"/>
    <w:next w:val="Normal"/>
    <w:link w:val="Heading1Char"/>
    <w:qFormat/>
    <w:rsid w:val="0038553A"/>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qFormat/>
    <w:rsid w:val="0038553A"/>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 13 pt,H3-Sec. Head"/>
    <w:basedOn w:val="Normal"/>
    <w:next w:val="Normal"/>
    <w:link w:val="Heading3Char"/>
    <w:qFormat/>
    <w:rsid w:val="0038553A"/>
    <w:pPr>
      <w:keepNext/>
      <w:spacing w:before="240" w:after="60"/>
      <w:outlineLvl w:val="2"/>
    </w:pPr>
    <w:rPr>
      <w:rFonts w:cs="Arial"/>
      <w:b/>
      <w:color w:val="000000"/>
      <w:sz w:val="26"/>
      <w:szCs w:val="26"/>
      <w:u w:val="single"/>
      <w:lang w:eastAsia="ja-JP"/>
    </w:rPr>
  </w:style>
  <w:style w:type="paragraph" w:styleId="Heading4">
    <w:name w:val="heading 4"/>
    <w:aliases w:val="H4 Sec.Heading"/>
    <w:basedOn w:val="Normal"/>
    <w:next w:val="Normal"/>
    <w:link w:val="Heading4Char"/>
    <w:qFormat/>
    <w:rsid w:val="0038553A"/>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qFormat/>
    <w:rsid w:val="0038553A"/>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qFormat/>
    <w:rsid w:val="0038553A"/>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qFormat/>
    <w:rsid w:val="0038553A"/>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qFormat/>
    <w:rsid w:val="0038553A"/>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qFormat/>
    <w:rsid w:val="0038553A"/>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38553A"/>
    <w:rPr>
      <w:rFonts w:cs="Arial"/>
      <w:b/>
      <w:bCs/>
      <w:color w:val="000000"/>
      <w:kern w:val="32"/>
      <w:sz w:val="32"/>
      <w:szCs w:val="32"/>
      <w:lang w:val="en-US" w:eastAsia="ja-JP" w:bidi="ar-SA"/>
    </w:rPr>
  </w:style>
  <w:style w:type="character" w:customStyle="1" w:styleId="Heading2Char">
    <w:name w:val="Heading 2 Char"/>
    <w:aliases w:val="H2-Sec. Head Char"/>
    <w:basedOn w:val="DefaultParagraphFont"/>
    <w:link w:val="Heading2"/>
    <w:rsid w:val="0038553A"/>
    <w:rPr>
      <w:rFonts w:cs="Arial"/>
      <w:b/>
      <w:color w:val="000000"/>
      <w:sz w:val="28"/>
      <w:szCs w:val="28"/>
      <w:lang w:val="en-US" w:eastAsia="ja-JP" w:bidi="ar-SA"/>
    </w:rPr>
  </w:style>
  <w:style w:type="character" w:customStyle="1" w:styleId="Heading3Char">
    <w:name w:val="Heading 3 Char"/>
    <w:aliases w:val="H3-Sec. Head + 13 pt Char,H3-Sec. Head Char"/>
    <w:basedOn w:val="DefaultParagraphFont"/>
    <w:link w:val="Heading3"/>
    <w:rsid w:val="0038553A"/>
    <w:rPr>
      <w:rFonts w:cs="Arial"/>
      <w:b/>
      <w:color w:val="000000"/>
      <w:sz w:val="26"/>
      <w:szCs w:val="26"/>
      <w:u w:val="single"/>
      <w:lang w:val="en-US" w:eastAsia="ja-JP" w:bidi="ar-SA"/>
    </w:rPr>
  </w:style>
  <w:style w:type="character" w:customStyle="1" w:styleId="Heading4Char">
    <w:name w:val="Heading 4 Char"/>
    <w:aliases w:val="H4 Sec.Heading Char"/>
    <w:basedOn w:val="DefaultParagraphFont"/>
    <w:link w:val="Heading4"/>
    <w:rsid w:val="0038553A"/>
    <w:rPr>
      <w:i/>
      <w:color w:val="000000"/>
      <w:sz w:val="24"/>
      <w:szCs w:val="28"/>
      <w:lang w:val="en-US" w:eastAsia="ja-JP" w:bidi="ar-SA"/>
    </w:rPr>
  </w:style>
  <w:style w:type="character" w:customStyle="1" w:styleId="Heading5Char">
    <w:name w:val="Heading 5 Char"/>
    <w:basedOn w:val="DefaultParagraphFont"/>
    <w:link w:val="Heading5"/>
    <w:rsid w:val="0038553A"/>
    <w:rPr>
      <w:color w:val="000000"/>
      <w:sz w:val="26"/>
      <w:szCs w:val="26"/>
      <w:lang w:val="en-US" w:eastAsia="ja-JP" w:bidi="ar-SA"/>
    </w:rPr>
  </w:style>
  <w:style w:type="character" w:customStyle="1" w:styleId="Heading6Char">
    <w:name w:val="Heading 6 Char"/>
    <w:basedOn w:val="DefaultParagraphFont"/>
    <w:link w:val="Heading6"/>
    <w:rsid w:val="0038553A"/>
    <w:rPr>
      <w:color w:val="000000"/>
      <w:sz w:val="22"/>
      <w:szCs w:val="22"/>
      <w:lang w:val="en-US" w:eastAsia="ja-JP" w:bidi="ar-SA"/>
    </w:rPr>
  </w:style>
  <w:style w:type="character" w:customStyle="1" w:styleId="Heading7Char">
    <w:name w:val="Heading 7 Char"/>
    <w:basedOn w:val="DefaultParagraphFont"/>
    <w:link w:val="Heading7"/>
    <w:rsid w:val="0038553A"/>
    <w:rPr>
      <w:color w:val="000000"/>
      <w:sz w:val="24"/>
      <w:szCs w:val="24"/>
      <w:lang w:val="en-US" w:eastAsia="ja-JP" w:bidi="ar-SA"/>
    </w:rPr>
  </w:style>
  <w:style w:type="character" w:styleId="FootnoteReference">
    <w:name w:val="footnote reference"/>
    <w:semiHidden/>
    <w:rsid w:val="0038553A"/>
  </w:style>
  <w:style w:type="paragraph" w:customStyle="1" w:styleId="Level1">
    <w:name w:val="Level 1"/>
    <w:basedOn w:val="Normal"/>
    <w:rsid w:val="0038553A"/>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uiPriority w:val="99"/>
    <w:rsid w:val="0038553A"/>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38553A"/>
    <w:pPr>
      <w:widowControl w:val="0"/>
      <w:autoSpaceDE w:val="0"/>
      <w:autoSpaceDN w:val="0"/>
      <w:adjustRightInd w:val="0"/>
      <w:ind w:left="720" w:hanging="360"/>
      <w:outlineLvl w:val="1"/>
    </w:pPr>
    <w:rPr>
      <w:color w:val="000000"/>
      <w:lang w:eastAsia="ja-JP"/>
    </w:rPr>
  </w:style>
  <w:style w:type="character" w:styleId="Strong">
    <w:name w:val="Strong"/>
    <w:qFormat/>
    <w:rsid w:val="0038553A"/>
    <w:rPr>
      <w:b/>
      <w:bCs/>
    </w:rPr>
  </w:style>
  <w:style w:type="paragraph" w:styleId="Footer">
    <w:name w:val="footer"/>
    <w:basedOn w:val="Normal"/>
    <w:rsid w:val="0038553A"/>
    <w:pPr>
      <w:tabs>
        <w:tab w:val="center" w:pos="4320"/>
        <w:tab w:val="right" w:pos="8640"/>
      </w:tabs>
      <w:outlineLvl w:val="0"/>
    </w:pPr>
    <w:rPr>
      <w:color w:val="000000"/>
      <w:sz w:val="20"/>
      <w:szCs w:val="20"/>
      <w:lang w:eastAsia="ja-JP"/>
    </w:rPr>
  </w:style>
  <w:style w:type="character" w:styleId="PageNumber">
    <w:name w:val="page number"/>
    <w:basedOn w:val="DefaultParagraphFont"/>
    <w:rsid w:val="0038553A"/>
  </w:style>
  <w:style w:type="paragraph" w:styleId="TOC1">
    <w:name w:val="toc 1"/>
    <w:basedOn w:val="Normal"/>
    <w:next w:val="Normal"/>
    <w:autoRedefine/>
    <w:uiPriority w:val="39"/>
    <w:rsid w:val="0038553A"/>
    <w:pPr>
      <w:widowControl w:val="0"/>
      <w:autoSpaceDE w:val="0"/>
      <w:autoSpaceDN w:val="0"/>
      <w:adjustRightInd w:val="0"/>
      <w:outlineLvl w:val="0"/>
    </w:pPr>
    <w:rPr>
      <w:color w:val="000000"/>
      <w:lang w:eastAsia="ja-JP"/>
    </w:rPr>
  </w:style>
  <w:style w:type="table" w:styleId="TableGrid">
    <w:name w:val="Table Grid"/>
    <w:basedOn w:val="TableNormal"/>
    <w:uiPriority w:val="59"/>
    <w:rsid w:val="00385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8553A"/>
    <w:rPr>
      <w:color w:val="983738"/>
      <w:u w:val="single"/>
    </w:rPr>
  </w:style>
  <w:style w:type="paragraph" w:styleId="BalloonText">
    <w:name w:val="Balloon Text"/>
    <w:basedOn w:val="Normal"/>
    <w:link w:val="BalloonTextChar"/>
    <w:semiHidden/>
    <w:rsid w:val="0038553A"/>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basedOn w:val="DefaultParagraphFont"/>
    <w:link w:val="BalloonText"/>
    <w:rsid w:val="0038553A"/>
    <w:rPr>
      <w:rFonts w:ascii="Tahoma" w:hAnsi="Tahoma" w:cs="Tahoma"/>
      <w:color w:val="000000"/>
      <w:sz w:val="16"/>
      <w:szCs w:val="16"/>
      <w:lang w:val="en-US" w:eastAsia="ja-JP" w:bidi="ar-SA"/>
    </w:rPr>
  </w:style>
  <w:style w:type="character" w:styleId="CommentReference">
    <w:name w:val="annotation reference"/>
    <w:basedOn w:val="DefaultParagraphFont"/>
    <w:semiHidden/>
    <w:rsid w:val="0038553A"/>
    <w:rPr>
      <w:sz w:val="16"/>
      <w:szCs w:val="16"/>
    </w:rPr>
  </w:style>
  <w:style w:type="paragraph" w:styleId="CommentText">
    <w:name w:val="annotation text"/>
    <w:basedOn w:val="Normal"/>
    <w:link w:val="CommentTextChar1"/>
    <w:semiHidden/>
    <w:rsid w:val="0038553A"/>
    <w:pPr>
      <w:widowControl w:val="0"/>
      <w:autoSpaceDE w:val="0"/>
      <w:autoSpaceDN w:val="0"/>
      <w:adjustRightInd w:val="0"/>
      <w:outlineLvl w:val="0"/>
    </w:pPr>
    <w:rPr>
      <w:color w:val="000000"/>
      <w:sz w:val="20"/>
      <w:szCs w:val="20"/>
      <w:lang w:eastAsia="ja-JP"/>
    </w:rPr>
  </w:style>
  <w:style w:type="character" w:customStyle="1" w:styleId="CommentTextChar1">
    <w:name w:val="Comment Text Char1"/>
    <w:basedOn w:val="DefaultParagraphFont"/>
    <w:link w:val="CommentText"/>
    <w:rsid w:val="0038553A"/>
    <w:rPr>
      <w:color w:val="000000"/>
      <w:lang w:val="en-US" w:eastAsia="ja-JP" w:bidi="ar-SA"/>
    </w:rPr>
  </w:style>
  <w:style w:type="paragraph" w:styleId="FootnoteText">
    <w:name w:val="footnote text"/>
    <w:aliases w:val="F1"/>
    <w:basedOn w:val="Normal"/>
    <w:link w:val="FootnoteTextChar"/>
    <w:semiHidden/>
    <w:rsid w:val="0038553A"/>
    <w:pPr>
      <w:framePr w:hSpace="187" w:wrap="around" w:vAnchor="text" w:hAnchor="text" w:y="1"/>
      <w:spacing w:after="100" w:line="220" w:lineRule="exact"/>
      <w:ind w:left="86" w:hanging="86"/>
      <w:outlineLvl w:val="0"/>
    </w:pPr>
    <w:rPr>
      <w:color w:val="000000"/>
      <w:sz w:val="20"/>
      <w:szCs w:val="20"/>
      <w:lang w:eastAsia="ja-JP"/>
    </w:rPr>
  </w:style>
  <w:style w:type="character" w:customStyle="1" w:styleId="FootnoteTextChar">
    <w:name w:val="Footnote Text Char"/>
    <w:aliases w:val="F1 Char"/>
    <w:basedOn w:val="DefaultParagraphFont"/>
    <w:link w:val="FootnoteText"/>
    <w:semiHidden/>
    <w:rsid w:val="00F64ECE"/>
    <w:rPr>
      <w:color w:val="000000"/>
      <w:lang w:val="en-US" w:eastAsia="ja-JP" w:bidi="ar-SA"/>
    </w:rPr>
  </w:style>
  <w:style w:type="character" w:styleId="FollowedHyperlink">
    <w:name w:val="FollowedHyperlink"/>
    <w:basedOn w:val="DefaultParagraphFont"/>
    <w:rsid w:val="0038553A"/>
    <w:rPr>
      <w:color w:val="703637"/>
      <w:u w:val="single"/>
    </w:rPr>
  </w:style>
  <w:style w:type="paragraph" w:customStyle="1" w:styleId="AppHeading1">
    <w:name w:val="App Heading 1"/>
    <w:basedOn w:val="Heading1"/>
    <w:rsid w:val="0038553A"/>
    <w:pPr>
      <w:widowControl/>
      <w:numPr>
        <w:numId w:val="5"/>
      </w:numPr>
      <w:tabs>
        <w:tab w:val="clear" w:pos="1152"/>
      </w:tabs>
      <w:autoSpaceDE/>
      <w:autoSpaceDN/>
      <w:adjustRightInd/>
      <w:spacing w:after="240"/>
      <w:ind w:left="0" w:firstLine="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38553A"/>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rsid w:val="0038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38553A"/>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semiHidden/>
    <w:rsid w:val="0038553A"/>
    <w:pPr>
      <w:widowControl/>
      <w:autoSpaceDE/>
      <w:autoSpaceDN/>
      <w:adjustRightInd/>
      <w:outlineLvl w:val="9"/>
    </w:pPr>
    <w:rPr>
      <w:b/>
      <w:bCs/>
      <w:color w:val="auto"/>
      <w:lang w:eastAsia="en-US"/>
    </w:rPr>
  </w:style>
  <w:style w:type="character" w:customStyle="1" w:styleId="CommentSubjectChar">
    <w:name w:val="Comment Subject Char"/>
    <w:basedOn w:val="CommentTextChar1"/>
    <w:link w:val="CommentSubject"/>
    <w:rsid w:val="0038553A"/>
    <w:rPr>
      <w:b/>
      <w:bCs/>
      <w:color w:val="000000"/>
      <w:lang w:val="en-US" w:eastAsia="en-US" w:bidi="ar-SA"/>
    </w:rPr>
  </w:style>
  <w:style w:type="paragraph" w:styleId="BodyText">
    <w:name w:val="Body Text"/>
    <w:basedOn w:val="Normal"/>
    <w:rsid w:val="0038553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paragraph" w:customStyle="1" w:styleId="L1-FlLSp12">
    <w:name w:val="L1-FlL Sp&amp;1/2"/>
    <w:basedOn w:val="Normal"/>
    <w:rsid w:val="0038553A"/>
    <w:pPr>
      <w:tabs>
        <w:tab w:val="left" w:pos="1152"/>
      </w:tabs>
      <w:spacing w:line="360" w:lineRule="atLeast"/>
    </w:pPr>
    <w:rPr>
      <w:rFonts w:ascii="Garamond" w:hAnsi="Garamond"/>
      <w:szCs w:val="20"/>
    </w:rPr>
  </w:style>
  <w:style w:type="paragraph" w:customStyle="1" w:styleId="N1-1stBullet">
    <w:name w:val="N1-1st Bullet"/>
    <w:basedOn w:val="Normal"/>
    <w:rsid w:val="0038553A"/>
    <w:pPr>
      <w:tabs>
        <w:tab w:val="num" w:pos="1152"/>
      </w:tabs>
      <w:spacing w:after="240" w:line="240" w:lineRule="atLeast"/>
      <w:ind w:left="1152" w:hanging="576"/>
    </w:pPr>
    <w:rPr>
      <w:rFonts w:ascii="Garamond" w:hAnsi="Garamond"/>
      <w:szCs w:val="20"/>
    </w:rPr>
  </w:style>
  <w:style w:type="paragraph" w:styleId="EndnoteText">
    <w:name w:val="endnote text"/>
    <w:basedOn w:val="Normal"/>
    <w:rsid w:val="0038553A"/>
    <w:rPr>
      <w:rFonts w:ascii="Arial" w:hAnsi="Arial"/>
      <w:sz w:val="20"/>
      <w:szCs w:val="20"/>
    </w:rPr>
  </w:style>
  <w:style w:type="character" w:styleId="EndnoteReference">
    <w:name w:val="endnote reference"/>
    <w:basedOn w:val="DefaultParagraphFont"/>
    <w:rsid w:val="0038553A"/>
    <w:rPr>
      <w:vertAlign w:val="superscript"/>
    </w:rPr>
  </w:style>
  <w:style w:type="paragraph" w:styleId="Header">
    <w:name w:val="header"/>
    <w:basedOn w:val="Normal"/>
    <w:rsid w:val="0038553A"/>
    <w:pPr>
      <w:tabs>
        <w:tab w:val="center" w:pos="4320"/>
        <w:tab w:val="right" w:pos="8640"/>
      </w:tabs>
      <w:autoSpaceDE w:val="0"/>
      <w:autoSpaceDN w:val="0"/>
      <w:adjustRightInd w:val="0"/>
    </w:pPr>
    <w:rPr>
      <w:rFonts w:ascii="Arial" w:hAnsi="Arial"/>
      <w:sz w:val="20"/>
      <w:szCs w:val="20"/>
    </w:rPr>
  </w:style>
  <w:style w:type="paragraph" w:styleId="Closing">
    <w:name w:val="Closing"/>
    <w:basedOn w:val="Normal"/>
    <w:link w:val="ClosingChar"/>
    <w:rsid w:val="0038553A"/>
  </w:style>
  <w:style w:type="character" w:customStyle="1" w:styleId="ClosingChar">
    <w:name w:val="Closing Char"/>
    <w:basedOn w:val="DefaultParagraphFont"/>
    <w:link w:val="Closing"/>
    <w:rsid w:val="0038553A"/>
    <w:rPr>
      <w:sz w:val="24"/>
      <w:szCs w:val="24"/>
      <w:lang w:val="en-US" w:eastAsia="en-US" w:bidi="ar-SA"/>
    </w:rPr>
  </w:style>
  <w:style w:type="paragraph" w:styleId="Signature">
    <w:name w:val="Signature"/>
    <w:basedOn w:val="Normal"/>
    <w:link w:val="SignatureChar"/>
    <w:rsid w:val="0038553A"/>
  </w:style>
  <w:style w:type="character" w:customStyle="1" w:styleId="SignatureChar">
    <w:name w:val="Signature Char"/>
    <w:basedOn w:val="DefaultParagraphFont"/>
    <w:link w:val="Signature"/>
    <w:rsid w:val="0038553A"/>
    <w:rPr>
      <w:sz w:val="24"/>
      <w:szCs w:val="24"/>
      <w:lang w:val="en-US" w:eastAsia="en-US" w:bidi="ar-SA"/>
    </w:rPr>
  </w:style>
  <w:style w:type="paragraph" w:customStyle="1" w:styleId="SL-FlLftSgl">
    <w:name w:val="SL-Fl Lft Sgl"/>
    <w:rsid w:val="0038553A"/>
    <w:pPr>
      <w:spacing w:line="240" w:lineRule="atLeast"/>
      <w:jc w:val="both"/>
    </w:pPr>
    <w:rPr>
      <w:sz w:val="22"/>
    </w:rPr>
  </w:style>
  <w:style w:type="paragraph" w:customStyle="1" w:styleId="SL-FlLftSglCharChar">
    <w:name w:val="SL-Fl Lft Sgl Char Char"/>
    <w:link w:val="SL-FlLftSglCharCharChar"/>
    <w:rsid w:val="0038553A"/>
    <w:pPr>
      <w:spacing w:line="240" w:lineRule="atLeast"/>
      <w:jc w:val="both"/>
    </w:pPr>
    <w:rPr>
      <w:rFonts w:ascii="Arial" w:hAnsi="Arial"/>
      <w:sz w:val="24"/>
      <w:szCs w:val="24"/>
    </w:rPr>
  </w:style>
  <w:style w:type="character" w:customStyle="1" w:styleId="SL-FlLftSglCharCharChar">
    <w:name w:val="SL-Fl Lft Sgl Char Char Char"/>
    <w:basedOn w:val="DefaultParagraphFont"/>
    <w:link w:val="SL-FlLftSglCharChar"/>
    <w:rsid w:val="0038553A"/>
    <w:rPr>
      <w:rFonts w:ascii="Arial" w:hAnsi="Arial"/>
      <w:sz w:val="24"/>
      <w:szCs w:val="24"/>
      <w:lang w:val="en-US" w:eastAsia="en-US" w:bidi="ar-SA"/>
    </w:rPr>
  </w:style>
  <w:style w:type="paragraph" w:customStyle="1" w:styleId="SL-FlLftSglCharCharCharCharChar">
    <w:name w:val="SL-Fl Lft Sgl Char Char Char Char Char"/>
    <w:link w:val="SL-FlLftSglCharCharCharCharCharChar"/>
    <w:rsid w:val="0038553A"/>
    <w:pPr>
      <w:spacing w:line="240" w:lineRule="atLeast"/>
      <w:jc w:val="both"/>
    </w:pPr>
    <w:rPr>
      <w:rFonts w:ascii="Arial" w:hAnsi="Arial"/>
      <w:sz w:val="24"/>
      <w:szCs w:val="24"/>
    </w:rPr>
  </w:style>
  <w:style w:type="character" w:customStyle="1" w:styleId="SL-FlLftSglCharCharCharCharCharChar">
    <w:name w:val="SL-Fl Lft Sgl Char Char Char Char Char Char"/>
    <w:basedOn w:val="DefaultParagraphFont"/>
    <w:link w:val="SL-FlLftSglCharCharCharCharChar"/>
    <w:rsid w:val="0038553A"/>
    <w:rPr>
      <w:rFonts w:ascii="Arial" w:hAnsi="Arial"/>
      <w:sz w:val="24"/>
      <w:szCs w:val="24"/>
      <w:lang w:val="en-US" w:eastAsia="en-US" w:bidi="ar-SA"/>
    </w:rPr>
  </w:style>
  <w:style w:type="paragraph" w:customStyle="1" w:styleId="R0-FLLftSglBoldItalic">
    <w:name w:val="R0-FL Lft Sgl Bold Italic"/>
    <w:basedOn w:val="Heading1"/>
    <w:rsid w:val="0038553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38553A"/>
    <w:pPr>
      <w:numPr>
        <w:numId w:val="6"/>
      </w:numPr>
      <w:tabs>
        <w:tab w:val="clear" w:pos="1728"/>
        <w:tab w:val="left" w:pos="576"/>
      </w:tabs>
      <w:ind w:left="0" w:firstLine="576"/>
    </w:pPr>
  </w:style>
  <w:style w:type="paragraph" w:customStyle="1" w:styleId="sl-fllftsgl0">
    <w:name w:val="sl-fllftsgl"/>
    <w:basedOn w:val="Normal"/>
    <w:rsid w:val="0038553A"/>
    <w:pPr>
      <w:spacing w:before="100" w:beforeAutospacing="1" w:after="100" w:afterAutospacing="1"/>
    </w:pPr>
    <w:rPr>
      <w:rFonts w:eastAsia="Batang"/>
      <w:lang w:eastAsia="ko-KR"/>
    </w:rPr>
  </w:style>
  <w:style w:type="paragraph" w:customStyle="1" w:styleId="A1-1stLeader">
    <w:name w:val="A1-1st Leader"/>
    <w:rsid w:val="0038553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uiPriority w:val="34"/>
    <w:qFormat/>
    <w:rsid w:val="0038553A"/>
    <w:pPr>
      <w:spacing w:line="240" w:lineRule="atLeast"/>
      <w:ind w:left="720"/>
      <w:contextualSpacing/>
      <w:jc w:val="both"/>
    </w:pPr>
    <w:rPr>
      <w:sz w:val="22"/>
      <w:szCs w:val="20"/>
    </w:rPr>
  </w:style>
  <w:style w:type="paragraph" w:styleId="TOC3">
    <w:name w:val="toc 3"/>
    <w:basedOn w:val="Normal"/>
    <w:next w:val="Normal"/>
    <w:autoRedefine/>
    <w:semiHidden/>
    <w:rsid w:val="0038553A"/>
    <w:pPr>
      <w:ind w:left="480"/>
    </w:pPr>
  </w:style>
  <w:style w:type="paragraph" w:styleId="TOC2">
    <w:name w:val="toc 2"/>
    <w:basedOn w:val="Normal"/>
    <w:next w:val="Normal"/>
    <w:autoRedefine/>
    <w:uiPriority w:val="39"/>
    <w:rsid w:val="0038553A"/>
    <w:pPr>
      <w:ind w:left="240"/>
    </w:pPr>
  </w:style>
  <w:style w:type="paragraph" w:customStyle="1" w:styleId="Enclosure">
    <w:name w:val="Enclosure"/>
    <w:basedOn w:val="Normal"/>
    <w:rsid w:val="00F64ECE"/>
  </w:style>
  <w:style w:type="paragraph" w:customStyle="1" w:styleId="CcList">
    <w:name w:val="Cc List"/>
    <w:basedOn w:val="Normal"/>
    <w:rsid w:val="00F64ECE"/>
  </w:style>
  <w:style w:type="paragraph" w:customStyle="1" w:styleId="N2-2ndBullet">
    <w:name w:val="N2-2nd Bullet"/>
    <w:basedOn w:val="Normal"/>
    <w:rsid w:val="00F64ECE"/>
    <w:pPr>
      <w:tabs>
        <w:tab w:val="left" w:pos="1728"/>
      </w:tabs>
      <w:spacing w:after="240" w:line="240" w:lineRule="atLeast"/>
      <w:ind w:left="1728" w:hanging="576"/>
    </w:pPr>
    <w:rPr>
      <w:rFonts w:ascii="Garamond" w:hAnsi="Garamond"/>
      <w:szCs w:val="20"/>
    </w:rPr>
  </w:style>
  <w:style w:type="paragraph" w:styleId="BodyTextIndent3">
    <w:name w:val="Body Text Indent 3"/>
    <w:basedOn w:val="Normal"/>
    <w:rsid w:val="00F64ECE"/>
    <w:pPr>
      <w:autoSpaceDE w:val="0"/>
      <w:autoSpaceDN w:val="0"/>
      <w:adjustRightInd w:val="0"/>
      <w:ind w:left="1800" w:firstLine="360"/>
    </w:pPr>
    <w:rPr>
      <w:b/>
      <w:bCs/>
      <w:color w:val="000000"/>
    </w:rPr>
  </w:style>
  <w:style w:type="paragraph" w:customStyle="1" w:styleId="BulletNumber">
    <w:name w:val="BulletNumber"/>
    <w:basedOn w:val="Normal"/>
    <w:rsid w:val="00F64ECE"/>
    <w:pPr>
      <w:tabs>
        <w:tab w:val="num" w:pos="720"/>
      </w:tabs>
      <w:ind w:left="720"/>
    </w:pPr>
    <w:rPr>
      <w:color w:val="000000"/>
    </w:rPr>
  </w:style>
  <w:style w:type="paragraph" w:customStyle="1" w:styleId="Default">
    <w:name w:val="Default"/>
    <w:rsid w:val="00F64ECE"/>
    <w:pPr>
      <w:widowControl w:val="0"/>
      <w:autoSpaceDE w:val="0"/>
      <w:autoSpaceDN w:val="0"/>
      <w:adjustRightInd w:val="0"/>
    </w:pPr>
    <w:rPr>
      <w:color w:val="000000"/>
      <w:sz w:val="24"/>
      <w:szCs w:val="24"/>
    </w:rPr>
  </w:style>
  <w:style w:type="paragraph" w:customStyle="1" w:styleId="CM25">
    <w:name w:val="CM25"/>
    <w:basedOn w:val="Default"/>
    <w:next w:val="Default"/>
    <w:rsid w:val="00F64ECE"/>
    <w:pPr>
      <w:spacing w:after="60"/>
    </w:pPr>
    <w:rPr>
      <w:color w:val="auto"/>
    </w:rPr>
  </w:style>
  <w:style w:type="paragraph" w:customStyle="1" w:styleId="CM26">
    <w:name w:val="CM26"/>
    <w:basedOn w:val="Default"/>
    <w:next w:val="Default"/>
    <w:rsid w:val="00F64ECE"/>
    <w:pPr>
      <w:spacing w:after="358"/>
    </w:pPr>
    <w:rPr>
      <w:color w:val="auto"/>
    </w:rPr>
  </w:style>
  <w:style w:type="paragraph" w:customStyle="1" w:styleId="CM27">
    <w:name w:val="CM27"/>
    <w:basedOn w:val="Default"/>
    <w:next w:val="Default"/>
    <w:rsid w:val="00F64ECE"/>
    <w:pPr>
      <w:spacing w:after="233"/>
    </w:pPr>
    <w:rPr>
      <w:color w:val="auto"/>
    </w:rPr>
  </w:style>
  <w:style w:type="paragraph" w:customStyle="1" w:styleId="CM28">
    <w:name w:val="CM28"/>
    <w:basedOn w:val="Default"/>
    <w:next w:val="Default"/>
    <w:rsid w:val="00F64ECE"/>
    <w:pPr>
      <w:spacing w:after="140"/>
    </w:pPr>
    <w:rPr>
      <w:color w:val="auto"/>
    </w:rPr>
  </w:style>
  <w:style w:type="paragraph" w:customStyle="1" w:styleId="CM5">
    <w:name w:val="CM5"/>
    <w:basedOn w:val="Default"/>
    <w:next w:val="Default"/>
    <w:rsid w:val="00F64ECE"/>
    <w:rPr>
      <w:color w:val="auto"/>
    </w:rPr>
  </w:style>
  <w:style w:type="paragraph" w:customStyle="1" w:styleId="CM29">
    <w:name w:val="CM29"/>
    <w:basedOn w:val="Default"/>
    <w:next w:val="Default"/>
    <w:rsid w:val="00F64ECE"/>
    <w:pPr>
      <w:spacing w:after="280"/>
    </w:pPr>
    <w:rPr>
      <w:color w:val="auto"/>
    </w:rPr>
  </w:style>
  <w:style w:type="paragraph" w:customStyle="1" w:styleId="C2-CtrSglSp">
    <w:name w:val="C2-Ctr Sgl Sp"/>
    <w:basedOn w:val="Normal"/>
    <w:rsid w:val="00F64ECE"/>
    <w:pPr>
      <w:keepLines/>
      <w:spacing w:line="240" w:lineRule="atLeast"/>
      <w:jc w:val="center"/>
    </w:pPr>
    <w:rPr>
      <w:rFonts w:ascii="Garamond" w:hAnsi="Garamond"/>
      <w:szCs w:val="20"/>
    </w:rPr>
  </w:style>
  <w:style w:type="paragraph" w:customStyle="1" w:styleId="C3-CtrSp12">
    <w:name w:val="C3-Ctr Sp&amp;1/2"/>
    <w:rsid w:val="00F64ECE"/>
    <w:pPr>
      <w:keepLines/>
      <w:spacing w:line="360" w:lineRule="atLeast"/>
      <w:jc w:val="center"/>
    </w:pPr>
    <w:rPr>
      <w:sz w:val="22"/>
    </w:rPr>
  </w:style>
  <w:style w:type="character" w:styleId="Emphasis">
    <w:name w:val="Emphasis"/>
    <w:basedOn w:val="DefaultParagraphFont"/>
    <w:qFormat/>
    <w:rsid w:val="00F64ECE"/>
    <w:rPr>
      <w:i/>
      <w:iCs/>
    </w:rPr>
  </w:style>
  <w:style w:type="paragraph" w:customStyle="1" w:styleId="C1-CtrBoldHd">
    <w:name w:val="C1-Ctr BoldHd"/>
    <w:rsid w:val="00F64ECE"/>
    <w:pPr>
      <w:keepNext/>
      <w:spacing w:line="240" w:lineRule="atLeast"/>
      <w:jc w:val="center"/>
    </w:pPr>
    <w:rPr>
      <w:rFonts w:ascii="Arial" w:hAnsi="Arial"/>
      <w:b/>
      <w:caps/>
    </w:rPr>
  </w:style>
  <w:style w:type="paragraph" w:customStyle="1" w:styleId="Q1-FirstLevelQuestion">
    <w:name w:val="Q1-First Level Question"/>
    <w:rsid w:val="00F64ECE"/>
    <w:pPr>
      <w:tabs>
        <w:tab w:val="left" w:pos="720"/>
      </w:tabs>
      <w:spacing w:line="240" w:lineRule="atLeast"/>
      <w:ind w:left="720" w:hanging="720"/>
      <w:jc w:val="both"/>
    </w:pPr>
    <w:rPr>
      <w:rFonts w:ascii="Arial" w:hAnsi="Arial"/>
    </w:rPr>
  </w:style>
  <w:style w:type="paragraph" w:customStyle="1" w:styleId="CT-ContractInformation">
    <w:name w:val="CT-Contract Information"/>
    <w:basedOn w:val="Normal"/>
    <w:rsid w:val="00F64ECE"/>
    <w:pPr>
      <w:tabs>
        <w:tab w:val="left" w:pos="2232"/>
      </w:tabs>
      <w:spacing w:line="240" w:lineRule="exact"/>
    </w:pPr>
    <w:rPr>
      <w:vanish/>
    </w:rPr>
  </w:style>
  <w:style w:type="paragraph" w:customStyle="1" w:styleId="E1-Equation">
    <w:name w:val="E1-Equation"/>
    <w:basedOn w:val="Normal"/>
    <w:rsid w:val="00F64ECE"/>
    <w:pPr>
      <w:tabs>
        <w:tab w:val="center" w:pos="4680"/>
        <w:tab w:val="right" w:pos="9360"/>
      </w:tabs>
    </w:pPr>
  </w:style>
  <w:style w:type="paragraph" w:customStyle="1" w:styleId="E2-Equation">
    <w:name w:val="E2-Equation"/>
    <w:basedOn w:val="Normal"/>
    <w:rsid w:val="00F64ECE"/>
    <w:pPr>
      <w:tabs>
        <w:tab w:val="right" w:pos="1152"/>
        <w:tab w:val="center" w:pos="1440"/>
        <w:tab w:val="left" w:pos="1728"/>
      </w:tabs>
      <w:ind w:left="1728" w:hanging="1728"/>
    </w:pPr>
  </w:style>
  <w:style w:type="paragraph" w:customStyle="1" w:styleId="Header-1">
    <w:name w:val="Header-1"/>
    <w:basedOn w:val="Heading1"/>
    <w:rsid w:val="00F64ECE"/>
    <w:pPr>
      <w:framePr w:hSpace="187" w:wrap="around" w:vAnchor="text" w:hAnchor="text" w:y="1"/>
      <w:tabs>
        <w:tab w:val="left" w:pos="1152"/>
      </w:tabs>
      <w:spacing w:before="0" w:after="0" w:line="240" w:lineRule="atLeast"/>
      <w:ind w:left="1152" w:hanging="1152"/>
      <w:suppressOverlap/>
      <w:jc w:val="right"/>
    </w:pPr>
    <w:rPr>
      <w:rFonts w:ascii="Franklin Gothic Medium" w:hAnsi="Franklin Gothic Medium" w:cs="Times New Roman"/>
      <w:bCs w:val="0"/>
      <w:color w:val="324162"/>
      <w:kern w:val="0"/>
      <w:sz w:val="20"/>
      <w:szCs w:val="24"/>
    </w:rPr>
  </w:style>
  <w:style w:type="paragraph" w:customStyle="1" w:styleId="Heading0">
    <w:name w:val="Heading 0"/>
    <w:aliases w:val="H0-Chap Head"/>
    <w:basedOn w:val="Heading1"/>
    <w:rsid w:val="00F64ECE"/>
    <w:pPr>
      <w:tabs>
        <w:tab w:val="left" w:pos="1152"/>
      </w:tabs>
      <w:spacing w:before="0" w:after="0" w:line="360" w:lineRule="atLeast"/>
      <w:ind w:left="1152" w:hanging="1152"/>
      <w:jc w:val="right"/>
    </w:pPr>
    <w:rPr>
      <w:rFonts w:ascii="Franklin Gothic Medium" w:hAnsi="Franklin Gothic Medium" w:cs="Times New Roman"/>
      <w:bCs w:val="0"/>
      <w:color w:val="324162"/>
      <w:kern w:val="0"/>
      <w:sz w:val="40"/>
      <w:szCs w:val="24"/>
    </w:rPr>
  </w:style>
  <w:style w:type="paragraph" w:customStyle="1" w:styleId="N0-FlLftBullet">
    <w:name w:val="N0-Fl Lft Bullet"/>
    <w:basedOn w:val="Normal"/>
    <w:rsid w:val="00F64ECE"/>
    <w:pPr>
      <w:tabs>
        <w:tab w:val="left" w:pos="576"/>
      </w:tabs>
      <w:spacing w:after="240"/>
      <w:ind w:left="576" w:hanging="576"/>
    </w:pPr>
  </w:style>
  <w:style w:type="paragraph" w:customStyle="1" w:styleId="N3-3rdBullet">
    <w:name w:val="N3-3rd Bullet"/>
    <w:basedOn w:val="Normal"/>
    <w:rsid w:val="00F64ECE"/>
    <w:pPr>
      <w:tabs>
        <w:tab w:val="num" w:pos="2304"/>
      </w:tabs>
      <w:spacing w:after="240"/>
      <w:ind w:left="2304" w:hanging="576"/>
    </w:pPr>
  </w:style>
  <w:style w:type="paragraph" w:customStyle="1" w:styleId="N4-4thBullet">
    <w:name w:val="N4-4th Bullet"/>
    <w:basedOn w:val="Normal"/>
    <w:rsid w:val="00F64ECE"/>
    <w:pPr>
      <w:tabs>
        <w:tab w:val="num" w:pos="2880"/>
      </w:tabs>
      <w:spacing w:after="240"/>
      <w:ind w:left="2880" w:hanging="576"/>
    </w:pPr>
  </w:style>
  <w:style w:type="paragraph" w:customStyle="1" w:styleId="N5-5thBullet">
    <w:name w:val="N5-5th Bullet"/>
    <w:basedOn w:val="Normal"/>
    <w:rsid w:val="00F64ECE"/>
    <w:pPr>
      <w:tabs>
        <w:tab w:val="left" w:pos="3456"/>
      </w:tabs>
      <w:spacing w:after="240"/>
      <w:ind w:left="3456" w:hanging="576"/>
    </w:pPr>
  </w:style>
  <w:style w:type="paragraph" w:customStyle="1" w:styleId="N6-DateInd">
    <w:name w:val="N6-Date Ind."/>
    <w:basedOn w:val="Normal"/>
    <w:rsid w:val="00F64ECE"/>
    <w:pPr>
      <w:tabs>
        <w:tab w:val="left" w:pos="4910"/>
      </w:tabs>
      <w:ind w:left="4910"/>
    </w:pPr>
  </w:style>
  <w:style w:type="paragraph" w:customStyle="1" w:styleId="N7-3Block">
    <w:name w:val="N7-3&quot; Block"/>
    <w:basedOn w:val="Normal"/>
    <w:rsid w:val="00F64ECE"/>
    <w:pPr>
      <w:tabs>
        <w:tab w:val="left" w:pos="1152"/>
      </w:tabs>
      <w:ind w:left="1152" w:right="1152"/>
    </w:pPr>
  </w:style>
  <w:style w:type="paragraph" w:customStyle="1" w:styleId="N8-QxQBlock">
    <w:name w:val="N8-QxQ Block"/>
    <w:basedOn w:val="Normal"/>
    <w:rsid w:val="00F64ECE"/>
    <w:pPr>
      <w:tabs>
        <w:tab w:val="left" w:pos="1152"/>
      </w:tabs>
      <w:spacing w:after="360" w:line="360" w:lineRule="atLeast"/>
      <w:ind w:left="1152" w:hanging="1152"/>
    </w:pPr>
  </w:style>
  <w:style w:type="paragraph" w:customStyle="1" w:styleId="P1-StandPara">
    <w:name w:val="P1-Stand Para"/>
    <w:basedOn w:val="Normal"/>
    <w:rsid w:val="00F64ECE"/>
    <w:pPr>
      <w:spacing w:line="360" w:lineRule="atLeast"/>
      <w:ind w:firstLine="1152"/>
    </w:pPr>
  </w:style>
  <w:style w:type="paragraph" w:customStyle="1" w:styleId="Q1-BestFinQ">
    <w:name w:val="Q1-Best/Fin Q"/>
    <w:basedOn w:val="Heading1"/>
    <w:rsid w:val="00F64ECE"/>
    <w:pPr>
      <w:tabs>
        <w:tab w:val="left" w:pos="1152"/>
      </w:tabs>
      <w:spacing w:before="0" w:after="360" w:line="240" w:lineRule="atLeast"/>
      <w:ind w:left="1152" w:hanging="1152"/>
    </w:pPr>
    <w:rPr>
      <w:rFonts w:ascii="Franklin Gothic Medium" w:hAnsi="Franklin Gothic Medium" w:cs="Times New Roman Bold"/>
      <w:bCs w:val="0"/>
      <w:kern w:val="0"/>
      <w:sz w:val="24"/>
      <w:szCs w:val="24"/>
    </w:rPr>
  </w:style>
  <w:style w:type="paragraph" w:customStyle="1" w:styleId="R1-ResPara">
    <w:name w:val="R1-Res. Para"/>
    <w:basedOn w:val="Normal"/>
    <w:rsid w:val="00F64ECE"/>
    <w:pPr>
      <w:ind w:left="288"/>
    </w:pPr>
  </w:style>
  <w:style w:type="paragraph" w:customStyle="1" w:styleId="R2-ResBullet">
    <w:name w:val="R2-Res Bullet"/>
    <w:basedOn w:val="Normal"/>
    <w:rsid w:val="00F64ECE"/>
    <w:pPr>
      <w:tabs>
        <w:tab w:val="left" w:pos="720"/>
      </w:tabs>
      <w:ind w:left="720" w:hanging="432"/>
    </w:pPr>
  </w:style>
  <w:style w:type="paragraph" w:customStyle="1" w:styleId="RF-Reference">
    <w:name w:val="RF-Reference"/>
    <w:basedOn w:val="Normal"/>
    <w:rsid w:val="00F64ECE"/>
    <w:pPr>
      <w:spacing w:line="240" w:lineRule="exact"/>
      <w:ind w:left="216" w:hanging="216"/>
    </w:pPr>
  </w:style>
  <w:style w:type="paragraph" w:customStyle="1" w:styleId="RH-SglSpHead">
    <w:name w:val="RH-Sgl Sp Head"/>
    <w:basedOn w:val="Heading1"/>
    <w:next w:val="Normal"/>
    <w:rsid w:val="00F64ECE"/>
    <w:pPr>
      <w:pBdr>
        <w:bottom w:val="single" w:sz="24" w:space="1" w:color="AFBED9"/>
      </w:pBdr>
      <w:tabs>
        <w:tab w:val="left" w:pos="1152"/>
      </w:tabs>
      <w:spacing w:before="0" w:after="480" w:line="360" w:lineRule="exact"/>
      <w:ind w:left="1152" w:hanging="1152"/>
    </w:pPr>
    <w:rPr>
      <w:rFonts w:ascii="Franklin Gothic Medium" w:hAnsi="Franklin Gothic Medium" w:cs="Times New Roman"/>
      <w:bCs w:val="0"/>
      <w:color w:val="324162"/>
      <w:kern w:val="0"/>
      <w:sz w:val="36"/>
      <w:szCs w:val="24"/>
      <w:u w:color="324162"/>
    </w:rPr>
  </w:style>
  <w:style w:type="paragraph" w:customStyle="1" w:styleId="RL-FlLftSgl">
    <w:name w:val="RL-Fl Lft Sgl"/>
    <w:basedOn w:val="Heading1"/>
    <w:rsid w:val="00F64ECE"/>
    <w:pPr>
      <w:tabs>
        <w:tab w:val="left" w:pos="1152"/>
      </w:tabs>
      <w:spacing w:before="0" w:after="0" w:line="240" w:lineRule="atLeast"/>
    </w:pPr>
    <w:rPr>
      <w:rFonts w:ascii="Franklin Gothic Medium" w:hAnsi="Franklin Gothic Medium" w:cs="Times New Roman"/>
      <w:bCs w:val="0"/>
      <w:color w:val="324162"/>
      <w:kern w:val="0"/>
      <w:sz w:val="24"/>
      <w:szCs w:val="24"/>
    </w:rPr>
  </w:style>
  <w:style w:type="paragraph" w:customStyle="1" w:styleId="SH-SglSpHead">
    <w:name w:val="SH-Sgl Sp Head"/>
    <w:basedOn w:val="Heading1"/>
    <w:rsid w:val="00F64ECE"/>
    <w:pPr>
      <w:tabs>
        <w:tab w:val="left" w:pos="576"/>
        <w:tab w:val="left" w:pos="1152"/>
      </w:tabs>
      <w:spacing w:before="0" w:after="360" w:line="240" w:lineRule="atLeast"/>
      <w:ind w:left="576" w:hanging="576"/>
    </w:pPr>
    <w:rPr>
      <w:rFonts w:ascii="Franklin Gothic Medium" w:hAnsi="Franklin Gothic Medium" w:cs="Times New Roman"/>
      <w:b w:val="0"/>
      <w:bCs w:val="0"/>
      <w:color w:val="324162"/>
      <w:kern w:val="0"/>
      <w:sz w:val="24"/>
      <w:szCs w:val="24"/>
    </w:rPr>
  </w:style>
  <w:style w:type="paragraph" w:customStyle="1" w:styleId="SU-FlLftUndln">
    <w:name w:val="SU-Fl Lft Undln"/>
    <w:basedOn w:val="Normal"/>
    <w:rsid w:val="00F64ECE"/>
    <w:pPr>
      <w:keepNext/>
      <w:spacing w:line="240" w:lineRule="exact"/>
    </w:pPr>
    <w:rPr>
      <w:u w:val="single"/>
    </w:rPr>
  </w:style>
  <w:style w:type="paragraph" w:customStyle="1" w:styleId="T0-ChapPgHd">
    <w:name w:val="T0-Chap/Pg Hd"/>
    <w:basedOn w:val="Normal"/>
    <w:rsid w:val="00F64ECE"/>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F64ECE"/>
    <w:p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Cs w:val="24"/>
    </w:rPr>
  </w:style>
  <w:style w:type="paragraph" w:customStyle="1" w:styleId="TF-TblFN">
    <w:name w:val="TF-Tbl FN"/>
    <w:basedOn w:val="FootnoteText"/>
    <w:rsid w:val="00F64ECE"/>
    <w:pPr>
      <w:framePr w:hSpace="0" w:wrap="auto" w:vAnchor="margin" w:yAlign="inline"/>
      <w:tabs>
        <w:tab w:val="left" w:pos="120"/>
      </w:tabs>
      <w:spacing w:before="120" w:after="0" w:line="200" w:lineRule="atLeast"/>
      <w:ind w:left="115" w:hanging="115"/>
      <w:outlineLvl w:val="9"/>
    </w:pPr>
    <w:rPr>
      <w:rFonts w:ascii="Franklin Gothic Medium" w:hAnsi="Franklin Gothic Medium"/>
      <w:color w:val="auto"/>
      <w:sz w:val="16"/>
      <w:lang w:eastAsia="en-US"/>
    </w:rPr>
  </w:style>
  <w:style w:type="paragraph" w:customStyle="1" w:styleId="TH-TableHeading">
    <w:name w:val="TH-Table Heading"/>
    <w:basedOn w:val="Heading1"/>
    <w:rsid w:val="00F64ECE"/>
    <w:pPr>
      <w:tabs>
        <w:tab w:val="left" w:pos="1152"/>
      </w:tabs>
      <w:spacing w:before="0" w:after="0" w:line="240" w:lineRule="atLeast"/>
      <w:jc w:val="center"/>
    </w:pPr>
    <w:rPr>
      <w:rFonts w:ascii="Franklin Gothic Medium" w:hAnsi="Franklin Gothic Medium" w:cs="Times New Roman"/>
      <w:bCs w:val="0"/>
      <w:kern w:val="0"/>
      <w:sz w:val="20"/>
      <w:szCs w:val="24"/>
    </w:rPr>
  </w:style>
  <w:style w:type="paragraph" w:customStyle="1" w:styleId="TT-TableTitle">
    <w:name w:val="TT-Table Title"/>
    <w:basedOn w:val="Heading1"/>
    <w:rsid w:val="00F64ECE"/>
    <w:pPr>
      <w:tabs>
        <w:tab w:val="left" w:pos="1440"/>
      </w:tabs>
      <w:spacing w:before="0" w:after="0" w:line="240" w:lineRule="atLeast"/>
      <w:ind w:left="1152" w:hanging="1152"/>
    </w:pPr>
    <w:rPr>
      <w:rFonts w:ascii="Franklin Gothic Medium" w:hAnsi="Franklin Gothic Medium" w:cs="Times New Roman"/>
      <w:b w:val="0"/>
      <w:bCs w:val="0"/>
      <w:kern w:val="0"/>
      <w:sz w:val="22"/>
      <w:szCs w:val="24"/>
    </w:rPr>
  </w:style>
  <w:style w:type="paragraph" w:customStyle="1" w:styleId="TX-TableText">
    <w:name w:val="TX-Table Text"/>
    <w:basedOn w:val="Normal"/>
    <w:rsid w:val="00F64ECE"/>
    <w:rPr>
      <w:rFonts w:ascii="Franklin Gothic Medium" w:hAnsi="Franklin Gothic Medium"/>
      <w:sz w:val="20"/>
    </w:rPr>
  </w:style>
  <w:style w:type="paragraph" w:styleId="PlainText">
    <w:name w:val="Plain Text"/>
    <w:basedOn w:val="Normal"/>
    <w:rsid w:val="00F64ECE"/>
    <w:rPr>
      <w:rFonts w:ascii="Courier New" w:hAnsi="Courier New" w:cs="Courier New"/>
      <w:sz w:val="20"/>
      <w:szCs w:val="20"/>
    </w:rPr>
  </w:style>
  <w:style w:type="paragraph" w:styleId="Caption">
    <w:name w:val="caption"/>
    <w:basedOn w:val="Normal"/>
    <w:next w:val="Normal"/>
    <w:qFormat/>
    <w:rsid w:val="00F64ECE"/>
    <w:rPr>
      <w:b/>
      <w:bCs/>
      <w:sz w:val="20"/>
      <w:szCs w:val="20"/>
    </w:rPr>
  </w:style>
  <w:style w:type="paragraph" w:customStyle="1" w:styleId="FormBodyTextHanging">
    <w:name w:val="Form Body Text Hanging"/>
    <w:basedOn w:val="Normal"/>
    <w:rsid w:val="00054885"/>
    <w:pPr>
      <w:tabs>
        <w:tab w:val="right" w:pos="9360"/>
      </w:tabs>
      <w:spacing w:before="60" w:after="60"/>
      <w:ind w:left="720" w:hanging="720"/>
    </w:pPr>
    <w:rPr>
      <w:sz w:val="20"/>
    </w:rPr>
  </w:style>
  <w:style w:type="paragraph" w:customStyle="1" w:styleId="StyleLeft01After3pt">
    <w:name w:val="Style Left:  0.1&quot; After:  3 pt"/>
    <w:basedOn w:val="Normal"/>
    <w:rsid w:val="00054885"/>
    <w:pPr>
      <w:ind w:left="144"/>
    </w:pPr>
    <w:rPr>
      <w:sz w:val="20"/>
      <w:szCs w:val="20"/>
    </w:rPr>
  </w:style>
  <w:style w:type="paragraph" w:customStyle="1" w:styleId="FormBodyText">
    <w:name w:val="Form Body Text"/>
    <w:basedOn w:val="FormBodyTextHanging"/>
    <w:rsid w:val="00054885"/>
    <w:pPr>
      <w:ind w:left="0" w:firstLine="0"/>
    </w:pPr>
    <w:rPr>
      <w:szCs w:val="20"/>
    </w:rPr>
  </w:style>
  <w:style w:type="paragraph" w:customStyle="1" w:styleId="FormBodyTextIndent">
    <w:name w:val="Form Body Text Indent"/>
    <w:basedOn w:val="FormBodyTextHanging"/>
    <w:rsid w:val="00054885"/>
    <w:pPr>
      <w:ind w:left="1440"/>
    </w:pPr>
    <w:rPr>
      <w:szCs w:val="20"/>
    </w:rPr>
  </w:style>
  <w:style w:type="character" w:customStyle="1" w:styleId="CharChar">
    <w:name w:val="Char Char"/>
    <w:basedOn w:val="DefaultParagraphFont"/>
    <w:rsid w:val="00054885"/>
    <w:rPr>
      <w:rFonts w:cs="Arial"/>
      <w:b/>
      <w:color w:val="000000"/>
      <w:sz w:val="26"/>
      <w:szCs w:val="26"/>
      <w:u w:val="single"/>
      <w:lang w:val="en-US" w:eastAsia="ja-JP" w:bidi="ar-SA"/>
    </w:rPr>
  </w:style>
  <w:style w:type="table" w:customStyle="1" w:styleId="TableWestatStandardFormat">
    <w:name w:val="Table Westat Standard Format"/>
    <w:basedOn w:val="TableNormal"/>
    <w:rsid w:val="00054885"/>
    <w:pPr>
      <w:numPr>
        <w:numId w:val="29"/>
      </w:numPr>
      <w:ind w:left="0" w:firstLine="0"/>
    </w:pPr>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CommentTextChar">
    <w:name w:val="Comment Text Char"/>
    <w:basedOn w:val="DefaultParagraphFont"/>
    <w:locked/>
    <w:rsid w:val="00506425"/>
    <w:rPr>
      <w:rFonts w:cs="Times New Roman"/>
      <w:lang w:val="en-US" w:eastAsia="en-US" w:bidi="ar-SA"/>
    </w:rPr>
  </w:style>
  <w:style w:type="character" w:customStyle="1" w:styleId="RefList">
    <w:name w:val="[RefList]"/>
    <w:rsid w:val="00FD1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462306">
      <w:bodyDiv w:val="1"/>
      <w:marLeft w:val="0"/>
      <w:marRight w:val="0"/>
      <w:marTop w:val="0"/>
      <w:marBottom w:val="0"/>
      <w:divBdr>
        <w:top w:val="none" w:sz="0" w:space="0" w:color="auto"/>
        <w:left w:val="none" w:sz="0" w:space="0" w:color="auto"/>
        <w:bottom w:val="none" w:sz="0" w:space="0" w:color="auto"/>
        <w:right w:val="none" w:sz="0" w:space="0" w:color="auto"/>
      </w:divBdr>
    </w:div>
    <w:div w:id="817575237">
      <w:bodyDiv w:val="1"/>
      <w:marLeft w:val="0"/>
      <w:marRight w:val="0"/>
      <w:marTop w:val="0"/>
      <w:marBottom w:val="0"/>
      <w:divBdr>
        <w:top w:val="none" w:sz="0" w:space="0" w:color="auto"/>
        <w:left w:val="none" w:sz="0" w:space="0" w:color="auto"/>
        <w:bottom w:val="none" w:sz="0" w:space="0" w:color="auto"/>
        <w:right w:val="none" w:sz="0" w:space="0" w:color="auto"/>
      </w:divBdr>
    </w:div>
    <w:div w:id="1087658122">
      <w:bodyDiv w:val="1"/>
      <w:marLeft w:val="0"/>
      <w:marRight w:val="0"/>
      <w:marTop w:val="0"/>
      <w:marBottom w:val="0"/>
      <w:divBdr>
        <w:top w:val="none" w:sz="0" w:space="0" w:color="auto"/>
        <w:left w:val="none" w:sz="0" w:space="0" w:color="auto"/>
        <w:bottom w:val="none" w:sz="0" w:space="0" w:color="auto"/>
        <w:right w:val="none" w:sz="0" w:space="0" w:color="auto"/>
      </w:divBdr>
    </w:div>
    <w:div w:id="1482426143">
      <w:bodyDiv w:val="1"/>
      <w:marLeft w:val="0"/>
      <w:marRight w:val="0"/>
      <w:marTop w:val="0"/>
      <w:marBottom w:val="0"/>
      <w:divBdr>
        <w:top w:val="none" w:sz="0" w:space="0" w:color="auto"/>
        <w:left w:val="none" w:sz="0" w:space="0" w:color="auto"/>
        <w:bottom w:val="none" w:sz="0" w:space="0" w:color="auto"/>
        <w:right w:val="none" w:sz="0" w:space="0" w:color="auto"/>
      </w:divBdr>
    </w:div>
    <w:div w:id="20262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njamin.c.amick@uth.tmc.edu" TargetMode="External"/><Relationship Id="rId18" Type="http://schemas.openxmlformats.org/officeDocument/2006/relationships/hyperlink" Target="mailto:Mark.G.1@bwc.state.oh.us" TargetMode="External"/><Relationship Id="rId26" Type="http://schemas.openxmlformats.org/officeDocument/2006/relationships/hyperlink" Target="mailto:knorris6@columbus.rr.com" TargetMode="External"/><Relationship Id="rId3" Type="http://schemas.openxmlformats.org/officeDocument/2006/relationships/styles" Target="styles.xml"/><Relationship Id="rId21" Type="http://schemas.openxmlformats.org/officeDocument/2006/relationships/hyperlink" Target="mailto:Carol.M.1@bwc.state.oh.us"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hhs.gov/od/508policy" TargetMode="External"/><Relationship Id="rId17" Type="http://schemas.openxmlformats.org/officeDocument/2006/relationships/hyperlink" Target="mailto:Cheryl.G.12@bwc.state.oh.us" TargetMode="External"/><Relationship Id="rId25" Type="http://schemas.openxmlformats.org/officeDocument/2006/relationships/hyperlink" Target="mailto:r.patten@frontier.com" TargetMode="External"/><Relationship Id="rId33" Type="http://schemas.openxmlformats.org/officeDocument/2006/relationships/hyperlink" Target="http://aops-mas-iis.od.cdc.gov/Policy/Doc/policy449.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chael.R.1@bwc.state.oh.us" TargetMode="External"/><Relationship Id="rId20" Type="http://schemas.openxmlformats.org/officeDocument/2006/relationships/hyperlink" Target="mailto:Michael.L.1@bwc.state.oh.us" TargetMode="External"/><Relationship Id="rId29" Type="http://schemas.openxmlformats.org/officeDocument/2006/relationships/hyperlink" Target="mailto:gordong@ohioretailmerchant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l.nist.gov/fipspubs" TargetMode="External"/><Relationship Id="rId24" Type="http://schemas.openxmlformats.org/officeDocument/2006/relationships/hyperlink" Target="mailto:Ivana.W.1@bwc.state.oh.us" TargetMode="External"/><Relationship Id="rId32" Type="http://schemas.openxmlformats.org/officeDocument/2006/relationships/hyperlink" Target="mailto:sremy@wbwao.org"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ennis.apple@bwc.state.oh.us" TargetMode="External"/><Relationship Id="rId23" Type="http://schemas.openxmlformats.org/officeDocument/2006/relationships/hyperlink" Target="mailto:Mireya.S.1@bwc.state.oh.us" TargetMode="External"/><Relationship Id="rId28" Type="http://schemas.openxmlformats.org/officeDocument/2006/relationships/hyperlink" Target="mailto:edwardc@ohioretailmerchants.com" TargetMode="External"/><Relationship Id="rId36"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mailto:Patricia.H.1@bwc.state.oh.us" TargetMode="External"/><Relationship Id="rId31" Type="http://schemas.openxmlformats.org/officeDocument/2006/relationships/hyperlink" Target="mailto:tsmith@nrha.o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tephen.h.1@bwc.state.oh.us" TargetMode="External"/><Relationship Id="rId22" Type="http://schemas.openxmlformats.org/officeDocument/2006/relationships/hyperlink" Target="mailto:Theresa.P.1@bwc.state.oh.us" TargetMode="External"/><Relationship Id="rId27" Type="http://schemas.openxmlformats.org/officeDocument/2006/relationships/hyperlink" Target="mailto:r.stephenson@zoominternet.net" TargetMode="External"/><Relationship Id="rId30" Type="http://schemas.openxmlformats.org/officeDocument/2006/relationships/hyperlink" Target="mailto:owma@att.net"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B97C0-E159-49EC-9FEA-1FAAEBC64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26</Pages>
  <Words>8295</Words>
  <Characters>49392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NATIONAL SURVEY OF U</vt:lpstr>
    </vt:vector>
  </TitlesOfParts>
  <Company>ITSO</Company>
  <LinksUpToDate>false</LinksUpToDate>
  <CharactersWithSpaces>57572</CharactersWithSpaces>
  <SharedDoc>false</SharedDoc>
  <HLinks>
    <vt:vector size="138" baseType="variant">
      <vt:variant>
        <vt:i4>6815800</vt:i4>
      </vt:variant>
      <vt:variant>
        <vt:i4>75</vt:i4>
      </vt:variant>
      <vt:variant>
        <vt:i4>0</vt:i4>
      </vt:variant>
      <vt:variant>
        <vt:i4>5</vt:i4>
      </vt:variant>
      <vt:variant>
        <vt:lpwstr>http://aops-mas-iis.od.cdc.gov/Policy/Doc/policy449.htm</vt:lpwstr>
      </vt:variant>
      <vt:variant>
        <vt:lpwstr/>
      </vt:variant>
      <vt:variant>
        <vt:i4>6946890</vt:i4>
      </vt:variant>
      <vt:variant>
        <vt:i4>72</vt:i4>
      </vt:variant>
      <vt:variant>
        <vt:i4>0</vt:i4>
      </vt:variant>
      <vt:variant>
        <vt:i4>5</vt:i4>
      </vt:variant>
      <vt:variant>
        <vt:lpwstr>mailto:sremy@wbwao.org</vt:lpwstr>
      </vt:variant>
      <vt:variant>
        <vt:lpwstr/>
      </vt:variant>
      <vt:variant>
        <vt:i4>5505122</vt:i4>
      </vt:variant>
      <vt:variant>
        <vt:i4>69</vt:i4>
      </vt:variant>
      <vt:variant>
        <vt:i4>0</vt:i4>
      </vt:variant>
      <vt:variant>
        <vt:i4>5</vt:i4>
      </vt:variant>
      <vt:variant>
        <vt:lpwstr>mailto:tsmith@nrha.org</vt:lpwstr>
      </vt:variant>
      <vt:variant>
        <vt:lpwstr/>
      </vt:variant>
      <vt:variant>
        <vt:i4>2031655</vt:i4>
      </vt:variant>
      <vt:variant>
        <vt:i4>66</vt:i4>
      </vt:variant>
      <vt:variant>
        <vt:i4>0</vt:i4>
      </vt:variant>
      <vt:variant>
        <vt:i4>5</vt:i4>
      </vt:variant>
      <vt:variant>
        <vt:lpwstr>mailto:owma@att.net</vt:lpwstr>
      </vt:variant>
      <vt:variant>
        <vt:lpwstr/>
      </vt:variant>
      <vt:variant>
        <vt:i4>7471186</vt:i4>
      </vt:variant>
      <vt:variant>
        <vt:i4>63</vt:i4>
      </vt:variant>
      <vt:variant>
        <vt:i4>0</vt:i4>
      </vt:variant>
      <vt:variant>
        <vt:i4>5</vt:i4>
      </vt:variant>
      <vt:variant>
        <vt:lpwstr>mailto:gordong@ohioretailmerchants.com</vt:lpwstr>
      </vt:variant>
      <vt:variant>
        <vt:lpwstr/>
      </vt:variant>
      <vt:variant>
        <vt:i4>7077974</vt:i4>
      </vt:variant>
      <vt:variant>
        <vt:i4>60</vt:i4>
      </vt:variant>
      <vt:variant>
        <vt:i4>0</vt:i4>
      </vt:variant>
      <vt:variant>
        <vt:i4>5</vt:i4>
      </vt:variant>
      <vt:variant>
        <vt:lpwstr>mailto:edwardc@ohioretailmerchants.com</vt:lpwstr>
      </vt:variant>
      <vt:variant>
        <vt:lpwstr/>
      </vt:variant>
      <vt:variant>
        <vt:i4>2490444</vt:i4>
      </vt:variant>
      <vt:variant>
        <vt:i4>57</vt:i4>
      </vt:variant>
      <vt:variant>
        <vt:i4>0</vt:i4>
      </vt:variant>
      <vt:variant>
        <vt:i4>5</vt:i4>
      </vt:variant>
      <vt:variant>
        <vt:lpwstr>mailto:r.stephenson@zoominternet.net</vt:lpwstr>
      </vt:variant>
      <vt:variant>
        <vt:lpwstr/>
      </vt:variant>
      <vt:variant>
        <vt:i4>2031649</vt:i4>
      </vt:variant>
      <vt:variant>
        <vt:i4>54</vt:i4>
      </vt:variant>
      <vt:variant>
        <vt:i4>0</vt:i4>
      </vt:variant>
      <vt:variant>
        <vt:i4>5</vt:i4>
      </vt:variant>
      <vt:variant>
        <vt:lpwstr>mailto:knorris6@columbus.rr.com</vt:lpwstr>
      </vt:variant>
      <vt:variant>
        <vt:lpwstr/>
      </vt:variant>
      <vt:variant>
        <vt:i4>3670086</vt:i4>
      </vt:variant>
      <vt:variant>
        <vt:i4>51</vt:i4>
      </vt:variant>
      <vt:variant>
        <vt:i4>0</vt:i4>
      </vt:variant>
      <vt:variant>
        <vt:i4>5</vt:i4>
      </vt:variant>
      <vt:variant>
        <vt:lpwstr>mailto:r.patten@frontier.com</vt:lpwstr>
      </vt:variant>
      <vt:variant>
        <vt:lpwstr/>
      </vt:variant>
      <vt:variant>
        <vt:i4>589944</vt:i4>
      </vt:variant>
      <vt:variant>
        <vt:i4>48</vt:i4>
      </vt:variant>
      <vt:variant>
        <vt:i4>0</vt:i4>
      </vt:variant>
      <vt:variant>
        <vt:i4>5</vt:i4>
      </vt:variant>
      <vt:variant>
        <vt:lpwstr>mailto:Ivana.W.1@bwc.state.oh.us</vt:lpwstr>
      </vt:variant>
      <vt:variant>
        <vt:lpwstr/>
      </vt:variant>
      <vt:variant>
        <vt:i4>3014738</vt:i4>
      </vt:variant>
      <vt:variant>
        <vt:i4>45</vt:i4>
      </vt:variant>
      <vt:variant>
        <vt:i4>0</vt:i4>
      </vt:variant>
      <vt:variant>
        <vt:i4>5</vt:i4>
      </vt:variant>
      <vt:variant>
        <vt:lpwstr>mailto:Mireya.S.1@bwc.state.oh.us</vt:lpwstr>
      </vt:variant>
      <vt:variant>
        <vt:lpwstr/>
      </vt:variant>
      <vt:variant>
        <vt:i4>7471113</vt:i4>
      </vt:variant>
      <vt:variant>
        <vt:i4>42</vt:i4>
      </vt:variant>
      <vt:variant>
        <vt:i4>0</vt:i4>
      </vt:variant>
      <vt:variant>
        <vt:i4>5</vt:i4>
      </vt:variant>
      <vt:variant>
        <vt:lpwstr>mailto:Theresa.P.1@bwc.state.oh.us</vt:lpwstr>
      </vt:variant>
      <vt:variant>
        <vt:lpwstr/>
      </vt:variant>
      <vt:variant>
        <vt:i4>458862</vt:i4>
      </vt:variant>
      <vt:variant>
        <vt:i4>39</vt:i4>
      </vt:variant>
      <vt:variant>
        <vt:i4>0</vt:i4>
      </vt:variant>
      <vt:variant>
        <vt:i4>5</vt:i4>
      </vt:variant>
      <vt:variant>
        <vt:lpwstr>mailto:Carol.M.1@bwc.state.oh.us</vt:lpwstr>
      </vt:variant>
      <vt:variant>
        <vt:lpwstr/>
      </vt:variant>
      <vt:variant>
        <vt:i4>7864324</vt:i4>
      </vt:variant>
      <vt:variant>
        <vt:i4>36</vt:i4>
      </vt:variant>
      <vt:variant>
        <vt:i4>0</vt:i4>
      </vt:variant>
      <vt:variant>
        <vt:i4>5</vt:i4>
      </vt:variant>
      <vt:variant>
        <vt:lpwstr>mailto:Michael.L.1@bwc.state.oh.us</vt:lpwstr>
      </vt:variant>
      <vt:variant>
        <vt:lpwstr/>
      </vt:variant>
      <vt:variant>
        <vt:i4>4980789</vt:i4>
      </vt:variant>
      <vt:variant>
        <vt:i4>33</vt:i4>
      </vt:variant>
      <vt:variant>
        <vt:i4>0</vt:i4>
      </vt:variant>
      <vt:variant>
        <vt:i4>5</vt:i4>
      </vt:variant>
      <vt:variant>
        <vt:lpwstr>mailto:Patricia.H.1@bwc.state.oh.us</vt:lpwstr>
      </vt:variant>
      <vt:variant>
        <vt:lpwstr/>
      </vt:variant>
      <vt:variant>
        <vt:i4>5701665</vt:i4>
      </vt:variant>
      <vt:variant>
        <vt:i4>30</vt:i4>
      </vt:variant>
      <vt:variant>
        <vt:i4>0</vt:i4>
      </vt:variant>
      <vt:variant>
        <vt:i4>5</vt:i4>
      </vt:variant>
      <vt:variant>
        <vt:lpwstr>mailto:Mark.G.1@bwc.state.oh.us</vt:lpwstr>
      </vt:variant>
      <vt:variant>
        <vt:lpwstr/>
      </vt:variant>
      <vt:variant>
        <vt:i4>7012416</vt:i4>
      </vt:variant>
      <vt:variant>
        <vt:i4>27</vt:i4>
      </vt:variant>
      <vt:variant>
        <vt:i4>0</vt:i4>
      </vt:variant>
      <vt:variant>
        <vt:i4>5</vt:i4>
      </vt:variant>
      <vt:variant>
        <vt:lpwstr>mailto:Cheryl.G.12@bwc.state.oh.us</vt:lpwstr>
      </vt:variant>
      <vt:variant>
        <vt:lpwstr/>
      </vt:variant>
      <vt:variant>
        <vt:i4>6684676</vt:i4>
      </vt:variant>
      <vt:variant>
        <vt:i4>24</vt:i4>
      </vt:variant>
      <vt:variant>
        <vt:i4>0</vt:i4>
      </vt:variant>
      <vt:variant>
        <vt:i4>5</vt:i4>
      </vt:variant>
      <vt:variant>
        <vt:lpwstr>mailto:Michael.R.1@bwc.state.oh.us</vt:lpwstr>
      </vt:variant>
      <vt:variant>
        <vt:lpwstr/>
      </vt:variant>
      <vt:variant>
        <vt:i4>1638513</vt:i4>
      </vt:variant>
      <vt:variant>
        <vt:i4>21</vt:i4>
      </vt:variant>
      <vt:variant>
        <vt:i4>0</vt:i4>
      </vt:variant>
      <vt:variant>
        <vt:i4>5</vt:i4>
      </vt:variant>
      <vt:variant>
        <vt:lpwstr>mailto:Dennis.apple@bwc.state.oh.us</vt:lpwstr>
      </vt:variant>
      <vt:variant>
        <vt:lpwstr/>
      </vt:variant>
      <vt:variant>
        <vt:i4>7274497</vt:i4>
      </vt:variant>
      <vt:variant>
        <vt:i4>18</vt:i4>
      </vt:variant>
      <vt:variant>
        <vt:i4>0</vt:i4>
      </vt:variant>
      <vt:variant>
        <vt:i4>5</vt:i4>
      </vt:variant>
      <vt:variant>
        <vt:lpwstr>mailto:Stephen.h.1@bwc.state.oh.us</vt:lpwstr>
      </vt:variant>
      <vt:variant>
        <vt:lpwstr/>
      </vt:variant>
      <vt:variant>
        <vt:i4>5570601</vt:i4>
      </vt:variant>
      <vt:variant>
        <vt:i4>15</vt:i4>
      </vt:variant>
      <vt:variant>
        <vt:i4>0</vt:i4>
      </vt:variant>
      <vt:variant>
        <vt:i4>5</vt:i4>
      </vt:variant>
      <vt:variant>
        <vt:lpwstr>mailto:benjamin.c.amick@uth.tmc.edu</vt:lpwstr>
      </vt:variant>
      <vt:variant>
        <vt:lpwstr/>
      </vt:variant>
      <vt:variant>
        <vt:i4>3014713</vt:i4>
      </vt:variant>
      <vt:variant>
        <vt:i4>12</vt:i4>
      </vt:variant>
      <vt:variant>
        <vt:i4>0</vt:i4>
      </vt:variant>
      <vt:variant>
        <vt:i4>5</vt:i4>
      </vt:variant>
      <vt:variant>
        <vt:lpwstr>http://www.hhs.gov/od/508policy</vt:lpwstr>
      </vt:variant>
      <vt:variant>
        <vt:lpwstr/>
      </vt:variant>
      <vt:variant>
        <vt:i4>4259842</vt:i4>
      </vt:variant>
      <vt:variant>
        <vt:i4>9</vt:i4>
      </vt:variant>
      <vt:variant>
        <vt:i4>0</vt:i4>
      </vt:variant>
      <vt:variant>
        <vt:i4>5</vt:i4>
      </vt:variant>
      <vt:variant>
        <vt:lpwstr>http://www.itl.nist.gov/fipspubs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OF U</dc:title>
  <dc:subject/>
  <dc:creator>Jan Birdsey</dc:creator>
  <cp:keywords/>
  <dc:description/>
  <cp:lastModifiedBy>Wurzelbacher, Steven J. (CDC/NIOSH/DSHEFS)</cp:lastModifiedBy>
  <cp:revision>12</cp:revision>
  <cp:lastPrinted>2010-08-30T13:41:00Z</cp:lastPrinted>
  <dcterms:created xsi:type="dcterms:W3CDTF">2011-08-11T17:48:00Z</dcterms:created>
  <dcterms:modified xsi:type="dcterms:W3CDTF">2011-10-31T19:45:00Z</dcterms:modified>
</cp:coreProperties>
</file>