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DF" w:rsidRPr="009B561B" w:rsidRDefault="0055067F" w:rsidP="00495ADF">
      <w:pPr>
        <w:pStyle w:val="Cov-Date"/>
      </w:pPr>
      <w:bookmarkStart w:id="0" w:name="_Toc67387400"/>
      <w:r w:rsidRPr="009B561B">
        <w:t>July 2011</w:t>
      </w:r>
    </w:p>
    <w:p w:rsidR="00495ADF" w:rsidRPr="009B561B" w:rsidRDefault="00495ADF" w:rsidP="00495ADF">
      <w:pPr>
        <w:pStyle w:val="Cov-Date"/>
      </w:pPr>
    </w:p>
    <w:p w:rsidR="00495ADF" w:rsidRPr="009B561B" w:rsidRDefault="00495ADF" w:rsidP="00495ADF">
      <w:pPr>
        <w:pStyle w:val="Cov-Date"/>
      </w:pPr>
    </w:p>
    <w:p w:rsidR="00495ADF" w:rsidRPr="009B561B" w:rsidRDefault="0055067F" w:rsidP="00495ADF">
      <w:pPr>
        <w:pStyle w:val="Cov-Title"/>
      </w:pPr>
      <w:r w:rsidRPr="009B561B">
        <w:t xml:space="preserve">2011−2013 Survey of Graduate Students and Postdoctorates </w:t>
      </w:r>
      <w:r w:rsidR="001134BA">
        <w:br/>
      </w:r>
      <w:r w:rsidRPr="009B561B">
        <w:t>in Science and Engineering</w:t>
      </w:r>
    </w:p>
    <w:p w:rsidR="00495ADF" w:rsidRPr="009B561B" w:rsidRDefault="00495ADF" w:rsidP="00495ADF">
      <w:pPr>
        <w:pStyle w:val="Cov-Title"/>
      </w:pPr>
    </w:p>
    <w:p w:rsidR="00495ADF" w:rsidRPr="009B561B" w:rsidRDefault="00495ADF" w:rsidP="00495ADF">
      <w:pPr>
        <w:pStyle w:val="Cov-Title"/>
        <w:rPr>
          <w:rFonts w:ascii="Helvetica" w:hAnsi="Helvetica"/>
          <w:b/>
          <w:sz w:val="40"/>
          <w:szCs w:val="40"/>
        </w:rPr>
      </w:pPr>
      <w:r w:rsidRPr="009B561B">
        <w:rPr>
          <w:sz w:val="40"/>
          <w:szCs w:val="40"/>
        </w:rPr>
        <w:t>OMB Supporting Statement</w:t>
      </w: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Address"/>
      </w:pPr>
    </w:p>
    <w:p w:rsidR="00495ADF" w:rsidRPr="009B561B" w:rsidRDefault="00495ADF" w:rsidP="00495ADF">
      <w:pPr>
        <w:pStyle w:val="Cov-Address"/>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p w:rsidR="00AC6ACE" w:rsidRPr="009B561B" w:rsidRDefault="00AC6ACE" w:rsidP="00423334">
      <w:pPr>
        <w:jc w:val="center"/>
        <w:rPr>
          <w:b/>
          <w:color w:val="000000"/>
        </w:rPr>
      </w:pPr>
    </w:p>
    <w:bookmarkEnd w:id="0"/>
    <w:p w:rsidR="00D6798C" w:rsidRPr="009B561B" w:rsidRDefault="00D6798C" w:rsidP="00F41479">
      <w:pPr>
        <w:jc w:val="center"/>
        <w:rPr>
          <w:color w:val="000000"/>
        </w:rPr>
      </w:pPr>
    </w:p>
    <w:p w:rsidR="00D43F13" w:rsidRPr="009B561B" w:rsidRDefault="00D43F13" w:rsidP="00832BA3">
      <w:pPr>
        <w:rPr>
          <w:color w:val="000000"/>
        </w:rPr>
      </w:pPr>
    </w:p>
    <w:p w:rsidR="00D43F13" w:rsidRPr="009B561B" w:rsidRDefault="00D43F13" w:rsidP="00832BA3">
      <w:pPr>
        <w:rPr>
          <w:color w:val="000000"/>
        </w:rPr>
      </w:pPr>
    </w:p>
    <w:p w:rsidR="00A14087" w:rsidRPr="009B561B" w:rsidRDefault="00A14087" w:rsidP="00832BA3">
      <w:pPr>
        <w:rPr>
          <w:b/>
          <w:bCs/>
          <w:caps/>
          <w:color w:val="000000"/>
        </w:rPr>
        <w:sectPr w:rsidR="00A14087" w:rsidRPr="009B561B" w:rsidSect="00782650">
          <w:footerReference w:type="even" r:id="rId8"/>
          <w:pgSz w:w="12240" w:h="15840"/>
          <w:pgMar w:top="1440" w:right="1440" w:bottom="1440" w:left="1440" w:header="720" w:footer="720" w:gutter="0"/>
          <w:cols w:space="720"/>
          <w:docGrid w:linePitch="360"/>
        </w:sectPr>
      </w:pPr>
    </w:p>
    <w:p w:rsidR="00C65FD6" w:rsidRPr="009B561B" w:rsidRDefault="00617FAF" w:rsidP="00F72F56">
      <w:pPr>
        <w:pStyle w:val="TOC0"/>
      </w:pPr>
      <w:r w:rsidRPr="009B561B">
        <w:lastRenderedPageBreak/>
        <w:fldChar w:fldCharType="begin"/>
      </w:r>
      <w:r w:rsidR="00C65FD6" w:rsidRPr="009B561B">
        <w:instrText xml:space="preserve"> SEQ CHAPTER \h \r 1</w:instrText>
      </w:r>
      <w:r w:rsidRPr="009B561B">
        <w:fldChar w:fldCharType="end"/>
      </w:r>
      <w:r w:rsidR="00C65FD6" w:rsidRPr="009B561B">
        <w:rPr>
          <w:bCs/>
        </w:rPr>
        <w:t>TABLE OF CONTENTS</w:t>
      </w:r>
    </w:p>
    <w:p w:rsidR="00C65FD6" w:rsidRPr="009B561B" w:rsidRDefault="00AC6ACE" w:rsidP="00AC6ACE">
      <w:pPr>
        <w:tabs>
          <w:tab w:val="right" w:pos="9360"/>
        </w:tabs>
        <w:rPr>
          <w:color w:val="000000"/>
        </w:rPr>
      </w:pPr>
      <w:r w:rsidRPr="009B561B">
        <w:rPr>
          <w:b/>
          <w:color w:val="000000"/>
        </w:rPr>
        <w:t>Section</w:t>
      </w:r>
      <w:r w:rsidRPr="009B561B">
        <w:rPr>
          <w:color w:val="000000"/>
        </w:rPr>
        <w:tab/>
      </w:r>
      <w:r w:rsidRPr="009B561B">
        <w:rPr>
          <w:b/>
          <w:color w:val="000000"/>
        </w:rPr>
        <w:t>Page</w:t>
      </w:r>
    </w:p>
    <w:p w:rsidR="00374A58" w:rsidRDefault="00617FAF">
      <w:pPr>
        <w:pStyle w:val="TOC1"/>
        <w:tabs>
          <w:tab w:val="left" w:pos="1350"/>
        </w:tabs>
        <w:rPr>
          <w:rFonts w:ascii="Calibri" w:hAnsi="Calibri" w:cs="Arial"/>
          <w:sz w:val="22"/>
          <w:szCs w:val="22"/>
        </w:rPr>
      </w:pPr>
      <w:r w:rsidRPr="00617FAF">
        <w:rPr>
          <w:b/>
          <w:bCs/>
          <w:caps/>
          <w:color w:val="000000"/>
        </w:rPr>
        <w:fldChar w:fldCharType="begin"/>
      </w:r>
      <w:r w:rsidR="00512F04" w:rsidRPr="009B561B">
        <w:rPr>
          <w:b/>
          <w:bCs/>
          <w:caps/>
          <w:color w:val="000000"/>
        </w:rPr>
        <w:instrText xml:space="preserve"> TOC \o "1-3" \h \z \u </w:instrText>
      </w:r>
      <w:r w:rsidRPr="00617FAF">
        <w:rPr>
          <w:b/>
          <w:bCs/>
          <w:caps/>
          <w:color w:val="000000"/>
        </w:rPr>
        <w:fldChar w:fldCharType="separate"/>
      </w:r>
      <w:hyperlink w:anchor="_Toc298763598" w:history="1">
        <w:r w:rsidR="00374A58" w:rsidRPr="00E0327C">
          <w:rPr>
            <w:rStyle w:val="Hyperlink"/>
          </w:rPr>
          <w:t>A.</w:t>
        </w:r>
        <w:r w:rsidR="00374A58">
          <w:rPr>
            <w:rFonts w:ascii="Calibri" w:hAnsi="Calibri" w:cs="Arial"/>
            <w:sz w:val="22"/>
            <w:szCs w:val="22"/>
          </w:rPr>
          <w:tab/>
        </w:r>
        <w:r w:rsidR="00374A58" w:rsidRPr="00E0327C">
          <w:rPr>
            <w:rStyle w:val="Hyperlink"/>
          </w:rPr>
          <w:t>Justification</w:t>
        </w:r>
        <w:r w:rsidR="00374A58">
          <w:rPr>
            <w:webHidden/>
          </w:rPr>
          <w:tab/>
        </w:r>
        <w:r>
          <w:rPr>
            <w:webHidden/>
          </w:rPr>
          <w:fldChar w:fldCharType="begin"/>
        </w:r>
        <w:r w:rsidR="00374A58">
          <w:rPr>
            <w:webHidden/>
          </w:rPr>
          <w:instrText xml:space="preserve"> PAGEREF _Toc298763598 \h </w:instrText>
        </w:r>
        <w:r>
          <w:rPr>
            <w:webHidden/>
          </w:rPr>
        </w:r>
        <w:r>
          <w:rPr>
            <w:webHidden/>
          </w:rPr>
          <w:fldChar w:fldCharType="separate"/>
        </w:r>
        <w:r w:rsidR="0011749A">
          <w:rPr>
            <w:webHidden/>
          </w:rPr>
          <w:t>1</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599" w:history="1">
        <w:r w:rsidR="00374A58" w:rsidRPr="00E0327C">
          <w:rPr>
            <w:rStyle w:val="Hyperlink"/>
          </w:rPr>
          <w:t>A.1</w:t>
        </w:r>
        <w:r w:rsidR="00374A58">
          <w:rPr>
            <w:rFonts w:ascii="Calibri" w:hAnsi="Calibri" w:cs="Arial"/>
            <w:sz w:val="22"/>
            <w:szCs w:val="22"/>
          </w:rPr>
          <w:tab/>
        </w:r>
        <w:r w:rsidR="00374A58" w:rsidRPr="00E0327C">
          <w:rPr>
            <w:rStyle w:val="Hyperlink"/>
          </w:rPr>
          <w:t>Need for Data Collection and Legislative Authorization</w:t>
        </w:r>
        <w:r w:rsidR="00374A58">
          <w:rPr>
            <w:webHidden/>
          </w:rPr>
          <w:tab/>
        </w:r>
        <w:r>
          <w:rPr>
            <w:webHidden/>
          </w:rPr>
          <w:fldChar w:fldCharType="begin"/>
        </w:r>
        <w:r w:rsidR="00374A58">
          <w:rPr>
            <w:webHidden/>
          </w:rPr>
          <w:instrText xml:space="preserve"> PAGEREF _Toc298763599 \h </w:instrText>
        </w:r>
        <w:r>
          <w:rPr>
            <w:webHidden/>
          </w:rPr>
        </w:r>
        <w:r>
          <w:rPr>
            <w:webHidden/>
          </w:rPr>
          <w:fldChar w:fldCharType="separate"/>
        </w:r>
        <w:r w:rsidR="0011749A">
          <w:rPr>
            <w:webHidden/>
          </w:rPr>
          <w:t>2</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00" w:history="1">
        <w:r w:rsidR="00374A58" w:rsidRPr="00E0327C">
          <w:rPr>
            <w:rStyle w:val="Hyperlink"/>
          </w:rPr>
          <w:t>A.2</w:t>
        </w:r>
        <w:r w:rsidR="00374A58">
          <w:rPr>
            <w:rFonts w:ascii="Calibri" w:hAnsi="Calibri" w:cs="Arial"/>
            <w:sz w:val="22"/>
            <w:szCs w:val="22"/>
          </w:rPr>
          <w:tab/>
        </w:r>
        <w:r w:rsidR="00374A58" w:rsidRPr="00E0327C">
          <w:rPr>
            <w:rStyle w:val="Hyperlink"/>
          </w:rPr>
          <w:t>How, by Whom, and for What Purpose the Information Is to Be Used</w:t>
        </w:r>
        <w:r w:rsidR="00374A58">
          <w:rPr>
            <w:webHidden/>
          </w:rPr>
          <w:tab/>
        </w:r>
        <w:r>
          <w:rPr>
            <w:webHidden/>
          </w:rPr>
          <w:fldChar w:fldCharType="begin"/>
        </w:r>
        <w:r w:rsidR="00374A58">
          <w:rPr>
            <w:webHidden/>
          </w:rPr>
          <w:instrText xml:space="preserve"> PAGEREF _Toc298763600 \h </w:instrText>
        </w:r>
        <w:r>
          <w:rPr>
            <w:webHidden/>
          </w:rPr>
        </w:r>
        <w:r>
          <w:rPr>
            <w:webHidden/>
          </w:rPr>
          <w:fldChar w:fldCharType="separate"/>
        </w:r>
        <w:r w:rsidR="0011749A">
          <w:rPr>
            <w:webHidden/>
          </w:rPr>
          <w:t>2</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01" w:history="1">
        <w:r w:rsidR="00374A58" w:rsidRPr="00E0327C">
          <w:rPr>
            <w:rStyle w:val="Hyperlink"/>
          </w:rPr>
          <w:t>A.2.1</w:t>
        </w:r>
        <w:r w:rsidR="00374A58">
          <w:rPr>
            <w:rFonts w:ascii="Calibri" w:hAnsi="Calibri" w:cs="Arial"/>
            <w:sz w:val="22"/>
            <w:szCs w:val="22"/>
          </w:rPr>
          <w:tab/>
        </w:r>
        <w:r w:rsidR="00374A58" w:rsidRPr="00E0327C">
          <w:rPr>
            <w:rStyle w:val="Hyperlink"/>
          </w:rPr>
          <w:t>Federal Uses</w:t>
        </w:r>
        <w:r w:rsidR="00374A58">
          <w:rPr>
            <w:webHidden/>
          </w:rPr>
          <w:tab/>
        </w:r>
        <w:r>
          <w:rPr>
            <w:webHidden/>
          </w:rPr>
          <w:fldChar w:fldCharType="begin"/>
        </w:r>
        <w:r w:rsidR="00374A58">
          <w:rPr>
            <w:webHidden/>
          </w:rPr>
          <w:instrText xml:space="preserve"> PAGEREF _Toc298763601 \h </w:instrText>
        </w:r>
        <w:r>
          <w:rPr>
            <w:webHidden/>
          </w:rPr>
        </w:r>
        <w:r>
          <w:rPr>
            <w:webHidden/>
          </w:rPr>
          <w:fldChar w:fldCharType="separate"/>
        </w:r>
        <w:r w:rsidR="0011749A">
          <w:rPr>
            <w:webHidden/>
          </w:rPr>
          <w:t>2</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02" w:history="1">
        <w:r w:rsidR="00374A58" w:rsidRPr="00E0327C">
          <w:rPr>
            <w:rStyle w:val="Hyperlink"/>
          </w:rPr>
          <w:t>A.2.2</w:t>
        </w:r>
        <w:r w:rsidR="00374A58">
          <w:rPr>
            <w:rFonts w:ascii="Calibri" w:hAnsi="Calibri" w:cs="Arial"/>
            <w:sz w:val="22"/>
            <w:szCs w:val="22"/>
          </w:rPr>
          <w:tab/>
        </w:r>
        <w:r w:rsidR="00374A58" w:rsidRPr="00E0327C">
          <w:rPr>
            <w:rStyle w:val="Hyperlink"/>
          </w:rPr>
          <w:t>Use by Academic Institutions</w:t>
        </w:r>
        <w:r w:rsidR="00374A58">
          <w:rPr>
            <w:webHidden/>
          </w:rPr>
          <w:tab/>
        </w:r>
        <w:r>
          <w:rPr>
            <w:webHidden/>
          </w:rPr>
          <w:fldChar w:fldCharType="begin"/>
        </w:r>
        <w:r w:rsidR="00374A58">
          <w:rPr>
            <w:webHidden/>
          </w:rPr>
          <w:instrText xml:space="preserve"> PAGEREF _Toc298763602 \h </w:instrText>
        </w:r>
        <w:r>
          <w:rPr>
            <w:webHidden/>
          </w:rPr>
        </w:r>
        <w:r>
          <w:rPr>
            <w:webHidden/>
          </w:rPr>
          <w:fldChar w:fldCharType="separate"/>
        </w:r>
        <w:r w:rsidR="0011749A">
          <w:rPr>
            <w:webHidden/>
          </w:rPr>
          <w:t>4</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03" w:history="1">
        <w:r w:rsidR="00374A58" w:rsidRPr="00E0327C">
          <w:rPr>
            <w:rStyle w:val="Hyperlink"/>
          </w:rPr>
          <w:t>A.2.3</w:t>
        </w:r>
        <w:r w:rsidR="00374A58">
          <w:rPr>
            <w:rFonts w:ascii="Calibri" w:hAnsi="Calibri" w:cs="Arial"/>
            <w:sz w:val="22"/>
            <w:szCs w:val="22"/>
          </w:rPr>
          <w:tab/>
        </w:r>
        <w:r w:rsidR="00374A58" w:rsidRPr="00E0327C">
          <w:rPr>
            <w:rStyle w:val="Hyperlink"/>
          </w:rPr>
          <w:t>Use by the Carnegie Foundation</w:t>
        </w:r>
        <w:r w:rsidR="00374A58">
          <w:rPr>
            <w:webHidden/>
          </w:rPr>
          <w:tab/>
        </w:r>
        <w:r>
          <w:rPr>
            <w:webHidden/>
          </w:rPr>
          <w:fldChar w:fldCharType="begin"/>
        </w:r>
        <w:r w:rsidR="00374A58">
          <w:rPr>
            <w:webHidden/>
          </w:rPr>
          <w:instrText xml:space="preserve"> PAGEREF _Toc298763603 \h </w:instrText>
        </w:r>
        <w:r>
          <w:rPr>
            <w:webHidden/>
          </w:rPr>
        </w:r>
        <w:r>
          <w:rPr>
            <w:webHidden/>
          </w:rPr>
          <w:fldChar w:fldCharType="separate"/>
        </w:r>
        <w:r w:rsidR="0011749A">
          <w:rPr>
            <w:webHidden/>
          </w:rPr>
          <w:t>4</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04" w:history="1">
        <w:r w:rsidR="00374A58" w:rsidRPr="00E0327C">
          <w:rPr>
            <w:rStyle w:val="Hyperlink"/>
          </w:rPr>
          <w:t>A.2.4</w:t>
        </w:r>
        <w:r w:rsidR="00374A58">
          <w:rPr>
            <w:rFonts w:ascii="Calibri" w:hAnsi="Calibri" w:cs="Arial"/>
            <w:sz w:val="22"/>
            <w:szCs w:val="22"/>
          </w:rPr>
          <w:tab/>
        </w:r>
        <w:r w:rsidR="00374A58" w:rsidRPr="00E0327C">
          <w:rPr>
            <w:rStyle w:val="Hyperlink"/>
          </w:rPr>
          <w:t>Professional Societies Uses</w:t>
        </w:r>
        <w:r w:rsidR="00374A58">
          <w:rPr>
            <w:webHidden/>
          </w:rPr>
          <w:tab/>
        </w:r>
        <w:r>
          <w:rPr>
            <w:webHidden/>
          </w:rPr>
          <w:fldChar w:fldCharType="begin"/>
        </w:r>
        <w:r w:rsidR="00374A58">
          <w:rPr>
            <w:webHidden/>
          </w:rPr>
          <w:instrText xml:space="preserve"> PAGEREF _Toc298763604 \h </w:instrText>
        </w:r>
        <w:r>
          <w:rPr>
            <w:webHidden/>
          </w:rPr>
        </w:r>
        <w:r>
          <w:rPr>
            <w:webHidden/>
          </w:rPr>
          <w:fldChar w:fldCharType="separate"/>
        </w:r>
        <w:r w:rsidR="0011749A">
          <w:rPr>
            <w:webHidden/>
          </w:rPr>
          <w:t>4</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05" w:history="1">
        <w:r w:rsidR="00374A58" w:rsidRPr="00E0327C">
          <w:rPr>
            <w:rStyle w:val="Hyperlink"/>
          </w:rPr>
          <w:t>A.2.5</w:t>
        </w:r>
        <w:r w:rsidR="00374A58">
          <w:rPr>
            <w:rFonts w:ascii="Calibri" w:hAnsi="Calibri" w:cs="Arial"/>
            <w:sz w:val="22"/>
            <w:szCs w:val="22"/>
          </w:rPr>
          <w:tab/>
        </w:r>
        <w:r w:rsidR="00374A58" w:rsidRPr="00E0327C">
          <w:rPr>
            <w:rStyle w:val="Hyperlink"/>
          </w:rPr>
          <w:t>Media Uses</w:t>
        </w:r>
        <w:r w:rsidR="00374A58">
          <w:rPr>
            <w:webHidden/>
          </w:rPr>
          <w:tab/>
        </w:r>
        <w:r>
          <w:rPr>
            <w:webHidden/>
          </w:rPr>
          <w:fldChar w:fldCharType="begin"/>
        </w:r>
        <w:r w:rsidR="00374A58">
          <w:rPr>
            <w:webHidden/>
          </w:rPr>
          <w:instrText xml:space="preserve"> PAGEREF _Toc298763605 \h </w:instrText>
        </w:r>
        <w:r>
          <w:rPr>
            <w:webHidden/>
          </w:rPr>
        </w:r>
        <w:r>
          <w:rPr>
            <w:webHidden/>
          </w:rPr>
          <w:fldChar w:fldCharType="separate"/>
        </w:r>
        <w:r w:rsidR="0011749A">
          <w:rPr>
            <w:webHidden/>
          </w:rPr>
          <w:t>5</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06" w:history="1">
        <w:r w:rsidR="00374A58" w:rsidRPr="00E0327C">
          <w:rPr>
            <w:rStyle w:val="Hyperlink"/>
          </w:rPr>
          <w:t>A.3</w:t>
        </w:r>
        <w:r w:rsidR="00374A58">
          <w:rPr>
            <w:rFonts w:ascii="Calibri" w:hAnsi="Calibri" w:cs="Arial"/>
            <w:sz w:val="22"/>
            <w:szCs w:val="22"/>
          </w:rPr>
          <w:tab/>
        </w:r>
        <w:r w:rsidR="00374A58" w:rsidRPr="00E0327C">
          <w:rPr>
            <w:rStyle w:val="Hyperlink"/>
          </w:rPr>
          <w:t>Consideration of Using Improved Technology</w:t>
        </w:r>
        <w:r w:rsidR="00374A58">
          <w:rPr>
            <w:webHidden/>
          </w:rPr>
          <w:tab/>
        </w:r>
        <w:r>
          <w:rPr>
            <w:webHidden/>
          </w:rPr>
          <w:fldChar w:fldCharType="begin"/>
        </w:r>
        <w:r w:rsidR="00374A58">
          <w:rPr>
            <w:webHidden/>
          </w:rPr>
          <w:instrText xml:space="preserve"> PAGEREF _Toc298763606 \h </w:instrText>
        </w:r>
        <w:r>
          <w:rPr>
            <w:webHidden/>
          </w:rPr>
        </w:r>
        <w:r>
          <w:rPr>
            <w:webHidden/>
          </w:rPr>
          <w:fldChar w:fldCharType="separate"/>
        </w:r>
        <w:r w:rsidR="0011749A">
          <w:rPr>
            <w:webHidden/>
          </w:rPr>
          <w:t>5</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07" w:history="1">
        <w:r w:rsidR="00374A58" w:rsidRPr="00E0327C">
          <w:rPr>
            <w:rStyle w:val="Hyperlink"/>
          </w:rPr>
          <w:t>A.4</w:t>
        </w:r>
        <w:r w:rsidR="00374A58">
          <w:rPr>
            <w:rFonts w:ascii="Calibri" w:hAnsi="Calibri" w:cs="Arial"/>
            <w:sz w:val="22"/>
            <w:szCs w:val="22"/>
          </w:rPr>
          <w:tab/>
        </w:r>
        <w:r w:rsidR="00374A58" w:rsidRPr="00E0327C">
          <w:rPr>
            <w:rStyle w:val="Hyperlink"/>
          </w:rPr>
          <w:t>Identification of Duplication</w:t>
        </w:r>
        <w:r w:rsidR="00374A58">
          <w:rPr>
            <w:webHidden/>
          </w:rPr>
          <w:tab/>
        </w:r>
        <w:r>
          <w:rPr>
            <w:webHidden/>
          </w:rPr>
          <w:fldChar w:fldCharType="begin"/>
        </w:r>
        <w:r w:rsidR="00374A58">
          <w:rPr>
            <w:webHidden/>
          </w:rPr>
          <w:instrText xml:space="preserve"> PAGEREF _Toc298763607 \h </w:instrText>
        </w:r>
        <w:r>
          <w:rPr>
            <w:webHidden/>
          </w:rPr>
        </w:r>
        <w:r>
          <w:rPr>
            <w:webHidden/>
          </w:rPr>
          <w:fldChar w:fldCharType="separate"/>
        </w:r>
        <w:r w:rsidR="0011749A">
          <w:rPr>
            <w:webHidden/>
          </w:rPr>
          <w:t>6</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08" w:history="1">
        <w:r w:rsidR="00374A58" w:rsidRPr="00E0327C">
          <w:rPr>
            <w:rStyle w:val="Hyperlink"/>
          </w:rPr>
          <w:t>A.5</w:t>
        </w:r>
        <w:r w:rsidR="00374A58">
          <w:rPr>
            <w:rFonts w:ascii="Calibri" w:hAnsi="Calibri" w:cs="Arial"/>
            <w:sz w:val="22"/>
            <w:szCs w:val="22"/>
          </w:rPr>
          <w:tab/>
        </w:r>
        <w:r w:rsidR="00374A58" w:rsidRPr="00E0327C">
          <w:rPr>
            <w:rStyle w:val="Hyperlink"/>
          </w:rPr>
          <w:t>Small Businesses Involvement</w:t>
        </w:r>
        <w:r w:rsidR="00374A58">
          <w:rPr>
            <w:webHidden/>
          </w:rPr>
          <w:tab/>
        </w:r>
        <w:r>
          <w:rPr>
            <w:webHidden/>
          </w:rPr>
          <w:fldChar w:fldCharType="begin"/>
        </w:r>
        <w:r w:rsidR="00374A58">
          <w:rPr>
            <w:webHidden/>
          </w:rPr>
          <w:instrText xml:space="preserve"> PAGEREF _Toc298763608 \h </w:instrText>
        </w:r>
        <w:r>
          <w:rPr>
            <w:webHidden/>
          </w:rPr>
        </w:r>
        <w:r>
          <w:rPr>
            <w:webHidden/>
          </w:rPr>
          <w:fldChar w:fldCharType="separate"/>
        </w:r>
        <w:r w:rsidR="0011749A">
          <w:rPr>
            <w:webHidden/>
          </w:rPr>
          <w:t>8</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09" w:history="1">
        <w:r w:rsidR="00374A58" w:rsidRPr="00E0327C">
          <w:rPr>
            <w:rStyle w:val="Hyperlink"/>
          </w:rPr>
          <w:t>A.6</w:t>
        </w:r>
        <w:r w:rsidR="00374A58">
          <w:rPr>
            <w:rFonts w:ascii="Calibri" w:hAnsi="Calibri" w:cs="Arial"/>
            <w:sz w:val="22"/>
            <w:szCs w:val="22"/>
          </w:rPr>
          <w:tab/>
        </w:r>
        <w:r w:rsidR="00374A58" w:rsidRPr="00E0327C">
          <w:rPr>
            <w:rStyle w:val="Hyperlink"/>
          </w:rPr>
          <w:t>Consequences of Less Frequent Surveying</w:t>
        </w:r>
        <w:r w:rsidR="00374A58">
          <w:rPr>
            <w:webHidden/>
          </w:rPr>
          <w:tab/>
        </w:r>
        <w:r>
          <w:rPr>
            <w:webHidden/>
          </w:rPr>
          <w:fldChar w:fldCharType="begin"/>
        </w:r>
        <w:r w:rsidR="00374A58">
          <w:rPr>
            <w:webHidden/>
          </w:rPr>
          <w:instrText xml:space="preserve"> PAGEREF _Toc298763609 \h </w:instrText>
        </w:r>
        <w:r>
          <w:rPr>
            <w:webHidden/>
          </w:rPr>
        </w:r>
        <w:r>
          <w:rPr>
            <w:webHidden/>
          </w:rPr>
          <w:fldChar w:fldCharType="separate"/>
        </w:r>
        <w:r w:rsidR="0011749A">
          <w:rPr>
            <w:webHidden/>
          </w:rPr>
          <w:t>8</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10" w:history="1">
        <w:r w:rsidR="00374A58" w:rsidRPr="00E0327C">
          <w:rPr>
            <w:rStyle w:val="Hyperlink"/>
          </w:rPr>
          <w:t>A.7</w:t>
        </w:r>
        <w:r w:rsidR="00374A58">
          <w:rPr>
            <w:rFonts w:ascii="Calibri" w:hAnsi="Calibri" w:cs="Arial"/>
            <w:sz w:val="22"/>
            <w:szCs w:val="22"/>
          </w:rPr>
          <w:tab/>
        </w:r>
        <w:r w:rsidR="00374A58" w:rsidRPr="00E0327C">
          <w:rPr>
            <w:rStyle w:val="Hyperlink"/>
          </w:rPr>
          <w:t>Special Circumstances</w:t>
        </w:r>
        <w:r w:rsidR="00374A58">
          <w:rPr>
            <w:webHidden/>
          </w:rPr>
          <w:tab/>
        </w:r>
        <w:r>
          <w:rPr>
            <w:webHidden/>
          </w:rPr>
          <w:fldChar w:fldCharType="begin"/>
        </w:r>
        <w:r w:rsidR="00374A58">
          <w:rPr>
            <w:webHidden/>
          </w:rPr>
          <w:instrText xml:space="preserve"> PAGEREF _Toc298763610 \h </w:instrText>
        </w:r>
        <w:r>
          <w:rPr>
            <w:webHidden/>
          </w:rPr>
        </w:r>
        <w:r>
          <w:rPr>
            <w:webHidden/>
          </w:rPr>
          <w:fldChar w:fldCharType="separate"/>
        </w:r>
        <w:r w:rsidR="0011749A">
          <w:rPr>
            <w:webHidden/>
          </w:rPr>
          <w:t>9</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11" w:history="1">
        <w:r w:rsidR="00374A58" w:rsidRPr="00E0327C">
          <w:rPr>
            <w:rStyle w:val="Hyperlink"/>
          </w:rPr>
          <w:t>A.8</w:t>
        </w:r>
        <w:r w:rsidR="00374A58">
          <w:rPr>
            <w:rFonts w:ascii="Calibri" w:hAnsi="Calibri" w:cs="Arial"/>
            <w:sz w:val="22"/>
            <w:szCs w:val="22"/>
          </w:rPr>
          <w:tab/>
        </w:r>
        <w:r w:rsidR="00374A58" w:rsidRPr="00E0327C">
          <w:rPr>
            <w:rStyle w:val="Hyperlink"/>
          </w:rPr>
          <w:t>Federal Register Notice and Consultations with Persons outside the Agency</w:t>
        </w:r>
        <w:r w:rsidR="00374A58">
          <w:rPr>
            <w:webHidden/>
          </w:rPr>
          <w:tab/>
        </w:r>
        <w:r>
          <w:rPr>
            <w:webHidden/>
          </w:rPr>
          <w:fldChar w:fldCharType="begin"/>
        </w:r>
        <w:r w:rsidR="00374A58">
          <w:rPr>
            <w:webHidden/>
          </w:rPr>
          <w:instrText xml:space="preserve"> PAGEREF _Toc298763611 \h </w:instrText>
        </w:r>
        <w:r>
          <w:rPr>
            <w:webHidden/>
          </w:rPr>
        </w:r>
        <w:r>
          <w:rPr>
            <w:webHidden/>
          </w:rPr>
          <w:fldChar w:fldCharType="separate"/>
        </w:r>
        <w:r w:rsidR="0011749A">
          <w:rPr>
            <w:webHidden/>
          </w:rPr>
          <w:t>9</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12" w:history="1">
        <w:r w:rsidR="00374A58" w:rsidRPr="00E0327C">
          <w:rPr>
            <w:rStyle w:val="Hyperlink"/>
          </w:rPr>
          <w:t>A.9</w:t>
        </w:r>
        <w:r w:rsidR="00374A58">
          <w:rPr>
            <w:rFonts w:ascii="Calibri" w:hAnsi="Calibri" w:cs="Arial"/>
            <w:sz w:val="22"/>
            <w:szCs w:val="22"/>
          </w:rPr>
          <w:tab/>
        </w:r>
        <w:r w:rsidR="00374A58" w:rsidRPr="00E0327C">
          <w:rPr>
            <w:rStyle w:val="Hyperlink"/>
          </w:rPr>
          <w:t>Payment or Gifts to Nonrespondents</w:t>
        </w:r>
        <w:r w:rsidR="00374A58">
          <w:rPr>
            <w:webHidden/>
          </w:rPr>
          <w:tab/>
        </w:r>
        <w:r>
          <w:rPr>
            <w:webHidden/>
          </w:rPr>
          <w:fldChar w:fldCharType="begin"/>
        </w:r>
        <w:r w:rsidR="00374A58">
          <w:rPr>
            <w:webHidden/>
          </w:rPr>
          <w:instrText xml:space="preserve"> PAGEREF _Toc298763612 \h </w:instrText>
        </w:r>
        <w:r>
          <w:rPr>
            <w:webHidden/>
          </w:rPr>
        </w:r>
        <w:r>
          <w:rPr>
            <w:webHidden/>
          </w:rPr>
          <w:fldChar w:fldCharType="separate"/>
        </w:r>
        <w:r w:rsidR="0011749A">
          <w:rPr>
            <w:webHidden/>
          </w:rPr>
          <w:t>10</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13" w:history="1">
        <w:r w:rsidR="00374A58" w:rsidRPr="00E0327C">
          <w:rPr>
            <w:rStyle w:val="Hyperlink"/>
          </w:rPr>
          <w:t>A.10</w:t>
        </w:r>
        <w:r w:rsidR="00374A58">
          <w:rPr>
            <w:rFonts w:ascii="Calibri" w:hAnsi="Calibri" w:cs="Arial"/>
            <w:sz w:val="22"/>
            <w:szCs w:val="22"/>
          </w:rPr>
          <w:tab/>
        </w:r>
        <w:r w:rsidR="00374A58" w:rsidRPr="00E0327C">
          <w:rPr>
            <w:rStyle w:val="Hyperlink"/>
          </w:rPr>
          <w:t>Assurance of Confidentiality</w:t>
        </w:r>
        <w:r w:rsidR="00374A58">
          <w:rPr>
            <w:webHidden/>
          </w:rPr>
          <w:tab/>
        </w:r>
        <w:r>
          <w:rPr>
            <w:webHidden/>
          </w:rPr>
          <w:fldChar w:fldCharType="begin"/>
        </w:r>
        <w:r w:rsidR="00374A58">
          <w:rPr>
            <w:webHidden/>
          </w:rPr>
          <w:instrText xml:space="preserve"> PAGEREF _Toc298763613 \h </w:instrText>
        </w:r>
        <w:r>
          <w:rPr>
            <w:webHidden/>
          </w:rPr>
        </w:r>
        <w:r>
          <w:rPr>
            <w:webHidden/>
          </w:rPr>
          <w:fldChar w:fldCharType="separate"/>
        </w:r>
        <w:r w:rsidR="0011749A">
          <w:rPr>
            <w:webHidden/>
          </w:rPr>
          <w:t>10</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14" w:history="1">
        <w:r w:rsidR="00374A58" w:rsidRPr="00E0327C">
          <w:rPr>
            <w:rStyle w:val="Hyperlink"/>
          </w:rPr>
          <w:t>A.11</w:t>
        </w:r>
        <w:r w:rsidR="00374A58">
          <w:rPr>
            <w:rFonts w:ascii="Calibri" w:hAnsi="Calibri" w:cs="Arial"/>
            <w:sz w:val="22"/>
            <w:szCs w:val="22"/>
          </w:rPr>
          <w:tab/>
        </w:r>
        <w:r w:rsidR="00374A58" w:rsidRPr="00E0327C">
          <w:rPr>
            <w:rStyle w:val="Hyperlink"/>
          </w:rPr>
          <w:t>Sensitive Questions</w:t>
        </w:r>
        <w:r w:rsidR="00374A58">
          <w:rPr>
            <w:webHidden/>
          </w:rPr>
          <w:tab/>
        </w:r>
        <w:r>
          <w:rPr>
            <w:webHidden/>
          </w:rPr>
          <w:fldChar w:fldCharType="begin"/>
        </w:r>
        <w:r w:rsidR="00374A58">
          <w:rPr>
            <w:webHidden/>
          </w:rPr>
          <w:instrText xml:space="preserve"> PAGEREF _Toc298763614 \h </w:instrText>
        </w:r>
        <w:r>
          <w:rPr>
            <w:webHidden/>
          </w:rPr>
        </w:r>
        <w:r>
          <w:rPr>
            <w:webHidden/>
          </w:rPr>
          <w:fldChar w:fldCharType="separate"/>
        </w:r>
        <w:r w:rsidR="0011749A">
          <w:rPr>
            <w:webHidden/>
          </w:rPr>
          <w:t>10</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15" w:history="1">
        <w:r w:rsidR="00374A58" w:rsidRPr="00E0327C">
          <w:rPr>
            <w:rStyle w:val="Hyperlink"/>
          </w:rPr>
          <w:t>A.12</w:t>
        </w:r>
        <w:r w:rsidR="00374A58">
          <w:rPr>
            <w:rFonts w:ascii="Calibri" w:hAnsi="Calibri" w:cs="Arial"/>
            <w:sz w:val="22"/>
            <w:szCs w:val="22"/>
          </w:rPr>
          <w:tab/>
        </w:r>
        <w:r w:rsidR="00374A58" w:rsidRPr="00E0327C">
          <w:rPr>
            <w:rStyle w:val="Hyperlink"/>
          </w:rPr>
          <w:t>Estimated Response Burden</w:t>
        </w:r>
        <w:r w:rsidR="00374A58">
          <w:rPr>
            <w:webHidden/>
          </w:rPr>
          <w:tab/>
        </w:r>
        <w:r>
          <w:rPr>
            <w:webHidden/>
          </w:rPr>
          <w:fldChar w:fldCharType="begin"/>
        </w:r>
        <w:r w:rsidR="00374A58">
          <w:rPr>
            <w:webHidden/>
          </w:rPr>
          <w:instrText xml:space="preserve"> PAGEREF _Toc298763615 \h </w:instrText>
        </w:r>
        <w:r>
          <w:rPr>
            <w:webHidden/>
          </w:rPr>
        </w:r>
        <w:r>
          <w:rPr>
            <w:webHidden/>
          </w:rPr>
          <w:fldChar w:fldCharType="separate"/>
        </w:r>
        <w:r w:rsidR="0011749A">
          <w:rPr>
            <w:webHidden/>
          </w:rPr>
          <w:t>10</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16" w:history="1">
        <w:r w:rsidR="00374A58" w:rsidRPr="00E0327C">
          <w:rPr>
            <w:rStyle w:val="Hyperlink"/>
          </w:rPr>
          <w:t>A.13</w:t>
        </w:r>
        <w:r w:rsidR="00374A58">
          <w:rPr>
            <w:rFonts w:ascii="Calibri" w:hAnsi="Calibri" w:cs="Arial"/>
            <w:sz w:val="22"/>
            <w:szCs w:val="22"/>
          </w:rPr>
          <w:tab/>
        </w:r>
        <w:r w:rsidR="00374A58" w:rsidRPr="00E0327C">
          <w:rPr>
            <w:rStyle w:val="Hyperlink"/>
          </w:rPr>
          <w:t>Cost of Respondents</w:t>
        </w:r>
        <w:r w:rsidR="00374A58">
          <w:rPr>
            <w:webHidden/>
          </w:rPr>
          <w:tab/>
        </w:r>
        <w:r>
          <w:rPr>
            <w:webHidden/>
          </w:rPr>
          <w:fldChar w:fldCharType="begin"/>
        </w:r>
        <w:r w:rsidR="00374A58">
          <w:rPr>
            <w:webHidden/>
          </w:rPr>
          <w:instrText xml:space="preserve"> PAGEREF _Toc298763616 \h </w:instrText>
        </w:r>
        <w:r>
          <w:rPr>
            <w:webHidden/>
          </w:rPr>
        </w:r>
        <w:r>
          <w:rPr>
            <w:webHidden/>
          </w:rPr>
          <w:fldChar w:fldCharType="separate"/>
        </w:r>
        <w:r w:rsidR="0011749A">
          <w:rPr>
            <w:webHidden/>
          </w:rPr>
          <w:t>12</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17" w:history="1">
        <w:r w:rsidR="00374A58" w:rsidRPr="00E0327C">
          <w:rPr>
            <w:rStyle w:val="Hyperlink"/>
          </w:rPr>
          <w:t>A.14</w:t>
        </w:r>
        <w:r w:rsidR="00374A58">
          <w:rPr>
            <w:rFonts w:ascii="Calibri" w:hAnsi="Calibri" w:cs="Arial"/>
            <w:sz w:val="22"/>
            <w:szCs w:val="22"/>
          </w:rPr>
          <w:tab/>
        </w:r>
        <w:r w:rsidR="00374A58" w:rsidRPr="00E0327C">
          <w:rPr>
            <w:rStyle w:val="Hyperlink"/>
          </w:rPr>
          <w:t>Cost to the Federal Government</w:t>
        </w:r>
        <w:r w:rsidR="00374A58">
          <w:rPr>
            <w:webHidden/>
          </w:rPr>
          <w:tab/>
        </w:r>
        <w:r>
          <w:rPr>
            <w:webHidden/>
          </w:rPr>
          <w:fldChar w:fldCharType="begin"/>
        </w:r>
        <w:r w:rsidR="00374A58">
          <w:rPr>
            <w:webHidden/>
          </w:rPr>
          <w:instrText xml:space="preserve"> PAGEREF _Toc298763617 \h </w:instrText>
        </w:r>
        <w:r>
          <w:rPr>
            <w:webHidden/>
          </w:rPr>
        </w:r>
        <w:r>
          <w:rPr>
            <w:webHidden/>
          </w:rPr>
          <w:fldChar w:fldCharType="separate"/>
        </w:r>
        <w:r w:rsidR="0011749A">
          <w:rPr>
            <w:webHidden/>
          </w:rPr>
          <w:t>12</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18" w:history="1">
        <w:r w:rsidR="00374A58" w:rsidRPr="00E0327C">
          <w:rPr>
            <w:rStyle w:val="Hyperlink"/>
          </w:rPr>
          <w:t>A.15</w:t>
        </w:r>
        <w:r w:rsidR="00374A58">
          <w:rPr>
            <w:rFonts w:ascii="Calibri" w:hAnsi="Calibri" w:cs="Arial"/>
            <w:sz w:val="22"/>
            <w:szCs w:val="22"/>
          </w:rPr>
          <w:tab/>
        </w:r>
        <w:r w:rsidR="00374A58" w:rsidRPr="00E0327C">
          <w:rPr>
            <w:rStyle w:val="Hyperlink"/>
          </w:rPr>
          <w:t>Changes in Burden</w:t>
        </w:r>
        <w:r w:rsidR="00374A58">
          <w:rPr>
            <w:webHidden/>
          </w:rPr>
          <w:tab/>
        </w:r>
        <w:r>
          <w:rPr>
            <w:webHidden/>
          </w:rPr>
          <w:fldChar w:fldCharType="begin"/>
        </w:r>
        <w:r w:rsidR="00374A58">
          <w:rPr>
            <w:webHidden/>
          </w:rPr>
          <w:instrText xml:space="preserve"> PAGEREF _Toc298763618 \h </w:instrText>
        </w:r>
        <w:r>
          <w:rPr>
            <w:webHidden/>
          </w:rPr>
        </w:r>
        <w:r>
          <w:rPr>
            <w:webHidden/>
          </w:rPr>
          <w:fldChar w:fldCharType="separate"/>
        </w:r>
        <w:r w:rsidR="0011749A">
          <w:rPr>
            <w:webHidden/>
          </w:rPr>
          <w:t>13</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19" w:history="1">
        <w:r w:rsidR="00374A58" w:rsidRPr="00E0327C">
          <w:rPr>
            <w:rStyle w:val="Hyperlink"/>
          </w:rPr>
          <w:t>A.16</w:t>
        </w:r>
        <w:r w:rsidR="00374A58">
          <w:rPr>
            <w:rFonts w:ascii="Calibri" w:hAnsi="Calibri" w:cs="Arial"/>
            <w:sz w:val="22"/>
            <w:szCs w:val="22"/>
          </w:rPr>
          <w:tab/>
        </w:r>
        <w:r w:rsidR="00374A58" w:rsidRPr="00E0327C">
          <w:rPr>
            <w:rStyle w:val="Hyperlink"/>
          </w:rPr>
          <w:t>Project Schedule for Information Collection and Publication</w:t>
        </w:r>
        <w:r w:rsidR="00374A58">
          <w:rPr>
            <w:webHidden/>
          </w:rPr>
          <w:tab/>
        </w:r>
        <w:r>
          <w:rPr>
            <w:webHidden/>
          </w:rPr>
          <w:fldChar w:fldCharType="begin"/>
        </w:r>
        <w:r w:rsidR="00374A58">
          <w:rPr>
            <w:webHidden/>
          </w:rPr>
          <w:instrText xml:space="preserve"> PAGEREF _Toc298763619 \h </w:instrText>
        </w:r>
        <w:r>
          <w:rPr>
            <w:webHidden/>
          </w:rPr>
        </w:r>
        <w:r>
          <w:rPr>
            <w:webHidden/>
          </w:rPr>
          <w:fldChar w:fldCharType="separate"/>
        </w:r>
        <w:r w:rsidR="0011749A">
          <w:rPr>
            <w:webHidden/>
          </w:rPr>
          <w:t>13</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20" w:history="1">
        <w:r w:rsidR="00374A58" w:rsidRPr="00E0327C">
          <w:rPr>
            <w:rStyle w:val="Hyperlink"/>
          </w:rPr>
          <w:t>A.17</w:t>
        </w:r>
        <w:r w:rsidR="00374A58">
          <w:rPr>
            <w:rFonts w:ascii="Calibri" w:hAnsi="Calibri" w:cs="Arial"/>
            <w:sz w:val="22"/>
            <w:szCs w:val="22"/>
          </w:rPr>
          <w:tab/>
        </w:r>
        <w:r w:rsidR="00374A58" w:rsidRPr="00E0327C">
          <w:rPr>
            <w:rStyle w:val="Hyperlink"/>
          </w:rPr>
          <w:t>Displaying the OMB Expiration Date</w:t>
        </w:r>
        <w:r w:rsidR="00374A58">
          <w:rPr>
            <w:webHidden/>
          </w:rPr>
          <w:tab/>
        </w:r>
        <w:r>
          <w:rPr>
            <w:webHidden/>
          </w:rPr>
          <w:fldChar w:fldCharType="begin"/>
        </w:r>
        <w:r w:rsidR="00374A58">
          <w:rPr>
            <w:webHidden/>
          </w:rPr>
          <w:instrText xml:space="preserve"> PAGEREF _Toc298763620 \h </w:instrText>
        </w:r>
        <w:r>
          <w:rPr>
            <w:webHidden/>
          </w:rPr>
        </w:r>
        <w:r>
          <w:rPr>
            <w:webHidden/>
          </w:rPr>
          <w:fldChar w:fldCharType="separate"/>
        </w:r>
        <w:r w:rsidR="0011749A">
          <w:rPr>
            <w:webHidden/>
          </w:rPr>
          <w:t>13</w:t>
        </w:r>
        <w:r>
          <w:rPr>
            <w:webHidden/>
          </w:rPr>
          <w:fldChar w:fldCharType="end"/>
        </w:r>
      </w:hyperlink>
    </w:p>
    <w:p w:rsidR="00374A58" w:rsidRDefault="00617FAF">
      <w:pPr>
        <w:pStyle w:val="TOC2"/>
        <w:tabs>
          <w:tab w:val="left" w:pos="2160"/>
        </w:tabs>
        <w:rPr>
          <w:rFonts w:ascii="Calibri" w:hAnsi="Calibri" w:cs="Arial"/>
          <w:sz w:val="22"/>
          <w:szCs w:val="22"/>
        </w:rPr>
      </w:pPr>
      <w:hyperlink w:anchor="_Toc298763621" w:history="1">
        <w:r w:rsidR="00374A58" w:rsidRPr="00E0327C">
          <w:rPr>
            <w:rStyle w:val="Hyperlink"/>
          </w:rPr>
          <w:t>A.18</w:t>
        </w:r>
        <w:r w:rsidR="00374A58">
          <w:rPr>
            <w:rFonts w:ascii="Calibri" w:hAnsi="Calibri" w:cs="Arial"/>
            <w:sz w:val="22"/>
            <w:szCs w:val="22"/>
          </w:rPr>
          <w:tab/>
        </w:r>
        <w:r w:rsidR="00374A58" w:rsidRPr="00E0327C">
          <w:rPr>
            <w:rStyle w:val="Hyperlink"/>
          </w:rPr>
          <w:t>Exceptions in Item 19 on Form 83-1</w:t>
        </w:r>
        <w:r w:rsidR="00374A58">
          <w:rPr>
            <w:webHidden/>
          </w:rPr>
          <w:tab/>
        </w:r>
        <w:r>
          <w:rPr>
            <w:webHidden/>
          </w:rPr>
          <w:fldChar w:fldCharType="begin"/>
        </w:r>
        <w:r w:rsidR="00374A58">
          <w:rPr>
            <w:webHidden/>
          </w:rPr>
          <w:instrText xml:space="preserve"> PAGEREF _Toc298763621 \h </w:instrText>
        </w:r>
        <w:r>
          <w:rPr>
            <w:webHidden/>
          </w:rPr>
        </w:r>
        <w:r>
          <w:rPr>
            <w:webHidden/>
          </w:rPr>
          <w:fldChar w:fldCharType="separate"/>
        </w:r>
        <w:r w:rsidR="0011749A">
          <w:rPr>
            <w:webHidden/>
          </w:rPr>
          <w:t>14</w:t>
        </w:r>
        <w:r>
          <w:rPr>
            <w:webHidden/>
          </w:rPr>
          <w:fldChar w:fldCharType="end"/>
        </w:r>
      </w:hyperlink>
    </w:p>
    <w:p w:rsidR="00374A58" w:rsidRDefault="00617FAF">
      <w:pPr>
        <w:pStyle w:val="TOC1"/>
        <w:tabs>
          <w:tab w:val="left" w:pos="1350"/>
        </w:tabs>
        <w:rPr>
          <w:rFonts w:ascii="Calibri" w:hAnsi="Calibri" w:cs="Arial"/>
          <w:sz w:val="22"/>
          <w:szCs w:val="22"/>
        </w:rPr>
      </w:pPr>
      <w:hyperlink w:anchor="_Toc298763622" w:history="1">
        <w:r w:rsidR="00374A58" w:rsidRPr="00E0327C">
          <w:rPr>
            <w:rStyle w:val="Hyperlink"/>
          </w:rPr>
          <w:t>B.</w:t>
        </w:r>
        <w:r w:rsidR="00374A58">
          <w:rPr>
            <w:rFonts w:ascii="Calibri" w:hAnsi="Calibri" w:cs="Arial"/>
            <w:sz w:val="22"/>
            <w:szCs w:val="22"/>
          </w:rPr>
          <w:tab/>
        </w:r>
        <w:r w:rsidR="00374A58" w:rsidRPr="00E0327C">
          <w:rPr>
            <w:rStyle w:val="Hyperlink"/>
          </w:rPr>
          <w:t>Collection of Information Employing Statistical Methods</w:t>
        </w:r>
        <w:r w:rsidR="00374A58">
          <w:rPr>
            <w:webHidden/>
          </w:rPr>
          <w:tab/>
        </w:r>
        <w:r>
          <w:rPr>
            <w:webHidden/>
          </w:rPr>
          <w:fldChar w:fldCharType="begin"/>
        </w:r>
        <w:r w:rsidR="00374A58">
          <w:rPr>
            <w:webHidden/>
          </w:rPr>
          <w:instrText xml:space="preserve"> PAGEREF _Toc298763622 \h </w:instrText>
        </w:r>
        <w:r>
          <w:rPr>
            <w:webHidden/>
          </w:rPr>
        </w:r>
        <w:r>
          <w:rPr>
            <w:webHidden/>
          </w:rPr>
          <w:fldChar w:fldCharType="separate"/>
        </w:r>
        <w:r w:rsidR="0011749A">
          <w:rPr>
            <w:webHidden/>
          </w:rPr>
          <w:t>15</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23" w:history="1">
        <w:r w:rsidR="00374A58" w:rsidRPr="00E0327C">
          <w:rPr>
            <w:rStyle w:val="Hyperlink"/>
          </w:rPr>
          <w:t>B.1</w:t>
        </w:r>
        <w:r w:rsidR="00374A58">
          <w:rPr>
            <w:rFonts w:ascii="Calibri" w:hAnsi="Calibri" w:cs="Arial"/>
            <w:sz w:val="22"/>
            <w:szCs w:val="22"/>
          </w:rPr>
          <w:tab/>
        </w:r>
        <w:r w:rsidR="00374A58" w:rsidRPr="00E0327C">
          <w:rPr>
            <w:rStyle w:val="Hyperlink"/>
          </w:rPr>
          <w:t>Respondent Universe and Sampling Procedure</w:t>
        </w:r>
        <w:r w:rsidR="00374A58">
          <w:rPr>
            <w:webHidden/>
          </w:rPr>
          <w:tab/>
        </w:r>
        <w:r>
          <w:rPr>
            <w:webHidden/>
          </w:rPr>
          <w:fldChar w:fldCharType="begin"/>
        </w:r>
        <w:r w:rsidR="00374A58">
          <w:rPr>
            <w:webHidden/>
          </w:rPr>
          <w:instrText xml:space="preserve"> PAGEREF _Toc298763623 \h </w:instrText>
        </w:r>
        <w:r>
          <w:rPr>
            <w:webHidden/>
          </w:rPr>
        </w:r>
        <w:r>
          <w:rPr>
            <w:webHidden/>
          </w:rPr>
          <w:fldChar w:fldCharType="separate"/>
        </w:r>
        <w:r w:rsidR="0011749A">
          <w:rPr>
            <w:webHidden/>
          </w:rPr>
          <w:t>15</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24" w:history="1">
        <w:r w:rsidR="00374A58" w:rsidRPr="00E0327C">
          <w:rPr>
            <w:rStyle w:val="Hyperlink"/>
          </w:rPr>
          <w:t>B.1.1</w:t>
        </w:r>
        <w:r w:rsidR="00374A58">
          <w:rPr>
            <w:rFonts w:ascii="Calibri" w:hAnsi="Calibri" w:cs="Arial"/>
            <w:sz w:val="22"/>
            <w:szCs w:val="22"/>
          </w:rPr>
          <w:tab/>
        </w:r>
        <w:r w:rsidR="00374A58" w:rsidRPr="00E0327C">
          <w:rPr>
            <w:rStyle w:val="Hyperlink"/>
          </w:rPr>
          <w:t>Discussion of Institutional Frame</w:t>
        </w:r>
        <w:r w:rsidR="00374A58">
          <w:rPr>
            <w:webHidden/>
          </w:rPr>
          <w:tab/>
        </w:r>
        <w:r>
          <w:rPr>
            <w:webHidden/>
          </w:rPr>
          <w:fldChar w:fldCharType="begin"/>
        </w:r>
        <w:r w:rsidR="00374A58">
          <w:rPr>
            <w:webHidden/>
          </w:rPr>
          <w:instrText xml:space="preserve"> PAGEREF _Toc298763624 \h </w:instrText>
        </w:r>
        <w:r>
          <w:rPr>
            <w:webHidden/>
          </w:rPr>
        </w:r>
        <w:r>
          <w:rPr>
            <w:webHidden/>
          </w:rPr>
          <w:fldChar w:fldCharType="separate"/>
        </w:r>
        <w:r w:rsidR="0011749A">
          <w:rPr>
            <w:webHidden/>
          </w:rPr>
          <w:t>15</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25" w:history="1">
        <w:r w:rsidR="00374A58" w:rsidRPr="00E0327C">
          <w:rPr>
            <w:rStyle w:val="Hyperlink"/>
          </w:rPr>
          <w:t>B.2</w:t>
        </w:r>
        <w:r w:rsidR="00374A58">
          <w:rPr>
            <w:rFonts w:ascii="Calibri" w:hAnsi="Calibri" w:cs="Arial"/>
            <w:sz w:val="22"/>
            <w:szCs w:val="22"/>
          </w:rPr>
          <w:tab/>
        </w:r>
        <w:r w:rsidR="00374A58" w:rsidRPr="00E0327C">
          <w:rPr>
            <w:rStyle w:val="Hyperlink"/>
          </w:rPr>
          <w:t>Description of Survey Methodology and Statistical Procedures</w:t>
        </w:r>
        <w:r w:rsidR="00374A58">
          <w:rPr>
            <w:webHidden/>
          </w:rPr>
          <w:tab/>
        </w:r>
        <w:r>
          <w:rPr>
            <w:webHidden/>
          </w:rPr>
          <w:fldChar w:fldCharType="begin"/>
        </w:r>
        <w:r w:rsidR="00374A58">
          <w:rPr>
            <w:webHidden/>
          </w:rPr>
          <w:instrText xml:space="preserve"> PAGEREF _Toc298763625 \h </w:instrText>
        </w:r>
        <w:r>
          <w:rPr>
            <w:webHidden/>
          </w:rPr>
        </w:r>
        <w:r>
          <w:rPr>
            <w:webHidden/>
          </w:rPr>
          <w:fldChar w:fldCharType="separate"/>
        </w:r>
        <w:r w:rsidR="0011749A">
          <w:rPr>
            <w:webHidden/>
          </w:rPr>
          <w:t>16</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26" w:history="1">
        <w:r w:rsidR="00374A58" w:rsidRPr="00E0327C">
          <w:rPr>
            <w:rStyle w:val="Hyperlink"/>
          </w:rPr>
          <w:t>B.2.1</w:t>
        </w:r>
        <w:r w:rsidR="00374A58">
          <w:rPr>
            <w:rFonts w:ascii="Calibri" w:hAnsi="Calibri" w:cs="Arial"/>
            <w:sz w:val="22"/>
            <w:szCs w:val="22"/>
          </w:rPr>
          <w:tab/>
        </w:r>
        <w:r w:rsidR="00374A58" w:rsidRPr="00E0327C">
          <w:rPr>
            <w:rStyle w:val="Hyperlink"/>
          </w:rPr>
          <w:t>Imputation for Item Nonresponse in the GSS</w:t>
        </w:r>
        <w:r w:rsidR="00374A58">
          <w:rPr>
            <w:webHidden/>
          </w:rPr>
          <w:tab/>
        </w:r>
        <w:r>
          <w:rPr>
            <w:webHidden/>
          </w:rPr>
          <w:fldChar w:fldCharType="begin"/>
        </w:r>
        <w:r w:rsidR="00374A58">
          <w:rPr>
            <w:webHidden/>
          </w:rPr>
          <w:instrText xml:space="preserve"> PAGEREF _Toc298763626 \h </w:instrText>
        </w:r>
        <w:r>
          <w:rPr>
            <w:webHidden/>
          </w:rPr>
        </w:r>
        <w:r>
          <w:rPr>
            <w:webHidden/>
          </w:rPr>
          <w:fldChar w:fldCharType="separate"/>
        </w:r>
        <w:r w:rsidR="0011749A">
          <w:rPr>
            <w:webHidden/>
          </w:rPr>
          <w:t>17</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27" w:history="1">
        <w:r w:rsidR="00374A58" w:rsidRPr="00E0327C">
          <w:rPr>
            <w:rStyle w:val="Hyperlink"/>
          </w:rPr>
          <w:t>B.3</w:t>
        </w:r>
        <w:r w:rsidR="00374A58">
          <w:rPr>
            <w:rFonts w:ascii="Calibri" w:hAnsi="Calibri" w:cs="Arial"/>
            <w:sz w:val="22"/>
            <w:szCs w:val="22"/>
          </w:rPr>
          <w:tab/>
        </w:r>
        <w:r w:rsidR="00374A58" w:rsidRPr="00E0327C">
          <w:rPr>
            <w:rStyle w:val="Hyperlink"/>
          </w:rPr>
          <w:t>Methods Used To Maximize Response Rate</w:t>
        </w:r>
        <w:r w:rsidR="00374A58">
          <w:rPr>
            <w:webHidden/>
          </w:rPr>
          <w:tab/>
        </w:r>
        <w:r>
          <w:rPr>
            <w:webHidden/>
          </w:rPr>
          <w:fldChar w:fldCharType="begin"/>
        </w:r>
        <w:r w:rsidR="00374A58">
          <w:rPr>
            <w:webHidden/>
          </w:rPr>
          <w:instrText xml:space="preserve"> PAGEREF _Toc298763627 \h </w:instrText>
        </w:r>
        <w:r>
          <w:rPr>
            <w:webHidden/>
          </w:rPr>
        </w:r>
        <w:r>
          <w:rPr>
            <w:webHidden/>
          </w:rPr>
          <w:fldChar w:fldCharType="separate"/>
        </w:r>
        <w:r w:rsidR="0011749A">
          <w:rPr>
            <w:webHidden/>
          </w:rPr>
          <w:t>20</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28" w:history="1">
        <w:r w:rsidR="00374A58" w:rsidRPr="00E0327C">
          <w:rPr>
            <w:rStyle w:val="Hyperlink"/>
          </w:rPr>
          <w:t>B.4</w:t>
        </w:r>
        <w:r w:rsidR="00374A58">
          <w:rPr>
            <w:rFonts w:ascii="Calibri" w:hAnsi="Calibri" w:cs="Arial"/>
            <w:sz w:val="22"/>
            <w:szCs w:val="22"/>
          </w:rPr>
          <w:tab/>
        </w:r>
        <w:r w:rsidR="00374A58" w:rsidRPr="00E0327C">
          <w:rPr>
            <w:rStyle w:val="Hyperlink"/>
          </w:rPr>
          <w:t>Testing of Procedures</w:t>
        </w:r>
        <w:r w:rsidR="00374A58">
          <w:rPr>
            <w:webHidden/>
          </w:rPr>
          <w:tab/>
        </w:r>
        <w:r>
          <w:rPr>
            <w:webHidden/>
          </w:rPr>
          <w:fldChar w:fldCharType="begin"/>
        </w:r>
        <w:r w:rsidR="00374A58">
          <w:rPr>
            <w:webHidden/>
          </w:rPr>
          <w:instrText xml:space="preserve"> PAGEREF _Toc298763628 \h </w:instrText>
        </w:r>
        <w:r>
          <w:rPr>
            <w:webHidden/>
          </w:rPr>
        </w:r>
        <w:r>
          <w:rPr>
            <w:webHidden/>
          </w:rPr>
          <w:fldChar w:fldCharType="separate"/>
        </w:r>
        <w:r w:rsidR="0011749A">
          <w:rPr>
            <w:webHidden/>
          </w:rPr>
          <w:t>21</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29" w:history="1">
        <w:r w:rsidR="00374A58" w:rsidRPr="00E0327C">
          <w:rPr>
            <w:rStyle w:val="Hyperlink"/>
          </w:rPr>
          <w:t>B.4.1</w:t>
        </w:r>
        <w:r w:rsidR="00374A58">
          <w:rPr>
            <w:rFonts w:ascii="Calibri" w:hAnsi="Calibri" w:cs="Arial"/>
            <w:sz w:val="22"/>
            <w:szCs w:val="22"/>
          </w:rPr>
          <w:tab/>
        </w:r>
        <w:r w:rsidR="00374A58" w:rsidRPr="00E0327C">
          <w:rPr>
            <w:rStyle w:val="Hyperlink"/>
          </w:rPr>
          <w:t>Tests of Survey Procedures</w:t>
        </w:r>
        <w:r w:rsidR="00374A58">
          <w:rPr>
            <w:webHidden/>
          </w:rPr>
          <w:tab/>
        </w:r>
        <w:r>
          <w:rPr>
            <w:webHidden/>
          </w:rPr>
          <w:fldChar w:fldCharType="begin"/>
        </w:r>
        <w:r w:rsidR="00374A58">
          <w:rPr>
            <w:webHidden/>
          </w:rPr>
          <w:instrText xml:space="preserve"> PAGEREF _Toc298763629 \h </w:instrText>
        </w:r>
        <w:r>
          <w:rPr>
            <w:webHidden/>
          </w:rPr>
        </w:r>
        <w:r>
          <w:rPr>
            <w:webHidden/>
          </w:rPr>
          <w:fldChar w:fldCharType="separate"/>
        </w:r>
        <w:r w:rsidR="0011749A">
          <w:rPr>
            <w:webHidden/>
          </w:rPr>
          <w:t>21</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30" w:history="1">
        <w:r w:rsidR="00374A58" w:rsidRPr="00E0327C">
          <w:rPr>
            <w:rStyle w:val="Hyperlink"/>
          </w:rPr>
          <w:t>B.4.2</w:t>
        </w:r>
        <w:r w:rsidR="00374A58">
          <w:rPr>
            <w:rFonts w:ascii="Calibri" w:hAnsi="Calibri" w:cs="Arial"/>
            <w:sz w:val="22"/>
            <w:szCs w:val="22"/>
          </w:rPr>
          <w:tab/>
        </w:r>
        <w:r w:rsidR="00374A58" w:rsidRPr="00E0327C">
          <w:rPr>
            <w:rStyle w:val="Hyperlink"/>
          </w:rPr>
          <w:t>Tests of Survey Content and Format</w:t>
        </w:r>
        <w:r w:rsidR="00374A58">
          <w:rPr>
            <w:webHidden/>
          </w:rPr>
          <w:tab/>
        </w:r>
        <w:r>
          <w:rPr>
            <w:webHidden/>
          </w:rPr>
          <w:fldChar w:fldCharType="begin"/>
        </w:r>
        <w:r w:rsidR="00374A58">
          <w:rPr>
            <w:webHidden/>
          </w:rPr>
          <w:instrText xml:space="preserve"> PAGEREF _Toc298763630 \h </w:instrText>
        </w:r>
        <w:r>
          <w:rPr>
            <w:webHidden/>
          </w:rPr>
        </w:r>
        <w:r>
          <w:rPr>
            <w:webHidden/>
          </w:rPr>
          <w:fldChar w:fldCharType="separate"/>
        </w:r>
        <w:r w:rsidR="0011749A">
          <w:rPr>
            <w:webHidden/>
          </w:rPr>
          <w:t>26</w:t>
        </w:r>
        <w:r>
          <w:rPr>
            <w:webHidden/>
          </w:rPr>
          <w:fldChar w:fldCharType="end"/>
        </w:r>
      </w:hyperlink>
    </w:p>
    <w:p w:rsidR="00374A58" w:rsidRDefault="00617FAF">
      <w:pPr>
        <w:pStyle w:val="TOC3"/>
        <w:tabs>
          <w:tab w:val="left" w:pos="3240"/>
        </w:tabs>
        <w:rPr>
          <w:rFonts w:ascii="Calibri" w:hAnsi="Calibri" w:cs="Arial"/>
          <w:sz w:val="22"/>
          <w:szCs w:val="22"/>
        </w:rPr>
      </w:pPr>
      <w:hyperlink w:anchor="_Toc298763631" w:history="1">
        <w:r w:rsidR="00374A58" w:rsidRPr="00E0327C">
          <w:rPr>
            <w:rStyle w:val="Hyperlink"/>
          </w:rPr>
          <w:t>B.4.3</w:t>
        </w:r>
        <w:r w:rsidR="00374A58">
          <w:rPr>
            <w:rFonts w:ascii="Calibri" w:hAnsi="Calibri" w:cs="Arial"/>
            <w:sz w:val="22"/>
            <w:szCs w:val="22"/>
          </w:rPr>
          <w:tab/>
        </w:r>
        <w:r w:rsidR="00374A58" w:rsidRPr="00E0327C">
          <w:rPr>
            <w:rStyle w:val="Hyperlink"/>
          </w:rPr>
          <w:t>Changes to the 2011 GSS</w:t>
        </w:r>
        <w:r w:rsidR="00374A58">
          <w:rPr>
            <w:webHidden/>
          </w:rPr>
          <w:tab/>
        </w:r>
        <w:r>
          <w:rPr>
            <w:webHidden/>
          </w:rPr>
          <w:fldChar w:fldCharType="begin"/>
        </w:r>
        <w:r w:rsidR="00374A58">
          <w:rPr>
            <w:webHidden/>
          </w:rPr>
          <w:instrText xml:space="preserve"> PAGEREF _Toc298763631 \h </w:instrText>
        </w:r>
        <w:r>
          <w:rPr>
            <w:webHidden/>
          </w:rPr>
        </w:r>
        <w:r>
          <w:rPr>
            <w:webHidden/>
          </w:rPr>
          <w:fldChar w:fldCharType="separate"/>
        </w:r>
        <w:r w:rsidR="0011749A">
          <w:rPr>
            <w:webHidden/>
          </w:rPr>
          <w:t>28</w:t>
        </w:r>
        <w:r>
          <w:rPr>
            <w:webHidden/>
          </w:rPr>
          <w:fldChar w:fldCharType="end"/>
        </w:r>
      </w:hyperlink>
    </w:p>
    <w:p w:rsidR="00374A58" w:rsidRDefault="00617FAF">
      <w:pPr>
        <w:pStyle w:val="TOC2"/>
        <w:tabs>
          <w:tab w:val="left" w:pos="1350"/>
        </w:tabs>
        <w:rPr>
          <w:rFonts w:ascii="Calibri" w:hAnsi="Calibri" w:cs="Arial"/>
          <w:sz w:val="22"/>
          <w:szCs w:val="22"/>
        </w:rPr>
      </w:pPr>
      <w:hyperlink w:anchor="_Toc298763632" w:history="1">
        <w:r w:rsidR="00374A58" w:rsidRPr="00E0327C">
          <w:rPr>
            <w:rStyle w:val="Hyperlink"/>
          </w:rPr>
          <w:t>B.5</w:t>
        </w:r>
        <w:r w:rsidR="00374A58">
          <w:rPr>
            <w:rFonts w:ascii="Calibri" w:hAnsi="Calibri" w:cs="Arial"/>
            <w:sz w:val="22"/>
            <w:szCs w:val="22"/>
          </w:rPr>
          <w:tab/>
        </w:r>
        <w:r w:rsidR="00374A58" w:rsidRPr="00E0327C">
          <w:rPr>
            <w:rStyle w:val="Hyperlink"/>
          </w:rPr>
          <w:t>Names and Telephone Numbers of Individuals Consulted</w:t>
        </w:r>
        <w:r w:rsidR="00374A58">
          <w:rPr>
            <w:webHidden/>
          </w:rPr>
          <w:tab/>
        </w:r>
        <w:r>
          <w:rPr>
            <w:webHidden/>
          </w:rPr>
          <w:fldChar w:fldCharType="begin"/>
        </w:r>
        <w:r w:rsidR="00374A58">
          <w:rPr>
            <w:webHidden/>
          </w:rPr>
          <w:instrText xml:space="preserve"> PAGEREF _Toc298763632 \h </w:instrText>
        </w:r>
        <w:r>
          <w:rPr>
            <w:webHidden/>
          </w:rPr>
        </w:r>
        <w:r>
          <w:rPr>
            <w:webHidden/>
          </w:rPr>
          <w:fldChar w:fldCharType="separate"/>
        </w:r>
        <w:r w:rsidR="0011749A">
          <w:rPr>
            <w:webHidden/>
          </w:rPr>
          <w:t>28</w:t>
        </w:r>
        <w:r>
          <w:rPr>
            <w:webHidden/>
          </w:rPr>
          <w:fldChar w:fldCharType="end"/>
        </w:r>
      </w:hyperlink>
    </w:p>
    <w:p w:rsidR="00F72F56" w:rsidRPr="009B561B" w:rsidRDefault="00617FAF" w:rsidP="00A935D1">
      <w:pPr>
        <w:rPr>
          <w:noProof/>
        </w:rPr>
      </w:pPr>
      <w:r w:rsidRPr="009B561B">
        <w:rPr>
          <w:noProof/>
        </w:rPr>
        <w:fldChar w:fldCharType="end"/>
      </w:r>
      <w:bookmarkStart w:id="1" w:name="_Toc79980788"/>
    </w:p>
    <w:p w:rsidR="00A935D1" w:rsidRPr="009B561B" w:rsidRDefault="00A935D1" w:rsidP="00A935D1"/>
    <w:p w:rsidR="00F72F56" w:rsidRPr="009B561B" w:rsidRDefault="00F72F56" w:rsidP="00F72F56">
      <w:pPr>
        <w:pStyle w:val="TOC0"/>
        <w:rPr>
          <w:noProof/>
        </w:rPr>
      </w:pPr>
      <w:r w:rsidRPr="009B561B">
        <w:rPr>
          <w:noProof/>
        </w:rPr>
        <w:t>Exhibits</w:t>
      </w:r>
    </w:p>
    <w:p w:rsidR="00A935D1" w:rsidRPr="009B561B" w:rsidRDefault="00A935D1" w:rsidP="00A935D1">
      <w:pPr>
        <w:tabs>
          <w:tab w:val="right" w:pos="9360"/>
        </w:tabs>
        <w:spacing w:before="120" w:after="240"/>
        <w:rPr>
          <w:color w:val="000000"/>
        </w:rPr>
      </w:pPr>
      <w:r w:rsidRPr="009B561B">
        <w:rPr>
          <w:b/>
          <w:color w:val="000000"/>
        </w:rPr>
        <w:t>Number</w:t>
      </w:r>
      <w:r w:rsidRPr="009B561B">
        <w:rPr>
          <w:color w:val="000000"/>
        </w:rPr>
        <w:tab/>
      </w:r>
      <w:r w:rsidRPr="009B561B">
        <w:rPr>
          <w:b/>
          <w:color w:val="000000"/>
        </w:rPr>
        <w:t>Page</w:t>
      </w:r>
    </w:p>
    <w:p w:rsidR="008C00A9" w:rsidRDefault="00617FAF" w:rsidP="008C00A9">
      <w:pPr>
        <w:pStyle w:val="TOC5"/>
        <w:tabs>
          <w:tab w:val="left" w:pos="2160"/>
        </w:tabs>
        <w:rPr>
          <w:rFonts w:ascii="Calibri" w:hAnsi="Calibri" w:cs="Arial"/>
          <w:sz w:val="22"/>
          <w:szCs w:val="22"/>
        </w:rPr>
      </w:pPr>
      <w:r w:rsidRPr="00617FAF">
        <w:fldChar w:fldCharType="begin"/>
      </w:r>
      <w:r w:rsidR="00F72F56" w:rsidRPr="009B561B">
        <w:instrText xml:space="preserve"> TOC \t "Figure Title,5" </w:instrText>
      </w:r>
      <w:r w:rsidRPr="00617FAF">
        <w:fldChar w:fldCharType="separate"/>
      </w:r>
      <w:r w:rsidR="008C00A9">
        <w:t>1.</w:t>
      </w:r>
      <w:r w:rsidR="008C00A9">
        <w:rPr>
          <w:rFonts w:ascii="Calibri" w:hAnsi="Calibri" w:cs="Arial"/>
          <w:sz w:val="22"/>
          <w:szCs w:val="22"/>
        </w:rPr>
        <w:tab/>
      </w:r>
      <w:r w:rsidR="008C00A9">
        <w:t>Burden Estimates for the 2011 GSS</w:t>
      </w:r>
      <w:r w:rsidR="008C00A9">
        <w:tab/>
      </w:r>
      <w:r>
        <w:fldChar w:fldCharType="begin"/>
      </w:r>
      <w:r w:rsidR="008C00A9">
        <w:instrText xml:space="preserve"> PAGEREF _Toc298764187 \h </w:instrText>
      </w:r>
      <w:r>
        <w:fldChar w:fldCharType="separate"/>
      </w:r>
      <w:r w:rsidR="0011749A">
        <w:t>11</w:t>
      </w:r>
      <w:r>
        <w:fldChar w:fldCharType="end"/>
      </w:r>
    </w:p>
    <w:p w:rsidR="008C00A9" w:rsidRDefault="008C00A9" w:rsidP="008C00A9">
      <w:pPr>
        <w:pStyle w:val="TOC5"/>
        <w:tabs>
          <w:tab w:val="left" w:pos="2160"/>
        </w:tabs>
        <w:rPr>
          <w:rFonts w:ascii="Calibri" w:hAnsi="Calibri" w:cs="Arial"/>
          <w:sz w:val="22"/>
          <w:szCs w:val="22"/>
        </w:rPr>
      </w:pPr>
      <w:r>
        <w:t>2.</w:t>
      </w:r>
      <w:r>
        <w:rPr>
          <w:rFonts w:ascii="Calibri" w:hAnsi="Calibri" w:cs="Arial"/>
          <w:sz w:val="22"/>
          <w:szCs w:val="22"/>
        </w:rPr>
        <w:tab/>
      </w:r>
      <w:r>
        <w:t>Burden Estimates for the 2012 GSS</w:t>
      </w:r>
      <w:r>
        <w:tab/>
      </w:r>
      <w:r w:rsidR="00617FAF">
        <w:fldChar w:fldCharType="begin"/>
      </w:r>
      <w:r>
        <w:instrText xml:space="preserve"> PAGEREF _Toc298764188 \h </w:instrText>
      </w:r>
      <w:r w:rsidR="00617FAF">
        <w:fldChar w:fldCharType="separate"/>
      </w:r>
      <w:r w:rsidR="0011749A">
        <w:t>11</w:t>
      </w:r>
      <w:r w:rsidR="00617FAF">
        <w:fldChar w:fldCharType="end"/>
      </w:r>
    </w:p>
    <w:p w:rsidR="008C00A9" w:rsidRDefault="008C00A9" w:rsidP="008C00A9">
      <w:pPr>
        <w:pStyle w:val="TOC5"/>
        <w:tabs>
          <w:tab w:val="left" w:pos="2160"/>
        </w:tabs>
        <w:rPr>
          <w:rFonts w:ascii="Calibri" w:hAnsi="Calibri" w:cs="Arial"/>
          <w:sz w:val="22"/>
          <w:szCs w:val="22"/>
        </w:rPr>
      </w:pPr>
      <w:r>
        <w:t>3.</w:t>
      </w:r>
      <w:r>
        <w:rPr>
          <w:rFonts w:ascii="Calibri" w:hAnsi="Calibri" w:cs="Arial"/>
          <w:sz w:val="22"/>
          <w:szCs w:val="22"/>
        </w:rPr>
        <w:tab/>
      </w:r>
      <w:r>
        <w:t>Burden Estimates for the 2013 GSS</w:t>
      </w:r>
      <w:r>
        <w:tab/>
      </w:r>
      <w:r w:rsidR="00617FAF">
        <w:fldChar w:fldCharType="begin"/>
      </w:r>
      <w:r>
        <w:instrText xml:space="preserve"> PAGEREF _Toc298764189 \h </w:instrText>
      </w:r>
      <w:r w:rsidR="00617FAF">
        <w:fldChar w:fldCharType="separate"/>
      </w:r>
      <w:r w:rsidR="0011749A">
        <w:t>11</w:t>
      </w:r>
      <w:r w:rsidR="00617FAF">
        <w:fldChar w:fldCharType="end"/>
      </w:r>
    </w:p>
    <w:p w:rsidR="008C00A9" w:rsidRDefault="008C00A9" w:rsidP="008C00A9">
      <w:pPr>
        <w:pStyle w:val="TOC5"/>
        <w:tabs>
          <w:tab w:val="left" w:pos="2160"/>
        </w:tabs>
        <w:rPr>
          <w:rFonts w:ascii="Calibri" w:hAnsi="Calibri" w:cs="Arial"/>
          <w:sz w:val="22"/>
          <w:szCs w:val="22"/>
        </w:rPr>
      </w:pPr>
      <w:r>
        <w:t>4.</w:t>
      </w:r>
      <w:r>
        <w:rPr>
          <w:rFonts w:ascii="Calibri" w:hAnsi="Calibri" w:cs="Arial"/>
          <w:sz w:val="22"/>
          <w:szCs w:val="22"/>
        </w:rPr>
        <w:tab/>
      </w:r>
      <w:r>
        <w:t>Total Burden Estimates for 2011–13 GSS</w:t>
      </w:r>
      <w:r>
        <w:tab/>
      </w:r>
      <w:r w:rsidR="00617FAF">
        <w:fldChar w:fldCharType="begin"/>
      </w:r>
      <w:r>
        <w:instrText xml:space="preserve"> PAGEREF _Toc298764190 \h </w:instrText>
      </w:r>
      <w:r w:rsidR="00617FAF">
        <w:fldChar w:fldCharType="separate"/>
      </w:r>
      <w:r w:rsidR="0011749A">
        <w:t>12</w:t>
      </w:r>
      <w:r w:rsidR="00617FAF">
        <w:fldChar w:fldCharType="end"/>
      </w:r>
    </w:p>
    <w:p w:rsidR="008C00A9" w:rsidRDefault="008C00A9" w:rsidP="008C00A9">
      <w:pPr>
        <w:pStyle w:val="TOC5"/>
        <w:tabs>
          <w:tab w:val="left" w:pos="2160"/>
        </w:tabs>
        <w:rPr>
          <w:rFonts w:ascii="Calibri" w:hAnsi="Calibri" w:cs="Arial"/>
          <w:sz w:val="22"/>
          <w:szCs w:val="22"/>
        </w:rPr>
      </w:pPr>
      <w:r>
        <w:t>5.</w:t>
      </w:r>
      <w:r>
        <w:rPr>
          <w:rFonts w:ascii="Calibri" w:hAnsi="Calibri" w:cs="Arial"/>
          <w:sz w:val="22"/>
          <w:szCs w:val="22"/>
        </w:rPr>
        <w:tab/>
      </w:r>
      <w:r>
        <w:t>Annual GSS Survey Federal Government Estimated Costs</w:t>
      </w:r>
      <w:r>
        <w:tab/>
      </w:r>
      <w:r w:rsidR="00617FAF">
        <w:fldChar w:fldCharType="begin"/>
      </w:r>
      <w:r>
        <w:instrText xml:space="preserve"> PAGEREF _Toc298764191 \h </w:instrText>
      </w:r>
      <w:r w:rsidR="00617FAF">
        <w:fldChar w:fldCharType="separate"/>
      </w:r>
      <w:r w:rsidR="0011749A">
        <w:t>12</w:t>
      </w:r>
      <w:r w:rsidR="00617FAF">
        <w:fldChar w:fldCharType="end"/>
      </w:r>
    </w:p>
    <w:p w:rsidR="008C00A9" w:rsidRDefault="008C00A9" w:rsidP="008C00A9">
      <w:pPr>
        <w:pStyle w:val="TOC5"/>
        <w:tabs>
          <w:tab w:val="left" w:pos="2160"/>
        </w:tabs>
        <w:rPr>
          <w:rFonts w:ascii="Calibri" w:hAnsi="Calibri" w:cs="Arial"/>
          <w:sz w:val="22"/>
          <w:szCs w:val="22"/>
        </w:rPr>
      </w:pPr>
      <w:r>
        <w:t>6.</w:t>
      </w:r>
      <w:r>
        <w:rPr>
          <w:rFonts w:ascii="Calibri" w:hAnsi="Calibri" w:cs="Arial"/>
          <w:sz w:val="22"/>
          <w:szCs w:val="22"/>
        </w:rPr>
        <w:tab/>
      </w:r>
      <w:r>
        <w:t>Imputation Methods Used, by Conditions: 2009</w:t>
      </w:r>
      <w:r>
        <w:tab/>
      </w:r>
      <w:r w:rsidR="00617FAF">
        <w:fldChar w:fldCharType="begin"/>
      </w:r>
      <w:r>
        <w:instrText xml:space="preserve"> PAGEREF _Toc298764192 \h </w:instrText>
      </w:r>
      <w:r w:rsidR="00617FAF">
        <w:fldChar w:fldCharType="separate"/>
      </w:r>
      <w:r w:rsidR="0011749A">
        <w:t>18</w:t>
      </w:r>
      <w:r w:rsidR="00617FAF">
        <w:fldChar w:fldCharType="end"/>
      </w:r>
    </w:p>
    <w:p w:rsidR="008C00A9" w:rsidRDefault="008C00A9" w:rsidP="008C00A9">
      <w:pPr>
        <w:pStyle w:val="TOC5"/>
        <w:tabs>
          <w:tab w:val="left" w:pos="2160"/>
        </w:tabs>
        <w:rPr>
          <w:rFonts w:ascii="Calibri" w:hAnsi="Calibri" w:cs="Arial"/>
          <w:sz w:val="22"/>
          <w:szCs w:val="22"/>
        </w:rPr>
      </w:pPr>
      <w:r>
        <w:t>7.</w:t>
      </w:r>
      <w:r>
        <w:rPr>
          <w:rFonts w:ascii="Calibri" w:hAnsi="Calibri" w:cs="Arial"/>
          <w:sz w:val="22"/>
          <w:szCs w:val="22"/>
        </w:rPr>
        <w:tab/>
      </w:r>
      <w:r>
        <w:t>Units Requiring Imputation, by Method Used and Type of Data Imputed: 2009</w:t>
      </w:r>
      <w:r>
        <w:tab/>
      </w:r>
      <w:r w:rsidR="00617FAF">
        <w:fldChar w:fldCharType="begin"/>
      </w:r>
      <w:r>
        <w:instrText xml:space="preserve"> PAGEREF _Toc298764193 \h </w:instrText>
      </w:r>
      <w:r w:rsidR="00617FAF">
        <w:fldChar w:fldCharType="separate"/>
      </w:r>
      <w:r w:rsidR="0011749A">
        <w:t>20</w:t>
      </w:r>
      <w:r w:rsidR="00617FAF">
        <w:fldChar w:fldCharType="end"/>
      </w:r>
    </w:p>
    <w:p w:rsidR="008C00A9" w:rsidRDefault="008C00A9" w:rsidP="008C00A9">
      <w:pPr>
        <w:pStyle w:val="TOC5"/>
        <w:tabs>
          <w:tab w:val="left" w:pos="2160"/>
        </w:tabs>
        <w:rPr>
          <w:rFonts w:ascii="Calibri" w:hAnsi="Calibri" w:cs="Arial"/>
          <w:sz w:val="22"/>
          <w:szCs w:val="22"/>
        </w:rPr>
      </w:pPr>
      <w:r>
        <w:t>8.</w:t>
      </w:r>
      <w:r>
        <w:rPr>
          <w:rFonts w:ascii="Calibri" w:hAnsi="Calibri" w:cs="Arial"/>
          <w:sz w:val="22"/>
          <w:szCs w:val="22"/>
        </w:rPr>
        <w:tab/>
      </w:r>
      <w:r>
        <w:t>Institution, School, and Unit Response Rates: 2007–09</w:t>
      </w:r>
      <w:r>
        <w:tab/>
      </w:r>
      <w:r w:rsidR="00617FAF">
        <w:fldChar w:fldCharType="begin"/>
      </w:r>
      <w:r>
        <w:instrText xml:space="preserve"> PAGEREF _Toc298764194 \h </w:instrText>
      </w:r>
      <w:r w:rsidR="00617FAF">
        <w:fldChar w:fldCharType="separate"/>
      </w:r>
      <w:r w:rsidR="0011749A">
        <w:t>21</w:t>
      </w:r>
      <w:r w:rsidR="00617FAF">
        <w:fldChar w:fldCharType="end"/>
      </w:r>
    </w:p>
    <w:p w:rsidR="008C00A9" w:rsidRDefault="008C00A9" w:rsidP="008C00A9">
      <w:pPr>
        <w:pStyle w:val="TOC5"/>
        <w:tabs>
          <w:tab w:val="left" w:pos="2160"/>
        </w:tabs>
        <w:rPr>
          <w:rFonts w:ascii="Calibri" w:hAnsi="Calibri" w:cs="Arial"/>
          <w:sz w:val="22"/>
          <w:szCs w:val="22"/>
        </w:rPr>
      </w:pPr>
      <w:r>
        <w:t>9.</w:t>
      </w:r>
      <w:r>
        <w:rPr>
          <w:rFonts w:ascii="Calibri" w:hAnsi="Calibri" w:cs="Arial"/>
          <w:sz w:val="22"/>
          <w:szCs w:val="22"/>
        </w:rPr>
        <w:tab/>
      </w:r>
      <w:r>
        <w:t>Results of GSS Frame Review</w:t>
      </w:r>
      <w:r>
        <w:tab/>
      </w:r>
      <w:r w:rsidR="00617FAF">
        <w:fldChar w:fldCharType="begin"/>
      </w:r>
      <w:r>
        <w:instrText xml:space="preserve"> PAGEREF _Toc298764195 \h </w:instrText>
      </w:r>
      <w:r w:rsidR="00617FAF">
        <w:fldChar w:fldCharType="separate"/>
      </w:r>
      <w:r w:rsidR="0011749A">
        <w:t>23</w:t>
      </w:r>
      <w:r w:rsidR="00617FAF">
        <w:fldChar w:fldCharType="end"/>
      </w:r>
    </w:p>
    <w:p w:rsidR="008C00A9" w:rsidRDefault="008C00A9" w:rsidP="008C00A9">
      <w:pPr>
        <w:pStyle w:val="TOC5"/>
        <w:tabs>
          <w:tab w:val="left" w:pos="2160"/>
        </w:tabs>
        <w:rPr>
          <w:rFonts w:ascii="Calibri" w:hAnsi="Calibri" w:cs="Arial"/>
          <w:sz w:val="22"/>
          <w:szCs w:val="22"/>
        </w:rPr>
      </w:pPr>
      <w:r>
        <w:t>10.</w:t>
      </w:r>
      <w:r>
        <w:rPr>
          <w:rFonts w:ascii="Calibri" w:hAnsi="Calibri" w:cs="Arial"/>
          <w:sz w:val="22"/>
          <w:szCs w:val="22"/>
        </w:rPr>
        <w:tab/>
      </w:r>
      <w:r>
        <w:t>Individual Consulted on GSS Technical and Statistical Issues</w:t>
      </w:r>
      <w:r>
        <w:tab/>
      </w:r>
      <w:r w:rsidR="00617FAF">
        <w:fldChar w:fldCharType="begin"/>
      </w:r>
      <w:r>
        <w:instrText xml:space="preserve"> PAGEREF _Toc298764196 \h </w:instrText>
      </w:r>
      <w:r w:rsidR="00617FAF">
        <w:fldChar w:fldCharType="separate"/>
      </w:r>
      <w:r w:rsidR="0011749A">
        <w:t>29</w:t>
      </w:r>
      <w:r w:rsidR="00617FAF">
        <w:fldChar w:fldCharType="end"/>
      </w:r>
    </w:p>
    <w:p w:rsidR="00F72F56" w:rsidRPr="009B561B" w:rsidRDefault="00617FAF" w:rsidP="00F72F56">
      <w:pPr>
        <w:rPr>
          <w:noProof/>
        </w:rPr>
      </w:pPr>
      <w:r w:rsidRPr="009B561B">
        <w:rPr>
          <w:noProof/>
        </w:rPr>
        <w:fldChar w:fldCharType="end"/>
      </w:r>
    </w:p>
    <w:p w:rsidR="00451757" w:rsidRPr="009B561B" w:rsidRDefault="00451757" w:rsidP="00451757">
      <w:pPr>
        <w:pStyle w:val="TOC0"/>
      </w:pPr>
      <w:r w:rsidRPr="009B561B">
        <w:t>LIST OF ATTACHMENTS</w:t>
      </w:r>
    </w:p>
    <w:p w:rsidR="00451757" w:rsidRPr="009B561B" w:rsidRDefault="00451757" w:rsidP="00451757">
      <w:pPr>
        <w:tabs>
          <w:tab w:val="left" w:pos="-1200"/>
          <w:tab w:val="left" w:pos="-720"/>
        </w:tabs>
        <w:ind w:left="2160" w:hanging="2160"/>
      </w:pPr>
    </w:p>
    <w:p w:rsidR="00451757" w:rsidRPr="009B561B" w:rsidRDefault="00451757" w:rsidP="00444365">
      <w:pPr>
        <w:ind w:left="1440" w:hanging="1440"/>
      </w:pPr>
      <w:r w:rsidRPr="009B561B">
        <w:t>Attachment 1.</w:t>
      </w:r>
      <w:r w:rsidR="00444365" w:rsidRPr="009B561B">
        <w:tab/>
        <w:t>GSS Web Survey Screen Shots</w:t>
      </w:r>
    </w:p>
    <w:p w:rsidR="00451757" w:rsidRPr="009B561B" w:rsidRDefault="00451757" w:rsidP="00444365">
      <w:pPr>
        <w:ind w:left="1440" w:hanging="1440"/>
      </w:pPr>
      <w:r w:rsidRPr="009B561B">
        <w:t>Attachment 2.</w:t>
      </w:r>
      <w:r w:rsidR="00444365" w:rsidRPr="009B561B">
        <w:tab/>
        <w:t>Federally Funded Research and Development Centers (FFRDCs) Postdoc Survey Screen Shots</w:t>
      </w:r>
    </w:p>
    <w:p w:rsidR="00451757" w:rsidRPr="009B561B" w:rsidRDefault="00451757" w:rsidP="00444365">
      <w:pPr>
        <w:ind w:left="1440" w:hanging="1440"/>
      </w:pPr>
      <w:r w:rsidRPr="009B561B">
        <w:t>Attachment 3.</w:t>
      </w:r>
      <w:r w:rsidR="00444365" w:rsidRPr="009B561B">
        <w:tab/>
        <w:t>GSS Schedule</w:t>
      </w:r>
    </w:p>
    <w:p w:rsidR="00451757" w:rsidRPr="009B561B" w:rsidRDefault="00451757" w:rsidP="00444365">
      <w:pPr>
        <w:ind w:left="1440" w:hanging="1440"/>
      </w:pPr>
      <w:r w:rsidRPr="009B561B">
        <w:t>Attachment 4.</w:t>
      </w:r>
      <w:r w:rsidR="00444365" w:rsidRPr="009B561B">
        <w:tab/>
        <w:t>GSS Code List—Complete List of GSS Eligible Fields and Codes</w:t>
      </w:r>
    </w:p>
    <w:p w:rsidR="00444365" w:rsidRPr="009B561B" w:rsidRDefault="00444365" w:rsidP="00444365">
      <w:pPr>
        <w:ind w:left="1440" w:hanging="1440"/>
      </w:pPr>
      <w:r w:rsidRPr="009B561B">
        <w:t>Attachment 5.</w:t>
      </w:r>
      <w:r w:rsidRPr="009B561B">
        <w:tab/>
        <w:t>GSS Crosswalk between NCES</w:t>
      </w:r>
      <w:r w:rsidR="00E924E7">
        <w:t xml:space="preserve"> </w:t>
      </w:r>
      <w:r w:rsidRPr="009B561B">
        <w:t>CIP Codes and GSS Codes</w:t>
      </w:r>
    </w:p>
    <w:p w:rsidR="00444365" w:rsidRPr="009B561B" w:rsidRDefault="00444365" w:rsidP="00444365">
      <w:r w:rsidRPr="009B561B">
        <w:t>Attachment 6.</w:t>
      </w:r>
      <w:r w:rsidRPr="009B561B">
        <w:tab/>
        <w:t>GSS Data Collection Plan—Draft</w:t>
      </w:r>
    </w:p>
    <w:p w:rsidR="00444365" w:rsidRPr="009B561B" w:rsidRDefault="00444365" w:rsidP="00444365">
      <w:r w:rsidRPr="009B561B">
        <w:t>Attachment 7.</w:t>
      </w:r>
      <w:r w:rsidRPr="009B561B">
        <w:tab/>
        <w:t>Summary of Changes since the Last (2008) GSS OMB Clearance</w:t>
      </w:r>
    </w:p>
    <w:p w:rsidR="00444365" w:rsidRPr="009B561B" w:rsidRDefault="00444365" w:rsidP="00444365">
      <w:r w:rsidRPr="009B561B">
        <w:t>Attachment 8.</w:t>
      </w:r>
      <w:r w:rsidRPr="009B561B">
        <w:tab/>
        <w:t>Summary of Changes Proposed for 2011 GSS</w:t>
      </w:r>
    </w:p>
    <w:p w:rsidR="00444365" w:rsidRPr="009B561B" w:rsidRDefault="00444365" w:rsidP="00444365">
      <w:r w:rsidRPr="009B561B">
        <w:t>Attachment 9.</w:t>
      </w:r>
      <w:r w:rsidRPr="009B561B">
        <w:tab/>
        <w:t>First Federal Register Announcement</w:t>
      </w:r>
    </w:p>
    <w:p w:rsidR="00444365" w:rsidRPr="009B561B" w:rsidRDefault="00444365" w:rsidP="00F72F56">
      <w:pPr>
        <w:rPr>
          <w:noProof/>
        </w:rPr>
      </w:pPr>
    </w:p>
    <w:p w:rsidR="00F72F56" w:rsidRPr="009B561B" w:rsidRDefault="00F72F56" w:rsidP="00932612">
      <w:pPr>
        <w:pStyle w:val="Heading1"/>
        <w:rPr>
          <w:color w:val="000000"/>
        </w:rPr>
        <w:sectPr w:rsidR="00F72F56" w:rsidRPr="009B561B" w:rsidSect="00CB0350">
          <w:footerReference w:type="default" r:id="rId9"/>
          <w:pgSz w:w="12240" w:h="15840"/>
          <w:pgMar w:top="1440" w:right="1440" w:bottom="1440" w:left="1440" w:header="720" w:footer="720" w:gutter="0"/>
          <w:pgNumType w:fmt="lowerRoman" w:start="3"/>
          <w:cols w:space="720"/>
        </w:sectPr>
      </w:pPr>
    </w:p>
    <w:p w:rsidR="00D43F13" w:rsidRPr="009B561B" w:rsidRDefault="00D43F13" w:rsidP="00932612">
      <w:pPr>
        <w:pStyle w:val="Heading1"/>
        <w:rPr>
          <w:color w:val="000000"/>
        </w:rPr>
      </w:pPr>
      <w:bookmarkStart w:id="2" w:name="_Toc298763598"/>
      <w:r w:rsidRPr="009B561B">
        <w:rPr>
          <w:color w:val="000000"/>
        </w:rPr>
        <w:lastRenderedPageBreak/>
        <w:t>A.</w:t>
      </w:r>
      <w:r w:rsidR="00932612" w:rsidRPr="009B561B">
        <w:rPr>
          <w:color w:val="000000"/>
        </w:rPr>
        <w:tab/>
      </w:r>
      <w:r w:rsidRPr="009B561B">
        <w:rPr>
          <w:color w:val="000000"/>
        </w:rPr>
        <w:t>Justification</w:t>
      </w:r>
      <w:bookmarkEnd w:id="1"/>
      <w:bookmarkEnd w:id="2"/>
    </w:p>
    <w:p w:rsidR="009B561B" w:rsidRPr="009B561B" w:rsidRDefault="0055067F" w:rsidP="0055067F">
      <w:pPr>
        <w:pStyle w:val="bodytext"/>
      </w:pPr>
      <w:r w:rsidRPr="009B561B">
        <w:t>This submission requests a 3 year reinstatement of the previously approved</w:t>
      </w:r>
      <w:r w:rsidR="002E0D41" w:rsidRPr="009B561B">
        <w:t xml:space="preserve"> </w:t>
      </w:r>
      <w:r w:rsidRPr="009B561B">
        <w:t>OMB clearance for the National Science Foundation</w:t>
      </w:r>
      <w:r w:rsidR="002E0D41" w:rsidRPr="009B561B">
        <w:t>’</w:t>
      </w:r>
      <w:r w:rsidRPr="009B561B">
        <w:t>s (NSF</w:t>
      </w:r>
      <w:r w:rsidR="002E0D41" w:rsidRPr="009B561B">
        <w:t>’</w:t>
      </w:r>
      <w:r w:rsidRPr="009B561B">
        <w:t>s) and National Institutes of Health</w:t>
      </w:r>
      <w:r w:rsidR="002E0D41" w:rsidRPr="009B561B">
        <w:t>’</w:t>
      </w:r>
      <w:r w:rsidRPr="009B561B">
        <w:t>s (NIH</w:t>
      </w:r>
      <w:r w:rsidR="002E0D41" w:rsidRPr="009B561B">
        <w:t>’</w:t>
      </w:r>
      <w:r w:rsidRPr="009B561B">
        <w:t xml:space="preserve">s) Survey of Graduate Students and Postdoctorates in Science and Engineering (GSS). The GSS is an annual </w:t>
      </w:r>
      <w:r w:rsidRPr="00D676A3">
        <w:t xml:space="preserve">survey </w:t>
      </w:r>
      <w:r w:rsidR="00D676A3" w:rsidRPr="00D676A3">
        <w:t xml:space="preserve">that was </w:t>
      </w:r>
      <w:r w:rsidRPr="00D676A3">
        <w:t>last conducted</w:t>
      </w:r>
      <w:r w:rsidRPr="009B561B">
        <w:t xml:space="preserve"> in fall 2010. The OMB clearance for the GSS will expire on October 31, 2011. With this clearance package, NSF requests approval to collect data for the 2011–13 survey cycles.</w:t>
      </w:r>
    </w:p>
    <w:p w:rsidR="0055067F" w:rsidRPr="00D676A3" w:rsidRDefault="0055067F" w:rsidP="00D652F9">
      <w:pPr>
        <w:pStyle w:val="bodytext"/>
      </w:pPr>
      <w:r w:rsidRPr="009B561B">
        <w:t xml:space="preserve">The GSS is the only annual national survey that collects information on the characteristics of graduate science, engineering, and health (SEH) enrollment for specific disciplines at the departmental level. It also collects information for graduate enrollment on race/ethnicity, citizenship, sex, sources of support, and type of support; information on postdoctorates (postdocs) by citizenship, sex, sources of support, and doctoral degree type and origins; and information on other doctorate-holding nonfaculty researchers (NFRs) (see </w:t>
      </w:r>
      <w:r w:rsidR="004A5A28">
        <w:t>Attachment </w:t>
      </w:r>
      <w:r w:rsidRPr="009B561B">
        <w:t>1 for screenshots of the GSS instrument). The GSS has been conducted by the NSF</w:t>
      </w:r>
      <w:r w:rsidR="002E0D41" w:rsidRPr="009B561B">
        <w:t>’</w:t>
      </w:r>
      <w:r w:rsidRPr="009B561B">
        <w:t xml:space="preserve">s National Center for Science and Engineering Statistics (NCSES) annually since 1972. Additional financial support is provided for the GSS by the NIH and the U.S. Department of </w:t>
      </w:r>
      <w:r w:rsidRPr="00D676A3">
        <w:t xml:space="preserve">Energy </w:t>
      </w:r>
      <w:r w:rsidR="00D676A3" w:rsidRPr="00D676A3">
        <w:t>(DOE).</w:t>
      </w:r>
    </w:p>
    <w:p w:rsidR="009B561B" w:rsidRPr="009B561B" w:rsidRDefault="0055067F" w:rsidP="0055067F">
      <w:pPr>
        <w:pStyle w:val="bodytext"/>
      </w:pPr>
      <w:r w:rsidRPr="009B561B">
        <w:t>The GSS is a census of all units (departments, programs, research centers, and health care facilities) in science, engineering, and selected health fields within eligible academic institutions in the United States with postbaccalaureate degree programs. The study collects aggregate information on graduate students enrolled in these units, as well as postdocs and NFRs working within these institutions.</w:t>
      </w:r>
      <w:r w:rsidR="002E0D41" w:rsidRPr="009B561B">
        <w:t xml:space="preserve"> </w:t>
      </w:r>
      <w:r w:rsidRPr="009B561B">
        <w:t xml:space="preserve">To improve coverage of postdocs, in 2011–13 the GSS will also survey Federally Funded Research and Development Centers (FFRDCs) to gather information on the race/ethnicity, sex, citizenship, source of support, area of research, and counts of the postdoctoral appointments (see </w:t>
      </w:r>
      <w:r w:rsidR="004A5A28">
        <w:t>Attachment </w:t>
      </w:r>
      <w:r w:rsidRPr="009B561B">
        <w:t>2 for screenshots of the FFRDC survey instrument).</w:t>
      </w:r>
    </w:p>
    <w:p w:rsidR="0055067F" w:rsidRPr="009B561B" w:rsidRDefault="0055067F" w:rsidP="0055067F">
      <w:pPr>
        <w:pStyle w:val="bodytext"/>
      </w:pPr>
      <w:r w:rsidRPr="009B561B">
        <w:t xml:space="preserve">The GSS consists of two parts. In Part 1, the School Coordinator (SC) updates a list of all eligible units in the school and classifies each unit by its GSS code (field). For established GSS schools, this activity involves verifying the eligibility of units pre-populated from the previous survey round, confirming GSS codes, adding any newly eligible units, and deleting defunct units. All Part 1 activities are completed by the SC. In Part 2, data for each unit are entered or uploaded </w:t>
      </w:r>
      <w:r w:rsidRPr="009B561B">
        <w:lastRenderedPageBreak/>
        <w:t>by the SC or by designated unit respondents (URs), whom the SC may assign as needed. Part 2 requests details about graduate students, postdocs, and NFRs in each GSS-eligible unit.</w:t>
      </w:r>
    </w:p>
    <w:p w:rsidR="0055067F" w:rsidRPr="009B561B" w:rsidRDefault="0055067F" w:rsidP="0055067F">
      <w:pPr>
        <w:pStyle w:val="bodytext"/>
      </w:pPr>
      <w:r w:rsidRPr="009B561B">
        <w:t>Since April 2002, NCSES has been conducting extensive research and methodological testing to reduce the respondent burden, improve data quality, reduce survey costs, and improve processes that will result in a quicker release of the data to the public. The 2011 GSS reflects changes made to date as a result of the research and testing.</w:t>
      </w:r>
    </w:p>
    <w:p w:rsidR="00495ADF" w:rsidRPr="009B561B" w:rsidRDefault="0055067F" w:rsidP="00495ADF">
      <w:pPr>
        <w:pStyle w:val="Heading2"/>
      </w:pPr>
      <w:bookmarkStart w:id="3" w:name="_Toc298763599"/>
      <w:r w:rsidRPr="009B561B">
        <w:t>A.1</w:t>
      </w:r>
      <w:r w:rsidRPr="009B561B">
        <w:tab/>
        <w:t>Need for Data Collection and Legislative Authorization</w:t>
      </w:r>
      <w:bookmarkEnd w:id="3"/>
    </w:p>
    <w:p w:rsidR="009B561B" w:rsidRPr="009B561B" w:rsidRDefault="0055067F" w:rsidP="0055067F">
      <w:pPr>
        <w:pStyle w:val="bodytext"/>
      </w:pPr>
      <w:r w:rsidRPr="009B561B">
        <w:t>The authority to collect information for the GSS is established under the National Science Foundation Act of 1950, as amended, Public Law 507</w:t>
      </w:r>
      <w:r w:rsidR="001134BA">
        <w:t xml:space="preserve"> (42 U.S.C. 1862), Section 3(a) </w:t>
      </w:r>
      <w:r w:rsidRPr="009B561B">
        <w:t xml:space="preserve">(6), which directs NSF </w:t>
      </w:r>
      <w:r w:rsidR="002E0D41" w:rsidRPr="009B561B">
        <w:t>“…</w:t>
      </w:r>
      <w:r w:rsidRPr="009B561B">
        <w:t>to provide a central clearinghouse for the collection, interpretation, and analysis of data on scientific and engineering resources and to provide a source of information for policy formation by other agencies of the federal government</w:t>
      </w:r>
      <w:r w:rsidR="002E0D41" w:rsidRPr="009B561B">
        <w:t>…”</w:t>
      </w:r>
      <w:r w:rsidRPr="009B561B">
        <w:t xml:space="preserve"> Furthermor</w:t>
      </w:r>
      <w:r w:rsidR="001134BA">
        <w:t>e, Executive Order 10521 (March </w:t>
      </w:r>
      <w:r w:rsidRPr="009B561B">
        <w:t xml:space="preserve">17, 1954) states: </w:t>
      </w:r>
      <w:r w:rsidR="002E0D41" w:rsidRPr="009B561B">
        <w:t>“</w:t>
      </w:r>
      <w:r w:rsidRPr="009B561B">
        <w:t>The Foundation shall continue to make comprehensive studies and recommendations regarding the Nation</w:t>
      </w:r>
      <w:r w:rsidR="002E0D41" w:rsidRPr="009B561B">
        <w:t>’</w:t>
      </w:r>
      <w:r w:rsidRPr="009B561B">
        <w:t>s scientific research effort and its resources for scientific activities, including facilities and scientific personnel, and its foreseeable scientific needs, with particular attention to the extent of the federal government</w:t>
      </w:r>
      <w:r w:rsidR="002E0D41" w:rsidRPr="009B561B">
        <w:t>’</w:t>
      </w:r>
      <w:r w:rsidRPr="009B561B">
        <w:t>s activities and the resulting effects upon trained scientific personnel.</w:t>
      </w:r>
      <w:r w:rsidR="002E0D41" w:rsidRPr="009B561B">
        <w:t>”</w:t>
      </w:r>
    </w:p>
    <w:p w:rsidR="0055067F" w:rsidRPr="009B561B" w:rsidRDefault="0055067F" w:rsidP="00D676A3">
      <w:pPr>
        <w:pStyle w:val="bodytext"/>
      </w:pPr>
      <w:r w:rsidRPr="009B561B">
        <w:t>The GSS provides a critical piece of the Foundation</w:t>
      </w:r>
      <w:r w:rsidR="002E0D41" w:rsidRPr="009B561B">
        <w:t>’</w:t>
      </w:r>
      <w:r w:rsidRPr="009B561B">
        <w:t xml:space="preserve">s information </w:t>
      </w:r>
      <w:r w:rsidR="00D676A3" w:rsidRPr="00D676A3">
        <w:t xml:space="preserve">that is </w:t>
      </w:r>
      <w:r w:rsidRPr="00D676A3">
        <w:t>used</w:t>
      </w:r>
      <w:r w:rsidRPr="009B561B">
        <w:t xml:space="preserve"> to meet its responsibilities under the Act and the Executive Order.</w:t>
      </w:r>
    </w:p>
    <w:p w:rsidR="0055067F" w:rsidRPr="009B561B" w:rsidRDefault="0055067F" w:rsidP="0055067F">
      <w:pPr>
        <w:pStyle w:val="Heading2"/>
      </w:pPr>
      <w:bookmarkStart w:id="4" w:name="_Toc286415816"/>
      <w:bookmarkStart w:id="5" w:name="_Toc298763600"/>
      <w:bookmarkStart w:id="6" w:name="_Toc88033460"/>
      <w:r w:rsidRPr="009B561B">
        <w:t>A.2</w:t>
      </w:r>
      <w:r w:rsidRPr="009B561B">
        <w:tab/>
        <w:t xml:space="preserve">How, </w:t>
      </w:r>
      <w:r w:rsidR="00D676A3">
        <w:t>b</w:t>
      </w:r>
      <w:r w:rsidRPr="009B561B">
        <w:t>y Whom, and for What Purpose the Information Is to Be Used</w:t>
      </w:r>
      <w:bookmarkEnd w:id="4"/>
      <w:bookmarkEnd w:id="5"/>
    </w:p>
    <w:p w:rsidR="0055067F" w:rsidRPr="009B561B" w:rsidRDefault="0055067F" w:rsidP="0055067F">
      <w:pPr>
        <w:pStyle w:val="Heading3"/>
        <w:rPr>
          <w:lang w:val="en-US"/>
        </w:rPr>
      </w:pPr>
      <w:bookmarkStart w:id="7" w:name="_Toc286415817"/>
      <w:bookmarkStart w:id="8" w:name="_Toc298763601"/>
      <w:r w:rsidRPr="009B561B">
        <w:rPr>
          <w:lang w:val="en-US"/>
        </w:rPr>
        <w:t>A.2.1</w:t>
      </w:r>
      <w:r w:rsidRPr="009B561B">
        <w:rPr>
          <w:lang w:val="en-US"/>
        </w:rPr>
        <w:tab/>
        <w:t>Federal Uses</w:t>
      </w:r>
      <w:bookmarkEnd w:id="7"/>
      <w:bookmarkEnd w:id="8"/>
    </w:p>
    <w:p w:rsidR="009B561B" w:rsidRPr="009B561B" w:rsidRDefault="0055067F" w:rsidP="00D652F9">
      <w:pPr>
        <w:pStyle w:val="bodytext"/>
      </w:pPr>
      <w:r w:rsidRPr="009B561B">
        <w:t xml:space="preserve">Information on the number and characteristics of students currently enrolled in graduate SEH programs and engaged in postdoctoral programs is extensively used by NSF, NIH, </w:t>
      </w:r>
      <w:r w:rsidRPr="00D676A3">
        <w:t xml:space="preserve">and </w:t>
      </w:r>
      <w:r w:rsidR="00D676A3" w:rsidRPr="00D676A3">
        <w:t xml:space="preserve">the DOE to assess future </w:t>
      </w:r>
      <w:r w:rsidR="00D676A3" w:rsidRPr="00F850DB">
        <w:t xml:space="preserve">supplies </w:t>
      </w:r>
      <w:r w:rsidRPr="00F850DB">
        <w:t>of</w:t>
      </w:r>
      <w:r w:rsidRPr="00D676A3">
        <w:t xml:space="preserve"> trained science and engineering (S&amp;E) and health</w:t>
      </w:r>
      <w:r w:rsidRPr="009B561B">
        <w:t xml:space="preserve"> personnel. A variety of more general information needs are met through the annual release of data in paper and electronic format. NSF publishes a short </w:t>
      </w:r>
      <w:r w:rsidRPr="009B561B">
        <w:rPr>
          <w:i/>
          <w:iCs/>
        </w:rPr>
        <w:t xml:space="preserve">InfoBrief </w:t>
      </w:r>
      <w:r w:rsidRPr="009B561B">
        <w:t xml:space="preserve">and a set of detailed statistical tables in the online report, </w:t>
      </w:r>
      <w:r w:rsidRPr="009B561B">
        <w:rPr>
          <w:i/>
          <w:iCs/>
        </w:rPr>
        <w:t>Graduate Students and Postdoctorates in Science and Engineering</w:t>
      </w:r>
      <w:r w:rsidRPr="009B561B">
        <w:t>, available on the NCSES website. A public release file is also available on this site.</w:t>
      </w:r>
    </w:p>
    <w:p w:rsidR="009B561B" w:rsidRPr="009B561B" w:rsidRDefault="0055067F" w:rsidP="00D676A3">
      <w:pPr>
        <w:pStyle w:val="bodytext"/>
      </w:pPr>
      <w:r w:rsidRPr="009B561B">
        <w:lastRenderedPageBreak/>
        <w:t xml:space="preserve">Data from the GSS are also available on </w:t>
      </w:r>
      <w:r w:rsidRPr="00D676A3">
        <w:t xml:space="preserve">the </w:t>
      </w:r>
      <w:r w:rsidR="00D676A3" w:rsidRPr="00F850DB">
        <w:t>Web</w:t>
      </w:r>
      <w:r w:rsidRPr="00F850DB">
        <w:t xml:space="preserve"> through</w:t>
      </w:r>
      <w:r w:rsidRPr="009B561B">
        <w:t xml:space="preserve"> the WebCASPAR (Computer Aided Science Policy Analysis and Research) system (</w:t>
      </w:r>
      <w:r w:rsidRPr="009B561B">
        <w:rPr>
          <w:u w:val="single"/>
        </w:rPr>
        <w:t xml:space="preserve">https://webcaspar.nsf.gov). </w:t>
      </w:r>
      <w:r w:rsidRPr="009B561B">
        <w:t xml:space="preserve">WebCASPAR is an institution-based data system, and it contains institutional and summary data from all NSF academic sector surveys for </w:t>
      </w:r>
      <w:r w:rsidRPr="00F850DB">
        <w:t xml:space="preserve">all institutions offering graduate-level instruction and/or maintaining </w:t>
      </w:r>
      <w:r w:rsidR="00D676A3" w:rsidRPr="00F850DB">
        <w:t>research and design (R&amp;D)</w:t>
      </w:r>
      <w:r w:rsidRPr="00D676A3">
        <w:t xml:space="preserve"> activity</w:t>
      </w:r>
      <w:r w:rsidRPr="009B561B">
        <w:t xml:space="preserve"> in SEH fields. Other data included in this system are those compiled from the Department of Education</w:t>
      </w:r>
      <w:r w:rsidR="002E0D41" w:rsidRPr="009B561B">
        <w:t>’</w:t>
      </w:r>
      <w:r w:rsidRPr="009B561B">
        <w:t>s National Center for Education Statistics (NCES) Integrated Postsecondary Education Data System (IPEDS) surveys of Completions, Fall Enrollment, and Finance, and the NSF Survey of Earned Doctorates. This online database is used routinely by NCSES and by program offices in many of the NSF</w:t>
      </w:r>
      <w:r w:rsidR="002E0D41" w:rsidRPr="009B561B">
        <w:t>’</w:t>
      </w:r>
      <w:r w:rsidRPr="009B561B">
        <w:t>s research directorates. Primary uses of the data include to review changing enrollment levels to assess the effects of NSF initiatives; to track student support patterns; and to analyze participation in SEH fields by targeted groups for all disciplines or for selected disciplines and for selected groups of institutions. Program officers check departmental and institutional records, including data from the GSS and NCES IPEDS surveys, to determine department eligibility for NSF programs targeted to special populations or instructional programs.</w:t>
      </w:r>
    </w:p>
    <w:p w:rsidR="0055067F" w:rsidRPr="009B561B" w:rsidRDefault="0055067F" w:rsidP="00742F9D">
      <w:pPr>
        <w:pStyle w:val="Heading4"/>
      </w:pPr>
      <w:r w:rsidRPr="009B561B">
        <w:t>NSF Uses</w:t>
      </w:r>
    </w:p>
    <w:p w:rsidR="0055067F" w:rsidRPr="009B561B" w:rsidRDefault="0055067F" w:rsidP="0055067F">
      <w:pPr>
        <w:pStyle w:val="bodytext"/>
        <w:rPr>
          <w:i/>
          <w:iCs/>
        </w:rPr>
      </w:pPr>
      <w:r w:rsidRPr="009B561B">
        <w:t>Special tabulations from the GSS data constitute a key resource in meeting policy and program information needs of the Foundation. Major examples of GSS data uses are in the Foundation</w:t>
      </w:r>
      <w:r w:rsidR="002E0D41" w:rsidRPr="009B561B">
        <w:t>’</w:t>
      </w:r>
      <w:r w:rsidRPr="009B561B">
        <w:t xml:space="preserve">s two congressionally mandated biennial reports, </w:t>
      </w:r>
      <w:r w:rsidRPr="009B561B">
        <w:rPr>
          <w:i/>
          <w:iCs/>
        </w:rPr>
        <w:t xml:space="preserve">Science and Engineering Indicators </w:t>
      </w:r>
      <w:r w:rsidRPr="009B561B">
        <w:t>and</w:t>
      </w:r>
      <w:r w:rsidRPr="009B561B">
        <w:rPr>
          <w:i/>
          <w:iCs/>
        </w:rPr>
        <w:t xml:space="preserve"> Women</w:t>
      </w:r>
      <w:r w:rsidRPr="009B561B">
        <w:t xml:space="preserve">, </w:t>
      </w:r>
      <w:r w:rsidRPr="009B561B">
        <w:rPr>
          <w:i/>
          <w:iCs/>
        </w:rPr>
        <w:t>Minorities, and Persons with Disabilities in Science and Engineering.</w:t>
      </w:r>
    </w:p>
    <w:p w:rsidR="009B561B" w:rsidRPr="009B561B" w:rsidRDefault="0055067F" w:rsidP="0055067F">
      <w:pPr>
        <w:pStyle w:val="bodytext"/>
      </w:pPr>
      <w:r w:rsidRPr="009B561B">
        <w:t xml:space="preserve">The GSS is one of three NSF surveys whose micro data are combined into an integrated database to produce the publication </w:t>
      </w:r>
      <w:r w:rsidRPr="009B561B">
        <w:rPr>
          <w:i/>
          <w:iCs/>
        </w:rPr>
        <w:t>Academic Institutional Profiles</w:t>
      </w:r>
      <w:r w:rsidRPr="009B561B">
        <w:t>. The other two surveys are (1</w:t>
      </w:r>
      <w:r w:rsidR="001134BA">
        <w:t>) </w:t>
      </w:r>
      <w:r w:rsidRPr="009B561B">
        <w:t>the Higher Education Research and Development (HERD) Survey (formerly known as the Survey of Research and Development Expenditures at Universities and Colleges) and (2</w:t>
      </w:r>
      <w:r w:rsidR="001134BA">
        <w:t>) </w:t>
      </w:r>
      <w:r w:rsidRPr="009B561B">
        <w:t>the Survey of Federal Science and Engineering Support to Universities, Colleges, and Nonprofit Institutions. As explained in the next section, these data are further integrated with institutional data from other NSF surveys and with surveys conducted by the Department of Education. Together these data provide policy makers with information on the role of higher education in the context of the national R&amp;D effort.</w:t>
      </w:r>
    </w:p>
    <w:p w:rsidR="009B561B" w:rsidRPr="009B561B" w:rsidRDefault="0055067F" w:rsidP="00742F9D">
      <w:pPr>
        <w:pStyle w:val="Heading4"/>
      </w:pPr>
      <w:r w:rsidRPr="009B561B">
        <w:lastRenderedPageBreak/>
        <w:t>Other Federal Uses</w:t>
      </w:r>
    </w:p>
    <w:p w:rsidR="009B561B" w:rsidRPr="009B561B" w:rsidRDefault="0055067F" w:rsidP="0055067F">
      <w:pPr>
        <w:pStyle w:val="bodytext"/>
      </w:pPr>
      <w:r w:rsidRPr="009B561B">
        <w:t>Data derived from the GSS are routinely provided to Congress and to various agencies of the Executive Branch. Data have been used recently in the following ways:</w:t>
      </w:r>
    </w:p>
    <w:p w:rsidR="0055067F" w:rsidRPr="009B561B" w:rsidRDefault="0055067F" w:rsidP="0055067F">
      <w:pPr>
        <w:pStyle w:val="bullets"/>
        <w:rPr>
          <w:i/>
          <w:iCs/>
        </w:rPr>
      </w:pPr>
      <w:r w:rsidRPr="009B561B">
        <w:t>Data on graduate SEH enrollment are provided annually to the Department of Education</w:t>
      </w:r>
      <w:r w:rsidR="002E0D41" w:rsidRPr="009B561B">
        <w:t>’</w:t>
      </w:r>
      <w:r w:rsidRPr="009B561B">
        <w:t xml:space="preserve">s NCES for comparison purposes and are published in the </w:t>
      </w:r>
      <w:r w:rsidRPr="009B561B">
        <w:rPr>
          <w:i/>
          <w:iCs/>
        </w:rPr>
        <w:t>Digest of Education Statistics.</w:t>
      </w:r>
    </w:p>
    <w:p w:rsidR="009B561B" w:rsidRPr="009B561B" w:rsidRDefault="0055067F" w:rsidP="0055067F">
      <w:pPr>
        <w:pStyle w:val="bullets"/>
        <w:rPr>
          <w:i/>
          <w:iCs/>
        </w:rPr>
      </w:pPr>
      <w:r w:rsidRPr="009B561B">
        <w:t xml:space="preserve">Trend data on graduate SEH enrollments are published by the Bureau of the Census, Department of Commerce, in the </w:t>
      </w:r>
      <w:r w:rsidRPr="009B561B">
        <w:rPr>
          <w:i/>
          <w:iCs/>
        </w:rPr>
        <w:t>Statistical Abstract of the United States.</w:t>
      </w:r>
    </w:p>
    <w:p w:rsidR="009B561B" w:rsidRPr="009B561B" w:rsidRDefault="0055067F" w:rsidP="00D652F9">
      <w:pPr>
        <w:pStyle w:val="bullets"/>
      </w:pPr>
      <w:r w:rsidRPr="009B561B">
        <w:t>Data in specially prepared GSS tabulations are used by the DOE</w:t>
      </w:r>
      <w:r w:rsidR="00FB7384" w:rsidRPr="009B561B">
        <w:t xml:space="preserve"> </w:t>
      </w:r>
      <w:r w:rsidRPr="009B561B">
        <w:t>and NIH to answer specific questions to help their agencies prepare budgets and conduct program evaluation studies.</w:t>
      </w:r>
    </w:p>
    <w:p w:rsidR="0055067F" w:rsidRPr="009B561B" w:rsidRDefault="0055067F" w:rsidP="0011749A">
      <w:pPr>
        <w:pStyle w:val="Heading3"/>
        <w:spacing w:before="360"/>
        <w:rPr>
          <w:lang w:val="en-US"/>
        </w:rPr>
      </w:pPr>
      <w:bookmarkStart w:id="9" w:name="_Toc286415818"/>
      <w:bookmarkStart w:id="10" w:name="_Toc298763602"/>
      <w:r w:rsidRPr="009B561B">
        <w:rPr>
          <w:lang w:val="en-US"/>
        </w:rPr>
        <w:t>A.2.2</w:t>
      </w:r>
      <w:r w:rsidRPr="009B561B">
        <w:rPr>
          <w:lang w:val="en-US"/>
        </w:rPr>
        <w:tab/>
        <w:t>Use by Academic Institutions</w:t>
      </w:r>
      <w:bookmarkEnd w:id="9"/>
      <w:bookmarkEnd w:id="10"/>
    </w:p>
    <w:p w:rsidR="009B561B" w:rsidRPr="00D676A3" w:rsidRDefault="0055067F" w:rsidP="00D652F9">
      <w:pPr>
        <w:pStyle w:val="bodytext"/>
      </w:pPr>
      <w:r w:rsidRPr="009B561B">
        <w:t>The surveyed institutions themselves are major users of the GSS data. Requests for the data are received from numerous individual institutions and from national academic organizations. The NCSES has been cooperating with the Association of American Universities</w:t>
      </w:r>
      <w:r w:rsidR="002E0D41" w:rsidRPr="009B561B">
        <w:t>’</w:t>
      </w:r>
      <w:r w:rsidRPr="009B561B">
        <w:t xml:space="preserve"> Data Exchange (AAUDE) Group to provide them with comprehensive GSS data. Institutions use the NSF</w:t>
      </w:r>
      <w:r w:rsidR="002E0D41" w:rsidRPr="009B561B">
        <w:t>’</w:t>
      </w:r>
      <w:r w:rsidRPr="009B561B">
        <w:t xml:space="preserve">s GSS data reports or the WebCASPAR system to study selected groups of peer institutions for planning and comparative purposes. They combine the NSF data with information from </w:t>
      </w:r>
      <w:r w:rsidR="00FB7384">
        <w:t>s</w:t>
      </w:r>
      <w:r w:rsidRPr="009B561B">
        <w:t xml:space="preserve">tate and local governments on institutions in their geographic areas. Institutions also use the comparative data to review the strength of </w:t>
      </w:r>
      <w:r w:rsidRPr="00D676A3">
        <w:t xml:space="preserve">their own </w:t>
      </w:r>
      <w:r w:rsidR="00D676A3" w:rsidRPr="00D676A3">
        <w:t>programs on the basis of factors such as support of students by</w:t>
      </w:r>
      <w:r w:rsidR="00D652F9">
        <w:t xml:space="preserve"> </w:t>
      </w:r>
      <w:r w:rsidR="00D676A3" w:rsidRPr="00D676A3">
        <w:t>various federal agencies and progress in reaching special target populations.</w:t>
      </w:r>
    </w:p>
    <w:p w:rsidR="0055067F" w:rsidRPr="009B561B" w:rsidRDefault="0055067F" w:rsidP="0055067F">
      <w:pPr>
        <w:pStyle w:val="Heading3"/>
        <w:rPr>
          <w:lang w:val="en-US"/>
        </w:rPr>
      </w:pPr>
      <w:bookmarkStart w:id="11" w:name="_Toc298763603"/>
      <w:r w:rsidRPr="009B561B">
        <w:rPr>
          <w:lang w:val="en-US"/>
        </w:rPr>
        <w:t>A.2.3</w:t>
      </w:r>
      <w:r w:rsidRPr="009B561B">
        <w:rPr>
          <w:lang w:val="en-US"/>
        </w:rPr>
        <w:tab/>
        <w:t>Use by the Carnegie Foundation</w:t>
      </w:r>
      <w:bookmarkEnd w:id="11"/>
    </w:p>
    <w:p w:rsidR="0055067F" w:rsidRPr="009B561B" w:rsidRDefault="0055067F" w:rsidP="0055067F">
      <w:pPr>
        <w:pStyle w:val="bodytext"/>
      </w:pPr>
      <w:r w:rsidRPr="009B561B">
        <w:t>Data from the GSS are used by The Carnegie Foundation for the Advancement of Teaching in developing the Carnegie Classification of Institutions of Higher Education.</w:t>
      </w:r>
      <w:r w:rsidR="002E0D41" w:rsidRPr="009B561B">
        <w:t xml:space="preserve"> </w:t>
      </w:r>
      <w:r w:rsidRPr="009B561B">
        <w:t xml:space="preserve">The foundation uses the GSS data on postdoctoral appointees and nonfaculty research staff with doctorates as one component of the </w:t>
      </w:r>
      <w:r w:rsidR="002E0D41" w:rsidRPr="009B561B">
        <w:t>“</w:t>
      </w:r>
      <w:r w:rsidRPr="009B561B">
        <w:t>research activity</w:t>
      </w:r>
      <w:r w:rsidR="002E0D41" w:rsidRPr="009B561B">
        <w:t>”</w:t>
      </w:r>
      <w:r w:rsidRPr="009B561B">
        <w:t xml:space="preserve"> measure constructed for doctorate-granting universities (for more detail see: http://classifications.carnegiefoundation.org/methodology/basic.php).</w:t>
      </w:r>
    </w:p>
    <w:p w:rsidR="009B561B" w:rsidRPr="009B561B" w:rsidRDefault="0055067F" w:rsidP="0055067F">
      <w:pPr>
        <w:pStyle w:val="Heading3"/>
        <w:rPr>
          <w:lang w:val="en-US"/>
        </w:rPr>
      </w:pPr>
      <w:bookmarkStart w:id="12" w:name="_Toc286415819"/>
      <w:bookmarkStart w:id="13" w:name="_Toc298763604"/>
      <w:r w:rsidRPr="009B561B">
        <w:rPr>
          <w:lang w:val="en-US"/>
        </w:rPr>
        <w:t>A.2.4</w:t>
      </w:r>
      <w:r w:rsidRPr="009B561B">
        <w:rPr>
          <w:lang w:val="en-US"/>
        </w:rPr>
        <w:tab/>
        <w:t>Professional Societies Uses</w:t>
      </w:r>
      <w:bookmarkEnd w:id="12"/>
      <w:bookmarkEnd w:id="13"/>
    </w:p>
    <w:p w:rsidR="0055067F" w:rsidRPr="009B561B" w:rsidRDefault="0055067F" w:rsidP="0055067F">
      <w:pPr>
        <w:pStyle w:val="bodytext"/>
      </w:pPr>
      <w:r w:rsidRPr="009B561B">
        <w:t xml:space="preserve">Representative data users in this category include American Association of Colleges of Nursing, American Association of Universities, American Chemical Society, American Council </w:t>
      </w:r>
      <w:r w:rsidRPr="009B561B">
        <w:lastRenderedPageBreak/>
        <w:t>of Education, American Geological Society, American Institute of Physics, American Society for Engineering Education, Association of American Medical Colleges, the Carnegie Foundation, Commission on Professionals in Science and Technology, Computing Research Association, Council of Graduate Schools, Federation of Associations of Experimental Biology, and the National Postdoctoral Association.</w:t>
      </w:r>
      <w:r w:rsidR="002E0D41" w:rsidRPr="009B561B">
        <w:t xml:space="preserve"> </w:t>
      </w:r>
      <w:r w:rsidRPr="009B561B">
        <w:t>Associations use GSS data to monitor trends in enrollment by field of study, and many are also interested in tracking the numbers of postdoc and NFRs.</w:t>
      </w:r>
    </w:p>
    <w:p w:rsidR="0055067F" w:rsidRPr="009B561B" w:rsidRDefault="0055067F" w:rsidP="0055067F">
      <w:pPr>
        <w:pStyle w:val="Heading3"/>
        <w:rPr>
          <w:lang w:val="en-US"/>
        </w:rPr>
      </w:pPr>
      <w:bookmarkStart w:id="14" w:name="_Toc286415820"/>
      <w:bookmarkStart w:id="15" w:name="_Toc298763605"/>
      <w:r w:rsidRPr="009B561B">
        <w:rPr>
          <w:lang w:val="en-US"/>
        </w:rPr>
        <w:t>A.2.5</w:t>
      </w:r>
      <w:r w:rsidRPr="009B561B">
        <w:rPr>
          <w:lang w:val="en-US"/>
        </w:rPr>
        <w:tab/>
        <w:t>Media Uses</w:t>
      </w:r>
      <w:bookmarkEnd w:id="14"/>
      <w:bookmarkEnd w:id="15"/>
    </w:p>
    <w:p w:rsidR="0055067F" w:rsidRPr="009B561B" w:rsidRDefault="0055067F" w:rsidP="0055067F">
      <w:pPr>
        <w:pStyle w:val="bodytext"/>
      </w:pPr>
      <w:r w:rsidRPr="009B561B">
        <w:t xml:space="preserve">Enrollment of graduate students in science and engineering fields, particularly those holding temporary visas, are well reported by the press, including CNN, the </w:t>
      </w:r>
      <w:r w:rsidRPr="009B561B">
        <w:rPr>
          <w:i/>
          <w:iCs/>
        </w:rPr>
        <w:t>Chronicle of Higher Education</w:t>
      </w:r>
      <w:r w:rsidRPr="009B561B">
        <w:t xml:space="preserve"> and the </w:t>
      </w:r>
      <w:r w:rsidRPr="009B561B">
        <w:rPr>
          <w:i/>
          <w:iCs/>
        </w:rPr>
        <w:t>Washington Post,</w:t>
      </w:r>
      <w:r w:rsidRPr="009B561B">
        <w:t xml:space="preserve"> and other major national newspapers.</w:t>
      </w:r>
    </w:p>
    <w:p w:rsidR="0055067F" w:rsidRPr="009B561B" w:rsidRDefault="0055067F" w:rsidP="0055067F">
      <w:pPr>
        <w:pStyle w:val="Heading2"/>
      </w:pPr>
      <w:bookmarkStart w:id="16" w:name="_Toc88033467"/>
      <w:bookmarkStart w:id="17" w:name="_Toc286415821"/>
      <w:bookmarkStart w:id="18" w:name="_Toc298763606"/>
      <w:bookmarkStart w:id="19" w:name="_Toc88033471"/>
      <w:bookmarkEnd w:id="6"/>
      <w:r w:rsidRPr="009B561B">
        <w:t>A.3</w:t>
      </w:r>
      <w:r w:rsidRPr="009B561B">
        <w:tab/>
      </w:r>
      <w:bookmarkEnd w:id="16"/>
      <w:r w:rsidRPr="009B561B">
        <w:t>Consideration of Using Improved Technology</w:t>
      </w:r>
      <w:bookmarkEnd w:id="17"/>
      <w:bookmarkEnd w:id="18"/>
    </w:p>
    <w:p w:rsidR="0055067F" w:rsidRPr="009B561B" w:rsidRDefault="0055067F" w:rsidP="0055067F">
      <w:pPr>
        <w:pStyle w:val="bodytext"/>
      </w:pPr>
      <w:r w:rsidRPr="009B561B">
        <w:t xml:space="preserve">Since the fall 1999 survey, GSS respondents have had the option to submit data by either a paper form or through the </w:t>
      </w:r>
      <w:r w:rsidRPr="00F850DB">
        <w:t>World Wide Web</w:t>
      </w:r>
      <w:r w:rsidRPr="009B561B">
        <w:t xml:space="preserve">. All academic institutions chose to report electronically in the fall 2010 survey. The majority of respondents have welcomed the Web version of the GSS for ease of submission and error resolution capabilities. Screenshots of the Web instrument are included in </w:t>
      </w:r>
      <w:r w:rsidR="004A5A28">
        <w:t>Attachment </w:t>
      </w:r>
      <w:r w:rsidRPr="009B561B">
        <w:t>1.</w:t>
      </w:r>
    </w:p>
    <w:p w:rsidR="009B561B" w:rsidRPr="009B561B" w:rsidRDefault="0055067F" w:rsidP="00D676A3">
      <w:pPr>
        <w:pStyle w:val="bodytext"/>
      </w:pPr>
      <w:r w:rsidRPr="009B561B">
        <w:t xml:space="preserve">Reporting burden is stable or potentially reduced when the survey forms and questions are stable and do not vary from year to year. Most of the academic institutions have been in the GSS for many years, and some have established automated systems for assembling the requested data. Most of the data </w:t>
      </w:r>
      <w:r w:rsidR="00D676A3">
        <w:t xml:space="preserve">that </w:t>
      </w:r>
      <w:r w:rsidRPr="009B561B">
        <w:t xml:space="preserve">GSS collects </w:t>
      </w:r>
      <w:r w:rsidR="00D676A3">
        <w:t>are</w:t>
      </w:r>
      <w:r w:rsidR="00D676A3" w:rsidRPr="009B561B">
        <w:t xml:space="preserve"> </w:t>
      </w:r>
      <w:r w:rsidRPr="009B561B">
        <w:t>required by the academic institutions themselves for other reporting requirements and for planning and evaluation purposes.</w:t>
      </w:r>
    </w:p>
    <w:p w:rsidR="0055067F" w:rsidRPr="009B561B" w:rsidRDefault="0055067F" w:rsidP="0055067F">
      <w:pPr>
        <w:pStyle w:val="bodytext"/>
      </w:pPr>
      <w:r w:rsidRPr="009B561B">
        <w:t>The Web version of the survey has a real-time monitoring system, allowing NSF to monitor data, response status, system problems, and comments from respondents. From the perspective of the respondents, the Web version is more convenient and simplifies the survey data reporting (e.g., by automatically checking totals). NSF benefits from the use of the Web version by receiving better quality data more quickly.</w:t>
      </w:r>
    </w:p>
    <w:p w:rsidR="009B561B" w:rsidRPr="009B561B" w:rsidRDefault="00D652F9" w:rsidP="00D652F9">
      <w:pPr>
        <w:pStyle w:val="bodytext"/>
      </w:pPr>
      <w:r>
        <w:t>GSS includes a file upload option that allows institutions to provide count data</w:t>
      </w:r>
      <w:r w:rsidR="0055067F" w:rsidRPr="009B561B">
        <w:t>. In 2010, 39 of the responding institutions completely supplied their data via file upload.</w:t>
      </w:r>
    </w:p>
    <w:p w:rsidR="0055067F" w:rsidRPr="009B561B" w:rsidRDefault="0055067F" w:rsidP="0055067F">
      <w:pPr>
        <w:pStyle w:val="Heading2"/>
      </w:pPr>
      <w:bookmarkStart w:id="20" w:name="_Toc88033468"/>
      <w:bookmarkStart w:id="21" w:name="_Toc286415822"/>
      <w:bookmarkStart w:id="22" w:name="_Toc298763607"/>
      <w:r w:rsidRPr="009B561B">
        <w:lastRenderedPageBreak/>
        <w:t>A.4</w:t>
      </w:r>
      <w:r w:rsidRPr="009B561B">
        <w:tab/>
      </w:r>
      <w:bookmarkEnd w:id="20"/>
      <w:r w:rsidRPr="009B561B">
        <w:t>Identification of Duplication</w:t>
      </w:r>
      <w:bookmarkEnd w:id="21"/>
      <w:bookmarkEnd w:id="22"/>
    </w:p>
    <w:p w:rsidR="009B561B" w:rsidRPr="009B561B" w:rsidRDefault="0055067F" w:rsidP="0055067F">
      <w:pPr>
        <w:pStyle w:val="bodytext"/>
      </w:pPr>
      <w:r w:rsidRPr="009B561B">
        <w:t>NSF staff consults regularly with other federal agencies and private organizations to prevent duplication of data collection activities and to stay abreast of changes in other surveys. Such consultations take place with the Department of Education</w:t>
      </w:r>
      <w:r w:rsidR="002E0D41" w:rsidRPr="009B561B">
        <w:t>’</w:t>
      </w:r>
      <w:r w:rsidRPr="009B561B">
        <w:t>s NCES, the Council of Graduate Schools (CGS), and others. Specific surveys conducted by these groups will be discussed below. In addition, staff of the NCSES participates in a variety of NCES-related activities, including serving on Technical Review Panels and serving on the 2010 Classification of Instructional Programs (CIP) Working Group.</w:t>
      </w:r>
    </w:p>
    <w:p w:rsidR="009B561B" w:rsidRPr="009B561B" w:rsidRDefault="0055067F" w:rsidP="0055067F">
      <w:pPr>
        <w:pStyle w:val="bodytext"/>
      </w:pPr>
      <w:r w:rsidRPr="009B561B">
        <w:t xml:space="preserve">The routine data uses of the federal agencies described in </w:t>
      </w:r>
      <w:r w:rsidR="001134BA">
        <w:t>Section </w:t>
      </w:r>
      <w:r w:rsidRPr="009B561B">
        <w:t>A.2 have largely determined the content of the questionnaire. Only the GSS collects the following information at the level of detailed SEH fields of study:</w:t>
      </w:r>
    </w:p>
    <w:p w:rsidR="009B561B" w:rsidRPr="009B561B" w:rsidRDefault="0055067F" w:rsidP="0055067F">
      <w:pPr>
        <w:pStyle w:val="bullets"/>
      </w:pPr>
      <w:r w:rsidRPr="009B561B">
        <w:t>For full-time graduate students, aggregate counts by</w:t>
      </w:r>
    </w:p>
    <w:p w:rsidR="009B561B" w:rsidRPr="009B561B" w:rsidRDefault="0055067F" w:rsidP="00D41D1D">
      <w:pPr>
        <w:pStyle w:val="bullets-2ndlevel"/>
      </w:pPr>
      <w:r w:rsidRPr="009B561B">
        <w:t>Sources of major financial support (federal agencies, institutions, self-support, etc.)</w:t>
      </w:r>
    </w:p>
    <w:p w:rsidR="009B561B" w:rsidRPr="009B561B" w:rsidRDefault="0055067F" w:rsidP="00D41D1D">
      <w:pPr>
        <w:pStyle w:val="bullets-2ndlevel"/>
      </w:pPr>
      <w:r w:rsidRPr="009B561B">
        <w:t>Mechanisms of major financial support (fellowships, teaching assistantships, etc.)</w:t>
      </w:r>
    </w:p>
    <w:p w:rsidR="009B561B" w:rsidRPr="009B561B" w:rsidRDefault="0055067F" w:rsidP="00D41D1D">
      <w:pPr>
        <w:pStyle w:val="bullets-2ndlevel"/>
      </w:pPr>
      <w:r w:rsidRPr="009B561B">
        <w:t>gender</w:t>
      </w:r>
    </w:p>
    <w:p w:rsidR="009B561B" w:rsidRPr="009B561B" w:rsidRDefault="0055067F" w:rsidP="00D41D1D">
      <w:pPr>
        <w:pStyle w:val="bullets-2ndlevel"/>
      </w:pPr>
      <w:r w:rsidRPr="009B561B">
        <w:t>citizenship</w:t>
      </w:r>
    </w:p>
    <w:p w:rsidR="009B561B" w:rsidRPr="009B561B" w:rsidRDefault="0055067F" w:rsidP="00D41D1D">
      <w:pPr>
        <w:pStyle w:val="bullets-2ndlevel"/>
      </w:pPr>
      <w:r w:rsidRPr="009B561B">
        <w:t>enrollment status (full-time or part-time; first time)</w:t>
      </w:r>
    </w:p>
    <w:p w:rsidR="009B561B" w:rsidRPr="009B561B" w:rsidRDefault="0055067F" w:rsidP="00D41D1D">
      <w:pPr>
        <w:pStyle w:val="bullets-2ndlevel"/>
      </w:pPr>
      <w:r w:rsidRPr="009B561B">
        <w:t xml:space="preserve">race/ethnicity background of </w:t>
      </w:r>
      <w:r w:rsidR="004A5A28">
        <w:t>U.S</w:t>
      </w:r>
      <w:r w:rsidRPr="009B561B">
        <w:t>. citizens</w:t>
      </w:r>
    </w:p>
    <w:p w:rsidR="0055067F" w:rsidRPr="009B561B" w:rsidRDefault="0055067F" w:rsidP="0055067F">
      <w:pPr>
        <w:pStyle w:val="bullets"/>
      </w:pPr>
      <w:r w:rsidRPr="009B561B">
        <w:t>For part-time graduate students, aggregate counts by</w:t>
      </w:r>
    </w:p>
    <w:p w:rsidR="009B561B" w:rsidRPr="009B561B" w:rsidRDefault="0055067F" w:rsidP="00D41D1D">
      <w:pPr>
        <w:pStyle w:val="bullets-2ndlevel"/>
      </w:pPr>
      <w:r w:rsidRPr="009B561B">
        <w:t>gender</w:t>
      </w:r>
    </w:p>
    <w:p w:rsidR="009B561B" w:rsidRPr="009B561B" w:rsidRDefault="0055067F" w:rsidP="00D41D1D">
      <w:pPr>
        <w:pStyle w:val="bullets-2ndlevel"/>
      </w:pPr>
      <w:r w:rsidRPr="009B561B">
        <w:t>citizenship</w:t>
      </w:r>
    </w:p>
    <w:p w:rsidR="0055067F" w:rsidRPr="009B561B" w:rsidRDefault="004A5A28" w:rsidP="00D41D1D">
      <w:pPr>
        <w:pStyle w:val="bullets-2ndlevel"/>
      </w:pPr>
      <w:r>
        <w:t>race/ethnicity background of U.</w:t>
      </w:r>
      <w:r w:rsidR="0055067F" w:rsidRPr="009B561B">
        <w:t>S. citizens</w:t>
      </w:r>
    </w:p>
    <w:p w:rsidR="009B561B" w:rsidRPr="009B561B" w:rsidRDefault="0055067F" w:rsidP="0055067F">
      <w:pPr>
        <w:pStyle w:val="bullets"/>
      </w:pPr>
      <w:r w:rsidRPr="009B561B">
        <w:t>For postdocs, aggregate counts by</w:t>
      </w:r>
    </w:p>
    <w:p w:rsidR="009B561B" w:rsidRPr="009B561B" w:rsidRDefault="0055067F" w:rsidP="00D41D1D">
      <w:pPr>
        <w:pStyle w:val="bullets-2ndlevel"/>
      </w:pPr>
      <w:r w:rsidRPr="009B561B">
        <w:t>sources of major financial support</w:t>
      </w:r>
    </w:p>
    <w:p w:rsidR="009B561B" w:rsidRPr="009B561B" w:rsidRDefault="0055067F" w:rsidP="00D41D1D">
      <w:pPr>
        <w:pStyle w:val="bullets-2ndlevel"/>
      </w:pPr>
      <w:r w:rsidRPr="009B561B">
        <w:t>gender</w:t>
      </w:r>
    </w:p>
    <w:p w:rsidR="0055067F" w:rsidRPr="009B561B" w:rsidRDefault="0055067F" w:rsidP="00D41D1D">
      <w:pPr>
        <w:pStyle w:val="bullets-2ndlevel"/>
      </w:pPr>
      <w:r w:rsidRPr="009B561B">
        <w:t>citizenship</w:t>
      </w:r>
    </w:p>
    <w:p w:rsidR="0055067F" w:rsidRPr="009B561B" w:rsidRDefault="0055067F" w:rsidP="00D41D1D">
      <w:pPr>
        <w:pStyle w:val="bullets-2ndlevel"/>
      </w:pPr>
      <w:r w:rsidRPr="009B561B">
        <w:t>type of doctoral degree</w:t>
      </w:r>
    </w:p>
    <w:p w:rsidR="009B561B" w:rsidRPr="009B561B" w:rsidRDefault="0055067F" w:rsidP="00D41D1D">
      <w:pPr>
        <w:pStyle w:val="bullets-2ndlevel"/>
      </w:pPr>
      <w:r w:rsidRPr="009B561B">
        <w:t>doctoral degree origin</w:t>
      </w:r>
    </w:p>
    <w:p w:rsidR="009B561B" w:rsidRPr="009B561B" w:rsidRDefault="0055067F" w:rsidP="0011749A">
      <w:pPr>
        <w:pStyle w:val="bodytext"/>
        <w:spacing w:before="240"/>
      </w:pPr>
      <w:r w:rsidRPr="009B561B">
        <w:t xml:space="preserve">Because the data are collected from all eligible institutions with graduate SEH departments, data are available at the detailed field of study by institutional characteristics, such </w:t>
      </w:r>
      <w:r w:rsidRPr="009B561B">
        <w:lastRenderedPageBreak/>
        <w:t xml:space="preserve">as highest degree granted, geographical distribution, type of control (public or private), or any other special grouping (medical schools, historically black colleges and universities, land-grant institutions, etc.) as well as by rankings on various characteristics (foreign enrollment, minority enrollment, </w:t>
      </w:r>
      <w:r w:rsidR="00D676A3">
        <w:t xml:space="preserve">field-specific </w:t>
      </w:r>
      <w:r w:rsidRPr="009B561B">
        <w:t>enrollment, etc.)</w:t>
      </w:r>
    </w:p>
    <w:p w:rsidR="009B561B" w:rsidRPr="009B561B" w:rsidRDefault="0055067F" w:rsidP="00D652F9">
      <w:pPr>
        <w:pStyle w:val="bodytext"/>
      </w:pPr>
      <w:r w:rsidRPr="009B561B">
        <w:t xml:space="preserve">Some graduate enrollment data are collected by other organizations, either federal or private, but none of the other data collection efforts contain the detailed field distribution that is required for analyses </w:t>
      </w:r>
      <w:r w:rsidR="00D676A3" w:rsidRPr="00D676A3">
        <w:t xml:space="preserve">and provides the necessary data for the NSF, NIH, and </w:t>
      </w:r>
      <w:r w:rsidR="00D652F9">
        <w:t>DOE</w:t>
      </w:r>
      <w:r w:rsidRPr="00D676A3">
        <w:t>. Furthermore</w:t>
      </w:r>
      <w:r w:rsidRPr="009B561B">
        <w:t>, no other surveys collect data on federal agencies</w:t>
      </w:r>
      <w:r w:rsidR="002E0D41" w:rsidRPr="009B561B">
        <w:t>’</w:t>
      </w:r>
      <w:r w:rsidRPr="009B561B">
        <w:t xml:space="preserve"> support of graduate students.</w:t>
      </w:r>
    </w:p>
    <w:p w:rsidR="0055067F" w:rsidRPr="009B561B" w:rsidRDefault="0055067F" w:rsidP="00F850DB">
      <w:pPr>
        <w:pStyle w:val="bodytext"/>
      </w:pPr>
      <w:r w:rsidRPr="009B561B">
        <w:t xml:space="preserve">The IPEDS, for example, collects race/ethnicity data every 2 years </w:t>
      </w:r>
      <w:r w:rsidRPr="00F850DB">
        <w:t xml:space="preserve">for </w:t>
      </w:r>
      <w:r w:rsidR="00F850DB" w:rsidRPr="00F850DB">
        <w:t>nine</w:t>
      </w:r>
      <w:r w:rsidRPr="00F850DB">
        <w:t xml:space="preserve"> selected</w:t>
      </w:r>
      <w:r w:rsidRPr="009B561B">
        <w:t xml:space="preserve"> fields, of which </w:t>
      </w:r>
      <w:r w:rsidR="00F850DB">
        <w:t>four</w:t>
      </w:r>
      <w:r w:rsidR="00F850DB" w:rsidRPr="009B561B">
        <w:t xml:space="preserve"> </w:t>
      </w:r>
      <w:r w:rsidRPr="009B561B">
        <w:t>are within the NSF definition of science and engineering (and at a more general level than is collected for GSS). The IPEDS annual fall enrollment data collected by race/ethnicity category are not reported by the field and hence do not provide a viable substitute for the race/ethnicity data collected in the GSS. No data are collected on source of support or on postdocs and NFRs. The categories used on the GSS are already in compliance with the OMB race/ethnicity guidelines.</w:t>
      </w:r>
    </w:p>
    <w:p w:rsidR="009B561B" w:rsidRPr="009B561B" w:rsidRDefault="0055067F" w:rsidP="0055067F">
      <w:pPr>
        <w:pStyle w:val="bodytext"/>
      </w:pPr>
      <w:r w:rsidRPr="009B561B">
        <w:t>The CGS conducts an annual survey of graduate enrollment in cooperation with the Graduate Records Examinations (GRE) Board, surveying 806 institutions in 2009 that were members of the CGS or one of the four regional graduate school associations—the Conference of Southern Graduate Schools, the Midwestern Association of Graduate Schools, the Northeastern Association of Graduate Schools, and the Western Association of Graduate Schools. The survey collects data by nine broad fields of study using the GRE discipline codes as its taxonomy, type of institutional control, and highest level of degree offered, but has no data on source of financial support. It also collects information on postbaccalaureate and post-master</w:t>
      </w:r>
      <w:r w:rsidR="002E0D41" w:rsidRPr="009B561B">
        <w:t>’</w:t>
      </w:r>
      <w:r w:rsidRPr="009B561B">
        <w:t>s certificates and applications to graduate schools. Only the GSS maintains detailed data on all SEH fields at all eligible institutions and institution-provided data on source of financial support.</w:t>
      </w:r>
    </w:p>
    <w:p w:rsidR="009B561B" w:rsidRPr="009B561B" w:rsidRDefault="0055067F" w:rsidP="0055067F">
      <w:pPr>
        <w:pStyle w:val="bodytext"/>
      </w:pPr>
      <w:r w:rsidRPr="009B561B">
        <w:t xml:space="preserve">A number of surveys are conducted by other professional societies or by groups of institutions, and are limited to a single field or group of related fields or to institutions that are members of the organization. These surveys may collect far more detailed data on the fields of interest to the organization conducting the survey, and may even collect data on topics not covered by the GSS (e.g., on undergraduate enrollment), but they do not provide compatible data </w:t>
      </w:r>
      <w:r w:rsidRPr="009B561B">
        <w:lastRenderedPageBreak/>
        <w:t>on all SEH fields, nor do they often address the issue of types and sources of financial support for graduate students.</w:t>
      </w:r>
    </w:p>
    <w:p w:rsidR="0055067F" w:rsidRPr="009B561B" w:rsidRDefault="0055067F" w:rsidP="0055067F">
      <w:pPr>
        <w:pStyle w:val="bodytext"/>
      </w:pPr>
      <w:r w:rsidRPr="009B561B">
        <w:t>For the past several years, NCSES has conducted an initiative to determine the feasibility of collecting data on the number and characteristics of postdocs in the United States. In 2009, NSF piloted an expanded postdoc section within the GSS, and based on the results, implemented the new section for all institutions in the 2010 cycle. For the foreseeable future the GSS will continue to collect the postdoc information for the academic sector.</w:t>
      </w:r>
    </w:p>
    <w:p w:rsidR="0055067F" w:rsidRPr="009B561B" w:rsidRDefault="0055067F" w:rsidP="00D41D1D">
      <w:pPr>
        <w:pStyle w:val="Heading2"/>
      </w:pPr>
      <w:bookmarkStart w:id="23" w:name="_Toc88033469"/>
      <w:bookmarkStart w:id="24" w:name="_Toc286415823"/>
      <w:bookmarkStart w:id="25" w:name="_Toc298763608"/>
      <w:r w:rsidRPr="009B561B">
        <w:t>A.5</w:t>
      </w:r>
      <w:r w:rsidRPr="009B561B">
        <w:tab/>
      </w:r>
      <w:bookmarkEnd w:id="23"/>
      <w:r w:rsidRPr="009B561B">
        <w:t>Small Businesses Involvement</w:t>
      </w:r>
      <w:bookmarkEnd w:id="24"/>
      <w:bookmarkEnd w:id="25"/>
    </w:p>
    <w:p w:rsidR="0055067F" w:rsidRPr="009B561B" w:rsidRDefault="0055067F" w:rsidP="0055067F">
      <w:pPr>
        <w:pStyle w:val="bodytext"/>
      </w:pPr>
      <w:r w:rsidRPr="009B561B">
        <w:t xml:space="preserve">The survey universe consists entirely of </w:t>
      </w:r>
      <w:r w:rsidR="004A5A28">
        <w:t>U.S</w:t>
      </w:r>
      <w:r w:rsidRPr="009B561B">
        <w:t>. universities and colleges that enroll graduate students and FFRDCs that have postdoctoral appointments.</w:t>
      </w:r>
    </w:p>
    <w:p w:rsidR="0055067F" w:rsidRPr="009B561B" w:rsidRDefault="0055067F" w:rsidP="00D41D1D">
      <w:pPr>
        <w:pStyle w:val="Heading2"/>
      </w:pPr>
      <w:bookmarkStart w:id="26" w:name="_Toc88033470"/>
      <w:bookmarkStart w:id="27" w:name="_Toc286415824"/>
      <w:bookmarkStart w:id="28" w:name="_Toc298763609"/>
      <w:r w:rsidRPr="009B561B">
        <w:t>A.6</w:t>
      </w:r>
      <w:r w:rsidRPr="009B561B">
        <w:tab/>
      </w:r>
      <w:bookmarkEnd w:id="26"/>
      <w:r w:rsidRPr="009B561B">
        <w:t>Consequences of Less Frequent Surveying</w:t>
      </w:r>
      <w:bookmarkEnd w:id="27"/>
      <w:bookmarkEnd w:id="28"/>
    </w:p>
    <w:p w:rsidR="009B561B" w:rsidRPr="009B561B" w:rsidRDefault="0055067F" w:rsidP="00D652F9">
      <w:pPr>
        <w:pStyle w:val="bodytext"/>
      </w:pPr>
      <w:r w:rsidRPr="009B561B">
        <w:t>A less frequent survey cycle would have several serious consequences. The first, of course, would be the loss of information. Because of the active</w:t>
      </w:r>
      <w:r w:rsidR="00D652F9">
        <w:t>-</w:t>
      </w:r>
      <w:r w:rsidRPr="009B561B">
        <w:t>data uses described previously, biennial or less frequent surveys mean</w:t>
      </w:r>
      <w:r w:rsidR="00D676A3">
        <w:t>s</w:t>
      </w:r>
      <w:r w:rsidRPr="009B561B">
        <w:t xml:space="preserve"> that data users would be unable to access what is now current information. Minor shifts in enrollment trends are monitored as early indicators of likely future changes in the supply of SEH professionals.</w:t>
      </w:r>
    </w:p>
    <w:p w:rsidR="009B561B" w:rsidRPr="009B561B" w:rsidRDefault="0055067F" w:rsidP="0055067F">
      <w:pPr>
        <w:pStyle w:val="bodytext"/>
      </w:pPr>
      <w:r w:rsidRPr="009B561B">
        <w:t>Collecting the GSS annually increases the value of the data for monitoring trends, particularly the effects of dramatic changes in the larger context. Recent examples are changes in enrollment that correspond to the dot-com boom and bust and the events of September 11, 2001. Less than annual data collection may not capture such changes or reveal the inflection point of a changing trend. For the past few years, the release of the GSS fall enrollment data has been eagerly awaited to see the trends in SEH graduate enrollment in foreign visa holders post 9/11. Enrollment for this pool of graduate students did not drop immediately (i.e., in 2001), and the trends differed by several years for first-time enrollment and total enrollment. Those nuances would have been lost if the data had not been collected every year.</w:t>
      </w:r>
    </w:p>
    <w:p w:rsidR="009B561B" w:rsidRPr="009B561B" w:rsidRDefault="0055067F" w:rsidP="0055067F">
      <w:pPr>
        <w:pStyle w:val="bodytext"/>
      </w:pPr>
      <w:r w:rsidRPr="009B561B">
        <w:t xml:space="preserve">Most colleges and universities have automated record keeping systems, facilitating their ability to respond to the GSS on an annual cycle. These automated record systems considerably reduce the time required to assemble and report information needed for the GSS related to graduate enrollment by field, postdoctoral appointment, and sources and mechanisms of support, </w:t>
      </w:r>
      <w:r w:rsidRPr="009B561B">
        <w:lastRenderedPageBreak/>
        <w:t>etc. Thus, because the database and software are retained, kept current, and easily accessed, collecting consistent data annually considerably reduces respondent burden for academic institutions with automated data systems.</w:t>
      </w:r>
    </w:p>
    <w:p w:rsidR="0055067F" w:rsidRPr="009B561B" w:rsidRDefault="0055067F" w:rsidP="0055067F">
      <w:pPr>
        <w:pStyle w:val="bodytext"/>
      </w:pPr>
      <w:r w:rsidRPr="009B561B">
        <w:t>Annual collection also contributes to the continuity of contacts with the SCs within institutions. Having this continuity helps the SCs maintain their databases and, therefore, maintain the quality of the data.</w:t>
      </w:r>
    </w:p>
    <w:p w:rsidR="009B561B" w:rsidRPr="009B561B" w:rsidRDefault="00D41D1D" w:rsidP="00D41D1D">
      <w:pPr>
        <w:pStyle w:val="Heading2"/>
      </w:pPr>
      <w:bookmarkStart w:id="29" w:name="_Toc286415825"/>
      <w:bookmarkStart w:id="30" w:name="_Toc298763610"/>
      <w:bookmarkStart w:id="31" w:name="_Toc88033474"/>
      <w:bookmarkEnd w:id="19"/>
      <w:r w:rsidRPr="009B561B">
        <w:t>A.7</w:t>
      </w:r>
      <w:r w:rsidRPr="009B561B">
        <w:tab/>
        <w:t>Special Circumstances</w:t>
      </w:r>
      <w:bookmarkEnd w:id="29"/>
      <w:bookmarkEnd w:id="30"/>
    </w:p>
    <w:p w:rsidR="00D41D1D" w:rsidRPr="009B561B" w:rsidRDefault="00D41D1D" w:rsidP="00D41D1D">
      <w:pPr>
        <w:pStyle w:val="bodytext"/>
      </w:pPr>
      <w:r w:rsidRPr="009B561B">
        <w:t>There are no special circumstances.</w:t>
      </w:r>
    </w:p>
    <w:p w:rsidR="00D41D1D" w:rsidRPr="009B561B" w:rsidRDefault="00D41D1D" w:rsidP="007B1CD6">
      <w:pPr>
        <w:pStyle w:val="Heading2"/>
      </w:pPr>
      <w:bookmarkStart w:id="32" w:name="_Toc88033472"/>
      <w:bookmarkStart w:id="33" w:name="_Toc286415826"/>
      <w:bookmarkStart w:id="34" w:name="_Toc298763611"/>
      <w:r w:rsidRPr="009B561B">
        <w:t>A.8</w:t>
      </w:r>
      <w:r w:rsidRPr="009B561B">
        <w:tab/>
      </w:r>
      <w:bookmarkEnd w:id="32"/>
      <w:r w:rsidRPr="009B561B">
        <w:t xml:space="preserve">Federal Register Notice and Consultations with Persons </w:t>
      </w:r>
      <w:r w:rsidR="007B1CD6">
        <w:t>o</w:t>
      </w:r>
      <w:r w:rsidRPr="009B561B">
        <w:t>utside the Agency</w:t>
      </w:r>
      <w:bookmarkEnd w:id="33"/>
      <w:bookmarkEnd w:id="34"/>
    </w:p>
    <w:p w:rsidR="00D41D1D" w:rsidRPr="009B561B" w:rsidRDefault="00D41D1D" w:rsidP="00FB7384">
      <w:pPr>
        <w:pStyle w:val="bodytext"/>
      </w:pPr>
      <w:r w:rsidRPr="009B561B">
        <w:t xml:space="preserve">The Federal Register notice was published on May 11, 2011 (see </w:t>
      </w:r>
      <w:r w:rsidR="004A5A28">
        <w:t>Attachment </w:t>
      </w:r>
      <w:r w:rsidRPr="009B561B">
        <w:t>9). NSF received one public comment in response to the announcement as of the closeout date of July 11, 20</w:t>
      </w:r>
      <w:r w:rsidR="004A5A28">
        <w:t>1</w:t>
      </w:r>
      <w:r w:rsidRPr="009B561B">
        <w:t>1.</w:t>
      </w:r>
      <w:r w:rsidR="002E0D41" w:rsidRPr="009B561B">
        <w:t xml:space="preserve"> </w:t>
      </w:r>
      <w:r w:rsidRPr="009B561B">
        <w:t xml:space="preserve">The comment came from Jean Public via </w:t>
      </w:r>
      <w:r w:rsidR="00903F80">
        <w:t>e</w:t>
      </w:r>
      <w:r w:rsidR="00903F80">
        <w:noBreakHyphen/>
      </w:r>
      <w:r w:rsidRPr="009B561B">
        <w:t>mail on May 12, 2011.</w:t>
      </w:r>
      <w:r w:rsidR="002E0D41" w:rsidRPr="009B561B">
        <w:t xml:space="preserve"> </w:t>
      </w:r>
      <w:r w:rsidRPr="009B561B">
        <w:t>Ms. Public objected to the information collection</w:t>
      </w:r>
      <w:r w:rsidR="00FB7384">
        <w:t>, and she</w:t>
      </w:r>
      <w:r w:rsidRPr="009B561B">
        <w:t xml:space="preserve"> suggested less frequent data collection of this survey. NSF responded to Ms. Public on May 26, 2011, describing the program and addressing the survey frequency and the cost issues raised by Ms. Public.</w:t>
      </w:r>
      <w:r w:rsidR="002E0D41" w:rsidRPr="009B561B">
        <w:t xml:space="preserve"> </w:t>
      </w:r>
      <w:r w:rsidRPr="009B561B">
        <w:t>NSF believes that because the comment does not pertain to the collection of information on the required forms for which NSF is seeking OMB approval, NSF is proceeding with the clearance request.</w:t>
      </w:r>
    </w:p>
    <w:p w:rsidR="009B561B" w:rsidRPr="009B561B" w:rsidRDefault="00D41D1D" w:rsidP="00D652F9">
      <w:pPr>
        <w:pStyle w:val="bodytext"/>
      </w:pPr>
      <w:r w:rsidRPr="009B561B">
        <w:t>NSF regularly consults with the Department of Education</w:t>
      </w:r>
      <w:r w:rsidR="002E0D41" w:rsidRPr="009B561B">
        <w:t>’</w:t>
      </w:r>
      <w:r w:rsidRPr="009B561B">
        <w:t xml:space="preserve">s NCES and other federal agencies, such as NIH and </w:t>
      </w:r>
      <w:r w:rsidR="00D652F9">
        <w:t>DOE</w:t>
      </w:r>
      <w:r w:rsidRPr="009B561B">
        <w:t>, professional societies, and university staff. NSF staff members maintain frequent contact with members of the data-using community as well as with major academic data providers through attendance at professional society meetings and consultation with institutional and agency officials. The GSS survey manager held sessions on proposed changes to the GSS at the Association for Institutional Researchers (AIR) Annual Forum each year from 2005 through 2010 to obtain respondent input.</w:t>
      </w:r>
    </w:p>
    <w:p w:rsidR="00D41D1D" w:rsidRPr="009B561B" w:rsidRDefault="00D41D1D" w:rsidP="00D41D1D">
      <w:pPr>
        <w:pStyle w:val="bodytext"/>
      </w:pPr>
      <w:r w:rsidRPr="009B561B">
        <w:t xml:space="preserve">NSF has also conducted meetings with users of the GSS data in 2008 and 2009, and asked for their feedback on proposed survey design changes and for user input on future data needs. In 2008, a meeting was convened with representatives of disciplinary and higher education associations, and in 2009, a meeting was held with respondents from graduate schools, </w:t>
      </w:r>
      <w:r w:rsidRPr="009B561B">
        <w:lastRenderedPageBreak/>
        <w:t>in conjunction with the CGS annual meeting. Their input has been used to adapt the survey and procedures.</w:t>
      </w:r>
    </w:p>
    <w:p w:rsidR="00D41D1D" w:rsidRPr="009B561B" w:rsidRDefault="00D41D1D" w:rsidP="00D41D1D">
      <w:pPr>
        <w:pStyle w:val="Heading2"/>
      </w:pPr>
      <w:bookmarkStart w:id="35" w:name="_Toc88033473"/>
      <w:bookmarkStart w:id="36" w:name="_Toc286415827"/>
      <w:bookmarkStart w:id="37" w:name="_Toc298763612"/>
      <w:r w:rsidRPr="009B561B">
        <w:t>A.9</w:t>
      </w:r>
      <w:r w:rsidRPr="009B561B">
        <w:tab/>
      </w:r>
      <w:bookmarkEnd w:id="35"/>
      <w:r w:rsidRPr="009B561B">
        <w:t>Payment or Gifts to Nonrespondents</w:t>
      </w:r>
      <w:bookmarkEnd w:id="36"/>
      <w:bookmarkEnd w:id="37"/>
    </w:p>
    <w:p w:rsidR="00D41D1D" w:rsidRPr="009B561B" w:rsidRDefault="00D41D1D" w:rsidP="00D41D1D">
      <w:pPr>
        <w:pStyle w:val="bodytext"/>
      </w:pPr>
      <w:r w:rsidRPr="009B561B">
        <w:t>Not applicable. There are no payments to GSS respondents.</w:t>
      </w:r>
    </w:p>
    <w:p w:rsidR="009B561B" w:rsidRPr="009B561B" w:rsidRDefault="00D41D1D" w:rsidP="00D41D1D">
      <w:pPr>
        <w:pStyle w:val="Heading2"/>
      </w:pPr>
      <w:bookmarkStart w:id="38" w:name="_Toc286415828"/>
      <w:bookmarkStart w:id="39" w:name="_Toc298763613"/>
      <w:r w:rsidRPr="009B561B">
        <w:t>A.10</w:t>
      </w:r>
      <w:r w:rsidRPr="009B561B">
        <w:tab/>
        <w:t>Assurance of Confidentiality</w:t>
      </w:r>
      <w:bookmarkEnd w:id="38"/>
      <w:bookmarkEnd w:id="39"/>
    </w:p>
    <w:p w:rsidR="00D41D1D" w:rsidRPr="009B561B" w:rsidRDefault="00D41D1D" w:rsidP="00D41D1D">
      <w:pPr>
        <w:pStyle w:val="bodytext"/>
      </w:pPr>
      <w:r w:rsidRPr="009B561B">
        <w:t>No pledge of confidentiality is given to institutions providing data to the GSS. Data collected in the GSS are aggregate counts of students, postdocs, and NFRs. Data are published only at the departmental summary level.</w:t>
      </w:r>
    </w:p>
    <w:p w:rsidR="00D41D1D" w:rsidRPr="009B561B" w:rsidRDefault="00D41D1D" w:rsidP="00D41D1D">
      <w:pPr>
        <w:pStyle w:val="Heading2"/>
      </w:pPr>
      <w:bookmarkStart w:id="40" w:name="_Toc286415829"/>
      <w:bookmarkStart w:id="41" w:name="_Toc298763614"/>
      <w:r w:rsidRPr="009B561B">
        <w:t>A.11</w:t>
      </w:r>
      <w:r w:rsidRPr="009B561B">
        <w:tab/>
        <w:t>Sensitive Questions</w:t>
      </w:r>
      <w:bookmarkEnd w:id="40"/>
      <w:bookmarkEnd w:id="41"/>
    </w:p>
    <w:p w:rsidR="009B561B" w:rsidRPr="009B561B" w:rsidRDefault="00D41D1D" w:rsidP="00D41D1D">
      <w:pPr>
        <w:pStyle w:val="bodytext"/>
      </w:pPr>
      <w:r w:rsidRPr="009B561B">
        <w:t>The survey questionnaire does not contain any questions of a sensitive nature.</w:t>
      </w:r>
    </w:p>
    <w:p w:rsidR="00D41D1D" w:rsidRPr="009B561B" w:rsidRDefault="00D41D1D" w:rsidP="00DF0F0C">
      <w:pPr>
        <w:pStyle w:val="Heading2"/>
      </w:pPr>
      <w:bookmarkStart w:id="42" w:name="_Toc286415830"/>
      <w:bookmarkStart w:id="43" w:name="_Toc298763615"/>
      <w:bookmarkEnd w:id="31"/>
      <w:r w:rsidRPr="009B561B">
        <w:t>A.12</w:t>
      </w:r>
      <w:r w:rsidRPr="009B561B">
        <w:tab/>
        <w:t>Estimated Response Burden</w:t>
      </w:r>
      <w:bookmarkEnd w:id="42"/>
      <w:bookmarkEnd w:id="43"/>
    </w:p>
    <w:p w:rsidR="009B561B" w:rsidRPr="009B561B" w:rsidRDefault="00D41D1D" w:rsidP="00DF0F0C">
      <w:pPr>
        <w:pStyle w:val="bodytext"/>
      </w:pPr>
      <w:r w:rsidRPr="009B561B">
        <w:t>In the 2010 GSS, respondents were asked to report how long it took them to complete the GSS.</w:t>
      </w:r>
      <w:r w:rsidR="002E0D41" w:rsidRPr="009B561B">
        <w:t xml:space="preserve"> </w:t>
      </w:r>
      <w:r w:rsidRPr="009B561B">
        <w:t>There were approximately 13,984 reporting units in the 2010 cycle; the average estimated burden was 2.78 hours per unit, for a total burden of 38,876 hours.</w:t>
      </w:r>
      <w:r w:rsidR="002E0D41" w:rsidRPr="009B561B">
        <w:t xml:space="preserve"> </w:t>
      </w:r>
      <w:r w:rsidRPr="009B561B">
        <w:t>[Note: An organizational unit can be a department, program, research center, or health care facility.]</w:t>
      </w:r>
      <w:r w:rsidR="002E0D41" w:rsidRPr="009B561B">
        <w:t xml:space="preserve"> </w:t>
      </w:r>
      <w:r w:rsidRPr="009B561B">
        <w:t xml:space="preserve">The burden in 2010 was larger than in previous years because of the addition of </w:t>
      </w:r>
      <w:r w:rsidR="00FB7384">
        <w:t xml:space="preserve">a </w:t>
      </w:r>
      <w:r w:rsidRPr="009B561B">
        <w:t>more detailed section on postdocs.</w:t>
      </w:r>
    </w:p>
    <w:p w:rsidR="00D41D1D" w:rsidRPr="009B561B" w:rsidRDefault="00D41D1D" w:rsidP="00DF0F0C">
      <w:pPr>
        <w:pStyle w:val="bodytext"/>
      </w:pPr>
      <w:r w:rsidRPr="009B561B">
        <w:t>In keeping with prior experience, we estimate that the per unit burden will decrease slightly each year as respondents become familiar with the items in the survey, thus we estimate a burden of 2.7 hours per unit in 2011.</w:t>
      </w:r>
      <w:r w:rsidR="002E0D41" w:rsidRPr="009B561B">
        <w:t xml:space="preserve"> </w:t>
      </w:r>
      <w:r w:rsidRPr="009B561B">
        <w:t xml:space="preserve">We anticipate that the number of units reporting in 2011 cycle will include the units in 2010, plus approximately </w:t>
      </w:r>
      <w:r w:rsidR="00756D31">
        <w:t xml:space="preserve">a </w:t>
      </w:r>
      <w:r w:rsidRPr="009B561B">
        <w:t xml:space="preserve">3% increase. In addition, we anticipate that another 500 units will be added as a result of the GSS frame expansion study currently being conducted. Finally, in 2011 we will again conduct the FFRDC survey on the postdocs. A total of 40,428 hours are requested for the 2011 cycle of GSS. These figures are presented in </w:t>
      </w:r>
      <w:r w:rsidR="00DF0F0C" w:rsidRPr="009B561B">
        <w:t>Exhibit 1</w:t>
      </w:r>
      <w:r w:rsidRPr="009B561B">
        <w:t>.</w:t>
      </w:r>
    </w:p>
    <w:p w:rsidR="00D41D1D" w:rsidRPr="009B561B" w:rsidRDefault="00DF0F0C" w:rsidP="00DF0F0C">
      <w:pPr>
        <w:pStyle w:val="FigureTitle"/>
      </w:pPr>
      <w:bookmarkStart w:id="44" w:name="_Ref286304044"/>
      <w:bookmarkStart w:id="45" w:name="_Toc286415613"/>
      <w:bookmarkStart w:id="46" w:name="_Toc298764187"/>
      <w:r w:rsidRPr="009B561B">
        <w:lastRenderedPageBreak/>
        <w:t>Exhibit </w:t>
      </w:r>
      <w:fldSimple w:instr=" SEQ Exhibit \* ARABIC ">
        <w:r w:rsidR="0011749A">
          <w:rPr>
            <w:noProof/>
          </w:rPr>
          <w:t>1</w:t>
        </w:r>
      </w:fldSimple>
      <w:bookmarkEnd w:id="44"/>
      <w:r w:rsidR="00D41D1D" w:rsidRPr="009B561B">
        <w:t>.</w:t>
      </w:r>
      <w:r w:rsidRPr="009B561B">
        <w:tab/>
      </w:r>
      <w:r w:rsidR="00D41D1D" w:rsidRPr="009B561B">
        <w:t>Burden Estimates for the 2011 GSS</w:t>
      </w:r>
      <w:bookmarkEnd w:id="45"/>
      <w:bookmarkEnd w:id="46"/>
    </w:p>
    <w:tbl>
      <w:tblPr>
        <w:tblW w:w="9360" w:type="dxa"/>
        <w:tblInd w:w="86" w:type="dxa"/>
        <w:tblBorders>
          <w:top w:val="single" w:sz="12" w:space="0" w:color="auto"/>
          <w:bottom w:val="single" w:sz="12" w:space="0" w:color="auto"/>
          <w:insideH w:val="single" w:sz="4" w:space="0" w:color="auto"/>
        </w:tblBorders>
        <w:tblLayout w:type="fixed"/>
        <w:tblCellMar>
          <w:left w:w="115" w:type="dxa"/>
          <w:right w:w="115" w:type="dxa"/>
        </w:tblCellMar>
        <w:tblLook w:val="04A0"/>
      </w:tblPr>
      <w:tblGrid>
        <w:gridCol w:w="4083"/>
        <w:gridCol w:w="1792"/>
        <w:gridCol w:w="1693"/>
        <w:gridCol w:w="1792"/>
      </w:tblGrid>
      <w:tr w:rsidR="00D41D1D" w:rsidRPr="009B561B" w:rsidTr="00DF0F0C">
        <w:trPr>
          <w:cantSplit/>
        </w:trPr>
        <w:tc>
          <w:tcPr>
            <w:tcW w:w="3690" w:type="dxa"/>
            <w:tcBorders>
              <w:top w:val="single" w:sz="12" w:space="0" w:color="auto"/>
              <w:bottom w:val="single" w:sz="4" w:space="0" w:color="auto"/>
              <w:right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Category</w:t>
            </w:r>
          </w:p>
        </w:tc>
        <w:tc>
          <w:tcPr>
            <w:tcW w:w="162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 of units</w:t>
            </w:r>
          </w:p>
        </w:tc>
        <w:tc>
          <w:tcPr>
            <w:tcW w:w="153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Burden/unit (hours)</w:t>
            </w:r>
          </w:p>
        </w:tc>
        <w:tc>
          <w:tcPr>
            <w:tcW w:w="1620" w:type="dxa"/>
            <w:tcBorders>
              <w:top w:val="single" w:sz="12" w:space="0" w:color="auto"/>
              <w:left w:val="single" w:sz="4" w:space="0" w:color="auto"/>
              <w:bottom w:val="single" w:sz="4" w:space="0" w:color="auto"/>
              <w:right w:val="nil"/>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Total burden (hours)</w:t>
            </w:r>
          </w:p>
        </w:tc>
      </w:tr>
      <w:tr w:rsidR="00D41D1D" w:rsidRPr="009B561B" w:rsidTr="00DF0F0C">
        <w:trPr>
          <w:cantSplit/>
        </w:trPr>
        <w:tc>
          <w:tcPr>
            <w:tcW w:w="3690" w:type="dxa"/>
            <w:tcBorders>
              <w:top w:val="single" w:sz="4" w:space="0" w:color="auto"/>
              <w:bottom w:val="nil"/>
              <w:right w:val="single" w:sz="4" w:space="0" w:color="auto"/>
            </w:tcBorders>
            <w:shd w:val="clear" w:color="auto" w:fill="auto"/>
            <w:hideMark/>
          </w:tcPr>
          <w:p w:rsidR="00D41D1D" w:rsidRPr="009B561B" w:rsidRDefault="00D41D1D" w:rsidP="004A5A28">
            <w:pPr>
              <w:keepNext/>
              <w:spacing w:before="60" w:after="60"/>
              <w:rPr>
                <w:sz w:val="22"/>
              </w:rPr>
            </w:pPr>
            <w:r w:rsidRPr="009B561B">
              <w:rPr>
                <w:sz w:val="22"/>
              </w:rPr>
              <w:t>2010 existing units</w:t>
            </w:r>
          </w:p>
        </w:tc>
        <w:tc>
          <w:tcPr>
            <w:tcW w:w="1620" w:type="dxa"/>
            <w:tcBorders>
              <w:top w:val="single" w:sz="4" w:space="0" w:color="auto"/>
              <w:left w:val="single" w:sz="4" w:space="0" w:color="auto"/>
              <w:bottom w:val="nil"/>
              <w:right w:val="single" w:sz="4" w:space="0" w:color="auto"/>
            </w:tcBorders>
            <w:shd w:val="clear" w:color="auto" w:fill="auto"/>
            <w:noWrap/>
            <w:hideMark/>
          </w:tcPr>
          <w:p w:rsidR="00D41D1D" w:rsidRPr="009B561B" w:rsidRDefault="00D41D1D" w:rsidP="004A5A28">
            <w:pPr>
              <w:keepNext/>
              <w:tabs>
                <w:tab w:val="decimal" w:pos="1090"/>
              </w:tabs>
              <w:spacing w:before="60" w:after="60"/>
              <w:rPr>
                <w:sz w:val="22"/>
              </w:rPr>
            </w:pPr>
            <w:r w:rsidRPr="009B561B">
              <w:rPr>
                <w:sz w:val="22"/>
              </w:rPr>
              <w:t>13,984</w:t>
            </w:r>
          </w:p>
        </w:tc>
        <w:tc>
          <w:tcPr>
            <w:tcW w:w="1530" w:type="dxa"/>
            <w:tcBorders>
              <w:top w:val="single" w:sz="4" w:space="0" w:color="auto"/>
              <w:left w:val="single" w:sz="4" w:space="0" w:color="auto"/>
              <w:bottom w:val="nil"/>
              <w:right w:val="single" w:sz="4" w:space="0" w:color="auto"/>
            </w:tcBorders>
            <w:shd w:val="clear" w:color="auto" w:fill="auto"/>
            <w:noWrap/>
            <w:hideMark/>
          </w:tcPr>
          <w:p w:rsidR="00D41D1D" w:rsidRPr="009B561B" w:rsidRDefault="00D41D1D" w:rsidP="004A5A28">
            <w:pPr>
              <w:keepNext/>
              <w:spacing w:before="60" w:after="60"/>
              <w:jc w:val="center"/>
              <w:rPr>
                <w:sz w:val="22"/>
              </w:rPr>
            </w:pPr>
            <w:r w:rsidRPr="009B561B">
              <w:rPr>
                <w:sz w:val="22"/>
              </w:rPr>
              <w:t>2.7</w:t>
            </w:r>
          </w:p>
        </w:tc>
        <w:tc>
          <w:tcPr>
            <w:tcW w:w="1620" w:type="dxa"/>
            <w:tcBorders>
              <w:top w:val="single" w:sz="4" w:space="0" w:color="auto"/>
              <w:left w:val="single" w:sz="4" w:space="0" w:color="auto"/>
              <w:bottom w:val="nil"/>
              <w:right w:val="nil"/>
            </w:tcBorders>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37,757</w:t>
            </w:r>
          </w:p>
        </w:tc>
      </w:tr>
      <w:tr w:rsidR="00D41D1D" w:rsidRPr="009B561B" w:rsidTr="00DF0F0C">
        <w:trPr>
          <w:cantSplit/>
        </w:trPr>
        <w:tc>
          <w:tcPr>
            <w:tcW w:w="3690" w:type="dxa"/>
            <w:tcBorders>
              <w:top w:val="nil"/>
              <w:bottom w:val="nil"/>
              <w:right w:val="single" w:sz="4" w:space="0" w:color="auto"/>
            </w:tcBorders>
            <w:shd w:val="clear" w:color="auto" w:fill="auto"/>
            <w:hideMark/>
          </w:tcPr>
          <w:p w:rsidR="00D41D1D" w:rsidRPr="009B561B" w:rsidRDefault="00D41D1D" w:rsidP="004A5A28">
            <w:pPr>
              <w:keepNext/>
              <w:spacing w:before="60" w:after="60"/>
              <w:rPr>
                <w:sz w:val="22"/>
              </w:rPr>
            </w:pPr>
            <w:r w:rsidRPr="009B561B">
              <w:rPr>
                <w:sz w:val="22"/>
              </w:rPr>
              <w:t>3% increase from 2010 reporting units</w:t>
            </w:r>
          </w:p>
        </w:tc>
        <w:tc>
          <w:tcPr>
            <w:tcW w:w="1620" w:type="dxa"/>
            <w:tcBorders>
              <w:top w:val="nil"/>
              <w:left w:val="single" w:sz="4" w:space="0" w:color="auto"/>
              <w:bottom w:val="nil"/>
              <w:right w:val="single" w:sz="4" w:space="0" w:color="auto"/>
            </w:tcBorders>
            <w:shd w:val="clear" w:color="auto" w:fill="auto"/>
            <w:noWrap/>
            <w:hideMark/>
          </w:tcPr>
          <w:p w:rsidR="00D41D1D" w:rsidRPr="009B561B" w:rsidRDefault="00D41D1D" w:rsidP="004A5A28">
            <w:pPr>
              <w:keepNext/>
              <w:tabs>
                <w:tab w:val="decimal" w:pos="1090"/>
              </w:tabs>
              <w:spacing w:before="60" w:after="60"/>
              <w:rPr>
                <w:sz w:val="22"/>
              </w:rPr>
            </w:pPr>
            <w:r w:rsidRPr="009B561B">
              <w:rPr>
                <w:sz w:val="22"/>
              </w:rPr>
              <w:t>420</w:t>
            </w:r>
          </w:p>
        </w:tc>
        <w:tc>
          <w:tcPr>
            <w:tcW w:w="1530" w:type="dxa"/>
            <w:tcBorders>
              <w:top w:val="nil"/>
              <w:left w:val="single" w:sz="4" w:space="0" w:color="auto"/>
              <w:bottom w:val="nil"/>
              <w:right w:val="single" w:sz="4" w:space="0" w:color="auto"/>
            </w:tcBorders>
            <w:shd w:val="clear" w:color="auto" w:fill="auto"/>
            <w:noWrap/>
            <w:hideMark/>
          </w:tcPr>
          <w:p w:rsidR="00D41D1D" w:rsidRPr="009B561B" w:rsidRDefault="00D41D1D" w:rsidP="004A5A28">
            <w:pPr>
              <w:keepNext/>
              <w:spacing w:before="60" w:after="60"/>
              <w:jc w:val="center"/>
              <w:rPr>
                <w:sz w:val="22"/>
              </w:rPr>
            </w:pPr>
            <w:r w:rsidRPr="009B561B">
              <w:rPr>
                <w:sz w:val="22"/>
              </w:rPr>
              <w:t>2.7</w:t>
            </w:r>
          </w:p>
        </w:tc>
        <w:tc>
          <w:tcPr>
            <w:tcW w:w="1620" w:type="dxa"/>
            <w:tcBorders>
              <w:top w:val="nil"/>
              <w:left w:val="single" w:sz="4" w:space="0" w:color="auto"/>
              <w:bottom w:val="nil"/>
              <w:right w:val="nil"/>
            </w:tcBorders>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1,133</w:t>
            </w:r>
          </w:p>
        </w:tc>
      </w:tr>
      <w:tr w:rsidR="00D41D1D" w:rsidRPr="009B561B" w:rsidTr="00DF0F0C">
        <w:trPr>
          <w:cantSplit/>
        </w:trPr>
        <w:tc>
          <w:tcPr>
            <w:tcW w:w="3690" w:type="dxa"/>
            <w:tcBorders>
              <w:top w:val="nil"/>
              <w:bottom w:val="nil"/>
              <w:right w:val="single" w:sz="4" w:space="0" w:color="auto"/>
            </w:tcBorders>
            <w:shd w:val="clear" w:color="auto" w:fill="auto"/>
            <w:hideMark/>
          </w:tcPr>
          <w:p w:rsidR="00D41D1D" w:rsidRPr="009B561B" w:rsidRDefault="00D41D1D" w:rsidP="004A5A28">
            <w:pPr>
              <w:keepNext/>
              <w:spacing w:before="60" w:after="60"/>
              <w:rPr>
                <w:sz w:val="22"/>
              </w:rPr>
            </w:pPr>
            <w:r w:rsidRPr="009B561B">
              <w:rPr>
                <w:sz w:val="22"/>
              </w:rPr>
              <w:t>FFRDC study</w:t>
            </w:r>
          </w:p>
        </w:tc>
        <w:tc>
          <w:tcPr>
            <w:tcW w:w="1620" w:type="dxa"/>
            <w:tcBorders>
              <w:top w:val="nil"/>
              <w:left w:val="single" w:sz="4" w:space="0" w:color="auto"/>
              <w:bottom w:val="nil"/>
              <w:right w:val="single" w:sz="4" w:space="0" w:color="auto"/>
            </w:tcBorders>
            <w:shd w:val="clear" w:color="auto" w:fill="auto"/>
            <w:noWrap/>
            <w:hideMark/>
          </w:tcPr>
          <w:p w:rsidR="00D41D1D" w:rsidRPr="009B561B" w:rsidRDefault="00D41D1D" w:rsidP="004A5A28">
            <w:pPr>
              <w:keepNext/>
              <w:tabs>
                <w:tab w:val="decimal" w:pos="1090"/>
              </w:tabs>
              <w:spacing w:before="60" w:after="60"/>
              <w:rPr>
                <w:sz w:val="22"/>
              </w:rPr>
            </w:pPr>
            <w:r w:rsidRPr="009B561B">
              <w:rPr>
                <w:sz w:val="22"/>
              </w:rPr>
              <w:t>40</w:t>
            </w:r>
          </w:p>
        </w:tc>
        <w:tc>
          <w:tcPr>
            <w:tcW w:w="1530" w:type="dxa"/>
            <w:tcBorders>
              <w:top w:val="nil"/>
              <w:left w:val="single" w:sz="4" w:space="0" w:color="auto"/>
              <w:bottom w:val="nil"/>
              <w:right w:val="single" w:sz="4" w:space="0" w:color="auto"/>
            </w:tcBorders>
            <w:shd w:val="clear" w:color="auto" w:fill="auto"/>
            <w:noWrap/>
            <w:hideMark/>
          </w:tcPr>
          <w:p w:rsidR="00D41D1D" w:rsidRPr="009B561B" w:rsidRDefault="00D41D1D" w:rsidP="004A5A28">
            <w:pPr>
              <w:keepNext/>
              <w:spacing w:before="60" w:after="60"/>
              <w:jc w:val="center"/>
              <w:rPr>
                <w:sz w:val="22"/>
              </w:rPr>
            </w:pPr>
            <w:r w:rsidRPr="009B561B">
              <w:rPr>
                <w:sz w:val="22"/>
              </w:rPr>
              <w:t>4.7</w:t>
            </w:r>
          </w:p>
        </w:tc>
        <w:tc>
          <w:tcPr>
            <w:tcW w:w="1620" w:type="dxa"/>
            <w:tcBorders>
              <w:top w:val="nil"/>
              <w:left w:val="single" w:sz="4" w:space="0" w:color="auto"/>
              <w:bottom w:val="nil"/>
              <w:right w:val="nil"/>
            </w:tcBorders>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188</w:t>
            </w:r>
          </w:p>
        </w:tc>
      </w:tr>
      <w:tr w:rsidR="00D41D1D" w:rsidRPr="009B561B" w:rsidTr="00DF0F0C">
        <w:trPr>
          <w:cantSplit/>
        </w:trPr>
        <w:tc>
          <w:tcPr>
            <w:tcW w:w="3690" w:type="dxa"/>
            <w:tcBorders>
              <w:top w:val="nil"/>
              <w:bottom w:val="nil"/>
              <w:right w:val="single" w:sz="4" w:space="0" w:color="auto"/>
            </w:tcBorders>
            <w:shd w:val="clear" w:color="auto" w:fill="auto"/>
            <w:hideMark/>
          </w:tcPr>
          <w:p w:rsidR="00D41D1D" w:rsidRPr="009B561B" w:rsidRDefault="00D41D1D" w:rsidP="004A5A28">
            <w:pPr>
              <w:keepNext/>
              <w:spacing w:before="60" w:after="60"/>
              <w:rPr>
                <w:sz w:val="22"/>
              </w:rPr>
            </w:pPr>
            <w:r w:rsidRPr="009B561B">
              <w:rPr>
                <w:sz w:val="22"/>
              </w:rPr>
              <w:t>Additional units from frame expansion</w:t>
            </w:r>
          </w:p>
        </w:tc>
        <w:tc>
          <w:tcPr>
            <w:tcW w:w="1620" w:type="dxa"/>
            <w:tcBorders>
              <w:top w:val="nil"/>
              <w:left w:val="single" w:sz="4" w:space="0" w:color="auto"/>
              <w:bottom w:val="nil"/>
              <w:right w:val="single" w:sz="4" w:space="0" w:color="auto"/>
            </w:tcBorders>
            <w:shd w:val="clear" w:color="auto" w:fill="auto"/>
            <w:noWrap/>
            <w:hideMark/>
          </w:tcPr>
          <w:p w:rsidR="00D41D1D" w:rsidRPr="009B561B" w:rsidRDefault="00D41D1D" w:rsidP="004A5A28">
            <w:pPr>
              <w:keepNext/>
              <w:tabs>
                <w:tab w:val="decimal" w:pos="1090"/>
              </w:tabs>
              <w:spacing w:before="60" w:after="60"/>
              <w:rPr>
                <w:sz w:val="22"/>
              </w:rPr>
            </w:pPr>
            <w:r w:rsidRPr="009B561B">
              <w:rPr>
                <w:sz w:val="22"/>
              </w:rPr>
              <w:t>500</w:t>
            </w:r>
          </w:p>
        </w:tc>
        <w:tc>
          <w:tcPr>
            <w:tcW w:w="1530" w:type="dxa"/>
            <w:tcBorders>
              <w:top w:val="nil"/>
              <w:left w:val="single" w:sz="4" w:space="0" w:color="auto"/>
              <w:bottom w:val="nil"/>
              <w:right w:val="single" w:sz="4" w:space="0" w:color="auto"/>
            </w:tcBorders>
            <w:shd w:val="clear" w:color="auto" w:fill="auto"/>
            <w:noWrap/>
            <w:hideMark/>
          </w:tcPr>
          <w:p w:rsidR="00D41D1D" w:rsidRPr="009B561B" w:rsidRDefault="00D41D1D" w:rsidP="004A5A28">
            <w:pPr>
              <w:keepNext/>
              <w:spacing w:before="60" w:after="60"/>
              <w:jc w:val="center"/>
              <w:rPr>
                <w:sz w:val="22"/>
              </w:rPr>
            </w:pPr>
            <w:r w:rsidRPr="009B561B">
              <w:rPr>
                <w:sz w:val="22"/>
              </w:rPr>
              <w:t>2.7</w:t>
            </w:r>
          </w:p>
        </w:tc>
        <w:tc>
          <w:tcPr>
            <w:tcW w:w="1620" w:type="dxa"/>
            <w:tcBorders>
              <w:top w:val="nil"/>
              <w:left w:val="single" w:sz="4" w:space="0" w:color="auto"/>
              <w:bottom w:val="nil"/>
              <w:right w:val="nil"/>
            </w:tcBorders>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1,350</w:t>
            </w:r>
          </w:p>
        </w:tc>
      </w:tr>
      <w:tr w:rsidR="00D41D1D" w:rsidRPr="009B561B" w:rsidTr="00DF0F0C">
        <w:trPr>
          <w:cantSplit/>
        </w:trPr>
        <w:tc>
          <w:tcPr>
            <w:tcW w:w="3690" w:type="dxa"/>
            <w:tcBorders>
              <w:top w:val="single" w:sz="4" w:space="0" w:color="auto"/>
              <w:bottom w:val="single" w:sz="12" w:space="0" w:color="auto"/>
              <w:right w:val="single" w:sz="4" w:space="0" w:color="auto"/>
            </w:tcBorders>
            <w:shd w:val="clear" w:color="auto" w:fill="auto"/>
            <w:hideMark/>
          </w:tcPr>
          <w:p w:rsidR="00D41D1D" w:rsidRPr="009B561B" w:rsidRDefault="00D41D1D" w:rsidP="004A5A28">
            <w:pPr>
              <w:keepNext/>
              <w:spacing w:before="60" w:after="60"/>
              <w:rPr>
                <w:sz w:val="22"/>
              </w:rPr>
            </w:pPr>
            <w:r w:rsidRPr="009B561B">
              <w:rPr>
                <w:sz w:val="22"/>
              </w:rPr>
              <w:t>Estimated total</w:t>
            </w:r>
          </w:p>
        </w:tc>
        <w:tc>
          <w:tcPr>
            <w:tcW w:w="1620" w:type="dxa"/>
            <w:tcBorders>
              <w:top w:val="single" w:sz="4" w:space="0" w:color="auto"/>
              <w:left w:val="single" w:sz="4" w:space="0" w:color="auto"/>
              <w:bottom w:val="single" w:sz="12" w:space="0" w:color="auto"/>
              <w:right w:val="single" w:sz="4" w:space="0" w:color="auto"/>
            </w:tcBorders>
            <w:shd w:val="clear" w:color="auto" w:fill="auto"/>
            <w:noWrap/>
            <w:hideMark/>
          </w:tcPr>
          <w:p w:rsidR="00D41D1D" w:rsidRPr="009B561B" w:rsidRDefault="00D41D1D" w:rsidP="004A5A28">
            <w:pPr>
              <w:keepNext/>
              <w:tabs>
                <w:tab w:val="decimal" w:pos="1090"/>
              </w:tabs>
              <w:spacing w:before="60" w:after="60"/>
              <w:rPr>
                <w:sz w:val="22"/>
              </w:rPr>
            </w:pPr>
            <w:r w:rsidRPr="009B561B">
              <w:rPr>
                <w:sz w:val="22"/>
              </w:rPr>
              <w:t>14,944</w:t>
            </w:r>
          </w:p>
        </w:tc>
        <w:tc>
          <w:tcPr>
            <w:tcW w:w="1530" w:type="dxa"/>
            <w:tcBorders>
              <w:top w:val="single" w:sz="4" w:space="0" w:color="auto"/>
              <w:left w:val="single" w:sz="4" w:space="0" w:color="auto"/>
              <w:bottom w:val="single" w:sz="12" w:space="0" w:color="auto"/>
              <w:right w:val="single" w:sz="4" w:space="0" w:color="auto"/>
            </w:tcBorders>
            <w:shd w:val="clear" w:color="auto" w:fill="auto"/>
            <w:noWrap/>
            <w:hideMark/>
          </w:tcPr>
          <w:p w:rsidR="00D41D1D" w:rsidRPr="009B561B" w:rsidRDefault="0044717F" w:rsidP="004A5A28">
            <w:pPr>
              <w:keepNext/>
              <w:spacing w:before="60" w:after="60"/>
              <w:jc w:val="center"/>
              <w:rPr>
                <w:sz w:val="22"/>
              </w:rPr>
            </w:pPr>
            <w:r>
              <w:rPr>
                <w:sz w:val="22"/>
              </w:rPr>
              <w:t>2.7</w:t>
            </w:r>
          </w:p>
        </w:tc>
        <w:tc>
          <w:tcPr>
            <w:tcW w:w="1620" w:type="dxa"/>
            <w:tcBorders>
              <w:top w:val="single" w:sz="4" w:space="0" w:color="auto"/>
              <w:left w:val="single" w:sz="4" w:space="0" w:color="auto"/>
              <w:bottom w:val="single" w:sz="12" w:space="0" w:color="auto"/>
              <w:right w:val="nil"/>
            </w:tcBorders>
            <w:shd w:val="clear" w:color="000000" w:fill="FFFFFF"/>
            <w:noWrap/>
            <w:hideMark/>
          </w:tcPr>
          <w:p w:rsidR="00D41D1D" w:rsidRPr="009B561B" w:rsidRDefault="00D41D1D" w:rsidP="004A5A28">
            <w:pPr>
              <w:keepNext/>
              <w:tabs>
                <w:tab w:val="decimal" w:pos="1094"/>
              </w:tabs>
              <w:spacing w:before="60" w:after="60"/>
              <w:rPr>
                <w:sz w:val="22"/>
              </w:rPr>
            </w:pPr>
            <w:r w:rsidRPr="009B561B">
              <w:rPr>
                <w:sz w:val="22"/>
              </w:rPr>
              <w:t>40,428</w:t>
            </w:r>
          </w:p>
        </w:tc>
      </w:tr>
    </w:tbl>
    <w:p w:rsidR="00D41D1D" w:rsidRPr="009B561B" w:rsidRDefault="00D41D1D" w:rsidP="00742F9D">
      <w:pPr>
        <w:pStyle w:val="exhibitsource"/>
      </w:pPr>
    </w:p>
    <w:p w:rsidR="009B561B" w:rsidRPr="009B561B" w:rsidRDefault="00D41D1D" w:rsidP="00756D31">
      <w:pPr>
        <w:pStyle w:val="bodytext"/>
      </w:pPr>
      <w:r w:rsidRPr="009B561B">
        <w:t>For the 2012 GSS, the total respondent burden is estimated at 40,099 hours, and the burden for 2013 will be 39,716 hours, as sh</w:t>
      </w:r>
      <w:r w:rsidR="00DF0F0C" w:rsidRPr="009B561B">
        <w:t>o</w:t>
      </w:r>
      <w:r w:rsidR="00756D31">
        <w:t>wn</w:t>
      </w:r>
      <w:r w:rsidR="00DF0F0C" w:rsidRPr="009B561B">
        <w:t xml:space="preserve"> in Exhibits </w:t>
      </w:r>
      <w:r w:rsidRPr="009B561B">
        <w:t>2 and 3.</w:t>
      </w:r>
    </w:p>
    <w:p w:rsidR="00D41D1D" w:rsidRPr="009B561B" w:rsidRDefault="00DF0F0C" w:rsidP="00DF0F0C">
      <w:pPr>
        <w:pStyle w:val="FigureTitle"/>
      </w:pPr>
      <w:bookmarkStart w:id="47" w:name="_Toc286415614"/>
      <w:bookmarkStart w:id="48" w:name="_Toc298764188"/>
      <w:r w:rsidRPr="009B561B">
        <w:t>Exhibit </w:t>
      </w:r>
      <w:fldSimple w:instr=" SEQ Exhibit \* ARABIC ">
        <w:r w:rsidR="0011749A">
          <w:rPr>
            <w:noProof/>
          </w:rPr>
          <w:t>2</w:t>
        </w:r>
      </w:fldSimple>
      <w:r w:rsidR="00D41D1D" w:rsidRPr="009B561B">
        <w:t>.</w:t>
      </w:r>
      <w:r w:rsidRPr="009B561B">
        <w:tab/>
      </w:r>
      <w:r w:rsidR="00D41D1D" w:rsidRPr="009B561B">
        <w:t>Burden Estimates for the 2012 GSS</w:t>
      </w:r>
      <w:bookmarkEnd w:id="47"/>
      <w:bookmarkEnd w:id="48"/>
      <w:r w:rsidR="00D41D1D" w:rsidRPr="009B561B">
        <w:t xml:space="preserve"> </w:t>
      </w:r>
    </w:p>
    <w:tbl>
      <w:tblPr>
        <w:tblW w:w="9360" w:type="dxa"/>
        <w:tblInd w:w="86" w:type="dxa"/>
        <w:tblBorders>
          <w:top w:val="single" w:sz="12" w:space="0" w:color="auto"/>
          <w:bottom w:val="single" w:sz="12" w:space="0" w:color="auto"/>
          <w:insideV w:val="single" w:sz="4" w:space="0" w:color="auto"/>
        </w:tblBorders>
        <w:tblLayout w:type="fixed"/>
        <w:tblCellMar>
          <w:left w:w="115" w:type="dxa"/>
          <w:right w:w="115" w:type="dxa"/>
        </w:tblCellMar>
        <w:tblLook w:val="04A0"/>
      </w:tblPr>
      <w:tblGrid>
        <w:gridCol w:w="4058"/>
        <w:gridCol w:w="1795"/>
        <w:gridCol w:w="1682"/>
        <w:gridCol w:w="1825"/>
      </w:tblGrid>
      <w:tr w:rsidR="00D41D1D" w:rsidRPr="009B561B" w:rsidTr="00DF0F0C">
        <w:trPr>
          <w:cantSplit/>
        </w:trPr>
        <w:tc>
          <w:tcPr>
            <w:tcW w:w="3690" w:type="dxa"/>
            <w:tcBorders>
              <w:top w:val="single" w:sz="12" w:space="0" w:color="auto"/>
              <w:bottom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Category</w:t>
            </w:r>
          </w:p>
        </w:tc>
        <w:tc>
          <w:tcPr>
            <w:tcW w:w="1632" w:type="dxa"/>
            <w:tcBorders>
              <w:top w:val="single" w:sz="12" w:space="0" w:color="auto"/>
              <w:bottom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 of units</w:t>
            </w:r>
          </w:p>
        </w:tc>
        <w:tc>
          <w:tcPr>
            <w:tcW w:w="1530" w:type="dxa"/>
            <w:tcBorders>
              <w:top w:val="single" w:sz="12" w:space="0" w:color="auto"/>
              <w:bottom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Burden/unit (hours)</w:t>
            </w:r>
          </w:p>
        </w:tc>
        <w:tc>
          <w:tcPr>
            <w:tcW w:w="1660" w:type="dxa"/>
            <w:tcBorders>
              <w:top w:val="single" w:sz="12" w:space="0" w:color="auto"/>
              <w:bottom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Total burden (hours)</w:t>
            </w:r>
          </w:p>
        </w:tc>
      </w:tr>
      <w:tr w:rsidR="00D41D1D" w:rsidRPr="009B561B" w:rsidTr="00DF0F0C">
        <w:trPr>
          <w:cantSplit/>
        </w:trPr>
        <w:tc>
          <w:tcPr>
            <w:tcW w:w="3690" w:type="dxa"/>
            <w:tcBorders>
              <w:top w:val="single" w:sz="4" w:space="0" w:color="auto"/>
            </w:tcBorders>
            <w:shd w:val="clear" w:color="auto" w:fill="auto"/>
            <w:hideMark/>
          </w:tcPr>
          <w:p w:rsidR="00D41D1D" w:rsidRPr="009B561B" w:rsidRDefault="00D41D1D" w:rsidP="004A5A28">
            <w:pPr>
              <w:keepNext/>
              <w:spacing w:before="60" w:after="60"/>
              <w:rPr>
                <w:sz w:val="22"/>
              </w:rPr>
            </w:pPr>
            <w:r w:rsidRPr="009B561B">
              <w:rPr>
                <w:sz w:val="22"/>
              </w:rPr>
              <w:t xml:space="preserve">2011 existing units </w:t>
            </w:r>
          </w:p>
        </w:tc>
        <w:tc>
          <w:tcPr>
            <w:tcW w:w="1632" w:type="dxa"/>
            <w:tcBorders>
              <w:top w:val="single" w:sz="4" w:space="0" w:color="auto"/>
            </w:tcBorders>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14,904</w:t>
            </w:r>
          </w:p>
        </w:tc>
        <w:tc>
          <w:tcPr>
            <w:tcW w:w="1530" w:type="dxa"/>
            <w:tcBorders>
              <w:top w:val="single" w:sz="4" w:space="0" w:color="auto"/>
            </w:tcBorders>
            <w:shd w:val="clear" w:color="auto" w:fill="auto"/>
            <w:noWrap/>
            <w:hideMark/>
          </w:tcPr>
          <w:p w:rsidR="00D41D1D" w:rsidRPr="009B561B" w:rsidRDefault="00D41D1D" w:rsidP="004A5A28">
            <w:pPr>
              <w:keepNext/>
              <w:spacing w:before="60" w:after="60"/>
              <w:jc w:val="center"/>
              <w:rPr>
                <w:sz w:val="22"/>
              </w:rPr>
            </w:pPr>
            <w:r w:rsidRPr="009B561B">
              <w:rPr>
                <w:sz w:val="22"/>
              </w:rPr>
              <w:t>2.6</w:t>
            </w:r>
          </w:p>
        </w:tc>
        <w:tc>
          <w:tcPr>
            <w:tcW w:w="1660" w:type="dxa"/>
            <w:tcBorders>
              <w:top w:val="single" w:sz="4" w:space="0" w:color="auto"/>
            </w:tcBorders>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38,749</w:t>
            </w:r>
          </w:p>
        </w:tc>
      </w:tr>
      <w:tr w:rsidR="00D41D1D" w:rsidRPr="009B561B" w:rsidTr="00DF0F0C">
        <w:trPr>
          <w:cantSplit/>
        </w:trPr>
        <w:tc>
          <w:tcPr>
            <w:tcW w:w="3690" w:type="dxa"/>
            <w:shd w:val="clear" w:color="auto" w:fill="auto"/>
            <w:hideMark/>
          </w:tcPr>
          <w:p w:rsidR="00D41D1D" w:rsidRPr="009B561B" w:rsidRDefault="00D41D1D" w:rsidP="004A5A28">
            <w:pPr>
              <w:keepNext/>
              <w:spacing w:before="60" w:after="60"/>
              <w:rPr>
                <w:sz w:val="22"/>
              </w:rPr>
            </w:pPr>
            <w:r w:rsidRPr="009B561B">
              <w:rPr>
                <w:sz w:val="22"/>
              </w:rPr>
              <w:t>3% increase from 2011 reporting units</w:t>
            </w:r>
          </w:p>
        </w:tc>
        <w:tc>
          <w:tcPr>
            <w:tcW w:w="1632" w:type="dxa"/>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447</w:t>
            </w:r>
          </w:p>
        </w:tc>
        <w:tc>
          <w:tcPr>
            <w:tcW w:w="1530" w:type="dxa"/>
            <w:shd w:val="clear" w:color="auto" w:fill="auto"/>
            <w:noWrap/>
            <w:hideMark/>
          </w:tcPr>
          <w:p w:rsidR="00D41D1D" w:rsidRPr="009B561B" w:rsidRDefault="00D41D1D" w:rsidP="004A5A28">
            <w:pPr>
              <w:keepNext/>
              <w:spacing w:before="60" w:after="60"/>
              <w:jc w:val="center"/>
              <w:rPr>
                <w:sz w:val="22"/>
              </w:rPr>
            </w:pPr>
            <w:r w:rsidRPr="009B561B">
              <w:rPr>
                <w:sz w:val="22"/>
              </w:rPr>
              <w:t>2.6</w:t>
            </w:r>
          </w:p>
        </w:tc>
        <w:tc>
          <w:tcPr>
            <w:tcW w:w="1660" w:type="dxa"/>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1,162</w:t>
            </w:r>
          </w:p>
        </w:tc>
      </w:tr>
      <w:tr w:rsidR="00D41D1D" w:rsidRPr="009B561B" w:rsidTr="00DF0F0C">
        <w:trPr>
          <w:cantSplit/>
        </w:trPr>
        <w:tc>
          <w:tcPr>
            <w:tcW w:w="3690" w:type="dxa"/>
            <w:shd w:val="clear" w:color="auto" w:fill="auto"/>
            <w:hideMark/>
          </w:tcPr>
          <w:p w:rsidR="00D41D1D" w:rsidRPr="009B561B" w:rsidRDefault="00D41D1D" w:rsidP="004A5A28">
            <w:pPr>
              <w:keepNext/>
              <w:spacing w:before="60" w:after="60"/>
              <w:rPr>
                <w:sz w:val="22"/>
              </w:rPr>
            </w:pPr>
            <w:r w:rsidRPr="009B561B">
              <w:rPr>
                <w:sz w:val="22"/>
              </w:rPr>
              <w:t>FFRDC study</w:t>
            </w:r>
          </w:p>
        </w:tc>
        <w:tc>
          <w:tcPr>
            <w:tcW w:w="1632" w:type="dxa"/>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40</w:t>
            </w:r>
          </w:p>
        </w:tc>
        <w:tc>
          <w:tcPr>
            <w:tcW w:w="1530" w:type="dxa"/>
            <w:shd w:val="clear" w:color="auto" w:fill="auto"/>
            <w:noWrap/>
            <w:hideMark/>
          </w:tcPr>
          <w:p w:rsidR="00D41D1D" w:rsidRPr="009B561B" w:rsidRDefault="00D41D1D" w:rsidP="004A5A28">
            <w:pPr>
              <w:keepNext/>
              <w:spacing w:before="60" w:after="60"/>
              <w:jc w:val="center"/>
              <w:rPr>
                <w:sz w:val="22"/>
              </w:rPr>
            </w:pPr>
            <w:r w:rsidRPr="009B561B">
              <w:rPr>
                <w:sz w:val="22"/>
              </w:rPr>
              <w:t>4.7</w:t>
            </w:r>
          </w:p>
        </w:tc>
        <w:tc>
          <w:tcPr>
            <w:tcW w:w="1660" w:type="dxa"/>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188</w:t>
            </w:r>
          </w:p>
        </w:tc>
      </w:tr>
      <w:tr w:rsidR="00D41D1D" w:rsidRPr="009B561B" w:rsidTr="00DF0F0C">
        <w:trPr>
          <w:cantSplit/>
        </w:trPr>
        <w:tc>
          <w:tcPr>
            <w:tcW w:w="3690" w:type="dxa"/>
            <w:tcBorders>
              <w:top w:val="single" w:sz="4" w:space="0" w:color="auto"/>
              <w:bottom w:val="single" w:sz="12" w:space="0" w:color="auto"/>
            </w:tcBorders>
            <w:shd w:val="clear" w:color="auto" w:fill="auto"/>
            <w:hideMark/>
          </w:tcPr>
          <w:p w:rsidR="00D41D1D" w:rsidRPr="009B561B" w:rsidRDefault="00D41D1D" w:rsidP="004A5A28">
            <w:pPr>
              <w:keepNext/>
              <w:spacing w:before="60" w:after="60"/>
              <w:rPr>
                <w:sz w:val="22"/>
              </w:rPr>
            </w:pPr>
            <w:r w:rsidRPr="009B561B">
              <w:rPr>
                <w:sz w:val="22"/>
              </w:rPr>
              <w:t>Estimated total</w:t>
            </w:r>
          </w:p>
        </w:tc>
        <w:tc>
          <w:tcPr>
            <w:tcW w:w="1632" w:type="dxa"/>
            <w:tcBorders>
              <w:top w:val="single" w:sz="4" w:space="0" w:color="auto"/>
              <w:bottom w:val="single" w:sz="12" w:space="0" w:color="auto"/>
            </w:tcBorders>
            <w:shd w:val="clear" w:color="auto" w:fill="auto"/>
            <w:noWrap/>
            <w:hideMark/>
          </w:tcPr>
          <w:p w:rsidR="00D41D1D" w:rsidRPr="009B561B" w:rsidRDefault="00D41D1D" w:rsidP="004A5A28">
            <w:pPr>
              <w:keepNext/>
              <w:tabs>
                <w:tab w:val="decimal" w:pos="1094"/>
              </w:tabs>
              <w:spacing w:before="60" w:after="60"/>
              <w:rPr>
                <w:sz w:val="22"/>
              </w:rPr>
            </w:pPr>
            <w:r w:rsidRPr="009B561B">
              <w:rPr>
                <w:sz w:val="22"/>
              </w:rPr>
              <w:t>15,391</w:t>
            </w:r>
          </w:p>
        </w:tc>
        <w:tc>
          <w:tcPr>
            <w:tcW w:w="1530" w:type="dxa"/>
            <w:tcBorders>
              <w:top w:val="single" w:sz="4" w:space="0" w:color="auto"/>
              <w:bottom w:val="single" w:sz="12" w:space="0" w:color="auto"/>
            </w:tcBorders>
            <w:shd w:val="clear" w:color="auto" w:fill="auto"/>
            <w:noWrap/>
            <w:hideMark/>
          </w:tcPr>
          <w:p w:rsidR="00D41D1D" w:rsidRPr="009B561B" w:rsidRDefault="0044717F" w:rsidP="004A5A28">
            <w:pPr>
              <w:keepNext/>
              <w:spacing w:before="60" w:after="60"/>
              <w:jc w:val="center"/>
              <w:rPr>
                <w:sz w:val="22"/>
              </w:rPr>
            </w:pPr>
            <w:r>
              <w:rPr>
                <w:sz w:val="22"/>
              </w:rPr>
              <w:t>2.6</w:t>
            </w:r>
          </w:p>
        </w:tc>
        <w:tc>
          <w:tcPr>
            <w:tcW w:w="1660" w:type="dxa"/>
            <w:tcBorders>
              <w:top w:val="single" w:sz="4" w:space="0" w:color="auto"/>
              <w:bottom w:val="single" w:sz="12" w:space="0" w:color="auto"/>
            </w:tcBorders>
            <w:shd w:val="clear" w:color="000000" w:fill="FFFFFF"/>
            <w:noWrap/>
            <w:hideMark/>
          </w:tcPr>
          <w:p w:rsidR="00D41D1D" w:rsidRPr="009B561B" w:rsidRDefault="00D41D1D" w:rsidP="004A5A28">
            <w:pPr>
              <w:keepNext/>
              <w:tabs>
                <w:tab w:val="decimal" w:pos="1094"/>
              </w:tabs>
              <w:spacing w:before="60" w:after="60"/>
              <w:rPr>
                <w:sz w:val="22"/>
              </w:rPr>
            </w:pPr>
            <w:r w:rsidRPr="009B561B">
              <w:rPr>
                <w:sz w:val="22"/>
              </w:rPr>
              <w:t>40,099</w:t>
            </w:r>
          </w:p>
        </w:tc>
      </w:tr>
    </w:tbl>
    <w:p w:rsidR="00D41D1D" w:rsidRPr="009B561B" w:rsidRDefault="00D41D1D" w:rsidP="00742F9D">
      <w:pPr>
        <w:pStyle w:val="exhibitsource"/>
      </w:pPr>
    </w:p>
    <w:p w:rsidR="00D41D1D" w:rsidRPr="009B561B" w:rsidRDefault="00DF0F0C" w:rsidP="00DF0F0C">
      <w:pPr>
        <w:pStyle w:val="FigureTitle"/>
      </w:pPr>
      <w:bookmarkStart w:id="49" w:name="_Toc286415615"/>
      <w:bookmarkStart w:id="50" w:name="_Toc298764189"/>
      <w:r w:rsidRPr="009B561B">
        <w:t>Exhibit </w:t>
      </w:r>
      <w:fldSimple w:instr=" SEQ Exhibit \* ARABIC ">
        <w:r w:rsidR="0011749A">
          <w:rPr>
            <w:noProof/>
          </w:rPr>
          <w:t>3</w:t>
        </w:r>
      </w:fldSimple>
      <w:r w:rsidR="00D41D1D" w:rsidRPr="009B561B">
        <w:t>.</w:t>
      </w:r>
      <w:r w:rsidRPr="009B561B">
        <w:tab/>
      </w:r>
      <w:r w:rsidR="00D41D1D" w:rsidRPr="009B561B">
        <w:t>Burden Estimates for the 2013 GSS</w:t>
      </w:r>
      <w:bookmarkEnd w:id="49"/>
      <w:bookmarkEnd w:id="50"/>
      <w:r w:rsidR="00D41D1D" w:rsidRPr="009B561B">
        <w:t xml:space="preserve"> </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023"/>
        <w:gridCol w:w="1826"/>
        <w:gridCol w:w="1685"/>
        <w:gridCol w:w="1826"/>
      </w:tblGrid>
      <w:tr w:rsidR="00D41D1D" w:rsidRPr="009B561B" w:rsidTr="00DF0F0C">
        <w:trPr>
          <w:cantSplit/>
        </w:trPr>
        <w:tc>
          <w:tcPr>
            <w:tcW w:w="3652" w:type="dxa"/>
            <w:tcBorders>
              <w:top w:val="single" w:sz="12" w:space="0" w:color="auto"/>
              <w:left w:val="nil"/>
              <w:bottom w:val="single" w:sz="4" w:space="0" w:color="auto"/>
              <w:right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Category</w:t>
            </w:r>
          </w:p>
        </w:tc>
        <w:tc>
          <w:tcPr>
            <w:tcW w:w="1658"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 of units</w:t>
            </w:r>
          </w:p>
        </w:tc>
        <w:tc>
          <w:tcPr>
            <w:tcW w:w="153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Burden/unit (hours)</w:t>
            </w:r>
          </w:p>
        </w:tc>
        <w:tc>
          <w:tcPr>
            <w:tcW w:w="1658" w:type="dxa"/>
            <w:tcBorders>
              <w:top w:val="single" w:sz="12" w:space="0" w:color="auto"/>
              <w:left w:val="single" w:sz="4" w:space="0" w:color="auto"/>
              <w:bottom w:val="single" w:sz="4" w:space="0" w:color="auto"/>
              <w:right w:val="nil"/>
            </w:tcBorders>
            <w:shd w:val="clear" w:color="auto" w:fill="auto"/>
            <w:vAlign w:val="bottom"/>
            <w:hideMark/>
          </w:tcPr>
          <w:p w:rsidR="00D41D1D" w:rsidRPr="009B561B" w:rsidRDefault="00D41D1D" w:rsidP="004A5A28">
            <w:pPr>
              <w:keepNext/>
              <w:spacing w:before="60" w:after="60"/>
              <w:jc w:val="center"/>
              <w:rPr>
                <w:b/>
                <w:sz w:val="22"/>
              </w:rPr>
            </w:pPr>
            <w:r w:rsidRPr="009B561B">
              <w:rPr>
                <w:b/>
                <w:sz w:val="22"/>
              </w:rPr>
              <w:t>Total burden (hours)</w:t>
            </w:r>
          </w:p>
        </w:tc>
      </w:tr>
      <w:tr w:rsidR="00D41D1D" w:rsidRPr="009B561B" w:rsidTr="00DF0F0C">
        <w:trPr>
          <w:cantSplit/>
        </w:trPr>
        <w:tc>
          <w:tcPr>
            <w:tcW w:w="3652" w:type="dxa"/>
            <w:tcBorders>
              <w:left w:val="nil"/>
              <w:bottom w:val="nil"/>
              <w:right w:val="single" w:sz="4" w:space="0" w:color="auto"/>
            </w:tcBorders>
            <w:shd w:val="clear" w:color="auto" w:fill="auto"/>
            <w:vAlign w:val="center"/>
            <w:hideMark/>
          </w:tcPr>
          <w:p w:rsidR="00D41D1D" w:rsidRPr="009B561B" w:rsidRDefault="00D41D1D" w:rsidP="004A5A28">
            <w:pPr>
              <w:keepNext/>
              <w:spacing w:before="60" w:after="60"/>
              <w:rPr>
                <w:sz w:val="22"/>
              </w:rPr>
            </w:pPr>
            <w:r w:rsidRPr="009B561B">
              <w:rPr>
                <w:sz w:val="22"/>
              </w:rPr>
              <w:t xml:space="preserve">2012 existing units </w:t>
            </w:r>
          </w:p>
        </w:tc>
        <w:tc>
          <w:tcPr>
            <w:tcW w:w="1658" w:type="dxa"/>
            <w:tcBorders>
              <w:left w:val="single" w:sz="4" w:space="0" w:color="auto"/>
              <w:bottom w:val="nil"/>
              <w:right w:val="single" w:sz="4" w:space="0" w:color="auto"/>
            </w:tcBorders>
            <w:shd w:val="clear" w:color="auto" w:fill="auto"/>
            <w:noWrap/>
            <w:vAlign w:val="center"/>
            <w:hideMark/>
          </w:tcPr>
          <w:p w:rsidR="00D41D1D" w:rsidRPr="009B561B" w:rsidRDefault="00D41D1D" w:rsidP="004A5A28">
            <w:pPr>
              <w:keepNext/>
              <w:tabs>
                <w:tab w:val="decimal" w:pos="1094"/>
              </w:tabs>
              <w:spacing w:before="60" w:after="60"/>
              <w:rPr>
                <w:sz w:val="22"/>
              </w:rPr>
            </w:pPr>
            <w:r w:rsidRPr="009B561B">
              <w:rPr>
                <w:sz w:val="22"/>
              </w:rPr>
              <w:t>15,351</w:t>
            </w:r>
          </w:p>
        </w:tc>
        <w:tc>
          <w:tcPr>
            <w:tcW w:w="1530" w:type="dxa"/>
            <w:tcBorders>
              <w:left w:val="single" w:sz="4" w:space="0" w:color="auto"/>
              <w:bottom w:val="nil"/>
              <w:right w:val="single" w:sz="4" w:space="0" w:color="auto"/>
            </w:tcBorders>
            <w:shd w:val="clear" w:color="auto" w:fill="auto"/>
            <w:noWrap/>
            <w:vAlign w:val="center"/>
            <w:hideMark/>
          </w:tcPr>
          <w:p w:rsidR="00D41D1D" w:rsidRPr="009B561B" w:rsidRDefault="00D41D1D" w:rsidP="004A5A28">
            <w:pPr>
              <w:keepNext/>
              <w:spacing w:before="60" w:after="60"/>
              <w:jc w:val="center"/>
              <w:rPr>
                <w:sz w:val="22"/>
              </w:rPr>
            </w:pPr>
            <w:r w:rsidRPr="009B561B">
              <w:rPr>
                <w:sz w:val="22"/>
              </w:rPr>
              <w:t>2.5</w:t>
            </w:r>
          </w:p>
        </w:tc>
        <w:tc>
          <w:tcPr>
            <w:tcW w:w="1658" w:type="dxa"/>
            <w:tcBorders>
              <w:left w:val="single" w:sz="4" w:space="0" w:color="auto"/>
              <w:bottom w:val="nil"/>
              <w:right w:val="nil"/>
            </w:tcBorders>
            <w:shd w:val="clear" w:color="auto" w:fill="auto"/>
            <w:noWrap/>
            <w:vAlign w:val="center"/>
            <w:hideMark/>
          </w:tcPr>
          <w:p w:rsidR="00D41D1D" w:rsidRPr="009B561B" w:rsidRDefault="00D41D1D" w:rsidP="004A5A28">
            <w:pPr>
              <w:keepNext/>
              <w:tabs>
                <w:tab w:val="decimal" w:pos="1094"/>
              </w:tabs>
              <w:spacing w:before="60" w:after="60"/>
              <w:rPr>
                <w:sz w:val="22"/>
              </w:rPr>
            </w:pPr>
            <w:r w:rsidRPr="009B561B">
              <w:rPr>
                <w:sz w:val="22"/>
              </w:rPr>
              <w:t>38,375</w:t>
            </w:r>
          </w:p>
        </w:tc>
      </w:tr>
      <w:tr w:rsidR="00D41D1D" w:rsidRPr="009B561B" w:rsidTr="00DF0F0C">
        <w:trPr>
          <w:cantSplit/>
        </w:trPr>
        <w:tc>
          <w:tcPr>
            <w:tcW w:w="3652" w:type="dxa"/>
            <w:tcBorders>
              <w:top w:val="nil"/>
              <w:left w:val="nil"/>
              <w:bottom w:val="nil"/>
              <w:right w:val="single" w:sz="4" w:space="0" w:color="auto"/>
            </w:tcBorders>
            <w:shd w:val="clear" w:color="auto" w:fill="auto"/>
            <w:vAlign w:val="center"/>
            <w:hideMark/>
          </w:tcPr>
          <w:p w:rsidR="00D41D1D" w:rsidRPr="009B561B" w:rsidRDefault="00D41D1D" w:rsidP="004A5A28">
            <w:pPr>
              <w:keepNext/>
              <w:spacing w:before="60" w:after="60"/>
              <w:rPr>
                <w:sz w:val="22"/>
              </w:rPr>
            </w:pPr>
            <w:r w:rsidRPr="009B561B">
              <w:rPr>
                <w:sz w:val="22"/>
              </w:rPr>
              <w:t>3% increase from 2012 reporting units</w:t>
            </w:r>
          </w:p>
        </w:tc>
        <w:tc>
          <w:tcPr>
            <w:tcW w:w="1658" w:type="dxa"/>
            <w:tcBorders>
              <w:top w:val="nil"/>
              <w:left w:val="single" w:sz="4" w:space="0" w:color="auto"/>
              <w:bottom w:val="nil"/>
              <w:right w:val="single" w:sz="4" w:space="0" w:color="auto"/>
            </w:tcBorders>
            <w:shd w:val="clear" w:color="auto" w:fill="auto"/>
            <w:noWrap/>
            <w:vAlign w:val="center"/>
            <w:hideMark/>
          </w:tcPr>
          <w:p w:rsidR="00D41D1D" w:rsidRPr="009B561B" w:rsidRDefault="00D41D1D" w:rsidP="004A5A28">
            <w:pPr>
              <w:keepNext/>
              <w:tabs>
                <w:tab w:val="decimal" w:pos="1094"/>
              </w:tabs>
              <w:spacing w:before="60" w:after="60"/>
              <w:rPr>
                <w:sz w:val="22"/>
              </w:rPr>
            </w:pPr>
            <w:r w:rsidRPr="009B561B">
              <w:rPr>
                <w:sz w:val="22"/>
              </w:rPr>
              <w:t>461</w:t>
            </w:r>
          </w:p>
        </w:tc>
        <w:tc>
          <w:tcPr>
            <w:tcW w:w="1530" w:type="dxa"/>
            <w:tcBorders>
              <w:top w:val="nil"/>
              <w:left w:val="single" w:sz="4" w:space="0" w:color="auto"/>
              <w:bottom w:val="nil"/>
              <w:right w:val="single" w:sz="4" w:space="0" w:color="auto"/>
            </w:tcBorders>
            <w:shd w:val="clear" w:color="auto" w:fill="auto"/>
            <w:noWrap/>
            <w:vAlign w:val="center"/>
            <w:hideMark/>
          </w:tcPr>
          <w:p w:rsidR="00D41D1D" w:rsidRPr="009B561B" w:rsidRDefault="00D41D1D" w:rsidP="004A5A28">
            <w:pPr>
              <w:keepNext/>
              <w:spacing w:before="60" w:after="60"/>
              <w:jc w:val="center"/>
              <w:rPr>
                <w:sz w:val="22"/>
              </w:rPr>
            </w:pPr>
            <w:r w:rsidRPr="009B561B">
              <w:rPr>
                <w:sz w:val="22"/>
              </w:rPr>
              <w:t>2.5</w:t>
            </w:r>
          </w:p>
        </w:tc>
        <w:tc>
          <w:tcPr>
            <w:tcW w:w="1658" w:type="dxa"/>
            <w:tcBorders>
              <w:top w:val="nil"/>
              <w:left w:val="single" w:sz="4" w:space="0" w:color="auto"/>
              <w:bottom w:val="nil"/>
              <w:right w:val="nil"/>
            </w:tcBorders>
            <w:shd w:val="clear" w:color="auto" w:fill="auto"/>
            <w:noWrap/>
            <w:vAlign w:val="center"/>
            <w:hideMark/>
          </w:tcPr>
          <w:p w:rsidR="00D41D1D" w:rsidRPr="009B561B" w:rsidRDefault="00D41D1D" w:rsidP="004A5A28">
            <w:pPr>
              <w:keepNext/>
              <w:tabs>
                <w:tab w:val="decimal" w:pos="1094"/>
              </w:tabs>
              <w:spacing w:before="60" w:after="60"/>
              <w:rPr>
                <w:sz w:val="22"/>
              </w:rPr>
            </w:pPr>
            <w:r w:rsidRPr="009B561B">
              <w:rPr>
                <w:sz w:val="22"/>
              </w:rPr>
              <w:t>1151</w:t>
            </w:r>
          </w:p>
        </w:tc>
      </w:tr>
      <w:tr w:rsidR="00D41D1D" w:rsidRPr="009B561B" w:rsidTr="00DF0F0C">
        <w:trPr>
          <w:cantSplit/>
        </w:trPr>
        <w:tc>
          <w:tcPr>
            <w:tcW w:w="3652" w:type="dxa"/>
            <w:tcBorders>
              <w:top w:val="nil"/>
              <w:left w:val="nil"/>
              <w:bottom w:val="single" w:sz="8" w:space="0" w:color="auto"/>
              <w:right w:val="single" w:sz="4" w:space="0" w:color="auto"/>
            </w:tcBorders>
            <w:shd w:val="clear" w:color="auto" w:fill="auto"/>
            <w:vAlign w:val="center"/>
            <w:hideMark/>
          </w:tcPr>
          <w:p w:rsidR="00D41D1D" w:rsidRPr="009B561B" w:rsidRDefault="00D41D1D" w:rsidP="004A5A28">
            <w:pPr>
              <w:keepNext/>
              <w:spacing w:before="60" w:after="60"/>
              <w:rPr>
                <w:sz w:val="22"/>
              </w:rPr>
            </w:pPr>
            <w:r w:rsidRPr="009B561B">
              <w:rPr>
                <w:sz w:val="22"/>
              </w:rPr>
              <w:t>FFRDC study</w:t>
            </w:r>
          </w:p>
        </w:tc>
        <w:tc>
          <w:tcPr>
            <w:tcW w:w="1658" w:type="dxa"/>
            <w:tcBorders>
              <w:top w:val="nil"/>
              <w:left w:val="single" w:sz="4" w:space="0" w:color="auto"/>
              <w:bottom w:val="single" w:sz="8" w:space="0" w:color="auto"/>
              <w:right w:val="single" w:sz="4" w:space="0" w:color="auto"/>
            </w:tcBorders>
            <w:shd w:val="clear" w:color="auto" w:fill="auto"/>
            <w:noWrap/>
            <w:vAlign w:val="center"/>
            <w:hideMark/>
          </w:tcPr>
          <w:p w:rsidR="00D41D1D" w:rsidRPr="009B561B" w:rsidRDefault="00D41D1D" w:rsidP="004A5A28">
            <w:pPr>
              <w:keepNext/>
              <w:tabs>
                <w:tab w:val="decimal" w:pos="1094"/>
              </w:tabs>
              <w:spacing w:before="60" w:after="60"/>
              <w:rPr>
                <w:sz w:val="22"/>
              </w:rPr>
            </w:pPr>
            <w:r w:rsidRPr="009B561B">
              <w:rPr>
                <w:sz w:val="22"/>
              </w:rPr>
              <w:t>40</w:t>
            </w:r>
          </w:p>
        </w:tc>
        <w:tc>
          <w:tcPr>
            <w:tcW w:w="1530" w:type="dxa"/>
            <w:tcBorders>
              <w:top w:val="nil"/>
              <w:left w:val="single" w:sz="4" w:space="0" w:color="auto"/>
              <w:bottom w:val="single" w:sz="8" w:space="0" w:color="auto"/>
              <w:right w:val="single" w:sz="4" w:space="0" w:color="auto"/>
            </w:tcBorders>
            <w:shd w:val="clear" w:color="auto" w:fill="auto"/>
            <w:noWrap/>
            <w:vAlign w:val="center"/>
            <w:hideMark/>
          </w:tcPr>
          <w:p w:rsidR="00D41D1D" w:rsidRPr="009B561B" w:rsidRDefault="00D41D1D" w:rsidP="004A5A28">
            <w:pPr>
              <w:keepNext/>
              <w:spacing w:before="60" w:after="60"/>
              <w:jc w:val="center"/>
              <w:rPr>
                <w:sz w:val="22"/>
              </w:rPr>
            </w:pPr>
            <w:r w:rsidRPr="009B561B">
              <w:rPr>
                <w:sz w:val="22"/>
              </w:rPr>
              <w:t>4.7</w:t>
            </w:r>
          </w:p>
        </w:tc>
        <w:tc>
          <w:tcPr>
            <w:tcW w:w="1658" w:type="dxa"/>
            <w:tcBorders>
              <w:top w:val="nil"/>
              <w:left w:val="single" w:sz="4" w:space="0" w:color="auto"/>
              <w:bottom w:val="single" w:sz="8" w:space="0" w:color="auto"/>
              <w:right w:val="nil"/>
            </w:tcBorders>
            <w:shd w:val="clear" w:color="auto" w:fill="auto"/>
            <w:noWrap/>
            <w:vAlign w:val="center"/>
            <w:hideMark/>
          </w:tcPr>
          <w:p w:rsidR="00D41D1D" w:rsidRPr="009B561B" w:rsidRDefault="00D41D1D" w:rsidP="004A5A28">
            <w:pPr>
              <w:keepNext/>
              <w:tabs>
                <w:tab w:val="decimal" w:pos="1094"/>
              </w:tabs>
              <w:spacing w:before="60" w:after="60"/>
              <w:rPr>
                <w:sz w:val="22"/>
              </w:rPr>
            </w:pPr>
            <w:r w:rsidRPr="009B561B">
              <w:rPr>
                <w:sz w:val="22"/>
              </w:rPr>
              <w:t>188</w:t>
            </w:r>
          </w:p>
        </w:tc>
      </w:tr>
      <w:tr w:rsidR="00D41D1D" w:rsidRPr="009B561B" w:rsidTr="00DF0F0C">
        <w:trPr>
          <w:cantSplit/>
        </w:trPr>
        <w:tc>
          <w:tcPr>
            <w:tcW w:w="3652" w:type="dxa"/>
            <w:tcBorders>
              <w:top w:val="single" w:sz="8" w:space="0" w:color="auto"/>
              <w:left w:val="nil"/>
              <w:bottom w:val="single" w:sz="12" w:space="0" w:color="auto"/>
              <w:right w:val="single" w:sz="4" w:space="0" w:color="auto"/>
            </w:tcBorders>
            <w:shd w:val="clear" w:color="auto" w:fill="auto"/>
            <w:vAlign w:val="center"/>
            <w:hideMark/>
          </w:tcPr>
          <w:p w:rsidR="00D41D1D" w:rsidRPr="009B561B" w:rsidRDefault="00D41D1D" w:rsidP="004A5A28">
            <w:pPr>
              <w:keepNext/>
              <w:spacing w:before="60" w:after="60"/>
              <w:rPr>
                <w:sz w:val="22"/>
              </w:rPr>
            </w:pPr>
            <w:r w:rsidRPr="009B561B">
              <w:rPr>
                <w:sz w:val="22"/>
              </w:rPr>
              <w:t>Estimated total</w:t>
            </w:r>
          </w:p>
        </w:tc>
        <w:tc>
          <w:tcPr>
            <w:tcW w:w="1658" w:type="dxa"/>
            <w:tcBorders>
              <w:top w:val="single" w:sz="8" w:space="0" w:color="auto"/>
              <w:left w:val="single" w:sz="4" w:space="0" w:color="auto"/>
              <w:bottom w:val="single" w:sz="12" w:space="0" w:color="auto"/>
              <w:right w:val="single" w:sz="4" w:space="0" w:color="auto"/>
            </w:tcBorders>
            <w:shd w:val="clear" w:color="auto" w:fill="auto"/>
            <w:noWrap/>
            <w:vAlign w:val="center"/>
            <w:hideMark/>
          </w:tcPr>
          <w:p w:rsidR="00D41D1D" w:rsidRPr="009B561B" w:rsidRDefault="00D41D1D" w:rsidP="004A5A28">
            <w:pPr>
              <w:keepNext/>
              <w:tabs>
                <w:tab w:val="decimal" w:pos="1094"/>
              </w:tabs>
              <w:spacing w:before="60" w:after="60"/>
              <w:rPr>
                <w:sz w:val="22"/>
              </w:rPr>
            </w:pPr>
            <w:r w:rsidRPr="009B561B">
              <w:rPr>
                <w:sz w:val="22"/>
              </w:rPr>
              <w:t>15,851</w:t>
            </w:r>
          </w:p>
        </w:tc>
        <w:tc>
          <w:tcPr>
            <w:tcW w:w="1530" w:type="dxa"/>
            <w:tcBorders>
              <w:top w:val="single" w:sz="8" w:space="0" w:color="auto"/>
              <w:left w:val="single" w:sz="4" w:space="0" w:color="auto"/>
              <w:bottom w:val="single" w:sz="12" w:space="0" w:color="auto"/>
              <w:right w:val="single" w:sz="4" w:space="0" w:color="auto"/>
            </w:tcBorders>
            <w:shd w:val="clear" w:color="auto" w:fill="auto"/>
            <w:noWrap/>
            <w:vAlign w:val="center"/>
            <w:hideMark/>
          </w:tcPr>
          <w:p w:rsidR="00D41D1D" w:rsidRPr="009B561B" w:rsidRDefault="00D41D1D" w:rsidP="004A5A28">
            <w:pPr>
              <w:keepNext/>
              <w:spacing w:before="60" w:after="60"/>
              <w:jc w:val="center"/>
              <w:rPr>
                <w:sz w:val="22"/>
              </w:rPr>
            </w:pPr>
            <w:r w:rsidRPr="009B561B">
              <w:rPr>
                <w:sz w:val="22"/>
              </w:rPr>
              <w:t>2.5</w:t>
            </w:r>
          </w:p>
        </w:tc>
        <w:tc>
          <w:tcPr>
            <w:tcW w:w="1658" w:type="dxa"/>
            <w:tcBorders>
              <w:top w:val="single" w:sz="8" w:space="0" w:color="auto"/>
              <w:left w:val="single" w:sz="4" w:space="0" w:color="auto"/>
              <w:bottom w:val="single" w:sz="12" w:space="0" w:color="auto"/>
              <w:right w:val="nil"/>
            </w:tcBorders>
            <w:shd w:val="clear" w:color="000000" w:fill="FFFFFF"/>
            <w:noWrap/>
            <w:vAlign w:val="center"/>
            <w:hideMark/>
          </w:tcPr>
          <w:p w:rsidR="00D41D1D" w:rsidRPr="009B561B" w:rsidRDefault="00D41D1D" w:rsidP="004A5A28">
            <w:pPr>
              <w:keepNext/>
              <w:tabs>
                <w:tab w:val="decimal" w:pos="1094"/>
              </w:tabs>
              <w:spacing w:before="60" w:after="60"/>
              <w:rPr>
                <w:sz w:val="22"/>
              </w:rPr>
            </w:pPr>
            <w:r w:rsidRPr="009B561B">
              <w:rPr>
                <w:sz w:val="22"/>
              </w:rPr>
              <w:t>39,716</w:t>
            </w:r>
          </w:p>
        </w:tc>
      </w:tr>
    </w:tbl>
    <w:p w:rsidR="00D41D1D" w:rsidRPr="009B561B" w:rsidRDefault="00D41D1D" w:rsidP="00742F9D">
      <w:pPr>
        <w:pStyle w:val="exhibitsource"/>
      </w:pPr>
    </w:p>
    <w:p w:rsidR="00D41D1D" w:rsidRPr="009B561B" w:rsidRDefault="00D41D1D" w:rsidP="00DF0F0C">
      <w:pPr>
        <w:pStyle w:val="bodytext"/>
      </w:pPr>
      <w:r w:rsidRPr="009B561B">
        <w:t xml:space="preserve">In addition, NCSES is requesting 360 burden hours over the 3 years for future testing needs. By adding the burden estimates for the three survey cycles and the testing, the total respondent burden is 120,603 hours. Exhibit </w:t>
      </w:r>
      <w:r w:rsidRPr="009B561B">
        <w:rPr>
          <w:noProof/>
        </w:rPr>
        <w:t>4</w:t>
      </w:r>
      <w:r w:rsidRPr="009B561B">
        <w:t xml:space="preserve"> summarizes the burden estimates for the next 3 years of the GSS.</w:t>
      </w:r>
    </w:p>
    <w:p w:rsidR="00D41D1D" w:rsidRPr="009B561B" w:rsidRDefault="00CD4BCE" w:rsidP="00DF0F0C">
      <w:pPr>
        <w:pStyle w:val="FigureTitle"/>
      </w:pPr>
      <w:bookmarkStart w:id="51" w:name="_Ref286304091"/>
      <w:bookmarkStart w:id="52" w:name="_Toc286415616"/>
      <w:bookmarkStart w:id="53" w:name="_Toc298764190"/>
      <w:r w:rsidRPr="009B561B">
        <w:lastRenderedPageBreak/>
        <w:t>Exhibit </w:t>
      </w:r>
      <w:fldSimple w:instr=" SEQ Exhibit \* ARABIC ">
        <w:r w:rsidR="0011749A">
          <w:rPr>
            <w:noProof/>
          </w:rPr>
          <w:t>4</w:t>
        </w:r>
      </w:fldSimple>
      <w:bookmarkEnd w:id="51"/>
      <w:r w:rsidR="00D41D1D" w:rsidRPr="009B561B">
        <w:t>.</w:t>
      </w:r>
      <w:r w:rsidRPr="009B561B">
        <w:tab/>
      </w:r>
      <w:r w:rsidR="00D41D1D" w:rsidRPr="009B561B">
        <w:t>Total Burden Estimates for 2011–13 GSS</w:t>
      </w:r>
      <w:bookmarkEnd w:id="52"/>
      <w:bookmarkEnd w:id="53"/>
      <w:r w:rsidR="00D41D1D" w:rsidRPr="009B561B">
        <w:t xml:space="preserve"> </w:t>
      </w:r>
    </w:p>
    <w:tbl>
      <w:tblPr>
        <w:tblW w:w="9360" w:type="dxa"/>
        <w:tblInd w:w="86" w:type="dxa"/>
        <w:tblBorders>
          <w:top w:val="single" w:sz="12" w:space="0" w:color="auto"/>
          <w:bottom w:val="single" w:sz="12" w:space="0" w:color="auto"/>
          <w:insideH w:val="single" w:sz="4" w:space="0" w:color="auto"/>
        </w:tblBorders>
        <w:tblLayout w:type="fixed"/>
        <w:tblCellMar>
          <w:left w:w="115" w:type="dxa"/>
          <w:right w:w="115" w:type="dxa"/>
        </w:tblCellMar>
        <w:tblLook w:val="04A0"/>
      </w:tblPr>
      <w:tblGrid>
        <w:gridCol w:w="5969"/>
        <w:gridCol w:w="1695"/>
        <w:gridCol w:w="1696"/>
      </w:tblGrid>
      <w:tr w:rsidR="00D41D1D" w:rsidRPr="009B561B" w:rsidTr="00CD4BCE">
        <w:trPr>
          <w:cantSplit/>
        </w:trPr>
        <w:tc>
          <w:tcPr>
            <w:tcW w:w="5969" w:type="dxa"/>
            <w:tcBorders>
              <w:bottom w:val="single" w:sz="4" w:space="0" w:color="auto"/>
              <w:right w:val="single" w:sz="4" w:space="0" w:color="auto"/>
            </w:tcBorders>
            <w:vAlign w:val="bottom"/>
          </w:tcPr>
          <w:p w:rsidR="00D41D1D" w:rsidRPr="009B561B" w:rsidRDefault="00D41D1D" w:rsidP="004A5A28">
            <w:pPr>
              <w:keepNext/>
              <w:spacing w:before="60" w:after="60"/>
              <w:jc w:val="center"/>
              <w:rPr>
                <w:b/>
                <w:sz w:val="22"/>
              </w:rPr>
            </w:pPr>
            <w:r w:rsidRPr="009B561B">
              <w:rPr>
                <w:b/>
                <w:sz w:val="22"/>
              </w:rPr>
              <w:t>Category</w:t>
            </w:r>
          </w:p>
        </w:tc>
        <w:tc>
          <w:tcPr>
            <w:tcW w:w="1695" w:type="dxa"/>
            <w:tcBorders>
              <w:bottom w:val="single" w:sz="4" w:space="0" w:color="auto"/>
              <w:right w:val="single" w:sz="4" w:space="0" w:color="auto"/>
            </w:tcBorders>
            <w:vAlign w:val="bottom"/>
          </w:tcPr>
          <w:p w:rsidR="00D41D1D" w:rsidRPr="009B561B" w:rsidRDefault="00D41D1D" w:rsidP="004A5A28">
            <w:pPr>
              <w:keepNext/>
              <w:spacing w:before="60" w:after="60"/>
              <w:jc w:val="center"/>
              <w:rPr>
                <w:b/>
                <w:sz w:val="22"/>
              </w:rPr>
            </w:pPr>
            <w:r w:rsidRPr="009B561B">
              <w:rPr>
                <w:b/>
                <w:sz w:val="22"/>
              </w:rPr>
              <w:t>Total respondents</w:t>
            </w:r>
            <w:r w:rsidR="00CD4BCE" w:rsidRPr="009B561B">
              <w:rPr>
                <w:b/>
                <w:sz w:val="22"/>
              </w:rPr>
              <w:br/>
            </w:r>
            <w:r w:rsidRPr="009B561B">
              <w:rPr>
                <w:b/>
                <w:sz w:val="22"/>
              </w:rPr>
              <w:t>(# of units)</w:t>
            </w:r>
          </w:p>
        </w:tc>
        <w:tc>
          <w:tcPr>
            <w:tcW w:w="1696" w:type="dxa"/>
            <w:tcBorders>
              <w:top w:val="single" w:sz="12" w:space="0" w:color="auto"/>
              <w:left w:val="single" w:sz="4" w:space="0" w:color="auto"/>
              <w:bottom w:val="single" w:sz="4" w:space="0" w:color="auto"/>
            </w:tcBorders>
            <w:vAlign w:val="bottom"/>
          </w:tcPr>
          <w:p w:rsidR="00D41D1D" w:rsidRPr="009B561B" w:rsidRDefault="00D41D1D" w:rsidP="004A5A28">
            <w:pPr>
              <w:keepNext/>
              <w:spacing w:before="60" w:after="60"/>
              <w:jc w:val="center"/>
              <w:rPr>
                <w:b/>
                <w:sz w:val="22"/>
              </w:rPr>
            </w:pPr>
            <w:r w:rsidRPr="009B561B">
              <w:rPr>
                <w:b/>
                <w:sz w:val="22"/>
              </w:rPr>
              <w:t>Total burden (hours)</w:t>
            </w:r>
          </w:p>
        </w:tc>
      </w:tr>
      <w:tr w:rsidR="00D41D1D" w:rsidRPr="009B561B" w:rsidTr="00CD4BCE">
        <w:trPr>
          <w:cantSplit/>
        </w:trPr>
        <w:tc>
          <w:tcPr>
            <w:tcW w:w="5969" w:type="dxa"/>
            <w:tcBorders>
              <w:top w:val="single" w:sz="4" w:space="0" w:color="auto"/>
              <w:bottom w:val="nil"/>
              <w:right w:val="single" w:sz="4" w:space="0" w:color="auto"/>
            </w:tcBorders>
          </w:tcPr>
          <w:p w:rsidR="00D41D1D" w:rsidRPr="009B561B" w:rsidRDefault="00D41D1D" w:rsidP="004A5A28">
            <w:pPr>
              <w:keepNext/>
              <w:spacing w:before="60" w:after="60"/>
              <w:rPr>
                <w:sz w:val="22"/>
              </w:rPr>
            </w:pPr>
            <w:r w:rsidRPr="009B561B">
              <w:rPr>
                <w:sz w:val="22"/>
              </w:rPr>
              <w:t>Total burden for 2011</w:t>
            </w:r>
          </w:p>
        </w:tc>
        <w:tc>
          <w:tcPr>
            <w:tcW w:w="1695" w:type="dxa"/>
            <w:tcBorders>
              <w:top w:val="single" w:sz="4" w:space="0" w:color="auto"/>
              <w:bottom w:val="nil"/>
              <w:right w:val="single" w:sz="4" w:space="0" w:color="auto"/>
            </w:tcBorders>
          </w:tcPr>
          <w:p w:rsidR="00D41D1D" w:rsidRPr="009B561B" w:rsidRDefault="00D41D1D" w:rsidP="004A5A28">
            <w:pPr>
              <w:keepNext/>
              <w:tabs>
                <w:tab w:val="decimal" w:pos="965"/>
              </w:tabs>
              <w:spacing w:before="60" w:after="60"/>
              <w:rPr>
                <w:sz w:val="22"/>
              </w:rPr>
            </w:pPr>
            <w:r w:rsidRPr="009B561B">
              <w:rPr>
                <w:sz w:val="22"/>
              </w:rPr>
              <w:t>14,944</w:t>
            </w:r>
          </w:p>
        </w:tc>
        <w:tc>
          <w:tcPr>
            <w:tcW w:w="1696" w:type="dxa"/>
            <w:tcBorders>
              <w:top w:val="single" w:sz="4" w:space="0" w:color="auto"/>
              <w:left w:val="single" w:sz="4" w:space="0" w:color="auto"/>
              <w:bottom w:val="nil"/>
            </w:tcBorders>
          </w:tcPr>
          <w:p w:rsidR="00D41D1D" w:rsidRPr="009B561B" w:rsidRDefault="00D41D1D" w:rsidP="004A5A28">
            <w:pPr>
              <w:keepNext/>
              <w:tabs>
                <w:tab w:val="decimal" w:pos="965"/>
              </w:tabs>
              <w:spacing w:before="60" w:after="60"/>
              <w:rPr>
                <w:sz w:val="22"/>
              </w:rPr>
            </w:pPr>
            <w:r w:rsidRPr="009B561B">
              <w:rPr>
                <w:sz w:val="22"/>
              </w:rPr>
              <w:t>40,428</w:t>
            </w:r>
          </w:p>
        </w:tc>
      </w:tr>
      <w:tr w:rsidR="00D41D1D" w:rsidRPr="009B561B" w:rsidTr="00CD4BCE">
        <w:trPr>
          <w:cantSplit/>
        </w:trPr>
        <w:tc>
          <w:tcPr>
            <w:tcW w:w="5969" w:type="dxa"/>
            <w:tcBorders>
              <w:top w:val="nil"/>
              <w:bottom w:val="nil"/>
              <w:right w:val="single" w:sz="4" w:space="0" w:color="auto"/>
            </w:tcBorders>
          </w:tcPr>
          <w:p w:rsidR="00D41D1D" w:rsidRPr="009B561B" w:rsidRDefault="00D41D1D" w:rsidP="004A5A28">
            <w:pPr>
              <w:keepNext/>
              <w:spacing w:before="60" w:after="60"/>
              <w:rPr>
                <w:sz w:val="22"/>
              </w:rPr>
            </w:pPr>
            <w:r w:rsidRPr="009B561B">
              <w:rPr>
                <w:sz w:val="22"/>
              </w:rPr>
              <w:t>Total burden for 2012</w:t>
            </w:r>
          </w:p>
        </w:tc>
        <w:tc>
          <w:tcPr>
            <w:tcW w:w="1695" w:type="dxa"/>
            <w:tcBorders>
              <w:top w:val="nil"/>
              <w:bottom w:val="nil"/>
              <w:right w:val="single" w:sz="4" w:space="0" w:color="auto"/>
            </w:tcBorders>
          </w:tcPr>
          <w:p w:rsidR="00D41D1D" w:rsidRPr="009B561B" w:rsidRDefault="00D41D1D" w:rsidP="004A5A28">
            <w:pPr>
              <w:keepNext/>
              <w:tabs>
                <w:tab w:val="decimal" w:pos="965"/>
              </w:tabs>
              <w:spacing w:before="60" w:after="60"/>
              <w:rPr>
                <w:sz w:val="22"/>
              </w:rPr>
            </w:pPr>
            <w:r w:rsidRPr="009B561B">
              <w:rPr>
                <w:sz w:val="22"/>
              </w:rPr>
              <w:t>15,391</w:t>
            </w:r>
          </w:p>
        </w:tc>
        <w:tc>
          <w:tcPr>
            <w:tcW w:w="1696" w:type="dxa"/>
            <w:tcBorders>
              <w:top w:val="nil"/>
              <w:left w:val="single" w:sz="4" w:space="0" w:color="auto"/>
              <w:bottom w:val="nil"/>
            </w:tcBorders>
          </w:tcPr>
          <w:p w:rsidR="00D41D1D" w:rsidRPr="009B561B" w:rsidRDefault="00D41D1D" w:rsidP="004A5A28">
            <w:pPr>
              <w:keepNext/>
              <w:tabs>
                <w:tab w:val="decimal" w:pos="965"/>
              </w:tabs>
              <w:spacing w:before="60" w:after="60"/>
              <w:rPr>
                <w:sz w:val="22"/>
              </w:rPr>
            </w:pPr>
            <w:r w:rsidRPr="009B561B">
              <w:rPr>
                <w:sz w:val="22"/>
              </w:rPr>
              <w:t>40,099</w:t>
            </w:r>
          </w:p>
        </w:tc>
      </w:tr>
      <w:tr w:rsidR="00D41D1D" w:rsidRPr="009B561B" w:rsidTr="00CD4BCE">
        <w:trPr>
          <w:cantSplit/>
        </w:trPr>
        <w:tc>
          <w:tcPr>
            <w:tcW w:w="5969" w:type="dxa"/>
            <w:tcBorders>
              <w:top w:val="nil"/>
              <w:bottom w:val="nil"/>
              <w:right w:val="single" w:sz="4" w:space="0" w:color="auto"/>
            </w:tcBorders>
          </w:tcPr>
          <w:p w:rsidR="00D41D1D" w:rsidRPr="009B561B" w:rsidRDefault="00D41D1D" w:rsidP="004A5A28">
            <w:pPr>
              <w:keepNext/>
              <w:spacing w:before="60" w:after="60"/>
              <w:rPr>
                <w:sz w:val="22"/>
              </w:rPr>
            </w:pPr>
            <w:r w:rsidRPr="009B561B">
              <w:rPr>
                <w:sz w:val="22"/>
              </w:rPr>
              <w:t>Total burden for 2013</w:t>
            </w:r>
          </w:p>
        </w:tc>
        <w:tc>
          <w:tcPr>
            <w:tcW w:w="1695" w:type="dxa"/>
            <w:tcBorders>
              <w:top w:val="nil"/>
              <w:bottom w:val="nil"/>
              <w:right w:val="single" w:sz="4" w:space="0" w:color="auto"/>
            </w:tcBorders>
          </w:tcPr>
          <w:p w:rsidR="00D41D1D" w:rsidRPr="009B561B" w:rsidRDefault="00D41D1D" w:rsidP="004A5A28">
            <w:pPr>
              <w:keepNext/>
              <w:tabs>
                <w:tab w:val="decimal" w:pos="965"/>
              </w:tabs>
              <w:spacing w:before="60" w:after="60"/>
              <w:rPr>
                <w:sz w:val="22"/>
              </w:rPr>
            </w:pPr>
            <w:r w:rsidRPr="009B561B">
              <w:rPr>
                <w:sz w:val="22"/>
              </w:rPr>
              <w:t>15,851</w:t>
            </w:r>
          </w:p>
        </w:tc>
        <w:tc>
          <w:tcPr>
            <w:tcW w:w="1696" w:type="dxa"/>
            <w:tcBorders>
              <w:top w:val="nil"/>
              <w:left w:val="single" w:sz="4" w:space="0" w:color="auto"/>
              <w:bottom w:val="nil"/>
            </w:tcBorders>
          </w:tcPr>
          <w:p w:rsidR="00D41D1D" w:rsidRPr="009B561B" w:rsidRDefault="00D41D1D" w:rsidP="004A5A28">
            <w:pPr>
              <w:keepNext/>
              <w:tabs>
                <w:tab w:val="decimal" w:pos="965"/>
              </w:tabs>
              <w:spacing w:before="60" w:after="60"/>
              <w:rPr>
                <w:sz w:val="22"/>
              </w:rPr>
            </w:pPr>
            <w:r w:rsidRPr="009B561B">
              <w:rPr>
                <w:sz w:val="22"/>
              </w:rPr>
              <w:t>39,716</w:t>
            </w:r>
          </w:p>
        </w:tc>
      </w:tr>
      <w:tr w:rsidR="00D41D1D" w:rsidRPr="009B561B" w:rsidTr="00CD4BCE">
        <w:trPr>
          <w:cantSplit/>
        </w:trPr>
        <w:tc>
          <w:tcPr>
            <w:tcW w:w="5969" w:type="dxa"/>
            <w:tcBorders>
              <w:top w:val="nil"/>
              <w:bottom w:val="nil"/>
              <w:right w:val="single" w:sz="4" w:space="0" w:color="auto"/>
            </w:tcBorders>
          </w:tcPr>
          <w:p w:rsidR="00D41D1D" w:rsidRPr="009B561B" w:rsidRDefault="00D41D1D" w:rsidP="004A5A28">
            <w:pPr>
              <w:keepNext/>
              <w:spacing w:before="60" w:after="60"/>
              <w:rPr>
                <w:sz w:val="22"/>
              </w:rPr>
            </w:pPr>
            <w:r w:rsidRPr="009B561B">
              <w:rPr>
                <w:sz w:val="22"/>
              </w:rPr>
              <w:t>Future testing (across all 3 years)</w:t>
            </w:r>
          </w:p>
        </w:tc>
        <w:tc>
          <w:tcPr>
            <w:tcW w:w="1695" w:type="dxa"/>
            <w:tcBorders>
              <w:top w:val="nil"/>
              <w:bottom w:val="nil"/>
              <w:right w:val="single" w:sz="4" w:space="0" w:color="auto"/>
            </w:tcBorders>
          </w:tcPr>
          <w:p w:rsidR="00D41D1D" w:rsidRPr="009B561B" w:rsidRDefault="00D41D1D" w:rsidP="004A5A28">
            <w:pPr>
              <w:keepNext/>
              <w:tabs>
                <w:tab w:val="decimal" w:pos="965"/>
              </w:tabs>
              <w:spacing w:before="60" w:after="60"/>
              <w:rPr>
                <w:sz w:val="22"/>
              </w:rPr>
            </w:pPr>
            <w:r w:rsidRPr="009B561B">
              <w:rPr>
                <w:sz w:val="22"/>
              </w:rPr>
              <w:t>n/a</w:t>
            </w:r>
          </w:p>
        </w:tc>
        <w:tc>
          <w:tcPr>
            <w:tcW w:w="1696" w:type="dxa"/>
            <w:tcBorders>
              <w:top w:val="nil"/>
              <w:left w:val="single" w:sz="4" w:space="0" w:color="auto"/>
              <w:bottom w:val="nil"/>
            </w:tcBorders>
          </w:tcPr>
          <w:p w:rsidR="00D41D1D" w:rsidRPr="009B561B" w:rsidRDefault="00D41D1D" w:rsidP="004A5A28">
            <w:pPr>
              <w:keepNext/>
              <w:tabs>
                <w:tab w:val="decimal" w:pos="965"/>
              </w:tabs>
              <w:spacing w:before="60" w:after="60"/>
              <w:rPr>
                <w:sz w:val="22"/>
              </w:rPr>
            </w:pPr>
            <w:r w:rsidRPr="009B561B">
              <w:rPr>
                <w:sz w:val="22"/>
              </w:rPr>
              <w:t>360</w:t>
            </w:r>
          </w:p>
        </w:tc>
      </w:tr>
      <w:tr w:rsidR="00D41D1D" w:rsidRPr="009B561B" w:rsidTr="00CD4BCE">
        <w:trPr>
          <w:cantSplit/>
        </w:trPr>
        <w:tc>
          <w:tcPr>
            <w:tcW w:w="5969" w:type="dxa"/>
            <w:tcBorders>
              <w:top w:val="nil"/>
              <w:bottom w:val="single" w:sz="4" w:space="0" w:color="auto"/>
              <w:right w:val="single" w:sz="4" w:space="0" w:color="auto"/>
            </w:tcBorders>
          </w:tcPr>
          <w:p w:rsidR="00D41D1D" w:rsidRPr="009B561B" w:rsidRDefault="00D41D1D" w:rsidP="004A5A28">
            <w:pPr>
              <w:keepNext/>
              <w:spacing w:before="60" w:after="60"/>
              <w:rPr>
                <w:sz w:val="22"/>
              </w:rPr>
            </w:pPr>
            <w:r w:rsidRPr="009B561B">
              <w:rPr>
                <w:sz w:val="22"/>
              </w:rPr>
              <w:t>Estimated burden for all 3 years (2011, 2012, 2013, plus testing)</w:t>
            </w:r>
          </w:p>
        </w:tc>
        <w:tc>
          <w:tcPr>
            <w:tcW w:w="1695" w:type="dxa"/>
            <w:tcBorders>
              <w:top w:val="nil"/>
              <w:bottom w:val="single" w:sz="4" w:space="0" w:color="auto"/>
              <w:right w:val="single" w:sz="4" w:space="0" w:color="auto"/>
            </w:tcBorders>
          </w:tcPr>
          <w:p w:rsidR="00D41D1D" w:rsidRPr="009B561B" w:rsidRDefault="00D41D1D" w:rsidP="004A5A28">
            <w:pPr>
              <w:keepNext/>
              <w:tabs>
                <w:tab w:val="decimal" w:pos="965"/>
              </w:tabs>
              <w:spacing w:before="60" w:after="60"/>
              <w:rPr>
                <w:sz w:val="22"/>
              </w:rPr>
            </w:pPr>
            <w:r w:rsidRPr="009B561B">
              <w:rPr>
                <w:sz w:val="22"/>
              </w:rPr>
              <w:t>46,186</w:t>
            </w:r>
          </w:p>
        </w:tc>
        <w:tc>
          <w:tcPr>
            <w:tcW w:w="1696" w:type="dxa"/>
            <w:tcBorders>
              <w:top w:val="nil"/>
              <w:left w:val="single" w:sz="4" w:space="0" w:color="auto"/>
              <w:bottom w:val="single" w:sz="4" w:space="0" w:color="auto"/>
            </w:tcBorders>
          </w:tcPr>
          <w:p w:rsidR="00D41D1D" w:rsidRPr="009B561B" w:rsidRDefault="00D41D1D" w:rsidP="004A5A28">
            <w:pPr>
              <w:keepNext/>
              <w:tabs>
                <w:tab w:val="decimal" w:pos="965"/>
              </w:tabs>
              <w:spacing w:before="60" w:after="60"/>
              <w:rPr>
                <w:sz w:val="22"/>
              </w:rPr>
            </w:pPr>
            <w:r w:rsidRPr="009B561B">
              <w:rPr>
                <w:sz w:val="22"/>
              </w:rPr>
              <w:t>120,603</w:t>
            </w:r>
          </w:p>
        </w:tc>
      </w:tr>
      <w:tr w:rsidR="00D41D1D" w:rsidRPr="009B561B" w:rsidTr="00CD4BCE">
        <w:trPr>
          <w:cantSplit/>
        </w:trPr>
        <w:tc>
          <w:tcPr>
            <w:tcW w:w="5969" w:type="dxa"/>
            <w:tcBorders>
              <w:top w:val="single" w:sz="4" w:space="0" w:color="auto"/>
              <w:bottom w:val="single" w:sz="12" w:space="0" w:color="auto"/>
              <w:right w:val="single" w:sz="4" w:space="0" w:color="auto"/>
            </w:tcBorders>
          </w:tcPr>
          <w:p w:rsidR="00D41D1D" w:rsidRPr="009B561B" w:rsidRDefault="00D41D1D" w:rsidP="004A5A28">
            <w:pPr>
              <w:keepNext/>
              <w:spacing w:before="60" w:after="60"/>
              <w:rPr>
                <w:sz w:val="22"/>
              </w:rPr>
            </w:pPr>
            <w:r w:rsidRPr="009B561B">
              <w:rPr>
                <w:sz w:val="22"/>
              </w:rPr>
              <w:t>Estimated average annual burden</w:t>
            </w:r>
          </w:p>
        </w:tc>
        <w:tc>
          <w:tcPr>
            <w:tcW w:w="1695" w:type="dxa"/>
            <w:tcBorders>
              <w:top w:val="single" w:sz="4" w:space="0" w:color="auto"/>
              <w:bottom w:val="single" w:sz="12" w:space="0" w:color="auto"/>
              <w:right w:val="single" w:sz="4" w:space="0" w:color="auto"/>
            </w:tcBorders>
          </w:tcPr>
          <w:p w:rsidR="00D41D1D" w:rsidRPr="009B561B" w:rsidRDefault="00D41D1D" w:rsidP="004A5A28">
            <w:pPr>
              <w:keepNext/>
              <w:tabs>
                <w:tab w:val="decimal" w:pos="965"/>
              </w:tabs>
              <w:spacing w:before="60" w:after="60"/>
              <w:rPr>
                <w:sz w:val="22"/>
              </w:rPr>
            </w:pPr>
            <w:r w:rsidRPr="009B561B">
              <w:rPr>
                <w:sz w:val="22"/>
              </w:rPr>
              <w:t>15,395</w:t>
            </w:r>
          </w:p>
        </w:tc>
        <w:tc>
          <w:tcPr>
            <w:tcW w:w="1696" w:type="dxa"/>
            <w:tcBorders>
              <w:top w:val="single" w:sz="4" w:space="0" w:color="auto"/>
              <w:left w:val="single" w:sz="4" w:space="0" w:color="auto"/>
              <w:bottom w:val="single" w:sz="12" w:space="0" w:color="auto"/>
            </w:tcBorders>
          </w:tcPr>
          <w:p w:rsidR="00D41D1D" w:rsidRPr="009B561B" w:rsidRDefault="00D41D1D" w:rsidP="004A5A28">
            <w:pPr>
              <w:keepNext/>
              <w:tabs>
                <w:tab w:val="decimal" w:pos="965"/>
              </w:tabs>
              <w:spacing w:before="60" w:after="60"/>
              <w:rPr>
                <w:sz w:val="22"/>
              </w:rPr>
            </w:pPr>
            <w:r w:rsidRPr="009B561B">
              <w:rPr>
                <w:sz w:val="22"/>
              </w:rPr>
              <w:t>40,201</w:t>
            </w:r>
          </w:p>
        </w:tc>
      </w:tr>
    </w:tbl>
    <w:p w:rsidR="00D41D1D" w:rsidRPr="009B561B" w:rsidRDefault="00D41D1D" w:rsidP="00742F9D">
      <w:pPr>
        <w:pStyle w:val="exhibitsource"/>
      </w:pPr>
    </w:p>
    <w:p w:rsidR="009B561B" w:rsidRPr="009B561B" w:rsidRDefault="00D41D1D" w:rsidP="00CD4BCE">
      <w:pPr>
        <w:pStyle w:val="Heading2"/>
      </w:pPr>
      <w:bookmarkStart w:id="54" w:name="_Toc286415831"/>
      <w:bookmarkStart w:id="55" w:name="_Toc298763616"/>
      <w:r w:rsidRPr="009B561B">
        <w:t>A.13</w:t>
      </w:r>
      <w:r w:rsidRPr="009B561B">
        <w:tab/>
        <w:t>Cost of Respondents</w:t>
      </w:r>
      <w:bookmarkEnd w:id="54"/>
      <w:bookmarkEnd w:id="55"/>
    </w:p>
    <w:p w:rsidR="00D41D1D" w:rsidRPr="009B561B" w:rsidRDefault="00D41D1D" w:rsidP="00DF0F0C">
      <w:pPr>
        <w:pStyle w:val="bodytext"/>
      </w:pPr>
      <w:r w:rsidRPr="009B561B">
        <w:t>This survey does not require the purchase of equipment, software, or services beyond those normally used in universities as part of customary and usual business.</w:t>
      </w:r>
    </w:p>
    <w:p w:rsidR="00D41D1D" w:rsidRPr="009B561B" w:rsidRDefault="00D41D1D" w:rsidP="00CD4BCE">
      <w:pPr>
        <w:pStyle w:val="Heading2"/>
      </w:pPr>
      <w:bookmarkStart w:id="56" w:name="_Toc286415832"/>
      <w:bookmarkStart w:id="57" w:name="_Toc298763617"/>
      <w:r w:rsidRPr="009B561B">
        <w:t>A.14</w:t>
      </w:r>
      <w:r w:rsidRPr="009B561B">
        <w:tab/>
        <w:t>Cost to the Federal Government</w:t>
      </w:r>
      <w:bookmarkEnd w:id="56"/>
      <w:bookmarkEnd w:id="57"/>
    </w:p>
    <w:p w:rsidR="00D41D1D" w:rsidRPr="009B561B" w:rsidRDefault="00D41D1D" w:rsidP="003210E9">
      <w:pPr>
        <w:pStyle w:val="bodytext"/>
      </w:pPr>
      <w:r w:rsidRPr="009B561B">
        <w:t xml:space="preserve">NSF is in the first year of a </w:t>
      </w:r>
      <w:r w:rsidR="003210E9">
        <w:t>5</w:t>
      </w:r>
      <w:r w:rsidRPr="009B561B">
        <w:t xml:space="preserve">-year contract with a survey research firm to collect the GSS data. The total value of that contract is $7,951,179 to conduct the GSS from 2010–13; the average estimated cost for the each of the four survey cycles included in the contract is $1,987,795 (only three cycles </w:t>
      </w:r>
      <w:r w:rsidR="003210E9">
        <w:t xml:space="preserve">are </w:t>
      </w:r>
      <w:r w:rsidRPr="009B561B">
        <w:t xml:space="preserve">included in this clearance request). The total cost of the GSS to the federal government is $2,328,795 per cycle. See </w:t>
      </w:r>
      <w:r w:rsidR="00CD4BCE" w:rsidRPr="009B561B">
        <w:t>Exhibit 5</w:t>
      </w:r>
      <w:r w:rsidRPr="009B561B">
        <w:t xml:space="preserve"> for how this estimate was derived.</w:t>
      </w:r>
    </w:p>
    <w:p w:rsidR="00D41D1D" w:rsidRPr="009B561B" w:rsidRDefault="00CD4BCE" w:rsidP="00DF0F0C">
      <w:pPr>
        <w:pStyle w:val="FigureTitle"/>
      </w:pPr>
      <w:bookmarkStart w:id="58" w:name="_Ref286304158"/>
      <w:bookmarkStart w:id="59" w:name="_Toc286415617"/>
      <w:bookmarkStart w:id="60" w:name="_Toc298764191"/>
      <w:r w:rsidRPr="009B561B">
        <w:t>Exhibit </w:t>
      </w:r>
      <w:fldSimple w:instr=" SEQ Exhibit \* ARABIC ">
        <w:r w:rsidR="0011749A">
          <w:rPr>
            <w:noProof/>
          </w:rPr>
          <w:t>5</w:t>
        </w:r>
      </w:fldSimple>
      <w:bookmarkEnd w:id="58"/>
      <w:r w:rsidR="00D41D1D" w:rsidRPr="009B561B">
        <w:t>.</w:t>
      </w:r>
      <w:r w:rsidRPr="009B561B">
        <w:tab/>
      </w:r>
      <w:r w:rsidR="00D41D1D" w:rsidRPr="009B561B">
        <w:t>Annual GSS Survey Federal Government Estimated Costs</w:t>
      </w:r>
      <w:bookmarkEnd w:id="59"/>
      <w:bookmarkEnd w:id="60"/>
      <w:r w:rsidR="00D41D1D" w:rsidRPr="009B561B">
        <w:t xml:space="preserve"> </w:t>
      </w:r>
    </w:p>
    <w:tbl>
      <w:tblPr>
        <w:tblW w:w="9360" w:type="dxa"/>
        <w:tblInd w:w="86" w:type="dxa"/>
        <w:tblBorders>
          <w:top w:val="single" w:sz="12" w:space="0" w:color="auto"/>
          <w:bottom w:val="single" w:sz="12" w:space="0" w:color="auto"/>
          <w:insideH w:val="single" w:sz="4" w:space="0" w:color="000000"/>
          <w:insideV w:val="single" w:sz="4" w:space="0" w:color="000000"/>
        </w:tblBorders>
        <w:tblLayout w:type="fixed"/>
        <w:tblCellMar>
          <w:left w:w="115" w:type="dxa"/>
          <w:right w:w="115" w:type="dxa"/>
        </w:tblCellMar>
        <w:tblLook w:val="0000"/>
      </w:tblPr>
      <w:tblGrid>
        <w:gridCol w:w="7563"/>
        <w:gridCol w:w="1797"/>
      </w:tblGrid>
      <w:tr w:rsidR="00D41D1D" w:rsidRPr="009B561B" w:rsidTr="00CD4BCE">
        <w:trPr>
          <w:cantSplit/>
        </w:trPr>
        <w:tc>
          <w:tcPr>
            <w:tcW w:w="6210" w:type="dxa"/>
            <w:tcBorders>
              <w:top w:val="single" w:sz="12" w:space="0" w:color="auto"/>
              <w:bottom w:val="single" w:sz="4" w:space="0" w:color="000000"/>
              <w:right w:val="nil"/>
            </w:tcBorders>
            <w:vAlign w:val="bottom"/>
          </w:tcPr>
          <w:p w:rsidR="00D41D1D" w:rsidRPr="009B561B" w:rsidRDefault="00D41D1D" w:rsidP="004A5A28">
            <w:pPr>
              <w:pStyle w:val="Default"/>
              <w:keepNext/>
              <w:widowControl/>
              <w:autoSpaceDE/>
              <w:autoSpaceDN/>
              <w:adjustRightInd/>
              <w:spacing w:before="60" w:after="60"/>
              <w:jc w:val="center"/>
              <w:rPr>
                <w:b/>
                <w:sz w:val="22"/>
              </w:rPr>
            </w:pPr>
            <w:r w:rsidRPr="009B561B">
              <w:rPr>
                <w:b/>
                <w:sz w:val="22"/>
              </w:rPr>
              <w:t>GSS resources and activities</w:t>
            </w:r>
          </w:p>
        </w:tc>
        <w:tc>
          <w:tcPr>
            <w:tcW w:w="1476" w:type="dxa"/>
            <w:tcBorders>
              <w:top w:val="single" w:sz="12" w:space="0" w:color="auto"/>
              <w:left w:val="nil"/>
              <w:bottom w:val="single" w:sz="4" w:space="0" w:color="000000"/>
            </w:tcBorders>
            <w:vAlign w:val="bottom"/>
          </w:tcPr>
          <w:p w:rsidR="00D41D1D" w:rsidRPr="009B561B" w:rsidRDefault="00D41D1D" w:rsidP="004A5A28">
            <w:pPr>
              <w:pStyle w:val="Default"/>
              <w:keepNext/>
              <w:widowControl/>
              <w:autoSpaceDE/>
              <w:autoSpaceDN/>
              <w:adjustRightInd/>
              <w:spacing w:before="60" w:after="60"/>
              <w:jc w:val="center"/>
              <w:rPr>
                <w:b/>
                <w:sz w:val="22"/>
              </w:rPr>
            </w:pPr>
            <w:r w:rsidRPr="009B561B">
              <w:rPr>
                <w:b/>
                <w:sz w:val="22"/>
              </w:rPr>
              <w:t>Total ($)</w:t>
            </w:r>
          </w:p>
        </w:tc>
      </w:tr>
      <w:tr w:rsidR="00D41D1D" w:rsidRPr="009B561B" w:rsidTr="00CD4BCE">
        <w:trPr>
          <w:cantSplit/>
        </w:trPr>
        <w:tc>
          <w:tcPr>
            <w:tcW w:w="6210" w:type="dxa"/>
            <w:tcBorders>
              <w:top w:val="single" w:sz="4" w:space="0" w:color="000000"/>
              <w:bottom w:val="nil"/>
              <w:right w:val="nil"/>
            </w:tcBorders>
          </w:tcPr>
          <w:p w:rsidR="00D41D1D" w:rsidRPr="009B561B" w:rsidRDefault="00D41D1D" w:rsidP="004A5A28">
            <w:pPr>
              <w:pStyle w:val="Default"/>
              <w:keepNext/>
              <w:widowControl/>
              <w:autoSpaceDE/>
              <w:autoSpaceDN/>
              <w:adjustRightInd/>
              <w:spacing w:before="60" w:after="60"/>
              <w:rPr>
                <w:sz w:val="22"/>
              </w:rPr>
            </w:pPr>
            <w:r w:rsidRPr="009B561B">
              <w:rPr>
                <w:sz w:val="22"/>
              </w:rPr>
              <w:t xml:space="preserve">Data collection and processing contract </w:t>
            </w:r>
          </w:p>
        </w:tc>
        <w:tc>
          <w:tcPr>
            <w:tcW w:w="1476" w:type="dxa"/>
            <w:tcBorders>
              <w:top w:val="single" w:sz="4" w:space="0" w:color="000000"/>
              <w:left w:val="nil"/>
              <w:bottom w:val="nil"/>
            </w:tcBorders>
          </w:tcPr>
          <w:p w:rsidR="00D41D1D" w:rsidRPr="009B561B" w:rsidRDefault="00D41D1D" w:rsidP="004A5A28">
            <w:pPr>
              <w:pStyle w:val="Default"/>
              <w:keepNext/>
              <w:widowControl/>
              <w:tabs>
                <w:tab w:val="decimal" w:pos="1129"/>
              </w:tabs>
              <w:autoSpaceDE/>
              <w:autoSpaceDN/>
              <w:adjustRightInd/>
              <w:spacing w:before="60" w:after="60"/>
              <w:rPr>
                <w:sz w:val="22"/>
              </w:rPr>
            </w:pPr>
            <w:r w:rsidRPr="009B561B">
              <w:rPr>
                <w:sz w:val="22"/>
              </w:rPr>
              <w:t>1,987,795</w:t>
            </w:r>
          </w:p>
        </w:tc>
      </w:tr>
      <w:tr w:rsidR="00D41D1D" w:rsidRPr="009B561B" w:rsidTr="00CD4BCE">
        <w:trPr>
          <w:cantSplit/>
        </w:trPr>
        <w:tc>
          <w:tcPr>
            <w:tcW w:w="6210" w:type="dxa"/>
            <w:tcBorders>
              <w:top w:val="nil"/>
              <w:bottom w:val="nil"/>
              <w:right w:val="nil"/>
            </w:tcBorders>
          </w:tcPr>
          <w:p w:rsidR="00D41D1D" w:rsidRPr="009B561B" w:rsidRDefault="00D41D1D" w:rsidP="004A5A28">
            <w:pPr>
              <w:pStyle w:val="Default"/>
              <w:keepNext/>
              <w:widowControl/>
              <w:autoSpaceDE/>
              <w:autoSpaceDN/>
              <w:adjustRightInd/>
              <w:spacing w:before="60" w:after="60"/>
              <w:rPr>
                <w:sz w:val="22"/>
              </w:rPr>
            </w:pPr>
            <w:r w:rsidRPr="009B561B">
              <w:rPr>
                <w:sz w:val="22"/>
              </w:rPr>
              <w:t>GSS s</w:t>
            </w:r>
            <w:r w:rsidR="001134BA">
              <w:rPr>
                <w:sz w:val="22"/>
              </w:rPr>
              <w:t>urvey manager (1.0 person year)</w:t>
            </w:r>
          </w:p>
        </w:tc>
        <w:tc>
          <w:tcPr>
            <w:tcW w:w="1476" w:type="dxa"/>
            <w:tcBorders>
              <w:top w:val="nil"/>
              <w:left w:val="nil"/>
              <w:bottom w:val="nil"/>
            </w:tcBorders>
          </w:tcPr>
          <w:p w:rsidR="00D41D1D" w:rsidRPr="009B561B" w:rsidRDefault="001134BA" w:rsidP="004A5A28">
            <w:pPr>
              <w:pStyle w:val="Default"/>
              <w:keepNext/>
              <w:widowControl/>
              <w:tabs>
                <w:tab w:val="decimal" w:pos="1129"/>
              </w:tabs>
              <w:autoSpaceDE/>
              <w:autoSpaceDN/>
              <w:adjustRightInd/>
              <w:spacing w:before="60" w:after="60"/>
              <w:rPr>
                <w:sz w:val="22"/>
              </w:rPr>
            </w:pPr>
            <w:r>
              <w:rPr>
                <w:sz w:val="22"/>
              </w:rPr>
              <w:t>130,000</w:t>
            </w:r>
          </w:p>
        </w:tc>
      </w:tr>
      <w:tr w:rsidR="00D41D1D" w:rsidRPr="009B561B" w:rsidTr="00CD4BCE">
        <w:trPr>
          <w:cantSplit/>
        </w:trPr>
        <w:tc>
          <w:tcPr>
            <w:tcW w:w="6210" w:type="dxa"/>
            <w:tcBorders>
              <w:top w:val="nil"/>
              <w:bottom w:val="nil"/>
              <w:right w:val="nil"/>
            </w:tcBorders>
          </w:tcPr>
          <w:p w:rsidR="00D41D1D" w:rsidRPr="009B561B" w:rsidRDefault="00D41D1D" w:rsidP="004A5A28">
            <w:pPr>
              <w:pStyle w:val="Default"/>
              <w:keepNext/>
              <w:widowControl/>
              <w:autoSpaceDE/>
              <w:autoSpaceDN/>
              <w:adjustRightInd/>
              <w:spacing w:before="60" w:after="60"/>
              <w:rPr>
                <w:sz w:val="22"/>
              </w:rPr>
            </w:pPr>
            <w:r w:rsidRPr="009B561B">
              <w:rPr>
                <w:sz w:val="22"/>
              </w:rPr>
              <w:t>Other NCSES staff (program manag</w:t>
            </w:r>
            <w:r w:rsidR="001134BA">
              <w:rPr>
                <w:sz w:val="22"/>
              </w:rPr>
              <w:t>er, statistician, editor, etc.)</w:t>
            </w:r>
          </w:p>
        </w:tc>
        <w:tc>
          <w:tcPr>
            <w:tcW w:w="1476" w:type="dxa"/>
            <w:tcBorders>
              <w:top w:val="nil"/>
              <w:left w:val="nil"/>
              <w:bottom w:val="nil"/>
            </w:tcBorders>
          </w:tcPr>
          <w:p w:rsidR="00D41D1D" w:rsidRPr="009B561B" w:rsidRDefault="001134BA" w:rsidP="004A5A28">
            <w:pPr>
              <w:pStyle w:val="Default"/>
              <w:keepNext/>
              <w:widowControl/>
              <w:tabs>
                <w:tab w:val="decimal" w:pos="1129"/>
              </w:tabs>
              <w:autoSpaceDE/>
              <w:autoSpaceDN/>
              <w:adjustRightInd/>
              <w:spacing w:before="60" w:after="60"/>
              <w:rPr>
                <w:sz w:val="22"/>
              </w:rPr>
            </w:pPr>
            <w:r>
              <w:rPr>
                <w:sz w:val="22"/>
              </w:rPr>
              <w:t>210,000</w:t>
            </w:r>
          </w:p>
        </w:tc>
      </w:tr>
      <w:tr w:rsidR="00D41D1D" w:rsidRPr="009B561B" w:rsidTr="00CD4BCE">
        <w:trPr>
          <w:cantSplit/>
        </w:trPr>
        <w:tc>
          <w:tcPr>
            <w:tcW w:w="6210" w:type="dxa"/>
            <w:tcBorders>
              <w:top w:val="nil"/>
              <w:bottom w:val="single" w:sz="4" w:space="0" w:color="000000"/>
              <w:right w:val="nil"/>
            </w:tcBorders>
          </w:tcPr>
          <w:p w:rsidR="00D41D1D" w:rsidRPr="009B561B" w:rsidRDefault="00D41D1D" w:rsidP="004A5A28">
            <w:pPr>
              <w:pStyle w:val="Default"/>
              <w:keepNext/>
              <w:widowControl/>
              <w:autoSpaceDE/>
              <w:autoSpaceDN/>
              <w:adjustRightInd/>
              <w:spacing w:before="60" w:after="60"/>
              <w:rPr>
                <w:sz w:val="22"/>
              </w:rPr>
            </w:pPr>
            <w:r w:rsidRPr="003210E9">
              <w:rPr>
                <w:i/>
                <w:iCs/>
                <w:sz w:val="22"/>
              </w:rPr>
              <w:t>InfoBrief</w:t>
            </w:r>
            <w:r w:rsidRPr="009B561B">
              <w:rPr>
                <w:sz w:val="22"/>
              </w:rPr>
              <w:t xml:space="preserve"> </w:t>
            </w:r>
            <w:r w:rsidR="003210E9">
              <w:rPr>
                <w:sz w:val="22"/>
              </w:rPr>
              <w:t>W</w:t>
            </w:r>
            <w:r w:rsidRPr="009B561B">
              <w:rPr>
                <w:sz w:val="22"/>
              </w:rPr>
              <w:t>eb posting, printin</w:t>
            </w:r>
            <w:r w:rsidR="001134BA">
              <w:rPr>
                <w:sz w:val="22"/>
              </w:rPr>
              <w:t>g and mailing costs (estimated)</w:t>
            </w:r>
          </w:p>
        </w:tc>
        <w:tc>
          <w:tcPr>
            <w:tcW w:w="1476" w:type="dxa"/>
            <w:tcBorders>
              <w:top w:val="nil"/>
              <w:left w:val="nil"/>
              <w:bottom w:val="single" w:sz="4" w:space="0" w:color="000000"/>
            </w:tcBorders>
          </w:tcPr>
          <w:p w:rsidR="00D41D1D" w:rsidRPr="009B561B" w:rsidRDefault="001134BA" w:rsidP="004A5A28">
            <w:pPr>
              <w:pStyle w:val="Default"/>
              <w:keepNext/>
              <w:widowControl/>
              <w:tabs>
                <w:tab w:val="decimal" w:pos="1129"/>
              </w:tabs>
              <w:autoSpaceDE/>
              <w:autoSpaceDN/>
              <w:adjustRightInd/>
              <w:spacing w:before="60" w:after="60"/>
              <w:rPr>
                <w:sz w:val="22"/>
              </w:rPr>
            </w:pPr>
            <w:r>
              <w:rPr>
                <w:sz w:val="22"/>
              </w:rPr>
              <w:t>1,000</w:t>
            </w:r>
          </w:p>
        </w:tc>
      </w:tr>
      <w:tr w:rsidR="00D41D1D" w:rsidRPr="009B561B" w:rsidTr="00CD4BCE">
        <w:trPr>
          <w:cantSplit/>
        </w:trPr>
        <w:tc>
          <w:tcPr>
            <w:tcW w:w="6210" w:type="dxa"/>
            <w:tcBorders>
              <w:top w:val="single" w:sz="4" w:space="0" w:color="000000"/>
              <w:bottom w:val="single" w:sz="12" w:space="0" w:color="auto"/>
              <w:right w:val="nil"/>
            </w:tcBorders>
          </w:tcPr>
          <w:p w:rsidR="00D41D1D" w:rsidRPr="009B561B" w:rsidRDefault="001134BA" w:rsidP="004A5A28">
            <w:pPr>
              <w:pStyle w:val="Default"/>
              <w:keepNext/>
              <w:widowControl/>
              <w:autoSpaceDE/>
              <w:autoSpaceDN/>
              <w:adjustRightInd/>
              <w:spacing w:before="60" w:after="60"/>
              <w:rPr>
                <w:sz w:val="22"/>
              </w:rPr>
            </w:pPr>
            <w:r>
              <w:rPr>
                <w:sz w:val="22"/>
              </w:rPr>
              <w:t>Estimated total</w:t>
            </w:r>
          </w:p>
        </w:tc>
        <w:tc>
          <w:tcPr>
            <w:tcW w:w="1476" w:type="dxa"/>
            <w:tcBorders>
              <w:top w:val="single" w:sz="4" w:space="0" w:color="000000"/>
              <w:left w:val="nil"/>
              <w:bottom w:val="single" w:sz="12" w:space="0" w:color="auto"/>
            </w:tcBorders>
          </w:tcPr>
          <w:p w:rsidR="00D41D1D" w:rsidRPr="009B561B" w:rsidRDefault="00D41D1D" w:rsidP="004A5A28">
            <w:pPr>
              <w:pStyle w:val="Default"/>
              <w:keepNext/>
              <w:widowControl/>
              <w:tabs>
                <w:tab w:val="decimal" w:pos="1129"/>
              </w:tabs>
              <w:autoSpaceDE/>
              <w:autoSpaceDN/>
              <w:adjustRightInd/>
              <w:spacing w:before="60" w:after="60"/>
              <w:rPr>
                <w:sz w:val="22"/>
              </w:rPr>
            </w:pPr>
            <w:r w:rsidRPr="009B561B">
              <w:rPr>
                <w:sz w:val="22"/>
              </w:rPr>
              <w:t>2,328,795</w:t>
            </w:r>
          </w:p>
        </w:tc>
      </w:tr>
    </w:tbl>
    <w:p w:rsidR="0009247C" w:rsidRDefault="0009247C" w:rsidP="0044717F">
      <w:pPr>
        <w:pStyle w:val="bodytext"/>
      </w:pPr>
    </w:p>
    <w:p w:rsidR="009B561B" w:rsidRPr="009B561B" w:rsidRDefault="00D41D1D" w:rsidP="0044717F">
      <w:pPr>
        <w:pStyle w:val="bodytext"/>
      </w:pPr>
      <w:r w:rsidRPr="009B561B">
        <w:lastRenderedPageBreak/>
        <w:t xml:space="preserve">For the 2010 GSS, NIH contributed $323,238 (13.9%) and </w:t>
      </w:r>
      <w:r w:rsidR="0044717F">
        <w:t>DOE</w:t>
      </w:r>
      <w:r w:rsidR="00FB7384" w:rsidRPr="009B561B">
        <w:t xml:space="preserve"> </w:t>
      </w:r>
      <w:r w:rsidRPr="009B561B">
        <w:t>provided $60,000 (2.6% of the annual contract costs. It is assumed that both agencies will continue that level of support. The NSF funds the remainder of the annual costs to the federal government.</w:t>
      </w:r>
    </w:p>
    <w:p w:rsidR="00D41D1D" w:rsidRPr="009B561B" w:rsidRDefault="00D41D1D" w:rsidP="00CD4BCE">
      <w:pPr>
        <w:pStyle w:val="Heading2"/>
      </w:pPr>
      <w:bookmarkStart w:id="61" w:name="_Toc286415833"/>
      <w:bookmarkStart w:id="62" w:name="_Toc298763618"/>
      <w:r w:rsidRPr="009B561B">
        <w:t>A.15</w:t>
      </w:r>
      <w:r w:rsidRPr="009B561B">
        <w:tab/>
        <w:t>Changes in Burden</w:t>
      </w:r>
      <w:bookmarkEnd w:id="61"/>
      <w:bookmarkEnd w:id="62"/>
    </w:p>
    <w:p w:rsidR="009B561B" w:rsidRPr="009B561B" w:rsidRDefault="00D41D1D" w:rsidP="00DF0F0C">
      <w:pPr>
        <w:pStyle w:val="bodytext"/>
      </w:pPr>
      <w:r w:rsidRPr="009B561B">
        <w:t>NSF expects that the respondent burden, per unit, will decline slightly in 2011–13. Respondent burden declined between 2007 and 2009, as respondents became familiar with the requirements of the study. The burden per unit increased in 2010 because a new series of items on the postdocs was added. We expect that as respondents become familiar with these items, the expected burden would decrease again. At the current time, NSF does not anticipate adding new items to the survey during the 2011–13 survey cycles.</w:t>
      </w:r>
    </w:p>
    <w:p w:rsidR="00D41D1D" w:rsidRPr="009B561B" w:rsidRDefault="00D41D1D" w:rsidP="00DF0F0C">
      <w:pPr>
        <w:pStyle w:val="bodytext"/>
      </w:pPr>
      <w:r w:rsidRPr="009B561B">
        <w:t>Total burden is expected to increase in 2011, compared to 2010, because of newly eligible institutions added to the study. These institutions have been identified during the past several years and a special methodological investigation is being conducted to determine how many of those units will become eligible for the GSS. For the purposes of this clearance request, we have estimated that approximately 500 units in the 200+ new institutions will be eligible.</w:t>
      </w:r>
    </w:p>
    <w:p w:rsidR="00D41D1D" w:rsidRPr="009B561B" w:rsidRDefault="00D41D1D" w:rsidP="00CD4BCE">
      <w:pPr>
        <w:pStyle w:val="Heading2"/>
      </w:pPr>
      <w:bookmarkStart w:id="63" w:name="_Toc286415834"/>
      <w:bookmarkStart w:id="64" w:name="_Toc298763619"/>
      <w:r w:rsidRPr="009B561B">
        <w:t>A.16</w:t>
      </w:r>
      <w:r w:rsidRPr="009B561B">
        <w:tab/>
        <w:t>Project Schedule for Information Collection and Publication</w:t>
      </w:r>
      <w:bookmarkEnd w:id="63"/>
      <w:bookmarkEnd w:id="64"/>
    </w:p>
    <w:p w:rsidR="00D41D1D" w:rsidRPr="009B561B" w:rsidRDefault="00D41D1D" w:rsidP="00E66A31">
      <w:pPr>
        <w:pStyle w:val="bodytext"/>
      </w:pPr>
      <w:r w:rsidRPr="009B561B">
        <w:t>The project schedule (</w:t>
      </w:r>
      <w:r w:rsidR="004A5A28">
        <w:t>Attachment </w:t>
      </w:r>
      <w:r w:rsidRPr="009B561B">
        <w:t xml:space="preserve">3) for the entire project from questionnaire design to final publication is similar each year. Institutions are contacted to confirm the </w:t>
      </w:r>
      <w:r w:rsidR="00E66A31">
        <w:t>SCs</w:t>
      </w:r>
      <w:r w:rsidRPr="009B561B">
        <w:t xml:space="preserve"> in September, and the survey is launched in October, with a final closeout date in May of the following year. An </w:t>
      </w:r>
      <w:r w:rsidRPr="009B561B">
        <w:rPr>
          <w:i/>
          <w:iCs/>
        </w:rPr>
        <w:t xml:space="preserve">InfoBrief </w:t>
      </w:r>
      <w:r w:rsidRPr="009B561B">
        <w:t>is published in late fall of that year. Detailed statistical data tables, with a description of the survey methodology posted on the NCSES website (</w:t>
      </w:r>
      <w:r w:rsidRPr="009B561B">
        <w:rPr>
          <w:u w:val="single"/>
        </w:rPr>
        <w:t>http://www.nsf.gov/statistics/gradpostdoc/</w:t>
      </w:r>
      <w:r w:rsidRPr="009B561B">
        <w:t xml:space="preserve">) approximately 3 months later in the winter of the following year. There are no complex analytical issues, except imputations for nonresponse (see </w:t>
      </w:r>
      <w:r w:rsidR="001134BA">
        <w:t>Section </w:t>
      </w:r>
      <w:r w:rsidRPr="009B561B">
        <w:t>B.2.1).</w:t>
      </w:r>
    </w:p>
    <w:p w:rsidR="00D41D1D" w:rsidRPr="009B561B" w:rsidRDefault="00D41D1D" w:rsidP="00CD4BCE">
      <w:pPr>
        <w:pStyle w:val="Heading2"/>
      </w:pPr>
      <w:bookmarkStart w:id="65" w:name="_Toc286415835"/>
      <w:bookmarkStart w:id="66" w:name="_Toc298763620"/>
      <w:r w:rsidRPr="009B561B">
        <w:t>A.17</w:t>
      </w:r>
      <w:r w:rsidRPr="009B561B">
        <w:tab/>
        <w:t>Displaying the OMB Expiration Date</w:t>
      </w:r>
      <w:bookmarkEnd w:id="65"/>
      <w:bookmarkEnd w:id="66"/>
    </w:p>
    <w:p w:rsidR="009B561B" w:rsidRPr="009B561B" w:rsidRDefault="00D41D1D" w:rsidP="00DF0F0C">
      <w:pPr>
        <w:pStyle w:val="bodytext"/>
      </w:pPr>
      <w:r w:rsidRPr="009B561B">
        <w:t>The OMB expiration date appears on the GSS Web survey login page and on worksheets provided to respondents for preliminary data gathering (these worksheets are no longer used for data submission).</w:t>
      </w:r>
    </w:p>
    <w:p w:rsidR="00D41D1D" w:rsidRPr="009B561B" w:rsidRDefault="00D41D1D" w:rsidP="00CD4BCE">
      <w:pPr>
        <w:pStyle w:val="Heading2"/>
      </w:pPr>
      <w:bookmarkStart w:id="67" w:name="_Toc286415836"/>
      <w:bookmarkStart w:id="68" w:name="_Toc298763621"/>
      <w:r w:rsidRPr="009B561B">
        <w:lastRenderedPageBreak/>
        <w:t>A.18</w:t>
      </w:r>
      <w:r w:rsidRPr="009B561B">
        <w:tab/>
        <w:t>Exceptions in Item 19 on Form 83-1</w:t>
      </w:r>
      <w:bookmarkEnd w:id="67"/>
      <w:bookmarkEnd w:id="68"/>
    </w:p>
    <w:p w:rsidR="00D41D1D" w:rsidRPr="009B561B" w:rsidRDefault="00D41D1D" w:rsidP="00DF0F0C">
      <w:pPr>
        <w:pStyle w:val="bodytext"/>
      </w:pPr>
      <w:r w:rsidRPr="009B561B">
        <w:t>Not applicable. There are no exceptions.</w:t>
      </w:r>
    </w:p>
    <w:p w:rsidR="00495ADF" w:rsidRPr="009B561B" w:rsidRDefault="00495ADF" w:rsidP="006E2440">
      <w:pPr>
        <w:pStyle w:val="bodytext"/>
      </w:pPr>
    </w:p>
    <w:p w:rsidR="00F20A34" w:rsidRPr="009B561B" w:rsidRDefault="00552A07" w:rsidP="00552A07">
      <w:pPr>
        <w:pStyle w:val="Heading1"/>
        <w:rPr>
          <w:color w:val="000000"/>
        </w:rPr>
      </w:pPr>
      <w:r w:rsidRPr="009B561B">
        <w:rPr>
          <w:color w:val="000000"/>
        </w:rPr>
        <w:t xml:space="preserve"> </w:t>
      </w:r>
    </w:p>
    <w:sectPr w:rsidR="00F20A34" w:rsidRPr="009B561B" w:rsidSect="00E67EB8">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4E9" w:rsidRDefault="00BA24E9">
      <w:r>
        <w:separator/>
      </w:r>
    </w:p>
  </w:endnote>
  <w:endnote w:type="continuationSeparator" w:id="0">
    <w:p w:rsidR="00BA24E9" w:rsidRDefault="00BA24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7F" w:rsidRDefault="00617FAF" w:rsidP="00FA7085">
    <w:pPr>
      <w:pStyle w:val="Footer"/>
      <w:framePr w:wrap="around" w:vAnchor="text" w:hAnchor="margin" w:xAlign="center" w:y="1"/>
      <w:rPr>
        <w:rStyle w:val="PageNumber"/>
      </w:rPr>
    </w:pPr>
    <w:r>
      <w:rPr>
        <w:rStyle w:val="PageNumber"/>
      </w:rPr>
      <w:fldChar w:fldCharType="begin"/>
    </w:r>
    <w:r w:rsidR="0044717F">
      <w:rPr>
        <w:rStyle w:val="PageNumber"/>
      </w:rPr>
      <w:instrText xml:space="preserve">PAGE  </w:instrText>
    </w:r>
    <w:r>
      <w:rPr>
        <w:rStyle w:val="PageNumber"/>
      </w:rPr>
      <w:fldChar w:fldCharType="separate"/>
    </w:r>
    <w:r w:rsidR="0044717F">
      <w:rPr>
        <w:rStyle w:val="PageNumber"/>
        <w:noProof/>
      </w:rPr>
      <w:t>1</w:t>
    </w:r>
    <w:r>
      <w:rPr>
        <w:rStyle w:val="PageNumber"/>
      </w:rPr>
      <w:fldChar w:fldCharType="end"/>
    </w:r>
  </w:p>
  <w:p w:rsidR="0044717F" w:rsidRDefault="00447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7F" w:rsidRDefault="00617FAF">
    <w:pPr>
      <w:pStyle w:val="Footer"/>
      <w:jc w:val="center"/>
    </w:pPr>
    <w:r>
      <w:rPr>
        <w:rStyle w:val="PageNumber"/>
      </w:rPr>
      <w:fldChar w:fldCharType="begin"/>
    </w:r>
    <w:r w:rsidR="0044717F">
      <w:rPr>
        <w:rStyle w:val="PageNumber"/>
      </w:rPr>
      <w:instrText xml:space="preserve"> PAGE </w:instrText>
    </w:r>
    <w:r>
      <w:rPr>
        <w:rStyle w:val="PageNumber"/>
      </w:rPr>
      <w:fldChar w:fldCharType="separate"/>
    </w:r>
    <w:r w:rsidR="00552A07">
      <w:rPr>
        <w:rStyle w:val="PageNumber"/>
        <w:noProof/>
      </w:rPr>
      <w:t>iv</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7F" w:rsidRPr="00906F6F" w:rsidRDefault="00617FAF" w:rsidP="00924407">
    <w:pPr>
      <w:pStyle w:val="Footer"/>
      <w:jc w:val="center"/>
    </w:pPr>
    <w:r>
      <w:rPr>
        <w:rStyle w:val="PageNumber"/>
      </w:rPr>
      <w:fldChar w:fldCharType="begin"/>
    </w:r>
    <w:r w:rsidR="0044717F">
      <w:rPr>
        <w:rStyle w:val="PageNumber"/>
      </w:rPr>
      <w:instrText xml:space="preserve"> PAGE </w:instrText>
    </w:r>
    <w:r>
      <w:rPr>
        <w:rStyle w:val="PageNumber"/>
      </w:rPr>
      <w:fldChar w:fldCharType="separate"/>
    </w:r>
    <w:r w:rsidR="00552A07">
      <w:rPr>
        <w:rStyle w:val="PageNumber"/>
        <w:noProof/>
      </w:rPr>
      <w:t>6</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7F" w:rsidRDefault="00617FAF" w:rsidP="00906F6F">
    <w:pPr>
      <w:pStyle w:val="Footer"/>
      <w:jc w:val="center"/>
    </w:pPr>
    <w:r>
      <w:rPr>
        <w:rStyle w:val="PageNumber"/>
      </w:rPr>
      <w:fldChar w:fldCharType="begin"/>
    </w:r>
    <w:r w:rsidR="0044717F">
      <w:rPr>
        <w:rStyle w:val="PageNumber"/>
      </w:rPr>
      <w:instrText xml:space="preserve"> PAGE </w:instrText>
    </w:r>
    <w:r>
      <w:rPr>
        <w:rStyle w:val="PageNumber"/>
      </w:rPr>
      <w:fldChar w:fldCharType="separate"/>
    </w:r>
    <w:r w:rsidR="00552A07">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4E9" w:rsidRDefault="00BA24E9">
      <w:r>
        <w:separator/>
      </w:r>
    </w:p>
  </w:footnote>
  <w:footnote w:type="continuationSeparator" w:id="0">
    <w:p w:rsidR="00BA24E9" w:rsidRDefault="00BA24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46A9C5A"/>
    <w:lvl w:ilvl="0">
      <w:start w:val="1"/>
      <w:numFmt w:val="bullet"/>
      <w:lvlText w:val=""/>
      <w:lvlJc w:val="left"/>
      <w:pPr>
        <w:tabs>
          <w:tab w:val="num" w:pos="720"/>
        </w:tabs>
        <w:ind w:left="720" w:hanging="360"/>
      </w:pPr>
      <w:rPr>
        <w:rFonts w:ascii="Symbol" w:hAnsi="Symbol" w:hint="default"/>
      </w:rPr>
    </w:lvl>
  </w:abstractNum>
  <w:abstractNum w:abstractNumId="1">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2282164C"/>
    <w:multiLevelType w:val="hybridMultilevel"/>
    <w:tmpl w:val="9FAE4F6A"/>
    <w:lvl w:ilvl="0" w:tplc="226AA5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065B49"/>
    <w:multiLevelType w:val="hybridMultilevel"/>
    <w:tmpl w:val="21BEEB84"/>
    <w:lvl w:ilvl="0" w:tplc="B560D88C">
      <w:start w:val="1"/>
      <w:numFmt w:val="bullet"/>
      <w:pStyle w:val="ListBullet2"/>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FC0107C"/>
    <w:multiLevelType w:val="hybridMultilevel"/>
    <w:tmpl w:val="BB88DFE8"/>
    <w:lvl w:ilvl="0" w:tplc="97BA5AE4">
      <w:start w:val="1"/>
      <w:numFmt w:val="bullet"/>
      <w:pStyle w:val="bullets"/>
      <w:lvlText w:val="•"/>
      <w:lvlJc w:val="left"/>
      <w:pPr>
        <w:ind w:left="1797" w:hanging="360"/>
      </w:pPr>
      <w:rPr>
        <w:rFonts w:ascii="Times New Roman" w:hAnsi="Times New Roman" w:cs="Times New Roman" w:hint="default"/>
        <w:color w:val="auto"/>
        <w:sz w:val="22"/>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5">
    <w:nsid w:val="60F43E68"/>
    <w:multiLevelType w:val="hybridMultilevel"/>
    <w:tmpl w:val="E2AA3702"/>
    <w:lvl w:ilvl="0" w:tplc="04090001">
      <w:start w:val="1"/>
      <w:numFmt w:val="bullet"/>
      <w:pStyle w:val="BalloonTex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attachedTemplate r:id="rId1"/>
  <w:stylePaneFormatFilter w:val="0001"/>
  <w:doNotTrackFormatting/>
  <w:defaultTabStop w:val="720"/>
  <w:noPunctuationKerning/>
  <w:characterSpacingControl w:val="doNotCompress"/>
  <w:footnotePr>
    <w:footnote w:id="-1"/>
    <w:footnote w:id="0"/>
  </w:footnotePr>
  <w:endnotePr>
    <w:endnote w:id="-1"/>
    <w:endnote w:id="0"/>
  </w:endnotePr>
  <w:compat/>
  <w:rsids>
    <w:rsidRoot w:val="0055067F"/>
    <w:rsid w:val="00010285"/>
    <w:rsid w:val="00016E5D"/>
    <w:rsid w:val="0001715E"/>
    <w:rsid w:val="00021B81"/>
    <w:rsid w:val="000247C3"/>
    <w:rsid w:val="0003587C"/>
    <w:rsid w:val="00053D33"/>
    <w:rsid w:val="00055BD4"/>
    <w:rsid w:val="00056850"/>
    <w:rsid w:val="0006128E"/>
    <w:rsid w:val="00072C63"/>
    <w:rsid w:val="00076442"/>
    <w:rsid w:val="0009247C"/>
    <w:rsid w:val="00095B10"/>
    <w:rsid w:val="000965F4"/>
    <w:rsid w:val="000A1BC4"/>
    <w:rsid w:val="000A3D71"/>
    <w:rsid w:val="000A609C"/>
    <w:rsid w:val="000B5B19"/>
    <w:rsid w:val="000C0BF4"/>
    <w:rsid w:val="000E395A"/>
    <w:rsid w:val="000E6546"/>
    <w:rsid w:val="000F3D28"/>
    <w:rsid w:val="000F3E2F"/>
    <w:rsid w:val="00112C2B"/>
    <w:rsid w:val="001134BA"/>
    <w:rsid w:val="0011387B"/>
    <w:rsid w:val="0011486A"/>
    <w:rsid w:val="0011749A"/>
    <w:rsid w:val="001302E1"/>
    <w:rsid w:val="00151395"/>
    <w:rsid w:val="00152DFC"/>
    <w:rsid w:val="00155573"/>
    <w:rsid w:val="00162E9D"/>
    <w:rsid w:val="0017124A"/>
    <w:rsid w:val="00171303"/>
    <w:rsid w:val="00175EE3"/>
    <w:rsid w:val="00180162"/>
    <w:rsid w:val="00182ED7"/>
    <w:rsid w:val="001832DE"/>
    <w:rsid w:val="0018563E"/>
    <w:rsid w:val="00194A21"/>
    <w:rsid w:val="00196926"/>
    <w:rsid w:val="001A1A89"/>
    <w:rsid w:val="001B2F93"/>
    <w:rsid w:val="001B6122"/>
    <w:rsid w:val="001B78C1"/>
    <w:rsid w:val="001C4E6E"/>
    <w:rsid w:val="001D33C9"/>
    <w:rsid w:val="001D3F98"/>
    <w:rsid w:val="001D5EC8"/>
    <w:rsid w:val="001E2C0E"/>
    <w:rsid w:val="001E63EF"/>
    <w:rsid w:val="001E736B"/>
    <w:rsid w:val="001F5BF8"/>
    <w:rsid w:val="00207E8F"/>
    <w:rsid w:val="00213567"/>
    <w:rsid w:val="002179E0"/>
    <w:rsid w:val="00221D72"/>
    <w:rsid w:val="00223327"/>
    <w:rsid w:val="00223CDD"/>
    <w:rsid w:val="00236BC0"/>
    <w:rsid w:val="00237321"/>
    <w:rsid w:val="00242D2C"/>
    <w:rsid w:val="00246CCD"/>
    <w:rsid w:val="0025209F"/>
    <w:rsid w:val="002677ED"/>
    <w:rsid w:val="00274C42"/>
    <w:rsid w:val="002772A2"/>
    <w:rsid w:val="0029307A"/>
    <w:rsid w:val="002A1235"/>
    <w:rsid w:val="002A38E7"/>
    <w:rsid w:val="002C3412"/>
    <w:rsid w:val="002C60A4"/>
    <w:rsid w:val="002C78C3"/>
    <w:rsid w:val="002E0D41"/>
    <w:rsid w:val="002E39B8"/>
    <w:rsid w:val="002F13DB"/>
    <w:rsid w:val="002F3B3B"/>
    <w:rsid w:val="002F48EC"/>
    <w:rsid w:val="002F6523"/>
    <w:rsid w:val="00302FC2"/>
    <w:rsid w:val="00305805"/>
    <w:rsid w:val="003210E9"/>
    <w:rsid w:val="003270D3"/>
    <w:rsid w:val="00327FF0"/>
    <w:rsid w:val="00331199"/>
    <w:rsid w:val="00331E3B"/>
    <w:rsid w:val="00334B7A"/>
    <w:rsid w:val="003378A5"/>
    <w:rsid w:val="00343192"/>
    <w:rsid w:val="00347889"/>
    <w:rsid w:val="003506F4"/>
    <w:rsid w:val="00353D07"/>
    <w:rsid w:val="003540A9"/>
    <w:rsid w:val="00354255"/>
    <w:rsid w:val="00354793"/>
    <w:rsid w:val="00357746"/>
    <w:rsid w:val="00357AF0"/>
    <w:rsid w:val="0037320E"/>
    <w:rsid w:val="00374A58"/>
    <w:rsid w:val="00385A9E"/>
    <w:rsid w:val="003B4C9B"/>
    <w:rsid w:val="003D5F0F"/>
    <w:rsid w:val="003D6EC3"/>
    <w:rsid w:val="003E0A59"/>
    <w:rsid w:val="003E5576"/>
    <w:rsid w:val="003F02AD"/>
    <w:rsid w:val="00400488"/>
    <w:rsid w:val="00402BAD"/>
    <w:rsid w:val="004059D1"/>
    <w:rsid w:val="0041691A"/>
    <w:rsid w:val="00423334"/>
    <w:rsid w:val="00427554"/>
    <w:rsid w:val="004316FE"/>
    <w:rsid w:val="00434BC5"/>
    <w:rsid w:val="00434DFE"/>
    <w:rsid w:val="00444365"/>
    <w:rsid w:val="0044717F"/>
    <w:rsid w:val="00451757"/>
    <w:rsid w:val="00453377"/>
    <w:rsid w:val="0045406A"/>
    <w:rsid w:val="00463AEE"/>
    <w:rsid w:val="00463DD1"/>
    <w:rsid w:val="00466CA9"/>
    <w:rsid w:val="0047358D"/>
    <w:rsid w:val="00475CDB"/>
    <w:rsid w:val="00475E78"/>
    <w:rsid w:val="0047674A"/>
    <w:rsid w:val="004920B6"/>
    <w:rsid w:val="00492F67"/>
    <w:rsid w:val="00495ADF"/>
    <w:rsid w:val="004A2778"/>
    <w:rsid w:val="004A5A28"/>
    <w:rsid w:val="004B3E35"/>
    <w:rsid w:val="004C0743"/>
    <w:rsid w:val="004C0E0E"/>
    <w:rsid w:val="004C439D"/>
    <w:rsid w:val="004C56A3"/>
    <w:rsid w:val="004C5FE8"/>
    <w:rsid w:val="004D0161"/>
    <w:rsid w:val="004D3C37"/>
    <w:rsid w:val="004E0E8D"/>
    <w:rsid w:val="004E330F"/>
    <w:rsid w:val="004F167F"/>
    <w:rsid w:val="0050115D"/>
    <w:rsid w:val="00504DCF"/>
    <w:rsid w:val="00505EE8"/>
    <w:rsid w:val="00511375"/>
    <w:rsid w:val="00512F04"/>
    <w:rsid w:val="00513E02"/>
    <w:rsid w:val="0051577F"/>
    <w:rsid w:val="00516D68"/>
    <w:rsid w:val="00517264"/>
    <w:rsid w:val="005217EF"/>
    <w:rsid w:val="00531587"/>
    <w:rsid w:val="00534DAB"/>
    <w:rsid w:val="005375D0"/>
    <w:rsid w:val="00541CA2"/>
    <w:rsid w:val="005453DD"/>
    <w:rsid w:val="00546209"/>
    <w:rsid w:val="0055067F"/>
    <w:rsid w:val="00551F4D"/>
    <w:rsid w:val="00552A07"/>
    <w:rsid w:val="00557329"/>
    <w:rsid w:val="0055752E"/>
    <w:rsid w:val="005749DD"/>
    <w:rsid w:val="0057707D"/>
    <w:rsid w:val="00582E58"/>
    <w:rsid w:val="0058360B"/>
    <w:rsid w:val="005909A3"/>
    <w:rsid w:val="00590C43"/>
    <w:rsid w:val="0059417B"/>
    <w:rsid w:val="005A7F97"/>
    <w:rsid w:val="005B21C5"/>
    <w:rsid w:val="005B4154"/>
    <w:rsid w:val="005C255F"/>
    <w:rsid w:val="005C3FCC"/>
    <w:rsid w:val="005E1462"/>
    <w:rsid w:val="005E217C"/>
    <w:rsid w:val="005E62F2"/>
    <w:rsid w:val="005F3E92"/>
    <w:rsid w:val="006040A6"/>
    <w:rsid w:val="006048A8"/>
    <w:rsid w:val="00605B8B"/>
    <w:rsid w:val="00607A4C"/>
    <w:rsid w:val="00613A18"/>
    <w:rsid w:val="00617FAF"/>
    <w:rsid w:val="00622A6F"/>
    <w:rsid w:val="006269EB"/>
    <w:rsid w:val="00626DBA"/>
    <w:rsid w:val="00632AAE"/>
    <w:rsid w:val="00635CB0"/>
    <w:rsid w:val="00657935"/>
    <w:rsid w:val="0065799B"/>
    <w:rsid w:val="00662BD9"/>
    <w:rsid w:val="00663D09"/>
    <w:rsid w:val="006713F3"/>
    <w:rsid w:val="00676010"/>
    <w:rsid w:val="006763FF"/>
    <w:rsid w:val="006A10BF"/>
    <w:rsid w:val="006A2387"/>
    <w:rsid w:val="006A604F"/>
    <w:rsid w:val="006B14CF"/>
    <w:rsid w:val="006B3CB0"/>
    <w:rsid w:val="006B4955"/>
    <w:rsid w:val="006D3678"/>
    <w:rsid w:val="006D4600"/>
    <w:rsid w:val="006E2440"/>
    <w:rsid w:val="006E5049"/>
    <w:rsid w:val="00706653"/>
    <w:rsid w:val="00707527"/>
    <w:rsid w:val="00707F96"/>
    <w:rsid w:val="00712259"/>
    <w:rsid w:val="0071443E"/>
    <w:rsid w:val="00717571"/>
    <w:rsid w:val="00720E5F"/>
    <w:rsid w:val="00722078"/>
    <w:rsid w:val="00726255"/>
    <w:rsid w:val="00736695"/>
    <w:rsid w:val="00737857"/>
    <w:rsid w:val="00742F9D"/>
    <w:rsid w:val="00747F72"/>
    <w:rsid w:val="0075331E"/>
    <w:rsid w:val="00755297"/>
    <w:rsid w:val="00756D31"/>
    <w:rsid w:val="0076448A"/>
    <w:rsid w:val="00764529"/>
    <w:rsid w:val="00773689"/>
    <w:rsid w:val="00782650"/>
    <w:rsid w:val="007838EC"/>
    <w:rsid w:val="00786C85"/>
    <w:rsid w:val="00787D03"/>
    <w:rsid w:val="007B18BA"/>
    <w:rsid w:val="007B1CD6"/>
    <w:rsid w:val="007B5258"/>
    <w:rsid w:val="007C35B0"/>
    <w:rsid w:val="007C3C05"/>
    <w:rsid w:val="007C47F1"/>
    <w:rsid w:val="007C4A4E"/>
    <w:rsid w:val="007C5DCF"/>
    <w:rsid w:val="007C7074"/>
    <w:rsid w:val="007D3125"/>
    <w:rsid w:val="007E15BB"/>
    <w:rsid w:val="007E16F1"/>
    <w:rsid w:val="007E4A5C"/>
    <w:rsid w:val="007E6753"/>
    <w:rsid w:val="007F293F"/>
    <w:rsid w:val="007F50C9"/>
    <w:rsid w:val="007F576C"/>
    <w:rsid w:val="007F7D99"/>
    <w:rsid w:val="00804E98"/>
    <w:rsid w:val="00807E0E"/>
    <w:rsid w:val="00810192"/>
    <w:rsid w:val="0081656F"/>
    <w:rsid w:val="008241F7"/>
    <w:rsid w:val="00832BA3"/>
    <w:rsid w:val="008357CC"/>
    <w:rsid w:val="008423C2"/>
    <w:rsid w:val="00847929"/>
    <w:rsid w:val="00856CF5"/>
    <w:rsid w:val="0086043F"/>
    <w:rsid w:val="00870307"/>
    <w:rsid w:val="0087417D"/>
    <w:rsid w:val="008807B7"/>
    <w:rsid w:val="008808FA"/>
    <w:rsid w:val="008815DF"/>
    <w:rsid w:val="008A0231"/>
    <w:rsid w:val="008A0A0F"/>
    <w:rsid w:val="008A3CF6"/>
    <w:rsid w:val="008A4C91"/>
    <w:rsid w:val="008B3BC8"/>
    <w:rsid w:val="008B61A1"/>
    <w:rsid w:val="008B79CD"/>
    <w:rsid w:val="008C00A9"/>
    <w:rsid w:val="008C3FC1"/>
    <w:rsid w:val="008D0635"/>
    <w:rsid w:val="008D1165"/>
    <w:rsid w:val="008D43BE"/>
    <w:rsid w:val="008E0EF2"/>
    <w:rsid w:val="008E7D6E"/>
    <w:rsid w:val="008F5037"/>
    <w:rsid w:val="008F55FE"/>
    <w:rsid w:val="00900586"/>
    <w:rsid w:val="00903F80"/>
    <w:rsid w:val="00906F6F"/>
    <w:rsid w:val="009164CC"/>
    <w:rsid w:val="0092164B"/>
    <w:rsid w:val="00924407"/>
    <w:rsid w:val="00926D45"/>
    <w:rsid w:val="00932612"/>
    <w:rsid w:val="00932B36"/>
    <w:rsid w:val="00937302"/>
    <w:rsid w:val="00944BB4"/>
    <w:rsid w:val="00946D72"/>
    <w:rsid w:val="00947647"/>
    <w:rsid w:val="00947A84"/>
    <w:rsid w:val="009752B7"/>
    <w:rsid w:val="00975B68"/>
    <w:rsid w:val="00981374"/>
    <w:rsid w:val="009875AE"/>
    <w:rsid w:val="00997B58"/>
    <w:rsid w:val="009A230F"/>
    <w:rsid w:val="009A41A4"/>
    <w:rsid w:val="009A5D09"/>
    <w:rsid w:val="009A703B"/>
    <w:rsid w:val="009A7DB5"/>
    <w:rsid w:val="009B561B"/>
    <w:rsid w:val="009B66BB"/>
    <w:rsid w:val="009C6EA2"/>
    <w:rsid w:val="009D0E6A"/>
    <w:rsid w:val="009E0FB3"/>
    <w:rsid w:val="009E4DC5"/>
    <w:rsid w:val="009F1792"/>
    <w:rsid w:val="009F448A"/>
    <w:rsid w:val="009F6C56"/>
    <w:rsid w:val="00A00226"/>
    <w:rsid w:val="00A00CAE"/>
    <w:rsid w:val="00A14087"/>
    <w:rsid w:val="00A15F7A"/>
    <w:rsid w:val="00A169B2"/>
    <w:rsid w:val="00A234D4"/>
    <w:rsid w:val="00A24170"/>
    <w:rsid w:val="00A32B08"/>
    <w:rsid w:val="00A40208"/>
    <w:rsid w:val="00A45B43"/>
    <w:rsid w:val="00A531F7"/>
    <w:rsid w:val="00A53954"/>
    <w:rsid w:val="00A65419"/>
    <w:rsid w:val="00A861AA"/>
    <w:rsid w:val="00A86AB6"/>
    <w:rsid w:val="00A935D1"/>
    <w:rsid w:val="00A95E62"/>
    <w:rsid w:val="00AA295A"/>
    <w:rsid w:val="00AA573E"/>
    <w:rsid w:val="00AB26EE"/>
    <w:rsid w:val="00AB6D73"/>
    <w:rsid w:val="00AC6ACE"/>
    <w:rsid w:val="00AE5483"/>
    <w:rsid w:val="00AE6202"/>
    <w:rsid w:val="00AF376C"/>
    <w:rsid w:val="00B14DA8"/>
    <w:rsid w:val="00B20569"/>
    <w:rsid w:val="00B231F5"/>
    <w:rsid w:val="00B234E3"/>
    <w:rsid w:val="00B26EC9"/>
    <w:rsid w:val="00B37A70"/>
    <w:rsid w:val="00B432D0"/>
    <w:rsid w:val="00B4410E"/>
    <w:rsid w:val="00B44905"/>
    <w:rsid w:val="00B53E72"/>
    <w:rsid w:val="00B76002"/>
    <w:rsid w:val="00B77A91"/>
    <w:rsid w:val="00B80442"/>
    <w:rsid w:val="00B854D4"/>
    <w:rsid w:val="00BA24E9"/>
    <w:rsid w:val="00BA52EC"/>
    <w:rsid w:val="00BB7CFA"/>
    <w:rsid w:val="00BC27F0"/>
    <w:rsid w:val="00BC378F"/>
    <w:rsid w:val="00BD60B3"/>
    <w:rsid w:val="00BE2D02"/>
    <w:rsid w:val="00BE4187"/>
    <w:rsid w:val="00BE4639"/>
    <w:rsid w:val="00C056FE"/>
    <w:rsid w:val="00C149ED"/>
    <w:rsid w:val="00C156AA"/>
    <w:rsid w:val="00C162E9"/>
    <w:rsid w:val="00C207AD"/>
    <w:rsid w:val="00C32C39"/>
    <w:rsid w:val="00C40D2F"/>
    <w:rsid w:val="00C54030"/>
    <w:rsid w:val="00C56316"/>
    <w:rsid w:val="00C57DB3"/>
    <w:rsid w:val="00C57DF3"/>
    <w:rsid w:val="00C606F0"/>
    <w:rsid w:val="00C62587"/>
    <w:rsid w:val="00C62900"/>
    <w:rsid w:val="00C65FD6"/>
    <w:rsid w:val="00C74528"/>
    <w:rsid w:val="00C764DD"/>
    <w:rsid w:val="00C81A36"/>
    <w:rsid w:val="00C844D6"/>
    <w:rsid w:val="00C93F07"/>
    <w:rsid w:val="00CA1153"/>
    <w:rsid w:val="00CA4F62"/>
    <w:rsid w:val="00CA6A7F"/>
    <w:rsid w:val="00CB0350"/>
    <w:rsid w:val="00CB6FA9"/>
    <w:rsid w:val="00CC2139"/>
    <w:rsid w:val="00CD0CA0"/>
    <w:rsid w:val="00CD3575"/>
    <w:rsid w:val="00CD4BCE"/>
    <w:rsid w:val="00CD5B39"/>
    <w:rsid w:val="00CD6A6D"/>
    <w:rsid w:val="00CF22F5"/>
    <w:rsid w:val="00D03C09"/>
    <w:rsid w:val="00D34D18"/>
    <w:rsid w:val="00D358C3"/>
    <w:rsid w:val="00D41D1D"/>
    <w:rsid w:val="00D428B5"/>
    <w:rsid w:val="00D43F13"/>
    <w:rsid w:val="00D4534A"/>
    <w:rsid w:val="00D46A91"/>
    <w:rsid w:val="00D46D1A"/>
    <w:rsid w:val="00D47208"/>
    <w:rsid w:val="00D557BC"/>
    <w:rsid w:val="00D61E4B"/>
    <w:rsid w:val="00D652F9"/>
    <w:rsid w:val="00D676A3"/>
    <w:rsid w:val="00D6798C"/>
    <w:rsid w:val="00D70C31"/>
    <w:rsid w:val="00D70D55"/>
    <w:rsid w:val="00D7688C"/>
    <w:rsid w:val="00D820DC"/>
    <w:rsid w:val="00D901E3"/>
    <w:rsid w:val="00D924E3"/>
    <w:rsid w:val="00D946CC"/>
    <w:rsid w:val="00D96218"/>
    <w:rsid w:val="00DA0C0D"/>
    <w:rsid w:val="00DB5E1A"/>
    <w:rsid w:val="00DC304E"/>
    <w:rsid w:val="00DC69D5"/>
    <w:rsid w:val="00DD248A"/>
    <w:rsid w:val="00DD549C"/>
    <w:rsid w:val="00DE2328"/>
    <w:rsid w:val="00DE33F0"/>
    <w:rsid w:val="00DE445B"/>
    <w:rsid w:val="00DE5245"/>
    <w:rsid w:val="00DF0F0C"/>
    <w:rsid w:val="00DF693C"/>
    <w:rsid w:val="00E07659"/>
    <w:rsid w:val="00E10632"/>
    <w:rsid w:val="00E1300D"/>
    <w:rsid w:val="00E5341B"/>
    <w:rsid w:val="00E62A23"/>
    <w:rsid w:val="00E65D46"/>
    <w:rsid w:val="00E666E3"/>
    <w:rsid w:val="00E66A31"/>
    <w:rsid w:val="00E66F29"/>
    <w:rsid w:val="00E67EB8"/>
    <w:rsid w:val="00E717B2"/>
    <w:rsid w:val="00E719CF"/>
    <w:rsid w:val="00E81C80"/>
    <w:rsid w:val="00E8217C"/>
    <w:rsid w:val="00E82257"/>
    <w:rsid w:val="00E90293"/>
    <w:rsid w:val="00E924E7"/>
    <w:rsid w:val="00E93544"/>
    <w:rsid w:val="00E96025"/>
    <w:rsid w:val="00E97BAB"/>
    <w:rsid w:val="00EA6BB6"/>
    <w:rsid w:val="00EB3820"/>
    <w:rsid w:val="00EB4CBA"/>
    <w:rsid w:val="00EC13CD"/>
    <w:rsid w:val="00EC2E8F"/>
    <w:rsid w:val="00EC4C91"/>
    <w:rsid w:val="00ED16CD"/>
    <w:rsid w:val="00ED69DB"/>
    <w:rsid w:val="00EE3E63"/>
    <w:rsid w:val="00EE42E3"/>
    <w:rsid w:val="00EE7763"/>
    <w:rsid w:val="00EF2984"/>
    <w:rsid w:val="00EF3F85"/>
    <w:rsid w:val="00F177AE"/>
    <w:rsid w:val="00F17889"/>
    <w:rsid w:val="00F17979"/>
    <w:rsid w:val="00F20A34"/>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82D5A"/>
    <w:rsid w:val="00F84D13"/>
    <w:rsid w:val="00F850DB"/>
    <w:rsid w:val="00F86544"/>
    <w:rsid w:val="00F87497"/>
    <w:rsid w:val="00F97687"/>
    <w:rsid w:val="00FA525B"/>
    <w:rsid w:val="00FA7085"/>
    <w:rsid w:val="00FB2E0C"/>
    <w:rsid w:val="00FB7384"/>
    <w:rsid w:val="00FC28BA"/>
    <w:rsid w:val="00FD29C7"/>
    <w:rsid w:val="00FD4747"/>
    <w:rsid w:val="00FD5B25"/>
    <w:rsid w:val="00FD7883"/>
    <w:rsid w:val="00FE3C52"/>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F9D"/>
    <w:rPr>
      <w:sz w:val="24"/>
      <w:szCs w:val="24"/>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42F9D"/>
    <w:pPr>
      <w:keepNext/>
      <w:spacing w:before="240" w:after="120"/>
      <w:ind w:left="-86"/>
      <w:outlineLvl w:val="3"/>
    </w:pPr>
    <w:rPr>
      <w:bCs/>
      <w:i/>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5067F"/>
    <w:pPr>
      <w:numPr>
        <w:numId w:val="3"/>
      </w:numPr>
      <w:spacing w:after="120" w:line="240" w:lineRule="exact"/>
      <w:ind w:left="1080"/>
    </w:pPr>
    <w:rPr>
      <w:color w:val="000000"/>
    </w:rPr>
  </w:style>
  <w:style w:type="paragraph" w:customStyle="1" w:styleId="exhibitsource">
    <w:name w:val="exhibit source"/>
    <w:basedOn w:val="Normal"/>
    <w:rsid w:val="00742F9D"/>
    <w:pPr>
      <w:spacing w:before="120" w:after="240"/>
      <w:ind w:left="180" w:hanging="18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55067F"/>
    <w:rPr>
      <w:sz w:val="24"/>
    </w:rPr>
  </w:style>
  <w:style w:type="character" w:styleId="CommentReference">
    <w:name w:val="annotation reference"/>
    <w:basedOn w:val="DefaultParagraphFont"/>
    <w:uiPriority w:val="99"/>
    <w:unhideWhenUsed/>
    <w:rsid w:val="0055067F"/>
    <w:rPr>
      <w:sz w:val="16"/>
      <w:szCs w:val="16"/>
    </w:rPr>
  </w:style>
  <w:style w:type="paragraph" w:styleId="ListBullet2">
    <w:name w:val="List Bullet 2"/>
    <w:basedOn w:val="Normal"/>
    <w:rsid w:val="0055067F"/>
    <w:pPr>
      <w:numPr>
        <w:numId w:val="6"/>
      </w:numPr>
      <w:contextualSpacing/>
    </w:pPr>
  </w:style>
  <w:style w:type="paragraph" w:styleId="CommentText">
    <w:name w:val="annotation text"/>
    <w:basedOn w:val="Normal"/>
    <w:link w:val="CommentTextChar"/>
    <w:uiPriority w:val="99"/>
    <w:rsid w:val="00D676A3"/>
    <w:rPr>
      <w:sz w:val="20"/>
      <w:szCs w:val="20"/>
    </w:rPr>
  </w:style>
  <w:style w:type="paragraph" w:customStyle="1" w:styleId="paragraph">
    <w:name w:val="paragraph"/>
    <w:basedOn w:val="Normal"/>
    <w:rsid w:val="00BC378F"/>
    <w:pPr>
      <w:spacing w:before="200" w:line="320" w:lineRule="exact"/>
      <w:ind w:left="1440"/>
    </w:pPr>
  </w:style>
  <w:style w:type="paragraph" w:customStyle="1" w:styleId="Default">
    <w:name w:val="Default"/>
    <w:rsid w:val="00D41D1D"/>
    <w:pPr>
      <w:widowControl w:val="0"/>
      <w:autoSpaceDE w:val="0"/>
      <w:autoSpaceDN w:val="0"/>
      <w:adjustRightInd w:val="0"/>
    </w:pPr>
    <w:rPr>
      <w:color w:val="000000"/>
      <w:sz w:val="24"/>
      <w:szCs w:val="24"/>
    </w:rPr>
  </w:style>
  <w:style w:type="paragraph" w:styleId="FootnoteText">
    <w:name w:val="footnote text"/>
    <w:aliases w:val="ft,fo"/>
    <w:basedOn w:val="Normal"/>
    <w:rsid w:val="00742F9D"/>
    <w:pPr>
      <w:widowControl w:val="0"/>
      <w:ind w:left="180" w:hanging="180"/>
    </w:pPr>
    <w:rPr>
      <w:rFonts w:cs="Courier New"/>
      <w:sz w:val="22"/>
    </w:rPr>
  </w:style>
  <w:style w:type="character" w:styleId="FootnoteReference">
    <w:name w:val="footnote reference"/>
    <w:basedOn w:val="DefaultParagraphFont"/>
    <w:rsid w:val="00742F9D"/>
    <w:rPr>
      <w:vertAlign w:val="superscript"/>
    </w:rPr>
  </w:style>
  <w:style w:type="character" w:customStyle="1" w:styleId="CommentTextChar">
    <w:name w:val="Comment Text Char"/>
    <w:basedOn w:val="DefaultParagraphFont"/>
    <w:link w:val="CommentText"/>
    <w:uiPriority w:val="99"/>
    <w:rsid w:val="00D676A3"/>
  </w:style>
  <w:style w:type="paragraph" w:styleId="CommentSubject">
    <w:name w:val="annotation subject"/>
    <w:basedOn w:val="CommentText"/>
    <w:next w:val="CommentText"/>
    <w:link w:val="CommentSubjectChar"/>
    <w:rsid w:val="00D676A3"/>
    <w:rPr>
      <w:b/>
      <w:bCs/>
    </w:rPr>
  </w:style>
  <w:style w:type="character" w:customStyle="1" w:styleId="CommentSubjectChar">
    <w:name w:val="Comment Subject Char"/>
    <w:basedOn w:val="CommentTextChar"/>
    <w:link w:val="CommentSubject"/>
    <w:rsid w:val="00D676A3"/>
    <w:rPr>
      <w:b/>
      <w:bCs/>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customStyle="1" w:styleId="bullets-blank">
    <w:name w:val="bullets-blank"/>
    <w:basedOn w:val="bullets"/>
    <w:qFormat/>
    <w:rsid w:val="009B561B"/>
    <w:pPr>
      <w:numPr>
        <w:numId w:val="0"/>
      </w:numPr>
      <w:tabs>
        <w:tab w:val="left" w:pos="1080"/>
      </w:tabs>
      <w:spacing w:line="240" w:lineRule="auto"/>
      <w:ind w:left="1080" w:hanging="360"/>
    </w:p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customStyle="1" w:styleId="bibliogrpahy">
    <w:name w:val="bibliogrpahy"/>
    <w:rsid w:val="00BC378F"/>
    <w:pPr>
      <w:spacing w:after="110"/>
      <w:ind w:left="720" w:hanging="720"/>
    </w:pPr>
    <w:rPr>
      <w:sz w:val="24"/>
      <w:szCs w:val="24"/>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
    <w:name w:val="body text"/>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1134BA"/>
    <w:pPr>
      <w:tabs>
        <w:tab w:val="right" w:leader="dot" w:pos="9360"/>
      </w:tabs>
      <w:spacing w:before="80" w:after="40"/>
      <w:ind w:left="2160" w:right="720" w:hanging="72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uiPriority w:val="39"/>
    <w:rsid w:val="004A5A28"/>
    <w:pPr>
      <w:tabs>
        <w:tab w:val="right" w:leader="dot" w:pos="9360"/>
      </w:tabs>
      <w:spacing w:before="40" w:after="40"/>
      <w:ind w:left="720" w:right="720" w:hanging="36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ListBullet2"/>
    <w:rsid w:val="00D41D1D"/>
    <w:pPr>
      <w:spacing w:after="120"/>
      <w:ind w:left="1440"/>
      <w:contextualSpacing w:val="0"/>
    </w:p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DF0F0C"/>
    <w:pPr>
      <w:keepNext/>
      <w:keepLines/>
      <w:spacing w:before="240" w:after="240"/>
      <w:ind w:left="1080" w:hanging="1080"/>
    </w:pPr>
    <w:rPr>
      <w:b/>
      <w:szCs w:val="20"/>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eports\OM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9179B-8E8B-4865-AEC8-0C459411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Template.dot</Template>
  <TotalTime>0</TotalTime>
  <Pages>17</Pages>
  <Words>4671</Words>
  <Characters>28373</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32979</CharactersWithSpaces>
  <SharedDoc>false</SharedDoc>
  <HLinks>
    <vt:vector size="246" baseType="variant">
      <vt:variant>
        <vt:i4>917598</vt:i4>
      </vt:variant>
      <vt:variant>
        <vt:i4>278</vt:i4>
      </vt:variant>
      <vt:variant>
        <vt:i4>0</vt:i4>
      </vt:variant>
      <vt:variant>
        <vt:i4>5</vt:i4>
      </vt:variant>
      <vt:variant>
        <vt:lpwstr>http://www.aau.edu/about/article.aspx?id=5476</vt:lpwstr>
      </vt:variant>
      <vt:variant>
        <vt:lpwstr/>
      </vt:variant>
      <vt:variant>
        <vt:i4>3342450</vt:i4>
      </vt:variant>
      <vt:variant>
        <vt:i4>275</vt:i4>
      </vt:variant>
      <vt:variant>
        <vt:i4>0</vt:i4>
      </vt:variant>
      <vt:variant>
        <vt:i4>5</vt:i4>
      </vt:variant>
      <vt:variant>
        <vt:lpwstr>http://www.nationalpostdoc.org/</vt:lpwstr>
      </vt:variant>
      <vt:variant>
        <vt:lpwstr/>
      </vt:variant>
      <vt:variant>
        <vt:i4>5898290</vt:i4>
      </vt:variant>
      <vt:variant>
        <vt:i4>272</vt:i4>
      </vt:variant>
      <vt:variant>
        <vt:i4>0</vt:i4>
      </vt:variant>
      <vt:variant>
        <vt:i4>5</vt:i4>
      </vt:variant>
      <vt:variant>
        <vt:lpwstr>http://services.aamc.org/memberlistings/index.cfm?fuseaction=home.search&amp;search_type=ms</vt:lpwstr>
      </vt:variant>
      <vt:variant>
        <vt:lpwstr/>
      </vt:variant>
      <vt:variant>
        <vt:i4>1114196</vt:i4>
      </vt:variant>
      <vt:variant>
        <vt:i4>269</vt:i4>
      </vt:variant>
      <vt:variant>
        <vt:i4>0</vt:i4>
      </vt:variant>
      <vt:variant>
        <vt:i4>5</vt:i4>
      </vt:variant>
      <vt:variant>
        <vt:lpwstr>http://cgsnet.org/Default.aspx?tabid=102</vt:lpwstr>
      </vt:variant>
      <vt:variant>
        <vt:lpwstr/>
      </vt:variant>
      <vt:variant>
        <vt:i4>6094863</vt:i4>
      </vt:variant>
      <vt:variant>
        <vt:i4>266</vt:i4>
      </vt:variant>
      <vt:variant>
        <vt:i4>0</vt:i4>
      </vt:variant>
      <vt:variant>
        <vt:i4>5</vt:i4>
      </vt:variant>
      <vt:variant>
        <vt:lpwstr>http://nces.ed.gov/collegenavigator/</vt:lpwstr>
      </vt:variant>
      <vt:variant>
        <vt:lpwstr/>
      </vt:variant>
      <vt:variant>
        <vt:i4>3473468</vt:i4>
      </vt:variant>
      <vt:variant>
        <vt:i4>263</vt:i4>
      </vt:variant>
      <vt:variant>
        <vt:i4>0</vt:i4>
      </vt:variant>
      <vt:variant>
        <vt:i4>5</vt:i4>
      </vt:variant>
      <vt:variant>
        <vt:lpwstr>http://classifications.carnegiefoundation.org/</vt:lpwstr>
      </vt:variant>
      <vt:variant>
        <vt:lpwstr/>
      </vt:variant>
      <vt:variant>
        <vt:i4>1638458</vt:i4>
      </vt:variant>
      <vt:variant>
        <vt:i4>208</vt:i4>
      </vt:variant>
      <vt:variant>
        <vt:i4>0</vt:i4>
      </vt:variant>
      <vt:variant>
        <vt:i4>5</vt:i4>
      </vt:variant>
      <vt:variant>
        <vt:lpwstr/>
      </vt:variant>
      <vt:variant>
        <vt:lpwstr>_Toc298763632</vt:lpwstr>
      </vt:variant>
      <vt:variant>
        <vt:i4>1638458</vt:i4>
      </vt:variant>
      <vt:variant>
        <vt:i4>202</vt:i4>
      </vt:variant>
      <vt:variant>
        <vt:i4>0</vt:i4>
      </vt:variant>
      <vt:variant>
        <vt:i4>5</vt:i4>
      </vt:variant>
      <vt:variant>
        <vt:lpwstr/>
      </vt:variant>
      <vt:variant>
        <vt:lpwstr>_Toc298763631</vt:lpwstr>
      </vt:variant>
      <vt:variant>
        <vt:i4>1638458</vt:i4>
      </vt:variant>
      <vt:variant>
        <vt:i4>196</vt:i4>
      </vt:variant>
      <vt:variant>
        <vt:i4>0</vt:i4>
      </vt:variant>
      <vt:variant>
        <vt:i4>5</vt:i4>
      </vt:variant>
      <vt:variant>
        <vt:lpwstr/>
      </vt:variant>
      <vt:variant>
        <vt:lpwstr>_Toc298763630</vt:lpwstr>
      </vt:variant>
      <vt:variant>
        <vt:i4>1572922</vt:i4>
      </vt:variant>
      <vt:variant>
        <vt:i4>190</vt:i4>
      </vt:variant>
      <vt:variant>
        <vt:i4>0</vt:i4>
      </vt:variant>
      <vt:variant>
        <vt:i4>5</vt:i4>
      </vt:variant>
      <vt:variant>
        <vt:lpwstr/>
      </vt:variant>
      <vt:variant>
        <vt:lpwstr>_Toc298763629</vt:lpwstr>
      </vt:variant>
      <vt:variant>
        <vt:i4>1572922</vt:i4>
      </vt:variant>
      <vt:variant>
        <vt:i4>184</vt:i4>
      </vt:variant>
      <vt:variant>
        <vt:i4>0</vt:i4>
      </vt:variant>
      <vt:variant>
        <vt:i4>5</vt:i4>
      </vt:variant>
      <vt:variant>
        <vt:lpwstr/>
      </vt:variant>
      <vt:variant>
        <vt:lpwstr>_Toc298763628</vt:lpwstr>
      </vt:variant>
      <vt:variant>
        <vt:i4>1572922</vt:i4>
      </vt:variant>
      <vt:variant>
        <vt:i4>178</vt:i4>
      </vt:variant>
      <vt:variant>
        <vt:i4>0</vt:i4>
      </vt:variant>
      <vt:variant>
        <vt:i4>5</vt:i4>
      </vt:variant>
      <vt:variant>
        <vt:lpwstr/>
      </vt:variant>
      <vt:variant>
        <vt:lpwstr>_Toc298763627</vt:lpwstr>
      </vt:variant>
      <vt:variant>
        <vt:i4>1572922</vt:i4>
      </vt:variant>
      <vt:variant>
        <vt:i4>172</vt:i4>
      </vt:variant>
      <vt:variant>
        <vt:i4>0</vt:i4>
      </vt:variant>
      <vt:variant>
        <vt:i4>5</vt:i4>
      </vt:variant>
      <vt:variant>
        <vt:lpwstr/>
      </vt:variant>
      <vt:variant>
        <vt:lpwstr>_Toc298763626</vt:lpwstr>
      </vt:variant>
      <vt:variant>
        <vt:i4>1572922</vt:i4>
      </vt:variant>
      <vt:variant>
        <vt:i4>166</vt:i4>
      </vt:variant>
      <vt:variant>
        <vt:i4>0</vt:i4>
      </vt:variant>
      <vt:variant>
        <vt:i4>5</vt:i4>
      </vt:variant>
      <vt:variant>
        <vt:lpwstr/>
      </vt:variant>
      <vt:variant>
        <vt:lpwstr>_Toc298763625</vt:lpwstr>
      </vt:variant>
      <vt:variant>
        <vt:i4>1572922</vt:i4>
      </vt:variant>
      <vt:variant>
        <vt:i4>160</vt:i4>
      </vt:variant>
      <vt:variant>
        <vt:i4>0</vt:i4>
      </vt:variant>
      <vt:variant>
        <vt:i4>5</vt:i4>
      </vt:variant>
      <vt:variant>
        <vt:lpwstr/>
      </vt:variant>
      <vt:variant>
        <vt:lpwstr>_Toc298763624</vt:lpwstr>
      </vt:variant>
      <vt:variant>
        <vt:i4>1572922</vt:i4>
      </vt:variant>
      <vt:variant>
        <vt:i4>154</vt:i4>
      </vt:variant>
      <vt:variant>
        <vt:i4>0</vt:i4>
      </vt:variant>
      <vt:variant>
        <vt:i4>5</vt:i4>
      </vt:variant>
      <vt:variant>
        <vt:lpwstr/>
      </vt:variant>
      <vt:variant>
        <vt:lpwstr>_Toc298763623</vt:lpwstr>
      </vt:variant>
      <vt:variant>
        <vt:i4>1572922</vt:i4>
      </vt:variant>
      <vt:variant>
        <vt:i4>148</vt:i4>
      </vt:variant>
      <vt:variant>
        <vt:i4>0</vt:i4>
      </vt:variant>
      <vt:variant>
        <vt:i4>5</vt:i4>
      </vt:variant>
      <vt:variant>
        <vt:lpwstr/>
      </vt:variant>
      <vt:variant>
        <vt:lpwstr>_Toc298763622</vt:lpwstr>
      </vt:variant>
      <vt:variant>
        <vt:i4>1572922</vt:i4>
      </vt:variant>
      <vt:variant>
        <vt:i4>142</vt:i4>
      </vt:variant>
      <vt:variant>
        <vt:i4>0</vt:i4>
      </vt:variant>
      <vt:variant>
        <vt:i4>5</vt:i4>
      </vt:variant>
      <vt:variant>
        <vt:lpwstr/>
      </vt:variant>
      <vt:variant>
        <vt:lpwstr>_Toc298763621</vt:lpwstr>
      </vt:variant>
      <vt:variant>
        <vt:i4>1572922</vt:i4>
      </vt:variant>
      <vt:variant>
        <vt:i4>136</vt:i4>
      </vt:variant>
      <vt:variant>
        <vt:i4>0</vt:i4>
      </vt:variant>
      <vt:variant>
        <vt:i4>5</vt:i4>
      </vt:variant>
      <vt:variant>
        <vt:lpwstr/>
      </vt:variant>
      <vt:variant>
        <vt:lpwstr>_Toc298763620</vt:lpwstr>
      </vt:variant>
      <vt:variant>
        <vt:i4>1769530</vt:i4>
      </vt:variant>
      <vt:variant>
        <vt:i4>130</vt:i4>
      </vt:variant>
      <vt:variant>
        <vt:i4>0</vt:i4>
      </vt:variant>
      <vt:variant>
        <vt:i4>5</vt:i4>
      </vt:variant>
      <vt:variant>
        <vt:lpwstr/>
      </vt:variant>
      <vt:variant>
        <vt:lpwstr>_Toc298763619</vt:lpwstr>
      </vt:variant>
      <vt:variant>
        <vt:i4>1769530</vt:i4>
      </vt:variant>
      <vt:variant>
        <vt:i4>124</vt:i4>
      </vt:variant>
      <vt:variant>
        <vt:i4>0</vt:i4>
      </vt:variant>
      <vt:variant>
        <vt:i4>5</vt:i4>
      </vt:variant>
      <vt:variant>
        <vt:lpwstr/>
      </vt:variant>
      <vt:variant>
        <vt:lpwstr>_Toc298763618</vt:lpwstr>
      </vt:variant>
      <vt:variant>
        <vt:i4>1769530</vt:i4>
      </vt:variant>
      <vt:variant>
        <vt:i4>118</vt:i4>
      </vt:variant>
      <vt:variant>
        <vt:i4>0</vt:i4>
      </vt:variant>
      <vt:variant>
        <vt:i4>5</vt:i4>
      </vt:variant>
      <vt:variant>
        <vt:lpwstr/>
      </vt:variant>
      <vt:variant>
        <vt:lpwstr>_Toc298763617</vt:lpwstr>
      </vt:variant>
      <vt:variant>
        <vt:i4>1769530</vt:i4>
      </vt:variant>
      <vt:variant>
        <vt:i4>112</vt:i4>
      </vt:variant>
      <vt:variant>
        <vt:i4>0</vt:i4>
      </vt:variant>
      <vt:variant>
        <vt:i4>5</vt:i4>
      </vt:variant>
      <vt:variant>
        <vt:lpwstr/>
      </vt:variant>
      <vt:variant>
        <vt:lpwstr>_Toc298763616</vt:lpwstr>
      </vt:variant>
      <vt:variant>
        <vt:i4>1769530</vt:i4>
      </vt:variant>
      <vt:variant>
        <vt:i4>106</vt:i4>
      </vt:variant>
      <vt:variant>
        <vt:i4>0</vt:i4>
      </vt:variant>
      <vt:variant>
        <vt:i4>5</vt:i4>
      </vt:variant>
      <vt:variant>
        <vt:lpwstr/>
      </vt:variant>
      <vt:variant>
        <vt:lpwstr>_Toc298763615</vt:lpwstr>
      </vt:variant>
      <vt:variant>
        <vt:i4>1769530</vt:i4>
      </vt:variant>
      <vt:variant>
        <vt:i4>100</vt:i4>
      </vt:variant>
      <vt:variant>
        <vt:i4>0</vt:i4>
      </vt:variant>
      <vt:variant>
        <vt:i4>5</vt:i4>
      </vt:variant>
      <vt:variant>
        <vt:lpwstr/>
      </vt:variant>
      <vt:variant>
        <vt:lpwstr>_Toc298763614</vt:lpwstr>
      </vt:variant>
      <vt:variant>
        <vt:i4>1769530</vt:i4>
      </vt:variant>
      <vt:variant>
        <vt:i4>94</vt:i4>
      </vt:variant>
      <vt:variant>
        <vt:i4>0</vt:i4>
      </vt:variant>
      <vt:variant>
        <vt:i4>5</vt:i4>
      </vt:variant>
      <vt:variant>
        <vt:lpwstr/>
      </vt:variant>
      <vt:variant>
        <vt:lpwstr>_Toc298763613</vt:lpwstr>
      </vt:variant>
      <vt:variant>
        <vt:i4>1769530</vt:i4>
      </vt:variant>
      <vt:variant>
        <vt:i4>88</vt:i4>
      </vt:variant>
      <vt:variant>
        <vt:i4>0</vt:i4>
      </vt:variant>
      <vt:variant>
        <vt:i4>5</vt:i4>
      </vt:variant>
      <vt:variant>
        <vt:lpwstr/>
      </vt:variant>
      <vt:variant>
        <vt:lpwstr>_Toc298763612</vt:lpwstr>
      </vt:variant>
      <vt:variant>
        <vt:i4>1769530</vt:i4>
      </vt:variant>
      <vt:variant>
        <vt:i4>82</vt:i4>
      </vt:variant>
      <vt:variant>
        <vt:i4>0</vt:i4>
      </vt:variant>
      <vt:variant>
        <vt:i4>5</vt:i4>
      </vt:variant>
      <vt:variant>
        <vt:lpwstr/>
      </vt:variant>
      <vt:variant>
        <vt:lpwstr>_Toc298763611</vt:lpwstr>
      </vt:variant>
      <vt:variant>
        <vt:i4>1769530</vt:i4>
      </vt:variant>
      <vt:variant>
        <vt:i4>76</vt:i4>
      </vt:variant>
      <vt:variant>
        <vt:i4>0</vt:i4>
      </vt:variant>
      <vt:variant>
        <vt:i4>5</vt:i4>
      </vt:variant>
      <vt:variant>
        <vt:lpwstr/>
      </vt:variant>
      <vt:variant>
        <vt:lpwstr>_Toc298763610</vt:lpwstr>
      </vt:variant>
      <vt:variant>
        <vt:i4>1703994</vt:i4>
      </vt:variant>
      <vt:variant>
        <vt:i4>70</vt:i4>
      </vt:variant>
      <vt:variant>
        <vt:i4>0</vt:i4>
      </vt:variant>
      <vt:variant>
        <vt:i4>5</vt:i4>
      </vt:variant>
      <vt:variant>
        <vt:lpwstr/>
      </vt:variant>
      <vt:variant>
        <vt:lpwstr>_Toc298763609</vt:lpwstr>
      </vt:variant>
      <vt:variant>
        <vt:i4>1703994</vt:i4>
      </vt:variant>
      <vt:variant>
        <vt:i4>64</vt:i4>
      </vt:variant>
      <vt:variant>
        <vt:i4>0</vt:i4>
      </vt:variant>
      <vt:variant>
        <vt:i4>5</vt:i4>
      </vt:variant>
      <vt:variant>
        <vt:lpwstr/>
      </vt:variant>
      <vt:variant>
        <vt:lpwstr>_Toc298763608</vt:lpwstr>
      </vt:variant>
      <vt:variant>
        <vt:i4>1703994</vt:i4>
      </vt:variant>
      <vt:variant>
        <vt:i4>58</vt:i4>
      </vt:variant>
      <vt:variant>
        <vt:i4>0</vt:i4>
      </vt:variant>
      <vt:variant>
        <vt:i4>5</vt:i4>
      </vt:variant>
      <vt:variant>
        <vt:lpwstr/>
      </vt:variant>
      <vt:variant>
        <vt:lpwstr>_Toc298763607</vt:lpwstr>
      </vt:variant>
      <vt:variant>
        <vt:i4>1703994</vt:i4>
      </vt:variant>
      <vt:variant>
        <vt:i4>52</vt:i4>
      </vt:variant>
      <vt:variant>
        <vt:i4>0</vt:i4>
      </vt:variant>
      <vt:variant>
        <vt:i4>5</vt:i4>
      </vt:variant>
      <vt:variant>
        <vt:lpwstr/>
      </vt:variant>
      <vt:variant>
        <vt:lpwstr>_Toc298763606</vt:lpwstr>
      </vt:variant>
      <vt:variant>
        <vt:i4>1703994</vt:i4>
      </vt:variant>
      <vt:variant>
        <vt:i4>46</vt:i4>
      </vt:variant>
      <vt:variant>
        <vt:i4>0</vt:i4>
      </vt:variant>
      <vt:variant>
        <vt:i4>5</vt:i4>
      </vt:variant>
      <vt:variant>
        <vt:lpwstr/>
      </vt:variant>
      <vt:variant>
        <vt:lpwstr>_Toc298763605</vt:lpwstr>
      </vt:variant>
      <vt:variant>
        <vt:i4>1703994</vt:i4>
      </vt:variant>
      <vt:variant>
        <vt:i4>40</vt:i4>
      </vt:variant>
      <vt:variant>
        <vt:i4>0</vt:i4>
      </vt:variant>
      <vt:variant>
        <vt:i4>5</vt:i4>
      </vt:variant>
      <vt:variant>
        <vt:lpwstr/>
      </vt:variant>
      <vt:variant>
        <vt:lpwstr>_Toc298763604</vt:lpwstr>
      </vt:variant>
      <vt:variant>
        <vt:i4>1703994</vt:i4>
      </vt:variant>
      <vt:variant>
        <vt:i4>34</vt:i4>
      </vt:variant>
      <vt:variant>
        <vt:i4>0</vt:i4>
      </vt:variant>
      <vt:variant>
        <vt:i4>5</vt:i4>
      </vt:variant>
      <vt:variant>
        <vt:lpwstr/>
      </vt:variant>
      <vt:variant>
        <vt:lpwstr>_Toc298763603</vt:lpwstr>
      </vt:variant>
      <vt:variant>
        <vt:i4>1703994</vt:i4>
      </vt:variant>
      <vt:variant>
        <vt:i4>28</vt:i4>
      </vt:variant>
      <vt:variant>
        <vt:i4>0</vt:i4>
      </vt:variant>
      <vt:variant>
        <vt:i4>5</vt:i4>
      </vt:variant>
      <vt:variant>
        <vt:lpwstr/>
      </vt:variant>
      <vt:variant>
        <vt:lpwstr>_Toc298763602</vt:lpwstr>
      </vt:variant>
      <vt:variant>
        <vt:i4>1703994</vt:i4>
      </vt:variant>
      <vt:variant>
        <vt:i4>22</vt:i4>
      </vt:variant>
      <vt:variant>
        <vt:i4>0</vt:i4>
      </vt:variant>
      <vt:variant>
        <vt:i4>5</vt:i4>
      </vt:variant>
      <vt:variant>
        <vt:lpwstr/>
      </vt:variant>
      <vt:variant>
        <vt:lpwstr>_Toc298763601</vt:lpwstr>
      </vt:variant>
      <vt:variant>
        <vt:i4>1703994</vt:i4>
      </vt:variant>
      <vt:variant>
        <vt:i4>16</vt:i4>
      </vt:variant>
      <vt:variant>
        <vt:i4>0</vt:i4>
      </vt:variant>
      <vt:variant>
        <vt:i4>5</vt:i4>
      </vt:variant>
      <vt:variant>
        <vt:lpwstr/>
      </vt:variant>
      <vt:variant>
        <vt:lpwstr>_Toc298763600</vt:lpwstr>
      </vt:variant>
      <vt:variant>
        <vt:i4>1245241</vt:i4>
      </vt:variant>
      <vt:variant>
        <vt:i4>10</vt:i4>
      </vt:variant>
      <vt:variant>
        <vt:i4>0</vt:i4>
      </vt:variant>
      <vt:variant>
        <vt:i4>5</vt:i4>
      </vt:variant>
      <vt:variant>
        <vt:lpwstr/>
      </vt:variant>
      <vt:variant>
        <vt:lpwstr>_Toc298763599</vt:lpwstr>
      </vt:variant>
      <vt:variant>
        <vt:i4>1245241</vt:i4>
      </vt:variant>
      <vt:variant>
        <vt:i4>4</vt:i4>
      </vt:variant>
      <vt:variant>
        <vt:i4>0</vt:i4>
      </vt:variant>
      <vt:variant>
        <vt:i4>5</vt:i4>
      </vt:variant>
      <vt:variant>
        <vt:lpwstr/>
      </vt:variant>
      <vt:variant>
        <vt:lpwstr>_Toc298763598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RTI_DP</dc:creator>
  <cp:keywords/>
  <dc:description/>
  <cp:lastModifiedBy>splimpto</cp:lastModifiedBy>
  <cp:revision>2</cp:revision>
  <cp:lastPrinted>2004-11-15T15:02:00Z</cp:lastPrinted>
  <dcterms:created xsi:type="dcterms:W3CDTF">2011-07-21T20:21:00Z</dcterms:created>
  <dcterms:modified xsi:type="dcterms:W3CDTF">2011-07-21T20:21:00Z</dcterms:modified>
</cp:coreProperties>
</file>