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1AF" w:rsidRDefault="00A101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A101AF" w:rsidRDefault="00A101A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rPr>
      </w:pPr>
    </w:p>
    <w:p w:rsidR="00A101AF" w:rsidRDefault="00A101AF">
      <w:pPr>
        <w:pStyle w:val="Heading1"/>
      </w:pPr>
      <w:r>
        <w:t>SUBTERRANEAN TERMITE TREATMENT BUILDER’S CERTIFICATION AND GUARANTEE, AND THE NEW CONSTRUCTION SUBTERRANEAN TERMITE SOIL TREATEMENT RECORD</w:t>
      </w:r>
    </w:p>
    <w:p w:rsidR="00A101AF" w:rsidRDefault="00A101AF">
      <w:pPr>
        <w:pStyle w:val="Heading1"/>
      </w:pPr>
      <w:r>
        <w:t>OMB Control Number 2502-0525</w:t>
      </w:r>
    </w:p>
    <w:p w:rsidR="00A101AF" w:rsidRDefault="00A101AF">
      <w:pPr>
        <w:jc w:val="center"/>
        <w:rPr>
          <w:b/>
          <w:bCs/>
          <w:sz w:val="24"/>
        </w:rPr>
      </w:pPr>
      <w:r>
        <w:rPr>
          <w:b/>
          <w:bCs/>
          <w:sz w:val="24"/>
        </w:rPr>
        <w:t>(HUD-NPCA-99-A &amp; HUD-NPCA-99-B)</w:t>
      </w:r>
    </w:p>
    <w:p w:rsidR="00A101AF" w:rsidRDefault="00A101AF">
      <w:pPr>
        <w:rPr>
          <w:b/>
          <w:bCs/>
          <w:sz w:val="24"/>
        </w:rPr>
      </w:pPr>
    </w:p>
    <w:p w:rsidR="00A101AF" w:rsidRDefault="00A101AF">
      <w:pPr>
        <w:rPr>
          <w:b/>
          <w:bCs/>
          <w:sz w:val="24"/>
        </w:rPr>
      </w:pPr>
      <w:r>
        <w:rPr>
          <w:b/>
          <w:bCs/>
          <w:sz w:val="24"/>
        </w:rPr>
        <w:t>A.</w:t>
      </w:r>
      <w:r>
        <w:rPr>
          <w:b/>
          <w:bCs/>
          <w:sz w:val="24"/>
        </w:rPr>
        <w:tab/>
        <w:t>JUSTIFICATION</w:t>
      </w:r>
    </w:p>
    <w:p w:rsidR="00A101AF" w:rsidRDefault="00A101AF">
      <w:pPr>
        <w:rPr>
          <w:sz w:val="24"/>
        </w:rPr>
      </w:pPr>
    </w:p>
    <w:p w:rsidR="00A101AF" w:rsidRDefault="00A101AF">
      <w:pPr>
        <w:ind w:left="360" w:hanging="360"/>
        <w:rPr>
          <w:sz w:val="24"/>
        </w:rPr>
      </w:pPr>
      <w:r>
        <w:rPr>
          <w:sz w:val="24"/>
        </w:rPr>
        <w:t>1.</w:t>
      </w:r>
      <w:r>
        <w:rPr>
          <w:sz w:val="24"/>
        </w:rPr>
        <w:tab/>
        <w:t xml:space="preserve">HUD regulations at 24 CFR </w:t>
      </w:r>
      <w:proofErr w:type="gramStart"/>
      <w:r>
        <w:rPr>
          <w:sz w:val="24"/>
        </w:rPr>
        <w:t>200.926d(</w:t>
      </w:r>
      <w:proofErr w:type="gramEnd"/>
      <w:r>
        <w:rPr>
          <w:sz w:val="24"/>
        </w:rPr>
        <w:t>b)(3) require that the sites for HUD insured structures must be free of termite hazards.  The HUD-NPCA-99-A requires the builder to certify that all required treatment for termites was performed by an authorized pest control company and further that the builder guarantees the treated area against infestation for one year.  The form HUD-NPCA-99-B requires a licensed pest control company to provide to the builder a record of specific treatment information in those cases when the soil treatment method is used for prevention of subterranean termite infestation.  When applicable the HUD-NPCA-99-B must accompany the HUD-NPCA-99-A.</w:t>
      </w:r>
    </w:p>
    <w:p w:rsidR="00A101AF" w:rsidRPr="00C2062C" w:rsidRDefault="00A101AF">
      <w:pPr>
        <w:rPr>
          <w:sz w:val="24"/>
        </w:rPr>
      </w:pPr>
    </w:p>
    <w:p w:rsidR="00A101AF" w:rsidRPr="00C2062C" w:rsidRDefault="00A101AF" w:rsidP="00C2062C">
      <w:pPr>
        <w:pStyle w:val="PlainText"/>
        <w:rPr>
          <w:sz w:val="24"/>
          <w:szCs w:val="24"/>
        </w:rPr>
      </w:pPr>
      <w:r w:rsidRPr="00C2062C">
        <w:rPr>
          <w:rFonts w:ascii="Times New Roman" w:hAnsi="Times New Roman" w:cs="Times New Roman"/>
          <w:sz w:val="24"/>
        </w:rPr>
        <w:t>2.</w:t>
      </w:r>
      <w:r w:rsidR="00C2062C">
        <w:rPr>
          <w:rFonts w:ascii="Times New Roman" w:hAnsi="Times New Roman" w:cs="Times New Roman"/>
          <w:sz w:val="24"/>
        </w:rPr>
        <w:t xml:space="preserve">   </w:t>
      </w:r>
      <w:r w:rsidRPr="00C2062C">
        <w:rPr>
          <w:rFonts w:ascii="Times New Roman" w:hAnsi="Times New Roman" w:cs="Times New Roman"/>
          <w:sz w:val="24"/>
          <w:szCs w:val="24"/>
        </w:rPr>
        <w:t>Builders, pest contr</w:t>
      </w:r>
      <w:r w:rsidR="007369F5" w:rsidRPr="00C2062C">
        <w:rPr>
          <w:rFonts w:ascii="Times New Roman" w:hAnsi="Times New Roman" w:cs="Times New Roman"/>
          <w:sz w:val="24"/>
          <w:szCs w:val="24"/>
        </w:rPr>
        <w:t xml:space="preserve">ol companies, mortgage lenders and </w:t>
      </w:r>
      <w:r w:rsidRPr="00C2062C">
        <w:rPr>
          <w:rFonts w:ascii="Times New Roman" w:hAnsi="Times New Roman" w:cs="Times New Roman"/>
          <w:sz w:val="24"/>
          <w:szCs w:val="24"/>
        </w:rPr>
        <w:t>homebuyers</w:t>
      </w:r>
      <w:r w:rsidR="007369F5" w:rsidRPr="00C2062C">
        <w:rPr>
          <w:rFonts w:ascii="Times New Roman" w:hAnsi="Times New Roman" w:cs="Times New Roman"/>
          <w:sz w:val="24"/>
          <w:szCs w:val="24"/>
        </w:rPr>
        <w:t xml:space="preserve"> are the respondents</w:t>
      </w:r>
      <w:r w:rsidRPr="00C2062C">
        <w:rPr>
          <w:rFonts w:ascii="Times New Roman" w:hAnsi="Times New Roman" w:cs="Times New Roman"/>
          <w:sz w:val="24"/>
          <w:szCs w:val="24"/>
        </w:rPr>
        <w:t xml:space="preserve">, and HUD as a record of treatment for specific homes will use the information collected.  </w:t>
      </w:r>
      <w:r w:rsidR="006B3B4F" w:rsidRPr="00C2062C">
        <w:rPr>
          <w:rFonts w:ascii="Times New Roman" w:hAnsi="Times New Roman" w:cs="Times New Roman"/>
          <w:sz w:val="24"/>
          <w:szCs w:val="24"/>
        </w:rPr>
        <w:t>The information collection requires significantly fewer hours than previously requested because the economy is struggling and home builders are not able to sell or build as m</w:t>
      </w:r>
      <w:r w:rsidR="00C2062C" w:rsidRPr="00C2062C">
        <w:rPr>
          <w:rFonts w:ascii="Times New Roman" w:hAnsi="Times New Roman" w:cs="Times New Roman"/>
          <w:sz w:val="24"/>
          <w:szCs w:val="24"/>
        </w:rPr>
        <w:t>any homes as in previous years</w:t>
      </w:r>
      <w:r w:rsidR="006B3B4F" w:rsidRPr="00C2062C">
        <w:rPr>
          <w:rFonts w:ascii="Times New Roman" w:hAnsi="Times New Roman" w:cs="Times New Roman"/>
          <w:sz w:val="24"/>
          <w:szCs w:val="24"/>
        </w:rPr>
        <w:t xml:space="preserve"> </w:t>
      </w:r>
      <w:r w:rsidR="00C2062C" w:rsidRPr="00C2062C">
        <w:rPr>
          <w:rFonts w:ascii="Times New Roman" w:hAnsi="Times New Roman" w:cs="Times New Roman"/>
          <w:sz w:val="24"/>
          <w:szCs w:val="24"/>
        </w:rPr>
        <w:t>FHA insured 66,000 new homes from July 2006</w:t>
      </w:r>
      <w:r w:rsidR="00C2062C">
        <w:rPr>
          <w:rFonts w:ascii="Times New Roman" w:hAnsi="Times New Roman" w:cs="Times New Roman"/>
          <w:sz w:val="24"/>
          <w:szCs w:val="24"/>
        </w:rPr>
        <w:t xml:space="preserve"> to </w:t>
      </w:r>
      <w:r w:rsidR="00C2062C" w:rsidRPr="00C2062C">
        <w:rPr>
          <w:rFonts w:ascii="Times New Roman" w:hAnsi="Times New Roman" w:cs="Times New Roman"/>
          <w:sz w:val="24"/>
          <w:szCs w:val="24"/>
        </w:rPr>
        <w:t xml:space="preserve">July </w:t>
      </w:r>
      <w:r w:rsidR="00C2062C">
        <w:rPr>
          <w:rFonts w:ascii="Times New Roman" w:hAnsi="Times New Roman" w:cs="Times New Roman"/>
          <w:sz w:val="24"/>
          <w:szCs w:val="24"/>
        </w:rPr>
        <w:t xml:space="preserve">2007.  Since then the number of new homes insured in the same period for the successive 4 years is less than half of the prior year.  </w:t>
      </w:r>
      <w:proofErr w:type="gramStart"/>
      <w:r w:rsidR="00C2062C">
        <w:rPr>
          <w:rFonts w:ascii="Times New Roman" w:hAnsi="Times New Roman" w:cs="Times New Roman"/>
          <w:sz w:val="24"/>
          <w:szCs w:val="24"/>
        </w:rPr>
        <w:t>Bottoming out at 6,067 for the period July 2010-July 2011.</w:t>
      </w:r>
      <w:proofErr w:type="gramEnd"/>
      <w:r w:rsidR="00C2062C">
        <w:rPr>
          <w:rFonts w:ascii="Times New Roman" w:hAnsi="Times New Roman" w:cs="Times New Roman"/>
          <w:sz w:val="24"/>
          <w:szCs w:val="24"/>
        </w:rPr>
        <w:t xml:space="preserve">  FHA expects that as the economy recovers over the next few years that new home construction will pick up and that borrowers will select FHA insured financing to purchase them and the burden hours are based on those expectations.</w:t>
      </w:r>
    </w:p>
    <w:p w:rsidR="00A101AF" w:rsidRDefault="00A101AF">
      <w:pPr>
        <w:rPr>
          <w:sz w:val="24"/>
        </w:rPr>
      </w:pPr>
    </w:p>
    <w:p w:rsidR="00A101AF" w:rsidRDefault="00A101AF">
      <w:pPr>
        <w:ind w:left="360" w:hanging="360"/>
        <w:rPr>
          <w:sz w:val="24"/>
        </w:rPr>
      </w:pPr>
      <w:r>
        <w:rPr>
          <w:sz w:val="24"/>
        </w:rPr>
        <w:t>3.</w:t>
      </w:r>
      <w:r>
        <w:rPr>
          <w:sz w:val="24"/>
        </w:rPr>
        <w:tab/>
        <w:t>The collection of the requested information does not involve the use of automated, electronic, mechanical or other forms of information technology.  The form requires the signature of the builder and must be submitted as part of the case binder for FHA endorsement.</w:t>
      </w:r>
      <w:r w:rsidR="00BE11CF">
        <w:rPr>
          <w:sz w:val="24"/>
        </w:rPr>
        <w:t xml:space="preserve">  The forms are available on the HUD website in a .</w:t>
      </w:r>
      <w:proofErr w:type="spellStart"/>
      <w:r w:rsidR="00BE11CF">
        <w:rPr>
          <w:sz w:val="24"/>
        </w:rPr>
        <w:t>pdf</w:t>
      </w:r>
      <w:proofErr w:type="spellEnd"/>
      <w:r w:rsidR="00BE11CF">
        <w:rPr>
          <w:sz w:val="24"/>
        </w:rPr>
        <w:t xml:space="preserve"> fillable format that can be saved and submitted electronically.</w:t>
      </w:r>
      <w:r>
        <w:rPr>
          <w:sz w:val="24"/>
        </w:rPr>
        <w:t xml:space="preserve"> </w:t>
      </w:r>
    </w:p>
    <w:p w:rsidR="00A101AF" w:rsidRDefault="00A101AF">
      <w:pPr>
        <w:ind w:left="360" w:hanging="360"/>
        <w:rPr>
          <w:sz w:val="24"/>
        </w:rPr>
      </w:pPr>
    </w:p>
    <w:p w:rsidR="00A101AF" w:rsidRDefault="00A101AF">
      <w:pPr>
        <w:ind w:left="360" w:hanging="360"/>
        <w:rPr>
          <w:sz w:val="24"/>
        </w:rPr>
      </w:pPr>
      <w:r>
        <w:rPr>
          <w:sz w:val="24"/>
        </w:rPr>
        <w:t>4.</w:t>
      </w:r>
      <w:r>
        <w:rPr>
          <w:sz w:val="24"/>
        </w:rPr>
        <w:tab/>
        <w:t>The collected information is not duplicative.</w:t>
      </w:r>
    </w:p>
    <w:p w:rsidR="00A101AF" w:rsidRDefault="00A101AF">
      <w:pPr>
        <w:rPr>
          <w:sz w:val="24"/>
        </w:rPr>
      </w:pPr>
    </w:p>
    <w:p w:rsidR="00A101AF" w:rsidRDefault="00A101AF">
      <w:pPr>
        <w:ind w:left="360" w:hanging="360"/>
        <w:rPr>
          <w:sz w:val="24"/>
        </w:rPr>
      </w:pPr>
      <w:r>
        <w:rPr>
          <w:sz w:val="24"/>
        </w:rPr>
        <w:t>5.</w:t>
      </w:r>
      <w:r>
        <w:rPr>
          <w:sz w:val="24"/>
        </w:rPr>
        <w:tab/>
      </w:r>
      <w:r w:rsidR="006C2E8E">
        <w:rPr>
          <w:sz w:val="24"/>
        </w:rPr>
        <w:t>A number of builders and pest inspectors operate as small businesses, however due to the very limited amount of time required in the collection the impact on small business is deemed minimal</w:t>
      </w:r>
      <w:r>
        <w:rPr>
          <w:sz w:val="24"/>
        </w:rPr>
        <w:t xml:space="preserve">.   </w:t>
      </w:r>
    </w:p>
    <w:p w:rsidR="00A101AF" w:rsidRDefault="00A101AF">
      <w:pPr>
        <w:rPr>
          <w:sz w:val="24"/>
        </w:rPr>
      </w:pPr>
    </w:p>
    <w:p w:rsidR="00A101AF" w:rsidRDefault="00A101AF">
      <w:pPr>
        <w:ind w:left="360" w:hanging="360"/>
        <w:rPr>
          <w:sz w:val="24"/>
        </w:rPr>
      </w:pPr>
      <w:r>
        <w:rPr>
          <w:sz w:val="24"/>
        </w:rPr>
        <w:t>6.</w:t>
      </w:r>
      <w:r>
        <w:rPr>
          <w:sz w:val="24"/>
        </w:rPr>
        <w:tab/>
        <w:t>If the requested data is not collected, new home purchasers and HUD are subject to the risk of purchasing or insuring a home that could be immediately infested by termites and would have no recourse against the builder.</w:t>
      </w:r>
    </w:p>
    <w:p w:rsidR="00A101AF" w:rsidRDefault="00A101AF">
      <w:pPr>
        <w:rPr>
          <w:sz w:val="24"/>
        </w:rPr>
      </w:pPr>
    </w:p>
    <w:p w:rsidR="00A101AF" w:rsidRDefault="00A101AF">
      <w:pPr>
        <w:ind w:left="360" w:hanging="360"/>
        <w:rPr>
          <w:sz w:val="24"/>
        </w:rPr>
      </w:pPr>
      <w:r>
        <w:rPr>
          <w:sz w:val="24"/>
        </w:rPr>
        <w:t>7.</w:t>
      </w:r>
      <w:r>
        <w:rPr>
          <w:sz w:val="24"/>
        </w:rPr>
        <w:tab/>
        <w:t>No special circumstances are envisioned that would cause the information collection to be conducted in any of the enumerated manners.</w:t>
      </w:r>
    </w:p>
    <w:p w:rsidR="00A101AF" w:rsidRDefault="00A101AF">
      <w:pPr>
        <w:rPr>
          <w:sz w:val="24"/>
        </w:rPr>
      </w:pPr>
    </w:p>
    <w:p w:rsidR="00C901A4" w:rsidRDefault="00A101AF" w:rsidP="005B1044">
      <w:pPr>
        <w:keepLines/>
        <w:tabs>
          <w:tab w:val="left" w:pos="360"/>
        </w:tabs>
        <w:spacing w:after="80"/>
        <w:ind w:left="360" w:hanging="360"/>
        <w:rPr>
          <w:i/>
          <w:sz w:val="24"/>
          <w:szCs w:val="24"/>
        </w:rPr>
      </w:pPr>
      <w:r>
        <w:rPr>
          <w:sz w:val="24"/>
        </w:rPr>
        <w:t>8.</w:t>
      </w:r>
      <w:r>
        <w:rPr>
          <w:sz w:val="24"/>
        </w:rPr>
        <w:tab/>
      </w:r>
      <w:r w:rsidR="00C901A4" w:rsidRPr="00C901A4">
        <w:rPr>
          <w:sz w:val="24"/>
          <w:szCs w:val="24"/>
        </w:rPr>
        <w:t xml:space="preserve">Information collected is conducted in a manner consistent with the guidelines of 5 CFR 1320.8 (d).  The Notice announcing this collection of information appeared </w:t>
      </w:r>
      <w:r w:rsidR="00F56E8A">
        <w:rPr>
          <w:sz w:val="24"/>
          <w:szCs w:val="24"/>
        </w:rPr>
        <w:t xml:space="preserve">on </w:t>
      </w:r>
      <w:r w:rsidR="00DA4936" w:rsidRPr="00DA4936">
        <w:rPr>
          <w:sz w:val="24"/>
          <w:szCs w:val="24"/>
        </w:rPr>
        <w:t xml:space="preserve">October 28, 2011/ Vol. 76, No. 209 / </w:t>
      </w:r>
      <w:r w:rsidR="00DA4936">
        <w:rPr>
          <w:sz w:val="24"/>
          <w:szCs w:val="24"/>
        </w:rPr>
        <w:t xml:space="preserve">Page </w:t>
      </w:r>
      <w:r w:rsidR="00DA4936" w:rsidRPr="00DA4936">
        <w:rPr>
          <w:bCs/>
          <w:sz w:val="24"/>
          <w:szCs w:val="24"/>
        </w:rPr>
        <w:t>66946</w:t>
      </w:r>
      <w:r w:rsidR="00C901A4" w:rsidRPr="00DA4936">
        <w:rPr>
          <w:sz w:val="24"/>
          <w:szCs w:val="24"/>
        </w:rPr>
        <w:t xml:space="preserve">).  </w:t>
      </w:r>
      <w:r w:rsidR="00DA4936" w:rsidRPr="00DA4936">
        <w:rPr>
          <w:sz w:val="24"/>
          <w:szCs w:val="24"/>
        </w:rPr>
        <w:t>No c</w:t>
      </w:r>
      <w:r w:rsidR="00C901A4" w:rsidRPr="00DA4936">
        <w:rPr>
          <w:sz w:val="24"/>
          <w:szCs w:val="24"/>
        </w:rPr>
        <w:t xml:space="preserve">omments were received. </w:t>
      </w:r>
    </w:p>
    <w:p w:rsidR="00291F51" w:rsidRDefault="00291F51" w:rsidP="00C901A4">
      <w:pPr>
        <w:ind w:left="360"/>
        <w:rPr>
          <w:sz w:val="24"/>
        </w:rPr>
      </w:pPr>
    </w:p>
    <w:p w:rsidR="00A101AF" w:rsidRDefault="00A101AF" w:rsidP="00C901A4">
      <w:pPr>
        <w:ind w:left="360"/>
        <w:rPr>
          <w:sz w:val="24"/>
        </w:rPr>
      </w:pPr>
      <w:r>
        <w:rPr>
          <w:sz w:val="24"/>
        </w:rPr>
        <w:t>There were consultations with HUD staff in three of the HUD Homeownership Centers.</w:t>
      </w:r>
    </w:p>
    <w:p w:rsidR="00A101AF" w:rsidRDefault="005B0054">
      <w:pPr>
        <w:numPr>
          <w:ilvl w:val="0"/>
          <w:numId w:val="12"/>
        </w:numPr>
        <w:rPr>
          <w:sz w:val="24"/>
        </w:rPr>
      </w:pPr>
      <w:r>
        <w:rPr>
          <w:sz w:val="24"/>
        </w:rPr>
        <w:t>Gregory Stickler</w:t>
      </w:r>
      <w:r w:rsidR="00A101AF">
        <w:rPr>
          <w:sz w:val="24"/>
        </w:rPr>
        <w:t xml:space="preserve"> of the </w:t>
      </w:r>
      <w:r>
        <w:rPr>
          <w:sz w:val="24"/>
        </w:rPr>
        <w:t>Santa Ana</w:t>
      </w:r>
      <w:r w:rsidR="00A101AF">
        <w:rPr>
          <w:sz w:val="24"/>
        </w:rPr>
        <w:t xml:space="preserve">, </w:t>
      </w:r>
      <w:r>
        <w:rPr>
          <w:sz w:val="24"/>
        </w:rPr>
        <w:t>C</w:t>
      </w:r>
      <w:r w:rsidR="00A101AF">
        <w:rPr>
          <w:sz w:val="24"/>
        </w:rPr>
        <w:t>A Homeownership Center, (</w:t>
      </w:r>
      <w:r>
        <w:rPr>
          <w:sz w:val="24"/>
        </w:rPr>
        <w:t>714</w:t>
      </w:r>
      <w:r w:rsidR="00A101AF">
        <w:rPr>
          <w:sz w:val="24"/>
        </w:rPr>
        <w:t xml:space="preserve">) </w:t>
      </w:r>
      <w:r>
        <w:rPr>
          <w:sz w:val="24"/>
        </w:rPr>
        <w:t>796-1200</w:t>
      </w:r>
    </w:p>
    <w:p w:rsidR="00A101AF" w:rsidRDefault="00AC0819">
      <w:pPr>
        <w:numPr>
          <w:ilvl w:val="0"/>
          <w:numId w:val="12"/>
        </w:numPr>
        <w:rPr>
          <w:sz w:val="24"/>
        </w:rPr>
      </w:pPr>
      <w:r>
        <w:rPr>
          <w:sz w:val="24"/>
        </w:rPr>
        <w:t xml:space="preserve">Branch Chief </w:t>
      </w:r>
      <w:r w:rsidR="005B0054">
        <w:rPr>
          <w:sz w:val="24"/>
        </w:rPr>
        <w:t>Krish Raja</w:t>
      </w:r>
      <w:r>
        <w:rPr>
          <w:sz w:val="24"/>
        </w:rPr>
        <w:t xml:space="preserve"> </w:t>
      </w:r>
      <w:r w:rsidR="00A101AF">
        <w:rPr>
          <w:sz w:val="24"/>
        </w:rPr>
        <w:t>of the Philadelphia, PA Homeownership Center,</w:t>
      </w:r>
      <w:r w:rsidR="005B0054">
        <w:rPr>
          <w:sz w:val="24"/>
        </w:rPr>
        <w:t xml:space="preserve"> (215) 861-7539</w:t>
      </w:r>
    </w:p>
    <w:p w:rsidR="00A101AF" w:rsidRDefault="00336AC8">
      <w:pPr>
        <w:numPr>
          <w:ilvl w:val="0"/>
          <w:numId w:val="12"/>
        </w:numPr>
        <w:rPr>
          <w:sz w:val="24"/>
        </w:rPr>
      </w:pPr>
      <w:r>
        <w:rPr>
          <w:sz w:val="24"/>
        </w:rPr>
        <w:lastRenderedPageBreak/>
        <w:t xml:space="preserve">Branch Chief </w:t>
      </w:r>
      <w:r w:rsidR="005B0054">
        <w:rPr>
          <w:sz w:val="24"/>
        </w:rPr>
        <w:t>Andrew Eckel</w:t>
      </w:r>
      <w:r w:rsidR="00A101AF">
        <w:rPr>
          <w:sz w:val="24"/>
        </w:rPr>
        <w:t xml:space="preserve"> </w:t>
      </w:r>
      <w:r>
        <w:rPr>
          <w:sz w:val="24"/>
        </w:rPr>
        <w:t>of the Denver</w:t>
      </w:r>
      <w:r w:rsidR="00A101AF">
        <w:rPr>
          <w:sz w:val="24"/>
        </w:rPr>
        <w:t xml:space="preserve"> Homeownership Center, (</w:t>
      </w:r>
      <w:r w:rsidR="005B0054">
        <w:rPr>
          <w:sz w:val="24"/>
        </w:rPr>
        <w:t>303) 672-5280 Ext 1635</w:t>
      </w:r>
    </w:p>
    <w:p w:rsidR="00A101AF" w:rsidRDefault="00A101AF">
      <w:pPr>
        <w:ind w:left="360"/>
        <w:rPr>
          <w:sz w:val="24"/>
        </w:rPr>
      </w:pPr>
      <w:r>
        <w:rPr>
          <w:sz w:val="24"/>
        </w:rPr>
        <w:t>The above HUD staff stated that on post technical review Builders Certification forms are review in each endorsed case binder for new construction loans.</w:t>
      </w:r>
    </w:p>
    <w:p w:rsidR="00A101AF" w:rsidRDefault="00A101AF">
      <w:pPr>
        <w:ind w:left="360"/>
        <w:rPr>
          <w:sz w:val="24"/>
        </w:rPr>
      </w:pPr>
    </w:p>
    <w:p w:rsidR="00A101AF" w:rsidRDefault="00A101AF">
      <w:pPr>
        <w:ind w:left="360" w:hanging="360"/>
        <w:rPr>
          <w:sz w:val="24"/>
        </w:rPr>
      </w:pPr>
      <w:r>
        <w:rPr>
          <w:sz w:val="24"/>
        </w:rPr>
        <w:t>9.</w:t>
      </w:r>
      <w:r>
        <w:rPr>
          <w:sz w:val="24"/>
        </w:rPr>
        <w:tab/>
        <w:t>No payments or gifts are to be provided to respondents.</w:t>
      </w:r>
    </w:p>
    <w:p w:rsidR="00A101AF" w:rsidRDefault="00A101AF">
      <w:pPr>
        <w:rPr>
          <w:sz w:val="24"/>
        </w:rPr>
      </w:pPr>
    </w:p>
    <w:p w:rsidR="00A101AF" w:rsidRDefault="00A101AF">
      <w:pPr>
        <w:ind w:left="360" w:hanging="360"/>
        <w:rPr>
          <w:sz w:val="24"/>
        </w:rPr>
      </w:pPr>
      <w:r>
        <w:rPr>
          <w:sz w:val="24"/>
        </w:rPr>
        <w:t>10.</w:t>
      </w:r>
      <w:r>
        <w:rPr>
          <w:sz w:val="24"/>
        </w:rPr>
        <w:tab/>
      </w:r>
      <w:r w:rsidR="007369F5">
        <w:rPr>
          <w:sz w:val="24"/>
        </w:rPr>
        <w:t xml:space="preserve">Confidentiality is not assured </w:t>
      </w:r>
      <w:r>
        <w:rPr>
          <w:sz w:val="24"/>
        </w:rPr>
        <w:t>for the data involved.</w:t>
      </w:r>
    </w:p>
    <w:p w:rsidR="00A101AF" w:rsidRDefault="00A101AF">
      <w:pPr>
        <w:pStyle w:val="BodyTextIndent"/>
        <w:tabs>
          <w:tab w:val="left" w:pos="720"/>
        </w:tabs>
        <w:ind w:left="0"/>
        <w:rPr>
          <w:rFonts w:ascii="Times New Roman" w:hAnsi="Times New Roman" w:cs="Times New Roman"/>
        </w:rPr>
      </w:pPr>
    </w:p>
    <w:p w:rsidR="00A101AF" w:rsidRDefault="00A101AF">
      <w:pPr>
        <w:pStyle w:val="BodyTextIndent"/>
        <w:tabs>
          <w:tab w:val="left" w:pos="720"/>
        </w:tabs>
        <w:ind w:hanging="360"/>
        <w:rPr>
          <w:rFonts w:ascii="Times New Roman" w:hAnsi="Times New Roman" w:cs="Times New Roman"/>
        </w:rPr>
      </w:pPr>
      <w:r>
        <w:rPr>
          <w:rFonts w:ascii="Times New Roman" w:hAnsi="Times New Roman" w:cs="Times New Roman"/>
        </w:rPr>
        <w:t>11.</w:t>
      </w:r>
      <w:r>
        <w:rPr>
          <w:rFonts w:ascii="Times New Roman" w:hAnsi="Times New Roman" w:cs="Times New Roman"/>
        </w:rPr>
        <w:tab/>
        <w:t>There are no sensitive questions involved in this collection.</w:t>
      </w:r>
    </w:p>
    <w:p w:rsidR="00A101AF" w:rsidRDefault="00A101AF">
      <w:pPr>
        <w:rPr>
          <w:sz w:val="24"/>
        </w:rPr>
      </w:pPr>
    </w:p>
    <w:p w:rsidR="00A101AF" w:rsidRDefault="00A101AF">
      <w:pPr>
        <w:ind w:left="360" w:hanging="360"/>
        <w:rPr>
          <w:sz w:val="24"/>
        </w:rPr>
      </w:pPr>
      <w:r>
        <w:rPr>
          <w:sz w:val="24"/>
        </w:rPr>
        <w:t>12.</w:t>
      </w:r>
      <w:r>
        <w:rPr>
          <w:sz w:val="24"/>
        </w:rPr>
        <w:tab/>
        <w:t>Respondent burden &amp; costs:</w:t>
      </w:r>
    </w:p>
    <w:p w:rsidR="00A101AF" w:rsidRDefault="00A101AF">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70"/>
        <w:gridCol w:w="1523"/>
        <w:gridCol w:w="1365"/>
        <w:gridCol w:w="1358"/>
        <w:gridCol w:w="1342"/>
        <w:gridCol w:w="1309"/>
        <w:gridCol w:w="1342"/>
        <w:gridCol w:w="1307"/>
      </w:tblGrid>
      <w:tr w:rsidR="00A101AF">
        <w:tc>
          <w:tcPr>
            <w:tcW w:w="1470" w:type="dxa"/>
          </w:tcPr>
          <w:p w:rsidR="00A101AF" w:rsidRDefault="00A101AF">
            <w:pPr>
              <w:jc w:val="center"/>
              <w:rPr>
                <w:b/>
                <w:bCs/>
                <w:sz w:val="24"/>
                <w:u w:val="single"/>
              </w:rPr>
            </w:pPr>
            <w:r>
              <w:rPr>
                <w:b/>
                <w:bCs/>
                <w:sz w:val="24"/>
                <w:u w:val="single"/>
              </w:rPr>
              <w:t>Information Collection</w:t>
            </w:r>
          </w:p>
        </w:tc>
        <w:tc>
          <w:tcPr>
            <w:tcW w:w="1523" w:type="dxa"/>
          </w:tcPr>
          <w:p w:rsidR="00A101AF" w:rsidRDefault="00A101AF">
            <w:pPr>
              <w:jc w:val="center"/>
              <w:rPr>
                <w:b/>
                <w:bCs/>
                <w:sz w:val="24"/>
                <w:u w:val="single"/>
              </w:rPr>
            </w:pPr>
            <w:r>
              <w:rPr>
                <w:b/>
                <w:bCs/>
                <w:sz w:val="24"/>
                <w:u w:val="single"/>
              </w:rPr>
              <w:t>Number of Respondents</w:t>
            </w:r>
          </w:p>
        </w:tc>
        <w:tc>
          <w:tcPr>
            <w:tcW w:w="1365" w:type="dxa"/>
          </w:tcPr>
          <w:p w:rsidR="00A101AF" w:rsidRDefault="00A101AF">
            <w:pPr>
              <w:jc w:val="center"/>
              <w:rPr>
                <w:b/>
                <w:bCs/>
                <w:sz w:val="24"/>
                <w:u w:val="single"/>
              </w:rPr>
            </w:pPr>
            <w:r>
              <w:rPr>
                <w:b/>
                <w:bCs/>
                <w:sz w:val="24"/>
                <w:u w:val="single"/>
              </w:rPr>
              <w:t>Frequency of Response</w:t>
            </w:r>
          </w:p>
        </w:tc>
        <w:tc>
          <w:tcPr>
            <w:tcW w:w="1358" w:type="dxa"/>
          </w:tcPr>
          <w:p w:rsidR="00A101AF" w:rsidRDefault="00A101AF">
            <w:pPr>
              <w:jc w:val="center"/>
              <w:rPr>
                <w:b/>
                <w:bCs/>
                <w:sz w:val="24"/>
                <w:u w:val="single"/>
              </w:rPr>
            </w:pPr>
            <w:r>
              <w:rPr>
                <w:b/>
                <w:bCs/>
                <w:sz w:val="24"/>
                <w:u w:val="single"/>
              </w:rPr>
              <w:t>Responses</w:t>
            </w:r>
          </w:p>
          <w:p w:rsidR="00A101AF" w:rsidRDefault="00A101AF">
            <w:pPr>
              <w:jc w:val="center"/>
              <w:rPr>
                <w:b/>
                <w:bCs/>
                <w:sz w:val="24"/>
                <w:u w:val="single"/>
              </w:rPr>
            </w:pPr>
            <w:r>
              <w:rPr>
                <w:b/>
                <w:bCs/>
                <w:sz w:val="24"/>
                <w:u w:val="single"/>
              </w:rPr>
              <w:t>Per Annum</w:t>
            </w:r>
          </w:p>
        </w:tc>
        <w:tc>
          <w:tcPr>
            <w:tcW w:w="1342" w:type="dxa"/>
          </w:tcPr>
          <w:p w:rsidR="00A101AF" w:rsidRDefault="00A101AF">
            <w:pPr>
              <w:jc w:val="center"/>
              <w:rPr>
                <w:b/>
                <w:bCs/>
                <w:sz w:val="24"/>
                <w:u w:val="single"/>
              </w:rPr>
            </w:pPr>
            <w:r>
              <w:rPr>
                <w:b/>
                <w:bCs/>
                <w:sz w:val="24"/>
                <w:u w:val="single"/>
              </w:rPr>
              <w:t>Burden Hour Per Response</w:t>
            </w:r>
          </w:p>
        </w:tc>
        <w:tc>
          <w:tcPr>
            <w:tcW w:w="1309" w:type="dxa"/>
          </w:tcPr>
          <w:p w:rsidR="00A101AF" w:rsidRDefault="00A101AF">
            <w:pPr>
              <w:jc w:val="center"/>
              <w:rPr>
                <w:b/>
                <w:bCs/>
                <w:sz w:val="24"/>
                <w:u w:val="single"/>
              </w:rPr>
            </w:pPr>
            <w:r>
              <w:rPr>
                <w:b/>
                <w:bCs/>
                <w:sz w:val="24"/>
                <w:u w:val="single"/>
              </w:rPr>
              <w:t>Annual Burden Hours</w:t>
            </w:r>
          </w:p>
        </w:tc>
        <w:tc>
          <w:tcPr>
            <w:tcW w:w="1342" w:type="dxa"/>
          </w:tcPr>
          <w:p w:rsidR="00A101AF" w:rsidRDefault="00A101AF">
            <w:pPr>
              <w:jc w:val="center"/>
              <w:rPr>
                <w:b/>
                <w:bCs/>
                <w:sz w:val="24"/>
                <w:u w:val="single"/>
              </w:rPr>
            </w:pPr>
            <w:r>
              <w:rPr>
                <w:b/>
                <w:bCs/>
                <w:sz w:val="24"/>
                <w:u w:val="single"/>
              </w:rPr>
              <w:t>Hourly Cost Per Response</w:t>
            </w:r>
          </w:p>
        </w:tc>
        <w:tc>
          <w:tcPr>
            <w:tcW w:w="1307" w:type="dxa"/>
          </w:tcPr>
          <w:p w:rsidR="00A101AF" w:rsidRDefault="00A101AF">
            <w:pPr>
              <w:jc w:val="center"/>
              <w:rPr>
                <w:b/>
                <w:bCs/>
                <w:sz w:val="24"/>
                <w:u w:val="single"/>
              </w:rPr>
            </w:pPr>
            <w:r>
              <w:rPr>
                <w:b/>
                <w:bCs/>
                <w:sz w:val="24"/>
                <w:u w:val="single"/>
              </w:rPr>
              <w:t>Annual Cost</w:t>
            </w:r>
          </w:p>
          <w:p w:rsidR="00A101AF" w:rsidRDefault="00A101AF">
            <w:pPr>
              <w:jc w:val="center"/>
              <w:rPr>
                <w:b/>
                <w:bCs/>
                <w:sz w:val="24"/>
                <w:u w:val="single"/>
              </w:rPr>
            </w:pPr>
          </w:p>
        </w:tc>
      </w:tr>
      <w:tr w:rsidR="00A101AF">
        <w:tc>
          <w:tcPr>
            <w:tcW w:w="1470" w:type="dxa"/>
          </w:tcPr>
          <w:p w:rsidR="00A101AF" w:rsidRDefault="00A101AF">
            <w:pPr>
              <w:rPr>
                <w:sz w:val="24"/>
              </w:rPr>
            </w:pPr>
          </w:p>
        </w:tc>
        <w:tc>
          <w:tcPr>
            <w:tcW w:w="1523" w:type="dxa"/>
          </w:tcPr>
          <w:p w:rsidR="00A101AF" w:rsidRDefault="00A101AF">
            <w:pPr>
              <w:rPr>
                <w:sz w:val="24"/>
              </w:rPr>
            </w:pPr>
          </w:p>
        </w:tc>
        <w:tc>
          <w:tcPr>
            <w:tcW w:w="1365" w:type="dxa"/>
          </w:tcPr>
          <w:p w:rsidR="00A101AF" w:rsidRDefault="00A101AF">
            <w:pPr>
              <w:rPr>
                <w:sz w:val="24"/>
              </w:rPr>
            </w:pPr>
          </w:p>
        </w:tc>
        <w:tc>
          <w:tcPr>
            <w:tcW w:w="1358" w:type="dxa"/>
          </w:tcPr>
          <w:p w:rsidR="00A101AF" w:rsidRDefault="00A101AF">
            <w:pPr>
              <w:rPr>
                <w:sz w:val="24"/>
              </w:rPr>
            </w:pPr>
          </w:p>
        </w:tc>
        <w:tc>
          <w:tcPr>
            <w:tcW w:w="1342" w:type="dxa"/>
          </w:tcPr>
          <w:p w:rsidR="00A101AF" w:rsidRDefault="00A101AF">
            <w:pPr>
              <w:rPr>
                <w:sz w:val="24"/>
              </w:rPr>
            </w:pPr>
          </w:p>
        </w:tc>
        <w:tc>
          <w:tcPr>
            <w:tcW w:w="1309" w:type="dxa"/>
          </w:tcPr>
          <w:p w:rsidR="00A101AF" w:rsidRDefault="00A101AF">
            <w:pPr>
              <w:rPr>
                <w:sz w:val="24"/>
              </w:rPr>
            </w:pPr>
          </w:p>
        </w:tc>
        <w:tc>
          <w:tcPr>
            <w:tcW w:w="1342" w:type="dxa"/>
          </w:tcPr>
          <w:p w:rsidR="00A101AF" w:rsidRDefault="00A101AF">
            <w:pPr>
              <w:rPr>
                <w:sz w:val="24"/>
              </w:rPr>
            </w:pPr>
          </w:p>
        </w:tc>
        <w:tc>
          <w:tcPr>
            <w:tcW w:w="1307" w:type="dxa"/>
          </w:tcPr>
          <w:p w:rsidR="00A101AF" w:rsidRDefault="00A101AF">
            <w:pPr>
              <w:rPr>
                <w:sz w:val="24"/>
              </w:rPr>
            </w:pPr>
          </w:p>
        </w:tc>
      </w:tr>
      <w:tr w:rsidR="00A101AF">
        <w:tc>
          <w:tcPr>
            <w:tcW w:w="1470" w:type="dxa"/>
          </w:tcPr>
          <w:p w:rsidR="00A101AF" w:rsidRDefault="00A101AF">
            <w:pPr>
              <w:rPr>
                <w:sz w:val="24"/>
              </w:rPr>
            </w:pPr>
            <w:r>
              <w:rPr>
                <w:sz w:val="24"/>
              </w:rPr>
              <w:t>HUD-NPCA-99-A</w:t>
            </w:r>
          </w:p>
        </w:tc>
        <w:tc>
          <w:tcPr>
            <w:tcW w:w="1523" w:type="dxa"/>
          </w:tcPr>
          <w:p w:rsidR="00A101AF" w:rsidRDefault="00A101AF">
            <w:pPr>
              <w:jc w:val="center"/>
              <w:rPr>
                <w:sz w:val="24"/>
              </w:rPr>
            </w:pPr>
          </w:p>
          <w:p w:rsidR="00A101AF" w:rsidRDefault="007C2BF1">
            <w:pPr>
              <w:jc w:val="center"/>
              <w:rPr>
                <w:sz w:val="24"/>
              </w:rPr>
            </w:pPr>
            <w:r>
              <w:rPr>
                <w:sz w:val="24"/>
              </w:rPr>
              <w:t>15,000</w:t>
            </w:r>
          </w:p>
        </w:tc>
        <w:tc>
          <w:tcPr>
            <w:tcW w:w="1365" w:type="dxa"/>
          </w:tcPr>
          <w:p w:rsidR="00A101AF" w:rsidRDefault="00A101AF">
            <w:pPr>
              <w:jc w:val="center"/>
              <w:rPr>
                <w:sz w:val="24"/>
              </w:rPr>
            </w:pPr>
          </w:p>
          <w:p w:rsidR="00A101AF" w:rsidRDefault="00A101AF">
            <w:pPr>
              <w:jc w:val="center"/>
              <w:rPr>
                <w:sz w:val="24"/>
              </w:rPr>
            </w:pPr>
            <w:r>
              <w:rPr>
                <w:sz w:val="24"/>
              </w:rPr>
              <w:t>1</w:t>
            </w:r>
          </w:p>
        </w:tc>
        <w:tc>
          <w:tcPr>
            <w:tcW w:w="1358" w:type="dxa"/>
          </w:tcPr>
          <w:p w:rsidR="00A101AF" w:rsidRDefault="00A101AF">
            <w:pPr>
              <w:jc w:val="center"/>
              <w:rPr>
                <w:sz w:val="24"/>
              </w:rPr>
            </w:pPr>
          </w:p>
          <w:p w:rsidR="00A101AF" w:rsidRDefault="007C2BF1">
            <w:pPr>
              <w:jc w:val="center"/>
              <w:rPr>
                <w:sz w:val="24"/>
              </w:rPr>
            </w:pPr>
            <w:r>
              <w:rPr>
                <w:sz w:val="24"/>
              </w:rPr>
              <w:t>30,000</w:t>
            </w:r>
          </w:p>
        </w:tc>
        <w:tc>
          <w:tcPr>
            <w:tcW w:w="1342" w:type="dxa"/>
          </w:tcPr>
          <w:p w:rsidR="00A101AF" w:rsidRDefault="00A101AF">
            <w:pPr>
              <w:jc w:val="center"/>
              <w:rPr>
                <w:sz w:val="24"/>
              </w:rPr>
            </w:pPr>
          </w:p>
          <w:p w:rsidR="00A101AF" w:rsidRDefault="002B0FA9">
            <w:pPr>
              <w:jc w:val="center"/>
              <w:rPr>
                <w:sz w:val="24"/>
              </w:rPr>
            </w:pPr>
            <w:r>
              <w:rPr>
                <w:sz w:val="24"/>
              </w:rPr>
              <w:t>.083</w:t>
            </w:r>
          </w:p>
        </w:tc>
        <w:tc>
          <w:tcPr>
            <w:tcW w:w="1309" w:type="dxa"/>
          </w:tcPr>
          <w:p w:rsidR="00A101AF" w:rsidRDefault="00A101AF">
            <w:pPr>
              <w:jc w:val="center"/>
              <w:rPr>
                <w:sz w:val="24"/>
              </w:rPr>
            </w:pPr>
          </w:p>
          <w:p w:rsidR="00A101AF" w:rsidRDefault="007C2BF1">
            <w:pPr>
              <w:jc w:val="center"/>
              <w:rPr>
                <w:sz w:val="24"/>
              </w:rPr>
            </w:pPr>
            <w:r>
              <w:rPr>
                <w:sz w:val="24"/>
              </w:rPr>
              <w:t>2,490</w:t>
            </w:r>
          </w:p>
        </w:tc>
        <w:tc>
          <w:tcPr>
            <w:tcW w:w="1342" w:type="dxa"/>
          </w:tcPr>
          <w:p w:rsidR="00A101AF" w:rsidRDefault="00A101AF">
            <w:pPr>
              <w:jc w:val="right"/>
              <w:rPr>
                <w:sz w:val="24"/>
              </w:rPr>
            </w:pPr>
          </w:p>
          <w:p w:rsidR="00A101AF" w:rsidRDefault="00A101AF">
            <w:pPr>
              <w:jc w:val="right"/>
              <w:rPr>
                <w:sz w:val="24"/>
              </w:rPr>
            </w:pPr>
            <w:r>
              <w:rPr>
                <w:sz w:val="24"/>
              </w:rPr>
              <w:t>$</w:t>
            </w:r>
            <w:r w:rsidR="00C632F5">
              <w:rPr>
                <w:sz w:val="24"/>
              </w:rPr>
              <w:t>24.00</w:t>
            </w:r>
          </w:p>
        </w:tc>
        <w:tc>
          <w:tcPr>
            <w:tcW w:w="1307" w:type="dxa"/>
          </w:tcPr>
          <w:p w:rsidR="00A101AF" w:rsidRDefault="00A101AF">
            <w:pPr>
              <w:jc w:val="right"/>
              <w:rPr>
                <w:sz w:val="24"/>
              </w:rPr>
            </w:pPr>
          </w:p>
          <w:p w:rsidR="00A101AF" w:rsidRDefault="00A101AF" w:rsidP="005B0054">
            <w:pPr>
              <w:jc w:val="right"/>
              <w:rPr>
                <w:sz w:val="24"/>
              </w:rPr>
            </w:pPr>
            <w:r>
              <w:rPr>
                <w:sz w:val="24"/>
              </w:rPr>
              <w:t>$</w:t>
            </w:r>
            <w:r w:rsidR="007C2BF1">
              <w:rPr>
                <w:sz w:val="24"/>
              </w:rPr>
              <w:t>59,760</w:t>
            </w:r>
          </w:p>
        </w:tc>
      </w:tr>
      <w:tr w:rsidR="00A101AF">
        <w:tc>
          <w:tcPr>
            <w:tcW w:w="1470" w:type="dxa"/>
          </w:tcPr>
          <w:p w:rsidR="00A101AF" w:rsidRDefault="00A101AF">
            <w:pPr>
              <w:rPr>
                <w:sz w:val="24"/>
              </w:rPr>
            </w:pPr>
            <w:r>
              <w:rPr>
                <w:sz w:val="24"/>
              </w:rPr>
              <w:t>HUD-NPCA-99-B</w:t>
            </w:r>
          </w:p>
        </w:tc>
        <w:tc>
          <w:tcPr>
            <w:tcW w:w="1523" w:type="dxa"/>
          </w:tcPr>
          <w:p w:rsidR="00A101AF" w:rsidRDefault="00A101AF">
            <w:pPr>
              <w:jc w:val="center"/>
              <w:rPr>
                <w:sz w:val="24"/>
              </w:rPr>
            </w:pPr>
          </w:p>
          <w:p w:rsidR="00A101AF" w:rsidRDefault="007C2BF1">
            <w:pPr>
              <w:jc w:val="center"/>
              <w:rPr>
                <w:sz w:val="24"/>
                <w:u w:val="single"/>
              </w:rPr>
            </w:pPr>
            <w:r>
              <w:rPr>
                <w:sz w:val="24"/>
                <w:u w:val="single"/>
              </w:rPr>
              <w:t>15,000</w:t>
            </w:r>
          </w:p>
        </w:tc>
        <w:tc>
          <w:tcPr>
            <w:tcW w:w="1365" w:type="dxa"/>
          </w:tcPr>
          <w:p w:rsidR="00A101AF" w:rsidRDefault="00A101AF">
            <w:pPr>
              <w:jc w:val="center"/>
              <w:rPr>
                <w:sz w:val="24"/>
              </w:rPr>
            </w:pPr>
          </w:p>
          <w:p w:rsidR="00A101AF" w:rsidRDefault="00A101AF">
            <w:pPr>
              <w:jc w:val="center"/>
              <w:rPr>
                <w:sz w:val="24"/>
              </w:rPr>
            </w:pPr>
            <w:r>
              <w:rPr>
                <w:sz w:val="24"/>
              </w:rPr>
              <w:t>1</w:t>
            </w:r>
          </w:p>
        </w:tc>
        <w:tc>
          <w:tcPr>
            <w:tcW w:w="1358" w:type="dxa"/>
          </w:tcPr>
          <w:p w:rsidR="00A101AF" w:rsidRDefault="00A101AF">
            <w:pPr>
              <w:jc w:val="center"/>
              <w:rPr>
                <w:sz w:val="24"/>
              </w:rPr>
            </w:pPr>
          </w:p>
          <w:p w:rsidR="00A101AF" w:rsidRDefault="007C2BF1">
            <w:pPr>
              <w:jc w:val="center"/>
              <w:rPr>
                <w:sz w:val="24"/>
                <w:u w:val="single"/>
              </w:rPr>
            </w:pPr>
            <w:r>
              <w:rPr>
                <w:sz w:val="24"/>
                <w:u w:val="single"/>
              </w:rPr>
              <w:t>30,000</w:t>
            </w:r>
          </w:p>
        </w:tc>
        <w:tc>
          <w:tcPr>
            <w:tcW w:w="1342" w:type="dxa"/>
          </w:tcPr>
          <w:p w:rsidR="00A101AF" w:rsidRDefault="00A101AF">
            <w:pPr>
              <w:jc w:val="center"/>
              <w:rPr>
                <w:sz w:val="24"/>
              </w:rPr>
            </w:pPr>
          </w:p>
          <w:p w:rsidR="00A101AF" w:rsidRDefault="00A101AF">
            <w:pPr>
              <w:jc w:val="center"/>
              <w:rPr>
                <w:sz w:val="24"/>
              </w:rPr>
            </w:pPr>
            <w:r>
              <w:rPr>
                <w:sz w:val="24"/>
              </w:rPr>
              <w:t>.25</w:t>
            </w:r>
          </w:p>
        </w:tc>
        <w:tc>
          <w:tcPr>
            <w:tcW w:w="1309" w:type="dxa"/>
          </w:tcPr>
          <w:p w:rsidR="00A101AF" w:rsidRDefault="00A101AF">
            <w:pPr>
              <w:jc w:val="center"/>
              <w:rPr>
                <w:sz w:val="24"/>
              </w:rPr>
            </w:pPr>
          </w:p>
          <w:p w:rsidR="00A101AF" w:rsidRDefault="007C2BF1">
            <w:pPr>
              <w:jc w:val="center"/>
              <w:rPr>
                <w:sz w:val="24"/>
                <w:u w:val="single"/>
              </w:rPr>
            </w:pPr>
            <w:r>
              <w:rPr>
                <w:sz w:val="24"/>
                <w:u w:val="single"/>
              </w:rPr>
              <w:t>7,500</w:t>
            </w:r>
          </w:p>
        </w:tc>
        <w:tc>
          <w:tcPr>
            <w:tcW w:w="1342" w:type="dxa"/>
          </w:tcPr>
          <w:p w:rsidR="00A101AF" w:rsidRDefault="00A101AF">
            <w:pPr>
              <w:jc w:val="right"/>
              <w:rPr>
                <w:sz w:val="24"/>
              </w:rPr>
            </w:pPr>
          </w:p>
          <w:p w:rsidR="00A101AF" w:rsidRDefault="00A101AF">
            <w:pPr>
              <w:jc w:val="right"/>
              <w:rPr>
                <w:sz w:val="24"/>
              </w:rPr>
            </w:pPr>
            <w:r>
              <w:rPr>
                <w:sz w:val="24"/>
              </w:rPr>
              <w:t>$</w:t>
            </w:r>
            <w:r w:rsidR="00C632F5">
              <w:rPr>
                <w:sz w:val="24"/>
              </w:rPr>
              <w:t>24.00</w:t>
            </w:r>
          </w:p>
        </w:tc>
        <w:tc>
          <w:tcPr>
            <w:tcW w:w="1307" w:type="dxa"/>
          </w:tcPr>
          <w:p w:rsidR="00A101AF" w:rsidRDefault="00A101AF">
            <w:pPr>
              <w:jc w:val="right"/>
              <w:rPr>
                <w:sz w:val="24"/>
              </w:rPr>
            </w:pPr>
          </w:p>
          <w:p w:rsidR="00A101AF" w:rsidRDefault="00A101AF" w:rsidP="00E87F69">
            <w:pPr>
              <w:jc w:val="right"/>
              <w:rPr>
                <w:sz w:val="24"/>
                <w:u w:val="single"/>
              </w:rPr>
            </w:pPr>
            <w:r>
              <w:rPr>
                <w:sz w:val="24"/>
                <w:u w:val="single"/>
              </w:rPr>
              <w:t>$</w:t>
            </w:r>
            <w:r w:rsidR="007C2BF1">
              <w:rPr>
                <w:sz w:val="24"/>
                <w:u w:val="single"/>
              </w:rPr>
              <w:t>180,000</w:t>
            </w:r>
          </w:p>
        </w:tc>
      </w:tr>
      <w:tr w:rsidR="00A101AF">
        <w:tc>
          <w:tcPr>
            <w:tcW w:w="1470" w:type="dxa"/>
          </w:tcPr>
          <w:p w:rsidR="00A101AF" w:rsidRDefault="00A101AF">
            <w:pPr>
              <w:rPr>
                <w:b/>
                <w:bCs/>
                <w:sz w:val="24"/>
              </w:rPr>
            </w:pPr>
            <w:r>
              <w:rPr>
                <w:b/>
                <w:bCs/>
                <w:sz w:val="24"/>
              </w:rPr>
              <w:t xml:space="preserve">   Totals</w:t>
            </w:r>
          </w:p>
        </w:tc>
        <w:tc>
          <w:tcPr>
            <w:tcW w:w="1523" w:type="dxa"/>
          </w:tcPr>
          <w:p w:rsidR="00A101AF" w:rsidRDefault="007C2BF1">
            <w:pPr>
              <w:jc w:val="center"/>
              <w:rPr>
                <w:b/>
                <w:bCs/>
                <w:sz w:val="24"/>
              </w:rPr>
            </w:pPr>
            <w:r>
              <w:rPr>
                <w:b/>
                <w:bCs/>
                <w:sz w:val="24"/>
              </w:rPr>
              <w:t>30,000</w:t>
            </w:r>
          </w:p>
        </w:tc>
        <w:tc>
          <w:tcPr>
            <w:tcW w:w="1365" w:type="dxa"/>
          </w:tcPr>
          <w:p w:rsidR="00A101AF" w:rsidRDefault="00A101AF">
            <w:pPr>
              <w:jc w:val="center"/>
              <w:rPr>
                <w:b/>
                <w:bCs/>
                <w:sz w:val="24"/>
              </w:rPr>
            </w:pPr>
          </w:p>
        </w:tc>
        <w:tc>
          <w:tcPr>
            <w:tcW w:w="1358" w:type="dxa"/>
          </w:tcPr>
          <w:p w:rsidR="00A101AF" w:rsidRDefault="007C2BF1">
            <w:pPr>
              <w:jc w:val="center"/>
              <w:rPr>
                <w:b/>
                <w:bCs/>
                <w:sz w:val="24"/>
              </w:rPr>
            </w:pPr>
            <w:r>
              <w:rPr>
                <w:b/>
                <w:bCs/>
                <w:sz w:val="24"/>
              </w:rPr>
              <w:t>60,000</w:t>
            </w:r>
          </w:p>
        </w:tc>
        <w:tc>
          <w:tcPr>
            <w:tcW w:w="1342" w:type="dxa"/>
          </w:tcPr>
          <w:p w:rsidR="00A101AF" w:rsidRDefault="00A101AF">
            <w:pPr>
              <w:jc w:val="center"/>
              <w:rPr>
                <w:b/>
                <w:bCs/>
                <w:sz w:val="24"/>
              </w:rPr>
            </w:pPr>
          </w:p>
        </w:tc>
        <w:tc>
          <w:tcPr>
            <w:tcW w:w="1309" w:type="dxa"/>
          </w:tcPr>
          <w:p w:rsidR="00A101AF" w:rsidRDefault="007C2BF1">
            <w:pPr>
              <w:jc w:val="center"/>
              <w:rPr>
                <w:b/>
                <w:bCs/>
                <w:sz w:val="24"/>
              </w:rPr>
            </w:pPr>
            <w:r>
              <w:rPr>
                <w:b/>
                <w:bCs/>
                <w:sz w:val="24"/>
              </w:rPr>
              <w:t>9,900</w:t>
            </w:r>
          </w:p>
        </w:tc>
        <w:tc>
          <w:tcPr>
            <w:tcW w:w="1342" w:type="dxa"/>
          </w:tcPr>
          <w:p w:rsidR="00A101AF" w:rsidRDefault="00A101AF">
            <w:pPr>
              <w:jc w:val="right"/>
              <w:rPr>
                <w:b/>
                <w:bCs/>
                <w:sz w:val="24"/>
              </w:rPr>
            </w:pPr>
          </w:p>
        </w:tc>
        <w:tc>
          <w:tcPr>
            <w:tcW w:w="1307" w:type="dxa"/>
          </w:tcPr>
          <w:p w:rsidR="00A101AF" w:rsidRDefault="00A101AF" w:rsidP="00E87F69">
            <w:pPr>
              <w:jc w:val="right"/>
              <w:rPr>
                <w:b/>
                <w:bCs/>
                <w:sz w:val="24"/>
              </w:rPr>
            </w:pPr>
            <w:r>
              <w:rPr>
                <w:b/>
                <w:bCs/>
                <w:sz w:val="24"/>
              </w:rPr>
              <w:t>$</w:t>
            </w:r>
            <w:r w:rsidR="007C2BF1">
              <w:rPr>
                <w:b/>
                <w:bCs/>
                <w:sz w:val="24"/>
              </w:rPr>
              <w:t>239,760</w:t>
            </w:r>
          </w:p>
        </w:tc>
      </w:tr>
    </w:tbl>
    <w:p w:rsidR="00A101AF" w:rsidRDefault="00A101AF">
      <w:pPr>
        <w:rPr>
          <w:sz w:val="24"/>
        </w:rPr>
      </w:pPr>
    </w:p>
    <w:p w:rsidR="00C632F5" w:rsidRDefault="00A101AF" w:rsidP="00C632F5">
      <w:pPr>
        <w:numPr>
          <w:ilvl w:val="0"/>
          <w:numId w:val="13"/>
        </w:numPr>
        <w:tabs>
          <w:tab w:val="clear" w:pos="720"/>
          <w:tab w:val="num" w:pos="360"/>
        </w:tabs>
        <w:ind w:left="360"/>
        <w:rPr>
          <w:sz w:val="24"/>
        </w:rPr>
      </w:pPr>
      <w:r>
        <w:rPr>
          <w:sz w:val="24"/>
        </w:rPr>
        <w:t>There are no additional costs to the respondents.</w:t>
      </w:r>
    </w:p>
    <w:p w:rsidR="00C632F5" w:rsidRDefault="00C632F5" w:rsidP="00C632F5">
      <w:pPr>
        <w:tabs>
          <w:tab w:val="num" w:pos="360"/>
        </w:tabs>
        <w:ind w:left="360" w:hanging="360"/>
        <w:rPr>
          <w:sz w:val="24"/>
        </w:rPr>
      </w:pPr>
    </w:p>
    <w:p w:rsidR="00C632F5" w:rsidRPr="00C632F5" w:rsidRDefault="00C632F5" w:rsidP="00C632F5">
      <w:pPr>
        <w:numPr>
          <w:ilvl w:val="0"/>
          <w:numId w:val="13"/>
        </w:numPr>
        <w:tabs>
          <w:tab w:val="clear" w:pos="720"/>
          <w:tab w:val="num" w:pos="360"/>
        </w:tabs>
        <w:ind w:left="360"/>
        <w:rPr>
          <w:sz w:val="24"/>
        </w:rPr>
      </w:pPr>
      <w:r w:rsidRPr="0028268A">
        <w:rPr>
          <w:rFonts w:ascii="Arial" w:hAnsi="Arial" w:cs="Arial"/>
        </w:rPr>
        <w:t>Annual Cost to the Federal Government:</w:t>
      </w:r>
    </w:p>
    <w:p w:rsidR="00C632F5" w:rsidRPr="0028268A" w:rsidRDefault="00C632F5" w:rsidP="00C632F5">
      <w:pPr>
        <w:keepNext/>
        <w:rPr>
          <w:rFonts w:ascii="Arial" w:hAnsi="Arial" w:cs="Arial"/>
        </w:rPr>
      </w:pPr>
    </w:p>
    <w:tbl>
      <w:tblPr>
        <w:tblW w:w="107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50"/>
        <w:gridCol w:w="1512"/>
        <w:gridCol w:w="1512"/>
        <w:gridCol w:w="1512"/>
        <w:gridCol w:w="1512"/>
        <w:gridCol w:w="1512"/>
      </w:tblGrid>
      <w:tr w:rsidR="00C632F5" w:rsidRPr="0028268A" w:rsidTr="003E43D4">
        <w:tc>
          <w:tcPr>
            <w:tcW w:w="3150" w:type="dxa"/>
            <w:vAlign w:val="center"/>
          </w:tcPr>
          <w:p w:rsidR="00C632F5" w:rsidRPr="0028268A" w:rsidRDefault="00C632F5" w:rsidP="00C632F5">
            <w:pPr>
              <w:keepNext/>
              <w:keepLines/>
              <w:tabs>
                <w:tab w:val="left" w:pos="360"/>
              </w:tabs>
              <w:spacing w:before="40" w:after="40"/>
              <w:jc w:val="center"/>
              <w:rPr>
                <w:rFonts w:ascii="Arial" w:hAnsi="Arial" w:cs="Arial"/>
                <w:color w:val="000000"/>
              </w:rPr>
            </w:pPr>
            <w:r w:rsidRPr="0028268A">
              <w:rPr>
                <w:rFonts w:ascii="Arial" w:hAnsi="Arial" w:cs="Arial"/>
                <w:color w:val="000000"/>
              </w:rPr>
              <w:t>Information Collection</w:t>
            </w:r>
          </w:p>
        </w:tc>
        <w:tc>
          <w:tcPr>
            <w:tcW w:w="1512" w:type="dxa"/>
            <w:vAlign w:val="center"/>
          </w:tcPr>
          <w:p w:rsidR="00C632F5" w:rsidRPr="0028268A" w:rsidRDefault="00C632F5" w:rsidP="00C632F5">
            <w:pPr>
              <w:keepNext/>
              <w:keepLines/>
              <w:tabs>
                <w:tab w:val="left" w:pos="360"/>
              </w:tabs>
              <w:spacing w:before="40" w:after="40"/>
              <w:jc w:val="center"/>
              <w:rPr>
                <w:rFonts w:ascii="Arial" w:hAnsi="Arial" w:cs="Arial"/>
                <w:color w:val="000000"/>
              </w:rPr>
            </w:pPr>
            <w:r w:rsidRPr="0028268A">
              <w:rPr>
                <w:rFonts w:ascii="Arial" w:hAnsi="Arial" w:cs="Arial"/>
                <w:color w:val="000000"/>
              </w:rPr>
              <w:t>Number of Responses</w:t>
            </w:r>
          </w:p>
        </w:tc>
        <w:tc>
          <w:tcPr>
            <w:tcW w:w="1512" w:type="dxa"/>
            <w:vAlign w:val="center"/>
          </w:tcPr>
          <w:p w:rsidR="00C632F5" w:rsidRPr="0028268A" w:rsidRDefault="00C632F5" w:rsidP="00C632F5">
            <w:pPr>
              <w:keepNext/>
              <w:keepLines/>
              <w:tabs>
                <w:tab w:val="left" w:pos="360"/>
              </w:tabs>
              <w:spacing w:before="40" w:after="40"/>
              <w:jc w:val="center"/>
              <w:rPr>
                <w:rFonts w:ascii="Arial" w:hAnsi="Arial" w:cs="Arial"/>
                <w:color w:val="000000"/>
              </w:rPr>
            </w:pPr>
            <w:r w:rsidRPr="0028268A">
              <w:rPr>
                <w:rFonts w:ascii="Arial" w:hAnsi="Arial" w:cs="Arial"/>
                <w:color w:val="000000"/>
              </w:rPr>
              <w:t>Hours per Response</w:t>
            </w:r>
          </w:p>
        </w:tc>
        <w:tc>
          <w:tcPr>
            <w:tcW w:w="1512" w:type="dxa"/>
            <w:vAlign w:val="center"/>
          </w:tcPr>
          <w:p w:rsidR="00C632F5" w:rsidRPr="0028268A" w:rsidRDefault="00C632F5" w:rsidP="00C632F5">
            <w:pPr>
              <w:keepNext/>
              <w:keepLines/>
              <w:tabs>
                <w:tab w:val="left" w:pos="360"/>
              </w:tabs>
              <w:spacing w:before="40" w:after="40"/>
              <w:jc w:val="center"/>
              <w:rPr>
                <w:rFonts w:ascii="Arial" w:hAnsi="Arial" w:cs="Arial"/>
                <w:color w:val="000000"/>
              </w:rPr>
            </w:pPr>
            <w:r w:rsidRPr="0028268A">
              <w:rPr>
                <w:rFonts w:ascii="Arial" w:hAnsi="Arial" w:cs="Arial"/>
                <w:color w:val="000000"/>
              </w:rPr>
              <w:t>Total Annual Hours</w:t>
            </w:r>
          </w:p>
        </w:tc>
        <w:tc>
          <w:tcPr>
            <w:tcW w:w="1512" w:type="dxa"/>
            <w:vAlign w:val="center"/>
          </w:tcPr>
          <w:p w:rsidR="00C632F5" w:rsidRPr="0028268A" w:rsidRDefault="00C632F5" w:rsidP="00C632F5">
            <w:pPr>
              <w:keepNext/>
              <w:keepLines/>
              <w:tabs>
                <w:tab w:val="left" w:pos="360"/>
              </w:tabs>
              <w:spacing w:before="40" w:after="40"/>
              <w:jc w:val="center"/>
              <w:rPr>
                <w:rFonts w:ascii="Arial" w:hAnsi="Arial" w:cs="Arial"/>
                <w:color w:val="000000"/>
              </w:rPr>
            </w:pPr>
            <w:r w:rsidRPr="0028268A">
              <w:rPr>
                <w:rFonts w:ascii="Arial" w:hAnsi="Arial" w:cs="Arial"/>
                <w:color w:val="000000"/>
              </w:rPr>
              <w:t>Hourly Cost</w:t>
            </w:r>
          </w:p>
        </w:tc>
        <w:tc>
          <w:tcPr>
            <w:tcW w:w="1512" w:type="dxa"/>
            <w:vAlign w:val="center"/>
          </w:tcPr>
          <w:p w:rsidR="00C632F5" w:rsidRPr="0028268A" w:rsidRDefault="00C632F5" w:rsidP="00C632F5">
            <w:pPr>
              <w:keepNext/>
              <w:keepLines/>
              <w:tabs>
                <w:tab w:val="left" w:pos="360"/>
              </w:tabs>
              <w:spacing w:before="40" w:after="40"/>
              <w:jc w:val="center"/>
              <w:rPr>
                <w:rFonts w:ascii="Arial" w:hAnsi="Arial" w:cs="Arial"/>
                <w:color w:val="000000"/>
              </w:rPr>
            </w:pPr>
            <w:r w:rsidRPr="0028268A">
              <w:rPr>
                <w:rFonts w:ascii="Arial" w:hAnsi="Arial" w:cs="Arial"/>
                <w:color w:val="000000"/>
              </w:rPr>
              <w:t>Total Annual Cost</w:t>
            </w:r>
          </w:p>
        </w:tc>
      </w:tr>
      <w:tr w:rsidR="00C632F5" w:rsidRPr="0028268A" w:rsidTr="003E43D4">
        <w:tc>
          <w:tcPr>
            <w:tcW w:w="3150" w:type="dxa"/>
          </w:tcPr>
          <w:p w:rsidR="00C632F5" w:rsidRDefault="00C632F5" w:rsidP="00C632F5">
            <w:pPr>
              <w:rPr>
                <w:sz w:val="24"/>
              </w:rPr>
            </w:pPr>
            <w:r>
              <w:rPr>
                <w:sz w:val="24"/>
              </w:rPr>
              <w:t>HUD-NPCA-99-A</w:t>
            </w:r>
          </w:p>
        </w:tc>
        <w:tc>
          <w:tcPr>
            <w:tcW w:w="1512" w:type="dxa"/>
            <w:vAlign w:val="center"/>
          </w:tcPr>
          <w:p w:rsidR="00C632F5" w:rsidRPr="0028268A" w:rsidRDefault="007C2BF1" w:rsidP="00C632F5">
            <w:pPr>
              <w:keepNext/>
              <w:keepLines/>
              <w:tabs>
                <w:tab w:val="left" w:pos="360"/>
              </w:tabs>
              <w:spacing w:before="40" w:after="40"/>
              <w:jc w:val="center"/>
              <w:rPr>
                <w:rFonts w:ascii="Arial" w:hAnsi="Arial" w:cs="Arial"/>
                <w:color w:val="000000"/>
              </w:rPr>
            </w:pPr>
            <w:r>
              <w:rPr>
                <w:rFonts w:ascii="Arial" w:hAnsi="Arial" w:cs="Arial"/>
                <w:color w:val="000000"/>
              </w:rPr>
              <w:t>6,000</w:t>
            </w:r>
          </w:p>
        </w:tc>
        <w:tc>
          <w:tcPr>
            <w:tcW w:w="1512" w:type="dxa"/>
            <w:vAlign w:val="center"/>
          </w:tcPr>
          <w:p w:rsidR="00C632F5" w:rsidRPr="0028268A" w:rsidRDefault="00C632F5" w:rsidP="00C632F5">
            <w:pPr>
              <w:keepNext/>
              <w:keepLines/>
              <w:tabs>
                <w:tab w:val="left" w:pos="360"/>
              </w:tabs>
              <w:spacing w:before="40" w:after="40"/>
              <w:jc w:val="center"/>
              <w:rPr>
                <w:rFonts w:ascii="Arial" w:hAnsi="Arial" w:cs="Arial"/>
                <w:color w:val="000000"/>
              </w:rPr>
            </w:pPr>
            <w:r w:rsidRPr="0028268A">
              <w:rPr>
                <w:rFonts w:ascii="Arial" w:hAnsi="Arial" w:cs="Arial"/>
                <w:color w:val="000000"/>
              </w:rPr>
              <w:t>1</w:t>
            </w:r>
          </w:p>
        </w:tc>
        <w:tc>
          <w:tcPr>
            <w:tcW w:w="1512" w:type="dxa"/>
            <w:vAlign w:val="center"/>
          </w:tcPr>
          <w:p w:rsidR="00C632F5" w:rsidRPr="0028268A" w:rsidRDefault="00C632F5" w:rsidP="00C632F5">
            <w:pPr>
              <w:keepNext/>
              <w:keepLines/>
              <w:tabs>
                <w:tab w:val="left" w:pos="360"/>
              </w:tabs>
              <w:spacing w:before="40" w:after="40"/>
              <w:jc w:val="center"/>
              <w:rPr>
                <w:rFonts w:ascii="Arial" w:hAnsi="Arial" w:cs="Arial"/>
                <w:color w:val="000000"/>
              </w:rPr>
            </w:pPr>
          </w:p>
        </w:tc>
        <w:tc>
          <w:tcPr>
            <w:tcW w:w="1512" w:type="dxa"/>
            <w:vAlign w:val="center"/>
          </w:tcPr>
          <w:p w:rsidR="00C632F5" w:rsidRPr="0028268A" w:rsidRDefault="00E87F69" w:rsidP="00C632F5">
            <w:pPr>
              <w:keepNext/>
              <w:keepLines/>
              <w:tabs>
                <w:tab w:val="left" w:pos="360"/>
              </w:tabs>
              <w:spacing w:before="40" w:after="40"/>
              <w:jc w:val="center"/>
              <w:rPr>
                <w:rFonts w:ascii="Arial" w:hAnsi="Arial" w:cs="Arial"/>
                <w:color w:val="000000"/>
              </w:rPr>
            </w:pPr>
            <w:r>
              <w:rPr>
                <w:rFonts w:ascii="Arial" w:hAnsi="Arial" w:cs="Arial"/>
                <w:color w:val="000000"/>
              </w:rPr>
              <w:t>$34.34</w:t>
            </w:r>
          </w:p>
        </w:tc>
        <w:tc>
          <w:tcPr>
            <w:tcW w:w="1512" w:type="dxa"/>
            <w:vAlign w:val="center"/>
          </w:tcPr>
          <w:p w:rsidR="00C632F5" w:rsidRPr="0028268A" w:rsidRDefault="007C2BF1" w:rsidP="00C632F5">
            <w:pPr>
              <w:keepNext/>
              <w:keepLines/>
              <w:tabs>
                <w:tab w:val="left" w:pos="360"/>
              </w:tabs>
              <w:spacing w:before="40" w:after="40"/>
              <w:jc w:val="center"/>
              <w:rPr>
                <w:rFonts w:ascii="Arial" w:hAnsi="Arial" w:cs="Arial"/>
                <w:color w:val="000000"/>
              </w:rPr>
            </w:pPr>
            <w:r>
              <w:rPr>
                <w:rFonts w:ascii="Arial" w:hAnsi="Arial" w:cs="Arial"/>
                <w:color w:val="000000"/>
              </w:rPr>
              <w:t>$5,966</w:t>
            </w:r>
          </w:p>
        </w:tc>
      </w:tr>
      <w:tr w:rsidR="00C632F5" w:rsidRPr="0028268A" w:rsidTr="003E43D4">
        <w:tc>
          <w:tcPr>
            <w:tcW w:w="3150" w:type="dxa"/>
          </w:tcPr>
          <w:p w:rsidR="00C632F5" w:rsidRDefault="00C632F5" w:rsidP="00C632F5">
            <w:pPr>
              <w:rPr>
                <w:sz w:val="24"/>
              </w:rPr>
            </w:pPr>
            <w:r>
              <w:rPr>
                <w:sz w:val="24"/>
              </w:rPr>
              <w:t>HUD-NPCA-99-B</w:t>
            </w:r>
          </w:p>
        </w:tc>
        <w:tc>
          <w:tcPr>
            <w:tcW w:w="1512" w:type="dxa"/>
            <w:vAlign w:val="center"/>
          </w:tcPr>
          <w:p w:rsidR="00C632F5" w:rsidRPr="0028268A" w:rsidRDefault="007C2BF1" w:rsidP="00C632F5">
            <w:pPr>
              <w:keepNext/>
              <w:keepLines/>
              <w:tabs>
                <w:tab w:val="left" w:pos="360"/>
              </w:tabs>
              <w:spacing w:before="40" w:after="40"/>
              <w:jc w:val="center"/>
              <w:rPr>
                <w:rFonts w:ascii="Arial" w:hAnsi="Arial" w:cs="Arial"/>
                <w:color w:val="000000"/>
              </w:rPr>
            </w:pPr>
            <w:r>
              <w:rPr>
                <w:rFonts w:ascii="Arial" w:hAnsi="Arial" w:cs="Arial"/>
                <w:color w:val="000000"/>
              </w:rPr>
              <w:t>6,000</w:t>
            </w:r>
          </w:p>
        </w:tc>
        <w:tc>
          <w:tcPr>
            <w:tcW w:w="1512" w:type="dxa"/>
            <w:vAlign w:val="center"/>
          </w:tcPr>
          <w:p w:rsidR="00C632F5" w:rsidRPr="0028268A" w:rsidRDefault="00C632F5" w:rsidP="00C632F5">
            <w:pPr>
              <w:keepNext/>
              <w:keepLines/>
              <w:tabs>
                <w:tab w:val="left" w:pos="360"/>
              </w:tabs>
              <w:spacing w:before="40" w:after="40"/>
              <w:jc w:val="center"/>
              <w:rPr>
                <w:rFonts w:ascii="Arial" w:hAnsi="Arial" w:cs="Arial"/>
                <w:color w:val="000000"/>
              </w:rPr>
            </w:pPr>
            <w:r>
              <w:rPr>
                <w:rFonts w:ascii="Arial" w:hAnsi="Arial" w:cs="Arial"/>
                <w:color w:val="000000"/>
              </w:rPr>
              <w:t>1</w:t>
            </w:r>
          </w:p>
        </w:tc>
        <w:tc>
          <w:tcPr>
            <w:tcW w:w="1512" w:type="dxa"/>
            <w:vAlign w:val="center"/>
          </w:tcPr>
          <w:p w:rsidR="00C632F5" w:rsidRPr="0028268A" w:rsidRDefault="00C632F5" w:rsidP="00C632F5">
            <w:pPr>
              <w:keepNext/>
              <w:keepLines/>
              <w:tabs>
                <w:tab w:val="left" w:pos="360"/>
              </w:tabs>
              <w:spacing w:before="40" w:after="40"/>
              <w:jc w:val="center"/>
              <w:rPr>
                <w:rFonts w:ascii="Arial" w:hAnsi="Arial" w:cs="Arial"/>
                <w:color w:val="000000"/>
              </w:rPr>
            </w:pPr>
          </w:p>
        </w:tc>
        <w:tc>
          <w:tcPr>
            <w:tcW w:w="1512" w:type="dxa"/>
            <w:vAlign w:val="center"/>
          </w:tcPr>
          <w:p w:rsidR="00C632F5" w:rsidRPr="0028268A" w:rsidRDefault="00C632F5" w:rsidP="00C632F5">
            <w:pPr>
              <w:keepNext/>
              <w:keepLines/>
              <w:tabs>
                <w:tab w:val="left" w:pos="360"/>
              </w:tabs>
              <w:spacing w:before="40" w:after="40"/>
              <w:jc w:val="center"/>
              <w:rPr>
                <w:rFonts w:ascii="Arial" w:hAnsi="Arial" w:cs="Arial"/>
                <w:color w:val="000000"/>
              </w:rPr>
            </w:pPr>
            <w:r>
              <w:rPr>
                <w:rFonts w:ascii="Arial" w:hAnsi="Arial" w:cs="Arial"/>
                <w:color w:val="000000"/>
              </w:rPr>
              <w:t>$3</w:t>
            </w:r>
            <w:r w:rsidR="00E87F69">
              <w:rPr>
                <w:rFonts w:ascii="Arial" w:hAnsi="Arial" w:cs="Arial"/>
                <w:color w:val="000000"/>
              </w:rPr>
              <w:t>4.34</w:t>
            </w:r>
          </w:p>
        </w:tc>
        <w:tc>
          <w:tcPr>
            <w:tcW w:w="1512" w:type="dxa"/>
            <w:vAlign w:val="center"/>
          </w:tcPr>
          <w:p w:rsidR="00C632F5" w:rsidRPr="0028268A" w:rsidRDefault="00E87F69" w:rsidP="00C632F5">
            <w:pPr>
              <w:keepNext/>
              <w:keepLines/>
              <w:tabs>
                <w:tab w:val="left" w:pos="360"/>
              </w:tabs>
              <w:spacing w:before="40" w:after="40"/>
              <w:jc w:val="center"/>
              <w:rPr>
                <w:rFonts w:ascii="Arial" w:hAnsi="Arial" w:cs="Arial"/>
                <w:color w:val="000000"/>
              </w:rPr>
            </w:pPr>
            <w:r>
              <w:rPr>
                <w:rFonts w:ascii="Arial" w:hAnsi="Arial" w:cs="Arial"/>
                <w:color w:val="000000"/>
              </w:rPr>
              <w:t>$</w:t>
            </w:r>
            <w:r w:rsidR="007C2BF1">
              <w:rPr>
                <w:rFonts w:ascii="Arial" w:hAnsi="Arial" w:cs="Arial"/>
                <w:color w:val="000000"/>
              </w:rPr>
              <w:t>5,966</w:t>
            </w:r>
          </w:p>
        </w:tc>
      </w:tr>
    </w:tbl>
    <w:p w:rsidR="00E87F69" w:rsidRDefault="00E87F69" w:rsidP="00C632F5">
      <w:pPr>
        <w:rPr>
          <w:rFonts w:ascii="Arial" w:hAnsi="Arial" w:cs="Arial"/>
        </w:rPr>
      </w:pPr>
    </w:p>
    <w:p w:rsidR="00C632F5" w:rsidRPr="0028268A" w:rsidRDefault="00C632F5" w:rsidP="00C632F5">
      <w:pPr>
        <w:rPr>
          <w:rFonts w:ascii="Arial" w:hAnsi="Arial" w:cs="Arial"/>
        </w:rPr>
      </w:pPr>
      <w:r w:rsidRPr="0028268A">
        <w:rPr>
          <w:rFonts w:ascii="Arial" w:hAnsi="Arial" w:cs="Arial"/>
        </w:rPr>
        <w:t>Estimated hourly cost is based on the annual salary of a GS-13 Project Manage</w:t>
      </w:r>
      <w:r w:rsidR="00E87F69">
        <w:rPr>
          <w:rFonts w:ascii="Arial" w:hAnsi="Arial" w:cs="Arial"/>
        </w:rPr>
        <w:t>r for reviewing the information for approximately 10% of all FHA insured loans per year.</w:t>
      </w:r>
    </w:p>
    <w:p w:rsidR="00A101AF" w:rsidRDefault="00A101AF">
      <w:pPr>
        <w:rPr>
          <w:sz w:val="24"/>
        </w:rPr>
      </w:pPr>
    </w:p>
    <w:p w:rsidR="00A101AF" w:rsidRDefault="00A101AF">
      <w:pPr>
        <w:ind w:left="360" w:hanging="360"/>
        <w:rPr>
          <w:sz w:val="24"/>
        </w:rPr>
      </w:pPr>
      <w:r>
        <w:rPr>
          <w:sz w:val="24"/>
        </w:rPr>
        <w:t>15.</w:t>
      </w:r>
      <w:r>
        <w:rPr>
          <w:sz w:val="24"/>
        </w:rPr>
        <w:tab/>
        <w:t>This is an extension of a currently approved collection.</w:t>
      </w:r>
      <w:r w:rsidR="00C2062C">
        <w:rPr>
          <w:sz w:val="24"/>
        </w:rPr>
        <w:t xml:space="preserve">  The collection burden hours are estimated to decrease because the new home construction industry has experienced significant los</w:t>
      </w:r>
      <w:r w:rsidR="007E15B8">
        <w:rPr>
          <w:sz w:val="24"/>
        </w:rPr>
        <w:t>ses in the last few years.  FHA expects the industry to rebound in the next few years and bases the number of burden hours on this estimate.</w:t>
      </w:r>
    </w:p>
    <w:p w:rsidR="00A101AF" w:rsidRDefault="00A101AF">
      <w:pPr>
        <w:rPr>
          <w:sz w:val="24"/>
        </w:rPr>
      </w:pPr>
    </w:p>
    <w:p w:rsidR="00A101AF" w:rsidRDefault="00A101AF">
      <w:pPr>
        <w:ind w:left="360" w:hanging="360"/>
        <w:rPr>
          <w:sz w:val="24"/>
        </w:rPr>
      </w:pPr>
      <w:r>
        <w:rPr>
          <w:sz w:val="24"/>
        </w:rPr>
        <w:t>16.</w:t>
      </w:r>
      <w:r>
        <w:rPr>
          <w:sz w:val="24"/>
        </w:rPr>
        <w:tab/>
        <w:t xml:space="preserve">The information collected will not </w:t>
      </w:r>
      <w:r w:rsidR="007369F5">
        <w:rPr>
          <w:sz w:val="24"/>
        </w:rPr>
        <w:t xml:space="preserve">be </w:t>
      </w:r>
      <w:r>
        <w:rPr>
          <w:sz w:val="24"/>
        </w:rPr>
        <w:t>published.</w:t>
      </w:r>
    </w:p>
    <w:p w:rsidR="00A101AF" w:rsidRDefault="00A101AF">
      <w:pPr>
        <w:rPr>
          <w:sz w:val="24"/>
        </w:rPr>
      </w:pPr>
    </w:p>
    <w:p w:rsidR="00A101AF" w:rsidRDefault="00A101AF">
      <w:pPr>
        <w:ind w:left="360" w:hanging="360"/>
        <w:rPr>
          <w:sz w:val="24"/>
        </w:rPr>
      </w:pPr>
      <w:r>
        <w:rPr>
          <w:sz w:val="24"/>
        </w:rPr>
        <w:t>17.</w:t>
      </w:r>
      <w:r>
        <w:rPr>
          <w:sz w:val="24"/>
        </w:rPr>
        <w:tab/>
        <w:t>HUD is not seeking approval to avoid displaying the expiration date for this OMB approval.</w:t>
      </w:r>
    </w:p>
    <w:p w:rsidR="00A101AF" w:rsidRDefault="00A101AF">
      <w:pPr>
        <w:rPr>
          <w:sz w:val="24"/>
        </w:rPr>
      </w:pPr>
    </w:p>
    <w:p w:rsidR="00A101AF" w:rsidRDefault="00A101AF">
      <w:pPr>
        <w:ind w:left="360" w:hanging="360"/>
        <w:rPr>
          <w:sz w:val="24"/>
        </w:rPr>
      </w:pPr>
      <w:r>
        <w:rPr>
          <w:sz w:val="24"/>
        </w:rPr>
        <w:t>18.</w:t>
      </w:r>
      <w:r>
        <w:rPr>
          <w:sz w:val="24"/>
        </w:rPr>
        <w:tab/>
        <w:t>There are no exceptions to the certification statement identified in item 19 of the OMB 83-I.</w:t>
      </w:r>
    </w:p>
    <w:p w:rsidR="00A101AF" w:rsidRDefault="00A101AF">
      <w:pPr>
        <w:rPr>
          <w:b/>
          <w:bCs/>
          <w:sz w:val="24"/>
        </w:rPr>
      </w:pPr>
    </w:p>
    <w:p w:rsidR="00A101AF" w:rsidRDefault="00A101AF">
      <w:pPr>
        <w:pStyle w:val="BodyTextIndent2"/>
        <w:ind w:left="540" w:hanging="540"/>
        <w:rPr>
          <w:rFonts w:ascii="Times New Roman" w:hAnsi="Times New Roman" w:cs="Times New Roman"/>
          <w:b/>
          <w:bCs/>
        </w:rPr>
      </w:pPr>
      <w:r>
        <w:rPr>
          <w:rFonts w:ascii="Times New Roman" w:hAnsi="Times New Roman" w:cs="Times New Roman"/>
          <w:b/>
          <w:bCs/>
        </w:rPr>
        <w:t>B.</w:t>
      </w:r>
      <w:r>
        <w:rPr>
          <w:rFonts w:ascii="Times New Roman" w:hAnsi="Times New Roman" w:cs="Times New Roman"/>
          <w:b/>
          <w:bCs/>
        </w:rPr>
        <w:tab/>
        <w:t>Collections of Information Employing Statistical Methods.</w:t>
      </w:r>
    </w:p>
    <w:p w:rsidR="00A101AF" w:rsidRDefault="00A101AF">
      <w:pPr>
        <w:rPr>
          <w:b/>
          <w:bCs/>
          <w:sz w:val="24"/>
        </w:rPr>
      </w:pPr>
    </w:p>
    <w:p w:rsidR="00A101AF" w:rsidRPr="007E15B8" w:rsidRDefault="00A101AF" w:rsidP="007E15B8">
      <w:pPr>
        <w:pStyle w:val="BodyTextIndent3"/>
        <w:rPr>
          <w:rFonts w:ascii="Times New Roman" w:hAnsi="Times New Roman" w:cs="Times New Roman"/>
        </w:rPr>
      </w:pPr>
      <w:r>
        <w:rPr>
          <w:rFonts w:ascii="Times New Roman" w:hAnsi="Times New Roman" w:cs="Times New Roman"/>
        </w:rPr>
        <w:tab/>
        <w:t>This information collection does not employ statistical methods.</w:t>
      </w:r>
    </w:p>
    <w:sectPr w:rsidR="00A101AF" w:rsidRPr="007E15B8" w:rsidSect="00136B41">
      <w:headerReference w:type="default" r:id="rId8"/>
      <w:footerReference w:type="default" r:id="rId9"/>
      <w:footerReference w:type="first" r:id="rId10"/>
      <w:pgSz w:w="12240" w:h="15840"/>
      <w:pgMar w:top="480" w:right="720" w:bottom="480" w:left="60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62C" w:rsidRDefault="00C2062C">
      <w:r>
        <w:separator/>
      </w:r>
    </w:p>
  </w:endnote>
  <w:endnote w:type="continuationSeparator" w:id="0">
    <w:p w:rsidR="00C2062C" w:rsidRDefault="00C206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62C" w:rsidRDefault="00440AA3">
    <w:pPr>
      <w:pStyle w:val="Footer"/>
      <w:framePr w:wrap="around" w:vAnchor="text" w:hAnchor="margin" w:xAlign="center" w:y="1"/>
      <w:rPr>
        <w:rStyle w:val="PageNumber"/>
      </w:rPr>
    </w:pPr>
    <w:r>
      <w:rPr>
        <w:rStyle w:val="PageNumber"/>
      </w:rPr>
      <w:fldChar w:fldCharType="begin"/>
    </w:r>
    <w:r w:rsidR="00C2062C">
      <w:rPr>
        <w:rStyle w:val="PageNumber"/>
      </w:rPr>
      <w:instrText xml:space="preserve">PAGE  </w:instrText>
    </w:r>
    <w:r>
      <w:rPr>
        <w:rStyle w:val="PageNumber"/>
      </w:rPr>
      <w:fldChar w:fldCharType="separate"/>
    </w:r>
    <w:r w:rsidR="006F5224">
      <w:rPr>
        <w:rStyle w:val="PageNumber"/>
        <w:noProof/>
      </w:rPr>
      <w:t>2</w:t>
    </w:r>
    <w:r>
      <w:rPr>
        <w:rStyle w:val="PageNumber"/>
      </w:rPr>
      <w:fldChar w:fldCharType="end"/>
    </w:r>
  </w:p>
  <w:p w:rsidR="00C2062C" w:rsidRDefault="00C2062C">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62C" w:rsidRDefault="00C2062C">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62C" w:rsidRDefault="00C2062C">
      <w:r>
        <w:separator/>
      </w:r>
    </w:p>
  </w:footnote>
  <w:footnote w:type="continuationSeparator" w:id="0">
    <w:p w:rsidR="00C2062C" w:rsidRDefault="00C206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62C" w:rsidRDefault="00C2062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nsid w:val="23972182"/>
    <w:multiLevelType w:val="hybridMultilevel"/>
    <w:tmpl w:val="3BBC28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89C66D2"/>
    <w:multiLevelType w:val="hybridMultilevel"/>
    <w:tmpl w:val="6B76199A"/>
    <w:lvl w:ilvl="0" w:tplc="856864AC">
      <w:start w:val="12"/>
      <w:numFmt w:val="decimal"/>
      <w:lvlText w:val="%1."/>
      <w:lvlJc w:val="left"/>
      <w:pPr>
        <w:tabs>
          <w:tab w:val="num" w:pos="795"/>
        </w:tabs>
        <w:ind w:left="795" w:hanging="435"/>
      </w:pPr>
      <w:rPr>
        <w:rFonts w:hint="default"/>
      </w:rPr>
    </w:lvl>
    <w:lvl w:ilvl="1" w:tplc="7D00032A">
      <w:start w:val="2"/>
      <w:numFmt w:val="upperLetter"/>
      <w:lvlText w:val="%2."/>
      <w:lvlJc w:val="left"/>
      <w:pPr>
        <w:tabs>
          <w:tab w:val="num" w:pos="2160"/>
        </w:tabs>
        <w:ind w:left="2160" w:hanging="10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6">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AC80017"/>
    <w:multiLevelType w:val="hybridMultilevel"/>
    <w:tmpl w:val="47AC0E66"/>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B6631B5"/>
    <w:multiLevelType w:val="hybridMultilevel"/>
    <w:tmpl w:val="30385A38"/>
    <w:lvl w:ilvl="0" w:tplc="D6C4BAF0">
      <w:start w:val="1"/>
      <w:numFmt w:val="lowerLetter"/>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9">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1">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2"/>
  </w:num>
  <w:num w:numId="2">
    <w:abstractNumId w:val="11"/>
  </w:num>
  <w:num w:numId="3">
    <w:abstractNumId w:val="1"/>
  </w:num>
  <w:num w:numId="4">
    <w:abstractNumId w:val="10"/>
  </w:num>
  <w:num w:numId="5">
    <w:abstractNumId w:val="9"/>
  </w:num>
  <w:num w:numId="6">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5"/>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6"/>
  </w:num>
  <w:num w:numId="10">
    <w:abstractNumId w:val="3"/>
  </w:num>
  <w:num w:numId="11">
    <w:abstractNumId w:val="4"/>
  </w:num>
  <w:num w:numId="12">
    <w:abstractNumId w:val="8"/>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D41B0D"/>
    <w:rsid w:val="00023D5B"/>
    <w:rsid w:val="00093EAD"/>
    <w:rsid w:val="000D6B6D"/>
    <w:rsid w:val="000F2C23"/>
    <w:rsid w:val="00136B41"/>
    <w:rsid w:val="00177423"/>
    <w:rsid w:val="001E72FF"/>
    <w:rsid w:val="00231BBD"/>
    <w:rsid w:val="00291F51"/>
    <w:rsid w:val="002A5B5E"/>
    <w:rsid w:val="002B0FA9"/>
    <w:rsid w:val="002C786A"/>
    <w:rsid w:val="00317C31"/>
    <w:rsid w:val="00327371"/>
    <w:rsid w:val="00336AC8"/>
    <w:rsid w:val="00346D43"/>
    <w:rsid w:val="003E1868"/>
    <w:rsid w:val="003E43D4"/>
    <w:rsid w:val="00440AA3"/>
    <w:rsid w:val="0052603F"/>
    <w:rsid w:val="0052637F"/>
    <w:rsid w:val="00534EEA"/>
    <w:rsid w:val="00535E1C"/>
    <w:rsid w:val="00564E25"/>
    <w:rsid w:val="005A751F"/>
    <w:rsid w:val="005B0054"/>
    <w:rsid w:val="005B1044"/>
    <w:rsid w:val="00622B9D"/>
    <w:rsid w:val="00627C67"/>
    <w:rsid w:val="00693AF2"/>
    <w:rsid w:val="006B3B4F"/>
    <w:rsid w:val="006C2E8E"/>
    <w:rsid w:val="006F5224"/>
    <w:rsid w:val="007365EC"/>
    <w:rsid w:val="007369F5"/>
    <w:rsid w:val="00771623"/>
    <w:rsid w:val="00790358"/>
    <w:rsid w:val="007C2BF1"/>
    <w:rsid w:val="007E15B8"/>
    <w:rsid w:val="00803DFF"/>
    <w:rsid w:val="0089754A"/>
    <w:rsid w:val="009072EB"/>
    <w:rsid w:val="00A101AF"/>
    <w:rsid w:val="00AC0819"/>
    <w:rsid w:val="00BE11CF"/>
    <w:rsid w:val="00C2062C"/>
    <w:rsid w:val="00C632F5"/>
    <w:rsid w:val="00C675CB"/>
    <w:rsid w:val="00C772F4"/>
    <w:rsid w:val="00C901A4"/>
    <w:rsid w:val="00CC1BE9"/>
    <w:rsid w:val="00CE64EB"/>
    <w:rsid w:val="00D3252F"/>
    <w:rsid w:val="00D41B0D"/>
    <w:rsid w:val="00D87D49"/>
    <w:rsid w:val="00DA4936"/>
    <w:rsid w:val="00E51A78"/>
    <w:rsid w:val="00E87F69"/>
    <w:rsid w:val="00F14D0A"/>
    <w:rsid w:val="00F56E8A"/>
    <w:rsid w:val="00F73580"/>
    <w:rsid w:val="00F81CED"/>
    <w:rsid w:val="00F978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6B41"/>
    <w:pPr>
      <w:overflowPunct w:val="0"/>
      <w:autoSpaceDE w:val="0"/>
      <w:autoSpaceDN w:val="0"/>
      <w:adjustRightInd w:val="0"/>
      <w:textAlignment w:val="baseline"/>
    </w:pPr>
  </w:style>
  <w:style w:type="paragraph" w:styleId="Heading1">
    <w:name w:val="heading 1"/>
    <w:basedOn w:val="Normal"/>
    <w:next w:val="Normal"/>
    <w:qFormat/>
    <w:rsid w:val="00136B41"/>
    <w:pPr>
      <w:keepNext/>
      <w:jc w:val="center"/>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6B41"/>
    <w:pPr>
      <w:tabs>
        <w:tab w:val="center" w:pos="4320"/>
        <w:tab w:val="right" w:pos="8640"/>
      </w:tabs>
    </w:pPr>
  </w:style>
  <w:style w:type="paragraph" w:styleId="Footer">
    <w:name w:val="footer"/>
    <w:basedOn w:val="Normal"/>
    <w:rsid w:val="00136B41"/>
    <w:pPr>
      <w:tabs>
        <w:tab w:val="center" w:pos="4320"/>
        <w:tab w:val="right" w:pos="8640"/>
      </w:tabs>
    </w:pPr>
  </w:style>
  <w:style w:type="paragraph" w:styleId="BodyTextIndent">
    <w:name w:val="Body Text Indent"/>
    <w:basedOn w:val="Normal"/>
    <w:rsid w:val="00136B41"/>
    <w:pPr>
      <w:overflowPunct/>
      <w:autoSpaceDE/>
      <w:autoSpaceDN/>
      <w:adjustRightInd/>
      <w:ind w:left="360"/>
      <w:textAlignment w:val="auto"/>
    </w:pPr>
    <w:rPr>
      <w:rFonts w:ascii="Courier New" w:hAnsi="Courier New" w:cs="Courier New"/>
      <w:sz w:val="24"/>
      <w:szCs w:val="24"/>
    </w:rPr>
  </w:style>
  <w:style w:type="paragraph" w:styleId="BodyTextIndent2">
    <w:name w:val="Body Text Indent 2"/>
    <w:basedOn w:val="Normal"/>
    <w:rsid w:val="00136B41"/>
    <w:pPr>
      <w:overflowPunct/>
      <w:autoSpaceDE/>
      <w:autoSpaceDN/>
      <w:adjustRightInd/>
      <w:ind w:left="720" w:hanging="720"/>
      <w:textAlignment w:val="auto"/>
    </w:pPr>
    <w:rPr>
      <w:rFonts w:ascii="Courier New" w:hAnsi="Courier New" w:cs="Courier New"/>
      <w:sz w:val="24"/>
      <w:szCs w:val="24"/>
    </w:rPr>
  </w:style>
  <w:style w:type="paragraph" w:styleId="BodyTextIndent3">
    <w:name w:val="Body Text Indent 3"/>
    <w:basedOn w:val="Normal"/>
    <w:rsid w:val="00136B41"/>
    <w:pPr>
      <w:overflowPunct/>
      <w:autoSpaceDE/>
      <w:autoSpaceDN/>
      <w:adjustRightInd/>
      <w:ind w:left="720" w:hanging="360"/>
      <w:textAlignment w:val="auto"/>
    </w:pPr>
    <w:rPr>
      <w:rFonts w:ascii="Courier New" w:hAnsi="Courier New" w:cs="Courier New"/>
      <w:sz w:val="24"/>
      <w:szCs w:val="24"/>
    </w:rPr>
  </w:style>
  <w:style w:type="character" w:styleId="PageNumber">
    <w:name w:val="page number"/>
    <w:basedOn w:val="DefaultParagraphFont"/>
    <w:rsid w:val="00136B41"/>
  </w:style>
  <w:style w:type="paragraph" w:styleId="BalloonText">
    <w:name w:val="Balloon Text"/>
    <w:basedOn w:val="Normal"/>
    <w:semiHidden/>
    <w:rsid w:val="005B1044"/>
    <w:rPr>
      <w:rFonts w:ascii="Tahoma" w:hAnsi="Tahoma" w:cs="Tahoma"/>
      <w:sz w:val="16"/>
      <w:szCs w:val="16"/>
    </w:rPr>
  </w:style>
  <w:style w:type="paragraph" w:styleId="PlainText">
    <w:name w:val="Plain Text"/>
    <w:basedOn w:val="Normal"/>
    <w:link w:val="PlainTextChar"/>
    <w:uiPriority w:val="99"/>
    <w:unhideWhenUsed/>
    <w:rsid w:val="00C2062C"/>
    <w:pPr>
      <w:overflowPunct/>
      <w:autoSpaceDE/>
      <w:autoSpaceDN/>
      <w:adjustRightInd/>
      <w:textAlignment w:val="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2062C"/>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64855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33E5A-0F3A-42FE-8012-5024CEB62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815</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5263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h18889</cp:lastModifiedBy>
  <cp:revision>2</cp:revision>
  <cp:lastPrinted>2011-08-31T13:59:00Z</cp:lastPrinted>
  <dcterms:created xsi:type="dcterms:W3CDTF">2011-12-27T17:38:00Z</dcterms:created>
  <dcterms:modified xsi:type="dcterms:W3CDTF">2011-12-27T17:38:00Z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852816271</vt:i4>
  </property>
  <property fmtid="{D5CDD505-2E9C-101B-9397-08002B2CF9AE}" pid="3" name="_NewReviewCycle">
    <vt:lpwstr/>
  </property>
  <property fmtid="{D5CDD505-2E9C-101B-9397-08002B2CF9AE}" pid="4" name="_EmailSubject">
    <vt:lpwstr>2502-0525</vt:lpwstr>
  </property>
  <property fmtid="{D5CDD505-2E9C-101B-9397-08002B2CF9AE}" pid="5" name="_AuthorEmail">
    <vt:lpwstr>Ada.L.Bohorfoush@hud.gov</vt:lpwstr>
  </property>
  <property fmtid="{D5CDD505-2E9C-101B-9397-08002B2CF9AE}" pid="6" name="_AuthorEmailDisplayName">
    <vt:lpwstr>Bohorfoush, Ada L</vt:lpwstr>
  </property>
  <property fmtid="{D5CDD505-2E9C-101B-9397-08002B2CF9AE}" pid="7" name="_PreviousAdHocReviewCycleID">
    <vt:i4>-1313943122</vt:i4>
  </property>
  <property fmtid="{D5CDD505-2E9C-101B-9397-08002B2CF9AE}" pid="8" name="_ReviewingToolsShownOnce">
    <vt:lpwstr/>
  </property>
</Properties>
</file>