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460" w:rsidRDefault="00C424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C42460" w:rsidRDefault="00C4246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C42460" w:rsidRDefault="00C42460">
      <w:pPr>
        <w:pStyle w:val="Heading1"/>
        <w:rPr>
          <w:sz w:val="24"/>
        </w:rPr>
      </w:pPr>
      <w:r>
        <w:rPr>
          <w:sz w:val="24"/>
        </w:rPr>
        <w:t>Single Family Mortgage Insurance on Hawaiian Homelands</w:t>
      </w:r>
    </w:p>
    <w:p w:rsidR="00C42460" w:rsidRDefault="00C4246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OMB Control Number 2502-0358</w:t>
      </w:r>
    </w:p>
    <w:p w:rsidR="00C42460" w:rsidRDefault="00C4246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C42460" w:rsidRDefault="00C4246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rPr>
      </w:pPr>
      <w:r>
        <w:rPr>
          <w:rFonts w:ascii="Helvetica" w:hAnsi="Helvetica"/>
          <w:b/>
          <w:sz w:val="24"/>
        </w:rPr>
        <w:t xml:space="preserve">A. </w:t>
      </w:r>
      <w:r>
        <w:rPr>
          <w:rFonts w:ascii="Helvetica" w:hAnsi="Helvetica"/>
          <w:b/>
          <w:sz w:val="24"/>
        </w:rPr>
        <w:tab/>
        <w:t>Justification</w:t>
      </w:r>
    </w:p>
    <w:p w:rsidR="00C42460" w:rsidRDefault="00C424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rPr>
      </w:pPr>
    </w:p>
    <w:p w:rsidR="00C42460" w:rsidRDefault="00C42460">
      <w:pPr>
        <w:pStyle w:val="BodyTextIndent"/>
        <w:numPr>
          <w:ilvl w:val="0"/>
          <w:numId w:val="14"/>
        </w:numPr>
        <w:rPr>
          <w:sz w:val="24"/>
        </w:rPr>
      </w:pPr>
      <w:r>
        <w:rPr>
          <w:sz w:val="24"/>
        </w:rPr>
        <w:t>FHA insures mortgages on single-family dwellings under provisions of the National Housing Act (12 USC 1709).  The Housing and Urban Rural Recovery Act (HURRA), P.L. 98-181, amended the National Housing Act to add Section 247 (12 USC 1715z-12) to permit FHA to insure mortgages for properties located on Hawaiian Homelands.  Under this pr</w:t>
      </w:r>
      <w:r w:rsidR="00E61E27">
        <w:rPr>
          <w:sz w:val="24"/>
        </w:rPr>
        <w:t>ogram, the mortgagor must be a n</w:t>
      </w:r>
      <w:r>
        <w:rPr>
          <w:sz w:val="24"/>
        </w:rPr>
        <w:t xml:space="preserve">ative Hawaiian.  </w:t>
      </w:r>
    </w:p>
    <w:p w:rsidR="00C42460" w:rsidRDefault="00C42460">
      <w:pPr>
        <w:pStyle w:val="BodyTextIndent"/>
        <w:tabs>
          <w:tab w:val="clear" w:pos="360"/>
        </w:tabs>
        <w:ind w:left="0"/>
        <w:rPr>
          <w:sz w:val="24"/>
        </w:rPr>
      </w:pPr>
    </w:p>
    <w:p w:rsidR="00C42460" w:rsidRDefault="00E20F95">
      <w:pPr>
        <w:pStyle w:val="BodyTextIndent"/>
        <w:tabs>
          <w:tab w:val="clear" w:pos="360"/>
        </w:tabs>
        <w:rPr>
          <w:sz w:val="24"/>
        </w:rPr>
      </w:pPr>
      <w:r>
        <w:rPr>
          <w:sz w:val="24"/>
        </w:rPr>
        <w:t xml:space="preserve">Section 247 requires that </w:t>
      </w:r>
      <w:r w:rsidR="00E61E27">
        <w:rPr>
          <w:sz w:val="24"/>
        </w:rPr>
        <w:t>the Department of Hawaiian Homelands (DHHL) of the State of Hawaii (a) will be a co-mortgagor; (b) guarantees or reimburses the Secretary for any mortgage insurance claim paid in connection with a property on Hawaiian homelands; or (c) offers other security acceptable to the Secretary.</w:t>
      </w:r>
      <w:r w:rsidR="00C42460">
        <w:rPr>
          <w:sz w:val="24"/>
        </w:rPr>
        <w:t xml:space="preserve">  </w:t>
      </w:r>
    </w:p>
    <w:p w:rsidR="00C42460" w:rsidRDefault="00C42460">
      <w:pPr>
        <w:tabs>
          <w:tab w:val="left" w:pos="360"/>
        </w:tabs>
        <w:ind w:left="360" w:hanging="360"/>
        <w:rPr>
          <w:sz w:val="24"/>
        </w:rPr>
      </w:pPr>
    </w:p>
    <w:p w:rsidR="00C42460" w:rsidRDefault="00C42460">
      <w:pPr>
        <w:numPr>
          <w:ilvl w:val="0"/>
          <w:numId w:val="14"/>
        </w:numPr>
        <w:tabs>
          <w:tab w:val="left" w:pos="720"/>
        </w:tabs>
        <w:rPr>
          <w:sz w:val="24"/>
        </w:rPr>
      </w:pPr>
      <w:r>
        <w:rPr>
          <w:sz w:val="24"/>
        </w:rPr>
        <w:t xml:space="preserve">Respondents are loan applicants seeking mortgage insurance on Hawaiian Homelands.  To be eligible for the program, a borrower must be a </w:t>
      </w:r>
      <w:r w:rsidR="00E61E27">
        <w:rPr>
          <w:sz w:val="24"/>
        </w:rPr>
        <w:t>n</w:t>
      </w:r>
      <w:r>
        <w:rPr>
          <w:sz w:val="24"/>
        </w:rPr>
        <w:t xml:space="preserve">ative Hawaiian.  In accordance with 24 CFR 203.43i, the collection of information is verification that a loan applicant is a </w:t>
      </w:r>
      <w:r w:rsidR="00E61E27">
        <w:rPr>
          <w:sz w:val="24"/>
        </w:rPr>
        <w:t>n</w:t>
      </w:r>
      <w:r>
        <w:rPr>
          <w:sz w:val="24"/>
        </w:rPr>
        <w:t>ative Hawaiian and that the applicant holds a lease on land in a Hawaiian Homelands area.  A borrower must obtain verification of eligibility from DHLL and submit it to the lender.</w:t>
      </w:r>
    </w:p>
    <w:p w:rsidR="00C42460" w:rsidRDefault="00C42460">
      <w:pPr>
        <w:tabs>
          <w:tab w:val="left" w:pos="360"/>
          <w:tab w:val="left" w:pos="720"/>
        </w:tabs>
        <w:rPr>
          <w:sz w:val="24"/>
        </w:rPr>
      </w:pPr>
    </w:p>
    <w:p w:rsidR="00C42460" w:rsidRDefault="00C42460">
      <w:pPr>
        <w:pStyle w:val="BodyTextIndent"/>
        <w:tabs>
          <w:tab w:val="clear" w:pos="360"/>
        </w:tabs>
        <w:rPr>
          <w:sz w:val="24"/>
          <w:szCs w:val="24"/>
        </w:rPr>
      </w:pPr>
      <w:r>
        <w:rPr>
          <w:sz w:val="24"/>
        </w:rPr>
        <w:t xml:space="preserve">The lender is responsible for reviewing the documents submitted to ascertain that a mortgagor meets all the regulatory requirements.  A borrower cannot obtain a loan under these provisions without proof of status as a </w:t>
      </w:r>
      <w:r w:rsidR="00592E7D">
        <w:rPr>
          <w:sz w:val="24"/>
        </w:rPr>
        <w:t>n</w:t>
      </w:r>
      <w:r>
        <w:rPr>
          <w:sz w:val="24"/>
        </w:rPr>
        <w:t xml:space="preserve">ative Hawaiian.  </w:t>
      </w:r>
      <w:smartTag w:uri="urn:schemas-microsoft-com:office:smarttags" w:element="country-region">
        <w:r>
          <w:rPr>
            <w:sz w:val="24"/>
            <w:szCs w:val="24"/>
          </w:rPr>
          <w:t>United States</w:t>
        </w:r>
      </w:smartTag>
      <w:r>
        <w:rPr>
          <w:sz w:val="24"/>
          <w:szCs w:val="24"/>
        </w:rPr>
        <w:t xml:space="preserve"> citizens living in </w:t>
      </w:r>
      <w:smartTag w:uri="urn:schemas-microsoft-com:office:smarttags" w:element="State">
        <w:smartTag w:uri="urn:schemas-microsoft-com:office:smarttags" w:element="place">
          <w:r>
            <w:rPr>
              <w:sz w:val="24"/>
              <w:szCs w:val="24"/>
            </w:rPr>
            <w:t>Hawaii</w:t>
          </w:r>
        </w:smartTag>
      </w:smartTag>
      <w:r>
        <w:rPr>
          <w:sz w:val="24"/>
          <w:szCs w:val="24"/>
        </w:rPr>
        <w:t xml:space="preserve"> are not eligible for this leasehold program unless they are </w:t>
      </w:r>
      <w:r w:rsidR="00592E7D">
        <w:rPr>
          <w:sz w:val="24"/>
          <w:szCs w:val="24"/>
        </w:rPr>
        <w:t>n</w:t>
      </w:r>
      <w:r>
        <w:rPr>
          <w:sz w:val="24"/>
          <w:szCs w:val="24"/>
        </w:rPr>
        <w:t xml:space="preserve">ative Hawaiians.  The eligibility document is required to obtain benefits.  </w:t>
      </w:r>
    </w:p>
    <w:p w:rsidR="00C42460" w:rsidRDefault="00C42460">
      <w:pPr>
        <w:pStyle w:val="BodyTextIndent"/>
        <w:tabs>
          <w:tab w:val="clear" w:pos="360"/>
        </w:tabs>
        <w:rPr>
          <w:sz w:val="24"/>
          <w:szCs w:val="24"/>
        </w:rPr>
      </w:pPr>
    </w:p>
    <w:p w:rsidR="00C42460" w:rsidRDefault="00C42460">
      <w:pPr>
        <w:pStyle w:val="BodyTextIndent"/>
        <w:tabs>
          <w:tab w:val="clear" w:pos="360"/>
        </w:tabs>
        <w:rPr>
          <w:sz w:val="24"/>
        </w:rPr>
      </w:pPr>
      <w:r>
        <w:rPr>
          <w:sz w:val="24"/>
        </w:rPr>
        <w:t>In accordance with 24 CFR 203.439(c), lenders must report monthly to HUD and the DHHL on delinquent borrowers and provide documentation to HUD to support that the loss mitigation requirements of 24 CFR 203.604 have been met.</w:t>
      </w:r>
      <w:r w:rsidR="00E20F95">
        <w:rPr>
          <w:sz w:val="24"/>
        </w:rPr>
        <w:t xml:space="preserve">  This collection of data is cited in 2502-0060.</w:t>
      </w:r>
    </w:p>
    <w:p w:rsidR="00C42460" w:rsidRDefault="00C42460">
      <w:pPr>
        <w:pStyle w:val="BodyTextIndent"/>
        <w:tabs>
          <w:tab w:val="clear" w:pos="360"/>
        </w:tabs>
        <w:rPr>
          <w:sz w:val="24"/>
        </w:rPr>
      </w:pPr>
    </w:p>
    <w:p w:rsidR="00C42460" w:rsidRDefault="00C42460">
      <w:pPr>
        <w:pStyle w:val="BodyTextIndent"/>
        <w:tabs>
          <w:tab w:val="clear" w:pos="360"/>
        </w:tabs>
        <w:rPr>
          <w:sz w:val="24"/>
        </w:rPr>
      </w:pPr>
      <w:r>
        <w:rPr>
          <w:sz w:val="24"/>
        </w:rPr>
        <w:t xml:space="preserve">The </w:t>
      </w:r>
      <w:r>
        <w:rPr>
          <w:sz w:val="24"/>
          <w:szCs w:val="24"/>
        </w:rPr>
        <w:t xml:space="preserve">DHHL works with these delinquent borrowers in preventing foreclosures by intervening as soon as possible, and so DHHL relies on the delinquency information </w:t>
      </w:r>
      <w:r>
        <w:rPr>
          <w:sz w:val="24"/>
        </w:rPr>
        <w:t xml:space="preserve">to assist borrowers in resolving defaults before a situation results in a claim to HUD. </w:t>
      </w:r>
      <w:r>
        <w:rPr>
          <w:sz w:val="24"/>
          <w:szCs w:val="24"/>
        </w:rPr>
        <w:t xml:space="preserve"> </w:t>
      </w:r>
    </w:p>
    <w:p w:rsidR="00C42460" w:rsidRDefault="00C42460">
      <w:pPr>
        <w:tabs>
          <w:tab w:val="left" w:pos="360"/>
        </w:tabs>
        <w:rPr>
          <w:sz w:val="24"/>
        </w:rPr>
      </w:pPr>
    </w:p>
    <w:p w:rsidR="00C42460" w:rsidRDefault="00C42460" w:rsidP="00FD5635">
      <w:pPr>
        <w:numPr>
          <w:ilvl w:val="0"/>
          <w:numId w:val="14"/>
        </w:numPr>
        <w:tabs>
          <w:tab w:val="left" w:pos="360"/>
          <w:tab w:val="left" w:pos="720"/>
        </w:tabs>
        <w:rPr>
          <w:sz w:val="24"/>
        </w:rPr>
      </w:pPr>
      <w:r w:rsidRPr="00D44677">
        <w:rPr>
          <w:sz w:val="24"/>
        </w:rPr>
        <w:t xml:space="preserve">Lender delinquency notifications are submitted to HUD electronically every month.  All other items are submitted in hard copy.  Verification that a loan applicant is a </w:t>
      </w:r>
      <w:r w:rsidR="00592E7D" w:rsidRPr="00D44677">
        <w:rPr>
          <w:sz w:val="24"/>
        </w:rPr>
        <w:t>n</w:t>
      </w:r>
      <w:r w:rsidRPr="00D44677">
        <w:rPr>
          <w:sz w:val="24"/>
        </w:rPr>
        <w:t xml:space="preserve">ative Hawaiian and the </w:t>
      </w:r>
      <w:r w:rsidR="001D2E88" w:rsidRPr="00D44677">
        <w:rPr>
          <w:sz w:val="24"/>
        </w:rPr>
        <w:t>lease issued by the DHHL is</w:t>
      </w:r>
      <w:r w:rsidRPr="00D44677">
        <w:rPr>
          <w:sz w:val="24"/>
        </w:rPr>
        <w:t xml:space="preserve"> both paper processes through the DHHL.  FHA requires that these documents be in the loan applicant’s case</w:t>
      </w:r>
      <w:r w:rsidR="00592E7D" w:rsidRPr="00D44677">
        <w:rPr>
          <w:sz w:val="24"/>
        </w:rPr>
        <w:t xml:space="preserve"> binder</w:t>
      </w:r>
      <w:r w:rsidRPr="00D44677">
        <w:rPr>
          <w:sz w:val="24"/>
        </w:rPr>
        <w:t xml:space="preserve">.  FHA cannot control DHHL’s processes for providing this </w:t>
      </w:r>
      <w:proofErr w:type="gramStart"/>
      <w:r w:rsidRPr="00D44677">
        <w:rPr>
          <w:sz w:val="24"/>
        </w:rPr>
        <w:t>information,</w:t>
      </w:r>
      <w:proofErr w:type="gramEnd"/>
      <w:r w:rsidRPr="00D44677">
        <w:rPr>
          <w:sz w:val="24"/>
        </w:rPr>
        <w:t xml:space="preserve"> </w:t>
      </w:r>
      <w:r w:rsidR="00EF7888">
        <w:rPr>
          <w:sz w:val="24"/>
        </w:rPr>
        <w:t xml:space="preserve">however, </w:t>
      </w:r>
      <w:r w:rsidRPr="00D44677">
        <w:rPr>
          <w:sz w:val="24"/>
        </w:rPr>
        <w:t xml:space="preserve">FHA </w:t>
      </w:r>
      <w:r w:rsidR="00EF7888">
        <w:rPr>
          <w:sz w:val="24"/>
        </w:rPr>
        <w:t>developed a method whereby le</w:t>
      </w:r>
      <w:r w:rsidRPr="00D44677">
        <w:rPr>
          <w:sz w:val="24"/>
        </w:rPr>
        <w:t>nders will submit case</w:t>
      </w:r>
      <w:r w:rsidR="00592E7D" w:rsidRPr="00D44677">
        <w:rPr>
          <w:sz w:val="24"/>
        </w:rPr>
        <w:t xml:space="preserve"> </w:t>
      </w:r>
      <w:r w:rsidRPr="00D44677">
        <w:rPr>
          <w:sz w:val="24"/>
        </w:rPr>
        <w:t>binders electronically.  This process lessen</w:t>
      </w:r>
      <w:r w:rsidR="00EF7888">
        <w:rPr>
          <w:sz w:val="24"/>
        </w:rPr>
        <w:t>s</w:t>
      </w:r>
      <w:r w:rsidRPr="00D44677">
        <w:rPr>
          <w:sz w:val="24"/>
        </w:rPr>
        <w:t xml:space="preserve"> the burden of the lender having to mail case</w:t>
      </w:r>
      <w:r w:rsidR="00FD5635" w:rsidRPr="00D44677">
        <w:rPr>
          <w:sz w:val="24"/>
        </w:rPr>
        <w:t xml:space="preserve"> </w:t>
      </w:r>
      <w:r w:rsidRPr="00D44677">
        <w:rPr>
          <w:sz w:val="24"/>
        </w:rPr>
        <w:t xml:space="preserve">binders with copies of the leases and certifications of native Hawaiian eligibility to FHA.  </w:t>
      </w:r>
    </w:p>
    <w:p w:rsidR="00D44677" w:rsidRPr="00D44677" w:rsidRDefault="00D44677" w:rsidP="00D44677">
      <w:pPr>
        <w:tabs>
          <w:tab w:val="left" w:pos="360"/>
          <w:tab w:val="left" w:pos="720"/>
        </w:tabs>
        <w:ind w:left="360"/>
        <w:rPr>
          <w:sz w:val="24"/>
        </w:rPr>
      </w:pPr>
    </w:p>
    <w:p w:rsidR="00C42460" w:rsidRDefault="00C42460">
      <w:pPr>
        <w:pStyle w:val="BodyTextIndent"/>
        <w:numPr>
          <w:ilvl w:val="0"/>
          <w:numId w:val="14"/>
        </w:numPr>
        <w:rPr>
          <w:sz w:val="24"/>
        </w:rPr>
      </w:pPr>
      <w:r w:rsidRPr="00D44677">
        <w:rPr>
          <w:sz w:val="24"/>
        </w:rPr>
        <w:t>T</w:t>
      </w:r>
      <w:r>
        <w:rPr>
          <w:sz w:val="24"/>
        </w:rPr>
        <w:t>his program is unique in nature due to specific requirements for land and eligible borrowers; no</w:t>
      </w:r>
      <w:r w:rsidR="00FD5635">
        <w:rPr>
          <w:sz w:val="24"/>
        </w:rPr>
        <w:t xml:space="preserve"> </w:t>
      </w:r>
      <w:r>
        <w:rPr>
          <w:sz w:val="24"/>
        </w:rPr>
        <w:t>duplication occurs and similar information is unavailable.</w:t>
      </w:r>
    </w:p>
    <w:p w:rsidR="00C42460" w:rsidRDefault="00C42460">
      <w:pPr>
        <w:tabs>
          <w:tab w:val="left" w:pos="360"/>
        </w:tabs>
        <w:ind w:left="360" w:hanging="360"/>
        <w:rPr>
          <w:sz w:val="24"/>
        </w:rPr>
      </w:pPr>
    </w:p>
    <w:p w:rsidR="00C42460" w:rsidRDefault="00C42460">
      <w:pPr>
        <w:numPr>
          <w:ilvl w:val="0"/>
          <w:numId w:val="14"/>
        </w:numPr>
        <w:tabs>
          <w:tab w:val="left" w:pos="720"/>
        </w:tabs>
        <w:rPr>
          <w:sz w:val="24"/>
        </w:rPr>
      </w:pPr>
      <w:r>
        <w:rPr>
          <w:sz w:val="24"/>
        </w:rPr>
        <w:t xml:space="preserve">This information collection has no impact on small businesses.  </w:t>
      </w:r>
    </w:p>
    <w:p w:rsidR="00C42460" w:rsidRDefault="00C42460">
      <w:pPr>
        <w:tabs>
          <w:tab w:val="left" w:pos="360"/>
        </w:tabs>
        <w:ind w:left="360" w:hanging="360"/>
        <w:rPr>
          <w:sz w:val="24"/>
        </w:rPr>
      </w:pPr>
    </w:p>
    <w:p w:rsidR="00EF7888" w:rsidRDefault="00EF7888">
      <w:pPr>
        <w:tabs>
          <w:tab w:val="left" w:pos="360"/>
        </w:tabs>
        <w:ind w:left="360" w:hanging="360"/>
        <w:rPr>
          <w:sz w:val="24"/>
        </w:rPr>
      </w:pPr>
    </w:p>
    <w:p w:rsidR="00EF7888" w:rsidRDefault="00EF7888">
      <w:pPr>
        <w:tabs>
          <w:tab w:val="left" w:pos="360"/>
        </w:tabs>
        <w:ind w:left="360" w:hanging="360"/>
        <w:rPr>
          <w:sz w:val="24"/>
        </w:rPr>
      </w:pPr>
    </w:p>
    <w:p w:rsidR="00D44677" w:rsidRDefault="00D44677">
      <w:pPr>
        <w:tabs>
          <w:tab w:val="left" w:pos="360"/>
        </w:tabs>
        <w:ind w:left="360" w:hanging="360"/>
        <w:rPr>
          <w:sz w:val="24"/>
        </w:rPr>
      </w:pPr>
    </w:p>
    <w:p w:rsidR="00D44677" w:rsidRDefault="00D44677">
      <w:pPr>
        <w:tabs>
          <w:tab w:val="left" w:pos="360"/>
        </w:tabs>
        <w:ind w:left="360" w:hanging="360"/>
        <w:rPr>
          <w:sz w:val="24"/>
        </w:rPr>
      </w:pPr>
    </w:p>
    <w:p w:rsidR="00C42460" w:rsidRDefault="00C42460">
      <w:pPr>
        <w:numPr>
          <w:ilvl w:val="0"/>
          <w:numId w:val="14"/>
        </w:numPr>
        <w:tabs>
          <w:tab w:val="left" w:pos="720"/>
        </w:tabs>
        <w:rPr>
          <w:sz w:val="24"/>
        </w:rPr>
      </w:pPr>
      <w:r>
        <w:rPr>
          <w:sz w:val="24"/>
        </w:rPr>
        <w:lastRenderedPageBreak/>
        <w:t xml:space="preserve">To apply for FHA insurance, lenders must collect information to determine borrower eligibility for the program.  Borrowers on </w:t>
      </w:r>
      <w:r w:rsidR="00FD5635">
        <w:rPr>
          <w:sz w:val="24"/>
        </w:rPr>
        <w:t>n</w:t>
      </w:r>
      <w:r>
        <w:rPr>
          <w:sz w:val="24"/>
        </w:rPr>
        <w:t>ative Hawaiian lands will be unable to secure FHA insured loans if the information is not collected.  To assist the DHLL in identifying delinquent loans, lenders report monthly.  If information were collected less frequently, the DHHL would not be able to make appropriate decisions in a timely manner.</w:t>
      </w:r>
    </w:p>
    <w:p w:rsidR="00C42460" w:rsidRDefault="00C42460">
      <w:pPr>
        <w:tabs>
          <w:tab w:val="left" w:pos="360"/>
        </w:tabs>
        <w:ind w:left="360" w:hanging="360"/>
        <w:rPr>
          <w:sz w:val="24"/>
        </w:rPr>
      </w:pPr>
    </w:p>
    <w:p w:rsidR="00C42460" w:rsidRDefault="00C42460">
      <w:pPr>
        <w:numPr>
          <w:ilvl w:val="0"/>
          <w:numId w:val="14"/>
        </w:numPr>
        <w:overflowPunct/>
        <w:spacing w:line="240" w:lineRule="atLeast"/>
        <w:textAlignment w:val="auto"/>
      </w:pPr>
      <w:r>
        <w:rPr>
          <w:sz w:val="24"/>
          <w:szCs w:val="24"/>
        </w:rPr>
        <w:t>HUD (2502-0060) and DHHL collect delinquency information monthly on all mortgages.  Mortgages are paid monthly and therefore, the delinquency reports are also monthly.  If delinquencies were reported only quarterly, a mortgage that went into default before the reporting cycle would be seriously delinquent before the next reporting cycle, and it may be too late for DHHL to intervene and prevent foreclosure.</w:t>
      </w:r>
    </w:p>
    <w:p w:rsidR="00C42460" w:rsidRDefault="00C42460">
      <w:pPr>
        <w:pStyle w:val="BodyTextIndent"/>
        <w:rPr>
          <w:sz w:val="24"/>
        </w:rPr>
      </w:pPr>
    </w:p>
    <w:p w:rsidR="00C42460" w:rsidRPr="002A741C" w:rsidRDefault="00D44677">
      <w:pPr>
        <w:numPr>
          <w:ilvl w:val="0"/>
          <w:numId w:val="14"/>
        </w:numPr>
        <w:rPr>
          <w:sz w:val="24"/>
        </w:rPr>
      </w:pPr>
      <w:r>
        <w:rPr>
          <w:sz w:val="24"/>
        </w:rPr>
        <w:t>Consultation</w:t>
      </w:r>
      <w:r w:rsidR="00C42460">
        <w:rPr>
          <w:sz w:val="24"/>
        </w:rPr>
        <w:t xml:space="preserve"> with </w:t>
      </w:r>
      <w:r>
        <w:rPr>
          <w:sz w:val="24"/>
        </w:rPr>
        <w:t xml:space="preserve">appropriate personnel in the Santa Ana HOC and the Department of Hawaii Homeland is currently underway.  </w:t>
      </w:r>
      <w:r w:rsidR="00C42460">
        <w:rPr>
          <w:sz w:val="24"/>
          <w:szCs w:val="18"/>
        </w:rPr>
        <w:t>The agency notice soliciting comments on the</w:t>
      </w:r>
      <w:r>
        <w:rPr>
          <w:sz w:val="24"/>
          <w:szCs w:val="18"/>
        </w:rPr>
        <w:t xml:space="preserve"> previous </w:t>
      </w:r>
      <w:r w:rsidR="00C42460">
        <w:rPr>
          <w:sz w:val="24"/>
          <w:szCs w:val="18"/>
        </w:rPr>
        <w:t xml:space="preserve">information collection for OMB #2502-0358 was published in the </w:t>
      </w:r>
      <w:r w:rsidR="00C42460">
        <w:rPr>
          <w:sz w:val="24"/>
          <w:szCs w:val="18"/>
          <w:u w:val="single"/>
        </w:rPr>
        <w:t>Federal Register</w:t>
      </w:r>
      <w:r w:rsidR="00C42460">
        <w:rPr>
          <w:sz w:val="24"/>
          <w:szCs w:val="18"/>
        </w:rPr>
        <w:t xml:space="preserve"> on </w:t>
      </w:r>
      <w:r w:rsidR="002A741C">
        <w:rPr>
          <w:sz w:val="24"/>
          <w:szCs w:val="18"/>
        </w:rPr>
        <w:t>February 3, 2012</w:t>
      </w:r>
      <w:r w:rsidR="00C42460">
        <w:rPr>
          <w:sz w:val="24"/>
          <w:szCs w:val="18"/>
        </w:rPr>
        <w:t xml:space="preserve"> (Vol. </w:t>
      </w:r>
      <w:r w:rsidR="00EC4E5E">
        <w:rPr>
          <w:b/>
          <w:sz w:val="24"/>
          <w:szCs w:val="18"/>
        </w:rPr>
        <w:t>7</w:t>
      </w:r>
      <w:r w:rsidR="002A741C">
        <w:rPr>
          <w:b/>
          <w:sz w:val="24"/>
          <w:szCs w:val="18"/>
        </w:rPr>
        <w:t>7</w:t>
      </w:r>
      <w:r w:rsidR="00C42460">
        <w:rPr>
          <w:sz w:val="24"/>
          <w:szCs w:val="18"/>
        </w:rPr>
        <w:t xml:space="preserve">, No. </w:t>
      </w:r>
      <w:r w:rsidR="002A741C">
        <w:rPr>
          <w:b/>
          <w:sz w:val="24"/>
          <w:szCs w:val="18"/>
        </w:rPr>
        <w:t>23</w:t>
      </w:r>
      <w:r w:rsidR="00C42460">
        <w:rPr>
          <w:sz w:val="24"/>
          <w:szCs w:val="18"/>
        </w:rPr>
        <w:t xml:space="preserve">, pages </w:t>
      </w:r>
      <w:r w:rsidR="00EC4E5E">
        <w:rPr>
          <w:b/>
          <w:sz w:val="24"/>
          <w:szCs w:val="18"/>
        </w:rPr>
        <w:t>5</w:t>
      </w:r>
      <w:r w:rsidR="002A741C">
        <w:rPr>
          <w:b/>
          <w:sz w:val="24"/>
          <w:szCs w:val="18"/>
        </w:rPr>
        <w:t>523</w:t>
      </w:r>
      <w:r w:rsidR="00EC4E5E">
        <w:rPr>
          <w:sz w:val="24"/>
          <w:szCs w:val="18"/>
        </w:rPr>
        <w:t xml:space="preserve">. </w:t>
      </w:r>
      <w:r w:rsidR="004F46BF">
        <w:rPr>
          <w:sz w:val="24"/>
          <w:szCs w:val="18"/>
        </w:rPr>
        <w:t xml:space="preserve"> No</w:t>
      </w:r>
      <w:r w:rsidR="00C42460">
        <w:rPr>
          <w:sz w:val="24"/>
          <w:szCs w:val="18"/>
        </w:rPr>
        <w:t xml:space="preserve"> comments were received.  </w:t>
      </w:r>
    </w:p>
    <w:p w:rsidR="002A741C" w:rsidRPr="00EC4E5E" w:rsidRDefault="002A741C" w:rsidP="002A741C">
      <w:pPr>
        <w:rPr>
          <w:sz w:val="24"/>
        </w:rPr>
      </w:pPr>
    </w:p>
    <w:p w:rsidR="00C42460" w:rsidRDefault="00C42460">
      <w:pPr>
        <w:pStyle w:val="BodyTextIndent"/>
        <w:numPr>
          <w:ilvl w:val="0"/>
          <w:numId w:val="14"/>
        </w:numPr>
        <w:rPr>
          <w:sz w:val="24"/>
        </w:rPr>
      </w:pPr>
      <w:r>
        <w:rPr>
          <w:sz w:val="24"/>
        </w:rPr>
        <w:t>There are no payments or gifts to respondents.</w:t>
      </w:r>
    </w:p>
    <w:p w:rsidR="00C42460" w:rsidRDefault="00C42460">
      <w:pPr>
        <w:tabs>
          <w:tab w:val="left" w:pos="360"/>
        </w:tabs>
        <w:ind w:left="360" w:hanging="360"/>
        <w:rPr>
          <w:sz w:val="24"/>
        </w:rPr>
      </w:pPr>
    </w:p>
    <w:p w:rsidR="00C42460" w:rsidRDefault="00C42460">
      <w:pPr>
        <w:numPr>
          <w:ilvl w:val="0"/>
          <w:numId w:val="14"/>
        </w:numPr>
        <w:tabs>
          <w:tab w:val="left" w:pos="720"/>
        </w:tabs>
        <w:rPr>
          <w:sz w:val="24"/>
        </w:rPr>
      </w:pPr>
      <w:r>
        <w:rPr>
          <w:sz w:val="24"/>
        </w:rPr>
        <w:t>There are no assurances of confidentiality provided.</w:t>
      </w:r>
    </w:p>
    <w:p w:rsidR="00C42460" w:rsidRDefault="00C42460">
      <w:pPr>
        <w:tabs>
          <w:tab w:val="left" w:pos="360"/>
        </w:tabs>
        <w:ind w:left="360" w:hanging="360"/>
        <w:rPr>
          <w:sz w:val="24"/>
        </w:rPr>
      </w:pPr>
    </w:p>
    <w:p w:rsidR="00C42460" w:rsidRDefault="00C42460">
      <w:pPr>
        <w:pStyle w:val="BodyTextIndent"/>
        <w:numPr>
          <w:ilvl w:val="0"/>
          <w:numId w:val="14"/>
        </w:numPr>
        <w:rPr>
          <w:sz w:val="24"/>
        </w:rPr>
      </w:pPr>
      <w:r>
        <w:rPr>
          <w:sz w:val="24"/>
        </w:rPr>
        <w:t>There are no questions with issues of a sensitive nature.</w:t>
      </w:r>
    </w:p>
    <w:p w:rsidR="00D44677" w:rsidRDefault="00D44677" w:rsidP="00D44677">
      <w:pPr>
        <w:pStyle w:val="ListParagraph"/>
        <w:rPr>
          <w:sz w:val="24"/>
        </w:rPr>
      </w:pPr>
    </w:p>
    <w:p w:rsidR="00D44677" w:rsidRDefault="006837AF" w:rsidP="000B2BDD">
      <w:pPr>
        <w:pStyle w:val="BodyTextIndent"/>
        <w:numPr>
          <w:ilvl w:val="0"/>
          <w:numId w:val="14"/>
        </w:numPr>
        <w:rPr>
          <w:sz w:val="24"/>
        </w:rPr>
      </w:pPr>
      <w:r>
        <w:rPr>
          <w:sz w:val="24"/>
        </w:rPr>
        <w:t xml:space="preserve">(a)  </w:t>
      </w:r>
      <w:r w:rsidR="00D44677">
        <w:rPr>
          <w:sz w:val="24"/>
        </w:rPr>
        <w:t xml:space="preserve">The total number of loans endorsed under this program </w:t>
      </w:r>
      <w:r w:rsidR="00EF7888">
        <w:rPr>
          <w:sz w:val="24"/>
        </w:rPr>
        <w:t>has decreased each calendar year for the past three (3) years</w:t>
      </w:r>
      <w:r w:rsidR="00D44677">
        <w:rPr>
          <w:sz w:val="24"/>
        </w:rPr>
        <w:t>.</w:t>
      </w:r>
    </w:p>
    <w:tbl>
      <w:tblPr>
        <w:tblStyle w:val="TableGrid"/>
        <w:tblW w:w="0" w:type="auto"/>
        <w:tblInd w:w="2160" w:type="dxa"/>
        <w:tblLook w:val="04A0"/>
      </w:tblPr>
      <w:tblGrid>
        <w:gridCol w:w="1008"/>
        <w:gridCol w:w="1980"/>
      </w:tblGrid>
      <w:tr w:rsidR="00D44677" w:rsidTr="00D44677">
        <w:tc>
          <w:tcPr>
            <w:tcW w:w="1008" w:type="dxa"/>
          </w:tcPr>
          <w:p w:rsidR="00D44677" w:rsidRDefault="00D44677" w:rsidP="00D44677">
            <w:pPr>
              <w:pStyle w:val="BodyTextIndent"/>
              <w:tabs>
                <w:tab w:val="clear" w:pos="360"/>
              </w:tabs>
              <w:ind w:left="0"/>
              <w:rPr>
                <w:sz w:val="24"/>
              </w:rPr>
            </w:pPr>
            <w:r>
              <w:rPr>
                <w:sz w:val="24"/>
              </w:rPr>
              <w:t>Year</w:t>
            </w:r>
          </w:p>
        </w:tc>
        <w:tc>
          <w:tcPr>
            <w:tcW w:w="1980" w:type="dxa"/>
          </w:tcPr>
          <w:p w:rsidR="00D44677" w:rsidRDefault="00D44677" w:rsidP="006837AF">
            <w:pPr>
              <w:pStyle w:val="BodyTextIndent"/>
              <w:tabs>
                <w:tab w:val="clear" w:pos="360"/>
              </w:tabs>
              <w:ind w:left="0"/>
              <w:jc w:val="center"/>
              <w:rPr>
                <w:sz w:val="24"/>
              </w:rPr>
            </w:pPr>
            <w:r>
              <w:rPr>
                <w:sz w:val="24"/>
              </w:rPr>
              <w:t>No. of Loans Endorsed</w:t>
            </w:r>
          </w:p>
        </w:tc>
      </w:tr>
      <w:tr w:rsidR="00D44677" w:rsidTr="00D44677">
        <w:tc>
          <w:tcPr>
            <w:tcW w:w="1008" w:type="dxa"/>
          </w:tcPr>
          <w:p w:rsidR="00D44677" w:rsidRDefault="00D44677" w:rsidP="00D44677">
            <w:pPr>
              <w:pStyle w:val="BodyTextIndent"/>
              <w:tabs>
                <w:tab w:val="clear" w:pos="360"/>
              </w:tabs>
              <w:ind w:left="0"/>
              <w:rPr>
                <w:sz w:val="24"/>
              </w:rPr>
            </w:pPr>
            <w:r>
              <w:rPr>
                <w:sz w:val="24"/>
              </w:rPr>
              <w:t>2008</w:t>
            </w:r>
          </w:p>
        </w:tc>
        <w:tc>
          <w:tcPr>
            <w:tcW w:w="1980" w:type="dxa"/>
          </w:tcPr>
          <w:p w:rsidR="00D44677" w:rsidRDefault="00D44677" w:rsidP="006837AF">
            <w:pPr>
              <w:pStyle w:val="BodyTextIndent"/>
              <w:tabs>
                <w:tab w:val="clear" w:pos="360"/>
              </w:tabs>
              <w:ind w:left="0"/>
              <w:jc w:val="center"/>
              <w:rPr>
                <w:sz w:val="24"/>
              </w:rPr>
            </w:pPr>
            <w:r>
              <w:rPr>
                <w:sz w:val="24"/>
              </w:rPr>
              <w:t>400</w:t>
            </w:r>
          </w:p>
        </w:tc>
      </w:tr>
      <w:tr w:rsidR="00D44677" w:rsidTr="00D44677">
        <w:tc>
          <w:tcPr>
            <w:tcW w:w="1008" w:type="dxa"/>
          </w:tcPr>
          <w:p w:rsidR="00D44677" w:rsidRDefault="00D44677" w:rsidP="00D44677">
            <w:pPr>
              <w:pStyle w:val="BodyTextIndent"/>
              <w:tabs>
                <w:tab w:val="clear" w:pos="360"/>
              </w:tabs>
              <w:ind w:left="0"/>
              <w:rPr>
                <w:sz w:val="24"/>
              </w:rPr>
            </w:pPr>
            <w:r>
              <w:rPr>
                <w:sz w:val="24"/>
              </w:rPr>
              <w:t>2009</w:t>
            </w:r>
          </w:p>
        </w:tc>
        <w:tc>
          <w:tcPr>
            <w:tcW w:w="1980" w:type="dxa"/>
          </w:tcPr>
          <w:p w:rsidR="00D44677" w:rsidRDefault="00D44677" w:rsidP="006837AF">
            <w:pPr>
              <w:pStyle w:val="BodyTextIndent"/>
              <w:tabs>
                <w:tab w:val="clear" w:pos="360"/>
              </w:tabs>
              <w:ind w:left="0"/>
              <w:jc w:val="center"/>
              <w:rPr>
                <w:sz w:val="24"/>
              </w:rPr>
            </w:pPr>
            <w:r>
              <w:rPr>
                <w:sz w:val="24"/>
              </w:rPr>
              <w:t>343</w:t>
            </w:r>
          </w:p>
        </w:tc>
      </w:tr>
      <w:tr w:rsidR="00D44677" w:rsidTr="00D44677">
        <w:tc>
          <w:tcPr>
            <w:tcW w:w="1008" w:type="dxa"/>
          </w:tcPr>
          <w:p w:rsidR="00D44677" w:rsidRDefault="00D44677" w:rsidP="00D44677">
            <w:pPr>
              <w:pStyle w:val="BodyTextIndent"/>
              <w:tabs>
                <w:tab w:val="clear" w:pos="360"/>
              </w:tabs>
              <w:ind w:left="0"/>
              <w:rPr>
                <w:sz w:val="24"/>
              </w:rPr>
            </w:pPr>
            <w:r>
              <w:rPr>
                <w:sz w:val="24"/>
              </w:rPr>
              <w:t>2010</w:t>
            </w:r>
          </w:p>
        </w:tc>
        <w:tc>
          <w:tcPr>
            <w:tcW w:w="1980" w:type="dxa"/>
          </w:tcPr>
          <w:p w:rsidR="00D44677" w:rsidRDefault="006837AF" w:rsidP="006837AF">
            <w:pPr>
              <w:pStyle w:val="BodyTextIndent"/>
              <w:tabs>
                <w:tab w:val="clear" w:pos="360"/>
              </w:tabs>
              <w:ind w:left="0"/>
              <w:jc w:val="center"/>
              <w:rPr>
                <w:sz w:val="24"/>
              </w:rPr>
            </w:pPr>
            <w:r>
              <w:rPr>
                <w:sz w:val="24"/>
              </w:rPr>
              <w:t>238</w:t>
            </w:r>
          </w:p>
        </w:tc>
      </w:tr>
      <w:tr w:rsidR="00D44677" w:rsidTr="00D44677">
        <w:tc>
          <w:tcPr>
            <w:tcW w:w="1008" w:type="dxa"/>
          </w:tcPr>
          <w:p w:rsidR="00D44677" w:rsidRDefault="00D44677" w:rsidP="00D44677">
            <w:pPr>
              <w:pStyle w:val="BodyTextIndent"/>
              <w:tabs>
                <w:tab w:val="clear" w:pos="360"/>
              </w:tabs>
              <w:ind w:left="0"/>
              <w:rPr>
                <w:sz w:val="24"/>
              </w:rPr>
            </w:pPr>
            <w:r>
              <w:rPr>
                <w:sz w:val="24"/>
              </w:rPr>
              <w:t>2011</w:t>
            </w:r>
          </w:p>
        </w:tc>
        <w:tc>
          <w:tcPr>
            <w:tcW w:w="1980" w:type="dxa"/>
          </w:tcPr>
          <w:p w:rsidR="00D44677" w:rsidRDefault="006837AF" w:rsidP="006837AF">
            <w:pPr>
              <w:pStyle w:val="BodyTextIndent"/>
              <w:tabs>
                <w:tab w:val="clear" w:pos="360"/>
              </w:tabs>
              <w:ind w:left="0"/>
              <w:jc w:val="center"/>
              <w:rPr>
                <w:sz w:val="24"/>
              </w:rPr>
            </w:pPr>
            <w:r>
              <w:rPr>
                <w:sz w:val="24"/>
              </w:rPr>
              <w:t>241</w:t>
            </w:r>
          </w:p>
        </w:tc>
      </w:tr>
    </w:tbl>
    <w:p w:rsidR="00D44677" w:rsidRDefault="00D44677" w:rsidP="00D44677">
      <w:pPr>
        <w:pStyle w:val="BodyTextIndent"/>
        <w:tabs>
          <w:tab w:val="clear" w:pos="360"/>
        </w:tabs>
        <w:rPr>
          <w:sz w:val="24"/>
        </w:rPr>
      </w:pPr>
    </w:p>
    <w:p w:rsidR="00C42460" w:rsidRDefault="009E3303" w:rsidP="006837AF">
      <w:pPr>
        <w:tabs>
          <w:tab w:val="left" w:pos="360"/>
          <w:tab w:val="left" w:pos="720"/>
        </w:tabs>
        <w:ind w:left="720"/>
        <w:rPr>
          <w:sz w:val="24"/>
        </w:rPr>
      </w:pPr>
      <w:r>
        <w:rPr>
          <w:sz w:val="24"/>
        </w:rPr>
        <w:t xml:space="preserve">For </w:t>
      </w:r>
      <w:r w:rsidR="00EF7888">
        <w:rPr>
          <w:sz w:val="24"/>
        </w:rPr>
        <w:t xml:space="preserve">calendar years 2009 – 2011, </w:t>
      </w:r>
      <w:proofErr w:type="gramStart"/>
      <w:r w:rsidR="00EF7888">
        <w:rPr>
          <w:sz w:val="24"/>
        </w:rPr>
        <w:t>t</w:t>
      </w:r>
      <w:r w:rsidR="006837AF">
        <w:rPr>
          <w:sz w:val="24"/>
        </w:rPr>
        <w:t xml:space="preserve">he </w:t>
      </w:r>
      <w:r w:rsidR="006313B9">
        <w:rPr>
          <w:sz w:val="24"/>
        </w:rPr>
        <w:t xml:space="preserve"> </w:t>
      </w:r>
      <w:r w:rsidR="006837AF">
        <w:rPr>
          <w:sz w:val="24"/>
        </w:rPr>
        <w:t>average</w:t>
      </w:r>
      <w:proofErr w:type="gramEnd"/>
      <w:r w:rsidR="006313B9">
        <w:rPr>
          <w:sz w:val="24"/>
        </w:rPr>
        <w:t xml:space="preserve"> total</w:t>
      </w:r>
      <w:r w:rsidR="006837AF">
        <w:rPr>
          <w:sz w:val="24"/>
        </w:rPr>
        <w:t xml:space="preserve"> number of cases end</w:t>
      </w:r>
      <w:r w:rsidR="00EF7888">
        <w:rPr>
          <w:sz w:val="24"/>
        </w:rPr>
        <w:t xml:space="preserve">orsed under this program is 274.  This is a </w:t>
      </w:r>
      <w:r w:rsidR="006837AF">
        <w:rPr>
          <w:sz w:val="24"/>
        </w:rPr>
        <w:t xml:space="preserve">32 percent decrease since the approval of the last information collection.  </w:t>
      </w:r>
    </w:p>
    <w:p w:rsidR="006837AF" w:rsidRDefault="006837AF" w:rsidP="006837AF">
      <w:pPr>
        <w:tabs>
          <w:tab w:val="left" w:pos="360"/>
          <w:tab w:val="left" w:pos="720"/>
        </w:tabs>
        <w:ind w:left="720"/>
        <w:rPr>
          <w:sz w:val="24"/>
        </w:rPr>
      </w:pPr>
    </w:p>
    <w:p w:rsidR="00C42460" w:rsidRPr="00EF7888" w:rsidRDefault="006837AF" w:rsidP="006837AF">
      <w:pPr>
        <w:numPr>
          <w:ilvl w:val="0"/>
          <w:numId w:val="16"/>
        </w:numPr>
        <w:tabs>
          <w:tab w:val="left" w:pos="720"/>
        </w:tabs>
        <w:rPr>
          <w:sz w:val="24"/>
        </w:rPr>
      </w:pPr>
      <w:r w:rsidRPr="00EF7888">
        <w:rPr>
          <w:sz w:val="24"/>
        </w:rPr>
        <w:t xml:space="preserve">In accordance with 24 CFR 203.43i, the collection of information is verification that a loan applicant is a native Hawaiian and that the applicant holds a lease on land in a Hawaiian Homelands area.  In accordance with 24 CFR 203.439(c), lenders must report monthly to HUD (2502-0060) and the DHHL on delinquent borrowers and provide documentation to HUD to support that the loss mitigation requirements of 24 CFR 203.604 have been met.  </w:t>
      </w:r>
      <w:r w:rsidR="0008126C" w:rsidRPr="0008126C">
        <w:rPr>
          <w:sz w:val="24"/>
          <w:highlight w:val="yellow"/>
        </w:rPr>
        <w:t>Estimates of public burden over for the calendar year period of January 1 – December 31, 2011 are as follows.</w:t>
      </w:r>
      <w:r w:rsidRPr="00EF7888">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8"/>
        <w:gridCol w:w="1405"/>
        <w:gridCol w:w="1295"/>
        <w:gridCol w:w="1313"/>
        <w:gridCol w:w="1117"/>
        <w:gridCol w:w="1350"/>
        <w:gridCol w:w="1170"/>
        <w:gridCol w:w="1158"/>
      </w:tblGrid>
      <w:tr w:rsidR="00C42460">
        <w:tc>
          <w:tcPr>
            <w:tcW w:w="2088" w:type="dxa"/>
            <w:vAlign w:val="center"/>
          </w:tcPr>
          <w:p w:rsidR="00C42460" w:rsidRDefault="00C42460">
            <w:pPr>
              <w:tabs>
                <w:tab w:val="left" w:pos="360"/>
                <w:tab w:val="left" w:pos="720"/>
              </w:tabs>
              <w:jc w:val="center"/>
              <w:rPr>
                <w:rFonts w:ascii="Arial" w:hAnsi="Arial" w:cs="Arial"/>
              </w:rPr>
            </w:pPr>
          </w:p>
        </w:tc>
        <w:tc>
          <w:tcPr>
            <w:tcW w:w="1405" w:type="dxa"/>
            <w:vAlign w:val="center"/>
          </w:tcPr>
          <w:p w:rsidR="00C42460" w:rsidRDefault="00C42460">
            <w:pPr>
              <w:tabs>
                <w:tab w:val="left" w:pos="360"/>
                <w:tab w:val="left" w:pos="720"/>
              </w:tabs>
              <w:jc w:val="center"/>
              <w:rPr>
                <w:rFonts w:ascii="Arial" w:hAnsi="Arial" w:cs="Arial"/>
              </w:rPr>
            </w:pPr>
            <w:r>
              <w:rPr>
                <w:rFonts w:ascii="Arial" w:hAnsi="Arial" w:cs="Arial"/>
              </w:rPr>
              <w:t>Number of Respondents</w:t>
            </w:r>
          </w:p>
        </w:tc>
        <w:tc>
          <w:tcPr>
            <w:tcW w:w="1295" w:type="dxa"/>
            <w:vAlign w:val="center"/>
          </w:tcPr>
          <w:p w:rsidR="00C42460" w:rsidRDefault="00C42460">
            <w:pPr>
              <w:tabs>
                <w:tab w:val="left" w:pos="360"/>
                <w:tab w:val="left" w:pos="720"/>
              </w:tabs>
              <w:jc w:val="center"/>
              <w:rPr>
                <w:rFonts w:ascii="Arial" w:hAnsi="Arial" w:cs="Arial"/>
              </w:rPr>
            </w:pPr>
            <w:r>
              <w:rPr>
                <w:rFonts w:ascii="Arial" w:hAnsi="Arial" w:cs="Arial"/>
              </w:rPr>
              <w:t>Responses per Respondent</w:t>
            </w:r>
          </w:p>
        </w:tc>
        <w:tc>
          <w:tcPr>
            <w:tcW w:w="1313" w:type="dxa"/>
            <w:vAlign w:val="center"/>
          </w:tcPr>
          <w:p w:rsidR="00C42460" w:rsidRDefault="00C42460">
            <w:pPr>
              <w:tabs>
                <w:tab w:val="left" w:pos="360"/>
                <w:tab w:val="left" w:pos="720"/>
              </w:tabs>
              <w:jc w:val="center"/>
              <w:rPr>
                <w:rFonts w:ascii="Arial" w:hAnsi="Arial" w:cs="Arial"/>
              </w:rPr>
            </w:pPr>
            <w:r>
              <w:rPr>
                <w:rFonts w:ascii="Arial" w:hAnsi="Arial" w:cs="Arial"/>
              </w:rPr>
              <w:t>Total Annual Responses</w:t>
            </w:r>
          </w:p>
        </w:tc>
        <w:tc>
          <w:tcPr>
            <w:tcW w:w="1117" w:type="dxa"/>
            <w:vAlign w:val="center"/>
          </w:tcPr>
          <w:p w:rsidR="00C42460" w:rsidRDefault="00C42460">
            <w:pPr>
              <w:tabs>
                <w:tab w:val="left" w:pos="360"/>
                <w:tab w:val="left" w:pos="720"/>
              </w:tabs>
              <w:jc w:val="center"/>
              <w:rPr>
                <w:rFonts w:ascii="Arial" w:hAnsi="Arial" w:cs="Arial"/>
              </w:rPr>
            </w:pPr>
            <w:r>
              <w:rPr>
                <w:rFonts w:ascii="Arial" w:hAnsi="Arial" w:cs="Arial"/>
              </w:rPr>
              <w:t>Hours per Response</w:t>
            </w:r>
          </w:p>
        </w:tc>
        <w:tc>
          <w:tcPr>
            <w:tcW w:w="1350" w:type="dxa"/>
            <w:vAlign w:val="center"/>
          </w:tcPr>
          <w:p w:rsidR="00C42460" w:rsidRDefault="00C42460">
            <w:pPr>
              <w:tabs>
                <w:tab w:val="left" w:pos="360"/>
                <w:tab w:val="left" w:pos="720"/>
              </w:tabs>
              <w:jc w:val="center"/>
              <w:rPr>
                <w:rFonts w:ascii="Arial" w:hAnsi="Arial" w:cs="Arial"/>
              </w:rPr>
            </w:pPr>
            <w:r>
              <w:rPr>
                <w:rFonts w:ascii="Arial" w:hAnsi="Arial" w:cs="Arial"/>
              </w:rPr>
              <w:t>Total Annual Burden Hours</w:t>
            </w:r>
          </w:p>
        </w:tc>
        <w:tc>
          <w:tcPr>
            <w:tcW w:w="1170" w:type="dxa"/>
            <w:vAlign w:val="center"/>
          </w:tcPr>
          <w:p w:rsidR="00C42460" w:rsidRDefault="00C42460">
            <w:pPr>
              <w:tabs>
                <w:tab w:val="left" w:pos="360"/>
                <w:tab w:val="left" w:pos="720"/>
              </w:tabs>
              <w:jc w:val="center"/>
              <w:rPr>
                <w:rFonts w:ascii="Arial" w:hAnsi="Arial" w:cs="Arial"/>
              </w:rPr>
            </w:pPr>
            <w:r>
              <w:rPr>
                <w:rFonts w:ascii="Arial" w:hAnsi="Arial" w:cs="Arial"/>
              </w:rPr>
              <w:t>Cost per Burden Hour</w:t>
            </w:r>
          </w:p>
        </w:tc>
        <w:tc>
          <w:tcPr>
            <w:tcW w:w="1158" w:type="dxa"/>
            <w:vAlign w:val="center"/>
          </w:tcPr>
          <w:p w:rsidR="00C42460" w:rsidRDefault="00C42460">
            <w:pPr>
              <w:tabs>
                <w:tab w:val="left" w:pos="360"/>
                <w:tab w:val="left" w:pos="720"/>
              </w:tabs>
              <w:jc w:val="center"/>
              <w:rPr>
                <w:rFonts w:ascii="Arial" w:hAnsi="Arial" w:cs="Arial"/>
              </w:rPr>
            </w:pPr>
            <w:r>
              <w:rPr>
                <w:rFonts w:ascii="Arial" w:hAnsi="Arial" w:cs="Arial"/>
              </w:rPr>
              <w:t>Total Annual Cost</w:t>
            </w:r>
          </w:p>
        </w:tc>
      </w:tr>
      <w:tr w:rsidR="00C42460">
        <w:tc>
          <w:tcPr>
            <w:tcW w:w="2088" w:type="dxa"/>
            <w:vAlign w:val="center"/>
          </w:tcPr>
          <w:p w:rsidR="00C42460" w:rsidRDefault="00C42460">
            <w:pPr>
              <w:pStyle w:val="Header"/>
              <w:tabs>
                <w:tab w:val="clear" w:pos="4320"/>
                <w:tab w:val="clear" w:pos="8640"/>
                <w:tab w:val="left" w:pos="360"/>
                <w:tab w:val="left" w:pos="720"/>
              </w:tabs>
              <w:rPr>
                <w:rFonts w:ascii="Arial" w:hAnsi="Arial" w:cs="Arial"/>
              </w:rPr>
            </w:pPr>
            <w:r>
              <w:rPr>
                <w:rFonts w:ascii="Arial" w:hAnsi="Arial" w:cs="Arial"/>
              </w:rPr>
              <w:t>Certification that borrower is a native Hawaiian</w:t>
            </w:r>
          </w:p>
        </w:tc>
        <w:tc>
          <w:tcPr>
            <w:tcW w:w="1405" w:type="dxa"/>
            <w:vAlign w:val="center"/>
          </w:tcPr>
          <w:p w:rsidR="00C42460" w:rsidRDefault="006837AF">
            <w:pPr>
              <w:pStyle w:val="Header"/>
              <w:tabs>
                <w:tab w:val="clear" w:pos="4320"/>
                <w:tab w:val="clear" w:pos="8640"/>
                <w:tab w:val="left" w:pos="360"/>
                <w:tab w:val="left" w:pos="720"/>
              </w:tabs>
              <w:jc w:val="center"/>
              <w:rPr>
                <w:rFonts w:ascii="Arial" w:hAnsi="Arial" w:cs="Arial"/>
              </w:rPr>
            </w:pPr>
            <w:r>
              <w:rPr>
                <w:rFonts w:ascii="Arial" w:hAnsi="Arial" w:cs="Arial"/>
              </w:rPr>
              <w:t>241</w:t>
            </w:r>
          </w:p>
        </w:tc>
        <w:tc>
          <w:tcPr>
            <w:tcW w:w="1295" w:type="dxa"/>
            <w:vAlign w:val="center"/>
          </w:tcPr>
          <w:p w:rsidR="00C42460" w:rsidRDefault="00C42460">
            <w:pPr>
              <w:tabs>
                <w:tab w:val="left" w:pos="360"/>
                <w:tab w:val="left" w:pos="720"/>
              </w:tabs>
              <w:jc w:val="center"/>
              <w:rPr>
                <w:rFonts w:ascii="Arial" w:hAnsi="Arial" w:cs="Arial"/>
              </w:rPr>
            </w:pPr>
            <w:r>
              <w:rPr>
                <w:rFonts w:ascii="Arial" w:hAnsi="Arial" w:cs="Arial"/>
              </w:rPr>
              <w:t>1</w:t>
            </w:r>
          </w:p>
        </w:tc>
        <w:tc>
          <w:tcPr>
            <w:tcW w:w="1313" w:type="dxa"/>
            <w:vAlign w:val="center"/>
          </w:tcPr>
          <w:p w:rsidR="00C42460" w:rsidRDefault="00D354B1">
            <w:pPr>
              <w:tabs>
                <w:tab w:val="left" w:pos="360"/>
                <w:tab w:val="left" w:pos="720"/>
              </w:tabs>
              <w:jc w:val="center"/>
              <w:rPr>
                <w:rFonts w:ascii="Arial" w:hAnsi="Arial" w:cs="Arial"/>
              </w:rPr>
            </w:pPr>
            <w:r>
              <w:rPr>
                <w:rFonts w:ascii="Arial" w:hAnsi="Arial" w:cs="Arial"/>
              </w:rPr>
              <w:t>241</w:t>
            </w:r>
          </w:p>
        </w:tc>
        <w:tc>
          <w:tcPr>
            <w:tcW w:w="1117" w:type="dxa"/>
            <w:vAlign w:val="center"/>
          </w:tcPr>
          <w:p w:rsidR="00C42460" w:rsidRDefault="00C42460">
            <w:pPr>
              <w:tabs>
                <w:tab w:val="left" w:pos="360"/>
                <w:tab w:val="left" w:pos="720"/>
              </w:tabs>
              <w:jc w:val="center"/>
              <w:rPr>
                <w:rFonts w:ascii="Arial" w:hAnsi="Arial" w:cs="Arial"/>
              </w:rPr>
            </w:pPr>
            <w:r>
              <w:rPr>
                <w:rFonts w:ascii="Arial" w:hAnsi="Arial" w:cs="Arial"/>
              </w:rPr>
              <w:t>.33</w:t>
            </w:r>
          </w:p>
        </w:tc>
        <w:tc>
          <w:tcPr>
            <w:tcW w:w="1350" w:type="dxa"/>
            <w:vAlign w:val="center"/>
          </w:tcPr>
          <w:p w:rsidR="00C42460" w:rsidRDefault="00D354B1">
            <w:pPr>
              <w:tabs>
                <w:tab w:val="left" w:pos="360"/>
                <w:tab w:val="left" w:pos="720"/>
              </w:tabs>
              <w:jc w:val="center"/>
              <w:rPr>
                <w:rFonts w:ascii="Arial" w:hAnsi="Arial" w:cs="Arial"/>
              </w:rPr>
            </w:pPr>
            <w:r>
              <w:rPr>
                <w:rFonts w:ascii="Arial" w:hAnsi="Arial" w:cs="Arial"/>
              </w:rPr>
              <w:t>80</w:t>
            </w:r>
          </w:p>
        </w:tc>
        <w:tc>
          <w:tcPr>
            <w:tcW w:w="1170" w:type="dxa"/>
            <w:vAlign w:val="center"/>
          </w:tcPr>
          <w:p w:rsidR="00C42460" w:rsidRDefault="00C42460" w:rsidP="00BB5789">
            <w:pPr>
              <w:tabs>
                <w:tab w:val="left" w:pos="360"/>
                <w:tab w:val="left" w:pos="720"/>
              </w:tabs>
              <w:jc w:val="center"/>
              <w:rPr>
                <w:rFonts w:ascii="Arial" w:hAnsi="Arial" w:cs="Arial"/>
              </w:rPr>
            </w:pPr>
            <w:r>
              <w:rPr>
                <w:rFonts w:ascii="Arial" w:hAnsi="Arial" w:cs="Arial"/>
              </w:rPr>
              <w:t>$2</w:t>
            </w:r>
            <w:r w:rsidR="00BB5789">
              <w:rPr>
                <w:rFonts w:ascii="Arial" w:hAnsi="Arial" w:cs="Arial"/>
              </w:rPr>
              <w:t>2</w:t>
            </w:r>
            <w:r>
              <w:rPr>
                <w:rFonts w:ascii="Arial" w:hAnsi="Arial" w:cs="Arial"/>
              </w:rPr>
              <w:t>.00</w:t>
            </w:r>
          </w:p>
        </w:tc>
        <w:tc>
          <w:tcPr>
            <w:tcW w:w="1158" w:type="dxa"/>
            <w:vAlign w:val="center"/>
          </w:tcPr>
          <w:p w:rsidR="00C42460" w:rsidRDefault="00C42460">
            <w:pPr>
              <w:tabs>
                <w:tab w:val="left" w:pos="360"/>
                <w:tab w:val="left" w:pos="720"/>
              </w:tabs>
              <w:jc w:val="right"/>
              <w:rPr>
                <w:rFonts w:ascii="Arial" w:hAnsi="Arial" w:cs="Arial"/>
              </w:rPr>
            </w:pPr>
            <w:r>
              <w:rPr>
                <w:rFonts w:ascii="Arial" w:hAnsi="Arial" w:cs="Arial"/>
              </w:rPr>
              <w:t>$</w:t>
            </w:r>
            <w:r w:rsidR="00BB5789">
              <w:rPr>
                <w:rFonts w:ascii="Arial" w:hAnsi="Arial" w:cs="Arial"/>
              </w:rPr>
              <w:t>1,760</w:t>
            </w:r>
          </w:p>
        </w:tc>
      </w:tr>
      <w:tr w:rsidR="00C42460">
        <w:tc>
          <w:tcPr>
            <w:tcW w:w="2088" w:type="dxa"/>
            <w:vAlign w:val="center"/>
          </w:tcPr>
          <w:p w:rsidR="00C42460" w:rsidRDefault="00C42460">
            <w:pPr>
              <w:tabs>
                <w:tab w:val="left" w:pos="360"/>
                <w:tab w:val="left" w:pos="720"/>
              </w:tabs>
              <w:rPr>
                <w:rFonts w:ascii="Arial" w:hAnsi="Arial" w:cs="Arial"/>
              </w:rPr>
            </w:pPr>
            <w:r>
              <w:rPr>
                <w:rFonts w:ascii="Arial" w:hAnsi="Arial" w:cs="Arial"/>
              </w:rPr>
              <w:t>Copy of lease on land in Hawaiian Homelands area</w:t>
            </w:r>
          </w:p>
        </w:tc>
        <w:tc>
          <w:tcPr>
            <w:tcW w:w="1405" w:type="dxa"/>
            <w:vAlign w:val="center"/>
          </w:tcPr>
          <w:p w:rsidR="00C42460" w:rsidRDefault="006837AF">
            <w:pPr>
              <w:tabs>
                <w:tab w:val="left" w:pos="360"/>
                <w:tab w:val="left" w:pos="720"/>
              </w:tabs>
              <w:jc w:val="center"/>
              <w:rPr>
                <w:rFonts w:ascii="Arial" w:hAnsi="Arial" w:cs="Arial"/>
              </w:rPr>
            </w:pPr>
            <w:r>
              <w:rPr>
                <w:rFonts w:ascii="Arial" w:hAnsi="Arial" w:cs="Arial"/>
              </w:rPr>
              <w:t>241</w:t>
            </w:r>
          </w:p>
        </w:tc>
        <w:tc>
          <w:tcPr>
            <w:tcW w:w="1295" w:type="dxa"/>
            <w:vAlign w:val="center"/>
          </w:tcPr>
          <w:p w:rsidR="00C42460" w:rsidRDefault="00C42460">
            <w:pPr>
              <w:tabs>
                <w:tab w:val="left" w:pos="360"/>
                <w:tab w:val="left" w:pos="720"/>
              </w:tabs>
              <w:jc w:val="center"/>
              <w:rPr>
                <w:rFonts w:ascii="Arial" w:hAnsi="Arial" w:cs="Arial"/>
              </w:rPr>
            </w:pPr>
            <w:r>
              <w:rPr>
                <w:rFonts w:ascii="Arial" w:hAnsi="Arial" w:cs="Arial"/>
              </w:rPr>
              <w:t>1</w:t>
            </w:r>
          </w:p>
        </w:tc>
        <w:tc>
          <w:tcPr>
            <w:tcW w:w="1313" w:type="dxa"/>
            <w:vAlign w:val="center"/>
          </w:tcPr>
          <w:p w:rsidR="00C42460" w:rsidRDefault="00D354B1">
            <w:pPr>
              <w:tabs>
                <w:tab w:val="left" w:pos="360"/>
                <w:tab w:val="left" w:pos="720"/>
              </w:tabs>
              <w:jc w:val="center"/>
              <w:rPr>
                <w:rFonts w:ascii="Arial" w:hAnsi="Arial" w:cs="Arial"/>
              </w:rPr>
            </w:pPr>
            <w:r>
              <w:rPr>
                <w:rFonts w:ascii="Arial" w:hAnsi="Arial" w:cs="Arial"/>
              </w:rPr>
              <w:t>241</w:t>
            </w:r>
          </w:p>
        </w:tc>
        <w:tc>
          <w:tcPr>
            <w:tcW w:w="1117" w:type="dxa"/>
            <w:vAlign w:val="center"/>
          </w:tcPr>
          <w:p w:rsidR="00C42460" w:rsidRDefault="00C42460">
            <w:pPr>
              <w:tabs>
                <w:tab w:val="left" w:pos="360"/>
                <w:tab w:val="left" w:pos="720"/>
              </w:tabs>
              <w:jc w:val="center"/>
              <w:rPr>
                <w:rFonts w:ascii="Arial" w:hAnsi="Arial" w:cs="Arial"/>
              </w:rPr>
            </w:pPr>
            <w:r>
              <w:rPr>
                <w:rFonts w:ascii="Arial" w:hAnsi="Arial" w:cs="Arial"/>
              </w:rPr>
              <w:t>.03</w:t>
            </w:r>
          </w:p>
        </w:tc>
        <w:tc>
          <w:tcPr>
            <w:tcW w:w="1350" w:type="dxa"/>
            <w:vAlign w:val="center"/>
          </w:tcPr>
          <w:p w:rsidR="00C42460" w:rsidRDefault="00D354B1">
            <w:pPr>
              <w:tabs>
                <w:tab w:val="left" w:pos="360"/>
                <w:tab w:val="left" w:pos="720"/>
              </w:tabs>
              <w:jc w:val="center"/>
              <w:rPr>
                <w:rFonts w:ascii="Arial" w:hAnsi="Arial" w:cs="Arial"/>
              </w:rPr>
            </w:pPr>
            <w:r>
              <w:rPr>
                <w:rFonts w:ascii="Arial" w:hAnsi="Arial" w:cs="Arial"/>
              </w:rPr>
              <w:t>7</w:t>
            </w:r>
          </w:p>
        </w:tc>
        <w:tc>
          <w:tcPr>
            <w:tcW w:w="1170" w:type="dxa"/>
            <w:vAlign w:val="center"/>
          </w:tcPr>
          <w:p w:rsidR="00C42460" w:rsidRDefault="00BB5789">
            <w:pPr>
              <w:tabs>
                <w:tab w:val="left" w:pos="360"/>
                <w:tab w:val="left" w:pos="720"/>
              </w:tabs>
              <w:jc w:val="center"/>
              <w:rPr>
                <w:rFonts w:ascii="Arial" w:hAnsi="Arial" w:cs="Arial"/>
              </w:rPr>
            </w:pPr>
            <w:r>
              <w:rPr>
                <w:rFonts w:ascii="Arial" w:hAnsi="Arial" w:cs="Arial"/>
              </w:rPr>
              <w:t>$22</w:t>
            </w:r>
            <w:r w:rsidR="00C42460">
              <w:rPr>
                <w:rFonts w:ascii="Arial" w:hAnsi="Arial" w:cs="Arial"/>
              </w:rPr>
              <w:t>.00</w:t>
            </w:r>
          </w:p>
        </w:tc>
        <w:tc>
          <w:tcPr>
            <w:tcW w:w="1158" w:type="dxa"/>
            <w:vAlign w:val="center"/>
          </w:tcPr>
          <w:p w:rsidR="00C42460" w:rsidRDefault="00BB5789">
            <w:pPr>
              <w:tabs>
                <w:tab w:val="left" w:pos="360"/>
                <w:tab w:val="left" w:pos="720"/>
              </w:tabs>
              <w:jc w:val="right"/>
              <w:rPr>
                <w:rFonts w:ascii="Arial" w:hAnsi="Arial" w:cs="Arial"/>
              </w:rPr>
            </w:pPr>
            <w:r>
              <w:rPr>
                <w:rFonts w:ascii="Arial" w:hAnsi="Arial" w:cs="Arial"/>
              </w:rPr>
              <w:t>154</w:t>
            </w:r>
          </w:p>
        </w:tc>
      </w:tr>
      <w:tr w:rsidR="00C42460">
        <w:tc>
          <w:tcPr>
            <w:tcW w:w="2088" w:type="dxa"/>
            <w:vAlign w:val="center"/>
          </w:tcPr>
          <w:p w:rsidR="00C42460" w:rsidRDefault="004B7582">
            <w:pPr>
              <w:tabs>
                <w:tab w:val="left" w:pos="360"/>
                <w:tab w:val="left" w:pos="720"/>
              </w:tabs>
              <w:rPr>
                <w:rFonts w:ascii="Arial" w:hAnsi="Arial" w:cs="Arial"/>
              </w:rPr>
            </w:pPr>
            <w:r>
              <w:rPr>
                <w:rFonts w:ascii="Arial" w:hAnsi="Arial" w:cs="Arial"/>
              </w:rPr>
              <w:t>Notice of Delinquency *</w:t>
            </w:r>
          </w:p>
        </w:tc>
        <w:tc>
          <w:tcPr>
            <w:tcW w:w="1405" w:type="dxa"/>
            <w:vAlign w:val="center"/>
          </w:tcPr>
          <w:p w:rsidR="004B7582" w:rsidRDefault="006313B9">
            <w:pPr>
              <w:tabs>
                <w:tab w:val="left" w:pos="360"/>
                <w:tab w:val="left" w:pos="720"/>
              </w:tabs>
              <w:jc w:val="center"/>
              <w:rPr>
                <w:rFonts w:ascii="Arial" w:hAnsi="Arial" w:cs="Arial"/>
              </w:rPr>
            </w:pPr>
            <w:r>
              <w:rPr>
                <w:rFonts w:ascii="Arial" w:hAnsi="Arial" w:cs="Arial"/>
              </w:rPr>
              <w:t>6</w:t>
            </w:r>
          </w:p>
          <w:p w:rsidR="00C42460" w:rsidRPr="004B7582" w:rsidRDefault="004B7582" w:rsidP="006313B9">
            <w:pPr>
              <w:tabs>
                <w:tab w:val="left" w:pos="360"/>
                <w:tab w:val="left" w:pos="720"/>
              </w:tabs>
              <w:jc w:val="center"/>
              <w:rPr>
                <w:rFonts w:ascii="Arial" w:hAnsi="Arial" w:cs="Arial"/>
                <w:sz w:val="16"/>
                <w:szCs w:val="16"/>
              </w:rPr>
            </w:pPr>
            <w:r w:rsidRPr="004B7582">
              <w:rPr>
                <w:rFonts w:ascii="Arial" w:hAnsi="Arial" w:cs="Arial"/>
                <w:sz w:val="16"/>
                <w:szCs w:val="16"/>
              </w:rPr>
              <w:t>(</w:t>
            </w:r>
            <w:r w:rsidR="006313B9">
              <w:rPr>
                <w:rFonts w:ascii="Arial" w:hAnsi="Arial" w:cs="Arial"/>
                <w:sz w:val="16"/>
                <w:szCs w:val="16"/>
              </w:rPr>
              <w:t>2.5</w:t>
            </w:r>
            <w:r w:rsidRPr="004B7582">
              <w:rPr>
                <w:rFonts w:ascii="Arial" w:hAnsi="Arial" w:cs="Arial"/>
                <w:sz w:val="16"/>
                <w:szCs w:val="16"/>
              </w:rPr>
              <w:t>% of cases endorsed</w:t>
            </w:r>
            <w:r w:rsidR="006313B9">
              <w:rPr>
                <w:rFonts w:ascii="Arial" w:hAnsi="Arial" w:cs="Arial"/>
                <w:sz w:val="16"/>
                <w:szCs w:val="16"/>
              </w:rPr>
              <w:t xml:space="preserve"> under this program</w:t>
            </w:r>
            <w:r w:rsidRPr="004B7582">
              <w:rPr>
                <w:rFonts w:ascii="Arial" w:hAnsi="Arial" w:cs="Arial"/>
                <w:sz w:val="16"/>
                <w:szCs w:val="16"/>
              </w:rPr>
              <w:t>)</w:t>
            </w:r>
          </w:p>
        </w:tc>
        <w:tc>
          <w:tcPr>
            <w:tcW w:w="1295" w:type="dxa"/>
            <w:vAlign w:val="center"/>
          </w:tcPr>
          <w:p w:rsidR="00C42460" w:rsidRDefault="004B7582">
            <w:pPr>
              <w:tabs>
                <w:tab w:val="left" w:pos="360"/>
                <w:tab w:val="left" w:pos="720"/>
              </w:tabs>
              <w:jc w:val="center"/>
              <w:rPr>
                <w:rFonts w:ascii="Arial" w:hAnsi="Arial" w:cs="Arial"/>
              </w:rPr>
            </w:pPr>
            <w:r>
              <w:rPr>
                <w:rFonts w:ascii="Arial" w:hAnsi="Arial" w:cs="Arial"/>
              </w:rPr>
              <w:t>1</w:t>
            </w:r>
          </w:p>
        </w:tc>
        <w:tc>
          <w:tcPr>
            <w:tcW w:w="1313" w:type="dxa"/>
            <w:vAlign w:val="center"/>
          </w:tcPr>
          <w:p w:rsidR="00C42460" w:rsidRDefault="006313B9">
            <w:pPr>
              <w:tabs>
                <w:tab w:val="left" w:pos="360"/>
                <w:tab w:val="left" w:pos="720"/>
              </w:tabs>
              <w:jc w:val="center"/>
              <w:rPr>
                <w:rFonts w:ascii="Arial" w:hAnsi="Arial" w:cs="Arial"/>
              </w:rPr>
            </w:pPr>
            <w:r>
              <w:rPr>
                <w:rFonts w:ascii="Arial" w:hAnsi="Arial" w:cs="Arial"/>
              </w:rPr>
              <w:t>6</w:t>
            </w:r>
          </w:p>
        </w:tc>
        <w:tc>
          <w:tcPr>
            <w:tcW w:w="1117" w:type="dxa"/>
            <w:vAlign w:val="center"/>
          </w:tcPr>
          <w:p w:rsidR="00C42460" w:rsidRDefault="00C42460">
            <w:pPr>
              <w:tabs>
                <w:tab w:val="left" w:pos="360"/>
                <w:tab w:val="left" w:pos="720"/>
              </w:tabs>
              <w:jc w:val="center"/>
              <w:rPr>
                <w:rFonts w:ascii="Arial" w:hAnsi="Arial" w:cs="Arial"/>
              </w:rPr>
            </w:pPr>
            <w:r>
              <w:rPr>
                <w:rFonts w:ascii="Arial" w:hAnsi="Arial" w:cs="Arial"/>
              </w:rPr>
              <w:t>.1</w:t>
            </w:r>
            <w:r w:rsidR="005B22C7">
              <w:rPr>
                <w:rFonts w:ascii="Arial" w:hAnsi="Arial" w:cs="Arial"/>
              </w:rPr>
              <w:t>8</w:t>
            </w:r>
          </w:p>
        </w:tc>
        <w:tc>
          <w:tcPr>
            <w:tcW w:w="1350" w:type="dxa"/>
            <w:vAlign w:val="center"/>
          </w:tcPr>
          <w:p w:rsidR="00C42460" w:rsidRDefault="006313B9">
            <w:pPr>
              <w:tabs>
                <w:tab w:val="left" w:pos="360"/>
                <w:tab w:val="left" w:pos="720"/>
              </w:tabs>
              <w:jc w:val="center"/>
              <w:rPr>
                <w:rFonts w:ascii="Arial" w:hAnsi="Arial" w:cs="Arial"/>
              </w:rPr>
            </w:pPr>
            <w:r>
              <w:rPr>
                <w:rFonts w:ascii="Arial" w:hAnsi="Arial" w:cs="Arial"/>
              </w:rPr>
              <w:t>1</w:t>
            </w:r>
          </w:p>
        </w:tc>
        <w:tc>
          <w:tcPr>
            <w:tcW w:w="1170" w:type="dxa"/>
            <w:vAlign w:val="center"/>
          </w:tcPr>
          <w:p w:rsidR="00C42460" w:rsidRDefault="00BB5789">
            <w:pPr>
              <w:jc w:val="center"/>
            </w:pPr>
            <w:r>
              <w:rPr>
                <w:rFonts w:ascii="Arial" w:hAnsi="Arial" w:cs="Arial"/>
              </w:rPr>
              <w:t>$22</w:t>
            </w:r>
            <w:r w:rsidR="00C42460">
              <w:rPr>
                <w:rFonts w:ascii="Arial" w:hAnsi="Arial" w:cs="Arial"/>
              </w:rPr>
              <w:t>.00</w:t>
            </w:r>
          </w:p>
        </w:tc>
        <w:tc>
          <w:tcPr>
            <w:tcW w:w="1158" w:type="dxa"/>
            <w:vAlign w:val="center"/>
          </w:tcPr>
          <w:p w:rsidR="00C42460" w:rsidRDefault="006313B9">
            <w:pPr>
              <w:tabs>
                <w:tab w:val="left" w:pos="360"/>
                <w:tab w:val="left" w:pos="720"/>
              </w:tabs>
              <w:jc w:val="right"/>
              <w:rPr>
                <w:rFonts w:ascii="Arial" w:hAnsi="Arial" w:cs="Arial"/>
              </w:rPr>
            </w:pPr>
            <w:r>
              <w:rPr>
                <w:rFonts w:ascii="Arial" w:hAnsi="Arial" w:cs="Arial"/>
              </w:rPr>
              <w:t>22</w:t>
            </w:r>
          </w:p>
        </w:tc>
      </w:tr>
      <w:tr w:rsidR="00C42460">
        <w:tc>
          <w:tcPr>
            <w:tcW w:w="2088" w:type="dxa"/>
            <w:vAlign w:val="center"/>
          </w:tcPr>
          <w:p w:rsidR="00C42460" w:rsidRDefault="00C42460">
            <w:pPr>
              <w:tabs>
                <w:tab w:val="left" w:pos="360"/>
                <w:tab w:val="left" w:pos="720"/>
              </w:tabs>
              <w:rPr>
                <w:rFonts w:ascii="Arial" w:hAnsi="Arial" w:cs="Arial"/>
              </w:rPr>
            </w:pPr>
            <w:r>
              <w:rPr>
                <w:rFonts w:ascii="Arial" w:hAnsi="Arial" w:cs="Arial"/>
              </w:rPr>
              <w:t xml:space="preserve">Notice of Default </w:t>
            </w:r>
          </w:p>
        </w:tc>
        <w:tc>
          <w:tcPr>
            <w:tcW w:w="1405" w:type="dxa"/>
            <w:vAlign w:val="center"/>
          </w:tcPr>
          <w:p w:rsidR="00C42460" w:rsidRDefault="006313B9">
            <w:pPr>
              <w:tabs>
                <w:tab w:val="left" w:pos="360"/>
                <w:tab w:val="left" w:pos="720"/>
              </w:tabs>
              <w:jc w:val="center"/>
              <w:rPr>
                <w:rFonts w:ascii="Arial" w:hAnsi="Arial" w:cs="Arial"/>
              </w:rPr>
            </w:pPr>
            <w:r>
              <w:rPr>
                <w:rFonts w:ascii="Arial" w:hAnsi="Arial" w:cs="Arial"/>
              </w:rPr>
              <w:t>6</w:t>
            </w:r>
          </w:p>
        </w:tc>
        <w:tc>
          <w:tcPr>
            <w:tcW w:w="1295" w:type="dxa"/>
            <w:vAlign w:val="center"/>
          </w:tcPr>
          <w:p w:rsidR="00C42460" w:rsidRDefault="004B7582">
            <w:pPr>
              <w:tabs>
                <w:tab w:val="left" w:pos="360"/>
                <w:tab w:val="left" w:pos="720"/>
              </w:tabs>
              <w:jc w:val="center"/>
              <w:rPr>
                <w:rFonts w:ascii="Arial" w:hAnsi="Arial" w:cs="Arial"/>
              </w:rPr>
            </w:pPr>
            <w:r>
              <w:rPr>
                <w:rFonts w:ascii="Arial" w:hAnsi="Arial" w:cs="Arial"/>
              </w:rPr>
              <w:t>1</w:t>
            </w:r>
          </w:p>
        </w:tc>
        <w:tc>
          <w:tcPr>
            <w:tcW w:w="1313" w:type="dxa"/>
            <w:vAlign w:val="center"/>
          </w:tcPr>
          <w:p w:rsidR="00C42460" w:rsidRDefault="006313B9">
            <w:pPr>
              <w:tabs>
                <w:tab w:val="left" w:pos="360"/>
                <w:tab w:val="left" w:pos="720"/>
              </w:tabs>
              <w:jc w:val="center"/>
              <w:rPr>
                <w:rFonts w:ascii="Arial" w:hAnsi="Arial" w:cs="Arial"/>
              </w:rPr>
            </w:pPr>
            <w:r>
              <w:rPr>
                <w:rFonts w:ascii="Arial" w:hAnsi="Arial" w:cs="Arial"/>
              </w:rPr>
              <w:t>6</w:t>
            </w:r>
          </w:p>
        </w:tc>
        <w:tc>
          <w:tcPr>
            <w:tcW w:w="1117" w:type="dxa"/>
            <w:vAlign w:val="center"/>
          </w:tcPr>
          <w:p w:rsidR="00C42460" w:rsidRDefault="00C42460">
            <w:pPr>
              <w:tabs>
                <w:tab w:val="left" w:pos="360"/>
                <w:tab w:val="left" w:pos="720"/>
              </w:tabs>
              <w:jc w:val="center"/>
              <w:rPr>
                <w:rFonts w:ascii="Arial" w:hAnsi="Arial" w:cs="Arial"/>
              </w:rPr>
            </w:pPr>
            <w:r>
              <w:rPr>
                <w:rFonts w:ascii="Arial" w:hAnsi="Arial" w:cs="Arial"/>
              </w:rPr>
              <w:t>.50</w:t>
            </w:r>
          </w:p>
        </w:tc>
        <w:tc>
          <w:tcPr>
            <w:tcW w:w="1350" w:type="dxa"/>
            <w:vAlign w:val="center"/>
          </w:tcPr>
          <w:p w:rsidR="00C42460" w:rsidRDefault="006313B9">
            <w:pPr>
              <w:tabs>
                <w:tab w:val="left" w:pos="360"/>
                <w:tab w:val="left" w:pos="720"/>
              </w:tabs>
              <w:jc w:val="center"/>
              <w:rPr>
                <w:rFonts w:ascii="Arial" w:hAnsi="Arial" w:cs="Arial"/>
              </w:rPr>
            </w:pPr>
            <w:r>
              <w:rPr>
                <w:rFonts w:ascii="Arial" w:hAnsi="Arial" w:cs="Arial"/>
              </w:rPr>
              <w:t>3</w:t>
            </w:r>
          </w:p>
        </w:tc>
        <w:tc>
          <w:tcPr>
            <w:tcW w:w="1170" w:type="dxa"/>
            <w:vAlign w:val="center"/>
          </w:tcPr>
          <w:p w:rsidR="00C42460" w:rsidRDefault="00BB5789">
            <w:pPr>
              <w:jc w:val="center"/>
            </w:pPr>
            <w:r>
              <w:rPr>
                <w:rFonts w:ascii="Arial" w:hAnsi="Arial" w:cs="Arial"/>
              </w:rPr>
              <w:t>$22</w:t>
            </w:r>
            <w:r w:rsidR="00C42460">
              <w:rPr>
                <w:rFonts w:ascii="Arial" w:hAnsi="Arial" w:cs="Arial"/>
              </w:rPr>
              <w:t>.00</w:t>
            </w:r>
          </w:p>
        </w:tc>
        <w:tc>
          <w:tcPr>
            <w:tcW w:w="1158" w:type="dxa"/>
            <w:vAlign w:val="center"/>
          </w:tcPr>
          <w:p w:rsidR="00C42460" w:rsidRDefault="006313B9">
            <w:pPr>
              <w:tabs>
                <w:tab w:val="left" w:pos="360"/>
                <w:tab w:val="left" w:pos="720"/>
              </w:tabs>
              <w:jc w:val="right"/>
              <w:rPr>
                <w:rFonts w:ascii="Arial" w:hAnsi="Arial" w:cs="Arial"/>
              </w:rPr>
            </w:pPr>
            <w:r>
              <w:rPr>
                <w:rFonts w:ascii="Arial" w:hAnsi="Arial" w:cs="Arial"/>
              </w:rPr>
              <w:t>66</w:t>
            </w:r>
          </w:p>
        </w:tc>
      </w:tr>
      <w:tr w:rsidR="00C42460">
        <w:tc>
          <w:tcPr>
            <w:tcW w:w="2088" w:type="dxa"/>
            <w:vAlign w:val="center"/>
          </w:tcPr>
          <w:p w:rsidR="00C42460" w:rsidRDefault="00C42460">
            <w:pPr>
              <w:tabs>
                <w:tab w:val="left" w:pos="360"/>
                <w:tab w:val="left" w:pos="720"/>
              </w:tabs>
              <w:rPr>
                <w:rFonts w:ascii="Arial" w:hAnsi="Arial" w:cs="Arial"/>
              </w:rPr>
            </w:pPr>
            <w:r>
              <w:rPr>
                <w:rFonts w:ascii="Arial" w:hAnsi="Arial" w:cs="Arial"/>
              </w:rPr>
              <w:t>Totals</w:t>
            </w:r>
          </w:p>
        </w:tc>
        <w:tc>
          <w:tcPr>
            <w:tcW w:w="1405" w:type="dxa"/>
            <w:vAlign w:val="center"/>
          </w:tcPr>
          <w:p w:rsidR="00C42460" w:rsidRDefault="006313B9">
            <w:pPr>
              <w:tabs>
                <w:tab w:val="left" w:pos="360"/>
                <w:tab w:val="left" w:pos="720"/>
              </w:tabs>
              <w:jc w:val="center"/>
              <w:rPr>
                <w:rFonts w:ascii="Arial" w:hAnsi="Arial" w:cs="Arial"/>
              </w:rPr>
            </w:pPr>
            <w:r>
              <w:rPr>
                <w:rFonts w:ascii="Arial" w:hAnsi="Arial" w:cs="Arial"/>
              </w:rPr>
              <w:t>247</w:t>
            </w:r>
          </w:p>
        </w:tc>
        <w:tc>
          <w:tcPr>
            <w:tcW w:w="1295" w:type="dxa"/>
            <w:vAlign w:val="center"/>
          </w:tcPr>
          <w:p w:rsidR="00C42460" w:rsidRDefault="00C42460">
            <w:pPr>
              <w:tabs>
                <w:tab w:val="left" w:pos="360"/>
                <w:tab w:val="left" w:pos="720"/>
              </w:tabs>
              <w:jc w:val="center"/>
              <w:rPr>
                <w:rFonts w:ascii="Arial" w:hAnsi="Arial" w:cs="Arial"/>
              </w:rPr>
            </w:pPr>
          </w:p>
        </w:tc>
        <w:tc>
          <w:tcPr>
            <w:tcW w:w="1313" w:type="dxa"/>
            <w:vAlign w:val="center"/>
          </w:tcPr>
          <w:p w:rsidR="00C42460" w:rsidRDefault="006313B9" w:rsidP="006313B9">
            <w:pPr>
              <w:tabs>
                <w:tab w:val="left" w:pos="360"/>
                <w:tab w:val="left" w:pos="720"/>
              </w:tabs>
              <w:jc w:val="center"/>
              <w:rPr>
                <w:rFonts w:ascii="Arial" w:hAnsi="Arial" w:cs="Arial"/>
              </w:rPr>
            </w:pPr>
            <w:r>
              <w:rPr>
                <w:rFonts w:ascii="Arial" w:hAnsi="Arial" w:cs="Arial"/>
              </w:rPr>
              <w:t>494</w:t>
            </w:r>
          </w:p>
        </w:tc>
        <w:tc>
          <w:tcPr>
            <w:tcW w:w="1117" w:type="dxa"/>
            <w:vAlign w:val="center"/>
          </w:tcPr>
          <w:p w:rsidR="00C42460" w:rsidRDefault="00C42460">
            <w:pPr>
              <w:tabs>
                <w:tab w:val="left" w:pos="360"/>
                <w:tab w:val="left" w:pos="720"/>
              </w:tabs>
              <w:jc w:val="center"/>
              <w:rPr>
                <w:rFonts w:ascii="Arial" w:hAnsi="Arial" w:cs="Arial"/>
              </w:rPr>
            </w:pPr>
          </w:p>
        </w:tc>
        <w:tc>
          <w:tcPr>
            <w:tcW w:w="1350" w:type="dxa"/>
            <w:vAlign w:val="center"/>
          </w:tcPr>
          <w:p w:rsidR="00C42460" w:rsidRDefault="006313B9">
            <w:pPr>
              <w:tabs>
                <w:tab w:val="left" w:pos="360"/>
                <w:tab w:val="left" w:pos="720"/>
              </w:tabs>
              <w:jc w:val="center"/>
              <w:rPr>
                <w:rFonts w:ascii="Arial" w:hAnsi="Arial" w:cs="Arial"/>
              </w:rPr>
            </w:pPr>
            <w:r>
              <w:rPr>
                <w:rFonts w:ascii="Arial" w:hAnsi="Arial" w:cs="Arial"/>
              </w:rPr>
              <w:t>91</w:t>
            </w:r>
          </w:p>
        </w:tc>
        <w:tc>
          <w:tcPr>
            <w:tcW w:w="1170" w:type="dxa"/>
            <w:vAlign w:val="center"/>
          </w:tcPr>
          <w:p w:rsidR="00C42460" w:rsidRDefault="00C42460">
            <w:pPr>
              <w:jc w:val="center"/>
              <w:rPr>
                <w:rFonts w:ascii="Arial" w:hAnsi="Arial" w:cs="Arial"/>
              </w:rPr>
            </w:pPr>
          </w:p>
        </w:tc>
        <w:tc>
          <w:tcPr>
            <w:tcW w:w="1158" w:type="dxa"/>
            <w:vAlign w:val="center"/>
          </w:tcPr>
          <w:p w:rsidR="00C42460" w:rsidRDefault="00BB5789" w:rsidP="006313B9">
            <w:pPr>
              <w:tabs>
                <w:tab w:val="left" w:pos="360"/>
                <w:tab w:val="left" w:pos="720"/>
              </w:tabs>
              <w:jc w:val="right"/>
              <w:rPr>
                <w:rFonts w:ascii="Arial" w:hAnsi="Arial" w:cs="Arial"/>
              </w:rPr>
            </w:pPr>
            <w:r>
              <w:rPr>
                <w:rFonts w:ascii="Arial" w:hAnsi="Arial" w:cs="Arial"/>
              </w:rPr>
              <w:t>$</w:t>
            </w:r>
            <w:r w:rsidR="006313B9">
              <w:rPr>
                <w:rFonts w:ascii="Arial" w:hAnsi="Arial" w:cs="Arial"/>
              </w:rPr>
              <w:t>2002</w:t>
            </w:r>
          </w:p>
        </w:tc>
      </w:tr>
    </w:tbl>
    <w:p w:rsidR="009E2F72" w:rsidRDefault="009E2F72">
      <w:pPr>
        <w:pStyle w:val="BodyTextIndent3"/>
        <w:ind w:left="360"/>
        <w:rPr>
          <w:sz w:val="20"/>
        </w:rPr>
      </w:pPr>
    </w:p>
    <w:p w:rsidR="009E2F72" w:rsidRDefault="00CD45D7">
      <w:pPr>
        <w:pStyle w:val="BodyTextIndent3"/>
        <w:ind w:left="360"/>
        <w:rPr>
          <w:sz w:val="20"/>
        </w:rPr>
      </w:pPr>
      <w:r>
        <w:rPr>
          <w:sz w:val="20"/>
        </w:rPr>
        <w:lastRenderedPageBreak/>
        <w:t xml:space="preserve">Notes:  </w:t>
      </w:r>
    </w:p>
    <w:p w:rsidR="009E2F72" w:rsidRDefault="00D354B1" w:rsidP="009E2F72">
      <w:pPr>
        <w:pStyle w:val="BodyTextIndent3"/>
        <w:numPr>
          <w:ilvl w:val="0"/>
          <w:numId w:val="18"/>
        </w:numPr>
        <w:rPr>
          <w:sz w:val="20"/>
        </w:rPr>
      </w:pPr>
      <w:r>
        <w:rPr>
          <w:sz w:val="20"/>
        </w:rPr>
        <w:t xml:space="preserve">Twenty-two </w:t>
      </w:r>
      <w:r w:rsidR="00C42460">
        <w:rPr>
          <w:sz w:val="20"/>
        </w:rPr>
        <w:t>lend</w:t>
      </w:r>
      <w:r>
        <w:rPr>
          <w:sz w:val="20"/>
        </w:rPr>
        <w:t>ers currently hold such loans</w:t>
      </w:r>
      <w:r w:rsidR="004B7582">
        <w:rPr>
          <w:sz w:val="20"/>
        </w:rPr>
        <w:t>.  This is a decrease of eight lenders from</w:t>
      </w:r>
      <w:r>
        <w:rPr>
          <w:sz w:val="20"/>
        </w:rPr>
        <w:t xml:space="preserve"> the last information collection.  </w:t>
      </w:r>
    </w:p>
    <w:p w:rsidR="009E2F72" w:rsidRDefault="00C42460" w:rsidP="009E2F72">
      <w:pPr>
        <w:pStyle w:val="BodyTextIndent3"/>
        <w:numPr>
          <w:ilvl w:val="0"/>
          <w:numId w:val="18"/>
        </w:numPr>
        <w:rPr>
          <w:sz w:val="20"/>
        </w:rPr>
      </w:pPr>
      <w:r>
        <w:rPr>
          <w:sz w:val="20"/>
        </w:rPr>
        <w:t xml:space="preserve">The notice of default must contain case specific information and is done on </w:t>
      </w:r>
      <w:r w:rsidR="00D354B1">
        <w:rPr>
          <w:sz w:val="20"/>
        </w:rPr>
        <w:t xml:space="preserve">each loan individually.  </w:t>
      </w:r>
    </w:p>
    <w:p w:rsidR="00C42460" w:rsidRDefault="00D354B1" w:rsidP="009E2F72">
      <w:pPr>
        <w:pStyle w:val="BodyTextIndent3"/>
        <w:numPr>
          <w:ilvl w:val="0"/>
          <w:numId w:val="18"/>
        </w:numPr>
        <w:rPr>
          <w:sz w:val="20"/>
        </w:rPr>
      </w:pPr>
      <w:r>
        <w:rPr>
          <w:sz w:val="20"/>
        </w:rPr>
        <w:t>The $22</w:t>
      </w:r>
      <w:r w:rsidR="00C42460">
        <w:rPr>
          <w:sz w:val="20"/>
        </w:rPr>
        <w:t>/hour cost is based on an average annual salary of $4</w:t>
      </w:r>
      <w:r w:rsidR="00BB5789">
        <w:rPr>
          <w:sz w:val="20"/>
        </w:rPr>
        <w:t>5</w:t>
      </w:r>
      <w:r w:rsidR="00C42460">
        <w:rPr>
          <w:sz w:val="20"/>
        </w:rPr>
        <w:t>,000.</w:t>
      </w:r>
    </w:p>
    <w:p w:rsidR="009E3303" w:rsidRPr="009E3303" w:rsidRDefault="00C42460" w:rsidP="009E3303">
      <w:pPr>
        <w:numPr>
          <w:ilvl w:val="0"/>
          <w:numId w:val="18"/>
        </w:numPr>
        <w:tabs>
          <w:tab w:val="left" w:pos="240"/>
        </w:tabs>
        <w:rPr>
          <w:sz w:val="24"/>
        </w:rPr>
      </w:pPr>
      <w:r>
        <w:t xml:space="preserve">Notice of Delinquency to DHHL only – Notice of Delinquency to HUD is included in 2502-0060.  </w:t>
      </w:r>
    </w:p>
    <w:p w:rsidR="006313B9" w:rsidRDefault="006313B9" w:rsidP="009E3303">
      <w:pPr>
        <w:tabs>
          <w:tab w:val="left" w:pos="240"/>
        </w:tabs>
        <w:ind w:left="1080"/>
      </w:pPr>
    </w:p>
    <w:p w:rsidR="0008126C" w:rsidRDefault="006313B9" w:rsidP="0008126C">
      <w:pPr>
        <w:tabs>
          <w:tab w:val="left" w:pos="360"/>
          <w:tab w:val="left" w:pos="720"/>
        </w:tabs>
        <w:rPr>
          <w:sz w:val="24"/>
        </w:rPr>
      </w:pPr>
      <w:r>
        <w:rPr>
          <w:sz w:val="24"/>
        </w:rPr>
        <w:t xml:space="preserve">Defaults have drastically decreased.  Under the last collection renewal in 2008, approximately 30 notices of defaults were processed.  Over the period of January 1, 2011 through December 31, 2011, there were only six cases of defaults recorded.  </w:t>
      </w:r>
      <w:r w:rsidR="0008126C" w:rsidRPr="0008126C">
        <w:rPr>
          <w:sz w:val="24"/>
          <w:szCs w:val="24"/>
        </w:rPr>
        <w:t>Delinquencies have decreased significantly primarily due to the reporting requirements which allows DHHL to act quickly with homeowners facing challenges.</w:t>
      </w:r>
    </w:p>
    <w:p w:rsidR="00C42460" w:rsidRDefault="009E3303" w:rsidP="009E3303">
      <w:pPr>
        <w:tabs>
          <w:tab w:val="left" w:pos="240"/>
        </w:tabs>
        <w:ind w:left="1080"/>
      </w:pPr>
      <w:r>
        <w:t xml:space="preserve"> </w:t>
      </w:r>
    </w:p>
    <w:tbl>
      <w:tblPr>
        <w:tblStyle w:val="TableGrid"/>
        <w:tblW w:w="0" w:type="auto"/>
        <w:tblInd w:w="1080" w:type="dxa"/>
        <w:tblLook w:val="04A0"/>
      </w:tblPr>
      <w:tblGrid>
        <w:gridCol w:w="4698"/>
        <w:gridCol w:w="1440"/>
      </w:tblGrid>
      <w:tr w:rsidR="00A73F2B" w:rsidTr="00A73F2B">
        <w:tc>
          <w:tcPr>
            <w:tcW w:w="4698" w:type="dxa"/>
          </w:tcPr>
          <w:p w:rsidR="00A73F2B" w:rsidRDefault="00A73F2B" w:rsidP="009E3303">
            <w:pPr>
              <w:tabs>
                <w:tab w:val="left" w:pos="240"/>
              </w:tabs>
              <w:rPr>
                <w:sz w:val="24"/>
              </w:rPr>
            </w:pPr>
            <w:r>
              <w:rPr>
                <w:sz w:val="24"/>
              </w:rPr>
              <w:t>Number of Defaults by Year</w:t>
            </w:r>
          </w:p>
        </w:tc>
        <w:tc>
          <w:tcPr>
            <w:tcW w:w="1440" w:type="dxa"/>
          </w:tcPr>
          <w:p w:rsidR="00A73F2B" w:rsidRDefault="00A73F2B" w:rsidP="009E3303">
            <w:pPr>
              <w:tabs>
                <w:tab w:val="left" w:pos="240"/>
              </w:tabs>
              <w:rPr>
                <w:sz w:val="24"/>
              </w:rPr>
            </w:pPr>
            <w:r>
              <w:rPr>
                <w:sz w:val="24"/>
              </w:rPr>
              <w:t>Count</w:t>
            </w:r>
          </w:p>
        </w:tc>
      </w:tr>
      <w:tr w:rsidR="00A73F2B" w:rsidTr="00A73F2B">
        <w:tc>
          <w:tcPr>
            <w:tcW w:w="4698" w:type="dxa"/>
          </w:tcPr>
          <w:p w:rsidR="00A73F2B" w:rsidRDefault="00A73F2B" w:rsidP="009E3303">
            <w:pPr>
              <w:tabs>
                <w:tab w:val="left" w:pos="240"/>
              </w:tabs>
              <w:rPr>
                <w:sz w:val="24"/>
              </w:rPr>
            </w:pPr>
            <w:r>
              <w:rPr>
                <w:sz w:val="24"/>
              </w:rPr>
              <w:t>2009</w:t>
            </w:r>
          </w:p>
        </w:tc>
        <w:tc>
          <w:tcPr>
            <w:tcW w:w="1440" w:type="dxa"/>
          </w:tcPr>
          <w:p w:rsidR="00A73F2B" w:rsidRDefault="00A73F2B" w:rsidP="009E3303">
            <w:pPr>
              <w:tabs>
                <w:tab w:val="left" w:pos="240"/>
              </w:tabs>
              <w:rPr>
                <w:sz w:val="24"/>
              </w:rPr>
            </w:pPr>
            <w:r>
              <w:rPr>
                <w:sz w:val="24"/>
              </w:rPr>
              <w:t>111</w:t>
            </w:r>
          </w:p>
        </w:tc>
      </w:tr>
      <w:tr w:rsidR="00A73F2B" w:rsidTr="00A73F2B">
        <w:tc>
          <w:tcPr>
            <w:tcW w:w="4698" w:type="dxa"/>
          </w:tcPr>
          <w:p w:rsidR="00A73F2B" w:rsidRDefault="00A73F2B" w:rsidP="009E3303">
            <w:pPr>
              <w:tabs>
                <w:tab w:val="left" w:pos="240"/>
              </w:tabs>
              <w:rPr>
                <w:sz w:val="24"/>
              </w:rPr>
            </w:pPr>
            <w:r>
              <w:rPr>
                <w:sz w:val="24"/>
              </w:rPr>
              <w:t>2010</w:t>
            </w:r>
          </w:p>
        </w:tc>
        <w:tc>
          <w:tcPr>
            <w:tcW w:w="1440" w:type="dxa"/>
          </w:tcPr>
          <w:p w:rsidR="00A73F2B" w:rsidRDefault="00A73F2B" w:rsidP="009E3303">
            <w:pPr>
              <w:tabs>
                <w:tab w:val="left" w:pos="240"/>
              </w:tabs>
              <w:rPr>
                <w:sz w:val="24"/>
              </w:rPr>
            </w:pPr>
            <w:r>
              <w:rPr>
                <w:sz w:val="24"/>
              </w:rPr>
              <w:t>35</w:t>
            </w:r>
          </w:p>
        </w:tc>
      </w:tr>
      <w:tr w:rsidR="00A73F2B" w:rsidTr="00A73F2B">
        <w:tc>
          <w:tcPr>
            <w:tcW w:w="4698" w:type="dxa"/>
          </w:tcPr>
          <w:p w:rsidR="00A73F2B" w:rsidRDefault="00A73F2B" w:rsidP="009E3303">
            <w:pPr>
              <w:tabs>
                <w:tab w:val="left" w:pos="240"/>
              </w:tabs>
              <w:rPr>
                <w:sz w:val="24"/>
              </w:rPr>
            </w:pPr>
            <w:r>
              <w:rPr>
                <w:sz w:val="24"/>
              </w:rPr>
              <w:t>2011</w:t>
            </w:r>
          </w:p>
        </w:tc>
        <w:tc>
          <w:tcPr>
            <w:tcW w:w="1440" w:type="dxa"/>
          </w:tcPr>
          <w:p w:rsidR="00A73F2B" w:rsidRDefault="00A73F2B" w:rsidP="009E3303">
            <w:pPr>
              <w:tabs>
                <w:tab w:val="left" w:pos="240"/>
              </w:tabs>
              <w:rPr>
                <w:sz w:val="24"/>
              </w:rPr>
            </w:pPr>
            <w:r>
              <w:rPr>
                <w:sz w:val="24"/>
              </w:rPr>
              <w:t>6</w:t>
            </w:r>
          </w:p>
        </w:tc>
      </w:tr>
      <w:tr w:rsidR="00A73F2B" w:rsidTr="00A73F2B">
        <w:tc>
          <w:tcPr>
            <w:tcW w:w="4698" w:type="dxa"/>
          </w:tcPr>
          <w:p w:rsidR="00A73F2B" w:rsidRDefault="00A73F2B" w:rsidP="009E3303">
            <w:pPr>
              <w:tabs>
                <w:tab w:val="left" w:pos="240"/>
              </w:tabs>
              <w:rPr>
                <w:sz w:val="24"/>
              </w:rPr>
            </w:pPr>
            <w:r>
              <w:rPr>
                <w:sz w:val="24"/>
              </w:rPr>
              <w:t>Average number of defaults</w:t>
            </w:r>
          </w:p>
        </w:tc>
        <w:tc>
          <w:tcPr>
            <w:tcW w:w="1440" w:type="dxa"/>
          </w:tcPr>
          <w:p w:rsidR="00A73F2B" w:rsidRDefault="00A73F2B" w:rsidP="009E3303">
            <w:pPr>
              <w:tabs>
                <w:tab w:val="left" w:pos="240"/>
              </w:tabs>
              <w:rPr>
                <w:sz w:val="24"/>
              </w:rPr>
            </w:pPr>
            <w:r>
              <w:rPr>
                <w:sz w:val="24"/>
              </w:rPr>
              <w:t>51</w:t>
            </w:r>
          </w:p>
        </w:tc>
      </w:tr>
    </w:tbl>
    <w:p w:rsidR="00A73F2B" w:rsidRPr="009E3303" w:rsidRDefault="00A73F2B" w:rsidP="009E3303">
      <w:pPr>
        <w:tabs>
          <w:tab w:val="left" w:pos="240"/>
        </w:tabs>
        <w:ind w:left="1080"/>
        <w:rPr>
          <w:sz w:val="24"/>
        </w:rPr>
      </w:pPr>
    </w:p>
    <w:p w:rsidR="00C42460" w:rsidRDefault="00C42460">
      <w:pPr>
        <w:numPr>
          <w:ilvl w:val="0"/>
          <w:numId w:val="14"/>
        </w:numPr>
        <w:tabs>
          <w:tab w:val="left" w:pos="720"/>
        </w:tabs>
        <w:rPr>
          <w:sz w:val="24"/>
        </w:rPr>
      </w:pPr>
      <w:r>
        <w:rPr>
          <w:sz w:val="24"/>
        </w:rPr>
        <w:t>There are no additional costs to respondents.</w:t>
      </w:r>
    </w:p>
    <w:p w:rsidR="00C42460" w:rsidRDefault="00C42460">
      <w:pPr>
        <w:tabs>
          <w:tab w:val="left" w:pos="360"/>
        </w:tabs>
        <w:ind w:left="360" w:hanging="360"/>
        <w:rPr>
          <w:sz w:val="24"/>
        </w:rPr>
      </w:pPr>
    </w:p>
    <w:p w:rsidR="00C42460" w:rsidRDefault="00C42460">
      <w:pPr>
        <w:keepNext/>
        <w:numPr>
          <w:ilvl w:val="0"/>
          <w:numId w:val="14"/>
        </w:numPr>
        <w:rPr>
          <w:sz w:val="24"/>
        </w:rPr>
      </w:pPr>
      <w:r>
        <w:rPr>
          <w:sz w:val="24"/>
        </w:rPr>
        <w:t>Costs to the Federal Government:</w:t>
      </w:r>
    </w:p>
    <w:p w:rsidR="00C42460" w:rsidRDefault="00A73F2B">
      <w:pPr>
        <w:keepNext/>
        <w:rPr>
          <w:sz w:val="24"/>
        </w:rPr>
      </w:pPr>
      <w:r>
        <w:rPr>
          <w:sz w:val="24"/>
        </w:rPr>
        <w:t>(</w:t>
      </w:r>
      <w:r w:rsidR="000B2BDD">
        <w:rPr>
          <w:sz w:val="24"/>
        </w:rPr>
        <w:t>Data is</w:t>
      </w:r>
      <w:r>
        <w:rPr>
          <w:sz w:val="24"/>
        </w:rPr>
        <w:t xml:space="preserve"> based on a period from January 1, - December 31, 2011)</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8"/>
        <w:gridCol w:w="1764"/>
        <w:gridCol w:w="1764"/>
        <w:gridCol w:w="1764"/>
        <w:gridCol w:w="1764"/>
        <w:gridCol w:w="1764"/>
      </w:tblGrid>
      <w:tr w:rsidR="00C42460">
        <w:tc>
          <w:tcPr>
            <w:tcW w:w="2088" w:type="dxa"/>
            <w:vAlign w:val="center"/>
          </w:tcPr>
          <w:p w:rsidR="00C42460" w:rsidRDefault="00C42460">
            <w:pPr>
              <w:keepNext/>
              <w:tabs>
                <w:tab w:val="left" w:pos="360"/>
                <w:tab w:val="left" w:pos="720"/>
              </w:tabs>
              <w:jc w:val="center"/>
              <w:rPr>
                <w:rFonts w:ascii="Arial" w:hAnsi="Arial" w:cs="Arial"/>
              </w:rPr>
            </w:pPr>
          </w:p>
        </w:tc>
        <w:tc>
          <w:tcPr>
            <w:tcW w:w="1764" w:type="dxa"/>
            <w:vAlign w:val="center"/>
          </w:tcPr>
          <w:p w:rsidR="00A73F2B" w:rsidRDefault="00C42460" w:rsidP="00A73F2B">
            <w:pPr>
              <w:keepNext/>
              <w:tabs>
                <w:tab w:val="left" w:pos="360"/>
                <w:tab w:val="left" w:pos="720"/>
              </w:tabs>
              <w:jc w:val="center"/>
              <w:rPr>
                <w:rFonts w:ascii="Arial" w:hAnsi="Arial" w:cs="Arial"/>
              </w:rPr>
            </w:pPr>
            <w:r>
              <w:rPr>
                <w:rFonts w:ascii="Arial" w:hAnsi="Arial" w:cs="Arial"/>
              </w:rPr>
              <w:t>Total Annual Responses</w:t>
            </w:r>
          </w:p>
        </w:tc>
        <w:tc>
          <w:tcPr>
            <w:tcW w:w="1764" w:type="dxa"/>
            <w:vAlign w:val="center"/>
          </w:tcPr>
          <w:p w:rsidR="00C42460" w:rsidRDefault="00C42460">
            <w:pPr>
              <w:keepNext/>
              <w:tabs>
                <w:tab w:val="left" w:pos="360"/>
                <w:tab w:val="left" w:pos="720"/>
              </w:tabs>
              <w:jc w:val="center"/>
              <w:rPr>
                <w:rFonts w:ascii="Arial" w:hAnsi="Arial" w:cs="Arial"/>
              </w:rPr>
            </w:pPr>
            <w:r>
              <w:rPr>
                <w:rFonts w:ascii="Arial" w:hAnsi="Arial" w:cs="Arial"/>
              </w:rPr>
              <w:t>Hours per Response</w:t>
            </w:r>
          </w:p>
        </w:tc>
        <w:tc>
          <w:tcPr>
            <w:tcW w:w="1764" w:type="dxa"/>
            <w:vAlign w:val="center"/>
          </w:tcPr>
          <w:p w:rsidR="00C42460" w:rsidRDefault="00C42460">
            <w:pPr>
              <w:keepNext/>
              <w:tabs>
                <w:tab w:val="left" w:pos="360"/>
                <w:tab w:val="left" w:pos="720"/>
              </w:tabs>
              <w:jc w:val="center"/>
              <w:rPr>
                <w:rFonts w:ascii="Arial" w:hAnsi="Arial" w:cs="Arial"/>
              </w:rPr>
            </w:pPr>
            <w:r>
              <w:rPr>
                <w:rFonts w:ascii="Arial" w:hAnsi="Arial" w:cs="Arial"/>
              </w:rPr>
              <w:t>Total Annual Burden Hours</w:t>
            </w:r>
          </w:p>
        </w:tc>
        <w:tc>
          <w:tcPr>
            <w:tcW w:w="1764" w:type="dxa"/>
            <w:vAlign w:val="center"/>
          </w:tcPr>
          <w:p w:rsidR="00C42460" w:rsidRDefault="00C42460">
            <w:pPr>
              <w:keepNext/>
              <w:tabs>
                <w:tab w:val="left" w:pos="360"/>
                <w:tab w:val="left" w:pos="720"/>
              </w:tabs>
              <w:jc w:val="center"/>
              <w:rPr>
                <w:rFonts w:ascii="Arial" w:hAnsi="Arial" w:cs="Arial"/>
              </w:rPr>
            </w:pPr>
            <w:r>
              <w:rPr>
                <w:rFonts w:ascii="Arial" w:hAnsi="Arial" w:cs="Arial"/>
              </w:rPr>
              <w:t>Cost per Burden Hour</w:t>
            </w:r>
          </w:p>
        </w:tc>
        <w:tc>
          <w:tcPr>
            <w:tcW w:w="1764" w:type="dxa"/>
            <w:vAlign w:val="center"/>
          </w:tcPr>
          <w:p w:rsidR="00C42460" w:rsidRDefault="00C42460">
            <w:pPr>
              <w:keepNext/>
              <w:tabs>
                <w:tab w:val="left" w:pos="360"/>
                <w:tab w:val="left" w:pos="720"/>
              </w:tabs>
              <w:jc w:val="center"/>
              <w:rPr>
                <w:rFonts w:ascii="Arial" w:hAnsi="Arial" w:cs="Arial"/>
              </w:rPr>
            </w:pPr>
            <w:r>
              <w:rPr>
                <w:rFonts w:ascii="Arial" w:hAnsi="Arial" w:cs="Arial"/>
              </w:rPr>
              <w:t>Total Annual Cost</w:t>
            </w:r>
          </w:p>
        </w:tc>
      </w:tr>
      <w:tr w:rsidR="00C42460">
        <w:tc>
          <w:tcPr>
            <w:tcW w:w="2088" w:type="dxa"/>
            <w:vAlign w:val="center"/>
          </w:tcPr>
          <w:p w:rsidR="00C42460" w:rsidRDefault="00C42460">
            <w:pPr>
              <w:keepNext/>
              <w:tabs>
                <w:tab w:val="left" w:pos="360"/>
                <w:tab w:val="left" w:pos="720"/>
              </w:tabs>
              <w:rPr>
                <w:rFonts w:ascii="Arial" w:hAnsi="Arial" w:cs="Arial"/>
              </w:rPr>
            </w:pPr>
            <w:r>
              <w:rPr>
                <w:rFonts w:ascii="Arial" w:hAnsi="Arial" w:cs="Arial"/>
              </w:rPr>
              <w:t xml:space="preserve">Notice of Default </w:t>
            </w:r>
          </w:p>
        </w:tc>
        <w:tc>
          <w:tcPr>
            <w:tcW w:w="1764" w:type="dxa"/>
            <w:vAlign w:val="center"/>
          </w:tcPr>
          <w:p w:rsidR="00C42460" w:rsidRDefault="00A73F2B" w:rsidP="00A73F2B">
            <w:pPr>
              <w:keepNext/>
              <w:tabs>
                <w:tab w:val="left" w:pos="360"/>
                <w:tab w:val="left" w:pos="720"/>
              </w:tabs>
              <w:jc w:val="center"/>
              <w:rPr>
                <w:rFonts w:ascii="Arial" w:hAnsi="Arial" w:cs="Arial"/>
              </w:rPr>
            </w:pPr>
            <w:r>
              <w:rPr>
                <w:rFonts w:ascii="Arial" w:hAnsi="Arial" w:cs="Arial"/>
              </w:rPr>
              <w:t>6</w:t>
            </w:r>
          </w:p>
        </w:tc>
        <w:tc>
          <w:tcPr>
            <w:tcW w:w="1764" w:type="dxa"/>
            <w:vAlign w:val="center"/>
          </w:tcPr>
          <w:p w:rsidR="00C42460" w:rsidRDefault="00C42460">
            <w:pPr>
              <w:keepNext/>
              <w:tabs>
                <w:tab w:val="left" w:pos="360"/>
                <w:tab w:val="left" w:pos="720"/>
              </w:tabs>
              <w:jc w:val="center"/>
              <w:rPr>
                <w:rFonts w:ascii="Arial" w:hAnsi="Arial" w:cs="Arial"/>
              </w:rPr>
            </w:pPr>
            <w:r>
              <w:rPr>
                <w:rFonts w:ascii="Arial" w:hAnsi="Arial" w:cs="Arial"/>
              </w:rPr>
              <w:t>.50</w:t>
            </w:r>
          </w:p>
        </w:tc>
        <w:tc>
          <w:tcPr>
            <w:tcW w:w="1764" w:type="dxa"/>
            <w:vAlign w:val="center"/>
          </w:tcPr>
          <w:p w:rsidR="00C42460" w:rsidRDefault="004B7582">
            <w:pPr>
              <w:keepNext/>
              <w:tabs>
                <w:tab w:val="left" w:pos="360"/>
                <w:tab w:val="left" w:pos="720"/>
              </w:tabs>
              <w:jc w:val="center"/>
              <w:rPr>
                <w:rFonts w:ascii="Arial" w:hAnsi="Arial" w:cs="Arial"/>
              </w:rPr>
            </w:pPr>
            <w:r>
              <w:rPr>
                <w:rFonts w:ascii="Arial" w:hAnsi="Arial" w:cs="Arial"/>
              </w:rPr>
              <w:t>16</w:t>
            </w:r>
          </w:p>
        </w:tc>
        <w:tc>
          <w:tcPr>
            <w:tcW w:w="1764" w:type="dxa"/>
            <w:vAlign w:val="center"/>
          </w:tcPr>
          <w:p w:rsidR="00C42460" w:rsidRDefault="00C42460">
            <w:pPr>
              <w:keepNext/>
              <w:jc w:val="center"/>
            </w:pPr>
            <w:r>
              <w:rPr>
                <w:rFonts w:ascii="Arial" w:hAnsi="Arial" w:cs="Arial"/>
              </w:rPr>
              <w:t>$</w:t>
            </w:r>
            <w:r w:rsidR="00BB5789">
              <w:rPr>
                <w:rFonts w:ascii="Arial" w:hAnsi="Arial" w:cs="Arial"/>
              </w:rPr>
              <w:t>57.00</w:t>
            </w:r>
          </w:p>
        </w:tc>
        <w:tc>
          <w:tcPr>
            <w:tcW w:w="1764" w:type="dxa"/>
            <w:vAlign w:val="center"/>
          </w:tcPr>
          <w:p w:rsidR="00C42460" w:rsidRDefault="00C42460" w:rsidP="002B12FE">
            <w:pPr>
              <w:keepNext/>
              <w:tabs>
                <w:tab w:val="left" w:pos="360"/>
                <w:tab w:val="left" w:pos="720"/>
              </w:tabs>
              <w:jc w:val="center"/>
              <w:rPr>
                <w:rFonts w:ascii="Arial" w:hAnsi="Arial" w:cs="Arial"/>
              </w:rPr>
            </w:pPr>
            <w:r>
              <w:rPr>
                <w:rFonts w:ascii="Arial" w:hAnsi="Arial" w:cs="Arial"/>
              </w:rPr>
              <w:t>$</w:t>
            </w:r>
            <w:r w:rsidR="004B7582">
              <w:rPr>
                <w:rFonts w:ascii="Arial" w:hAnsi="Arial" w:cs="Arial"/>
              </w:rPr>
              <w:t>912</w:t>
            </w:r>
          </w:p>
        </w:tc>
      </w:tr>
    </w:tbl>
    <w:p w:rsidR="00C42460" w:rsidRDefault="00C42460">
      <w:pPr>
        <w:pStyle w:val="BodyTextIndent2"/>
        <w:tabs>
          <w:tab w:val="clear" w:pos="720"/>
        </w:tabs>
        <w:rPr>
          <w:sz w:val="20"/>
        </w:rPr>
      </w:pPr>
      <w:r>
        <w:rPr>
          <w:sz w:val="20"/>
        </w:rPr>
        <w:t>Note:  The $</w:t>
      </w:r>
      <w:r w:rsidR="00BB5789">
        <w:rPr>
          <w:sz w:val="20"/>
        </w:rPr>
        <w:t>57</w:t>
      </w:r>
      <w:r>
        <w:rPr>
          <w:sz w:val="20"/>
        </w:rPr>
        <w:t>/hour cost is based on a GS-14/5.</w:t>
      </w:r>
    </w:p>
    <w:p w:rsidR="00C42460" w:rsidRDefault="00C42460">
      <w:pPr>
        <w:ind w:left="360"/>
        <w:rPr>
          <w:sz w:val="24"/>
        </w:rPr>
      </w:pPr>
    </w:p>
    <w:p w:rsidR="00C42460" w:rsidRDefault="00C42460" w:rsidP="00BB5789">
      <w:pPr>
        <w:numPr>
          <w:ilvl w:val="0"/>
          <w:numId w:val="14"/>
        </w:numPr>
        <w:tabs>
          <w:tab w:val="left" w:pos="360"/>
        </w:tabs>
        <w:rPr>
          <w:sz w:val="24"/>
        </w:rPr>
      </w:pPr>
      <w:r w:rsidRPr="00BB5789">
        <w:rPr>
          <w:sz w:val="24"/>
        </w:rPr>
        <w:t>This is a</w:t>
      </w:r>
      <w:r w:rsidR="002A741C">
        <w:rPr>
          <w:sz w:val="24"/>
        </w:rPr>
        <w:t xml:space="preserve"> </w:t>
      </w:r>
      <w:r w:rsidR="009C0E56">
        <w:rPr>
          <w:sz w:val="24"/>
        </w:rPr>
        <w:t>request for a reinstatement with</w:t>
      </w:r>
      <w:r w:rsidR="002A741C">
        <w:rPr>
          <w:sz w:val="24"/>
        </w:rPr>
        <w:t xml:space="preserve"> change.  </w:t>
      </w:r>
      <w:r w:rsidR="009C0E56">
        <w:rPr>
          <w:sz w:val="24"/>
        </w:rPr>
        <w:t>There has been no program changes but adjustments have been made burden due to t</w:t>
      </w:r>
      <w:r w:rsidRPr="00BB5789">
        <w:rPr>
          <w:sz w:val="24"/>
        </w:rPr>
        <w:t xml:space="preserve">he number of respondents has </w:t>
      </w:r>
      <w:r w:rsidR="001D2E88" w:rsidRPr="00BB5789">
        <w:rPr>
          <w:sz w:val="24"/>
        </w:rPr>
        <w:t>decrease</w:t>
      </w:r>
      <w:r w:rsidRPr="00BB5789">
        <w:rPr>
          <w:sz w:val="24"/>
        </w:rPr>
        <w:t xml:space="preserve">d </w:t>
      </w:r>
      <w:r w:rsidR="00E0242E" w:rsidRPr="00BB5789">
        <w:rPr>
          <w:sz w:val="24"/>
        </w:rPr>
        <w:t>as lenders have gone out of business in t</w:t>
      </w:r>
      <w:r w:rsidR="002A741C">
        <w:rPr>
          <w:sz w:val="24"/>
        </w:rPr>
        <w:t>he current mortgage environment</w:t>
      </w:r>
      <w:r w:rsidR="00E0242E" w:rsidRPr="00BB5789">
        <w:rPr>
          <w:sz w:val="24"/>
        </w:rPr>
        <w:t xml:space="preserve"> and</w:t>
      </w:r>
      <w:r w:rsidR="001D2E88" w:rsidRPr="00BB5789">
        <w:rPr>
          <w:sz w:val="24"/>
        </w:rPr>
        <w:t xml:space="preserve"> the number </w:t>
      </w:r>
      <w:r w:rsidR="00E0242E" w:rsidRPr="00BB5789">
        <w:rPr>
          <w:sz w:val="24"/>
        </w:rPr>
        <w:t xml:space="preserve">of </w:t>
      </w:r>
      <w:r w:rsidR="001D2E88" w:rsidRPr="00BB5789">
        <w:rPr>
          <w:sz w:val="24"/>
        </w:rPr>
        <w:t>HHL loans originated over the past few years has declined.</w:t>
      </w:r>
      <w:r w:rsidRPr="00BB5789">
        <w:rPr>
          <w:sz w:val="24"/>
        </w:rPr>
        <w:t xml:space="preserve">  </w:t>
      </w:r>
    </w:p>
    <w:p w:rsidR="00BB5789" w:rsidRPr="00BB5789" w:rsidRDefault="00BB5789" w:rsidP="00BB5789">
      <w:pPr>
        <w:tabs>
          <w:tab w:val="left" w:pos="360"/>
        </w:tabs>
        <w:ind w:left="360"/>
        <w:rPr>
          <w:sz w:val="24"/>
        </w:rPr>
      </w:pPr>
    </w:p>
    <w:p w:rsidR="00C42460" w:rsidRDefault="00C42460">
      <w:pPr>
        <w:pStyle w:val="BodyTextIndent"/>
        <w:numPr>
          <w:ilvl w:val="0"/>
          <w:numId w:val="14"/>
        </w:numPr>
        <w:rPr>
          <w:sz w:val="24"/>
        </w:rPr>
      </w:pPr>
      <w:r>
        <w:rPr>
          <w:sz w:val="24"/>
        </w:rPr>
        <w:t xml:space="preserve">The results of this information collection will not be published. </w:t>
      </w:r>
    </w:p>
    <w:p w:rsidR="00C42460" w:rsidRDefault="00C42460">
      <w:pPr>
        <w:tabs>
          <w:tab w:val="left" w:pos="360"/>
        </w:tabs>
        <w:ind w:left="360" w:hanging="360"/>
        <w:rPr>
          <w:sz w:val="24"/>
        </w:rPr>
      </w:pPr>
    </w:p>
    <w:p w:rsidR="00C42460" w:rsidRDefault="00C42460">
      <w:pPr>
        <w:numPr>
          <w:ilvl w:val="0"/>
          <w:numId w:val="14"/>
        </w:numPr>
        <w:rPr>
          <w:sz w:val="24"/>
        </w:rPr>
      </w:pPr>
      <w:r>
        <w:rPr>
          <w:sz w:val="24"/>
        </w:rPr>
        <w:t>HUD is not seeking approval to avoid displaying the expiration date.</w:t>
      </w:r>
    </w:p>
    <w:p w:rsidR="00C42460" w:rsidRDefault="00C42460">
      <w:pPr>
        <w:tabs>
          <w:tab w:val="left" w:pos="360"/>
        </w:tabs>
        <w:ind w:left="360" w:hanging="360"/>
        <w:rPr>
          <w:sz w:val="24"/>
        </w:rPr>
      </w:pPr>
    </w:p>
    <w:p w:rsidR="00C42460" w:rsidRDefault="00C42460">
      <w:pPr>
        <w:pStyle w:val="Header"/>
        <w:numPr>
          <w:ilvl w:val="0"/>
          <w:numId w:val="14"/>
        </w:numPr>
        <w:tabs>
          <w:tab w:val="clear" w:pos="4320"/>
          <w:tab w:val="clear" w:pos="8640"/>
          <w:tab w:val="left" w:pos="720"/>
        </w:tabs>
        <w:rPr>
          <w:sz w:val="24"/>
        </w:rPr>
      </w:pPr>
      <w:r>
        <w:rPr>
          <w:sz w:val="24"/>
        </w:rPr>
        <w:t>There are no exceptions to the certification statement identified in item 19 of the OMB 83-I.</w:t>
      </w:r>
    </w:p>
    <w:p w:rsidR="00C42460" w:rsidRDefault="00C42460">
      <w:pPr>
        <w:tabs>
          <w:tab w:val="left" w:pos="360"/>
          <w:tab w:val="left" w:pos="720"/>
        </w:tabs>
        <w:rPr>
          <w:sz w:val="24"/>
        </w:rPr>
      </w:pPr>
    </w:p>
    <w:p w:rsidR="00C42460" w:rsidRDefault="00C4246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r>
        <w:rPr>
          <w:b/>
          <w:sz w:val="24"/>
        </w:rPr>
        <w:t xml:space="preserve">B. </w:t>
      </w:r>
      <w:r>
        <w:rPr>
          <w:b/>
          <w:sz w:val="24"/>
        </w:rPr>
        <w:tab/>
        <w:t>Collections of Information Employing Statistical Methods</w:t>
      </w:r>
    </w:p>
    <w:p w:rsidR="00C42460" w:rsidRDefault="00C424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rPr>
      </w:pPr>
    </w:p>
    <w:p w:rsidR="00C42460" w:rsidRDefault="00C42460">
      <w:pPr>
        <w:tabs>
          <w:tab w:val="left" w:pos="360"/>
          <w:tab w:val="left" w:pos="720"/>
        </w:tabs>
        <w:ind w:left="360"/>
        <w:rPr>
          <w:sz w:val="24"/>
        </w:rPr>
      </w:pPr>
      <w:r>
        <w:rPr>
          <w:sz w:val="24"/>
        </w:rPr>
        <w:t>This information collection does not employ statistical methods.</w:t>
      </w:r>
    </w:p>
    <w:sectPr w:rsidR="00C42460" w:rsidSect="000A79C5">
      <w:footerReference w:type="even" r:id="rId8"/>
      <w:footerReference w:type="default" r:id="rId9"/>
      <w:footerReference w:type="first" r:id="rId10"/>
      <w:pgSz w:w="12240" w:h="15840"/>
      <w:pgMar w:top="480" w:right="720" w:bottom="480" w:left="720" w:header="480" w:footer="480" w:gutter="0"/>
      <w:cols w:space="480" w:equalWidth="0">
        <w:col w:w="1068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F2B" w:rsidRDefault="00A73F2B">
      <w:r>
        <w:separator/>
      </w:r>
    </w:p>
  </w:endnote>
  <w:endnote w:type="continuationSeparator" w:id="0">
    <w:p w:rsidR="00A73F2B" w:rsidRDefault="00A73F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2B" w:rsidRDefault="00BD4472">
    <w:pPr>
      <w:pStyle w:val="Footer"/>
      <w:framePr w:wrap="around" w:vAnchor="text" w:hAnchor="margin" w:xAlign="center" w:y="1"/>
      <w:rPr>
        <w:rStyle w:val="PageNumber"/>
      </w:rPr>
    </w:pPr>
    <w:r>
      <w:rPr>
        <w:rStyle w:val="PageNumber"/>
      </w:rPr>
      <w:fldChar w:fldCharType="begin"/>
    </w:r>
    <w:r w:rsidR="00A73F2B">
      <w:rPr>
        <w:rStyle w:val="PageNumber"/>
      </w:rPr>
      <w:instrText xml:space="preserve">PAGE  </w:instrText>
    </w:r>
    <w:r>
      <w:rPr>
        <w:rStyle w:val="PageNumber"/>
      </w:rPr>
      <w:fldChar w:fldCharType="separate"/>
    </w:r>
    <w:r w:rsidR="00A73F2B">
      <w:rPr>
        <w:rStyle w:val="PageNumber"/>
        <w:noProof/>
      </w:rPr>
      <w:t>1</w:t>
    </w:r>
    <w:r>
      <w:rPr>
        <w:rStyle w:val="PageNumber"/>
      </w:rPr>
      <w:fldChar w:fldCharType="end"/>
    </w:r>
  </w:p>
  <w:p w:rsidR="00A73F2B" w:rsidRDefault="00A73F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2B" w:rsidRDefault="00BD4472">
    <w:pPr>
      <w:pStyle w:val="Footer"/>
      <w:framePr w:wrap="around" w:vAnchor="text" w:hAnchor="margin" w:xAlign="center" w:y="1"/>
      <w:rPr>
        <w:rStyle w:val="PageNumber"/>
      </w:rPr>
    </w:pPr>
    <w:r>
      <w:rPr>
        <w:rStyle w:val="PageNumber"/>
      </w:rPr>
      <w:fldChar w:fldCharType="begin"/>
    </w:r>
    <w:r w:rsidR="00A73F2B">
      <w:rPr>
        <w:rStyle w:val="PageNumber"/>
      </w:rPr>
      <w:instrText xml:space="preserve">PAGE  </w:instrText>
    </w:r>
    <w:r>
      <w:rPr>
        <w:rStyle w:val="PageNumber"/>
      </w:rPr>
      <w:fldChar w:fldCharType="separate"/>
    </w:r>
    <w:r w:rsidR="009C0E56">
      <w:rPr>
        <w:rStyle w:val="PageNumber"/>
        <w:noProof/>
      </w:rPr>
      <w:t>3</w:t>
    </w:r>
    <w:r>
      <w:rPr>
        <w:rStyle w:val="PageNumber"/>
      </w:rPr>
      <w:fldChar w:fldCharType="end"/>
    </w:r>
  </w:p>
  <w:p w:rsidR="00A73F2B" w:rsidRDefault="00A73F2B">
    <w:pPr>
      <w:pStyle w:val="Footer"/>
      <w:tabs>
        <w:tab w:val="clear" w:pos="4320"/>
        <w:tab w:val="clear" w:pos="8640"/>
        <w:tab w:val="right" w:pos="10920"/>
      </w:tabs>
      <w:spacing w:line="120" w:lineRule="exact"/>
      <w:ind w:left="-120" w:right="-120"/>
      <w:rPr>
        <w:rFonts w:ascii="Helvetica" w:hAnsi="Helvetica"/>
        <w:b/>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2B" w:rsidRDefault="00A73F2B">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p w:rsidR="00A73F2B" w:rsidRDefault="00A73F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F2B" w:rsidRDefault="00A73F2B">
      <w:r>
        <w:separator/>
      </w:r>
    </w:p>
  </w:footnote>
  <w:footnote w:type="continuationSeparator" w:id="0">
    <w:p w:rsidR="00A73F2B" w:rsidRDefault="00A73F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BE41ADC"/>
    <w:lvl w:ilvl="0">
      <w:numFmt w:val="decimal"/>
      <w:lvlText w:val="*"/>
      <w:lvlJc w:val="left"/>
    </w:lvl>
  </w:abstractNum>
  <w:abstractNum w:abstractNumId="1">
    <w:nsid w:val="034C3129"/>
    <w:multiLevelType w:val="singleLevel"/>
    <w:tmpl w:val="60F280F0"/>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
    <w:nsid w:val="11F10627"/>
    <w:multiLevelType w:val="hybridMultilevel"/>
    <w:tmpl w:val="851014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37D54B9"/>
    <w:multiLevelType w:val="singleLevel"/>
    <w:tmpl w:val="0786FA7A"/>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19AF0633"/>
    <w:multiLevelType w:val="hybridMultilevel"/>
    <w:tmpl w:val="BF6AD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554C29"/>
    <w:multiLevelType w:val="hybridMultilevel"/>
    <w:tmpl w:val="4CAE036E"/>
    <w:lvl w:ilvl="0" w:tplc="B97E8D6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D9377B"/>
    <w:multiLevelType w:val="hybridMultilevel"/>
    <w:tmpl w:val="52FAC58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C020F7A"/>
    <w:multiLevelType w:val="hybridMultilevel"/>
    <w:tmpl w:val="B748B7F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9E84941"/>
    <w:multiLevelType w:val="hybridMultilevel"/>
    <w:tmpl w:val="0DF846C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864C4C"/>
    <w:multiLevelType w:val="singleLevel"/>
    <w:tmpl w:val="663A4FB4"/>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4A904024"/>
    <w:multiLevelType w:val="hybridMultilevel"/>
    <w:tmpl w:val="E85E0F24"/>
    <w:lvl w:ilvl="0" w:tplc="FBE41ADC">
      <w:start w:val="1"/>
      <w:numFmt w:val="bullet"/>
      <w:lvlText w:val=""/>
      <w:legacy w:legacy="1" w:legacySpace="0" w:legacyIndent="144"/>
      <w:lvlJc w:val="left"/>
      <w:pPr>
        <w:ind w:left="549" w:hanging="144"/>
      </w:pPr>
      <w:rPr>
        <w:rFonts w:ascii="Symbol" w:hAnsi="Symbol" w:hint="default"/>
        <w:sz w:val="16"/>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
    <w:nsid w:val="4AFC5749"/>
    <w:multiLevelType w:val="singleLevel"/>
    <w:tmpl w:val="A62684E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2">
    <w:nsid w:val="61DF6CB7"/>
    <w:multiLevelType w:val="hybridMultilevel"/>
    <w:tmpl w:val="261EB9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2BD36A0"/>
    <w:multiLevelType w:val="hybridMultilevel"/>
    <w:tmpl w:val="879E1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6A23051"/>
    <w:multiLevelType w:val="singleLevel"/>
    <w:tmpl w:val="C170770C"/>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5">
    <w:nsid w:val="7C756726"/>
    <w:multiLevelType w:val="hybridMultilevel"/>
    <w:tmpl w:val="7F16E61A"/>
    <w:lvl w:ilvl="0" w:tplc="C3C2A14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B54450"/>
    <w:multiLevelType w:val="singleLevel"/>
    <w:tmpl w:val="A62684E6"/>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1"/>
  </w:num>
  <w:num w:numId="2">
    <w:abstractNumId w:val="16"/>
  </w:num>
  <w:num w:numId="3">
    <w:abstractNumId w:val="3"/>
  </w:num>
  <w:num w:numId="4">
    <w:abstractNumId w:val="14"/>
  </w:num>
  <w:num w:numId="5">
    <w:abstractNumId w:val="9"/>
  </w:num>
  <w:num w:numId="6">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0"/>
  </w:num>
  <w:num w:numId="10">
    <w:abstractNumId w:val="4"/>
  </w:num>
  <w:num w:numId="11">
    <w:abstractNumId w:val="2"/>
  </w:num>
  <w:num w:numId="12">
    <w:abstractNumId w:val="7"/>
  </w:num>
  <w:num w:numId="13">
    <w:abstractNumId w:val="6"/>
  </w:num>
  <w:num w:numId="14">
    <w:abstractNumId w:val="8"/>
  </w:num>
  <w:num w:numId="15">
    <w:abstractNumId w:val="5"/>
  </w:num>
  <w:num w:numId="16">
    <w:abstractNumId w:val="15"/>
  </w:num>
  <w:num w:numId="17">
    <w:abstractNumId w:val="13"/>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
  <w:rsids>
    <w:rsidRoot w:val="00180AE4"/>
    <w:rsid w:val="00017ED9"/>
    <w:rsid w:val="0008126C"/>
    <w:rsid w:val="00094735"/>
    <w:rsid w:val="000A79C5"/>
    <w:rsid w:val="000B0B7B"/>
    <w:rsid w:val="000B2BDD"/>
    <w:rsid w:val="00180AE4"/>
    <w:rsid w:val="001D2E88"/>
    <w:rsid w:val="001F1F2A"/>
    <w:rsid w:val="002421EB"/>
    <w:rsid w:val="002A741C"/>
    <w:rsid w:val="002B12FE"/>
    <w:rsid w:val="002F49F8"/>
    <w:rsid w:val="00386971"/>
    <w:rsid w:val="0044695E"/>
    <w:rsid w:val="00476791"/>
    <w:rsid w:val="004A1230"/>
    <w:rsid w:val="004B7582"/>
    <w:rsid w:val="004F46BF"/>
    <w:rsid w:val="00522247"/>
    <w:rsid w:val="00592A1E"/>
    <w:rsid w:val="00592E7D"/>
    <w:rsid w:val="005B22C7"/>
    <w:rsid w:val="005D6E63"/>
    <w:rsid w:val="006313B9"/>
    <w:rsid w:val="006837AF"/>
    <w:rsid w:val="006D1E9D"/>
    <w:rsid w:val="006F727E"/>
    <w:rsid w:val="00730D09"/>
    <w:rsid w:val="00823CC1"/>
    <w:rsid w:val="00824D81"/>
    <w:rsid w:val="008C6FB0"/>
    <w:rsid w:val="00901F02"/>
    <w:rsid w:val="0096653C"/>
    <w:rsid w:val="009C0E56"/>
    <w:rsid w:val="009E2F72"/>
    <w:rsid w:val="009E3303"/>
    <w:rsid w:val="009E7774"/>
    <w:rsid w:val="00A5224B"/>
    <w:rsid w:val="00A73F2B"/>
    <w:rsid w:val="00AC0764"/>
    <w:rsid w:val="00B714F3"/>
    <w:rsid w:val="00BB5789"/>
    <w:rsid w:val="00BD4472"/>
    <w:rsid w:val="00C42460"/>
    <w:rsid w:val="00CA3683"/>
    <w:rsid w:val="00CD45D7"/>
    <w:rsid w:val="00D354B1"/>
    <w:rsid w:val="00D44677"/>
    <w:rsid w:val="00DC5EBF"/>
    <w:rsid w:val="00E0242E"/>
    <w:rsid w:val="00E20F95"/>
    <w:rsid w:val="00E61E27"/>
    <w:rsid w:val="00EC4E5E"/>
    <w:rsid w:val="00EF7888"/>
    <w:rsid w:val="00F73F36"/>
    <w:rsid w:val="00FD56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9C5"/>
    <w:pPr>
      <w:overflowPunct w:val="0"/>
      <w:autoSpaceDE w:val="0"/>
      <w:autoSpaceDN w:val="0"/>
      <w:adjustRightInd w:val="0"/>
      <w:textAlignment w:val="baseline"/>
    </w:pPr>
  </w:style>
  <w:style w:type="paragraph" w:styleId="Heading1">
    <w:name w:val="heading 1"/>
    <w:basedOn w:val="Normal"/>
    <w:next w:val="Normal"/>
    <w:qFormat/>
    <w:rsid w:val="000A79C5"/>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18"/>
    </w:rPr>
  </w:style>
  <w:style w:type="paragraph" w:styleId="Heading2">
    <w:name w:val="heading 2"/>
    <w:basedOn w:val="Normal"/>
    <w:next w:val="Normal"/>
    <w:qFormat/>
    <w:rsid w:val="000A79C5"/>
    <w:pPr>
      <w:keepNext/>
      <w:tabs>
        <w:tab w:val="left" w:pos="240"/>
      </w:tabs>
      <w:outlineLvl w:val="1"/>
    </w:pPr>
    <w:rPr>
      <w:rFonts w:ascii="Helvetica" w:hAnsi="Helvetica"/>
      <w:b/>
      <w:bCs/>
      <w:sz w:val="18"/>
      <w:u w:val="single"/>
    </w:rPr>
  </w:style>
  <w:style w:type="paragraph" w:styleId="Heading3">
    <w:name w:val="heading 3"/>
    <w:basedOn w:val="Normal"/>
    <w:next w:val="Normal"/>
    <w:qFormat/>
    <w:rsid w:val="000A79C5"/>
    <w:pPr>
      <w:keepNext/>
      <w:ind w:left="12"/>
      <w:outlineLvl w:val="2"/>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79C5"/>
    <w:pPr>
      <w:tabs>
        <w:tab w:val="center" w:pos="4320"/>
        <w:tab w:val="right" w:pos="8640"/>
      </w:tabs>
    </w:pPr>
  </w:style>
  <w:style w:type="paragraph" w:styleId="Footer">
    <w:name w:val="footer"/>
    <w:basedOn w:val="Normal"/>
    <w:rsid w:val="000A79C5"/>
    <w:pPr>
      <w:tabs>
        <w:tab w:val="center" w:pos="4320"/>
        <w:tab w:val="right" w:pos="8640"/>
      </w:tabs>
    </w:pPr>
  </w:style>
  <w:style w:type="paragraph" w:styleId="BodyTextIndent">
    <w:name w:val="Body Text Indent"/>
    <w:basedOn w:val="Normal"/>
    <w:rsid w:val="000A79C5"/>
    <w:pPr>
      <w:tabs>
        <w:tab w:val="left" w:pos="360"/>
        <w:tab w:val="left" w:pos="720"/>
      </w:tabs>
      <w:ind w:left="360"/>
    </w:pPr>
  </w:style>
  <w:style w:type="paragraph" w:styleId="BodyText">
    <w:name w:val="Body Text"/>
    <w:basedOn w:val="Normal"/>
    <w:rsid w:val="000A79C5"/>
    <w:pPr>
      <w:tabs>
        <w:tab w:val="left" w:pos="240"/>
      </w:tabs>
    </w:pPr>
    <w:rPr>
      <w:rFonts w:ascii="Helvetica" w:hAnsi="Helvetica"/>
      <w:sz w:val="16"/>
    </w:rPr>
  </w:style>
  <w:style w:type="character" w:styleId="PageNumber">
    <w:name w:val="page number"/>
    <w:basedOn w:val="DefaultParagraphFont"/>
    <w:rsid w:val="000A79C5"/>
  </w:style>
  <w:style w:type="paragraph" w:styleId="BodyText2">
    <w:name w:val="Body Text 2"/>
    <w:basedOn w:val="Normal"/>
    <w:rsid w:val="000A79C5"/>
    <w:pPr>
      <w:tabs>
        <w:tab w:val="left" w:pos="240"/>
      </w:tabs>
    </w:pPr>
    <w:rPr>
      <w:rFonts w:ascii="Helvetica" w:hAnsi="Helvetica"/>
      <w:sz w:val="24"/>
    </w:rPr>
  </w:style>
  <w:style w:type="paragraph" w:styleId="BlockText">
    <w:name w:val="Block Text"/>
    <w:basedOn w:val="Normal"/>
    <w:rsid w:val="000A79C5"/>
    <w:pPr>
      <w:tabs>
        <w:tab w:val="left" w:pos="240"/>
      </w:tabs>
      <w:spacing w:after="60"/>
      <w:ind w:left="120" w:right="-120"/>
    </w:pPr>
  </w:style>
  <w:style w:type="paragraph" w:styleId="BodyTextIndent2">
    <w:name w:val="Body Text Indent 2"/>
    <w:basedOn w:val="Normal"/>
    <w:rsid w:val="000A79C5"/>
    <w:pPr>
      <w:tabs>
        <w:tab w:val="left" w:pos="720"/>
      </w:tabs>
      <w:ind w:left="360"/>
    </w:pPr>
    <w:rPr>
      <w:sz w:val="24"/>
    </w:rPr>
  </w:style>
  <w:style w:type="paragraph" w:styleId="BodyTextIndent3">
    <w:name w:val="Body Text Indent 3"/>
    <w:basedOn w:val="Normal"/>
    <w:rsid w:val="000A79C5"/>
    <w:pPr>
      <w:tabs>
        <w:tab w:val="left" w:pos="240"/>
      </w:tabs>
      <w:ind w:left="240"/>
    </w:pPr>
    <w:rPr>
      <w:sz w:val="24"/>
    </w:rPr>
  </w:style>
  <w:style w:type="paragraph" w:styleId="BodyText3">
    <w:name w:val="Body Text 3"/>
    <w:basedOn w:val="Normal"/>
    <w:rsid w:val="000A79C5"/>
    <w:pPr>
      <w:overflowPunct/>
      <w:spacing w:line="240" w:lineRule="atLeast"/>
      <w:textAlignment w:val="auto"/>
    </w:pPr>
    <w:rPr>
      <w:color w:val="000000"/>
      <w:sz w:val="24"/>
      <w:szCs w:val="24"/>
    </w:rPr>
  </w:style>
  <w:style w:type="paragraph" w:styleId="ListParagraph">
    <w:name w:val="List Paragraph"/>
    <w:basedOn w:val="Normal"/>
    <w:uiPriority w:val="34"/>
    <w:qFormat/>
    <w:rsid w:val="00D44677"/>
    <w:pPr>
      <w:ind w:left="720"/>
    </w:pPr>
  </w:style>
  <w:style w:type="table" w:styleId="TableGrid">
    <w:name w:val="Table Grid"/>
    <w:basedOn w:val="TableNormal"/>
    <w:rsid w:val="00D446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6313B9"/>
    <w:rPr>
      <w:rFonts w:ascii="Tahoma" w:hAnsi="Tahoma" w:cs="Tahoma"/>
      <w:sz w:val="16"/>
      <w:szCs w:val="16"/>
    </w:rPr>
  </w:style>
  <w:style w:type="character" w:customStyle="1" w:styleId="BalloonTextChar">
    <w:name w:val="Balloon Text Char"/>
    <w:basedOn w:val="DefaultParagraphFont"/>
    <w:link w:val="BalloonText"/>
    <w:rsid w:val="006313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notes.data\83-i-o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96AFC-E84D-4526-B4F2-DB9D21521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83-i-omb.dot</Template>
  <TotalTime>14</TotalTime>
  <Pages>3</Pages>
  <Words>1249</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7791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D. McCullough - TSB</dc:creator>
  <cp:keywords/>
  <dc:description/>
  <cp:lastModifiedBy>h18889</cp:lastModifiedBy>
  <cp:revision>6</cp:revision>
  <cp:lastPrinted>2012-03-02T17:15:00Z</cp:lastPrinted>
  <dcterms:created xsi:type="dcterms:W3CDTF">2012-04-04T16:11:00Z</dcterms:created>
  <dcterms:modified xsi:type="dcterms:W3CDTF">2012-04-04T16:34:00Z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1596481962</vt:i4>
  </property>
  <property fmtid="{D5CDD505-2E9C-101B-9397-08002B2CF9AE}" pid="3" name="_NewReviewCycle">
    <vt:lpwstr/>
  </property>
  <property fmtid="{D5CDD505-2E9C-101B-9397-08002B2CF9AE}" pid="4" name="_EmailSubject">
    <vt:lpwstr>Time to Renew  2502-0358</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PreviousAdHocReviewCycleID">
    <vt:i4>1314244899</vt:i4>
  </property>
  <property fmtid="{D5CDD505-2E9C-101B-9397-08002B2CF9AE}" pid="8" name="_ReviewingToolsShownOnce">
    <vt:lpwstr/>
  </property>
</Properties>
</file>