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CE7805">
        <w:rPr>
          <w:sz w:val="28"/>
        </w:rPr>
        <w:t>1880-0542</w:t>
      </w:r>
      <w:r>
        <w:rPr>
          <w:sz w:val="28"/>
        </w:rPr>
        <w:t>)</w:t>
      </w:r>
    </w:p>
    <w:p w:rsidR="00E50293" w:rsidRPr="009239AA" w:rsidRDefault="00340A5D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256820">
        <w:t>HSG-SSDCoP</w:t>
      </w:r>
      <w:r w:rsidR="006C7FE0">
        <w:t xml:space="preserve"> Follow-up Needs-Sensing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3979F4" w:rsidRPr="00F707CA" w:rsidRDefault="003979F4" w:rsidP="003979F4">
      <w:pPr>
        <w:autoSpaceDE w:val="0"/>
        <w:autoSpaceDN w:val="0"/>
        <w:adjustRightInd w:val="0"/>
      </w:pPr>
      <w:r w:rsidRPr="00F707CA">
        <w:t>T</w:t>
      </w:r>
      <w:r w:rsidR="00F707CA" w:rsidRPr="00F707CA">
        <w:t>he purposes of the follow-up needs-sensing calls</w:t>
      </w:r>
      <w:r w:rsidRPr="00F707CA">
        <w:t xml:space="preserve"> are to:</w:t>
      </w:r>
    </w:p>
    <w:p w:rsidR="003979F4" w:rsidRPr="00F707CA" w:rsidRDefault="003979F4" w:rsidP="003979F4">
      <w:pPr>
        <w:autoSpaceDE w:val="0"/>
        <w:autoSpaceDN w:val="0"/>
        <w:adjustRightInd w:val="0"/>
      </w:pPr>
      <w:r w:rsidRPr="00F707CA">
        <w:t xml:space="preserve">• </w:t>
      </w:r>
      <w:r w:rsidR="00256820" w:rsidRPr="00F707CA">
        <w:t xml:space="preserve"> Gather information on HSGI grantees’ </w:t>
      </w:r>
      <w:r w:rsidRPr="00F707CA">
        <w:t>current participation in any education</w:t>
      </w:r>
      <w:r w:rsidR="006C7FE0" w:rsidRPr="00F707CA">
        <w:t>-</w:t>
      </w:r>
      <w:r w:rsidRPr="00F707CA">
        <w:t>juvenile</w:t>
      </w:r>
    </w:p>
    <w:p w:rsidR="003979F4" w:rsidRPr="00F707CA" w:rsidRDefault="006C7FE0" w:rsidP="006C7FE0">
      <w:pPr>
        <w:autoSpaceDE w:val="0"/>
        <w:autoSpaceDN w:val="0"/>
        <w:adjustRightInd w:val="0"/>
      </w:pPr>
      <w:r w:rsidRPr="00F707CA">
        <w:t xml:space="preserve">   </w:t>
      </w:r>
      <w:r w:rsidR="003979F4" w:rsidRPr="00F707CA">
        <w:t>justice partner</w:t>
      </w:r>
      <w:r w:rsidRPr="00F707CA">
        <w:t xml:space="preserve">ships, initiatives, workgroups, </w:t>
      </w:r>
      <w:r w:rsidR="003979F4" w:rsidRPr="00F707CA">
        <w:t>taskforces, etc.</w:t>
      </w:r>
    </w:p>
    <w:p w:rsidR="003979F4" w:rsidRPr="00F707CA" w:rsidRDefault="003979F4" w:rsidP="006C7FE0">
      <w:pPr>
        <w:autoSpaceDE w:val="0"/>
        <w:autoSpaceDN w:val="0"/>
        <w:adjustRightInd w:val="0"/>
        <w:ind w:left="180" w:hanging="180"/>
      </w:pPr>
      <w:r w:rsidRPr="00F707CA">
        <w:t xml:space="preserve">• </w:t>
      </w:r>
      <w:r w:rsidR="00256820" w:rsidRPr="00F707CA">
        <w:t xml:space="preserve"> </w:t>
      </w:r>
      <w:r w:rsidRPr="00F707CA">
        <w:t>Gai</w:t>
      </w:r>
      <w:r w:rsidR="00256820" w:rsidRPr="00F707CA">
        <w:t xml:space="preserve">n a better understanding of HSGI grantees’ </w:t>
      </w:r>
      <w:r w:rsidRPr="00F707CA">
        <w:t xml:space="preserve">current supportive school discipline related goals and </w:t>
      </w:r>
      <w:r w:rsidR="006C7FE0" w:rsidRPr="00F707CA">
        <w:t xml:space="preserve">  </w:t>
      </w:r>
      <w:r w:rsidR="00256820" w:rsidRPr="00F707CA">
        <w:t xml:space="preserve">technical </w:t>
      </w:r>
      <w:r w:rsidRPr="00F707CA">
        <w:t>assistance needs,</w:t>
      </w:r>
      <w:r w:rsidR="006C7FE0" w:rsidRPr="00F707CA">
        <w:t xml:space="preserve"> </w:t>
      </w:r>
      <w:r w:rsidRPr="00F707CA">
        <w:t>and</w:t>
      </w:r>
    </w:p>
    <w:p w:rsidR="00F15956" w:rsidRPr="00F707CA" w:rsidRDefault="003979F4" w:rsidP="00256820">
      <w:pPr>
        <w:autoSpaceDE w:val="0"/>
        <w:autoSpaceDN w:val="0"/>
        <w:adjustRightInd w:val="0"/>
        <w:ind w:left="180" w:hanging="180"/>
      </w:pPr>
      <w:r w:rsidRPr="00F707CA">
        <w:t xml:space="preserve">• </w:t>
      </w:r>
      <w:r w:rsidR="00256820" w:rsidRPr="00F707CA">
        <w:t xml:space="preserve"> Gather information on HSGI grantees’</w:t>
      </w:r>
      <w:r w:rsidRPr="00F707CA">
        <w:t xml:space="preserve"> preferences for format and scheduling for the upcoming HSGI </w:t>
      </w:r>
      <w:r w:rsidR="00256820" w:rsidRPr="00F707CA">
        <w:t xml:space="preserve">  </w:t>
      </w:r>
      <w:r w:rsidRPr="00F707CA">
        <w:t>bimonthly</w:t>
      </w:r>
      <w:r w:rsidR="00256820" w:rsidRPr="00F707CA">
        <w:t xml:space="preserve"> </w:t>
      </w:r>
      <w:r w:rsidRPr="00F707CA">
        <w:t>community calls</w:t>
      </w:r>
      <w:r w:rsidR="006C7FE0" w:rsidRPr="00F707CA">
        <w:t xml:space="preserve"> structure and </w:t>
      </w:r>
      <w:r w:rsidRPr="00F707CA">
        <w:t>format.</w:t>
      </w:r>
    </w:p>
    <w:p w:rsidR="00782F7E" w:rsidRPr="00F707CA" w:rsidRDefault="00782F7E" w:rsidP="00256820">
      <w:pPr>
        <w:autoSpaceDE w:val="0"/>
        <w:autoSpaceDN w:val="0"/>
        <w:adjustRightInd w:val="0"/>
        <w:ind w:left="180" w:hanging="180"/>
      </w:pPr>
    </w:p>
    <w:p w:rsidR="00782F7E" w:rsidRPr="00F707CA" w:rsidRDefault="00782F7E" w:rsidP="00782F7E">
      <w:pPr>
        <w:autoSpaceDE w:val="0"/>
        <w:autoSpaceDN w:val="0"/>
        <w:adjustRightInd w:val="0"/>
      </w:pPr>
      <w:r w:rsidRPr="00F707CA">
        <w:t xml:space="preserve">Information gathered from the follow-up needs-sensing calls will be utilized strictly for planning HSGI-SSDCoP community calls and related follow-up TA activities. </w:t>
      </w:r>
    </w:p>
    <w:p w:rsidR="00F15956" w:rsidRDefault="00F15956"/>
    <w:p w:rsidR="00782F7E" w:rsidRDefault="00782F7E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C8488C" w:rsidRDefault="006C7FE0">
      <w:r>
        <w:t>The responde</w:t>
      </w:r>
      <w:r w:rsidR="00256820">
        <w:t>nts</w:t>
      </w:r>
      <w:r>
        <w:t xml:space="preserve"> pool is comprised of</w:t>
      </w:r>
      <w:r w:rsidR="00256820">
        <w:t xml:space="preserve"> 16 High School Graduation Initiative grantee project directors</w:t>
      </w:r>
      <w:r>
        <w:t xml:space="preserve">.  </w:t>
      </w:r>
    </w:p>
    <w:p w:rsidR="00F15956" w:rsidRDefault="00F15956"/>
    <w:p w:rsidR="00434E33" w:rsidRDefault="00434E33"/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0D7EAF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6C7FE0">
        <w:rPr>
          <w:bCs/>
          <w:sz w:val="24"/>
        </w:rPr>
        <w:t>X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6C7FE0">
        <w:rPr>
          <w:bCs/>
          <w:sz w:val="24"/>
          <w:u w:val="single"/>
        </w:rPr>
        <w:t xml:space="preserve">  Individual Calls</w:t>
      </w:r>
      <w:r w:rsidR="00F06866">
        <w:rPr>
          <w:bCs/>
          <w:sz w:val="24"/>
          <w:u w:val="single"/>
        </w:rPr>
        <w:tab/>
      </w:r>
      <w:r w:rsidR="006C7FE0">
        <w:rPr>
          <w:bCs/>
          <w:sz w:val="24"/>
          <w:u w:val="single"/>
        </w:rPr>
        <w:t>____</w:t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36309B" w:rsidP="009C13B9">
      <w:r>
        <w:t xml:space="preserve">Name: </w:t>
      </w:r>
      <w:r>
        <w:rPr>
          <w:u w:val="single"/>
        </w:rPr>
        <w:t>Robert V. Mayo, Ph. D., Senior TA Consultant</w:t>
      </w:r>
      <w:r w:rsidR="009C13B9" w:rsidRPr="0036309B">
        <w:rPr>
          <w:u w:val="single"/>
        </w:rPr>
        <w:t>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6C7FE0">
        <w:t>[</w:t>
      </w:r>
      <w:r w:rsidR="009239AA">
        <w:t>] Yes  [</w:t>
      </w:r>
      <w:r w:rsidR="00B93F5A">
        <w:t>X</w:t>
      </w:r>
      <w:r w:rsidR="009239AA">
        <w:t xml:space="preserve">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</w:t>
      </w:r>
      <w:r w:rsidR="009239AA" w:rsidRPr="00BC7A8A">
        <w:t>Pri</w:t>
      </w:r>
      <w:r w:rsidR="006C7FE0" w:rsidRPr="00BC7A8A">
        <w:t>vacy Act of 1974</w:t>
      </w:r>
      <w:r w:rsidR="006C7FE0">
        <w:t>?   [  ] Yes [</w:t>
      </w:r>
      <w:r w:rsidR="009239AA">
        <w:t>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</w:t>
      </w:r>
      <w:r w:rsidR="006C7FE0">
        <w:t xml:space="preserve">e been published?  [  ] Yes  </w:t>
      </w:r>
      <w:r w:rsidR="00B93F5A">
        <w:t>[</w:t>
      </w:r>
      <w:bookmarkStart w:id="0" w:name="_GoBack"/>
      <w:bookmarkEnd w:id="0"/>
      <w:r>
        <w:t>] No</w:t>
      </w:r>
    </w:p>
    <w:p w:rsidR="00BC7A8A" w:rsidRDefault="00BC7A8A" w:rsidP="00C86E91">
      <w:pPr>
        <w:pStyle w:val="ListParagraph"/>
        <w:ind w:left="0"/>
        <w:rPr>
          <w:b/>
        </w:rPr>
      </w:pPr>
    </w:p>
    <w:p w:rsidR="00BC7A8A" w:rsidRDefault="00BC7A8A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</w:t>
      </w:r>
      <w:r w:rsidR="006C7FE0">
        <w:t>d to participants?  [  ] Yes [ X</w:t>
      </w:r>
      <w:r>
        <w:t xml:space="preserve">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34433">
        <w:trPr>
          <w:trHeight w:val="274"/>
        </w:trPr>
        <w:tc>
          <w:tcPr>
            <w:tcW w:w="5418" w:type="dxa"/>
            <w:shd w:val="clear" w:color="auto" w:fill="BFBFBF" w:themeFill="background1" w:themeFillShade="BF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  <w:shd w:val="clear" w:color="auto" w:fill="BFBFBF" w:themeFill="background1" w:themeFillShade="BF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  <w:shd w:val="clear" w:color="auto" w:fill="BFBFBF" w:themeFill="background1" w:themeFillShade="BF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7048D8" w:rsidP="00843796">
            <w:r>
              <w:t>State, local or tribal governments</w:t>
            </w:r>
          </w:p>
        </w:tc>
        <w:tc>
          <w:tcPr>
            <w:tcW w:w="1530" w:type="dxa"/>
          </w:tcPr>
          <w:p w:rsidR="006832D9" w:rsidRDefault="00A705BE" w:rsidP="00843796">
            <w:r>
              <w:t>16</w:t>
            </w:r>
          </w:p>
        </w:tc>
        <w:tc>
          <w:tcPr>
            <w:tcW w:w="1710" w:type="dxa"/>
          </w:tcPr>
          <w:p w:rsidR="006832D9" w:rsidRDefault="00A705BE" w:rsidP="00843796">
            <w:r>
              <w:t>20 minutes</w:t>
            </w:r>
          </w:p>
        </w:tc>
        <w:tc>
          <w:tcPr>
            <w:tcW w:w="1003" w:type="dxa"/>
          </w:tcPr>
          <w:p w:rsidR="006832D9" w:rsidRDefault="00A705BE" w:rsidP="00843796">
            <w:r>
              <w:t>5.5 hrs.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Pr="00F6240A" w:rsidRDefault="00A705BE" w:rsidP="00843796">
            <w:pPr>
              <w:rPr>
                <w:b/>
              </w:rPr>
            </w:pPr>
            <w:r>
              <w:t>5.5 hrs.</w:t>
            </w:r>
          </w:p>
        </w:tc>
      </w:tr>
    </w:tbl>
    <w:p w:rsidR="00F3170F" w:rsidRDefault="00F3170F" w:rsidP="00F3170F"/>
    <w:p w:rsidR="00441434" w:rsidRDefault="00441434" w:rsidP="00F3170F"/>
    <w:p w:rsidR="005E714A" w:rsidRPr="001C2FFF" w:rsidRDefault="001C39F7">
      <w:pPr>
        <w:rPr>
          <w:b/>
          <w:u w:val="single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</w:t>
      </w:r>
      <w:r w:rsidR="001C2FFF">
        <w:t xml:space="preserve">t to the Federal government is </w:t>
      </w:r>
      <w:r w:rsidR="001C2FFF" w:rsidRPr="001C2FFF">
        <w:rPr>
          <w:rFonts w:cs="Calibri"/>
          <w:u w:val="single"/>
        </w:rPr>
        <w:t>1176.15</w:t>
      </w:r>
    </w:p>
    <w:p w:rsidR="00ED6492" w:rsidRDefault="00ED6492">
      <w:pPr>
        <w:rPr>
          <w:b/>
          <w:bCs/>
          <w:u w:val="single"/>
        </w:rPr>
      </w:pPr>
    </w:p>
    <w:tbl>
      <w:tblPr>
        <w:tblW w:w="0" w:type="auto"/>
        <w:jc w:val="center"/>
        <w:tblInd w:w="-670" w:type="dxa"/>
        <w:tblLook w:val="00A0" w:firstRow="1" w:lastRow="0" w:firstColumn="1" w:lastColumn="0" w:noHBand="0" w:noVBand="0"/>
      </w:tblPr>
      <w:tblGrid>
        <w:gridCol w:w="6880"/>
        <w:gridCol w:w="2644"/>
      </w:tblGrid>
      <w:tr w:rsidR="00034433" w:rsidRPr="004D3528" w:rsidTr="00034433">
        <w:trPr>
          <w:tblHeader/>
          <w:jc w:val="center"/>
        </w:trPr>
        <w:tc>
          <w:tcPr>
            <w:tcW w:w="6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vAlign w:val="center"/>
          </w:tcPr>
          <w:p w:rsidR="00034433" w:rsidRPr="00982B7B" w:rsidRDefault="00034433" w:rsidP="00EB3D3A">
            <w:pPr>
              <w:spacing w:before="40" w:after="40"/>
              <w:rPr>
                <w:rFonts w:cs="Calibri"/>
                <w:b/>
              </w:rPr>
            </w:pPr>
            <w:r w:rsidRPr="00982B7B">
              <w:rPr>
                <w:rStyle w:val="Strong"/>
                <w:rFonts w:cs="Calibri"/>
                <w:color w:val="000000"/>
              </w:rPr>
              <w:t>Operational Activities</w:t>
            </w:r>
          </w:p>
        </w:tc>
        <w:tc>
          <w:tcPr>
            <w:tcW w:w="26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vAlign w:val="center"/>
          </w:tcPr>
          <w:p w:rsidR="00034433" w:rsidRPr="00982B7B" w:rsidRDefault="00034433" w:rsidP="00EB3D3A">
            <w:pPr>
              <w:spacing w:before="40" w:after="40"/>
              <w:jc w:val="center"/>
              <w:rPr>
                <w:rFonts w:cs="Calibri"/>
                <w:b/>
              </w:rPr>
            </w:pPr>
            <w:r w:rsidRPr="00982B7B">
              <w:rPr>
                <w:rStyle w:val="Strong"/>
                <w:rFonts w:cs="Calibri"/>
              </w:rPr>
              <w:t>Costs</w:t>
            </w:r>
          </w:p>
        </w:tc>
      </w:tr>
      <w:tr w:rsidR="00034433" w:rsidRPr="004D3528" w:rsidTr="00034433">
        <w:trPr>
          <w:jc w:val="center"/>
        </w:trPr>
        <w:tc>
          <w:tcPr>
            <w:tcW w:w="6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4433" w:rsidRPr="004D3528" w:rsidRDefault="00782F7E" w:rsidP="00782F7E">
            <w:pPr>
              <w:spacing w:before="40" w:after="40"/>
              <w:rPr>
                <w:rFonts w:cs="Calibri"/>
              </w:rPr>
            </w:pPr>
            <w:r>
              <w:rPr>
                <w:rFonts w:cs="Calibri"/>
                <w:i/>
                <w:color w:val="000000"/>
              </w:rPr>
              <w:t>Conducting follow-up needs-sensing calls (16 total @ 20 min. = 5.5 hrs.)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4433" w:rsidRPr="00782F7E" w:rsidRDefault="001C2FFF" w:rsidP="00EB3D3A">
            <w:pPr>
              <w:spacing w:before="40" w:after="40"/>
              <w:ind w:right="-9"/>
              <w:jc w:val="center"/>
              <w:rPr>
                <w:rFonts w:cs="Calibri"/>
                <w:highlight w:val="yellow"/>
              </w:rPr>
            </w:pPr>
            <w:r w:rsidRPr="001C2FFF">
              <w:rPr>
                <w:rFonts w:cs="Calibri"/>
              </w:rPr>
              <w:t>862.51</w:t>
            </w:r>
          </w:p>
        </w:tc>
      </w:tr>
      <w:tr w:rsidR="00034433" w:rsidRPr="004D3528" w:rsidTr="00034433">
        <w:trPr>
          <w:jc w:val="center"/>
        </w:trPr>
        <w:tc>
          <w:tcPr>
            <w:tcW w:w="6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4433" w:rsidRPr="004D3528" w:rsidRDefault="00782F7E" w:rsidP="00257F59">
            <w:pPr>
              <w:spacing w:before="40" w:after="40"/>
              <w:rPr>
                <w:rFonts w:cs="Calibri"/>
              </w:rPr>
            </w:pPr>
            <w:r>
              <w:rPr>
                <w:rFonts w:cs="Calibri"/>
                <w:i/>
                <w:color w:val="000000"/>
              </w:rPr>
              <w:t>Summarizing info</w:t>
            </w:r>
            <w:r w:rsidR="001C2FFF">
              <w:rPr>
                <w:rFonts w:cs="Calibri"/>
                <w:i/>
                <w:color w:val="000000"/>
              </w:rPr>
              <w:t>rmation gathered during calls (</w:t>
            </w:r>
            <w:r w:rsidR="00257F59">
              <w:rPr>
                <w:rFonts w:cs="Calibri"/>
                <w:i/>
                <w:color w:val="000000"/>
              </w:rPr>
              <w:t>1 hr</w:t>
            </w:r>
            <w:r>
              <w:rPr>
                <w:rFonts w:cs="Calibri"/>
                <w:i/>
                <w:color w:val="000000"/>
              </w:rPr>
              <w:t>.)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4433" w:rsidRPr="00782F7E" w:rsidRDefault="00257F59" w:rsidP="00EB3D3A">
            <w:pPr>
              <w:spacing w:before="40" w:after="40"/>
              <w:ind w:right="-9"/>
              <w:jc w:val="center"/>
              <w:rPr>
                <w:rFonts w:cs="Calibri"/>
                <w:highlight w:val="yellow"/>
              </w:rPr>
            </w:pPr>
            <w:r>
              <w:rPr>
                <w:rFonts w:cs="Calibri"/>
              </w:rPr>
              <w:t>156.82</w:t>
            </w:r>
          </w:p>
        </w:tc>
      </w:tr>
      <w:tr w:rsidR="00034433" w:rsidRPr="004D3528" w:rsidTr="00034433">
        <w:trPr>
          <w:jc w:val="center"/>
        </w:trPr>
        <w:tc>
          <w:tcPr>
            <w:tcW w:w="6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4433" w:rsidRPr="004D3528" w:rsidRDefault="00034433" w:rsidP="00EB3D3A">
            <w:pPr>
              <w:spacing w:before="40" w:after="40"/>
              <w:rPr>
                <w:rFonts w:cs="Calibri"/>
              </w:rPr>
            </w:pPr>
            <w:r w:rsidRPr="004D3528">
              <w:rPr>
                <w:rStyle w:val="Strong"/>
                <w:rFonts w:cs="Calibri"/>
                <w:color w:val="000000"/>
              </w:rPr>
              <w:t>Total for All Operational Activities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4433" w:rsidRPr="00782F7E" w:rsidRDefault="00257F59" w:rsidP="00EB3D3A">
            <w:pPr>
              <w:spacing w:before="40" w:after="40"/>
              <w:jc w:val="center"/>
              <w:rPr>
                <w:rFonts w:cs="Calibri"/>
                <w:highlight w:val="yellow"/>
              </w:rPr>
            </w:pPr>
            <w:r>
              <w:rPr>
                <w:rFonts w:cs="Calibri"/>
              </w:rPr>
              <w:t>1019.33</w:t>
            </w:r>
          </w:p>
        </w:tc>
      </w:tr>
    </w:tbl>
    <w:p w:rsidR="00034433" w:rsidRDefault="00034433" w:rsidP="00F06866">
      <w:pPr>
        <w:rPr>
          <w:b/>
          <w:bCs/>
          <w:u w:val="single"/>
        </w:rPr>
      </w:pPr>
    </w:p>
    <w:p w:rsidR="00034433" w:rsidRDefault="00034433" w:rsidP="00F06866">
      <w:pPr>
        <w:rPr>
          <w:b/>
          <w:bCs/>
          <w:u w:val="single"/>
        </w:rPr>
      </w:pPr>
    </w:p>
    <w:p w:rsidR="00034433" w:rsidRDefault="00034433" w:rsidP="00F06866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256820">
        <w:t>X</w:t>
      </w:r>
      <w:r>
        <w:t>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256820" w:rsidP="00A403BB">
      <w:r>
        <w:t xml:space="preserve">The list of respondents is finite and the targeted respondent group has been identified.  </w:t>
      </w:r>
      <w:r w:rsidR="00EC5301">
        <w:t xml:space="preserve">Specifically, the targeted respondents are the 16 HSGI grantee Project Directors we need to collective information from for planning purposes. </w:t>
      </w:r>
      <w:r>
        <w:t xml:space="preserve">No sampling plan is necessary.  </w:t>
      </w:r>
    </w:p>
    <w:p w:rsidR="00A403BB" w:rsidRDefault="00A403BB" w:rsidP="00A403BB"/>
    <w:p w:rsidR="00A403BB" w:rsidRDefault="00A403BB" w:rsidP="00A403BB"/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6C7FE0" w:rsidP="001B0AAA">
      <w:pPr>
        <w:ind w:left="720"/>
      </w:pPr>
      <w:r>
        <w:t>[X</w:t>
      </w:r>
      <w:r w:rsidR="00A403BB">
        <w:t>] Telephone</w:t>
      </w:r>
      <w:r w:rsidR="00A403BB"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</w:t>
      </w:r>
      <w:r w:rsidR="006C7FE0">
        <w:t>rs or facilitators be used?  [ X</w:t>
      </w:r>
      <w:r>
        <w:t>] Yes [ 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CE7805" w:rsidRDefault="00CE7805">
      <w:pPr>
        <w:rPr>
          <w:b/>
          <w:bCs/>
          <w:sz w:val="28"/>
        </w:rPr>
      </w:pPr>
      <w:r>
        <w:rPr>
          <w:sz w:val="28"/>
        </w:rPr>
        <w:br w:type="page"/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340A5D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F24CF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CE7805">
      <w:footerReference w:type="default" r:id="rId8"/>
      <w:pgSz w:w="12240" w:h="15840"/>
      <w:pgMar w:top="2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047" w:rsidRDefault="00230047">
      <w:r>
        <w:separator/>
      </w:r>
    </w:p>
  </w:endnote>
  <w:endnote w:type="continuationSeparator" w:id="0">
    <w:p w:rsidR="00230047" w:rsidRDefault="00230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0242D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93F5A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047" w:rsidRDefault="00230047">
      <w:r>
        <w:separator/>
      </w:r>
    </w:p>
  </w:footnote>
  <w:footnote w:type="continuationSeparator" w:id="0">
    <w:p w:rsidR="00230047" w:rsidRDefault="00230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3E02"/>
    <w:rsid w:val="00023A57"/>
    <w:rsid w:val="000242D2"/>
    <w:rsid w:val="00034433"/>
    <w:rsid w:val="00047A64"/>
    <w:rsid w:val="00067329"/>
    <w:rsid w:val="000B2838"/>
    <w:rsid w:val="000C3C86"/>
    <w:rsid w:val="000D44CA"/>
    <w:rsid w:val="000D7EAF"/>
    <w:rsid w:val="000E200B"/>
    <w:rsid w:val="000F68BE"/>
    <w:rsid w:val="00142907"/>
    <w:rsid w:val="00166D24"/>
    <w:rsid w:val="001904E9"/>
    <w:rsid w:val="001927A4"/>
    <w:rsid w:val="00194AC6"/>
    <w:rsid w:val="001A23B0"/>
    <w:rsid w:val="001A25CC"/>
    <w:rsid w:val="001A6FE6"/>
    <w:rsid w:val="001B0AAA"/>
    <w:rsid w:val="001C2FFF"/>
    <w:rsid w:val="001C39F7"/>
    <w:rsid w:val="00221809"/>
    <w:rsid w:val="002242F9"/>
    <w:rsid w:val="00230047"/>
    <w:rsid w:val="00237B48"/>
    <w:rsid w:val="0024521E"/>
    <w:rsid w:val="00256820"/>
    <w:rsid w:val="00257F59"/>
    <w:rsid w:val="00263C3D"/>
    <w:rsid w:val="00274D0B"/>
    <w:rsid w:val="002B3C95"/>
    <w:rsid w:val="002D0B92"/>
    <w:rsid w:val="003372DA"/>
    <w:rsid w:val="00340A5D"/>
    <w:rsid w:val="0036309B"/>
    <w:rsid w:val="003753A2"/>
    <w:rsid w:val="003979F4"/>
    <w:rsid w:val="003D5BBE"/>
    <w:rsid w:val="003E32F0"/>
    <w:rsid w:val="003E3C61"/>
    <w:rsid w:val="003F1C5B"/>
    <w:rsid w:val="00430D98"/>
    <w:rsid w:val="00434E33"/>
    <w:rsid w:val="00441434"/>
    <w:rsid w:val="0045264C"/>
    <w:rsid w:val="004876EC"/>
    <w:rsid w:val="004D6E14"/>
    <w:rsid w:val="005009B0"/>
    <w:rsid w:val="00505892"/>
    <w:rsid w:val="00514298"/>
    <w:rsid w:val="005A1006"/>
    <w:rsid w:val="005E714A"/>
    <w:rsid w:val="006140A0"/>
    <w:rsid w:val="00636621"/>
    <w:rsid w:val="00642B49"/>
    <w:rsid w:val="006832D9"/>
    <w:rsid w:val="0069403B"/>
    <w:rsid w:val="006C7FE0"/>
    <w:rsid w:val="006F3DDE"/>
    <w:rsid w:val="00704678"/>
    <w:rsid w:val="007048D8"/>
    <w:rsid w:val="007425E7"/>
    <w:rsid w:val="00762FCD"/>
    <w:rsid w:val="00782F7E"/>
    <w:rsid w:val="00802607"/>
    <w:rsid w:val="008101A5"/>
    <w:rsid w:val="00822664"/>
    <w:rsid w:val="00843796"/>
    <w:rsid w:val="00884573"/>
    <w:rsid w:val="00895229"/>
    <w:rsid w:val="008F0203"/>
    <w:rsid w:val="008F50D4"/>
    <w:rsid w:val="009239AA"/>
    <w:rsid w:val="00935ADA"/>
    <w:rsid w:val="00946B6C"/>
    <w:rsid w:val="00955A71"/>
    <w:rsid w:val="009607A9"/>
    <w:rsid w:val="0096108F"/>
    <w:rsid w:val="00991011"/>
    <w:rsid w:val="009C13B9"/>
    <w:rsid w:val="009D01A2"/>
    <w:rsid w:val="009F5923"/>
    <w:rsid w:val="00A403BB"/>
    <w:rsid w:val="00A674DF"/>
    <w:rsid w:val="00A705BE"/>
    <w:rsid w:val="00A75FEF"/>
    <w:rsid w:val="00A83AA6"/>
    <w:rsid w:val="00AE1809"/>
    <w:rsid w:val="00B0166E"/>
    <w:rsid w:val="00B0313A"/>
    <w:rsid w:val="00B040A0"/>
    <w:rsid w:val="00B273A1"/>
    <w:rsid w:val="00B80D76"/>
    <w:rsid w:val="00B93F5A"/>
    <w:rsid w:val="00BA2105"/>
    <w:rsid w:val="00BA7E06"/>
    <w:rsid w:val="00BB43B5"/>
    <w:rsid w:val="00BB6219"/>
    <w:rsid w:val="00BC7A8A"/>
    <w:rsid w:val="00BD290F"/>
    <w:rsid w:val="00C072FC"/>
    <w:rsid w:val="00C14CC4"/>
    <w:rsid w:val="00C33C52"/>
    <w:rsid w:val="00C40D8B"/>
    <w:rsid w:val="00C8407A"/>
    <w:rsid w:val="00C8488C"/>
    <w:rsid w:val="00C86E91"/>
    <w:rsid w:val="00CA0E2C"/>
    <w:rsid w:val="00CA2650"/>
    <w:rsid w:val="00CB1078"/>
    <w:rsid w:val="00CC6FAF"/>
    <w:rsid w:val="00CE7805"/>
    <w:rsid w:val="00D24698"/>
    <w:rsid w:val="00D278B3"/>
    <w:rsid w:val="00D6383F"/>
    <w:rsid w:val="00DB59D0"/>
    <w:rsid w:val="00DC33D3"/>
    <w:rsid w:val="00E26329"/>
    <w:rsid w:val="00E40B50"/>
    <w:rsid w:val="00E47E96"/>
    <w:rsid w:val="00E50293"/>
    <w:rsid w:val="00E6251B"/>
    <w:rsid w:val="00E65FFC"/>
    <w:rsid w:val="00E80951"/>
    <w:rsid w:val="00E86CC6"/>
    <w:rsid w:val="00EB56B3"/>
    <w:rsid w:val="00EC5301"/>
    <w:rsid w:val="00ED6492"/>
    <w:rsid w:val="00EF2095"/>
    <w:rsid w:val="00F06866"/>
    <w:rsid w:val="00F1419F"/>
    <w:rsid w:val="00F15956"/>
    <w:rsid w:val="00F24CFC"/>
    <w:rsid w:val="00F3170F"/>
    <w:rsid w:val="00F707CA"/>
    <w:rsid w:val="00F976B0"/>
    <w:rsid w:val="00FA6DE7"/>
    <w:rsid w:val="00FC0A8E"/>
    <w:rsid w:val="00FE2FA6"/>
    <w:rsid w:val="00FE3DF2"/>
    <w:rsid w:val="00FF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Strong">
    <w:name w:val="Strong"/>
    <w:basedOn w:val="DefaultParagraphFont"/>
    <w:uiPriority w:val="99"/>
    <w:qFormat/>
    <w:rsid w:val="00034433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Strong">
    <w:name w:val="Strong"/>
    <w:basedOn w:val="DefaultParagraphFont"/>
    <w:uiPriority w:val="99"/>
    <w:qFormat/>
    <w:rsid w:val="0003443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4</Pages>
  <Words>1040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Tomakie Washington</cp:lastModifiedBy>
  <cp:revision>3</cp:revision>
  <cp:lastPrinted>2010-10-04T16:59:00Z</cp:lastPrinted>
  <dcterms:created xsi:type="dcterms:W3CDTF">2014-03-19T13:58:00Z</dcterms:created>
  <dcterms:modified xsi:type="dcterms:W3CDTF">2014-03-19T21:25:00Z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