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B04" w:rsidRDefault="00266B04" w:rsidP="00266B04">
      <w:pPr>
        <w:pStyle w:val="Title"/>
        <w:ind w:right="-540"/>
        <w:outlineLvl w:val="0"/>
        <w:rPr>
          <w:rFonts w:cs="Arial"/>
          <w:b/>
          <w:bCs/>
          <w:u w:val="none"/>
        </w:rPr>
      </w:pPr>
      <w:r>
        <w:rPr>
          <w:rFonts w:cs="Arial"/>
          <w:b/>
          <w:bCs/>
          <w:u w:val="none"/>
        </w:rPr>
        <w:t>Supporting Statement For</w:t>
      </w:r>
    </w:p>
    <w:p w:rsidR="00266B04" w:rsidRPr="00D4690A" w:rsidRDefault="00266B04" w:rsidP="00266B04">
      <w:pPr>
        <w:pStyle w:val="Title"/>
        <w:outlineLvl w:val="0"/>
        <w:rPr>
          <w:rFonts w:cs="Arial"/>
          <w:b/>
          <w:bCs/>
          <w:u w:val="none"/>
        </w:rPr>
      </w:pPr>
      <w:r w:rsidRPr="00D4690A">
        <w:rPr>
          <w:rFonts w:cs="Arial"/>
          <w:b/>
          <w:bCs/>
          <w:u w:val="none"/>
        </w:rPr>
        <w:t>Paperwork Reduction Act Submission</w:t>
      </w:r>
    </w:p>
    <w:p w:rsidR="00266B04" w:rsidRPr="00D4690A" w:rsidRDefault="003F2F92" w:rsidP="00266B04">
      <w:pPr>
        <w:pStyle w:val="Title"/>
        <w:rPr>
          <w:rFonts w:cs="Arial"/>
          <w:b/>
          <w:bCs/>
          <w:u w:val="none"/>
        </w:rPr>
      </w:pPr>
      <w:r w:rsidRPr="00D4690A">
        <w:rPr>
          <w:rFonts w:cs="Arial"/>
          <w:b/>
          <w:bCs/>
          <w:u w:val="none"/>
        </w:rPr>
        <w:t xml:space="preserve">Foreign </w:t>
      </w:r>
      <w:r w:rsidR="00266B04" w:rsidRPr="00D4690A">
        <w:rPr>
          <w:rFonts w:cs="Arial"/>
          <w:b/>
          <w:bCs/>
          <w:u w:val="none"/>
        </w:rPr>
        <w:t xml:space="preserve">Diplomatic </w:t>
      </w:r>
      <w:r w:rsidR="00B465EB" w:rsidRPr="00D4690A">
        <w:rPr>
          <w:rFonts w:cs="Arial"/>
          <w:b/>
          <w:bCs/>
          <w:u w:val="none"/>
        </w:rPr>
        <w:t xml:space="preserve">Services </w:t>
      </w:r>
      <w:r w:rsidR="00F50B2E" w:rsidRPr="00D4690A">
        <w:rPr>
          <w:rFonts w:cs="Arial"/>
          <w:b/>
          <w:bCs/>
          <w:u w:val="none"/>
        </w:rPr>
        <w:t>Application</w:t>
      </w:r>
      <w:r w:rsidR="00B465EB" w:rsidRPr="00D4690A">
        <w:rPr>
          <w:rFonts w:cs="Arial"/>
          <w:b/>
          <w:bCs/>
          <w:u w:val="none"/>
        </w:rPr>
        <w:t>s</w:t>
      </w:r>
      <w:r w:rsidR="00C56615" w:rsidRPr="00D4690A">
        <w:rPr>
          <w:rFonts w:cs="Arial"/>
          <w:b/>
          <w:bCs/>
          <w:u w:val="none"/>
        </w:rPr>
        <w:t xml:space="preserve"> </w:t>
      </w:r>
    </w:p>
    <w:p w:rsidR="00266B04" w:rsidRPr="00166AAB" w:rsidRDefault="00266B04" w:rsidP="00266B04">
      <w:pPr>
        <w:pStyle w:val="Title"/>
        <w:outlineLvl w:val="0"/>
        <w:rPr>
          <w:rFonts w:ascii="Arial" w:hAnsi="Arial" w:cs="Arial"/>
          <w:b/>
          <w:bCs/>
          <w:u w:val="none"/>
          <w:lang w:val="pt-BR"/>
        </w:rPr>
      </w:pPr>
      <w:r w:rsidRPr="00166AAB">
        <w:rPr>
          <w:rFonts w:cs="Arial"/>
          <w:b/>
          <w:bCs/>
          <w:u w:val="none"/>
          <w:lang w:val="pt-BR"/>
        </w:rPr>
        <w:t xml:space="preserve">OMB No. </w:t>
      </w:r>
      <w:r w:rsidR="00887E6E" w:rsidRPr="00166AAB">
        <w:rPr>
          <w:b/>
          <w:u w:val="none"/>
          <w:lang w:val="pt-BR"/>
        </w:rPr>
        <w:t>1405-0105</w:t>
      </w:r>
    </w:p>
    <w:p w:rsidR="00266B04" w:rsidRDefault="00266B04" w:rsidP="00266B04">
      <w:pPr>
        <w:tabs>
          <w:tab w:val="left" w:pos="720"/>
        </w:tabs>
        <w:spacing w:line="0" w:lineRule="atLeast"/>
        <w:ind w:left="720" w:hanging="720"/>
        <w:jc w:val="center"/>
        <w:rPr>
          <w:sz w:val="24"/>
        </w:rPr>
      </w:pPr>
    </w:p>
    <w:p w:rsidR="00266B04" w:rsidRDefault="00266B04" w:rsidP="00266B04">
      <w:pPr>
        <w:pStyle w:val="Subtitle"/>
        <w:outlineLvl w:val="0"/>
      </w:pPr>
      <w:r>
        <w:t xml:space="preserve"> A.</w:t>
      </w:r>
      <w:r>
        <w:tab/>
        <w:t>JUSTIFICATION</w:t>
      </w:r>
    </w:p>
    <w:p w:rsidR="00266B04" w:rsidRPr="00274817" w:rsidRDefault="00266B04" w:rsidP="00266B04">
      <w:pPr>
        <w:tabs>
          <w:tab w:val="left" w:pos="720"/>
        </w:tabs>
        <w:spacing w:line="0" w:lineRule="atLeast"/>
        <w:ind w:left="720" w:hanging="720"/>
        <w:rPr>
          <w:sz w:val="24"/>
        </w:rPr>
      </w:pPr>
    </w:p>
    <w:p w:rsidR="00266B04" w:rsidRPr="00D42C6C" w:rsidRDefault="00266B04" w:rsidP="00E15D2C">
      <w:pPr>
        <w:pStyle w:val="BodyTextIndent"/>
        <w:numPr>
          <w:ilvl w:val="0"/>
          <w:numId w:val="1"/>
        </w:numPr>
        <w:tabs>
          <w:tab w:val="clear" w:pos="720"/>
        </w:tabs>
        <w:spacing w:line="240" w:lineRule="auto"/>
        <w:rPr>
          <w:rFonts w:ascii="Times New Roman" w:hAnsi="Times New Roman"/>
        </w:rPr>
      </w:pPr>
      <w:r w:rsidRPr="00D42C6C">
        <w:rPr>
          <w:rFonts w:ascii="Times New Roman" w:hAnsi="Times New Roman"/>
        </w:rPr>
        <w:t xml:space="preserve">The United States is host to </w:t>
      </w:r>
      <w:r w:rsidR="00785C40" w:rsidRPr="00D42C6C">
        <w:rPr>
          <w:rFonts w:ascii="Times New Roman" w:hAnsi="Times New Roman"/>
        </w:rPr>
        <w:t>hundreds of foreign embassies</w:t>
      </w:r>
      <w:r w:rsidR="00D62283" w:rsidRPr="00D42C6C">
        <w:rPr>
          <w:rFonts w:ascii="Times New Roman" w:hAnsi="Times New Roman"/>
        </w:rPr>
        <w:t>, consulates,</w:t>
      </w:r>
      <w:r w:rsidR="00785C40" w:rsidRPr="00D42C6C">
        <w:rPr>
          <w:rFonts w:ascii="Times New Roman" w:hAnsi="Times New Roman"/>
        </w:rPr>
        <w:t xml:space="preserve"> and missions to international </w:t>
      </w:r>
      <w:r w:rsidR="006847D3" w:rsidRPr="00D42C6C">
        <w:rPr>
          <w:rFonts w:ascii="Times New Roman" w:hAnsi="Times New Roman"/>
        </w:rPr>
        <w:t>o</w:t>
      </w:r>
      <w:r w:rsidR="00785C40" w:rsidRPr="00D42C6C">
        <w:rPr>
          <w:rFonts w:ascii="Times New Roman" w:hAnsi="Times New Roman"/>
        </w:rPr>
        <w:t xml:space="preserve">rganizations, with thousands of personnel, as well as designated international organizations and select personnel of such organizations who are </w:t>
      </w:r>
      <w:r w:rsidRPr="00D42C6C">
        <w:rPr>
          <w:rFonts w:ascii="Times New Roman" w:hAnsi="Times New Roman"/>
        </w:rPr>
        <w:t xml:space="preserve">entitled to </w:t>
      </w:r>
      <w:r w:rsidR="00785C40" w:rsidRPr="00D42C6C">
        <w:rPr>
          <w:rFonts w:ascii="Times New Roman" w:hAnsi="Times New Roman"/>
        </w:rPr>
        <w:t xml:space="preserve">a range of </w:t>
      </w:r>
      <w:r w:rsidRPr="00D42C6C">
        <w:rPr>
          <w:rFonts w:ascii="Times New Roman" w:hAnsi="Times New Roman"/>
        </w:rPr>
        <w:t xml:space="preserve">diplomatic or consular benefits, privileges, and immunities.  This group of eligible foreign entities (collectively referred to as “foreign missions”) </w:t>
      </w:r>
      <w:r w:rsidR="00785C40" w:rsidRPr="00D42C6C">
        <w:rPr>
          <w:rFonts w:ascii="Times New Roman" w:hAnsi="Times New Roman"/>
        </w:rPr>
        <w:t xml:space="preserve">and their </w:t>
      </w:r>
      <w:r w:rsidRPr="00D42C6C">
        <w:rPr>
          <w:rFonts w:ascii="Times New Roman" w:hAnsi="Times New Roman"/>
        </w:rPr>
        <w:t xml:space="preserve">eligible personnel </w:t>
      </w:r>
      <w:r w:rsidR="00785C40" w:rsidRPr="00D42C6C">
        <w:rPr>
          <w:rFonts w:ascii="Times New Roman" w:hAnsi="Times New Roman"/>
        </w:rPr>
        <w:t xml:space="preserve">(including certain dependents) are hereinafter </w:t>
      </w:r>
      <w:r w:rsidRPr="00D42C6C">
        <w:rPr>
          <w:rFonts w:ascii="Times New Roman" w:hAnsi="Times New Roman"/>
        </w:rPr>
        <w:t xml:space="preserve">referred to as “respondents” or “applicants.”  </w:t>
      </w:r>
    </w:p>
    <w:p w:rsidR="00266B04" w:rsidRPr="0018401F" w:rsidRDefault="00266B04" w:rsidP="00266B04">
      <w:pPr>
        <w:pStyle w:val="BodyTextIndent"/>
        <w:spacing w:line="240" w:lineRule="auto"/>
        <w:ind w:left="72" w:firstLine="0"/>
        <w:rPr>
          <w:rFonts w:ascii="Times New Roman" w:hAnsi="Times New Roman"/>
        </w:rPr>
      </w:pPr>
    </w:p>
    <w:p w:rsidR="006847D3" w:rsidRPr="006847D3" w:rsidRDefault="00266B04" w:rsidP="006847D3">
      <w:pPr>
        <w:pStyle w:val="BodyTextIndent"/>
        <w:numPr>
          <w:ilvl w:val="3"/>
          <w:numId w:val="1"/>
        </w:numPr>
        <w:spacing w:line="240" w:lineRule="auto"/>
        <w:rPr>
          <w:rFonts w:ascii="Times New Roman" w:hAnsi="Times New Roman"/>
        </w:rPr>
      </w:pPr>
      <w:r w:rsidRPr="0018401F">
        <w:rPr>
          <w:rFonts w:ascii="Times New Roman" w:hAnsi="Times New Roman"/>
        </w:rPr>
        <w:t xml:space="preserve">The </w:t>
      </w:r>
      <w:r w:rsidR="00274225">
        <w:rPr>
          <w:rFonts w:ascii="Times New Roman" w:hAnsi="Times New Roman"/>
        </w:rPr>
        <w:t xml:space="preserve">U.S. </w:t>
      </w:r>
      <w:r w:rsidRPr="0018401F">
        <w:rPr>
          <w:rFonts w:ascii="Times New Roman" w:hAnsi="Times New Roman"/>
        </w:rPr>
        <w:t xml:space="preserve">Department of State seeks to ensure that the benefits, privileges, and immunities of such entities and persons </w:t>
      </w:r>
      <w:r w:rsidR="00785C40">
        <w:rPr>
          <w:rFonts w:ascii="Times New Roman" w:hAnsi="Times New Roman"/>
        </w:rPr>
        <w:t xml:space="preserve">assigned to duty </w:t>
      </w:r>
      <w:r w:rsidR="00CA6E5C">
        <w:rPr>
          <w:rFonts w:ascii="Times New Roman" w:hAnsi="Times New Roman"/>
        </w:rPr>
        <w:t xml:space="preserve">in the United States </w:t>
      </w:r>
      <w:r w:rsidRPr="0018401F">
        <w:rPr>
          <w:rFonts w:ascii="Times New Roman" w:hAnsi="Times New Roman"/>
        </w:rPr>
        <w:t>are properly implemented and respected.  T</w:t>
      </w:r>
      <w:r w:rsidRPr="0018401F">
        <w:rPr>
          <w:rFonts w:ascii="Times New Roman" w:hAnsi="Times New Roman"/>
          <w:szCs w:val="24"/>
        </w:rPr>
        <w:t xml:space="preserve">his responsibility is divided between the Office of Protocol (Protocol) and the Office of Foreign Missions (OFM).  Protocol’s responsibilities include the accreditation </w:t>
      </w:r>
      <w:r w:rsidR="00785C40">
        <w:rPr>
          <w:rFonts w:ascii="Times New Roman" w:hAnsi="Times New Roman"/>
          <w:szCs w:val="24"/>
        </w:rPr>
        <w:t xml:space="preserve">of individual </w:t>
      </w:r>
      <w:r>
        <w:rPr>
          <w:rFonts w:ascii="Times New Roman" w:hAnsi="Times New Roman"/>
          <w:szCs w:val="24"/>
        </w:rPr>
        <w:t>applicant</w:t>
      </w:r>
      <w:r w:rsidR="00785C40">
        <w:rPr>
          <w:rFonts w:ascii="Times New Roman" w:hAnsi="Times New Roman"/>
          <w:szCs w:val="24"/>
        </w:rPr>
        <w:t>s</w:t>
      </w:r>
      <w:r w:rsidR="00C65CDF">
        <w:rPr>
          <w:rFonts w:ascii="Times New Roman" w:hAnsi="Times New Roman"/>
          <w:szCs w:val="24"/>
        </w:rPr>
        <w:t xml:space="preserve">. </w:t>
      </w:r>
      <w:r w:rsidR="00283B7B">
        <w:rPr>
          <w:rFonts w:ascii="Times New Roman" w:hAnsi="Times New Roman"/>
          <w:szCs w:val="24"/>
        </w:rPr>
        <w:t xml:space="preserve"> </w:t>
      </w:r>
      <w:r w:rsidRPr="0018401F">
        <w:rPr>
          <w:rFonts w:ascii="Times New Roman" w:hAnsi="Times New Roman"/>
          <w:szCs w:val="24"/>
        </w:rPr>
        <w:t>OFM</w:t>
      </w:r>
      <w:r>
        <w:rPr>
          <w:rFonts w:ascii="Times New Roman" w:hAnsi="Times New Roman"/>
          <w:szCs w:val="24"/>
        </w:rPr>
        <w:t>’s</w:t>
      </w:r>
      <w:r w:rsidRPr="0018401F">
        <w:rPr>
          <w:rFonts w:ascii="Times New Roman" w:hAnsi="Times New Roman"/>
          <w:szCs w:val="24"/>
        </w:rPr>
        <w:t xml:space="preserve"> responsibilities include </w:t>
      </w:r>
      <w:r>
        <w:rPr>
          <w:rFonts w:ascii="Times New Roman" w:hAnsi="Times New Roman"/>
          <w:szCs w:val="24"/>
        </w:rPr>
        <w:t xml:space="preserve">overseeing and regulating </w:t>
      </w:r>
      <w:r w:rsidRPr="0018401F">
        <w:rPr>
          <w:rFonts w:ascii="Times New Roman" w:hAnsi="Times New Roman"/>
          <w:szCs w:val="24"/>
        </w:rPr>
        <w:t xml:space="preserve">the diplomatic and consular </w:t>
      </w:r>
      <w:r>
        <w:rPr>
          <w:rFonts w:ascii="Times New Roman" w:hAnsi="Times New Roman"/>
          <w:szCs w:val="24"/>
        </w:rPr>
        <w:t xml:space="preserve">benefits and </w:t>
      </w:r>
      <w:r w:rsidRPr="0018401F">
        <w:rPr>
          <w:rFonts w:ascii="Times New Roman" w:hAnsi="Times New Roman"/>
          <w:szCs w:val="24"/>
        </w:rPr>
        <w:t xml:space="preserve">privileges </w:t>
      </w:r>
      <w:r w:rsidR="00785C40">
        <w:rPr>
          <w:rFonts w:ascii="Times New Roman" w:hAnsi="Times New Roman"/>
          <w:szCs w:val="24"/>
        </w:rPr>
        <w:t xml:space="preserve">accorded foreign missions and eligible </w:t>
      </w:r>
      <w:r w:rsidR="00A33DC2">
        <w:rPr>
          <w:rFonts w:ascii="Times New Roman" w:hAnsi="Times New Roman"/>
          <w:szCs w:val="24"/>
        </w:rPr>
        <w:t>applicants</w:t>
      </w:r>
      <w:r w:rsidR="00785C40">
        <w:rPr>
          <w:rFonts w:ascii="Times New Roman" w:hAnsi="Times New Roman"/>
          <w:szCs w:val="24"/>
        </w:rPr>
        <w:t>, including</w:t>
      </w:r>
      <w:r w:rsidRPr="0018401F">
        <w:rPr>
          <w:rFonts w:ascii="Times New Roman" w:hAnsi="Times New Roman"/>
          <w:szCs w:val="24"/>
        </w:rPr>
        <w:t xml:space="preserve"> tax exemptions, motor vehicle registrations, driver licenses, customs clearances</w:t>
      </w:r>
      <w:r w:rsidR="00B93F79">
        <w:rPr>
          <w:rFonts w:ascii="Times New Roman" w:hAnsi="Times New Roman"/>
          <w:szCs w:val="24"/>
        </w:rPr>
        <w:t>,</w:t>
      </w:r>
      <w:r w:rsidRPr="0018401F">
        <w:rPr>
          <w:rFonts w:ascii="Times New Roman" w:hAnsi="Times New Roman"/>
          <w:szCs w:val="24"/>
        </w:rPr>
        <w:t xml:space="preserve"> and acquisition of </w:t>
      </w:r>
      <w:r w:rsidR="00785C40">
        <w:rPr>
          <w:rFonts w:ascii="Times New Roman" w:hAnsi="Times New Roman"/>
          <w:szCs w:val="24"/>
        </w:rPr>
        <w:t xml:space="preserve">real </w:t>
      </w:r>
      <w:r w:rsidRPr="0018401F">
        <w:rPr>
          <w:rFonts w:ascii="Times New Roman" w:hAnsi="Times New Roman"/>
          <w:szCs w:val="24"/>
        </w:rPr>
        <w:t xml:space="preserve">property.  </w:t>
      </w:r>
      <w:r w:rsidR="006847D3">
        <w:rPr>
          <w:rFonts w:ascii="Times New Roman" w:hAnsi="Times New Roman"/>
          <w:szCs w:val="24"/>
        </w:rPr>
        <w:t xml:space="preserve"> </w:t>
      </w:r>
    </w:p>
    <w:p w:rsidR="006847D3" w:rsidRPr="006847D3" w:rsidRDefault="006847D3" w:rsidP="006847D3">
      <w:pPr>
        <w:pStyle w:val="BodyTextIndent"/>
        <w:numPr>
          <w:ilvl w:val="3"/>
          <w:numId w:val="1"/>
        </w:numPr>
        <w:spacing w:line="240" w:lineRule="auto"/>
        <w:rPr>
          <w:rFonts w:ascii="Times New Roman" w:hAnsi="Times New Roman"/>
        </w:rPr>
      </w:pPr>
    </w:p>
    <w:p w:rsidR="006847D3" w:rsidRDefault="00B44D62" w:rsidP="006847D3">
      <w:pPr>
        <w:pStyle w:val="BodyTextIndent"/>
        <w:numPr>
          <w:ilvl w:val="3"/>
          <w:numId w:val="1"/>
        </w:numPr>
        <w:spacing w:line="240" w:lineRule="auto"/>
        <w:rPr>
          <w:rFonts w:ascii="Times New Roman" w:hAnsi="Times New Roman"/>
        </w:rPr>
      </w:pPr>
      <w:r w:rsidRPr="00274225">
        <w:rPr>
          <w:rFonts w:ascii="Times New Roman" w:hAnsi="Times New Roman"/>
        </w:rPr>
        <w:t>C</w:t>
      </w:r>
      <w:r w:rsidR="00283B7B" w:rsidRPr="00274225">
        <w:rPr>
          <w:rFonts w:ascii="Times New Roman" w:hAnsi="Times New Roman"/>
        </w:rPr>
        <w:t>ollection information instruments</w:t>
      </w:r>
      <w:r w:rsidR="00274225">
        <w:rPr>
          <w:rFonts w:ascii="Times New Roman" w:hAnsi="Times New Roman"/>
        </w:rPr>
        <w:t xml:space="preserve"> dealing with information collection from the foreign </w:t>
      </w:r>
      <w:r w:rsidR="00A33DC2">
        <w:rPr>
          <w:rFonts w:ascii="Times New Roman" w:hAnsi="Times New Roman"/>
        </w:rPr>
        <w:t>mission</w:t>
      </w:r>
      <w:r w:rsidR="00274225">
        <w:rPr>
          <w:rFonts w:ascii="Times New Roman" w:hAnsi="Times New Roman"/>
        </w:rPr>
        <w:t xml:space="preserve"> community</w:t>
      </w:r>
      <w:r w:rsidR="00023FA5">
        <w:rPr>
          <w:rFonts w:ascii="Times New Roman" w:hAnsi="Times New Roman"/>
        </w:rPr>
        <w:t xml:space="preserve">, to include </w:t>
      </w:r>
      <w:r w:rsidR="00023FA5" w:rsidRPr="00D4690A">
        <w:rPr>
          <w:rFonts w:ascii="Times New Roman" w:hAnsi="Times New Roman"/>
        </w:rPr>
        <w:t>the electronic data compilation (e</w:t>
      </w:r>
      <w:r w:rsidR="00023FA5">
        <w:rPr>
          <w:rFonts w:ascii="Times New Roman" w:hAnsi="Times New Roman"/>
        </w:rPr>
        <w:t>-</w:t>
      </w:r>
      <w:r w:rsidR="00023FA5" w:rsidRPr="00D4690A">
        <w:rPr>
          <w:rFonts w:ascii="Times New Roman" w:hAnsi="Times New Roman"/>
        </w:rPr>
        <w:t>Gov)</w:t>
      </w:r>
      <w:r w:rsidR="00023FA5">
        <w:rPr>
          <w:rFonts w:ascii="Times New Roman" w:hAnsi="Times New Roman"/>
        </w:rPr>
        <w:t xml:space="preserve">, </w:t>
      </w:r>
      <w:r w:rsidR="00887E6E" w:rsidRPr="00274225">
        <w:rPr>
          <w:rFonts w:ascii="Times New Roman" w:hAnsi="Times New Roman"/>
        </w:rPr>
        <w:t xml:space="preserve">have been </w:t>
      </w:r>
      <w:r w:rsidR="00283B7B" w:rsidRPr="00274225">
        <w:rPr>
          <w:rFonts w:ascii="Times New Roman" w:hAnsi="Times New Roman"/>
        </w:rPr>
        <w:t xml:space="preserve">combined under </w:t>
      </w:r>
      <w:r w:rsidR="00023FA5">
        <w:rPr>
          <w:rFonts w:ascii="Times New Roman" w:hAnsi="Times New Roman"/>
        </w:rPr>
        <w:t xml:space="preserve">one </w:t>
      </w:r>
      <w:r w:rsidR="00887E6E" w:rsidRPr="00023FA5">
        <w:rPr>
          <w:rFonts w:ascii="Times New Roman" w:hAnsi="Times New Roman"/>
        </w:rPr>
        <w:t xml:space="preserve">information </w:t>
      </w:r>
      <w:r w:rsidR="00283B7B" w:rsidRPr="00023FA5">
        <w:rPr>
          <w:rFonts w:ascii="Times New Roman" w:hAnsi="Times New Roman"/>
        </w:rPr>
        <w:t xml:space="preserve">collection </w:t>
      </w:r>
      <w:r w:rsidR="00887E6E" w:rsidRPr="00023FA5">
        <w:rPr>
          <w:rFonts w:ascii="Times New Roman" w:hAnsi="Times New Roman"/>
        </w:rPr>
        <w:t>request</w:t>
      </w:r>
      <w:r w:rsidR="00F940B3" w:rsidRPr="00023FA5">
        <w:rPr>
          <w:rFonts w:ascii="Times New Roman" w:hAnsi="Times New Roman"/>
        </w:rPr>
        <w:t>,</w:t>
      </w:r>
      <w:r w:rsidR="00F940B3">
        <w:rPr>
          <w:rFonts w:ascii="Times New Roman" w:hAnsi="Times New Roman"/>
        </w:rPr>
        <w:t xml:space="preserve"> collectively referred to as </w:t>
      </w:r>
      <w:r w:rsidR="003F2F92" w:rsidRPr="00D4690A">
        <w:rPr>
          <w:rFonts w:ascii="Times New Roman" w:hAnsi="Times New Roman"/>
        </w:rPr>
        <w:t xml:space="preserve">the “Foreign Diplomatic </w:t>
      </w:r>
      <w:r w:rsidR="00B465EB" w:rsidRPr="00D4690A">
        <w:rPr>
          <w:rFonts w:ascii="Times New Roman" w:hAnsi="Times New Roman"/>
        </w:rPr>
        <w:t xml:space="preserve">Services </w:t>
      </w:r>
      <w:r w:rsidR="00F50B2E" w:rsidRPr="00D4690A">
        <w:rPr>
          <w:rFonts w:ascii="Times New Roman" w:hAnsi="Times New Roman"/>
        </w:rPr>
        <w:t>Application</w:t>
      </w:r>
      <w:r w:rsidR="00B465EB" w:rsidRPr="00D4690A">
        <w:rPr>
          <w:rFonts w:ascii="Times New Roman" w:hAnsi="Times New Roman"/>
        </w:rPr>
        <w:t>s</w:t>
      </w:r>
      <w:r w:rsidR="003F2F92" w:rsidRPr="00D4690A">
        <w:rPr>
          <w:rFonts w:ascii="Times New Roman" w:hAnsi="Times New Roman"/>
        </w:rPr>
        <w:t>” (</w:t>
      </w:r>
      <w:r w:rsidR="00F50B2E" w:rsidRPr="00D4690A">
        <w:rPr>
          <w:rFonts w:ascii="Times New Roman" w:hAnsi="Times New Roman"/>
        </w:rPr>
        <w:t>FD</w:t>
      </w:r>
      <w:r w:rsidR="00B465EB" w:rsidRPr="00D4690A">
        <w:rPr>
          <w:rFonts w:ascii="Times New Roman" w:hAnsi="Times New Roman"/>
        </w:rPr>
        <w:t>S</w:t>
      </w:r>
      <w:r w:rsidR="00F50B2E" w:rsidRPr="00D4690A">
        <w:rPr>
          <w:rFonts w:ascii="Times New Roman" w:hAnsi="Times New Roman"/>
        </w:rPr>
        <w:t>A</w:t>
      </w:r>
      <w:r w:rsidR="003F2F92" w:rsidRPr="00D4690A">
        <w:rPr>
          <w:rFonts w:ascii="Times New Roman" w:hAnsi="Times New Roman"/>
        </w:rPr>
        <w:t>)</w:t>
      </w:r>
      <w:r w:rsidR="00887E6E" w:rsidRPr="00D4690A">
        <w:rPr>
          <w:rFonts w:ascii="Times New Roman" w:hAnsi="Times New Roman"/>
        </w:rPr>
        <w:t xml:space="preserve">.  </w:t>
      </w:r>
      <w:r w:rsidR="009C7DB8" w:rsidRPr="00AA1EE1">
        <w:rPr>
          <w:rFonts w:ascii="Times New Roman" w:hAnsi="Times New Roman"/>
        </w:rPr>
        <w:t>The</w:t>
      </w:r>
      <w:r w:rsidR="009C7DB8">
        <w:rPr>
          <w:rFonts w:ascii="Times New Roman" w:hAnsi="Times New Roman"/>
        </w:rPr>
        <w:t>se</w:t>
      </w:r>
      <w:r w:rsidR="009C7DB8" w:rsidRPr="00AA1EE1">
        <w:rPr>
          <w:rFonts w:ascii="Times New Roman" w:hAnsi="Times New Roman"/>
        </w:rPr>
        <w:t xml:space="preserve"> information collection instruments provide OFM and Protocol with the information </w:t>
      </w:r>
      <w:r w:rsidR="009C7DB8">
        <w:rPr>
          <w:rFonts w:ascii="Times New Roman" w:hAnsi="Times New Roman"/>
        </w:rPr>
        <w:t>necessary</w:t>
      </w:r>
      <w:r w:rsidR="009C7DB8" w:rsidRPr="00AA1EE1">
        <w:rPr>
          <w:rFonts w:ascii="Times New Roman" w:hAnsi="Times New Roman"/>
        </w:rPr>
        <w:t xml:space="preserve"> to provide and administer an effective and efficient benefits, privileges and immunities program by which foreign missions and </w:t>
      </w:r>
      <w:r w:rsidR="009C7DB8">
        <w:rPr>
          <w:rFonts w:ascii="Times New Roman" w:hAnsi="Times New Roman"/>
        </w:rPr>
        <w:t xml:space="preserve">eligible </w:t>
      </w:r>
      <w:r w:rsidR="00A33DC2">
        <w:rPr>
          <w:rFonts w:ascii="Times New Roman" w:hAnsi="Times New Roman"/>
        </w:rPr>
        <w:t>applicant</w:t>
      </w:r>
      <w:r w:rsidR="009C7DB8" w:rsidRPr="00AA1EE1">
        <w:rPr>
          <w:rFonts w:ascii="Times New Roman" w:hAnsi="Times New Roman"/>
        </w:rPr>
        <w:t xml:space="preserve">s may </w:t>
      </w:r>
      <w:r w:rsidR="009C7DB8">
        <w:rPr>
          <w:rFonts w:ascii="Times New Roman" w:hAnsi="Times New Roman"/>
        </w:rPr>
        <w:t>apply for entitled benefits from</w:t>
      </w:r>
      <w:r w:rsidR="009C7DB8" w:rsidRPr="00AA1EE1">
        <w:rPr>
          <w:rFonts w:ascii="Times New Roman" w:hAnsi="Times New Roman"/>
        </w:rPr>
        <w:t xml:space="preserve"> the </w:t>
      </w:r>
      <w:r w:rsidR="009C7DB8">
        <w:rPr>
          <w:rFonts w:ascii="Times New Roman" w:hAnsi="Times New Roman"/>
        </w:rPr>
        <w:t xml:space="preserve">U.S. </w:t>
      </w:r>
      <w:r w:rsidR="009C7DB8" w:rsidRPr="00AA1EE1">
        <w:rPr>
          <w:rFonts w:ascii="Times New Roman" w:hAnsi="Times New Roman"/>
        </w:rPr>
        <w:t xml:space="preserve">Department of State. </w:t>
      </w:r>
      <w:r w:rsidR="009C7DB8">
        <w:rPr>
          <w:rFonts w:ascii="Times New Roman" w:hAnsi="Times New Roman"/>
        </w:rPr>
        <w:t xml:space="preserve"> </w:t>
      </w:r>
      <w:r w:rsidR="006847D3">
        <w:rPr>
          <w:rFonts w:ascii="Times New Roman" w:hAnsi="Times New Roman"/>
        </w:rPr>
        <w:t xml:space="preserve">  </w:t>
      </w:r>
    </w:p>
    <w:p w:rsidR="006847D3" w:rsidRDefault="006847D3" w:rsidP="006847D3">
      <w:pPr>
        <w:pStyle w:val="BodyTextIndent"/>
        <w:spacing w:line="240" w:lineRule="auto"/>
        <w:ind w:left="1296" w:right="432" w:hanging="576"/>
        <w:rPr>
          <w:rFonts w:ascii="Times New Roman" w:hAnsi="Times New Roman"/>
        </w:rPr>
      </w:pPr>
    </w:p>
    <w:p w:rsidR="006847D3" w:rsidRPr="005D3BC2" w:rsidRDefault="00266B04" w:rsidP="006847D3">
      <w:pPr>
        <w:pStyle w:val="BodyTextIndent"/>
        <w:spacing w:line="240" w:lineRule="auto"/>
        <w:ind w:right="432" w:firstLine="0"/>
        <w:rPr>
          <w:rFonts w:ascii="Times New Roman" w:hAnsi="Times New Roman"/>
          <w:szCs w:val="24"/>
        </w:rPr>
      </w:pPr>
      <w:r w:rsidRPr="00AA1EE1">
        <w:rPr>
          <w:rFonts w:ascii="Times New Roman" w:hAnsi="Times New Roman"/>
          <w:szCs w:val="24"/>
        </w:rPr>
        <w:t>Administration of and the eligibility for these benefits, privileges, and immunities are conferred</w:t>
      </w:r>
      <w:r w:rsidRPr="0018401F">
        <w:rPr>
          <w:rFonts w:ascii="Times New Roman" w:hAnsi="Times New Roman"/>
          <w:szCs w:val="24"/>
        </w:rPr>
        <w:t xml:space="preserve"> on the bas</w:t>
      </w:r>
      <w:r w:rsidR="00F940B3">
        <w:rPr>
          <w:rFonts w:ascii="Times New Roman" w:hAnsi="Times New Roman"/>
          <w:szCs w:val="24"/>
        </w:rPr>
        <w:t>i</w:t>
      </w:r>
      <w:r w:rsidRPr="0018401F">
        <w:rPr>
          <w:rFonts w:ascii="Times New Roman" w:hAnsi="Times New Roman"/>
          <w:szCs w:val="24"/>
        </w:rPr>
        <w:t xml:space="preserve">s of international and </w:t>
      </w:r>
      <w:r w:rsidR="00F940B3">
        <w:rPr>
          <w:rFonts w:ascii="Times New Roman" w:hAnsi="Times New Roman"/>
          <w:szCs w:val="24"/>
        </w:rPr>
        <w:t xml:space="preserve">domestic </w:t>
      </w:r>
      <w:r w:rsidRPr="0018401F">
        <w:rPr>
          <w:rFonts w:ascii="Times New Roman" w:hAnsi="Times New Roman"/>
          <w:szCs w:val="24"/>
        </w:rPr>
        <w:t xml:space="preserve">law, </w:t>
      </w:r>
      <w:r w:rsidR="00F940B3">
        <w:rPr>
          <w:rFonts w:ascii="Times New Roman" w:hAnsi="Times New Roman"/>
          <w:szCs w:val="24"/>
        </w:rPr>
        <w:t xml:space="preserve">taking into account </w:t>
      </w:r>
      <w:r w:rsidRPr="0018401F">
        <w:rPr>
          <w:rFonts w:ascii="Times New Roman" w:hAnsi="Times New Roman"/>
          <w:szCs w:val="24"/>
        </w:rPr>
        <w:t>principles of reciprocity</w:t>
      </w:r>
      <w:r w:rsidR="00F940B3">
        <w:rPr>
          <w:rFonts w:ascii="Times New Roman" w:hAnsi="Times New Roman"/>
          <w:szCs w:val="24"/>
        </w:rPr>
        <w:t>.</w:t>
      </w:r>
      <w:r w:rsidR="00F940B3" w:rsidRPr="0018401F" w:rsidDel="00F940B3">
        <w:rPr>
          <w:rFonts w:ascii="Times New Roman" w:hAnsi="Times New Roman"/>
          <w:szCs w:val="24"/>
        </w:rPr>
        <w:t xml:space="preserve"> </w:t>
      </w:r>
      <w:r w:rsidR="006847D3">
        <w:rPr>
          <w:rFonts w:ascii="Times New Roman" w:hAnsi="Times New Roman"/>
          <w:szCs w:val="24"/>
        </w:rPr>
        <w:t xml:space="preserve"> </w:t>
      </w:r>
      <w:r w:rsidR="00BC588B">
        <w:rPr>
          <w:rFonts w:ascii="Times New Roman" w:hAnsi="Times New Roman"/>
          <w:szCs w:val="24"/>
        </w:rPr>
        <w:t xml:space="preserve">All FDSA are necessary in order for the Department of State to be able to perform </w:t>
      </w:r>
      <w:r w:rsidR="00BC588B" w:rsidRPr="00EF0D87">
        <w:rPr>
          <w:rFonts w:ascii="Times New Roman" w:hAnsi="Times New Roman"/>
          <w:szCs w:val="24"/>
        </w:rPr>
        <w:t xml:space="preserve">functions vital to the conduct of diplomatic relations and to fulfill the requirements of law integral to such relations.  </w:t>
      </w:r>
      <w:r w:rsidR="00023FA5" w:rsidRPr="00EF0D87">
        <w:rPr>
          <w:rFonts w:ascii="Times New Roman" w:hAnsi="Times New Roman"/>
          <w:szCs w:val="24"/>
        </w:rPr>
        <w:t xml:space="preserve">Accordingly, the Department seeks to add </w:t>
      </w:r>
      <w:r w:rsidR="005D3BC2">
        <w:rPr>
          <w:rFonts w:ascii="Times New Roman" w:hAnsi="Times New Roman"/>
          <w:szCs w:val="24"/>
        </w:rPr>
        <w:t>two</w:t>
      </w:r>
      <w:r w:rsidR="00023FA5" w:rsidRPr="00EF0D87">
        <w:rPr>
          <w:rFonts w:ascii="Times New Roman" w:hAnsi="Times New Roman"/>
          <w:szCs w:val="24"/>
        </w:rPr>
        <w:t xml:space="preserve"> </w:t>
      </w:r>
      <w:r w:rsidR="00023FA5" w:rsidRPr="005D3BC2">
        <w:rPr>
          <w:rFonts w:ascii="Times New Roman" w:hAnsi="Times New Roman"/>
          <w:szCs w:val="24"/>
        </w:rPr>
        <w:t>additional information collection instruments to its FDSA collection.</w:t>
      </w:r>
    </w:p>
    <w:p w:rsidR="006847D3" w:rsidRPr="005D3BC2" w:rsidRDefault="006847D3" w:rsidP="006847D3">
      <w:pPr>
        <w:pStyle w:val="BodyTextIndent"/>
        <w:spacing w:line="240" w:lineRule="auto"/>
        <w:ind w:left="1296" w:right="432" w:hanging="576"/>
        <w:rPr>
          <w:rFonts w:ascii="Times New Roman" w:hAnsi="Times New Roman"/>
          <w:szCs w:val="24"/>
        </w:rPr>
      </w:pPr>
    </w:p>
    <w:p w:rsidR="005D3BC2" w:rsidRPr="00E957C5" w:rsidRDefault="003F1EDB" w:rsidP="00E957C5">
      <w:pPr>
        <w:tabs>
          <w:tab w:val="left" w:pos="1080"/>
        </w:tabs>
        <w:ind w:left="1080" w:right="432" w:hanging="360"/>
        <w:rPr>
          <w:i/>
          <w:iCs/>
          <w:sz w:val="24"/>
          <w:szCs w:val="24"/>
        </w:rPr>
      </w:pPr>
      <w:r w:rsidRPr="005D3BC2">
        <w:rPr>
          <w:sz w:val="24"/>
          <w:szCs w:val="24"/>
        </w:rPr>
        <w:t xml:space="preserve">a. </w:t>
      </w:r>
      <w:r w:rsidRPr="005D3BC2">
        <w:rPr>
          <w:sz w:val="24"/>
          <w:szCs w:val="24"/>
        </w:rPr>
        <w:tab/>
      </w:r>
      <w:r w:rsidR="005D3BC2" w:rsidRPr="005D3BC2">
        <w:rPr>
          <w:sz w:val="24"/>
          <w:szCs w:val="24"/>
        </w:rPr>
        <w:t xml:space="preserve">The </w:t>
      </w:r>
      <w:r w:rsidR="00BF1A40">
        <w:rPr>
          <w:sz w:val="24"/>
          <w:szCs w:val="24"/>
        </w:rPr>
        <w:t xml:space="preserve">collection of </w:t>
      </w:r>
      <w:r w:rsidR="005D3BC2" w:rsidRPr="005D3BC2">
        <w:rPr>
          <w:sz w:val="24"/>
          <w:szCs w:val="24"/>
        </w:rPr>
        <w:t xml:space="preserve">information for </w:t>
      </w:r>
      <w:r w:rsidR="005D3BC2" w:rsidRPr="005D3BC2">
        <w:rPr>
          <w:b/>
          <w:sz w:val="24"/>
          <w:szCs w:val="24"/>
        </w:rPr>
        <w:t>Vendor Application for OFM Website Account</w:t>
      </w:r>
      <w:r w:rsidR="005D3BC2" w:rsidRPr="005D3BC2">
        <w:rPr>
          <w:sz w:val="24"/>
          <w:szCs w:val="24"/>
        </w:rPr>
        <w:t>, collection instrument DS</w:t>
      </w:r>
      <w:r w:rsidR="005D3BC2" w:rsidRPr="005D3BC2">
        <w:rPr>
          <w:sz w:val="24"/>
          <w:szCs w:val="24"/>
        </w:rPr>
        <w:noBreakHyphen/>
      </w:r>
      <w:r w:rsidR="005D3BC2">
        <w:rPr>
          <w:sz w:val="24"/>
          <w:szCs w:val="24"/>
        </w:rPr>
        <w:t>4155</w:t>
      </w:r>
      <w:r w:rsidR="005D3BC2" w:rsidRPr="005D3BC2">
        <w:rPr>
          <w:sz w:val="24"/>
          <w:szCs w:val="24"/>
        </w:rPr>
        <w:t xml:space="preserve">, is necessary for the Department to authorize vendor access to the Office of Foreign Missions’ electronic data submission (e-Gov) system </w:t>
      </w:r>
      <w:r w:rsidR="002B7A4C">
        <w:rPr>
          <w:sz w:val="24"/>
          <w:szCs w:val="24"/>
        </w:rPr>
        <w:t>giving</w:t>
      </w:r>
      <w:r w:rsidR="00317EF6">
        <w:rPr>
          <w:sz w:val="24"/>
          <w:szCs w:val="24"/>
        </w:rPr>
        <w:t xml:space="preserve"> vendor representatives </w:t>
      </w:r>
      <w:r w:rsidR="002B7A4C">
        <w:rPr>
          <w:sz w:val="24"/>
          <w:szCs w:val="24"/>
        </w:rPr>
        <w:t>permission</w:t>
      </w:r>
      <w:r w:rsidR="00317EF6">
        <w:rPr>
          <w:sz w:val="24"/>
          <w:szCs w:val="24"/>
        </w:rPr>
        <w:t xml:space="preserve"> to </w:t>
      </w:r>
      <w:r w:rsidR="0013186C">
        <w:rPr>
          <w:sz w:val="24"/>
          <w:szCs w:val="24"/>
        </w:rPr>
        <w:t>submit</w:t>
      </w:r>
      <w:r w:rsidR="00317EF6">
        <w:rPr>
          <w:sz w:val="24"/>
          <w:szCs w:val="24"/>
        </w:rPr>
        <w:t xml:space="preserve"> </w:t>
      </w:r>
      <w:r w:rsidR="0013186C">
        <w:rPr>
          <w:sz w:val="24"/>
          <w:szCs w:val="24"/>
        </w:rPr>
        <w:t xml:space="preserve">purchase </w:t>
      </w:r>
      <w:r w:rsidR="00317EF6">
        <w:rPr>
          <w:sz w:val="24"/>
          <w:szCs w:val="24"/>
        </w:rPr>
        <w:t xml:space="preserve">requests on behalf of their foreign mission clients.  </w:t>
      </w:r>
      <w:r w:rsidR="00C849F5">
        <w:rPr>
          <w:sz w:val="24"/>
          <w:szCs w:val="24"/>
        </w:rPr>
        <w:t xml:space="preserve">For </w:t>
      </w:r>
      <w:r w:rsidR="004E4F1A">
        <w:rPr>
          <w:sz w:val="24"/>
          <w:szCs w:val="24"/>
        </w:rPr>
        <w:t xml:space="preserve">access </w:t>
      </w:r>
      <w:r w:rsidR="00317EF6">
        <w:rPr>
          <w:sz w:val="24"/>
          <w:szCs w:val="24"/>
        </w:rPr>
        <w:t>control</w:t>
      </w:r>
      <w:r w:rsidR="006D5289">
        <w:rPr>
          <w:sz w:val="24"/>
          <w:szCs w:val="24"/>
        </w:rPr>
        <w:t xml:space="preserve"> and </w:t>
      </w:r>
      <w:r w:rsidR="00C849F5">
        <w:rPr>
          <w:sz w:val="24"/>
          <w:szCs w:val="24"/>
        </w:rPr>
        <w:t>to</w:t>
      </w:r>
      <w:r w:rsidR="000E18FB">
        <w:rPr>
          <w:sz w:val="24"/>
          <w:szCs w:val="24"/>
        </w:rPr>
        <w:t xml:space="preserve"> </w:t>
      </w:r>
      <w:r w:rsidR="005D3BC2" w:rsidRPr="00317EF6">
        <w:rPr>
          <w:sz w:val="24"/>
          <w:szCs w:val="24"/>
        </w:rPr>
        <w:t>fulfill the requirements of the Vienna Convention on Diplomatic Relations (1961) (VCDR); the Vienna Convention on Consular Relations (1963) (</w:t>
      </w:r>
      <w:r w:rsidR="005D3BC2" w:rsidRPr="005D3BC2">
        <w:rPr>
          <w:sz w:val="24"/>
          <w:szCs w:val="24"/>
        </w:rPr>
        <w:t xml:space="preserve">VCCR); Diplomatic Relations Act (22 U.S.C. 254a-e); the International Organizations Immunities Act, 22 U.S.C. 288e(a); and the Foreign </w:t>
      </w:r>
      <w:r w:rsidR="005D3BC2" w:rsidRPr="005D3BC2">
        <w:rPr>
          <w:sz w:val="24"/>
          <w:szCs w:val="24"/>
        </w:rPr>
        <w:lastRenderedPageBreak/>
        <w:t xml:space="preserve">Missions Act of 1982, 22 U.S.C. 4301 </w:t>
      </w:r>
      <w:r w:rsidR="005D3BC2" w:rsidRPr="005D3BC2">
        <w:rPr>
          <w:i/>
          <w:iCs/>
          <w:sz w:val="24"/>
          <w:szCs w:val="24"/>
        </w:rPr>
        <w:t xml:space="preserve">et </w:t>
      </w:r>
      <w:proofErr w:type="spellStart"/>
      <w:r w:rsidR="005D3BC2" w:rsidRPr="005D3BC2">
        <w:rPr>
          <w:i/>
          <w:iCs/>
          <w:sz w:val="24"/>
          <w:szCs w:val="24"/>
        </w:rPr>
        <w:t>seq</w:t>
      </w:r>
      <w:proofErr w:type="spellEnd"/>
      <w:r w:rsidR="005D3BC2" w:rsidRPr="00E957C5">
        <w:rPr>
          <w:iCs/>
          <w:sz w:val="24"/>
          <w:szCs w:val="24"/>
        </w:rPr>
        <w:t xml:space="preserve"> (FMA</w:t>
      </w:r>
      <w:r w:rsidR="006D5289" w:rsidRPr="00130040">
        <w:rPr>
          <w:iCs/>
          <w:sz w:val="24"/>
          <w:szCs w:val="24"/>
        </w:rPr>
        <w:t>)</w:t>
      </w:r>
      <w:r w:rsidR="006D5289" w:rsidRPr="006D5289">
        <w:rPr>
          <w:sz w:val="24"/>
          <w:szCs w:val="24"/>
        </w:rPr>
        <w:t>,</w:t>
      </w:r>
      <w:r w:rsidR="006D5289">
        <w:rPr>
          <w:sz w:val="24"/>
          <w:szCs w:val="24"/>
        </w:rPr>
        <w:t xml:space="preserve"> a vendor </w:t>
      </w:r>
      <w:r w:rsidR="006D5289" w:rsidRPr="00317EF6">
        <w:rPr>
          <w:sz w:val="24"/>
          <w:szCs w:val="24"/>
        </w:rPr>
        <w:t xml:space="preserve">representative must register with OFM before being granted </w:t>
      </w:r>
      <w:r w:rsidR="006D5289">
        <w:rPr>
          <w:sz w:val="24"/>
          <w:szCs w:val="24"/>
        </w:rPr>
        <w:t>permission</w:t>
      </w:r>
      <w:r w:rsidR="006D5289" w:rsidRPr="00317EF6">
        <w:rPr>
          <w:sz w:val="24"/>
          <w:szCs w:val="24"/>
        </w:rPr>
        <w:t xml:space="preserve"> to submit </w:t>
      </w:r>
      <w:r w:rsidR="0013186C">
        <w:rPr>
          <w:sz w:val="24"/>
          <w:szCs w:val="24"/>
        </w:rPr>
        <w:t>bonded warehouse purchase</w:t>
      </w:r>
      <w:r w:rsidR="006D5289">
        <w:rPr>
          <w:sz w:val="24"/>
          <w:szCs w:val="24"/>
        </w:rPr>
        <w:t xml:space="preserve"> </w:t>
      </w:r>
      <w:r w:rsidR="006D5289" w:rsidRPr="00317EF6">
        <w:rPr>
          <w:sz w:val="24"/>
          <w:szCs w:val="24"/>
        </w:rPr>
        <w:t>requests</w:t>
      </w:r>
      <w:r w:rsidR="0013186C">
        <w:rPr>
          <w:sz w:val="24"/>
          <w:szCs w:val="24"/>
        </w:rPr>
        <w:t xml:space="preserve"> (form DS-1504)</w:t>
      </w:r>
      <w:r w:rsidR="005D3BC2" w:rsidRPr="005D3BC2">
        <w:rPr>
          <w:i/>
          <w:iCs/>
          <w:sz w:val="24"/>
          <w:szCs w:val="24"/>
        </w:rPr>
        <w:t>.</w:t>
      </w:r>
      <w:r w:rsidR="005D3BC2" w:rsidRPr="005D3BC2">
        <w:rPr>
          <w:sz w:val="24"/>
          <w:szCs w:val="24"/>
        </w:rPr>
        <w:t xml:space="preserve"> The information solicited on this form will be used to determine eligibility and create user accounts for the e-Gov system. </w:t>
      </w:r>
    </w:p>
    <w:p w:rsidR="00E758C9" w:rsidRPr="005D3BC2" w:rsidRDefault="00E758C9" w:rsidP="00E758C9">
      <w:pPr>
        <w:pStyle w:val="BodyTextIndent"/>
        <w:spacing w:line="240" w:lineRule="auto"/>
        <w:ind w:left="1080" w:right="432" w:hanging="360"/>
        <w:rPr>
          <w:rFonts w:ascii="Times New Roman" w:hAnsi="Times New Roman"/>
          <w:szCs w:val="24"/>
        </w:rPr>
      </w:pPr>
    </w:p>
    <w:p w:rsidR="00F5508C" w:rsidRDefault="00266B04" w:rsidP="00274225">
      <w:pPr>
        <w:pStyle w:val="BodyTextIndent"/>
        <w:numPr>
          <w:ilvl w:val="1"/>
          <w:numId w:val="1"/>
        </w:numPr>
        <w:spacing w:line="240" w:lineRule="auto"/>
        <w:ind w:left="1080" w:right="432" w:hanging="360"/>
        <w:rPr>
          <w:rFonts w:ascii="Times New Roman" w:hAnsi="Times New Roman"/>
        </w:rPr>
      </w:pPr>
      <w:r w:rsidRPr="00AD558F">
        <w:rPr>
          <w:rFonts w:ascii="Times New Roman" w:hAnsi="Times New Roman"/>
          <w:szCs w:val="24"/>
        </w:rPr>
        <w:t xml:space="preserve">The </w:t>
      </w:r>
      <w:r w:rsidR="00BF1A40">
        <w:rPr>
          <w:rFonts w:ascii="Times New Roman" w:hAnsi="Times New Roman"/>
          <w:szCs w:val="24"/>
        </w:rPr>
        <w:t xml:space="preserve">collection of </w:t>
      </w:r>
      <w:r w:rsidR="00E758C9" w:rsidRPr="00AD558F">
        <w:rPr>
          <w:rFonts w:ascii="Times New Roman" w:hAnsi="Times New Roman"/>
          <w:szCs w:val="24"/>
        </w:rPr>
        <w:t xml:space="preserve">information </w:t>
      </w:r>
      <w:r w:rsidR="00D5604B" w:rsidRPr="00AD558F">
        <w:rPr>
          <w:rFonts w:ascii="Times New Roman" w:hAnsi="Times New Roman"/>
          <w:szCs w:val="24"/>
        </w:rPr>
        <w:t xml:space="preserve">for </w:t>
      </w:r>
      <w:r w:rsidR="005D3BC2" w:rsidRPr="00AD558F">
        <w:rPr>
          <w:rFonts w:ascii="Times New Roman" w:hAnsi="Times New Roman"/>
          <w:b/>
          <w:szCs w:val="24"/>
        </w:rPr>
        <w:t>F</w:t>
      </w:r>
      <w:r w:rsidR="005D3BC2">
        <w:rPr>
          <w:rFonts w:ascii="Times New Roman" w:hAnsi="Times New Roman"/>
          <w:b/>
          <w:szCs w:val="24"/>
        </w:rPr>
        <w:t>oreign Mission Emergency Afterhours Contact</w:t>
      </w:r>
      <w:r w:rsidR="00F903F1">
        <w:rPr>
          <w:rFonts w:ascii="Times New Roman" w:hAnsi="Times New Roman"/>
          <w:szCs w:val="24"/>
        </w:rPr>
        <w:t>,</w:t>
      </w:r>
      <w:r w:rsidRPr="00B01831">
        <w:rPr>
          <w:rFonts w:ascii="Times New Roman" w:hAnsi="Times New Roman"/>
          <w:szCs w:val="24"/>
        </w:rPr>
        <w:t xml:space="preserve"> </w:t>
      </w:r>
      <w:r w:rsidR="00E758C9">
        <w:rPr>
          <w:rFonts w:ascii="Times New Roman" w:hAnsi="Times New Roman"/>
        </w:rPr>
        <w:t>collection instrument</w:t>
      </w:r>
      <w:r w:rsidR="005D3BC2">
        <w:rPr>
          <w:rFonts w:ascii="Times New Roman" w:hAnsi="Times New Roman"/>
        </w:rPr>
        <w:t xml:space="preserve"> </w:t>
      </w:r>
      <w:r w:rsidR="00D5604B">
        <w:rPr>
          <w:rFonts w:ascii="Times New Roman" w:hAnsi="Times New Roman"/>
          <w:szCs w:val="24"/>
        </w:rPr>
        <w:t>DS-</w:t>
      </w:r>
      <w:r w:rsidR="005D3BC2">
        <w:rPr>
          <w:rFonts w:ascii="Times New Roman" w:hAnsi="Times New Roman"/>
          <w:szCs w:val="24"/>
        </w:rPr>
        <w:t>7675</w:t>
      </w:r>
      <w:r w:rsidR="00E758C9">
        <w:rPr>
          <w:rFonts w:ascii="Times New Roman" w:hAnsi="Times New Roman"/>
          <w:szCs w:val="24"/>
        </w:rPr>
        <w:t xml:space="preserve">, </w:t>
      </w:r>
      <w:r w:rsidR="00327F58">
        <w:rPr>
          <w:rFonts w:ascii="Times New Roman" w:hAnsi="Times New Roman"/>
        </w:rPr>
        <w:t xml:space="preserve">is necessary </w:t>
      </w:r>
      <w:r w:rsidR="00BF1A40">
        <w:rPr>
          <w:rFonts w:ascii="Times New Roman" w:hAnsi="Times New Roman"/>
        </w:rPr>
        <w:t>for the Department to obtain</w:t>
      </w:r>
      <w:r w:rsidR="00486C85">
        <w:rPr>
          <w:rFonts w:ascii="Times New Roman" w:hAnsi="Times New Roman"/>
        </w:rPr>
        <w:t>,</w:t>
      </w:r>
      <w:r w:rsidR="00BF1A40">
        <w:rPr>
          <w:rFonts w:ascii="Times New Roman" w:hAnsi="Times New Roman"/>
        </w:rPr>
        <w:t xml:space="preserve"> </w:t>
      </w:r>
      <w:r w:rsidR="008208C5">
        <w:rPr>
          <w:rFonts w:ascii="Times New Roman" w:hAnsi="Times New Roman"/>
        </w:rPr>
        <w:t>and thereafter maintain</w:t>
      </w:r>
      <w:r w:rsidR="00486C85">
        <w:rPr>
          <w:rFonts w:ascii="Times New Roman" w:hAnsi="Times New Roman"/>
        </w:rPr>
        <w:t>,</w:t>
      </w:r>
      <w:r w:rsidR="008208C5">
        <w:rPr>
          <w:rFonts w:ascii="Times New Roman" w:hAnsi="Times New Roman"/>
        </w:rPr>
        <w:t xml:space="preserve"> current </w:t>
      </w:r>
      <w:r w:rsidR="00BF1A40">
        <w:rPr>
          <w:rFonts w:ascii="Times New Roman" w:hAnsi="Times New Roman"/>
        </w:rPr>
        <w:t>emergency contact information o</w:t>
      </w:r>
      <w:r w:rsidR="001247CB">
        <w:rPr>
          <w:rFonts w:ascii="Times New Roman" w:hAnsi="Times New Roman"/>
        </w:rPr>
        <w:t>n</w:t>
      </w:r>
      <w:r w:rsidR="00BF1A40">
        <w:rPr>
          <w:rFonts w:ascii="Times New Roman" w:hAnsi="Times New Roman"/>
        </w:rPr>
        <w:t xml:space="preserve"> senior </w:t>
      </w:r>
      <w:r w:rsidR="00AC41E5">
        <w:rPr>
          <w:rFonts w:ascii="Times New Roman" w:hAnsi="Times New Roman"/>
        </w:rPr>
        <w:t xml:space="preserve">level officials </w:t>
      </w:r>
      <w:r w:rsidR="008A7ADF">
        <w:rPr>
          <w:rFonts w:ascii="Times New Roman" w:hAnsi="Times New Roman"/>
        </w:rPr>
        <w:t>assigned to</w:t>
      </w:r>
      <w:r w:rsidR="00AC41E5">
        <w:rPr>
          <w:rFonts w:ascii="Times New Roman" w:hAnsi="Times New Roman"/>
        </w:rPr>
        <w:t xml:space="preserve"> foreign missions</w:t>
      </w:r>
      <w:r w:rsidR="008A7ADF">
        <w:rPr>
          <w:rFonts w:ascii="Times New Roman" w:hAnsi="Times New Roman"/>
        </w:rPr>
        <w:t xml:space="preserve"> in the United States</w:t>
      </w:r>
      <w:r w:rsidR="00A33DC2">
        <w:rPr>
          <w:rFonts w:ascii="Times New Roman" w:hAnsi="Times New Roman"/>
        </w:rPr>
        <w:t xml:space="preserve"> </w:t>
      </w:r>
      <w:r w:rsidR="00DE09F8">
        <w:rPr>
          <w:rFonts w:ascii="Times New Roman" w:hAnsi="Times New Roman"/>
        </w:rPr>
        <w:t xml:space="preserve">to fulfill the </w:t>
      </w:r>
      <w:r w:rsidR="00A33DC2">
        <w:rPr>
          <w:rFonts w:ascii="Times New Roman" w:hAnsi="Times New Roman"/>
        </w:rPr>
        <w:t xml:space="preserve">requirements of the </w:t>
      </w:r>
      <w:r w:rsidR="00DE09F8" w:rsidRPr="00AD558F">
        <w:rPr>
          <w:rFonts w:ascii="Times New Roman" w:hAnsi="Times New Roman"/>
        </w:rPr>
        <w:t xml:space="preserve">Foreign Missions Act of 1982, 22 U.S.C. 4301 </w:t>
      </w:r>
      <w:r w:rsidR="00DE09F8" w:rsidRPr="00AD558F">
        <w:rPr>
          <w:rFonts w:ascii="Times New Roman" w:hAnsi="Times New Roman"/>
          <w:i/>
          <w:iCs/>
        </w:rPr>
        <w:t xml:space="preserve">et </w:t>
      </w:r>
      <w:proofErr w:type="spellStart"/>
      <w:r w:rsidR="00DE09F8" w:rsidRPr="00BC7C63">
        <w:rPr>
          <w:rFonts w:ascii="Times New Roman" w:hAnsi="Times New Roman"/>
          <w:i/>
          <w:iCs/>
        </w:rPr>
        <w:t>seq</w:t>
      </w:r>
      <w:proofErr w:type="spellEnd"/>
      <w:r w:rsidR="00BC7C63" w:rsidRPr="00BC7C63">
        <w:rPr>
          <w:rFonts w:ascii="Times New Roman" w:hAnsi="Times New Roman"/>
          <w:i/>
          <w:iCs/>
        </w:rPr>
        <w:t>;</w:t>
      </w:r>
      <w:r w:rsidR="00F5508C" w:rsidRPr="00BC7C63">
        <w:rPr>
          <w:rFonts w:ascii="Times New Roman" w:hAnsi="Times New Roman"/>
          <w:iCs/>
        </w:rPr>
        <w:t xml:space="preserve"> the Memorandum of Understanding </w:t>
      </w:r>
      <w:r w:rsidR="00BC7C63" w:rsidRPr="00BC7C63">
        <w:rPr>
          <w:rFonts w:ascii="Times New Roman" w:hAnsi="Times New Roman"/>
          <w:iCs/>
        </w:rPr>
        <w:t xml:space="preserve">(MOU) </w:t>
      </w:r>
      <w:r w:rsidR="00F5508C" w:rsidRPr="00BC7C63">
        <w:rPr>
          <w:rFonts w:ascii="Times New Roman" w:hAnsi="Times New Roman"/>
          <w:iCs/>
        </w:rPr>
        <w:t>between the Department and the National Transportation Safety Board (NTSB)</w:t>
      </w:r>
      <w:r w:rsidR="00495028" w:rsidRPr="00BC7C63">
        <w:rPr>
          <w:rFonts w:ascii="Times New Roman" w:hAnsi="Times New Roman"/>
          <w:iCs/>
        </w:rPr>
        <w:t>, and other Federal agency emergency</w:t>
      </w:r>
      <w:r w:rsidR="00495028">
        <w:rPr>
          <w:rFonts w:ascii="Times New Roman" w:hAnsi="Times New Roman"/>
          <w:iCs/>
        </w:rPr>
        <w:t xml:space="preserve"> MOUs</w:t>
      </w:r>
      <w:r w:rsidR="00AC41E5">
        <w:rPr>
          <w:rFonts w:ascii="Times New Roman" w:hAnsi="Times New Roman"/>
        </w:rPr>
        <w:t xml:space="preserve">. </w:t>
      </w:r>
      <w:r w:rsidR="00495028">
        <w:rPr>
          <w:rFonts w:ascii="Times New Roman" w:hAnsi="Times New Roman"/>
        </w:rPr>
        <w:t xml:space="preserve"> </w:t>
      </w:r>
      <w:r w:rsidR="00AC41E5">
        <w:rPr>
          <w:rFonts w:ascii="Times New Roman" w:hAnsi="Times New Roman"/>
        </w:rPr>
        <w:t xml:space="preserve">The solicited </w:t>
      </w:r>
      <w:r w:rsidR="00A33DC2">
        <w:rPr>
          <w:rFonts w:ascii="Times New Roman" w:hAnsi="Times New Roman"/>
        </w:rPr>
        <w:t xml:space="preserve">information </w:t>
      </w:r>
      <w:r w:rsidR="00AC41E5">
        <w:rPr>
          <w:rFonts w:ascii="Times New Roman" w:hAnsi="Times New Roman"/>
        </w:rPr>
        <w:t xml:space="preserve">will be used to </w:t>
      </w:r>
      <w:r w:rsidR="00F5508C">
        <w:rPr>
          <w:rFonts w:ascii="Times New Roman" w:hAnsi="Times New Roman"/>
        </w:rPr>
        <w:t xml:space="preserve">create an emergency contact </w:t>
      </w:r>
      <w:r w:rsidR="00662135">
        <w:rPr>
          <w:rFonts w:ascii="Times New Roman" w:hAnsi="Times New Roman"/>
        </w:rPr>
        <w:t>directory</w:t>
      </w:r>
      <w:r w:rsidR="00DF791F">
        <w:rPr>
          <w:rFonts w:ascii="Times New Roman" w:hAnsi="Times New Roman"/>
        </w:rPr>
        <w:t xml:space="preserve"> (by country and mission type)</w:t>
      </w:r>
      <w:r w:rsidR="00F5508C">
        <w:rPr>
          <w:rFonts w:ascii="Times New Roman" w:hAnsi="Times New Roman"/>
        </w:rPr>
        <w:t xml:space="preserve"> of primary and deputy senior level officials.</w:t>
      </w:r>
    </w:p>
    <w:p w:rsidR="00486C85" w:rsidRDefault="00486C85" w:rsidP="00447834">
      <w:pPr>
        <w:pStyle w:val="BodyTextIndent"/>
        <w:tabs>
          <w:tab w:val="clear" w:pos="720"/>
        </w:tabs>
        <w:spacing w:line="240" w:lineRule="auto"/>
        <w:ind w:left="0" w:right="432" w:firstLine="0"/>
        <w:rPr>
          <w:rFonts w:ascii="Times New Roman" w:hAnsi="Times New Roman"/>
          <w:color w:val="000080"/>
          <w:szCs w:val="24"/>
        </w:rPr>
      </w:pPr>
      <w:r>
        <w:rPr>
          <w:i/>
        </w:rPr>
        <w:t xml:space="preserve">  </w:t>
      </w:r>
    </w:p>
    <w:p w:rsidR="00E85D91" w:rsidRPr="00E15D2C" w:rsidRDefault="00E85D91" w:rsidP="00E15D2C">
      <w:pPr>
        <w:pStyle w:val="BodyTextIndent"/>
        <w:numPr>
          <w:ilvl w:val="0"/>
          <w:numId w:val="2"/>
        </w:numPr>
        <w:spacing w:line="240" w:lineRule="auto"/>
        <w:ind w:right="432"/>
        <w:rPr>
          <w:rFonts w:ascii="Times New Roman" w:hAnsi="Times New Roman"/>
          <w:b/>
        </w:rPr>
      </w:pPr>
      <w:r w:rsidRPr="00E15D2C">
        <w:rPr>
          <w:rFonts w:ascii="Times New Roman" w:hAnsi="Times New Roman"/>
        </w:rPr>
        <w:t xml:space="preserve">Respondents </w:t>
      </w:r>
      <w:r w:rsidR="00AF4352" w:rsidRPr="00E15D2C">
        <w:rPr>
          <w:rFonts w:ascii="Times New Roman" w:hAnsi="Times New Roman"/>
        </w:rPr>
        <w:t xml:space="preserve">may </w:t>
      </w:r>
      <w:r w:rsidRPr="00E15D2C">
        <w:rPr>
          <w:rFonts w:ascii="Times New Roman" w:hAnsi="Times New Roman"/>
        </w:rPr>
        <w:t xml:space="preserve">submit their requests to the Department using the approved paper information collection instruments via </w:t>
      </w:r>
      <w:r w:rsidR="00AF4352" w:rsidRPr="00E15D2C">
        <w:rPr>
          <w:rFonts w:ascii="Times New Roman" w:hAnsi="Times New Roman"/>
        </w:rPr>
        <w:t xml:space="preserve">personal delivery, mail, </w:t>
      </w:r>
      <w:r w:rsidRPr="00E15D2C">
        <w:rPr>
          <w:rFonts w:ascii="Times New Roman" w:hAnsi="Times New Roman"/>
        </w:rPr>
        <w:t>email, fax, or OFM’s e-Gov system application (where applicable).</w:t>
      </w:r>
    </w:p>
    <w:p w:rsidR="00095536" w:rsidRDefault="00095536" w:rsidP="00095536">
      <w:pPr>
        <w:pStyle w:val="BodyTextIndent"/>
        <w:tabs>
          <w:tab w:val="clear" w:pos="720"/>
        </w:tabs>
        <w:spacing w:line="240" w:lineRule="auto"/>
        <w:ind w:right="432" w:firstLine="0"/>
        <w:rPr>
          <w:rFonts w:ascii="Times New Roman" w:hAnsi="Times New Roman"/>
          <w:b/>
        </w:rPr>
      </w:pPr>
    </w:p>
    <w:p w:rsidR="009A19CC" w:rsidRPr="00A93CF2" w:rsidRDefault="009A19CC" w:rsidP="00B1411F">
      <w:pPr>
        <w:pStyle w:val="BodyTextIndent"/>
        <w:numPr>
          <w:ilvl w:val="0"/>
          <w:numId w:val="7"/>
        </w:numPr>
        <w:tabs>
          <w:tab w:val="clear" w:pos="720"/>
        </w:tabs>
        <w:spacing w:line="240" w:lineRule="auto"/>
        <w:ind w:left="864" w:right="576" w:hanging="216"/>
        <w:rPr>
          <w:rFonts w:ascii="Times New Roman" w:hAnsi="Times New Roman"/>
          <w:strike/>
        </w:rPr>
      </w:pPr>
      <w:r w:rsidRPr="00497C89">
        <w:rPr>
          <w:rFonts w:ascii="Times New Roman" w:hAnsi="Times New Roman"/>
          <w:color w:val="000000"/>
          <w:szCs w:val="24"/>
        </w:rPr>
        <w:t xml:space="preserve">DS-4155, </w:t>
      </w:r>
      <w:r w:rsidRPr="00497C89">
        <w:rPr>
          <w:rFonts w:ascii="Times New Roman" w:hAnsi="Times New Roman"/>
          <w:b/>
          <w:szCs w:val="24"/>
        </w:rPr>
        <w:t>Vendor Application for OFM Website Account</w:t>
      </w:r>
      <w:r w:rsidRPr="00497C89">
        <w:rPr>
          <w:rFonts w:ascii="Times New Roman" w:hAnsi="Times New Roman"/>
          <w:color w:val="000000"/>
          <w:szCs w:val="24"/>
        </w:rPr>
        <w:t xml:space="preserve">, </w:t>
      </w:r>
      <w:r w:rsidRPr="00497C89">
        <w:rPr>
          <w:rFonts w:ascii="Times New Roman" w:hAnsi="Times New Roman"/>
        </w:rPr>
        <w:t xml:space="preserve">is the means by which </w:t>
      </w:r>
      <w:r>
        <w:rPr>
          <w:rFonts w:ascii="Times New Roman" w:hAnsi="Times New Roman"/>
        </w:rPr>
        <w:t>a bonded warehouse vendor</w:t>
      </w:r>
      <w:r w:rsidRPr="00497C89">
        <w:rPr>
          <w:rFonts w:ascii="Times New Roman" w:hAnsi="Times New Roman"/>
        </w:rPr>
        <w:t xml:space="preserve"> </w:t>
      </w:r>
      <w:r w:rsidR="00810518">
        <w:rPr>
          <w:rFonts w:ascii="Times New Roman" w:hAnsi="Times New Roman"/>
        </w:rPr>
        <w:t xml:space="preserve">will </w:t>
      </w:r>
      <w:r w:rsidRPr="00497C89">
        <w:rPr>
          <w:rFonts w:ascii="Times New Roman" w:hAnsi="Times New Roman"/>
        </w:rPr>
        <w:t xml:space="preserve">obtain a logon account.  </w:t>
      </w:r>
      <w:r w:rsidR="0071658B">
        <w:rPr>
          <w:rFonts w:ascii="Times New Roman" w:hAnsi="Times New Roman"/>
        </w:rPr>
        <w:t xml:space="preserve">There are three major bonded warehouse vendors.  </w:t>
      </w:r>
      <w:r w:rsidRPr="00497C89">
        <w:rPr>
          <w:rFonts w:ascii="Times New Roman" w:hAnsi="Times New Roman"/>
        </w:rPr>
        <w:t xml:space="preserve">This form will be </w:t>
      </w:r>
      <w:r>
        <w:rPr>
          <w:rFonts w:ascii="Times New Roman" w:hAnsi="Times New Roman"/>
        </w:rPr>
        <w:t xml:space="preserve">used to determine whether </w:t>
      </w:r>
      <w:r w:rsidR="009D6863">
        <w:rPr>
          <w:rFonts w:ascii="Times New Roman" w:hAnsi="Times New Roman"/>
        </w:rPr>
        <w:t>bonded warehouse personnel</w:t>
      </w:r>
      <w:r>
        <w:rPr>
          <w:rFonts w:ascii="Times New Roman" w:hAnsi="Times New Roman"/>
        </w:rPr>
        <w:t xml:space="preserve"> may be authorized access</w:t>
      </w:r>
      <w:r w:rsidR="009D6863">
        <w:rPr>
          <w:rFonts w:ascii="Times New Roman" w:hAnsi="Times New Roman"/>
        </w:rPr>
        <w:t xml:space="preserve"> </w:t>
      </w:r>
      <w:r>
        <w:rPr>
          <w:rFonts w:ascii="Times New Roman" w:hAnsi="Times New Roman"/>
        </w:rPr>
        <w:t>to the U.S. Department of State, Office of Foreign Mission’s e-Gov Bonded Warehouse program</w:t>
      </w:r>
      <w:r w:rsidR="009D6863">
        <w:rPr>
          <w:rFonts w:ascii="Times New Roman" w:hAnsi="Times New Roman"/>
        </w:rPr>
        <w:t>,</w:t>
      </w:r>
      <w:r w:rsidR="009D6863" w:rsidRPr="009D6863">
        <w:rPr>
          <w:rFonts w:ascii="Times New Roman" w:hAnsi="Times New Roman"/>
        </w:rPr>
        <w:t xml:space="preserve"> </w:t>
      </w:r>
      <w:r w:rsidR="009D6863">
        <w:rPr>
          <w:rFonts w:ascii="Times New Roman" w:hAnsi="Times New Roman"/>
        </w:rPr>
        <w:t xml:space="preserve">on behalf of a foreign mission, </w:t>
      </w:r>
      <w:r>
        <w:rPr>
          <w:rFonts w:ascii="Times New Roman" w:hAnsi="Times New Roman"/>
        </w:rPr>
        <w:t xml:space="preserve">to submit </w:t>
      </w:r>
      <w:r w:rsidR="00E6041E">
        <w:rPr>
          <w:rFonts w:ascii="Times New Roman" w:hAnsi="Times New Roman"/>
        </w:rPr>
        <w:t>bonded warehouse</w:t>
      </w:r>
      <w:r w:rsidR="009D6863">
        <w:rPr>
          <w:rFonts w:ascii="Times New Roman" w:hAnsi="Times New Roman"/>
        </w:rPr>
        <w:t xml:space="preserve"> </w:t>
      </w:r>
      <w:r w:rsidR="00A93CF2">
        <w:rPr>
          <w:rFonts w:ascii="Times New Roman" w:hAnsi="Times New Roman"/>
        </w:rPr>
        <w:t xml:space="preserve">purchase </w:t>
      </w:r>
      <w:r>
        <w:rPr>
          <w:rFonts w:ascii="Times New Roman" w:hAnsi="Times New Roman"/>
        </w:rPr>
        <w:t>request</w:t>
      </w:r>
      <w:r w:rsidR="009D6863">
        <w:rPr>
          <w:rFonts w:ascii="Times New Roman" w:hAnsi="Times New Roman"/>
        </w:rPr>
        <w:t>s</w:t>
      </w:r>
      <w:r w:rsidR="00E6041E">
        <w:rPr>
          <w:rFonts w:ascii="Times New Roman" w:hAnsi="Times New Roman"/>
        </w:rPr>
        <w:t xml:space="preserve"> (form DS-1504)</w:t>
      </w:r>
      <w:r>
        <w:rPr>
          <w:rFonts w:ascii="Times New Roman" w:hAnsi="Times New Roman"/>
        </w:rPr>
        <w:t xml:space="preserve">. </w:t>
      </w:r>
      <w:r w:rsidR="00066755">
        <w:rPr>
          <w:rFonts w:ascii="Times New Roman" w:hAnsi="Times New Roman"/>
        </w:rPr>
        <w:t xml:space="preserve"> </w:t>
      </w:r>
      <w:r>
        <w:rPr>
          <w:rFonts w:ascii="Times New Roman" w:hAnsi="Times New Roman"/>
        </w:rPr>
        <w:t xml:space="preserve">If accepted, that person will be issued a logon with a password. </w:t>
      </w:r>
      <w:r w:rsidR="00066755">
        <w:rPr>
          <w:rFonts w:ascii="Times New Roman" w:hAnsi="Times New Roman"/>
        </w:rPr>
        <w:t xml:space="preserve"> </w:t>
      </w:r>
    </w:p>
    <w:p w:rsidR="009A19CC" w:rsidRDefault="009A19CC" w:rsidP="009A19CC">
      <w:pPr>
        <w:pStyle w:val="BodyTextIndent"/>
        <w:tabs>
          <w:tab w:val="clear" w:pos="720"/>
        </w:tabs>
        <w:spacing w:line="240" w:lineRule="auto"/>
        <w:ind w:left="864" w:right="576" w:firstLine="0"/>
        <w:rPr>
          <w:rFonts w:ascii="Times New Roman" w:hAnsi="Times New Roman"/>
        </w:rPr>
      </w:pPr>
    </w:p>
    <w:p w:rsidR="00DF791F" w:rsidRPr="00DF791F" w:rsidRDefault="00E34773" w:rsidP="00B1411F">
      <w:pPr>
        <w:pStyle w:val="BodyTextIndent"/>
        <w:numPr>
          <w:ilvl w:val="0"/>
          <w:numId w:val="7"/>
        </w:numPr>
        <w:tabs>
          <w:tab w:val="clear" w:pos="720"/>
        </w:tabs>
        <w:spacing w:line="240" w:lineRule="auto"/>
        <w:ind w:left="864" w:right="576" w:hanging="216"/>
        <w:rPr>
          <w:rFonts w:ascii="Times New Roman" w:hAnsi="Times New Roman"/>
        </w:rPr>
      </w:pPr>
      <w:r>
        <w:rPr>
          <w:rFonts w:ascii="Times New Roman" w:hAnsi="Times New Roman"/>
        </w:rPr>
        <w:t>D</w:t>
      </w:r>
      <w:r w:rsidR="00090790">
        <w:rPr>
          <w:rFonts w:ascii="Times New Roman" w:hAnsi="Times New Roman"/>
        </w:rPr>
        <w:t>S</w:t>
      </w:r>
      <w:r>
        <w:rPr>
          <w:rFonts w:ascii="Times New Roman" w:hAnsi="Times New Roman"/>
        </w:rPr>
        <w:t>-</w:t>
      </w:r>
      <w:r w:rsidR="008A7ADF">
        <w:rPr>
          <w:rFonts w:ascii="Times New Roman" w:hAnsi="Times New Roman"/>
        </w:rPr>
        <w:t>7675</w:t>
      </w:r>
      <w:r>
        <w:rPr>
          <w:rFonts w:ascii="Times New Roman" w:hAnsi="Times New Roman"/>
        </w:rPr>
        <w:t xml:space="preserve">, </w:t>
      </w:r>
      <w:r w:rsidR="008A7ADF" w:rsidRPr="00AD558F">
        <w:rPr>
          <w:rFonts w:ascii="Times New Roman" w:hAnsi="Times New Roman"/>
          <w:b/>
          <w:szCs w:val="24"/>
        </w:rPr>
        <w:t>F</w:t>
      </w:r>
      <w:r w:rsidR="008A7ADF">
        <w:rPr>
          <w:rFonts w:ascii="Times New Roman" w:hAnsi="Times New Roman"/>
          <w:b/>
          <w:szCs w:val="24"/>
        </w:rPr>
        <w:t>oreign Mission Emergency Afterhours Contact</w:t>
      </w:r>
      <w:r w:rsidR="009C35BE">
        <w:rPr>
          <w:rFonts w:ascii="Times New Roman" w:hAnsi="Times New Roman"/>
          <w:b/>
          <w:szCs w:val="24"/>
        </w:rPr>
        <w:t>,</w:t>
      </w:r>
      <w:r w:rsidR="008A7ADF">
        <w:rPr>
          <w:rFonts w:ascii="Times New Roman" w:hAnsi="Times New Roman"/>
        </w:rPr>
        <w:t xml:space="preserve"> </w:t>
      </w:r>
      <w:r w:rsidR="009C35BE" w:rsidRPr="00F23E5E">
        <w:rPr>
          <w:rFonts w:ascii="Times New Roman" w:hAnsi="Times New Roman"/>
        </w:rPr>
        <w:t xml:space="preserve">is the means by which the Department </w:t>
      </w:r>
      <w:r w:rsidR="009C35BE">
        <w:rPr>
          <w:rFonts w:ascii="Times New Roman" w:hAnsi="Times New Roman"/>
        </w:rPr>
        <w:t>will create and</w:t>
      </w:r>
      <w:r w:rsidR="009C35BE" w:rsidRPr="000C01DC">
        <w:rPr>
          <w:rFonts w:ascii="Times New Roman" w:hAnsi="Times New Roman"/>
        </w:rPr>
        <w:t xml:space="preserve"> maintain </w:t>
      </w:r>
      <w:r w:rsidR="009C35BE">
        <w:rPr>
          <w:rFonts w:ascii="Times New Roman" w:hAnsi="Times New Roman"/>
        </w:rPr>
        <w:t xml:space="preserve">an </w:t>
      </w:r>
      <w:r w:rsidR="009C35BE" w:rsidRPr="000C01DC">
        <w:rPr>
          <w:rFonts w:ascii="Times New Roman" w:hAnsi="Times New Roman"/>
        </w:rPr>
        <w:t xml:space="preserve">up-to-date </w:t>
      </w:r>
      <w:r w:rsidR="009C35BE">
        <w:rPr>
          <w:rFonts w:ascii="Times New Roman" w:hAnsi="Times New Roman"/>
        </w:rPr>
        <w:t xml:space="preserve">emergency contact list of senior level officials assigned to foreign </w:t>
      </w:r>
      <w:r w:rsidR="00054DBC">
        <w:rPr>
          <w:rFonts w:ascii="Times New Roman" w:hAnsi="Times New Roman"/>
        </w:rPr>
        <w:t>embassy</w:t>
      </w:r>
      <w:r w:rsidR="009C35BE">
        <w:rPr>
          <w:rFonts w:ascii="Times New Roman" w:hAnsi="Times New Roman"/>
        </w:rPr>
        <w:t xml:space="preserve"> and consular missions in the United States.  Foreign missions will </w:t>
      </w:r>
      <w:r w:rsidR="002D7B3C">
        <w:rPr>
          <w:rFonts w:ascii="Times New Roman" w:hAnsi="Times New Roman"/>
        </w:rPr>
        <w:t xml:space="preserve">use this form to </w:t>
      </w:r>
      <w:r w:rsidR="00B324CA">
        <w:rPr>
          <w:rFonts w:ascii="Times New Roman" w:hAnsi="Times New Roman"/>
        </w:rPr>
        <w:t>submit</w:t>
      </w:r>
      <w:r w:rsidR="009C35BE">
        <w:rPr>
          <w:rFonts w:ascii="Times New Roman" w:hAnsi="Times New Roman"/>
        </w:rPr>
        <w:t xml:space="preserve"> </w:t>
      </w:r>
      <w:r w:rsidR="002D7B3C">
        <w:rPr>
          <w:rFonts w:ascii="Times New Roman" w:hAnsi="Times New Roman"/>
        </w:rPr>
        <w:t xml:space="preserve">the names, titles, email addresses and telephone numbers of their </w:t>
      </w:r>
      <w:r w:rsidR="00F5508C">
        <w:rPr>
          <w:rFonts w:ascii="Times New Roman" w:hAnsi="Times New Roman"/>
        </w:rPr>
        <w:t xml:space="preserve">primary and deputy </w:t>
      </w:r>
      <w:r w:rsidR="002D7B3C">
        <w:rPr>
          <w:rFonts w:ascii="Times New Roman" w:hAnsi="Times New Roman"/>
        </w:rPr>
        <w:t xml:space="preserve">senior officials </w:t>
      </w:r>
      <w:r w:rsidR="009C35BE">
        <w:rPr>
          <w:rFonts w:ascii="Times New Roman" w:hAnsi="Times New Roman"/>
        </w:rPr>
        <w:t>to initially notify or up-date</w:t>
      </w:r>
      <w:r w:rsidR="002D7B3C">
        <w:rPr>
          <w:rFonts w:ascii="Times New Roman" w:hAnsi="Times New Roman"/>
        </w:rPr>
        <w:t xml:space="preserve"> information previously submitted</w:t>
      </w:r>
      <w:r w:rsidR="00E6041E">
        <w:rPr>
          <w:rFonts w:ascii="Times New Roman" w:hAnsi="Times New Roman"/>
        </w:rPr>
        <w:t xml:space="preserve"> to the Department</w:t>
      </w:r>
      <w:r w:rsidR="009C35BE">
        <w:rPr>
          <w:rFonts w:ascii="Times New Roman" w:hAnsi="Times New Roman"/>
        </w:rPr>
        <w:t xml:space="preserve">.  </w:t>
      </w:r>
      <w:r w:rsidR="00DF791F">
        <w:rPr>
          <w:rFonts w:ascii="Times New Roman" w:hAnsi="Times New Roman"/>
        </w:rPr>
        <w:t xml:space="preserve">The submitted information will be used whenever emergency contact is necessary to </w:t>
      </w:r>
      <w:r w:rsidR="00DF791F" w:rsidRPr="00DF791F">
        <w:rPr>
          <w:rFonts w:ascii="Times New Roman" w:hAnsi="Times New Roman"/>
        </w:rPr>
        <w:t xml:space="preserve">communicate information and guidance in an actual domestic emergency incident.    </w:t>
      </w:r>
    </w:p>
    <w:p w:rsidR="000C02E9" w:rsidRDefault="000C02E9" w:rsidP="000C02E9">
      <w:pPr>
        <w:pStyle w:val="BodyTextIndent"/>
        <w:tabs>
          <w:tab w:val="clear" w:pos="720"/>
        </w:tabs>
        <w:spacing w:line="240" w:lineRule="auto"/>
        <w:ind w:left="864" w:right="576" w:firstLine="0"/>
        <w:rPr>
          <w:rFonts w:ascii="Times New Roman" w:hAnsi="Times New Roman"/>
        </w:rPr>
      </w:pPr>
    </w:p>
    <w:p w:rsidR="00054DBC" w:rsidRPr="00E15D2C" w:rsidRDefault="00054DBC" w:rsidP="00E15D2C">
      <w:pPr>
        <w:pStyle w:val="Header"/>
        <w:numPr>
          <w:ilvl w:val="0"/>
          <w:numId w:val="3"/>
        </w:numPr>
        <w:spacing w:after="120"/>
        <w:rPr>
          <w:sz w:val="24"/>
          <w:szCs w:val="24"/>
        </w:rPr>
      </w:pPr>
      <w:r w:rsidRPr="00E15D2C">
        <w:rPr>
          <w:color w:val="000000"/>
          <w:sz w:val="24"/>
          <w:szCs w:val="24"/>
        </w:rPr>
        <w:t xml:space="preserve">OFM’s e-Gov system is </w:t>
      </w:r>
      <w:r w:rsidR="003074A1" w:rsidRPr="00E15D2C">
        <w:rPr>
          <w:sz w:val="24"/>
          <w:szCs w:val="24"/>
        </w:rPr>
        <w:t xml:space="preserve">an electronic data submission system </w:t>
      </w:r>
      <w:r w:rsidRPr="00E15D2C">
        <w:rPr>
          <w:color w:val="000000"/>
          <w:sz w:val="24"/>
          <w:szCs w:val="24"/>
        </w:rPr>
        <w:t>accessed to submit automated service requests to the U.S. State Department through the Office of Foreign Missions and the Office of Protocol</w:t>
      </w:r>
      <w:r w:rsidR="003074A1" w:rsidRPr="00E15D2C">
        <w:rPr>
          <w:color w:val="000000"/>
          <w:sz w:val="24"/>
          <w:szCs w:val="24"/>
        </w:rPr>
        <w:t>,</w:t>
      </w:r>
      <w:r w:rsidRPr="00E15D2C">
        <w:rPr>
          <w:color w:val="000000"/>
          <w:sz w:val="24"/>
          <w:szCs w:val="24"/>
        </w:rPr>
        <w:t xml:space="preserve"> </w:t>
      </w:r>
      <w:r w:rsidRPr="00E15D2C">
        <w:rPr>
          <w:sz w:val="24"/>
          <w:szCs w:val="24"/>
        </w:rPr>
        <w:t>to obtain “benefits” that can only be obtained through the U.S. Department of State.</w:t>
      </w:r>
      <w:r w:rsidR="00FD03A2" w:rsidRPr="00E15D2C">
        <w:rPr>
          <w:sz w:val="24"/>
          <w:szCs w:val="24"/>
        </w:rPr>
        <w:t xml:space="preserve">  </w:t>
      </w:r>
    </w:p>
    <w:p w:rsidR="009E6CEB" w:rsidRPr="004A1B6E" w:rsidRDefault="00F568D6" w:rsidP="00B1411F">
      <w:pPr>
        <w:pStyle w:val="Header"/>
        <w:numPr>
          <w:ilvl w:val="3"/>
          <w:numId w:val="3"/>
        </w:numPr>
        <w:spacing w:before="240" w:after="120"/>
        <w:rPr>
          <w:sz w:val="24"/>
          <w:szCs w:val="24"/>
        </w:rPr>
      </w:pPr>
      <w:r>
        <w:rPr>
          <w:sz w:val="24"/>
          <w:szCs w:val="24"/>
        </w:rPr>
        <w:t xml:space="preserve">OFM </w:t>
      </w:r>
      <w:r w:rsidR="009E6CEB" w:rsidRPr="00054DBC">
        <w:rPr>
          <w:sz w:val="24"/>
          <w:szCs w:val="24"/>
        </w:rPr>
        <w:t>continue</w:t>
      </w:r>
      <w:r>
        <w:rPr>
          <w:sz w:val="24"/>
          <w:szCs w:val="24"/>
        </w:rPr>
        <w:t>s to</w:t>
      </w:r>
      <w:r w:rsidR="009E6CEB" w:rsidRPr="00054DBC">
        <w:rPr>
          <w:sz w:val="24"/>
          <w:szCs w:val="24"/>
        </w:rPr>
        <w:t xml:space="preserve"> </w:t>
      </w:r>
      <w:r>
        <w:rPr>
          <w:sz w:val="24"/>
          <w:szCs w:val="24"/>
        </w:rPr>
        <w:t xml:space="preserve">develop its </w:t>
      </w:r>
      <w:r w:rsidR="009E6CEB" w:rsidRPr="00054DBC">
        <w:rPr>
          <w:sz w:val="24"/>
          <w:szCs w:val="24"/>
        </w:rPr>
        <w:t>e-Gov</w:t>
      </w:r>
      <w:r w:rsidR="003074A1">
        <w:rPr>
          <w:sz w:val="24"/>
          <w:szCs w:val="24"/>
        </w:rPr>
        <w:t xml:space="preserve"> </w:t>
      </w:r>
      <w:r w:rsidR="009E6CEB" w:rsidRPr="00054DBC">
        <w:rPr>
          <w:sz w:val="24"/>
          <w:szCs w:val="24"/>
        </w:rPr>
        <w:t>system</w:t>
      </w:r>
      <w:r w:rsidR="003074A1">
        <w:rPr>
          <w:sz w:val="24"/>
          <w:szCs w:val="24"/>
        </w:rPr>
        <w:t>,</w:t>
      </w:r>
      <w:r w:rsidR="009E6CEB" w:rsidRPr="00054DBC">
        <w:rPr>
          <w:sz w:val="24"/>
          <w:szCs w:val="24"/>
        </w:rPr>
        <w:t xml:space="preserve"> </w:t>
      </w:r>
      <w:r>
        <w:rPr>
          <w:sz w:val="24"/>
          <w:szCs w:val="24"/>
        </w:rPr>
        <w:t xml:space="preserve">enlarging it </w:t>
      </w:r>
      <w:r w:rsidR="009E6CEB" w:rsidRPr="00054DBC">
        <w:rPr>
          <w:sz w:val="24"/>
          <w:szCs w:val="24"/>
        </w:rPr>
        <w:t>to capture and process as many applications as possible</w:t>
      </w:r>
      <w:r>
        <w:rPr>
          <w:sz w:val="24"/>
          <w:szCs w:val="24"/>
        </w:rPr>
        <w:t>.</w:t>
      </w:r>
      <w:r w:rsidR="009E6CEB" w:rsidRPr="00054DBC">
        <w:rPr>
          <w:sz w:val="24"/>
          <w:szCs w:val="24"/>
        </w:rPr>
        <w:t xml:space="preserve"> </w:t>
      </w:r>
      <w:r>
        <w:rPr>
          <w:sz w:val="24"/>
          <w:szCs w:val="24"/>
        </w:rPr>
        <w:t xml:space="preserve"> </w:t>
      </w:r>
      <w:r w:rsidR="009E6CEB" w:rsidRPr="00054DBC">
        <w:rPr>
          <w:sz w:val="24"/>
          <w:szCs w:val="24"/>
        </w:rPr>
        <w:t>OFM has created two new forms for OMB approval</w:t>
      </w:r>
      <w:r w:rsidR="009E6CEB" w:rsidRPr="004A1B6E">
        <w:rPr>
          <w:sz w:val="24"/>
          <w:szCs w:val="24"/>
        </w:rPr>
        <w:t xml:space="preserve">.  Electronic submission </w:t>
      </w:r>
      <w:r w:rsidR="003074A1">
        <w:rPr>
          <w:sz w:val="24"/>
          <w:szCs w:val="24"/>
        </w:rPr>
        <w:t>selections</w:t>
      </w:r>
      <w:r w:rsidR="003074A1" w:rsidRPr="004A1B6E">
        <w:rPr>
          <w:sz w:val="24"/>
          <w:szCs w:val="24"/>
        </w:rPr>
        <w:t xml:space="preserve"> </w:t>
      </w:r>
      <w:r w:rsidR="009E6CEB" w:rsidRPr="004A1B6E">
        <w:rPr>
          <w:sz w:val="24"/>
          <w:szCs w:val="24"/>
        </w:rPr>
        <w:t>for information collections DS-41</w:t>
      </w:r>
      <w:r w:rsidR="009E6CEB">
        <w:rPr>
          <w:sz w:val="24"/>
          <w:szCs w:val="24"/>
        </w:rPr>
        <w:t>55</w:t>
      </w:r>
      <w:r w:rsidR="009E6CEB" w:rsidRPr="004A1B6E">
        <w:rPr>
          <w:sz w:val="24"/>
          <w:szCs w:val="24"/>
        </w:rPr>
        <w:t xml:space="preserve"> and DS-</w:t>
      </w:r>
      <w:r w:rsidR="009E6CEB">
        <w:rPr>
          <w:sz w:val="24"/>
          <w:szCs w:val="24"/>
        </w:rPr>
        <w:t>7675</w:t>
      </w:r>
      <w:r w:rsidR="009E6CEB" w:rsidRPr="004A1B6E">
        <w:rPr>
          <w:sz w:val="24"/>
          <w:szCs w:val="24"/>
        </w:rPr>
        <w:t xml:space="preserve"> will be available on the OFM website</w:t>
      </w:r>
      <w:r w:rsidR="009E6CEB">
        <w:rPr>
          <w:sz w:val="24"/>
          <w:szCs w:val="24"/>
        </w:rPr>
        <w:t>,</w:t>
      </w:r>
      <w:r w:rsidR="009E6CEB" w:rsidRPr="00A87A9A">
        <w:rPr>
          <w:sz w:val="24"/>
          <w:szCs w:val="24"/>
        </w:rPr>
        <w:t xml:space="preserve"> </w:t>
      </w:r>
      <w:r w:rsidR="009E6CEB" w:rsidRPr="004A1B6E">
        <w:rPr>
          <w:sz w:val="24"/>
          <w:szCs w:val="24"/>
        </w:rPr>
        <w:t>outside of the e-Gov system</w:t>
      </w:r>
      <w:r w:rsidR="009E6CEB">
        <w:rPr>
          <w:sz w:val="24"/>
          <w:szCs w:val="24"/>
        </w:rPr>
        <w:t xml:space="preserve">, </w:t>
      </w:r>
      <w:r w:rsidR="009E6CEB" w:rsidRPr="004A1B6E">
        <w:rPr>
          <w:sz w:val="24"/>
          <w:szCs w:val="24"/>
        </w:rPr>
        <w:t>in Portable Document Format (PDF), which provides a data-input and print feature for clean and legible paper copies.  Once filled out, the forms will either be emailed</w:t>
      </w:r>
      <w:r w:rsidR="009E6CEB">
        <w:rPr>
          <w:sz w:val="24"/>
          <w:szCs w:val="24"/>
        </w:rPr>
        <w:t>,</w:t>
      </w:r>
      <w:r w:rsidR="003074A1" w:rsidRPr="003074A1">
        <w:rPr>
          <w:sz w:val="24"/>
          <w:szCs w:val="24"/>
        </w:rPr>
        <w:t xml:space="preserve"> </w:t>
      </w:r>
      <w:r w:rsidR="003074A1" w:rsidRPr="004A1B6E">
        <w:rPr>
          <w:sz w:val="24"/>
          <w:szCs w:val="24"/>
        </w:rPr>
        <w:t>faxed</w:t>
      </w:r>
      <w:r w:rsidR="003074A1">
        <w:rPr>
          <w:sz w:val="24"/>
          <w:szCs w:val="24"/>
        </w:rPr>
        <w:t>, or</w:t>
      </w:r>
      <w:r w:rsidR="009E6CEB">
        <w:rPr>
          <w:sz w:val="24"/>
          <w:szCs w:val="24"/>
        </w:rPr>
        <w:t xml:space="preserve"> hand delivered</w:t>
      </w:r>
      <w:r w:rsidR="009E6CEB" w:rsidRPr="004A1B6E">
        <w:rPr>
          <w:sz w:val="24"/>
          <w:szCs w:val="24"/>
        </w:rPr>
        <w:t xml:space="preserve"> to the Department for processing.       </w:t>
      </w:r>
    </w:p>
    <w:p w:rsidR="00EB5A10" w:rsidRPr="00EB5A10" w:rsidRDefault="00D26530" w:rsidP="00EB5A10">
      <w:pPr>
        <w:pStyle w:val="Header"/>
        <w:numPr>
          <w:ilvl w:val="3"/>
          <w:numId w:val="3"/>
        </w:numPr>
        <w:rPr>
          <w:sz w:val="24"/>
          <w:szCs w:val="24"/>
        </w:rPr>
      </w:pPr>
      <w:r w:rsidRPr="00D26530">
        <w:rPr>
          <w:sz w:val="24"/>
          <w:szCs w:val="24"/>
        </w:rPr>
        <w:t>If the electronic submission w</w:t>
      </w:r>
      <w:r w:rsidR="005E57A0">
        <w:rPr>
          <w:sz w:val="24"/>
          <w:szCs w:val="24"/>
        </w:rPr>
        <w:t>ere</w:t>
      </w:r>
      <w:r w:rsidRPr="00D26530">
        <w:rPr>
          <w:sz w:val="24"/>
          <w:szCs w:val="24"/>
        </w:rPr>
        <w:t xml:space="preserve"> not available the paperwork burden would be the same or greater and would require foreign mission submission via Post </w:t>
      </w:r>
      <w:r>
        <w:rPr>
          <w:sz w:val="24"/>
          <w:szCs w:val="24"/>
        </w:rPr>
        <w:t>O</w:t>
      </w:r>
      <w:r w:rsidRPr="00D26530">
        <w:rPr>
          <w:sz w:val="24"/>
          <w:szCs w:val="24"/>
        </w:rPr>
        <w:t>ffice mail</w:t>
      </w:r>
      <w:r w:rsidR="003E0893">
        <w:rPr>
          <w:sz w:val="24"/>
          <w:szCs w:val="24"/>
        </w:rPr>
        <w:t>,</w:t>
      </w:r>
      <w:r w:rsidRPr="00D26530">
        <w:rPr>
          <w:sz w:val="24"/>
          <w:szCs w:val="24"/>
        </w:rPr>
        <w:t xml:space="preserve"> hand delivery</w:t>
      </w:r>
      <w:r w:rsidR="003E0893">
        <w:rPr>
          <w:sz w:val="24"/>
          <w:szCs w:val="24"/>
        </w:rPr>
        <w:t>, or in some instances facsimile</w:t>
      </w:r>
      <w:r w:rsidRPr="00D26530">
        <w:rPr>
          <w:sz w:val="24"/>
          <w:szCs w:val="24"/>
        </w:rPr>
        <w:t xml:space="preserve">.  This in turn would mean a slower delivery process in the requested service, or the service </w:t>
      </w:r>
      <w:r>
        <w:rPr>
          <w:sz w:val="24"/>
          <w:szCs w:val="24"/>
        </w:rPr>
        <w:t xml:space="preserve">would </w:t>
      </w:r>
      <w:r w:rsidRPr="00D26530">
        <w:rPr>
          <w:sz w:val="24"/>
          <w:szCs w:val="24"/>
        </w:rPr>
        <w:t>not be available. </w:t>
      </w:r>
      <w:r w:rsidR="00EB5A10">
        <w:rPr>
          <w:sz w:val="24"/>
          <w:szCs w:val="24"/>
        </w:rPr>
        <w:t xml:space="preserve"> </w:t>
      </w:r>
      <w:r w:rsidR="00BC1AF1">
        <w:rPr>
          <w:sz w:val="24"/>
          <w:szCs w:val="24"/>
        </w:rPr>
        <w:t>N</w:t>
      </w:r>
      <w:r w:rsidR="00BC1AF1" w:rsidRPr="00EB5A10">
        <w:rPr>
          <w:sz w:val="24"/>
          <w:szCs w:val="24"/>
        </w:rPr>
        <w:t>onetheless</w:t>
      </w:r>
      <w:r w:rsidR="00EB5A10" w:rsidRPr="00EB5A10">
        <w:rPr>
          <w:sz w:val="24"/>
          <w:szCs w:val="24"/>
        </w:rPr>
        <w:t>, reciprocity is a key component of the VCDR, VCCR</w:t>
      </w:r>
      <w:r w:rsidR="00EB5A10" w:rsidRPr="00EB5A10">
        <w:rPr>
          <w:color w:val="000000"/>
          <w:sz w:val="24"/>
          <w:szCs w:val="24"/>
        </w:rPr>
        <w:t xml:space="preserve"> and FMA.  Because the provision of benefits to foreign mission personnel is generally subject to reciprocity, the Office of Foreign Missions may affirmatively decide to burden a specific foreign government with unnecessary paperwork to respond when such measures are implemented against our own diplomats abroad, with the aim of encouraging that government to alleviate the burden on our diplomats.  While purposeful paperwork burdens run counter to the general purpose of the PRA, recourse to reciprocal measures are statutorily authorized in the context of foreign mission personnel.</w:t>
      </w:r>
    </w:p>
    <w:p w:rsidR="00D26530" w:rsidRPr="00420EC4" w:rsidRDefault="00D26530" w:rsidP="00B1411F">
      <w:pPr>
        <w:pStyle w:val="Header"/>
        <w:numPr>
          <w:ilvl w:val="3"/>
          <w:numId w:val="3"/>
        </w:numPr>
        <w:rPr>
          <w:sz w:val="24"/>
          <w:szCs w:val="24"/>
        </w:rPr>
      </w:pPr>
    </w:p>
    <w:p w:rsidR="00402A6C" w:rsidRPr="00E15D2C" w:rsidRDefault="00BC1AF1" w:rsidP="00E15D2C">
      <w:pPr>
        <w:pStyle w:val="Header"/>
        <w:numPr>
          <w:ilvl w:val="0"/>
          <w:numId w:val="3"/>
        </w:numPr>
        <w:spacing w:after="120"/>
        <w:rPr>
          <w:b/>
          <w:sz w:val="24"/>
          <w:szCs w:val="24"/>
        </w:rPr>
      </w:pPr>
      <w:r w:rsidRPr="00E15D2C">
        <w:rPr>
          <w:sz w:val="24"/>
          <w:szCs w:val="24"/>
        </w:rPr>
        <w:t xml:space="preserve">This information is not available elsewhere.  </w:t>
      </w:r>
      <w:r w:rsidR="0094732A" w:rsidRPr="00E15D2C">
        <w:rPr>
          <w:sz w:val="24"/>
          <w:szCs w:val="24"/>
        </w:rPr>
        <w:t>The Department of State</w:t>
      </w:r>
      <w:r w:rsidR="005E4FD9" w:rsidRPr="00E15D2C">
        <w:rPr>
          <w:sz w:val="24"/>
          <w:szCs w:val="24"/>
        </w:rPr>
        <w:t xml:space="preserve">, through the Office of Protocol and the Office of Foreign Missions, </w:t>
      </w:r>
      <w:r w:rsidR="00236425" w:rsidRPr="00E15D2C">
        <w:rPr>
          <w:sz w:val="24"/>
          <w:szCs w:val="24"/>
        </w:rPr>
        <w:t>is the only federal agency that registers foreign missions and their personnel</w:t>
      </w:r>
      <w:r w:rsidR="00402A6C" w:rsidRPr="00E15D2C">
        <w:rPr>
          <w:sz w:val="24"/>
          <w:szCs w:val="24"/>
        </w:rPr>
        <w:t xml:space="preserve">, determines and provides </w:t>
      </w:r>
      <w:r w:rsidR="00236425" w:rsidRPr="00E15D2C">
        <w:rPr>
          <w:sz w:val="24"/>
          <w:szCs w:val="24"/>
        </w:rPr>
        <w:t>benefit</w:t>
      </w:r>
      <w:r w:rsidR="00C15E86" w:rsidRPr="00E15D2C">
        <w:rPr>
          <w:sz w:val="24"/>
          <w:szCs w:val="24"/>
        </w:rPr>
        <w:t>s</w:t>
      </w:r>
      <w:r w:rsidR="00402A6C" w:rsidRPr="00E15D2C">
        <w:rPr>
          <w:sz w:val="24"/>
          <w:szCs w:val="24"/>
        </w:rPr>
        <w:t xml:space="preserve"> eligibility</w:t>
      </w:r>
      <w:r w:rsidR="00236425" w:rsidRPr="00E15D2C">
        <w:rPr>
          <w:sz w:val="24"/>
          <w:szCs w:val="24"/>
        </w:rPr>
        <w:t xml:space="preserve">, </w:t>
      </w:r>
      <w:r w:rsidR="00402A6C" w:rsidRPr="00E15D2C">
        <w:rPr>
          <w:sz w:val="24"/>
          <w:szCs w:val="24"/>
        </w:rPr>
        <w:t>and</w:t>
      </w:r>
      <w:r w:rsidR="00236425" w:rsidRPr="00E15D2C">
        <w:rPr>
          <w:sz w:val="24"/>
          <w:szCs w:val="24"/>
        </w:rPr>
        <w:t xml:space="preserve"> </w:t>
      </w:r>
      <w:r w:rsidR="00C15E86" w:rsidRPr="00E15D2C">
        <w:rPr>
          <w:sz w:val="24"/>
          <w:szCs w:val="24"/>
        </w:rPr>
        <w:t xml:space="preserve">provides </w:t>
      </w:r>
      <w:r w:rsidR="00236425" w:rsidRPr="00E15D2C">
        <w:rPr>
          <w:sz w:val="24"/>
          <w:szCs w:val="24"/>
        </w:rPr>
        <w:t xml:space="preserve">proof of eligibility for certain privileges and </w:t>
      </w:r>
      <w:r w:rsidR="0035150A" w:rsidRPr="00E15D2C">
        <w:rPr>
          <w:sz w:val="24"/>
          <w:szCs w:val="24"/>
        </w:rPr>
        <w:t>immunities</w:t>
      </w:r>
      <w:r w:rsidR="00236425" w:rsidRPr="00E15D2C">
        <w:rPr>
          <w:sz w:val="24"/>
          <w:szCs w:val="24"/>
        </w:rPr>
        <w:t xml:space="preserve">. </w:t>
      </w:r>
      <w:r w:rsidRPr="00E15D2C">
        <w:rPr>
          <w:sz w:val="24"/>
          <w:szCs w:val="24"/>
        </w:rPr>
        <w:t xml:space="preserve"> </w:t>
      </w:r>
      <w:r w:rsidR="00C15E86" w:rsidRPr="00E15D2C">
        <w:rPr>
          <w:sz w:val="24"/>
          <w:szCs w:val="24"/>
        </w:rPr>
        <w:t xml:space="preserve">The respondent controls duplication at the response level and OFM’s computer software prevents duplication of benefits at the administration level.  </w:t>
      </w:r>
      <w:r w:rsidR="00236425" w:rsidRPr="00E15D2C">
        <w:rPr>
          <w:sz w:val="24"/>
          <w:szCs w:val="24"/>
        </w:rPr>
        <w:t xml:space="preserve">The </w:t>
      </w:r>
      <w:r w:rsidR="002B3812" w:rsidRPr="00E15D2C">
        <w:rPr>
          <w:sz w:val="24"/>
          <w:szCs w:val="24"/>
        </w:rPr>
        <w:t xml:space="preserve">FDSA </w:t>
      </w:r>
      <w:r w:rsidR="00236425" w:rsidRPr="00E15D2C">
        <w:rPr>
          <w:sz w:val="24"/>
          <w:szCs w:val="24"/>
        </w:rPr>
        <w:t xml:space="preserve">collection instruments are for specific purposes, </w:t>
      </w:r>
      <w:r w:rsidR="00402A6C" w:rsidRPr="00E15D2C">
        <w:rPr>
          <w:sz w:val="24"/>
          <w:szCs w:val="24"/>
        </w:rPr>
        <w:t>used at different times for discrete services (benefits)</w:t>
      </w:r>
      <w:r w:rsidR="0013186C" w:rsidRPr="00E15D2C">
        <w:rPr>
          <w:sz w:val="24"/>
          <w:szCs w:val="24"/>
        </w:rPr>
        <w:t xml:space="preserve"> and safety</w:t>
      </w:r>
      <w:r w:rsidR="00402A6C" w:rsidRPr="00E15D2C">
        <w:rPr>
          <w:sz w:val="24"/>
          <w:szCs w:val="24"/>
        </w:rPr>
        <w:t xml:space="preserve">, </w:t>
      </w:r>
      <w:r w:rsidR="00236425" w:rsidRPr="00E15D2C">
        <w:rPr>
          <w:sz w:val="24"/>
          <w:szCs w:val="24"/>
        </w:rPr>
        <w:t>each of which is necessary to ensure the United States honors its international legal obligations and protects its missions and personnel abroad.</w:t>
      </w:r>
      <w:r w:rsidR="0094732A" w:rsidRPr="00E15D2C">
        <w:rPr>
          <w:sz w:val="24"/>
          <w:szCs w:val="24"/>
        </w:rPr>
        <w:t xml:space="preserve">  </w:t>
      </w:r>
      <w:r w:rsidR="00402A6C" w:rsidRPr="00E15D2C">
        <w:rPr>
          <w:sz w:val="24"/>
          <w:szCs w:val="24"/>
        </w:rPr>
        <w:t xml:space="preserve">  </w:t>
      </w:r>
    </w:p>
    <w:p w:rsidR="0094732A" w:rsidRPr="00FE37A3" w:rsidRDefault="0094732A" w:rsidP="0094732A">
      <w:pPr>
        <w:ind w:left="720"/>
        <w:rPr>
          <w:sz w:val="24"/>
        </w:rPr>
      </w:pPr>
    </w:p>
    <w:p w:rsidR="0094732A" w:rsidRPr="00E15D2C" w:rsidRDefault="0094732A" w:rsidP="00E15D2C">
      <w:pPr>
        <w:pStyle w:val="BodyTextIndent"/>
        <w:numPr>
          <w:ilvl w:val="0"/>
          <w:numId w:val="4"/>
        </w:numPr>
        <w:spacing w:line="240" w:lineRule="auto"/>
        <w:rPr>
          <w:rFonts w:ascii="Times New Roman" w:hAnsi="Times New Roman"/>
          <w:szCs w:val="24"/>
        </w:rPr>
      </w:pPr>
      <w:r w:rsidRPr="00E15D2C">
        <w:rPr>
          <w:rFonts w:ascii="Times New Roman" w:hAnsi="Times New Roman"/>
        </w:rPr>
        <w:t>Th</w:t>
      </w:r>
      <w:r w:rsidR="00A908BC" w:rsidRPr="00E15D2C">
        <w:rPr>
          <w:rFonts w:ascii="Times New Roman" w:hAnsi="Times New Roman"/>
        </w:rPr>
        <w:t>is</w:t>
      </w:r>
      <w:r w:rsidRPr="00E15D2C">
        <w:rPr>
          <w:rFonts w:ascii="Times New Roman" w:hAnsi="Times New Roman"/>
        </w:rPr>
        <w:t xml:space="preserve"> collection of information does not involve or have impact on small businesses or other small entities.  </w:t>
      </w:r>
    </w:p>
    <w:p w:rsidR="0094732A" w:rsidRPr="00FE37A3" w:rsidRDefault="0094732A" w:rsidP="0094732A">
      <w:pPr>
        <w:pStyle w:val="BodyTextIndent"/>
        <w:spacing w:line="240" w:lineRule="auto"/>
        <w:ind w:left="0" w:firstLine="0"/>
        <w:rPr>
          <w:rFonts w:ascii="Times New Roman" w:hAnsi="Times New Roman"/>
          <w:szCs w:val="24"/>
        </w:rPr>
      </w:pPr>
    </w:p>
    <w:p w:rsidR="00557AEA" w:rsidRPr="00E15D2C" w:rsidRDefault="0094732A" w:rsidP="00E15D2C">
      <w:pPr>
        <w:pStyle w:val="BodyTextIndent"/>
        <w:numPr>
          <w:ilvl w:val="0"/>
          <w:numId w:val="4"/>
        </w:numPr>
        <w:spacing w:line="240" w:lineRule="auto"/>
        <w:rPr>
          <w:rFonts w:ascii="Times New Roman" w:hAnsi="Times New Roman"/>
          <w:b/>
          <w:szCs w:val="24"/>
        </w:rPr>
      </w:pPr>
      <w:r w:rsidRPr="00E15D2C">
        <w:rPr>
          <w:rFonts w:ascii="Times New Roman" w:hAnsi="Times New Roman"/>
        </w:rPr>
        <w:t xml:space="preserve">The information collection could not be conducted less frequently.  If the necessary information were not collected </w:t>
      </w:r>
      <w:r w:rsidR="00E03502" w:rsidRPr="00E15D2C">
        <w:rPr>
          <w:rFonts w:ascii="Times New Roman" w:hAnsi="Times New Roman"/>
        </w:rPr>
        <w:t xml:space="preserve">it would hamper </w:t>
      </w:r>
      <w:r w:rsidRPr="00E15D2C">
        <w:rPr>
          <w:rFonts w:ascii="Times New Roman" w:hAnsi="Times New Roman"/>
        </w:rPr>
        <w:t>the State Department</w:t>
      </w:r>
      <w:r w:rsidR="00E03502" w:rsidRPr="00E15D2C">
        <w:rPr>
          <w:rFonts w:ascii="Times New Roman" w:hAnsi="Times New Roman"/>
        </w:rPr>
        <w:t xml:space="preserve">’s effort </w:t>
      </w:r>
      <w:r w:rsidRPr="00E15D2C">
        <w:rPr>
          <w:rFonts w:ascii="Times New Roman" w:hAnsi="Times New Roman"/>
        </w:rPr>
        <w:t>to</w:t>
      </w:r>
      <w:r w:rsidRPr="00E15D2C">
        <w:rPr>
          <w:rFonts w:ascii="Times New Roman" w:hAnsi="Times New Roman"/>
          <w:szCs w:val="24"/>
        </w:rPr>
        <w:t xml:space="preserve"> </w:t>
      </w:r>
      <w:r w:rsidR="00E03502" w:rsidRPr="00E15D2C">
        <w:rPr>
          <w:rFonts w:ascii="Times New Roman" w:hAnsi="Times New Roman"/>
          <w:szCs w:val="24"/>
        </w:rPr>
        <w:t xml:space="preserve">permit </w:t>
      </w:r>
      <w:r w:rsidR="00203380" w:rsidRPr="00E15D2C">
        <w:rPr>
          <w:rFonts w:ascii="Times New Roman" w:hAnsi="Times New Roman"/>
          <w:szCs w:val="24"/>
        </w:rPr>
        <w:t xml:space="preserve">automated service </w:t>
      </w:r>
      <w:r w:rsidR="00AA1258" w:rsidRPr="00E15D2C">
        <w:rPr>
          <w:rFonts w:ascii="Times New Roman" w:hAnsi="Times New Roman"/>
          <w:szCs w:val="24"/>
        </w:rPr>
        <w:t>re</w:t>
      </w:r>
      <w:r w:rsidR="00203380" w:rsidRPr="00E15D2C">
        <w:rPr>
          <w:rFonts w:ascii="Times New Roman" w:hAnsi="Times New Roman"/>
          <w:szCs w:val="24"/>
        </w:rPr>
        <w:t>quests,</w:t>
      </w:r>
      <w:r w:rsidR="00E03502" w:rsidRPr="00E15D2C">
        <w:rPr>
          <w:rFonts w:ascii="Times New Roman" w:hAnsi="Times New Roman"/>
          <w:szCs w:val="24"/>
        </w:rPr>
        <w:t xml:space="preserve"> </w:t>
      </w:r>
      <w:r w:rsidRPr="00E15D2C">
        <w:rPr>
          <w:rFonts w:ascii="Times New Roman" w:hAnsi="Times New Roman"/>
        </w:rPr>
        <w:t>fulfill</w:t>
      </w:r>
      <w:r w:rsidR="00203380" w:rsidRPr="00E15D2C">
        <w:rPr>
          <w:rFonts w:ascii="Times New Roman" w:hAnsi="Times New Roman"/>
        </w:rPr>
        <w:t>ing</w:t>
      </w:r>
      <w:r w:rsidRPr="00E15D2C">
        <w:rPr>
          <w:rFonts w:ascii="Times New Roman" w:hAnsi="Times New Roman"/>
        </w:rPr>
        <w:t xml:space="preserve"> its obligation</w:t>
      </w:r>
      <w:r w:rsidR="00F940B3" w:rsidRPr="00E15D2C">
        <w:rPr>
          <w:rFonts w:ascii="Times New Roman" w:hAnsi="Times New Roman"/>
        </w:rPr>
        <w:t>s</w:t>
      </w:r>
      <w:r w:rsidRPr="00E15D2C">
        <w:rPr>
          <w:rFonts w:ascii="Times New Roman" w:hAnsi="Times New Roman"/>
        </w:rPr>
        <w:t xml:space="preserve"> </w:t>
      </w:r>
      <w:r w:rsidRPr="00E15D2C">
        <w:rPr>
          <w:rFonts w:ascii="Times New Roman" w:hAnsi="Times New Roman"/>
          <w:szCs w:val="24"/>
        </w:rPr>
        <w:t>to extend privileges and immunities</w:t>
      </w:r>
      <w:r w:rsidR="00F03B5A" w:rsidRPr="00E15D2C">
        <w:rPr>
          <w:rFonts w:ascii="Times New Roman" w:hAnsi="Times New Roman"/>
          <w:szCs w:val="24"/>
        </w:rPr>
        <w:t xml:space="preserve"> to foreign missions and </w:t>
      </w:r>
      <w:r w:rsidR="00203380" w:rsidRPr="00E15D2C">
        <w:rPr>
          <w:rFonts w:ascii="Times New Roman" w:hAnsi="Times New Roman"/>
          <w:szCs w:val="24"/>
        </w:rPr>
        <w:t>respondents</w:t>
      </w:r>
      <w:r w:rsidR="00AA1258" w:rsidRPr="00E15D2C">
        <w:rPr>
          <w:rFonts w:ascii="Times New Roman" w:hAnsi="Times New Roman"/>
        </w:rPr>
        <w:t xml:space="preserve"> under international </w:t>
      </w:r>
      <w:r w:rsidR="00AA1258" w:rsidRPr="00E15D2C">
        <w:rPr>
          <w:rFonts w:ascii="Times New Roman" w:hAnsi="Times New Roman"/>
          <w:szCs w:val="24"/>
        </w:rPr>
        <w:t>and domestic law</w:t>
      </w:r>
      <w:r w:rsidRPr="00E15D2C">
        <w:rPr>
          <w:rFonts w:ascii="Times New Roman" w:hAnsi="Times New Roman"/>
          <w:szCs w:val="24"/>
        </w:rPr>
        <w:t xml:space="preserve">, or </w:t>
      </w:r>
      <w:r w:rsidR="00F940B3" w:rsidRPr="00E15D2C">
        <w:rPr>
          <w:rFonts w:ascii="Times New Roman" w:hAnsi="Times New Roman"/>
          <w:szCs w:val="24"/>
        </w:rPr>
        <w:t xml:space="preserve">to </w:t>
      </w:r>
      <w:r w:rsidRPr="00E15D2C">
        <w:rPr>
          <w:rFonts w:ascii="Times New Roman" w:hAnsi="Times New Roman"/>
          <w:szCs w:val="24"/>
        </w:rPr>
        <w:t xml:space="preserve">comply with the requirements of the </w:t>
      </w:r>
      <w:r w:rsidR="00F03B5A" w:rsidRPr="00E15D2C">
        <w:rPr>
          <w:rFonts w:ascii="Times New Roman" w:hAnsi="Times New Roman"/>
          <w:szCs w:val="24"/>
        </w:rPr>
        <w:t>FMA.</w:t>
      </w:r>
      <w:r w:rsidR="00A908BC" w:rsidRPr="00E15D2C">
        <w:rPr>
          <w:rFonts w:ascii="Times New Roman" w:hAnsi="Times New Roman"/>
        </w:rPr>
        <w:t xml:space="preserve">  </w:t>
      </w:r>
      <w:r w:rsidRPr="00E15D2C">
        <w:rPr>
          <w:rFonts w:ascii="Times New Roman" w:hAnsi="Times New Roman"/>
          <w:szCs w:val="24"/>
        </w:rPr>
        <w:t xml:space="preserve">Furthermore, </w:t>
      </w:r>
      <w:r w:rsidR="00A908BC" w:rsidRPr="00E15D2C">
        <w:rPr>
          <w:rFonts w:ascii="Times New Roman" w:hAnsi="Times New Roman"/>
          <w:szCs w:val="24"/>
        </w:rPr>
        <w:t>n</w:t>
      </w:r>
      <w:r w:rsidRPr="00E15D2C">
        <w:rPr>
          <w:rFonts w:ascii="Times New Roman" w:hAnsi="Times New Roman"/>
        </w:rPr>
        <w:t xml:space="preserve">on-collection of the information would impede </w:t>
      </w:r>
      <w:r w:rsidR="00F03B5A" w:rsidRPr="00E15D2C">
        <w:rPr>
          <w:rFonts w:ascii="Times New Roman" w:hAnsi="Times New Roman"/>
        </w:rPr>
        <w:t xml:space="preserve">other </w:t>
      </w:r>
      <w:r w:rsidRPr="00E15D2C">
        <w:rPr>
          <w:rFonts w:ascii="Times New Roman" w:hAnsi="Times New Roman"/>
        </w:rPr>
        <w:t xml:space="preserve">Department efforts, </w:t>
      </w:r>
      <w:r w:rsidR="00F03B5A" w:rsidRPr="00E15D2C">
        <w:rPr>
          <w:rFonts w:ascii="Times New Roman" w:hAnsi="Times New Roman"/>
        </w:rPr>
        <w:t>most significantly, its ability to advise other branches of the Un</w:t>
      </w:r>
      <w:r w:rsidR="00934F62" w:rsidRPr="00E15D2C">
        <w:rPr>
          <w:rFonts w:ascii="Times New Roman" w:hAnsi="Times New Roman"/>
        </w:rPr>
        <w:t>i</w:t>
      </w:r>
      <w:r w:rsidR="00F03B5A" w:rsidRPr="00E15D2C">
        <w:rPr>
          <w:rFonts w:ascii="Times New Roman" w:hAnsi="Times New Roman"/>
        </w:rPr>
        <w:t>ted States government as well as state and local authorities, regarding the status of foreign mission personnel</w:t>
      </w:r>
      <w:r w:rsidR="001F4F4A" w:rsidRPr="00E15D2C">
        <w:rPr>
          <w:rFonts w:ascii="Times New Roman" w:hAnsi="Times New Roman"/>
        </w:rPr>
        <w:t xml:space="preserve">.  </w:t>
      </w:r>
      <w:r w:rsidR="00557AEA" w:rsidRPr="00E15D2C">
        <w:rPr>
          <w:rFonts w:ascii="Times New Roman" w:hAnsi="Times New Roman"/>
        </w:rPr>
        <w:t>The information included in the DS-</w:t>
      </w:r>
      <w:r w:rsidR="00AA1258" w:rsidRPr="00E15D2C">
        <w:rPr>
          <w:rFonts w:ascii="Times New Roman" w:hAnsi="Times New Roman"/>
        </w:rPr>
        <w:t>4155</w:t>
      </w:r>
      <w:r w:rsidR="00557AEA" w:rsidRPr="00E15D2C">
        <w:rPr>
          <w:rFonts w:ascii="Times New Roman" w:hAnsi="Times New Roman"/>
        </w:rPr>
        <w:t xml:space="preserve"> must be collected each time a foreign mission wishes to </w:t>
      </w:r>
      <w:r w:rsidR="00AA1258" w:rsidRPr="00E15D2C">
        <w:rPr>
          <w:rFonts w:ascii="Times New Roman" w:hAnsi="Times New Roman"/>
        </w:rPr>
        <w:t xml:space="preserve">authorize </w:t>
      </w:r>
      <w:r w:rsidR="00B30367" w:rsidRPr="00E15D2C">
        <w:rPr>
          <w:rFonts w:ascii="Times New Roman" w:hAnsi="Times New Roman"/>
        </w:rPr>
        <w:t xml:space="preserve">new </w:t>
      </w:r>
      <w:r w:rsidR="00AA1258" w:rsidRPr="00E15D2C">
        <w:rPr>
          <w:rFonts w:ascii="Times New Roman" w:hAnsi="Times New Roman"/>
        </w:rPr>
        <w:t xml:space="preserve">vendor access to </w:t>
      </w:r>
      <w:r w:rsidR="00B30367" w:rsidRPr="00E15D2C">
        <w:rPr>
          <w:rFonts w:ascii="Times New Roman" w:hAnsi="Times New Roman"/>
        </w:rPr>
        <w:t>request bonded</w:t>
      </w:r>
      <w:r w:rsidR="00557AEA" w:rsidRPr="00E15D2C">
        <w:rPr>
          <w:rFonts w:ascii="Times New Roman" w:hAnsi="Times New Roman"/>
        </w:rPr>
        <w:t xml:space="preserve"> warehouse purchase</w:t>
      </w:r>
      <w:r w:rsidR="00B30367" w:rsidRPr="00E15D2C">
        <w:rPr>
          <w:rFonts w:ascii="Times New Roman" w:hAnsi="Times New Roman"/>
        </w:rPr>
        <w:t>s on its behalf.  The information included in the DS-7675 must be collected annually</w:t>
      </w:r>
      <w:r w:rsidR="00E2404B" w:rsidRPr="00E15D2C">
        <w:rPr>
          <w:rFonts w:ascii="Times New Roman" w:hAnsi="Times New Roman"/>
        </w:rPr>
        <w:t xml:space="preserve"> to </w:t>
      </w:r>
      <w:r w:rsidR="00B30367" w:rsidRPr="00E15D2C">
        <w:rPr>
          <w:rFonts w:ascii="Times New Roman" w:hAnsi="Times New Roman"/>
        </w:rPr>
        <w:t xml:space="preserve">maintain an up-to-date emergency contact list.  </w:t>
      </w:r>
    </w:p>
    <w:p w:rsidR="00414CD2" w:rsidRPr="00B30367" w:rsidRDefault="00414CD2" w:rsidP="00B1411F">
      <w:pPr>
        <w:numPr>
          <w:ilvl w:val="3"/>
          <w:numId w:val="4"/>
        </w:numPr>
        <w:spacing w:before="100" w:beforeAutospacing="1" w:after="100" w:afterAutospacing="1"/>
      </w:pPr>
    </w:p>
    <w:p w:rsidR="002111C7" w:rsidRPr="008218C7" w:rsidRDefault="002111C7" w:rsidP="00E15D2C">
      <w:pPr>
        <w:numPr>
          <w:ilvl w:val="0"/>
          <w:numId w:val="4"/>
        </w:numPr>
        <w:spacing w:before="100" w:beforeAutospacing="1" w:after="100" w:afterAutospacing="1"/>
        <w:rPr>
          <w:b/>
          <w:sz w:val="24"/>
          <w:szCs w:val="24"/>
        </w:rPr>
      </w:pPr>
      <w:r w:rsidRPr="00E15D2C">
        <w:rPr>
          <w:sz w:val="24"/>
          <w:szCs w:val="24"/>
        </w:rPr>
        <w:t xml:space="preserve">No special circumstances exist regarding the information collection conducted for </w:t>
      </w:r>
      <w:r w:rsidR="004A3C59" w:rsidRPr="00E15D2C">
        <w:rPr>
          <w:sz w:val="24"/>
          <w:szCs w:val="24"/>
        </w:rPr>
        <w:t xml:space="preserve">this set of FDSA collection instruments - </w:t>
      </w:r>
      <w:r w:rsidRPr="00E15D2C">
        <w:rPr>
          <w:sz w:val="24"/>
          <w:szCs w:val="24"/>
        </w:rPr>
        <w:t xml:space="preserve">the </w:t>
      </w:r>
      <w:r w:rsidRPr="00E15D2C">
        <w:rPr>
          <w:color w:val="000000"/>
          <w:sz w:val="24"/>
          <w:szCs w:val="24"/>
        </w:rPr>
        <w:t xml:space="preserve">DS-4155, </w:t>
      </w:r>
      <w:r w:rsidRPr="00E15D2C">
        <w:rPr>
          <w:sz w:val="24"/>
          <w:szCs w:val="24"/>
        </w:rPr>
        <w:t>Vendor Application for OFM Website Account</w:t>
      </w:r>
      <w:r w:rsidR="004A3C59" w:rsidRPr="00E15D2C">
        <w:rPr>
          <w:sz w:val="24"/>
          <w:szCs w:val="24"/>
        </w:rPr>
        <w:t xml:space="preserve"> </w:t>
      </w:r>
      <w:r w:rsidR="004A3C59" w:rsidRPr="008218C7">
        <w:rPr>
          <w:sz w:val="24"/>
          <w:szCs w:val="24"/>
        </w:rPr>
        <w:t>and the DS-7675, Foreign Mission Emergency Afterhours Contact.</w:t>
      </w:r>
    </w:p>
    <w:p w:rsidR="0094732A" w:rsidRPr="008218C7" w:rsidRDefault="0094732A" w:rsidP="0094732A">
      <w:pPr>
        <w:pStyle w:val="BodyTextIndent"/>
        <w:tabs>
          <w:tab w:val="clear" w:pos="720"/>
        </w:tabs>
        <w:spacing w:line="240" w:lineRule="auto"/>
        <w:ind w:left="0" w:firstLine="0"/>
        <w:rPr>
          <w:rFonts w:ascii="Times New Roman" w:hAnsi="Times New Roman"/>
          <w:b/>
          <w:szCs w:val="24"/>
        </w:rPr>
      </w:pPr>
    </w:p>
    <w:p w:rsidR="008218C7" w:rsidRPr="008218C7" w:rsidRDefault="008218C7" w:rsidP="00E15D2C">
      <w:pPr>
        <w:pStyle w:val="BodyTextIndent"/>
        <w:numPr>
          <w:ilvl w:val="0"/>
          <w:numId w:val="4"/>
        </w:numPr>
        <w:spacing w:line="240" w:lineRule="auto"/>
        <w:rPr>
          <w:rFonts w:ascii="Times New Roman" w:hAnsi="Times New Roman"/>
          <w:b/>
          <w:szCs w:val="24"/>
        </w:rPr>
      </w:pPr>
      <w:r w:rsidRPr="008218C7">
        <w:rPr>
          <w:rFonts w:ascii="Times New Roman" w:hAnsi="Times New Roman"/>
          <w:szCs w:val="24"/>
        </w:rPr>
        <w:t xml:space="preserve">OFM published a Notice of Proposed Information Collection on page number </w:t>
      </w:r>
      <w:r>
        <w:rPr>
          <w:rFonts w:ascii="Times New Roman" w:hAnsi="Times New Roman"/>
          <w:szCs w:val="24"/>
        </w:rPr>
        <w:t>1</w:t>
      </w:r>
      <w:r w:rsidRPr="008218C7">
        <w:rPr>
          <w:rFonts w:ascii="Times New Roman" w:hAnsi="Times New Roman"/>
          <w:szCs w:val="24"/>
        </w:rPr>
        <w:t>8</w:t>
      </w:r>
      <w:r>
        <w:rPr>
          <w:rFonts w:ascii="Times New Roman" w:hAnsi="Times New Roman"/>
          <w:szCs w:val="24"/>
        </w:rPr>
        <w:t>61</w:t>
      </w:r>
      <w:r w:rsidRPr="008218C7">
        <w:rPr>
          <w:rFonts w:ascii="Times New Roman" w:hAnsi="Times New Roman"/>
          <w:szCs w:val="24"/>
        </w:rPr>
        <w:t xml:space="preserve">4 in the </w:t>
      </w:r>
      <w:r w:rsidRPr="008218C7">
        <w:rPr>
          <w:rFonts w:ascii="Times New Roman" w:hAnsi="Times New Roman"/>
          <w:i/>
          <w:szCs w:val="24"/>
        </w:rPr>
        <w:t>Federal Register</w:t>
      </w:r>
      <w:r w:rsidRPr="008218C7">
        <w:rPr>
          <w:rFonts w:ascii="Times New Roman" w:hAnsi="Times New Roman"/>
          <w:szCs w:val="24"/>
        </w:rPr>
        <w:t xml:space="preserve"> of </w:t>
      </w:r>
      <w:r>
        <w:rPr>
          <w:rFonts w:ascii="Times New Roman" w:hAnsi="Times New Roman"/>
          <w:szCs w:val="24"/>
        </w:rPr>
        <w:t>April</w:t>
      </w:r>
      <w:r w:rsidRPr="008218C7">
        <w:rPr>
          <w:rFonts w:ascii="Times New Roman" w:hAnsi="Times New Roman"/>
          <w:szCs w:val="24"/>
        </w:rPr>
        <w:t xml:space="preserve"> </w:t>
      </w:r>
      <w:r>
        <w:rPr>
          <w:rFonts w:ascii="Times New Roman" w:hAnsi="Times New Roman"/>
          <w:szCs w:val="24"/>
        </w:rPr>
        <w:t>4</w:t>
      </w:r>
      <w:r w:rsidRPr="008218C7">
        <w:rPr>
          <w:rFonts w:ascii="Times New Roman" w:hAnsi="Times New Roman"/>
          <w:szCs w:val="24"/>
        </w:rPr>
        <w:t>, 20</w:t>
      </w:r>
      <w:r>
        <w:rPr>
          <w:rFonts w:ascii="Times New Roman" w:hAnsi="Times New Roman"/>
          <w:szCs w:val="24"/>
        </w:rPr>
        <w:t>11</w:t>
      </w:r>
      <w:r w:rsidRPr="008218C7">
        <w:rPr>
          <w:rFonts w:ascii="Times New Roman" w:hAnsi="Times New Roman"/>
          <w:szCs w:val="24"/>
        </w:rPr>
        <w:t xml:space="preserve">, Public Notice Number </w:t>
      </w:r>
      <w:r>
        <w:rPr>
          <w:rFonts w:ascii="Times New Roman" w:hAnsi="Times New Roman"/>
          <w:szCs w:val="24"/>
        </w:rPr>
        <w:t>7407</w:t>
      </w:r>
      <w:r w:rsidRPr="008218C7">
        <w:rPr>
          <w:rFonts w:ascii="Times New Roman" w:hAnsi="Times New Roman"/>
          <w:szCs w:val="24"/>
        </w:rPr>
        <w:t>, to give the public an opportunity to provide comments.  No public comments were received</w:t>
      </w:r>
      <w:r>
        <w:rPr>
          <w:rFonts w:ascii="Times New Roman" w:hAnsi="Times New Roman"/>
          <w:szCs w:val="24"/>
        </w:rPr>
        <w:t>.</w:t>
      </w:r>
      <w:r w:rsidRPr="008218C7">
        <w:rPr>
          <w:rFonts w:ascii="Times New Roman" w:hAnsi="Times New Roman"/>
          <w:szCs w:val="24"/>
        </w:rPr>
        <w:t xml:space="preserve"> </w:t>
      </w:r>
    </w:p>
    <w:p w:rsidR="008218C7" w:rsidRPr="008218C7" w:rsidRDefault="008218C7" w:rsidP="008218C7">
      <w:pPr>
        <w:pStyle w:val="ListParagraph"/>
        <w:rPr>
          <w:rFonts w:ascii="Times New Roman" w:hAnsi="Times New Roman"/>
          <w:szCs w:val="24"/>
        </w:rPr>
      </w:pPr>
    </w:p>
    <w:p w:rsidR="008A17DD" w:rsidRPr="00E15D2C" w:rsidRDefault="008A17DD" w:rsidP="008218C7">
      <w:pPr>
        <w:pStyle w:val="BodyTextIndent"/>
        <w:spacing w:line="240" w:lineRule="auto"/>
        <w:ind w:left="648" w:firstLine="0"/>
        <w:rPr>
          <w:rFonts w:ascii="Times New Roman" w:hAnsi="Times New Roman"/>
          <w:b/>
          <w:szCs w:val="24"/>
        </w:rPr>
      </w:pPr>
      <w:r w:rsidRPr="008218C7">
        <w:rPr>
          <w:rFonts w:ascii="Times New Roman" w:hAnsi="Times New Roman"/>
          <w:szCs w:val="24"/>
        </w:rPr>
        <w:t xml:space="preserve">Information collected from foreign governments and international organizations is based on universal international diplomatic practice and the need to comply with international and domestic law previously cited.  Accordingly, consultation is not </w:t>
      </w:r>
      <w:r w:rsidR="00520B55" w:rsidRPr="008218C7">
        <w:rPr>
          <w:rFonts w:ascii="Times New Roman" w:hAnsi="Times New Roman"/>
          <w:szCs w:val="24"/>
        </w:rPr>
        <w:t>essential</w:t>
      </w:r>
      <w:r w:rsidRPr="008218C7">
        <w:rPr>
          <w:rFonts w:ascii="Times New Roman" w:hAnsi="Times New Roman"/>
          <w:szCs w:val="24"/>
        </w:rPr>
        <w:t xml:space="preserve">.  </w:t>
      </w:r>
      <w:r w:rsidR="0042451C" w:rsidRPr="008218C7">
        <w:rPr>
          <w:rFonts w:ascii="Times New Roman" w:hAnsi="Times New Roman"/>
          <w:szCs w:val="24"/>
        </w:rPr>
        <w:t>However, t</w:t>
      </w:r>
      <w:r w:rsidRPr="008218C7">
        <w:rPr>
          <w:rFonts w:ascii="Times New Roman" w:hAnsi="Times New Roman"/>
          <w:szCs w:val="24"/>
        </w:rPr>
        <w:t xml:space="preserve">he Department </w:t>
      </w:r>
      <w:r w:rsidR="0042451C" w:rsidRPr="008218C7">
        <w:rPr>
          <w:rFonts w:ascii="Times New Roman" w:hAnsi="Times New Roman"/>
          <w:szCs w:val="24"/>
        </w:rPr>
        <w:t>does continually</w:t>
      </w:r>
      <w:r w:rsidRPr="008218C7">
        <w:rPr>
          <w:rFonts w:ascii="Times New Roman" w:hAnsi="Times New Roman"/>
          <w:szCs w:val="24"/>
        </w:rPr>
        <w:t xml:space="preserve"> make an effort to consult and maintain dialogue with the following outside</w:t>
      </w:r>
      <w:r w:rsidRPr="00E15D2C">
        <w:rPr>
          <w:rFonts w:ascii="Times New Roman" w:hAnsi="Times New Roman"/>
          <w:szCs w:val="24"/>
        </w:rPr>
        <w:t xml:space="preserve"> agencies:</w:t>
      </w:r>
    </w:p>
    <w:p w:rsidR="008A17DD" w:rsidRPr="0042451C" w:rsidRDefault="008A17DD" w:rsidP="00B1411F">
      <w:pPr>
        <w:numPr>
          <w:ilvl w:val="3"/>
          <w:numId w:val="4"/>
        </w:numPr>
        <w:rPr>
          <w:sz w:val="24"/>
          <w:szCs w:val="24"/>
        </w:rPr>
      </w:pPr>
    </w:p>
    <w:p w:rsidR="008A17DD" w:rsidRPr="00302A6B" w:rsidRDefault="008A17DD" w:rsidP="00B1411F">
      <w:pPr>
        <w:numPr>
          <w:ilvl w:val="5"/>
          <w:numId w:val="4"/>
        </w:numPr>
        <w:rPr>
          <w:sz w:val="24"/>
          <w:szCs w:val="24"/>
        </w:rPr>
      </w:pPr>
      <w:r w:rsidRPr="00302A6B">
        <w:rPr>
          <w:sz w:val="24"/>
          <w:szCs w:val="24"/>
        </w:rPr>
        <w:t xml:space="preserve">The foreign mission community, to make the application process user-friendly and seamless as possible </w:t>
      </w:r>
    </w:p>
    <w:p w:rsidR="008A17DD" w:rsidRPr="00302A6B" w:rsidRDefault="008A17DD" w:rsidP="00B1411F">
      <w:pPr>
        <w:numPr>
          <w:ilvl w:val="5"/>
          <w:numId w:val="4"/>
        </w:numPr>
        <w:rPr>
          <w:sz w:val="24"/>
          <w:szCs w:val="24"/>
        </w:rPr>
      </w:pPr>
      <w:r w:rsidRPr="00E2404B">
        <w:rPr>
          <w:sz w:val="24"/>
          <w:szCs w:val="24"/>
        </w:rPr>
        <w:t>U.S. Customs and Border Protection</w:t>
      </w:r>
      <w:r w:rsidRPr="00302A6B">
        <w:rPr>
          <w:sz w:val="24"/>
          <w:szCs w:val="24"/>
        </w:rPr>
        <w:t>, focusing on processing improvement methods.</w:t>
      </w:r>
    </w:p>
    <w:p w:rsidR="008A17DD" w:rsidRPr="00302A6B" w:rsidRDefault="008A17DD" w:rsidP="00B1411F">
      <w:pPr>
        <w:numPr>
          <w:ilvl w:val="5"/>
          <w:numId w:val="4"/>
        </w:numPr>
        <w:rPr>
          <w:sz w:val="24"/>
          <w:szCs w:val="24"/>
        </w:rPr>
      </w:pPr>
      <w:r w:rsidRPr="00302A6B">
        <w:rPr>
          <w:sz w:val="24"/>
          <w:szCs w:val="24"/>
        </w:rPr>
        <w:t>Other Federal government agencies (e.g. DHS, TSA</w:t>
      </w:r>
      <w:r w:rsidR="00E2404B">
        <w:rPr>
          <w:sz w:val="24"/>
          <w:szCs w:val="24"/>
        </w:rPr>
        <w:t>, NTSB</w:t>
      </w:r>
      <w:r w:rsidRPr="00302A6B">
        <w:rPr>
          <w:sz w:val="24"/>
          <w:szCs w:val="24"/>
        </w:rPr>
        <w:t xml:space="preserve">) </w:t>
      </w:r>
    </w:p>
    <w:p w:rsidR="008A17DD" w:rsidRPr="00302A6B" w:rsidRDefault="008A17DD" w:rsidP="008A17DD">
      <w:pPr>
        <w:ind w:left="1152"/>
        <w:rPr>
          <w:sz w:val="24"/>
          <w:szCs w:val="24"/>
        </w:rPr>
      </w:pPr>
    </w:p>
    <w:p w:rsidR="0094732A" w:rsidRPr="008A17DD" w:rsidRDefault="008A17DD" w:rsidP="00B1411F">
      <w:pPr>
        <w:numPr>
          <w:ilvl w:val="3"/>
          <w:numId w:val="4"/>
        </w:numPr>
        <w:rPr>
          <w:sz w:val="24"/>
          <w:szCs w:val="24"/>
        </w:rPr>
      </w:pPr>
      <w:r w:rsidRPr="00302A6B">
        <w:rPr>
          <w:sz w:val="24"/>
          <w:szCs w:val="24"/>
        </w:rPr>
        <w:t xml:space="preserve">Also, as is required by 5 CFR 1320.8 (d), the Department solicits public comments on its information collection prior to submission to OMB.  </w:t>
      </w:r>
      <w:r w:rsidR="0094732A" w:rsidRPr="008A17DD">
        <w:rPr>
          <w:sz w:val="24"/>
          <w:szCs w:val="24"/>
        </w:rPr>
        <w:t xml:space="preserve">OFM </w:t>
      </w:r>
      <w:r w:rsidR="00464266" w:rsidRPr="008A17DD">
        <w:rPr>
          <w:sz w:val="24"/>
          <w:szCs w:val="24"/>
        </w:rPr>
        <w:t>intends</w:t>
      </w:r>
      <w:r w:rsidR="0094732A" w:rsidRPr="008A17DD">
        <w:rPr>
          <w:sz w:val="24"/>
          <w:szCs w:val="24"/>
        </w:rPr>
        <w:t xml:space="preserve"> to publish a Notice of Information Collection in the </w:t>
      </w:r>
      <w:r w:rsidR="0094732A" w:rsidRPr="008A17DD">
        <w:rPr>
          <w:i/>
          <w:iCs/>
          <w:sz w:val="24"/>
          <w:szCs w:val="24"/>
        </w:rPr>
        <w:t xml:space="preserve">Federal Register </w:t>
      </w:r>
      <w:r w:rsidR="0094732A" w:rsidRPr="008A17DD">
        <w:rPr>
          <w:sz w:val="24"/>
          <w:szCs w:val="24"/>
        </w:rPr>
        <w:t xml:space="preserve">to </w:t>
      </w:r>
      <w:r w:rsidR="00464266" w:rsidRPr="008A17DD">
        <w:rPr>
          <w:sz w:val="24"/>
          <w:szCs w:val="24"/>
        </w:rPr>
        <w:t xml:space="preserve">present </w:t>
      </w:r>
      <w:r w:rsidR="0094732A" w:rsidRPr="008A17DD">
        <w:rPr>
          <w:sz w:val="24"/>
          <w:szCs w:val="24"/>
        </w:rPr>
        <w:t xml:space="preserve">the public an opportunity to provide comments.  </w:t>
      </w:r>
    </w:p>
    <w:p w:rsidR="0094732A" w:rsidRPr="00A37C85" w:rsidRDefault="0094732A" w:rsidP="0094732A">
      <w:pPr>
        <w:pStyle w:val="BodyTextIndent"/>
        <w:tabs>
          <w:tab w:val="clear" w:pos="720"/>
        </w:tabs>
        <w:spacing w:line="240" w:lineRule="auto"/>
        <w:ind w:left="0" w:firstLine="0"/>
        <w:rPr>
          <w:rFonts w:ascii="Times New Roman" w:hAnsi="Times New Roman"/>
          <w:szCs w:val="24"/>
        </w:rPr>
      </w:pPr>
    </w:p>
    <w:p w:rsidR="00725C08" w:rsidRPr="00E15D2C" w:rsidRDefault="0094732A" w:rsidP="00E15D2C">
      <w:pPr>
        <w:pStyle w:val="BodyTextIndent"/>
        <w:numPr>
          <w:ilvl w:val="0"/>
          <w:numId w:val="4"/>
        </w:numPr>
        <w:spacing w:line="240" w:lineRule="auto"/>
        <w:rPr>
          <w:rFonts w:ascii="Times New Roman" w:hAnsi="Times New Roman"/>
          <w:b/>
          <w:szCs w:val="24"/>
        </w:rPr>
      </w:pPr>
      <w:r w:rsidRPr="00E15D2C">
        <w:rPr>
          <w:rFonts w:ascii="Times New Roman" w:hAnsi="Times New Roman"/>
        </w:rPr>
        <w:t xml:space="preserve">The Department of State does not provide any payment or gifts to respondents.  </w:t>
      </w:r>
    </w:p>
    <w:p w:rsidR="00725C08" w:rsidRPr="00725C08" w:rsidRDefault="00725C08" w:rsidP="00725C08">
      <w:pPr>
        <w:pStyle w:val="BodyTextIndent"/>
        <w:spacing w:line="240" w:lineRule="auto"/>
        <w:ind w:left="0" w:firstLine="0"/>
        <w:rPr>
          <w:rFonts w:ascii="Times New Roman" w:hAnsi="Times New Roman"/>
          <w:szCs w:val="24"/>
        </w:rPr>
      </w:pPr>
    </w:p>
    <w:p w:rsidR="00725C08" w:rsidRPr="00E15D2C" w:rsidRDefault="0094732A" w:rsidP="00E15D2C">
      <w:pPr>
        <w:pStyle w:val="BodyTextIndent"/>
        <w:numPr>
          <w:ilvl w:val="0"/>
          <w:numId w:val="4"/>
        </w:numPr>
        <w:spacing w:line="240" w:lineRule="auto"/>
        <w:rPr>
          <w:rFonts w:ascii="Times New Roman" w:hAnsi="Times New Roman"/>
          <w:b/>
          <w:szCs w:val="24"/>
        </w:rPr>
      </w:pPr>
      <w:r w:rsidRPr="00E15D2C">
        <w:rPr>
          <w:rFonts w:ascii="Times New Roman" w:hAnsi="Times New Roman"/>
        </w:rPr>
        <w:t xml:space="preserve">No </w:t>
      </w:r>
      <w:r w:rsidRPr="00E15D2C">
        <w:rPr>
          <w:rFonts w:ascii="Times New Roman" w:hAnsi="Times New Roman"/>
          <w:szCs w:val="24"/>
        </w:rPr>
        <w:t xml:space="preserve">specific assurance of confidentiality is provided to respondents.  </w:t>
      </w:r>
      <w:r w:rsidR="00474F26" w:rsidRPr="00E15D2C">
        <w:rPr>
          <w:rFonts w:ascii="Times New Roman" w:hAnsi="Times New Roman"/>
          <w:szCs w:val="24"/>
        </w:rPr>
        <w:t xml:space="preserve">Per the Privacy Office, </w:t>
      </w:r>
      <w:r w:rsidRPr="00E15D2C">
        <w:rPr>
          <w:rFonts w:ascii="Times New Roman" w:hAnsi="Times New Roman"/>
          <w:szCs w:val="24"/>
        </w:rPr>
        <w:t>Privacy Act statement</w:t>
      </w:r>
      <w:r w:rsidR="007E47A3" w:rsidRPr="00E15D2C">
        <w:rPr>
          <w:rFonts w:ascii="Times New Roman" w:hAnsi="Times New Roman"/>
          <w:szCs w:val="24"/>
        </w:rPr>
        <w:t>s</w:t>
      </w:r>
      <w:r w:rsidR="00474F26" w:rsidRPr="00E15D2C">
        <w:rPr>
          <w:rFonts w:ascii="Times New Roman" w:hAnsi="Times New Roman"/>
          <w:szCs w:val="24"/>
        </w:rPr>
        <w:t xml:space="preserve"> </w:t>
      </w:r>
      <w:r w:rsidR="007E47A3" w:rsidRPr="00E15D2C">
        <w:rPr>
          <w:rFonts w:ascii="Times New Roman" w:hAnsi="Times New Roman"/>
          <w:szCs w:val="24"/>
        </w:rPr>
        <w:t>are not required on these forms.  Since the information collected by both the DS-4155 and DS-7675 forms is retrievable by a company name and/or a mission country name, they are not covered by the Privacy Act Law.  Although, t</w:t>
      </w:r>
      <w:r w:rsidR="00464266" w:rsidRPr="00E15D2C">
        <w:rPr>
          <w:rFonts w:ascii="Times New Roman" w:hAnsi="Times New Roman"/>
          <w:szCs w:val="24"/>
        </w:rPr>
        <w:t xml:space="preserve">he Department’s </w:t>
      </w:r>
      <w:r w:rsidRPr="00E15D2C">
        <w:rPr>
          <w:rFonts w:ascii="Times New Roman" w:hAnsi="Times New Roman"/>
        </w:rPr>
        <w:t xml:space="preserve">policy is </w:t>
      </w:r>
      <w:r w:rsidR="00474F26" w:rsidRPr="00E15D2C">
        <w:rPr>
          <w:rFonts w:ascii="Times New Roman" w:hAnsi="Times New Roman"/>
        </w:rPr>
        <w:t>-</w:t>
      </w:r>
      <w:r w:rsidRPr="00E15D2C">
        <w:rPr>
          <w:rFonts w:ascii="Times New Roman" w:hAnsi="Times New Roman"/>
        </w:rPr>
        <w:t xml:space="preserve"> information </w:t>
      </w:r>
      <w:r w:rsidR="00464266" w:rsidRPr="00E15D2C">
        <w:rPr>
          <w:rFonts w:ascii="Times New Roman" w:hAnsi="Times New Roman"/>
        </w:rPr>
        <w:t xml:space="preserve">obtained from these collections </w:t>
      </w:r>
      <w:r w:rsidRPr="00E15D2C">
        <w:rPr>
          <w:rFonts w:ascii="Times New Roman" w:hAnsi="Times New Roman"/>
        </w:rPr>
        <w:t>is disclosed on a need-to-know basis</w:t>
      </w:r>
      <w:r w:rsidR="00464266" w:rsidRPr="00E15D2C">
        <w:rPr>
          <w:rFonts w:ascii="Times New Roman" w:hAnsi="Times New Roman"/>
        </w:rPr>
        <w:t xml:space="preserve"> only</w:t>
      </w:r>
      <w:r w:rsidRPr="00E15D2C">
        <w:rPr>
          <w:rFonts w:ascii="Times New Roman" w:hAnsi="Times New Roman"/>
        </w:rPr>
        <w:t xml:space="preserve">, e.g., law enforcement.  </w:t>
      </w:r>
      <w:r w:rsidR="00A908BC" w:rsidRPr="00E15D2C">
        <w:rPr>
          <w:rFonts w:ascii="Times New Roman" w:hAnsi="Times New Roman"/>
        </w:rPr>
        <w:t xml:space="preserve">If a respondent </w:t>
      </w:r>
      <w:r w:rsidR="00F53819" w:rsidRPr="00E15D2C">
        <w:rPr>
          <w:rFonts w:ascii="Times New Roman" w:hAnsi="Times New Roman"/>
        </w:rPr>
        <w:t xml:space="preserve">would further </w:t>
      </w:r>
      <w:r w:rsidR="00A908BC" w:rsidRPr="00E15D2C">
        <w:rPr>
          <w:rFonts w:ascii="Times New Roman" w:hAnsi="Times New Roman"/>
        </w:rPr>
        <w:t>inquir</w:t>
      </w:r>
      <w:r w:rsidRPr="00E15D2C">
        <w:rPr>
          <w:rFonts w:ascii="Times New Roman" w:hAnsi="Times New Roman"/>
        </w:rPr>
        <w:t xml:space="preserve">e, </w:t>
      </w:r>
      <w:r w:rsidR="00137F1B" w:rsidRPr="00E15D2C">
        <w:rPr>
          <w:rFonts w:ascii="Times New Roman" w:hAnsi="Times New Roman"/>
          <w:szCs w:val="24"/>
        </w:rPr>
        <w:t>oral</w:t>
      </w:r>
      <w:r w:rsidRPr="00E15D2C">
        <w:rPr>
          <w:rFonts w:ascii="Times New Roman" w:hAnsi="Times New Roman"/>
          <w:szCs w:val="24"/>
        </w:rPr>
        <w:t xml:space="preserve"> assurance </w:t>
      </w:r>
      <w:r w:rsidR="00F53819" w:rsidRPr="00E15D2C">
        <w:rPr>
          <w:rFonts w:ascii="Times New Roman" w:hAnsi="Times New Roman"/>
          <w:szCs w:val="24"/>
        </w:rPr>
        <w:t xml:space="preserve">would be </w:t>
      </w:r>
      <w:r w:rsidRPr="00E15D2C">
        <w:rPr>
          <w:rFonts w:ascii="Times New Roman" w:hAnsi="Times New Roman"/>
          <w:szCs w:val="24"/>
        </w:rPr>
        <w:t xml:space="preserve">provided </w:t>
      </w:r>
      <w:r w:rsidR="00114FF4" w:rsidRPr="00E15D2C">
        <w:rPr>
          <w:rFonts w:ascii="Times New Roman" w:hAnsi="Times New Roman"/>
          <w:szCs w:val="24"/>
        </w:rPr>
        <w:t xml:space="preserve">noting </w:t>
      </w:r>
      <w:r w:rsidRPr="00E15D2C">
        <w:rPr>
          <w:rFonts w:ascii="Times New Roman" w:hAnsi="Times New Roman"/>
          <w:szCs w:val="24"/>
        </w:rPr>
        <w:t xml:space="preserve">that information is stored in accordance with safeguards </w:t>
      </w:r>
      <w:r w:rsidR="00A908BC" w:rsidRPr="00E15D2C">
        <w:rPr>
          <w:rFonts w:ascii="Times New Roman" w:hAnsi="Times New Roman"/>
          <w:szCs w:val="24"/>
        </w:rPr>
        <w:t xml:space="preserve">established </w:t>
      </w:r>
      <w:r w:rsidRPr="00E15D2C">
        <w:rPr>
          <w:rFonts w:ascii="Times New Roman" w:hAnsi="Times New Roman"/>
          <w:szCs w:val="24"/>
        </w:rPr>
        <w:t xml:space="preserve">for Sensitive </w:t>
      </w:r>
      <w:proofErr w:type="gramStart"/>
      <w:r w:rsidRPr="00E15D2C">
        <w:rPr>
          <w:rFonts w:ascii="Times New Roman" w:hAnsi="Times New Roman"/>
          <w:szCs w:val="24"/>
        </w:rPr>
        <w:t>But</w:t>
      </w:r>
      <w:proofErr w:type="gramEnd"/>
      <w:r w:rsidRPr="00E15D2C">
        <w:rPr>
          <w:rFonts w:ascii="Times New Roman" w:hAnsi="Times New Roman"/>
          <w:szCs w:val="24"/>
        </w:rPr>
        <w:t xml:space="preserve"> Unclassified documents, and will be withheld from disclosure to the maximum extent permissible under the Freedom of Information </w:t>
      </w:r>
      <w:r w:rsidR="00137F1B" w:rsidRPr="00E15D2C">
        <w:rPr>
          <w:rFonts w:ascii="Times New Roman" w:hAnsi="Times New Roman"/>
          <w:szCs w:val="24"/>
        </w:rPr>
        <w:t>and</w:t>
      </w:r>
      <w:r w:rsidRPr="00E15D2C">
        <w:rPr>
          <w:rFonts w:ascii="Times New Roman" w:hAnsi="Times New Roman"/>
          <w:szCs w:val="24"/>
        </w:rPr>
        <w:t xml:space="preserve"> Privacy Act</w:t>
      </w:r>
      <w:r w:rsidR="00137F1B" w:rsidRPr="00E15D2C">
        <w:rPr>
          <w:rFonts w:ascii="Times New Roman" w:hAnsi="Times New Roman"/>
          <w:szCs w:val="24"/>
        </w:rPr>
        <w:t>s</w:t>
      </w:r>
      <w:r w:rsidRPr="00E15D2C">
        <w:rPr>
          <w:rFonts w:ascii="Times New Roman" w:hAnsi="Times New Roman"/>
          <w:szCs w:val="24"/>
        </w:rPr>
        <w:t>.</w:t>
      </w:r>
      <w:r w:rsidR="00725C08" w:rsidRPr="00E15D2C">
        <w:rPr>
          <w:rFonts w:ascii="Times New Roman" w:hAnsi="Times New Roman"/>
          <w:szCs w:val="24"/>
        </w:rPr>
        <w:t xml:space="preserve">  </w:t>
      </w:r>
    </w:p>
    <w:p w:rsidR="00725C08" w:rsidRDefault="00725C08" w:rsidP="00725C08">
      <w:pPr>
        <w:pStyle w:val="BodyTextIndent"/>
        <w:spacing w:line="240" w:lineRule="auto"/>
        <w:ind w:left="0" w:firstLine="0"/>
        <w:rPr>
          <w:rFonts w:ascii="Times New Roman" w:hAnsi="Times New Roman"/>
          <w:szCs w:val="24"/>
        </w:rPr>
      </w:pPr>
    </w:p>
    <w:p w:rsidR="00380BE8" w:rsidRPr="00E15D2C" w:rsidRDefault="0094732A" w:rsidP="00E15D2C">
      <w:pPr>
        <w:pStyle w:val="BodyTextIndent"/>
        <w:numPr>
          <w:ilvl w:val="0"/>
          <w:numId w:val="4"/>
        </w:numPr>
        <w:spacing w:line="240" w:lineRule="auto"/>
        <w:rPr>
          <w:rFonts w:ascii="Times New Roman" w:hAnsi="Times New Roman"/>
          <w:b/>
          <w:szCs w:val="24"/>
        </w:rPr>
      </w:pPr>
      <w:r w:rsidRPr="00E15D2C">
        <w:rPr>
          <w:rFonts w:ascii="Times New Roman" w:hAnsi="Times New Roman"/>
        </w:rPr>
        <w:t xml:space="preserve">The information collections contain no questions of a sensitive nature on any of the forms. </w:t>
      </w:r>
    </w:p>
    <w:p w:rsidR="00380BE8" w:rsidRPr="00380BE8" w:rsidRDefault="00380BE8" w:rsidP="00B1411F">
      <w:pPr>
        <w:pStyle w:val="BodyTextIndent"/>
        <w:numPr>
          <w:ilvl w:val="3"/>
          <w:numId w:val="4"/>
        </w:numPr>
        <w:spacing w:line="240" w:lineRule="auto"/>
        <w:rPr>
          <w:rFonts w:ascii="Times New Roman" w:hAnsi="Times New Roman"/>
          <w:szCs w:val="24"/>
        </w:rPr>
      </w:pPr>
    </w:p>
    <w:p w:rsidR="00877CFB" w:rsidRPr="007B4728" w:rsidRDefault="007B4728" w:rsidP="00E15D2C">
      <w:pPr>
        <w:pStyle w:val="BodyTextIndent"/>
        <w:numPr>
          <w:ilvl w:val="0"/>
          <w:numId w:val="4"/>
        </w:numPr>
        <w:spacing w:line="240" w:lineRule="auto"/>
        <w:ind w:left="864" w:hanging="864"/>
        <w:rPr>
          <w:rFonts w:ascii="Times New Roman" w:hAnsi="Times New Roman"/>
          <w:b/>
          <w:szCs w:val="24"/>
        </w:rPr>
      </w:pPr>
      <w:r>
        <w:rPr>
          <w:rFonts w:ascii="Times New Roman" w:hAnsi="Times New Roman"/>
          <w:color w:val="000000"/>
          <w:szCs w:val="24"/>
        </w:rPr>
        <w:t>E</w:t>
      </w:r>
      <w:r w:rsidR="00877CFB" w:rsidRPr="007B4728">
        <w:rPr>
          <w:rFonts w:ascii="Times New Roman" w:hAnsi="Times New Roman"/>
          <w:color w:val="000000"/>
          <w:szCs w:val="24"/>
        </w:rPr>
        <w:t xml:space="preserve">stimates of the hour burden of the </w:t>
      </w:r>
      <w:r>
        <w:rPr>
          <w:rFonts w:ascii="Times New Roman" w:hAnsi="Times New Roman"/>
          <w:color w:val="000000"/>
          <w:szCs w:val="24"/>
        </w:rPr>
        <w:t xml:space="preserve">two newest </w:t>
      </w:r>
      <w:r w:rsidR="00877CFB" w:rsidRPr="007B4728">
        <w:rPr>
          <w:rFonts w:ascii="Times New Roman" w:hAnsi="Times New Roman"/>
          <w:color w:val="000000"/>
          <w:szCs w:val="24"/>
        </w:rPr>
        <w:t>collection</w:t>
      </w:r>
      <w:r w:rsidR="0089783C">
        <w:rPr>
          <w:rFonts w:ascii="Times New Roman" w:hAnsi="Times New Roman"/>
          <w:color w:val="000000"/>
          <w:szCs w:val="24"/>
        </w:rPr>
        <w:t xml:space="preserve"> instruments</w:t>
      </w:r>
      <w:r>
        <w:rPr>
          <w:rFonts w:ascii="Times New Roman" w:hAnsi="Times New Roman"/>
          <w:color w:val="000000"/>
          <w:szCs w:val="24"/>
        </w:rPr>
        <w:t>:</w:t>
      </w:r>
    </w:p>
    <w:p w:rsidR="007B4728" w:rsidRDefault="007B4728" w:rsidP="00A9388C">
      <w:pPr>
        <w:pStyle w:val="BodyTextIndent"/>
        <w:spacing w:line="240" w:lineRule="auto"/>
        <w:ind w:left="936" w:hanging="216"/>
        <w:rPr>
          <w:rFonts w:ascii="Times New Roman" w:hAnsi="Times New Roman"/>
        </w:rPr>
      </w:pPr>
    </w:p>
    <w:p w:rsidR="00D605BC" w:rsidRPr="00E15D2C" w:rsidRDefault="00EF4E14" w:rsidP="00A9388C">
      <w:pPr>
        <w:pStyle w:val="BodyTextIndent"/>
        <w:spacing w:line="240" w:lineRule="auto"/>
        <w:ind w:left="936" w:hanging="216"/>
        <w:rPr>
          <w:rFonts w:ascii="Times New Roman" w:hAnsi="Times New Roman"/>
          <w:b/>
          <w:szCs w:val="24"/>
        </w:rPr>
      </w:pPr>
      <w:r w:rsidRPr="00E15D2C">
        <w:rPr>
          <w:rFonts w:ascii="Times New Roman" w:hAnsi="Times New Roman"/>
        </w:rPr>
        <w:t xml:space="preserve">a. For </w:t>
      </w:r>
      <w:r w:rsidR="00D26404" w:rsidRPr="00E15D2C">
        <w:rPr>
          <w:rFonts w:ascii="Times New Roman" w:hAnsi="Times New Roman"/>
        </w:rPr>
        <w:t>DS-4155</w:t>
      </w:r>
      <w:r w:rsidRPr="00E15D2C">
        <w:rPr>
          <w:rFonts w:ascii="Times New Roman" w:hAnsi="Times New Roman"/>
        </w:rPr>
        <w:t>, th</w:t>
      </w:r>
      <w:r w:rsidR="0094732A" w:rsidRPr="00E15D2C">
        <w:rPr>
          <w:rFonts w:ascii="Times New Roman" w:hAnsi="Times New Roman"/>
        </w:rPr>
        <w:t xml:space="preserve">ere are </w:t>
      </w:r>
      <w:r w:rsidRPr="00E15D2C">
        <w:rPr>
          <w:rFonts w:ascii="Times New Roman" w:hAnsi="Times New Roman"/>
        </w:rPr>
        <w:t xml:space="preserve">approximately </w:t>
      </w:r>
      <w:r w:rsidR="00A52DD8" w:rsidRPr="00E15D2C">
        <w:rPr>
          <w:rFonts w:ascii="Times New Roman" w:hAnsi="Times New Roman"/>
        </w:rPr>
        <w:t>1005</w:t>
      </w:r>
      <w:r w:rsidR="0094732A" w:rsidRPr="00E15D2C">
        <w:rPr>
          <w:rFonts w:ascii="Times New Roman" w:hAnsi="Times New Roman"/>
        </w:rPr>
        <w:t xml:space="preserve"> </w:t>
      </w:r>
      <w:r w:rsidR="008206E1" w:rsidRPr="00E15D2C">
        <w:rPr>
          <w:rFonts w:ascii="Times New Roman" w:hAnsi="Times New Roman"/>
        </w:rPr>
        <w:t xml:space="preserve">foreign </w:t>
      </w:r>
      <w:r w:rsidR="0094732A" w:rsidRPr="00E15D2C">
        <w:rPr>
          <w:rFonts w:ascii="Times New Roman" w:hAnsi="Times New Roman"/>
        </w:rPr>
        <w:t>mission respondents</w:t>
      </w:r>
      <w:r w:rsidR="00A52DD8" w:rsidRPr="00E15D2C">
        <w:rPr>
          <w:rFonts w:ascii="Times New Roman" w:hAnsi="Times New Roman"/>
        </w:rPr>
        <w:t xml:space="preserve"> (embassies</w:t>
      </w:r>
      <w:r w:rsidR="00D26404" w:rsidRPr="00E15D2C">
        <w:rPr>
          <w:rFonts w:ascii="Times New Roman" w:hAnsi="Times New Roman"/>
        </w:rPr>
        <w:t xml:space="preserve"> (1</w:t>
      </w:r>
      <w:r w:rsidR="00A52DD8" w:rsidRPr="00E15D2C">
        <w:rPr>
          <w:rFonts w:ascii="Times New Roman" w:hAnsi="Times New Roman"/>
        </w:rPr>
        <w:t>92</w:t>
      </w:r>
      <w:r w:rsidR="00D26404" w:rsidRPr="00E15D2C">
        <w:rPr>
          <w:rFonts w:ascii="Times New Roman" w:hAnsi="Times New Roman"/>
        </w:rPr>
        <w:t>)</w:t>
      </w:r>
      <w:r w:rsidR="00A52DD8" w:rsidRPr="00E15D2C">
        <w:rPr>
          <w:rFonts w:ascii="Times New Roman" w:hAnsi="Times New Roman"/>
        </w:rPr>
        <w:t xml:space="preserve">, consulates </w:t>
      </w:r>
      <w:r w:rsidR="00D26404" w:rsidRPr="00E15D2C">
        <w:rPr>
          <w:rFonts w:ascii="Times New Roman" w:hAnsi="Times New Roman"/>
        </w:rPr>
        <w:t>(</w:t>
      </w:r>
      <w:r w:rsidR="00A52DD8" w:rsidRPr="00E15D2C">
        <w:rPr>
          <w:rFonts w:ascii="Times New Roman" w:hAnsi="Times New Roman"/>
        </w:rPr>
        <w:t>545</w:t>
      </w:r>
      <w:r w:rsidR="00D26404" w:rsidRPr="00E15D2C">
        <w:rPr>
          <w:rFonts w:ascii="Times New Roman" w:hAnsi="Times New Roman"/>
        </w:rPr>
        <w:t>)</w:t>
      </w:r>
      <w:r w:rsidR="00A52DD8" w:rsidRPr="00E15D2C">
        <w:rPr>
          <w:rFonts w:ascii="Times New Roman" w:hAnsi="Times New Roman"/>
        </w:rPr>
        <w:t xml:space="preserve">, International Organizations </w:t>
      </w:r>
      <w:r w:rsidR="00D26404" w:rsidRPr="00E15D2C">
        <w:rPr>
          <w:rFonts w:ascii="Times New Roman" w:hAnsi="Times New Roman"/>
        </w:rPr>
        <w:t>(</w:t>
      </w:r>
      <w:r w:rsidR="00555E70" w:rsidRPr="00E15D2C">
        <w:rPr>
          <w:rFonts w:ascii="Times New Roman" w:hAnsi="Times New Roman"/>
        </w:rPr>
        <w:t>268</w:t>
      </w:r>
      <w:r w:rsidR="0094732A" w:rsidRPr="00E15D2C">
        <w:rPr>
          <w:rFonts w:ascii="Times New Roman" w:hAnsi="Times New Roman"/>
        </w:rPr>
        <w:t>)</w:t>
      </w:r>
      <w:r w:rsidR="00D26404" w:rsidRPr="00E15D2C">
        <w:rPr>
          <w:rFonts w:ascii="Times New Roman" w:hAnsi="Times New Roman"/>
        </w:rPr>
        <w:t>)</w:t>
      </w:r>
      <w:r w:rsidR="0094732A" w:rsidRPr="00E15D2C">
        <w:rPr>
          <w:rFonts w:ascii="Times New Roman" w:hAnsi="Times New Roman"/>
        </w:rPr>
        <w:t xml:space="preserve"> with which the United States maintains bilateral and multilateral diplomatic relations.  </w:t>
      </w:r>
      <w:r w:rsidR="0094732A" w:rsidRPr="00E15D2C">
        <w:rPr>
          <w:rFonts w:ascii="Times New Roman" w:hAnsi="Times New Roman"/>
          <w:szCs w:val="24"/>
        </w:rPr>
        <w:t xml:space="preserve">The frequency of response is occasional.  </w:t>
      </w:r>
      <w:r w:rsidR="0094732A" w:rsidRPr="00E15D2C">
        <w:rPr>
          <w:rFonts w:ascii="Times New Roman" w:hAnsi="Times New Roman"/>
        </w:rPr>
        <w:t>The reporting burden varies accor</w:t>
      </w:r>
      <w:r w:rsidR="00D0074D" w:rsidRPr="00E15D2C">
        <w:rPr>
          <w:rFonts w:ascii="Times New Roman" w:hAnsi="Times New Roman"/>
        </w:rPr>
        <w:t>ding to the size of the mission,</w:t>
      </w:r>
      <w:r w:rsidR="0094732A" w:rsidRPr="00E15D2C">
        <w:rPr>
          <w:rFonts w:ascii="Times New Roman" w:hAnsi="Times New Roman"/>
        </w:rPr>
        <w:t xml:space="preserve"> </w:t>
      </w:r>
      <w:r w:rsidR="00D0074D" w:rsidRPr="00E15D2C">
        <w:rPr>
          <w:rFonts w:ascii="Times New Roman" w:hAnsi="Times New Roman"/>
        </w:rPr>
        <w:t xml:space="preserve">whether new missions open or old ones close, </w:t>
      </w:r>
      <w:r w:rsidR="0094732A" w:rsidRPr="00E15D2C">
        <w:rPr>
          <w:rFonts w:ascii="Times New Roman" w:hAnsi="Times New Roman"/>
        </w:rPr>
        <w:t xml:space="preserve">the frequency of rotation of </w:t>
      </w:r>
      <w:r w:rsidR="009C2845" w:rsidRPr="00E15D2C">
        <w:rPr>
          <w:rFonts w:ascii="Times New Roman" w:hAnsi="Times New Roman"/>
        </w:rPr>
        <w:t xml:space="preserve">their </w:t>
      </w:r>
      <w:r w:rsidR="0094732A" w:rsidRPr="00E15D2C">
        <w:rPr>
          <w:rFonts w:ascii="Times New Roman" w:hAnsi="Times New Roman"/>
        </w:rPr>
        <w:t>mission personnel</w:t>
      </w:r>
      <w:r w:rsidR="00555E70" w:rsidRPr="00E15D2C">
        <w:rPr>
          <w:rFonts w:ascii="Times New Roman" w:hAnsi="Times New Roman"/>
        </w:rPr>
        <w:t>, and the number of vendors a foreign mission authorizes vendor access on its behalf</w:t>
      </w:r>
      <w:r w:rsidR="0094732A" w:rsidRPr="00E15D2C">
        <w:rPr>
          <w:rFonts w:ascii="Times New Roman" w:hAnsi="Times New Roman"/>
        </w:rPr>
        <w:t xml:space="preserve">.  </w:t>
      </w:r>
      <w:r w:rsidR="003F5269" w:rsidRPr="00E15D2C">
        <w:rPr>
          <w:rFonts w:ascii="Times New Roman" w:hAnsi="Times New Roman"/>
        </w:rPr>
        <w:t xml:space="preserve">There are three major bonded warehouse vendors.  </w:t>
      </w:r>
      <w:r w:rsidR="00DE2688" w:rsidRPr="00E15D2C">
        <w:rPr>
          <w:rFonts w:ascii="Times New Roman" w:hAnsi="Times New Roman"/>
        </w:rPr>
        <w:t xml:space="preserve">Also, burden may increase or decrease slightly from year to year because </w:t>
      </w:r>
      <w:r w:rsidR="00253977" w:rsidRPr="00E15D2C">
        <w:rPr>
          <w:rFonts w:ascii="Times New Roman" w:hAnsi="Times New Roman"/>
        </w:rPr>
        <w:t>of reciprocity provisions</w:t>
      </w:r>
      <w:r w:rsidR="00DE2688" w:rsidRPr="00E15D2C">
        <w:rPr>
          <w:rFonts w:ascii="Times New Roman" w:hAnsi="Times New Roman"/>
        </w:rPr>
        <w:t xml:space="preserve">. </w:t>
      </w:r>
      <w:r w:rsidR="00555E70" w:rsidRPr="00E15D2C">
        <w:rPr>
          <w:rFonts w:ascii="Times New Roman" w:hAnsi="Times New Roman"/>
        </w:rPr>
        <w:t xml:space="preserve"> </w:t>
      </w:r>
      <w:r w:rsidR="0094732A" w:rsidRPr="00E15D2C">
        <w:rPr>
          <w:rFonts w:ascii="Times New Roman" w:hAnsi="Times New Roman"/>
        </w:rPr>
        <w:t xml:space="preserve">The reporting burden does not vary because of </w:t>
      </w:r>
      <w:r w:rsidR="0094732A" w:rsidRPr="00E15D2C">
        <w:rPr>
          <w:rFonts w:ascii="Times New Roman" w:hAnsi="Times New Roman"/>
          <w:szCs w:val="24"/>
        </w:rPr>
        <w:t>activity or</w:t>
      </w:r>
      <w:r w:rsidR="0094732A" w:rsidRPr="00E15D2C">
        <w:rPr>
          <w:rFonts w:ascii="Times New Roman" w:hAnsi="Times New Roman"/>
        </w:rPr>
        <w:t xml:space="preserve"> complexity of the mission.  If a mission size increases, so will the burden.</w:t>
      </w:r>
      <w:r w:rsidR="0002592D" w:rsidRPr="00E15D2C">
        <w:rPr>
          <w:rFonts w:ascii="Times New Roman" w:hAnsi="Times New Roman"/>
        </w:rPr>
        <w:t xml:space="preserve">  </w:t>
      </w:r>
    </w:p>
    <w:p w:rsidR="00D605BC" w:rsidRPr="00D605BC" w:rsidRDefault="00D605BC" w:rsidP="00D605BC">
      <w:pPr>
        <w:pStyle w:val="BodyTextIndent"/>
        <w:numPr>
          <w:ilvl w:val="3"/>
          <w:numId w:val="4"/>
        </w:numPr>
        <w:spacing w:line="240" w:lineRule="auto"/>
        <w:ind w:left="864" w:hanging="504"/>
        <w:rPr>
          <w:rFonts w:ascii="Times New Roman" w:hAnsi="Times New Roman"/>
          <w:szCs w:val="24"/>
        </w:rPr>
      </w:pPr>
    </w:p>
    <w:p w:rsidR="00555E70" w:rsidRPr="00D605BC" w:rsidRDefault="00D605BC" w:rsidP="00D605BC">
      <w:pPr>
        <w:pStyle w:val="BodyTextIndent"/>
        <w:numPr>
          <w:ilvl w:val="3"/>
          <w:numId w:val="4"/>
        </w:numPr>
        <w:spacing w:line="240" w:lineRule="auto"/>
        <w:ind w:left="864" w:hanging="504"/>
        <w:rPr>
          <w:rFonts w:ascii="Times New Roman" w:hAnsi="Times New Roman"/>
          <w:szCs w:val="24"/>
        </w:rPr>
      </w:pPr>
      <w:r>
        <w:rPr>
          <w:rFonts w:ascii="Times New Roman" w:hAnsi="Times New Roman"/>
        </w:rPr>
        <w:t>b. For DS-7675, t</w:t>
      </w:r>
      <w:r w:rsidR="00555E70" w:rsidRPr="00D605BC">
        <w:rPr>
          <w:rFonts w:ascii="Times New Roman" w:hAnsi="Times New Roman"/>
        </w:rPr>
        <w:t xml:space="preserve">here are </w:t>
      </w:r>
      <w:r w:rsidR="00D26404" w:rsidRPr="00D605BC">
        <w:rPr>
          <w:rFonts w:ascii="Times New Roman" w:hAnsi="Times New Roman"/>
        </w:rPr>
        <w:t>737</w:t>
      </w:r>
      <w:r w:rsidR="00555E70" w:rsidRPr="00D605BC">
        <w:rPr>
          <w:rFonts w:ascii="Times New Roman" w:hAnsi="Times New Roman"/>
        </w:rPr>
        <w:t xml:space="preserve"> </w:t>
      </w:r>
      <w:r w:rsidR="00D26404" w:rsidRPr="00D605BC">
        <w:rPr>
          <w:rFonts w:ascii="Times New Roman" w:hAnsi="Times New Roman"/>
        </w:rPr>
        <w:t xml:space="preserve">diplomatic and consular </w:t>
      </w:r>
      <w:r w:rsidR="00555E70" w:rsidRPr="00D605BC">
        <w:rPr>
          <w:rFonts w:ascii="Times New Roman" w:hAnsi="Times New Roman"/>
        </w:rPr>
        <w:t>mission respondents (embassies</w:t>
      </w:r>
      <w:r w:rsidR="00D26404" w:rsidRPr="00D605BC">
        <w:rPr>
          <w:rFonts w:ascii="Times New Roman" w:hAnsi="Times New Roman"/>
        </w:rPr>
        <w:t xml:space="preserve"> (192), consulates (545)</w:t>
      </w:r>
      <w:r w:rsidR="00555E70" w:rsidRPr="00D605BC">
        <w:rPr>
          <w:rFonts w:ascii="Times New Roman" w:hAnsi="Times New Roman"/>
        </w:rPr>
        <w:t xml:space="preserve">).  </w:t>
      </w:r>
      <w:r w:rsidR="00555E70" w:rsidRPr="00D605BC">
        <w:rPr>
          <w:rFonts w:ascii="Times New Roman" w:hAnsi="Times New Roman"/>
          <w:szCs w:val="24"/>
        </w:rPr>
        <w:t xml:space="preserve">The frequency of response is </w:t>
      </w:r>
      <w:r>
        <w:rPr>
          <w:rFonts w:ascii="Times New Roman" w:hAnsi="Times New Roman"/>
          <w:szCs w:val="24"/>
        </w:rPr>
        <w:t>annual</w:t>
      </w:r>
      <w:r w:rsidR="00555E70" w:rsidRPr="00D605BC">
        <w:rPr>
          <w:rFonts w:ascii="Times New Roman" w:hAnsi="Times New Roman"/>
          <w:szCs w:val="24"/>
        </w:rPr>
        <w:t xml:space="preserve">.  </w:t>
      </w:r>
      <w:r w:rsidR="00555E70" w:rsidRPr="00D605BC">
        <w:rPr>
          <w:rFonts w:ascii="Times New Roman" w:hAnsi="Times New Roman"/>
        </w:rPr>
        <w:t xml:space="preserve">The reporting burden varies according to the </w:t>
      </w:r>
      <w:r w:rsidR="00474F26">
        <w:rPr>
          <w:rFonts w:ascii="Times New Roman" w:hAnsi="Times New Roman"/>
        </w:rPr>
        <w:t>number</w:t>
      </w:r>
      <w:r w:rsidR="00555E70" w:rsidRPr="00D605BC">
        <w:rPr>
          <w:rFonts w:ascii="Times New Roman" w:hAnsi="Times New Roman"/>
        </w:rPr>
        <w:t xml:space="preserve"> of mission</w:t>
      </w:r>
      <w:r w:rsidR="00474F26">
        <w:rPr>
          <w:rFonts w:ascii="Times New Roman" w:hAnsi="Times New Roman"/>
        </w:rPr>
        <w:t>s</w:t>
      </w:r>
      <w:r w:rsidR="00555E70" w:rsidRPr="00D605BC">
        <w:rPr>
          <w:rFonts w:ascii="Times New Roman" w:hAnsi="Times New Roman"/>
        </w:rPr>
        <w:t xml:space="preserve">, whether new missions open or old ones close, </w:t>
      </w:r>
      <w:r>
        <w:rPr>
          <w:rFonts w:ascii="Times New Roman" w:hAnsi="Times New Roman"/>
        </w:rPr>
        <w:t xml:space="preserve">and </w:t>
      </w:r>
      <w:r w:rsidR="00555E70" w:rsidRPr="00D605BC">
        <w:rPr>
          <w:rFonts w:ascii="Times New Roman" w:hAnsi="Times New Roman"/>
        </w:rPr>
        <w:t xml:space="preserve">the frequency of rotation of their mission personnel.  The reporting burden does not vary because of </w:t>
      </w:r>
      <w:r w:rsidR="00555E70" w:rsidRPr="00D605BC">
        <w:rPr>
          <w:rFonts w:ascii="Times New Roman" w:hAnsi="Times New Roman"/>
          <w:szCs w:val="24"/>
        </w:rPr>
        <w:t>activity or</w:t>
      </w:r>
      <w:r w:rsidR="00555E70" w:rsidRPr="00D605BC">
        <w:rPr>
          <w:rFonts w:ascii="Times New Roman" w:hAnsi="Times New Roman"/>
        </w:rPr>
        <w:t xml:space="preserve"> complexity of the mission.  </w:t>
      </w:r>
    </w:p>
    <w:p w:rsidR="00555E70" w:rsidRDefault="00555E70" w:rsidP="0094732A">
      <w:pPr>
        <w:pStyle w:val="BodyTextIndent"/>
        <w:tabs>
          <w:tab w:val="clear" w:pos="720"/>
        </w:tabs>
        <w:spacing w:line="240" w:lineRule="auto"/>
        <w:ind w:left="0" w:firstLine="0"/>
        <w:rPr>
          <w:rFonts w:ascii="Times New Roman" w:hAnsi="Times New Roman"/>
        </w:rPr>
      </w:pPr>
    </w:p>
    <w:p w:rsidR="00E840E8" w:rsidRPr="008C18C0" w:rsidRDefault="0094732A" w:rsidP="00E15D2C">
      <w:pPr>
        <w:pStyle w:val="BodyTextIndent"/>
        <w:numPr>
          <w:ilvl w:val="3"/>
          <w:numId w:val="5"/>
        </w:numPr>
        <w:spacing w:line="240" w:lineRule="auto"/>
        <w:rPr>
          <w:rFonts w:ascii="Times New Roman" w:hAnsi="Times New Roman"/>
          <w:b/>
        </w:rPr>
      </w:pPr>
      <w:r w:rsidRPr="00796881">
        <w:rPr>
          <w:rFonts w:ascii="Times New Roman" w:hAnsi="Times New Roman"/>
        </w:rPr>
        <w:t xml:space="preserve">The estimated annual </w:t>
      </w:r>
      <w:r w:rsidRPr="006828B9">
        <w:rPr>
          <w:rFonts w:ascii="Times New Roman" w:hAnsi="Times New Roman"/>
        </w:rPr>
        <w:t xml:space="preserve">reporting burden, which includes the time necessary to complete </w:t>
      </w:r>
      <w:r w:rsidR="00C56615" w:rsidRPr="006828B9">
        <w:rPr>
          <w:rFonts w:ascii="Times New Roman" w:hAnsi="Times New Roman"/>
        </w:rPr>
        <w:t xml:space="preserve">Foreign Diplomatic </w:t>
      </w:r>
      <w:r w:rsidR="00E822AC" w:rsidRPr="006828B9">
        <w:rPr>
          <w:rFonts w:ascii="Times New Roman" w:hAnsi="Times New Roman"/>
        </w:rPr>
        <w:t xml:space="preserve">Services </w:t>
      </w:r>
      <w:r w:rsidR="00C56615" w:rsidRPr="006828B9">
        <w:rPr>
          <w:rFonts w:ascii="Times New Roman" w:hAnsi="Times New Roman"/>
        </w:rPr>
        <w:t>Application</w:t>
      </w:r>
      <w:r w:rsidR="00E822AC" w:rsidRPr="006828B9">
        <w:rPr>
          <w:rFonts w:ascii="Times New Roman" w:hAnsi="Times New Roman"/>
        </w:rPr>
        <w:t>s</w:t>
      </w:r>
      <w:r w:rsidRPr="006828B9">
        <w:rPr>
          <w:rFonts w:ascii="Times New Roman" w:hAnsi="Times New Roman"/>
        </w:rPr>
        <w:t xml:space="preserve">, </w:t>
      </w:r>
      <w:r w:rsidRPr="008C18C0">
        <w:rPr>
          <w:rFonts w:ascii="Times New Roman" w:hAnsi="Times New Roman"/>
          <w:szCs w:val="24"/>
        </w:rPr>
        <w:t xml:space="preserve">duplicate the completed </w:t>
      </w:r>
      <w:r w:rsidR="008206E1" w:rsidRPr="008C18C0">
        <w:rPr>
          <w:rFonts w:ascii="Times New Roman" w:hAnsi="Times New Roman"/>
          <w:szCs w:val="24"/>
        </w:rPr>
        <w:t>instrument</w:t>
      </w:r>
      <w:r w:rsidRPr="008C18C0">
        <w:rPr>
          <w:rFonts w:ascii="Times New Roman" w:hAnsi="Times New Roman"/>
        </w:rPr>
        <w:t>, and attach any supporting documents, is as follows:</w:t>
      </w:r>
    </w:p>
    <w:p w:rsidR="0094732A" w:rsidRPr="00892304" w:rsidRDefault="008C18C0" w:rsidP="00483B4C">
      <w:pPr>
        <w:pStyle w:val="BodyTextIndent"/>
        <w:numPr>
          <w:ilvl w:val="3"/>
          <w:numId w:val="5"/>
        </w:numPr>
        <w:spacing w:line="240" w:lineRule="auto"/>
        <w:jc w:val="center"/>
        <w:rPr>
          <w:sz w:val="22"/>
          <w:szCs w:val="22"/>
        </w:rPr>
      </w:pPr>
      <w:r w:rsidRPr="007B4728">
        <w:rPr>
          <w:rFonts w:ascii="Times New Roman" w:hAnsi="Times New Roman"/>
          <w:b/>
          <w:color w:val="FF0000"/>
        </w:rPr>
        <w:br/>
      </w:r>
      <w:r w:rsidR="00C56615" w:rsidRPr="007B4728">
        <w:rPr>
          <w:rFonts w:ascii="Times New Roman" w:hAnsi="Times New Roman"/>
          <w:b/>
        </w:rPr>
        <w:t xml:space="preserve">Foreign Diplomatic </w:t>
      </w:r>
      <w:r w:rsidR="00E822AC" w:rsidRPr="007B4728">
        <w:rPr>
          <w:rFonts w:ascii="Times New Roman" w:hAnsi="Times New Roman"/>
          <w:b/>
        </w:rPr>
        <w:t xml:space="preserve">Services </w:t>
      </w:r>
      <w:r w:rsidR="00C56615" w:rsidRPr="007B4728">
        <w:rPr>
          <w:rFonts w:ascii="Times New Roman" w:hAnsi="Times New Roman"/>
          <w:b/>
        </w:rPr>
        <w:t>Application</w:t>
      </w:r>
      <w:r w:rsidR="00E822AC" w:rsidRPr="007B4728">
        <w:rPr>
          <w:rFonts w:ascii="Times New Roman" w:hAnsi="Times New Roman"/>
          <w:b/>
        </w:rPr>
        <w:t>s</w:t>
      </w:r>
    </w:p>
    <w:tbl>
      <w:tblPr>
        <w:tblW w:w="9420" w:type="dxa"/>
        <w:tblInd w:w="95" w:type="dxa"/>
        <w:tblLook w:val="04A0"/>
      </w:tblPr>
      <w:tblGrid>
        <w:gridCol w:w="1470"/>
        <w:gridCol w:w="1523"/>
        <w:gridCol w:w="1160"/>
        <w:gridCol w:w="945"/>
        <w:gridCol w:w="1063"/>
        <w:gridCol w:w="708"/>
        <w:gridCol w:w="1057"/>
        <w:gridCol w:w="1494"/>
      </w:tblGrid>
      <w:tr w:rsidR="00892304" w:rsidRPr="00892304" w:rsidTr="00B01490">
        <w:trPr>
          <w:trHeight w:val="864"/>
        </w:trPr>
        <w:tc>
          <w:tcPr>
            <w:tcW w:w="1470" w:type="dxa"/>
            <w:tcBorders>
              <w:top w:val="single" w:sz="8" w:space="0" w:color="auto"/>
              <w:left w:val="single" w:sz="8" w:space="0" w:color="auto"/>
              <w:bottom w:val="single" w:sz="8" w:space="0" w:color="auto"/>
              <w:right w:val="single" w:sz="8" w:space="0" w:color="auto"/>
            </w:tcBorders>
            <w:shd w:val="clear" w:color="000000" w:fill="A5A5A5"/>
            <w:vAlign w:val="center"/>
            <w:hideMark/>
          </w:tcPr>
          <w:p w:rsidR="00892304" w:rsidRPr="00B01490" w:rsidRDefault="00892304" w:rsidP="00892304">
            <w:pPr>
              <w:jc w:val="center"/>
              <w:rPr>
                <w:b/>
                <w:bCs/>
                <w:color w:val="000000"/>
                <w:sz w:val="22"/>
                <w:szCs w:val="22"/>
              </w:rPr>
            </w:pPr>
            <w:r w:rsidRPr="00B01490">
              <w:rPr>
                <w:b/>
                <w:bCs/>
                <w:color w:val="000000"/>
                <w:sz w:val="22"/>
                <w:szCs w:val="22"/>
              </w:rPr>
              <w:t>Information Collection Form No.</w:t>
            </w:r>
          </w:p>
        </w:tc>
        <w:tc>
          <w:tcPr>
            <w:tcW w:w="1523" w:type="dxa"/>
            <w:tcBorders>
              <w:top w:val="single" w:sz="8" w:space="0" w:color="auto"/>
              <w:left w:val="nil"/>
              <w:bottom w:val="single" w:sz="8" w:space="0" w:color="auto"/>
              <w:right w:val="single" w:sz="8" w:space="0" w:color="auto"/>
            </w:tcBorders>
            <w:shd w:val="clear" w:color="000000" w:fill="A5A5A5"/>
            <w:vAlign w:val="center"/>
            <w:hideMark/>
          </w:tcPr>
          <w:p w:rsidR="00892304" w:rsidRPr="00B01490" w:rsidRDefault="00892304" w:rsidP="00892304">
            <w:pPr>
              <w:jc w:val="center"/>
              <w:rPr>
                <w:b/>
                <w:bCs/>
                <w:color w:val="000000"/>
                <w:sz w:val="22"/>
                <w:szCs w:val="22"/>
              </w:rPr>
            </w:pPr>
            <w:r w:rsidRPr="00B01490">
              <w:rPr>
                <w:b/>
                <w:bCs/>
                <w:color w:val="000000"/>
                <w:sz w:val="22"/>
                <w:szCs w:val="22"/>
              </w:rPr>
              <w:t>Respondents</w:t>
            </w:r>
          </w:p>
        </w:tc>
        <w:tc>
          <w:tcPr>
            <w:tcW w:w="3168" w:type="dxa"/>
            <w:gridSpan w:val="3"/>
            <w:tcBorders>
              <w:top w:val="single" w:sz="8" w:space="0" w:color="auto"/>
              <w:left w:val="nil"/>
              <w:bottom w:val="single" w:sz="8" w:space="0" w:color="auto"/>
              <w:right w:val="single" w:sz="8" w:space="0" w:color="000000"/>
            </w:tcBorders>
            <w:shd w:val="clear" w:color="000000" w:fill="A5A5A5"/>
            <w:vAlign w:val="center"/>
            <w:hideMark/>
          </w:tcPr>
          <w:p w:rsidR="00892304" w:rsidRPr="00B01490" w:rsidRDefault="00892304" w:rsidP="00B01490">
            <w:pPr>
              <w:jc w:val="center"/>
              <w:rPr>
                <w:b/>
                <w:bCs/>
                <w:color w:val="000000"/>
                <w:sz w:val="22"/>
                <w:szCs w:val="22"/>
              </w:rPr>
            </w:pPr>
            <w:r w:rsidRPr="00B01490">
              <w:rPr>
                <w:b/>
                <w:bCs/>
                <w:color w:val="000000"/>
                <w:sz w:val="22"/>
                <w:szCs w:val="22"/>
                <w:u w:val="single"/>
              </w:rPr>
              <w:t>Responses</w:t>
            </w:r>
            <w:r w:rsidRPr="00B01490">
              <w:rPr>
                <w:b/>
                <w:bCs/>
                <w:color w:val="000000"/>
                <w:sz w:val="22"/>
                <w:szCs w:val="22"/>
                <w:u w:val="single"/>
              </w:rPr>
              <w:br/>
            </w:r>
            <w:r w:rsidRPr="00B01490">
              <w:rPr>
                <w:b/>
                <w:bCs/>
                <w:color w:val="000000"/>
                <w:sz w:val="22"/>
                <w:szCs w:val="22"/>
                <w:u w:val="single"/>
              </w:rPr>
              <w:br/>
            </w:r>
            <w:r w:rsidRPr="00B01490">
              <w:rPr>
                <w:b/>
                <w:bCs/>
                <w:color w:val="000000"/>
                <w:sz w:val="22"/>
                <w:szCs w:val="22"/>
              </w:rPr>
              <w:t>(paper)   (automated)   (eGov)</w:t>
            </w:r>
          </w:p>
        </w:tc>
        <w:tc>
          <w:tcPr>
            <w:tcW w:w="1765" w:type="dxa"/>
            <w:gridSpan w:val="2"/>
            <w:tcBorders>
              <w:top w:val="single" w:sz="8" w:space="0" w:color="auto"/>
              <w:left w:val="nil"/>
              <w:bottom w:val="single" w:sz="8" w:space="0" w:color="auto"/>
              <w:right w:val="single" w:sz="8" w:space="0" w:color="000000"/>
            </w:tcBorders>
            <w:shd w:val="clear" w:color="000000" w:fill="A5A5A5"/>
            <w:vAlign w:val="center"/>
            <w:hideMark/>
          </w:tcPr>
          <w:p w:rsidR="00892304" w:rsidRPr="00B01490" w:rsidRDefault="00892304" w:rsidP="00892304">
            <w:pPr>
              <w:jc w:val="center"/>
              <w:rPr>
                <w:b/>
                <w:bCs/>
                <w:color w:val="000000"/>
                <w:sz w:val="22"/>
                <w:szCs w:val="22"/>
              </w:rPr>
            </w:pPr>
            <w:r w:rsidRPr="00B01490">
              <w:rPr>
                <w:b/>
                <w:bCs/>
                <w:color w:val="000000"/>
                <w:sz w:val="22"/>
                <w:szCs w:val="22"/>
              </w:rPr>
              <w:t xml:space="preserve">Estimated Hours </w:t>
            </w:r>
            <w:r w:rsidRPr="00B01490">
              <w:rPr>
                <w:b/>
                <w:bCs/>
                <w:color w:val="000000"/>
                <w:sz w:val="22"/>
                <w:szCs w:val="22"/>
              </w:rPr>
              <w:br/>
              <w:t>Per Response</w:t>
            </w:r>
          </w:p>
        </w:tc>
        <w:tc>
          <w:tcPr>
            <w:tcW w:w="1494" w:type="dxa"/>
            <w:tcBorders>
              <w:top w:val="single" w:sz="8" w:space="0" w:color="auto"/>
              <w:left w:val="nil"/>
              <w:bottom w:val="single" w:sz="8" w:space="0" w:color="auto"/>
              <w:right w:val="single" w:sz="8" w:space="0" w:color="auto"/>
            </w:tcBorders>
            <w:shd w:val="clear" w:color="000000" w:fill="A5A5A5"/>
            <w:vAlign w:val="center"/>
            <w:hideMark/>
          </w:tcPr>
          <w:p w:rsidR="00892304" w:rsidRPr="00B01490" w:rsidRDefault="00892304" w:rsidP="00892304">
            <w:pPr>
              <w:jc w:val="center"/>
              <w:rPr>
                <w:b/>
                <w:bCs/>
                <w:color w:val="000000"/>
                <w:sz w:val="22"/>
                <w:szCs w:val="22"/>
              </w:rPr>
            </w:pPr>
            <w:r w:rsidRPr="00B01490">
              <w:rPr>
                <w:b/>
                <w:bCs/>
                <w:color w:val="000000"/>
                <w:sz w:val="22"/>
                <w:szCs w:val="22"/>
              </w:rPr>
              <w:t xml:space="preserve">Total Annual </w:t>
            </w:r>
            <w:r w:rsidRPr="00B01490">
              <w:rPr>
                <w:b/>
                <w:bCs/>
                <w:color w:val="000000"/>
                <w:sz w:val="22"/>
                <w:szCs w:val="22"/>
              </w:rPr>
              <w:br/>
              <w:t>Burden Hours</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DS-98</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2,413</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15</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603</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DS-99</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2,676</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15</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669</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DS-100</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392</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1,808</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30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1,100</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DS-101</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1,135</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6,765</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30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3,950</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DS-102</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67</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4,534</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30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2,301</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DS-104</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164</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30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82</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DS-1504</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1,588</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6,350</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30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3,969</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DS-1972</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30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175</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DS-1972D</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6,782</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15</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1,696</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DS-1972T</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5,593</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15</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1,398</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DS-2003</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400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 </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11,454</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25</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4,939</w:t>
            </w:r>
          </w:p>
        </w:tc>
      </w:tr>
      <w:tr w:rsidR="00892304" w:rsidRPr="00892304" w:rsidTr="00295B95">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DS-2004</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800</w:t>
            </w:r>
          </w:p>
        </w:tc>
        <w:tc>
          <w:tcPr>
            <w:tcW w:w="945" w:type="dxa"/>
            <w:tcBorders>
              <w:top w:val="nil"/>
              <w:left w:val="nil"/>
              <w:bottom w:val="single" w:sz="8" w:space="0" w:color="auto"/>
              <w:right w:val="single" w:sz="8" w:space="0" w:color="auto"/>
            </w:tcBorders>
            <w:shd w:val="clear" w:color="auto" w:fill="auto"/>
            <w:vAlign w:val="center"/>
          </w:tcPr>
          <w:p w:rsidR="00892304" w:rsidRPr="00454E7F" w:rsidRDefault="00892304" w:rsidP="00454E7F">
            <w:pPr>
              <w:ind w:firstLineChars="200" w:firstLine="440"/>
              <w:jc w:val="right"/>
              <w:rPr>
                <w:color w:val="000000"/>
                <w:sz w:val="22"/>
                <w:szCs w:val="22"/>
              </w:rPr>
            </w:pP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25</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333</w:t>
            </w:r>
          </w:p>
        </w:tc>
      </w:tr>
      <w:tr w:rsidR="00892304" w:rsidRPr="00892304" w:rsidTr="00295B95">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 xml:space="preserve">DS-2005 </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155</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200</w:t>
            </w:r>
          </w:p>
        </w:tc>
        <w:tc>
          <w:tcPr>
            <w:tcW w:w="945" w:type="dxa"/>
            <w:tcBorders>
              <w:top w:val="nil"/>
              <w:left w:val="nil"/>
              <w:bottom w:val="single" w:sz="8" w:space="0" w:color="auto"/>
              <w:right w:val="single" w:sz="8" w:space="0" w:color="auto"/>
            </w:tcBorders>
            <w:shd w:val="clear" w:color="auto" w:fill="auto"/>
            <w:vAlign w:val="center"/>
          </w:tcPr>
          <w:p w:rsidR="00892304" w:rsidRPr="00454E7F" w:rsidRDefault="00892304" w:rsidP="00454E7F">
            <w:pPr>
              <w:ind w:firstLineChars="200" w:firstLine="440"/>
              <w:jc w:val="right"/>
              <w:rPr>
                <w:color w:val="000000"/>
                <w:sz w:val="22"/>
                <w:szCs w:val="22"/>
              </w:rPr>
            </w:pP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20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67</w:t>
            </w:r>
          </w:p>
        </w:tc>
      </w:tr>
      <w:tr w:rsidR="00892304" w:rsidRPr="00892304" w:rsidTr="00295B95">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DS-2006</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2,374</w:t>
            </w:r>
          </w:p>
        </w:tc>
        <w:tc>
          <w:tcPr>
            <w:tcW w:w="945" w:type="dxa"/>
            <w:tcBorders>
              <w:top w:val="nil"/>
              <w:left w:val="nil"/>
              <w:bottom w:val="single" w:sz="8" w:space="0" w:color="auto"/>
              <w:right w:val="single" w:sz="8" w:space="0" w:color="auto"/>
            </w:tcBorders>
            <w:shd w:val="clear" w:color="auto" w:fill="auto"/>
            <w:vAlign w:val="center"/>
          </w:tcPr>
          <w:p w:rsidR="00892304" w:rsidRPr="00454E7F" w:rsidRDefault="00892304" w:rsidP="00454E7F">
            <w:pPr>
              <w:ind w:firstLineChars="200" w:firstLine="440"/>
              <w:jc w:val="right"/>
              <w:rPr>
                <w:color w:val="000000"/>
                <w:sz w:val="22"/>
                <w:szCs w:val="22"/>
              </w:rPr>
            </w:pP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5,742</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9</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1,217</w:t>
            </w:r>
          </w:p>
        </w:tc>
      </w:tr>
      <w:tr w:rsidR="00892304" w:rsidRPr="00892304" w:rsidTr="00295B95">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DS-2007</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1,500</w:t>
            </w:r>
          </w:p>
        </w:tc>
        <w:tc>
          <w:tcPr>
            <w:tcW w:w="945" w:type="dxa"/>
            <w:tcBorders>
              <w:top w:val="nil"/>
              <w:left w:val="nil"/>
              <w:bottom w:val="single" w:sz="8" w:space="0" w:color="auto"/>
              <w:right w:val="single" w:sz="8" w:space="0" w:color="auto"/>
            </w:tcBorders>
            <w:shd w:val="clear" w:color="auto" w:fill="auto"/>
            <w:vAlign w:val="center"/>
          </w:tcPr>
          <w:p w:rsidR="00892304" w:rsidRPr="00454E7F" w:rsidRDefault="00892304" w:rsidP="00454E7F">
            <w:pPr>
              <w:ind w:firstLineChars="200" w:firstLine="440"/>
              <w:jc w:val="right"/>
              <w:rPr>
                <w:color w:val="000000"/>
                <w:sz w:val="22"/>
                <w:szCs w:val="22"/>
              </w:rPr>
            </w:pP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10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250</w:t>
            </w:r>
          </w:p>
        </w:tc>
      </w:tr>
      <w:tr w:rsidR="00892304" w:rsidRPr="00892304" w:rsidTr="00295B95">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DS-2008</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tcPr>
          <w:p w:rsidR="00892304" w:rsidRPr="00454E7F" w:rsidRDefault="00892304" w:rsidP="00454E7F">
            <w:pPr>
              <w:ind w:firstLineChars="200" w:firstLine="440"/>
              <w:jc w:val="right"/>
              <w:rPr>
                <w:color w:val="000000"/>
                <w:sz w:val="22"/>
                <w:szCs w:val="22"/>
              </w:rPr>
            </w:pP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6,685</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10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1,114</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DS-4138</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1,500</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1,500</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10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500</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DS-4139</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18,000</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10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3,000</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DS-4140</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350</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456</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10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76</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DS-4155</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1,005</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3,015</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20</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1,005</w:t>
            </w:r>
          </w:p>
        </w:tc>
      </w:tr>
      <w:tr w:rsidR="00892304" w:rsidRPr="00892304" w:rsidTr="00454E7F">
        <w:trPr>
          <w:trHeight w:val="418"/>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892304" w:rsidRPr="00454E7F" w:rsidRDefault="00892304" w:rsidP="00892304">
            <w:pPr>
              <w:rPr>
                <w:b/>
                <w:bCs/>
                <w:color w:val="000000"/>
                <w:sz w:val="22"/>
                <w:szCs w:val="22"/>
              </w:rPr>
            </w:pPr>
            <w:r w:rsidRPr="00454E7F">
              <w:rPr>
                <w:b/>
                <w:bCs/>
                <w:color w:val="000000"/>
                <w:sz w:val="22"/>
                <w:szCs w:val="22"/>
              </w:rPr>
              <w:t>DS-7675</w:t>
            </w:r>
          </w:p>
        </w:tc>
        <w:tc>
          <w:tcPr>
            <w:tcW w:w="152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737</w:t>
            </w:r>
          </w:p>
        </w:tc>
        <w:tc>
          <w:tcPr>
            <w:tcW w:w="1160"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945"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right"/>
              <w:rPr>
                <w:color w:val="000000"/>
                <w:sz w:val="22"/>
                <w:szCs w:val="22"/>
              </w:rPr>
            </w:pPr>
            <w:r w:rsidRPr="00454E7F">
              <w:rPr>
                <w:color w:val="000000"/>
                <w:sz w:val="22"/>
                <w:szCs w:val="22"/>
              </w:rPr>
              <w:t>737</w:t>
            </w:r>
          </w:p>
        </w:tc>
        <w:tc>
          <w:tcPr>
            <w:tcW w:w="1063"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0</w:t>
            </w:r>
          </w:p>
        </w:tc>
        <w:tc>
          <w:tcPr>
            <w:tcW w:w="708" w:type="dxa"/>
            <w:tcBorders>
              <w:top w:val="nil"/>
              <w:left w:val="nil"/>
              <w:bottom w:val="single" w:sz="8" w:space="0" w:color="auto"/>
              <w:right w:val="single" w:sz="4" w:space="0" w:color="auto"/>
            </w:tcBorders>
            <w:shd w:val="clear" w:color="auto" w:fill="auto"/>
            <w:vAlign w:val="center"/>
            <w:hideMark/>
          </w:tcPr>
          <w:p w:rsidR="00892304" w:rsidRPr="00454E7F" w:rsidRDefault="00892304" w:rsidP="00892304">
            <w:pPr>
              <w:jc w:val="right"/>
              <w:rPr>
                <w:i/>
                <w:iCs/>
                <w:color w:val="000000"/>
                <w:sz w:val="22"/>
                <w:szCs w:val="22"/>
              </w:rPr>
            </w:pPr>
            <w:r w:rsidRPr="00454E7F">
              <w:rPr>
                <w:i/>
                <w:iCs/>
                <w:color w:val="000000"/>
                <w:sz w:val="22"/>
                <w:szCs w:val="22"/>
              </w:rPr>
              <w:t>15</w:t>
            </w:r>
          </w:p>
        </w:tc>
        <w:tc>
          <w:tcPr>
            <w:tcW w:w="1057"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892304">
            <w:pPr>
              <w:jc w:val="center"/>
              <w:rPr>
                <w:i/>
                <w:iCs/>
                <w:color w:val="000000"/>
                <w:sz w:val="22"/>
                <w:szCs w:val="22"/>
              </w:rPr>
            </w:pPr>
            <w:r w:rsidRPr="00454E7F">
              <w:rPr>
                <w:i/>
                <w:iCs/>
                <w:color w:val="000000"/>
                <w:sz w:val="22"/>
                <w:szCs w:val="22"/>
              </w:rPr>
              <w:t xml:space="preserve">minutes </w:t>
            </w:r>
          </w:p>
        </w:tc>
        <w:tc>
          <w:tcPr>
            <w:tcW w:w="1494" w:type="dxa"/>
            <w:tcBorders>
              <w:top w:val="nil"/>
              <w:left w:val="nil"/>
              <w:bottom w:val="single" w:sz="8" w:space="0" w:color="auto"/>
              <w:right w:val="single" w:sz="8" w:space="0" w:color="auto"/>
            </w:tcBorders>
            <w:shd w:val="clear" w:color="auto" w:fill="auto"/>
            <w:vAlign w:val="center"/>
            <w:hideMark/>
          </w:tcPr>
          <w:p w:rsidR="00892304" w:rsidRPr="00454E7F" w:rsidRDefault="00892304" w:rsidP="00454E7F">
            <w:pPr>
              <w:ind w:firstLineChars="200" w:firstLine="440"/>
              <w:jc w:val="right"/>
              <w:rPr>
                <w:color w:val="000000"/>
                <w:sz w:val="22"/>
                <w:szCs w:val="22"/>
              </w:rPr>
            </w:pPr>
            <w:r w:rsidRPr="00454E7F">
              <w:rPr>
                <w:color w:val="000000"/>
                <w:sz w:val="22"/>
                <w:szCs w:val="22"/>
              </w:rPr>
              <w:t>184</w:t>
            </w:r>
          </w:p>
        </w:tc>
      </w:tr>
      <w:tr w:rsidR="00892304" w:rsidRPr="00892304" w:rsidTr="00B01490">
        <w:trPr>
          <w:trHeight w:val="576"/>
        </w:trPr>
        <w:tc>
          <w:tcPr>
            <w:tcW w:w="1470" w:type="dxa"/>
            <w:tcBorders>
              <w:top w:val="nil"/>
              <w:left w:val="single" w:sz="8" w:space="0" w:color="auto"/>
              <w:bottom w:val="single" w:sz="8" w:space="0" w:color="auto"/>
              <w:right w:val="single" w:sz="8" w:space="0" w:color="auto"/>
            </w:tcBorders>
            <w:shd w:val="clear" w:color="000000" w:fill="A5A5A5"/>
            <w:vAlign w:val="center"/>
            <w:hideMark/>
          </w:tcPr>
          <w:p w:rsidR="00892304" w:rsidRPr="00B01490" w:rsidRDefault="00892304" w:rsidP="00892304">
            <w:pPr>
              <w:rPr>
                <w:b/>
                <w:bCs/>
                <w:color w:val="000000"/>
                <w:sz w:val="22"/>
                <w:szCs w:val="22"/>
              </w:rPr>
            </w:pPr>
            <w:r w:rsidRPr="00B01490">
              <w:rPr>
                <w:b/>
                <w:bCs/>
                <w:color w:val="000000"/>
                <w:sz w:val="22"/>
                <w:szCs w:val="22"/>
              </w:rPr>
              <w:t>Total Annual Aggregate</w:t>
            </w:r>
          </w:p>
        </w:tc>
        <w:tc>
          <w:tcPr>
            <w:tcW w:w="1523" w:type="dxa"/>
            <w:tcBorders>
              <w:top w:val="nil"/>
              <w:left w:val="nil"/>
              <w:bottom w:val="single" w:sz="8" w:space="0" w:color="auto"/>
              <w:right w:val="single" w:sz="8" w:space="0" w:color="auto"/>
            </w:tcBorders>
            <w:shd w:val="clear" w:color="000000" w:fill="A5A5A5"/>
            <w:vAlign w:val="center"/>
            <w:hideMark/>
          </w:tcPr>
          <w:p w:rsidR="00892304" w:rsidRPr="00B01490" w:rsidRDefault="00892304" w:rsidP="00B01490">
            <w:pPr>
              <w:ind w:firstLineChars="200" w:firstLine="442"/>
              <w:jc w:val="right"/>
              <w:rPr>
                <w:b/>
                <w:bCs/>
                <w:color w:val="000000"/>
                <w:sz w:val="22"/>
                <w:szCs w:val="22"/>
              </w:rPr>
            </w:pPr>
            <w:r w:rsidRPr="00B01490">
              <w:rPr>
                <w:b/>
                <w:bCs/>
                <w:color w:val="000000"/>
                <w:sz w:val="22"/>
                <w:szCs w:val="22"/>
              </w:rPr>
              <w:t>8,197</w:t>
            </w:r>
          </w:p>
        </w:tc>
        <w:tc>
          <w:tcPr>
            <w:tcW w:w="1160" w:type="dxa"/>
            <w:tcBorders>
              <w:top w:val="nil"/>
              <w:left w:val="nil"/>
              <w:bottom w:val="single" w:sz="8" w:space="0" w:color="auto"/>
              <w:right w:val="single" w:sz="8" w:space="0" w:color="auto"/>
            </w:tcBorders>
            <w:shd w:val="clear" w:color="000000" w:fill="A5A5A5"/>
            <w:vAlign w:val="center"/>
            <w:hideMark/>
          </w:tcPr>
          <w:p w:rsidR="00892304" w:rsidRPr="00B01490" w:rsidRDefault="00892304" w:rsidP="00892304">
            <w:pPr>
              <w:jc w:val="right"/>
              <w:rPr>
                <w:b/>
                <w:bCs/>
                <w:color w:val="000000"/>
                <w:sz w:val="22"/>
                <w:szCs w:val="22"/>
              </w:rPr>
            </w:pPr>
            <w:r w:rsidRPr="00B01490">
              <w:rPr>
                <w:b/>
                <w:bCs/>
                <w:color w:val="000000"/>
                <w:sz w:val="22"/>
                <w:szCs w:val="22"/>
              </w:rPr>
              <w:t>8,806</w:t>
            </w:r>
          </w:p>
        </w:tc>
        <w:tc>
          <w:tcPr>
            <w:tcW w:w="945" w:type="dxa"/>
            <w:tcBorders>
              <w:top w:val="nil"/>
              <w:left w:val="nil"/>
              <w:bottom w:val="single" w:sz="8" w:space="0" w:color="auto"/>
              <w:right w:val="single" w:sz="8" w:space="0" w:color="auto"/>
            </w:tcBorders>
            <w:shd w:val="clear" w:color="000000" w:fill="A5A5A5"/>
            <w:vAlign w:val="center"/>
            <w:hideMark/>
          </w:tcPr>
          <w:p w:rsidR="00892304" w:rsidRPr="00B01490" w:rsidRDefault="00892304" w:rsidP="00892304">
            <w:pPr>
              <w:jc w:val="right"/>
              <w:rPr>
                <w:b/>
                <w:bCs/>
                <w:color w:val="000000"/>
                <w:sz w:val="22"/>
                <w:szCs w:val="22"/>
              </w:rPr>
            </w:pPr>
            <w:r w:rsidRPr="00B01490">
              <w:rPr>
                <w:b/>
                <w:bCs/>
                <w:color w:val="000000"/>
                <w:sz w:val="22"/>
                <w:szCs w:val="22"/>
              </w:rPr>
              <w:t>5,708</w:t>
            </w:r>
          </w:p>
        </w:tc>
        <w:tc>
          <w:tcPr>
            <w:tcW w:w="1063" w:type="dxa"/>
            <w:tcBorders>
              <w:top w:val="nil"/>
              <w:left w:val="nil"/>
              <w:bottom w:val="single" w:sz="8" w:space="0" w:color="auto"/>
              <w:right w:val="single" w:sz="8" w:space="0" w:color="auto"/>
            </w:tcBorders>
            <w:shd w:val="clear" w:color="000000" w:fill="A5A5A5"/>
            <w:vAlign w:val="center"/>
            <w:hideMark/>
          </w:tcPr>
          <w:p w:rsidR="00892304" w:rsidRPr="00B01490" w:rsidRDefault="00892304" w:rsidP="00892304">
            <w:pPr>
              <w:jc w:val="right"/>
              <w:rPr>
                <w:b/>
                <w:bCs/>
                <w:color w:val="000000"/>
                <w:sz w:val="22"/>
                <w:szCs w:val="22"/>
              </w:rPr>
            </w:pPr>
            <w:r w:rsidRPr="00B01490">
              <w:rPr>
                <w:b/>
                <w:bCs/>
                <w:color w:val="000000"/>
                <w:sz w:val="22"/>
                <w:szCs w:val="22"/>
              </w:rPr>
              <w:t>80,466</w:t>
            </w:r>
          </w:p>
        </w:tc>
        <w:tc>
          <w:tcPr>
            <w:tcW w:w="708" w:type="dxa"/>
            <w:tcBorders>
              <w:top w:val="nil"/>
              <w:left w:val="nil"/>
              <w:bottom w:val="single" w:sz="8" w:space="0" w:color="auto"/>
              <w:right w:val="single" w:sz="4" w:space="0" w:color="auto"/>
            </w:tcBorders>
            <w:shd w:val="clear" w:color="000000" w:fill="A5A5A5"/>
            <w:vAlign w:val="center"/>
            <w:hideMark/>
          </w:tcPr>
          <w:p w:rsidR="00892304" w:rsidRPr="00B01490" w:rsidRDefault="00892304" w:rsidP="00892304">
            <w:pPr>
              <w:jc w:val="right"/>
              <w:rPr>
                <w:b/>
                <w:bCs/>
                <w:color w:val="000000"/>
                <w:sz w:val="22"/>
                <w:szCs w:val="22"/>
              </w:rPr>
            </w:pPr>
            <w:r w:rsidRPr="00B01490">
              <w:rPr>
                <w:b/>
                <w:bCs/>
                <w:color w:val="000000"/>
                <w:sz w:val="22"/>
                <w:szCs w:val="22"/>
              </w:rPr>
              <w:t>404</w:t>
            </w:r>
          </w:p>
        </w:tc>
        <w:tc>
          <w:tcPr>
            <w:tcW w:w="1057" w:type="dxa"/>
            <w:tcBorders>
              <w:top w:val="nil"/>
              <w:left w:val="nil"/>
              <w:bottom w:val="single" w:sz="8" w:space="0" w:color="auto"/>
              <w:right w:val="single" w:sz="8" w:space="0" w:color="auto"/>
            </w:tcBorders>
            <w:shd w:val="clear" w:color="000000" w:fill="A5A5A5"/>
            <w:vAlign w:val="center"/>
            <w:hideMark/>
          </w:tcPr>
          <w:p w:rsidR="00892304" w:rsidRPr="00B01490" w:rsidRDefault="00892304" w:rsidP="00892304">
            <w:pPr>
              <w:jc w:val="center"/>
              <w:rPr>
                <w:b/>
                <w:bCs/>
                <w:color w:val="000000"/>
                <w:sz w:val="22"/>
                <w:szCs w:val="22"/>
              </w:rPr>
            </w:pPr>
            <w:r w:rsidRPr="00B01490">
              <w:rPr>
                <w:b/>
                <w:bCs/>
                <w:color w:val="000000"/>
                <w:sz w:val="22"/>
                <w:szCs w:val="22"/>
              </w:rPr>
              <w:t>minutes</w:t>
            </w:r>
          </w:p>
        </w:tc>
        <w:tc>
          <w:tcPr>
            <w:tcW w:w="1494" w:type="dxa"/>
            <w:tcBorders>
              <w:top w:val="nil"/>
              <w:left w:val="nil"/>
              <w:bottom w:val="single" w:sz="8" w:space="0" w:color="auto"/>
              <w:right w:val="single" w:sz="8" w:space="0" w:color="auto"/>
            </w:tcBorders>
            <w:shd w:val="clear" w:color="000000" w:fill="A5A5A5"/>
            <w:vAlign w:val="center"/>
            <w:hideMark/>
          </w:tcPr>
          <w:p w:rsidR="00892304" w:rsidRPr="00B01490" w:rsidRDefault="00892304" w:rsidP="00B01490">
            <w:pPr>
              <w:ind w:firstLineChars="200" w:firstLine="442"/>
              <w:jc w:val="right"/>
              <w:rPr>
                <w:b/>
                <w:bCs/>
                <w:color w:val="000000"/>
                <w:sz w:val="22"/>
                <w:szCs w:val="22"/>
              </w:rPr>
            </w:pPr>
            <w:r w:rsidRPr="00B01490">
              <w:rPr>
                <w:b/>
                <w:bCs/>
                <w:color w:val="000000"/>
                <w:sz w:val="22"/>
                <w:szCs w:val="22"/>
              </w:rPr>
              <w:t>28,628</w:t>
            </w:r>
          </w:p>
        </w:tc>
      </w:tr>
    </w:tbl>
    <w:p w:rsidR="00892304" w:rsidRDefault="00892304" w:rsidP="00892304">
      <w:pPr>
        <w:pStyle w:val="BodyTextIndent"/>
        <w:spacing w:line="240" w:lineRule="auto"/>
        <w:jc w:val="center"/>
        <w:rPr>
          <w:rFonts w:ascii="Times New Roman" w:hAnsi="Times New Roman"/>
          <w:b/>
        </w:rPr>
      </w:pPr>
    </w:p>
    <w:p w:rsidR="00E83EF0" w:rsidRPr="00391FF0" w:rsidRDefault="0094732A" w:rsidP="00391FF0">
      <w:pPr>
        <w:pStyle w:val="BodyTextIndent"/>
        <w:numPr>
          <w:ilvl w:val="0"/>
          <w:numId w:val="6"/>
        </w:numPr>
        <w:spacing w:line="240" w:lineRule="auto"/>
        <w:rPr>
          <w:rFonts w:ascii="Times New Roman" w:hAnsi="Times New Roman"/>
          <w:b/>
          <w:szCs w:val="24"/>
        </w:rPr>
      </w:pPr>
      <w:r w:rsidRPr="00391FF0">
        <w:rPr>
          <w:rFonts w:ascii="Times New Roman" w:hAnsi="Times New Roman"/>
          <w:szCs w:val="24"/>
        </w:rPr>
        <w:t>The total annual cost burden to respondents is</w:t>
      </w:r>
      <w:r w:rsidR="004216AC" w:rsidRPr="00391FF0">
        <w:rPr>
          <w:rFonts w:ascii="Times New Roman" w:hAnsi="Times New Roman"/>
          <w:szCs w:val="24"/>
        </w:rPr>
        <w:t xml:space="preserve"> expected to be insignificant under normal business operations</w:t>
      </w:r>
      <w:r w:rsidRPr="00391FF0">
        <w:rPr>
          <w:rFonts w:ascii="Times New Roman" w:hAnsi="Times New Roman"/>
          <w:szCs w:val="24"/>
        </w:rPr>
        <w:t>.  Since the provision of benefits to foreign diplomatic personnel is subject to reciprocity according to the V</w:t>
      </w:r>
      <w:r w:rsidR="001625FD" w:rsidRPr="00391FF0">
        <w:rPr>
          <w:rFonts w:ascii="Times New Roman" w:hAnsi="Times New Roman"/>
          <w:szCs w:val="24"/>
        </w:rPr>
        <w:t xml:space="preserve">CDR, the VCCR </w:t>
      </w:r>
      <w:r w:rsidRPr="00391FF0">
        <w:rPr>
          <w:rFonts w:ascii="Times New Roman" w:hAnsi="Times New Roman"/>
          <w:szCs w:val="24"/>
        </w:rPr>
        <w:t>and the F</w:t>
      </w:r>
      <w:r w:rsidR="001625FD" w:rsidRPr="00391FF0">
        <w:rPr>
          <w:rFonts w:ascii="Times New Roman" w:hAnsi="Times New Roman"/>
          <w:szCs w:val="24"/>
        </w:rPr>
        <w:t>MA</w:t>
      </w:r>
      <w:r w:rsidRPr="00391FF0">
        <w:rPr>
          <w:rFonts w:ascii="Times New Roman" w:hAnsi="Times New Roman"/>
          <w:szCs w:val="24"/>
        </w:rPr>
        <w:t xml:space="preserve">, the Department may choose to burden a foreign government with an application fee equal to that which it imposes on our </w:t>
      </w:r>
      <w:r w:rsidR="00D7138B" w:rsidRPr="00391FF0">
        <w:rPr>
          <w:rFonts w:ascii="Times New Roman" w:hAnsi="Times New Roman"/>
          <w:szCs w:val="24"/>
        </w:rPr>
        <w:t>U.S.</w:t>
      </w:r>
      <w:r w:rsidRPr="00391FF0">
        <w:rPr>
          <w:rFonts w:ascii="Times New Roman" w:hAnsi="Times New Roman"/>
          <w:szCs w:val="24"/>
        </w:rPr>
        <w:t xml:space="preserve"> diplomats seeking similar benefits.  </w:t>
      </w:r>
      <w:r w:rsidR="00606E30" w:rsidRPr="00391FF0">
        <w:rPr>
          <w:rFonts w:ascii="Times New Roman" w:hAnsi="Times New Roman"/>
          <w:szCs w:val="24"/>
        </w:rPr>
        <w:t>Currently</w:t>
      </w:r>
      <w:r w:rsidRPr="00391FF0">
        <w:rPr>
          <w:rFonts w:ascii="Times New Roman" w:hAnsi="Times New Roman"/>
          <w:szCs w:val="24"/>
        </w:rPr>
        <w:t xml:space="preserve">, no payments or fees are charged in connection with submission or approval of any </w:t>
      </w:r>
      <w:r w:rsidR="00606E30" w:rsidRPr="00391FF0">
        <w:rPr>
          <w:rFonts w:ascii="Times New Roman" w:hAnsi="Times New Roman"/>
          <w:szCs w:val="24"/>
        </w:rPr>
        <w:t xml:space="preserve">FDSA </w:t>
      </w:r>
      <w:r w:rsidRPr="00391FF0">
        <w:rPr>
          <w:rFonts w:ascii="Times New Roman" w:hAnsi="Times New Roman"/>
          <w:szCs w:val="24"/>
        </w:rPr>
        <w:t>information collection. Should this change significantly, OFM will submit an 83C to change the cost burden associated with this collection</w:t>
      </w:r>
      <w:r w:rsidRPr="00391FF0">
        <w:rPr>
          <w:rFonts w:ascii="Times New Roman" w:hAnsi="Times New Roman"/>
          <w:color w:val="000080"/>
          <w:szCs w:val="24"/>
        </w:rPr>
        <w:t xml:space="preserve">.  </w:t>
      </w:r>
    </w:p>
    <w:p w:rsidR="00E83EF0" w:rsidRPr="00E83EF0" w:rsidRDefault="00E83EF0" w:rsidP="00E83EF0">
      <w:pPr>
        <w:pStyle w:val="BodyTextIndent"/>
        <w:spacing w:line="240" w:lineRule="auto"/>
        <w:ind w:left="0" w:firstLine="0"/>
        <w:rPr>
          <w:rFonts w:ascii="Times New Roman" w:hAnsi="Times New Roman"/>
          <w:color w:val="000080"/>
          <w:szCs w:val="24"/>
        </w:rPr>
      </w:pPr>
    </w:p>
    <w:p w:rsidR="00D047F3" w:rsidRPr="00D047F3" w:rsidRDefault="00C33E27" w:rsidP="00B1411F">
      <w:pPr>
        <w:pStyle w:val="BodyTextIndent"/>
        <w:numPr>
          <w:ilvl w:val="3"/>
          <w:numId w:val="6"/>
        </w:numPr>
        <w:spacing w:line="240" w:lineRule="auto"/>
        <w:rPr>
          <w:rFonts w:ascii="Times New Roman" w:hAnsi="Times New Roman"/>
          <w:szCs w:val="24"/>
        </w:rPr>
      </w:pPr>
      <w:r w:rsidRPr="006828B9">
        <w:rPr>
          <w:rFonts w:ascii="Times New Roman" w:hAnsi="Times New Roman"/>
        </w:rPr>
        <w:t>W</w:t>
      </w:r>
      <w:r w:rsidR="0094732A" w:rsidRPr="006828B9">
        <w:rPr>
          <w:rFonts w:ascii="Times New Roman" w:hAnsi="Times New Roman"/>
          <w:szCs w:val="24"/>
        </w:rPr>
        <w:t>ith e</w:t>
      </w:r>
      <w:r w:rsidR="004216AC">
        <w:rPr>
          <w:rFonts w:ascii="Times New Roman" w:hAnsi="Times New Roman"/>
          <w:szCs w:val="24"/>
        </w:rPr>
        <w:t>lectronic</w:t>
      </w:r>
      <w:r w:rsidR="0094732A" w:rsidRPr="006828B9">
        <w:rPr>
          <w:rFonts w:ascii="Times New Roman" w:hAnsi="Times New Roman"/>
          <w:szCs w:val="24"/>
        </w:rPr>
        <w:t xml:space="preserve"> submissions the mission does assume the cost of ink and paper when it is necessary to print the application to send to the Department.  </w:t>
      </w:r>
      <w:r w:rsidR="0094732A" w:rsidRPr="006828B9">
        <w:rPr>
          <w:rFonts w:ascii="Times New Roman" w:hAnsi="Times New Roman"/>
        </w:rPr>
        <w:t xml:space="preserve">Any other costs for operation, maintenance, and purchase of services and capital or </w:t>
      </w:r>
      <w:r w:rsidR="0089783C" w:rsidRPr="006828B9">
        <w:rPr>
          <w:rFonts w:ascii="Times New Roman" w:hAnsi="Times New Roman"/>
        </w:rPr>
        <w:t>startup</w:t>
      </w:r>
      <w:r w:rsidR="0094732A" w:rsidRPr="006828B9">
        <w:rPr>
          <w:rFonts w:ascii="Times New Roman" w:hAnsi="Times New Roman"/>
        </w:rPr>
        <w:t xml:space="preserve"> costs are </w:t>
      </w:r>
      <w:r w:rsidR="00EB36FA">
        <w:rPr>
          <w:rFonts w:ascii="Times New Roman" w:hAnsi="Times New Roman"/>
        </w:rPr>
        <w:t>nominal</w:t>
      </w:r>
      <w:r w:rsidR="0094732A" w:rsidRPr="007755CF">
        <w:rPr>
          <w:rFonts w:ascii="Times New Roman" w:hAnsi="Times New Roman"/>
        </w:rPr>
        <w:t>.  In any event, such costs would be excluded inasmuch as the</w:t>
      </w:r>
      <w:r w:rsidR="0094732A" w:rsidRPr="008F7E45">
        <w:rPr>
          <w:rFonts w:ascii="Times New Roman" w:hAnsi="Times New Roman"/>
        </w:rPr>
        <w:t xml:space="preserve"> collection, maintenance, and reporting of information regarding foreign mission personnel and their dependents is a usual and customary function foreign missions undertake under the Vienna Conventions on Diplomatic and Consular Relations and as a matter of customary international law.</w:t>
      </w:r>
      <w:r w:rsidR="0094732A">
        <w:rPr>
          <w:rFonts w:ascii="Times New Roman" w:hAnsi="Times New Roman"/>
        </w:rPr>
        <w:t xml:space="preserve">  </w:t>
      </w:r>
    </w:p>
    <w:p w:rsidR="00D047F3" w:rsidRPr="00D047F3" w:rsidRDefault="00D047F3" w:rsidP="00B1411F">
      <w:pPr>
        <w:pStyle w:val="BodyTextIndent"/>
        <w:numPr>
          <w:ilvl w:val="3"/>
          <w:numId w:val="6"/>
        </w:numPr>
        <w:spacing w:line="240" w:lineRule="auto"/>
        <w:rPr>
          <w:rFonts w:ascii="Times New Roman" w:hAnsi="Times New Roman"/>
          <w:szCs w:val="24"/>
        </w:rPr>
      </w:pPr>
    </w:p>
    <w:p w:rsidR="000A44D3" w:rsidRPr="006828B9" w:rsidRDefault="0094732A" w:rsidP="00B1411F">
      <w:pPr>
        <w:pStyle w:val="BodyTextIndent"/>
        <w:numPr>
          <w:ilvl w:val="3"/>
          <w:numId w:val="6"/>
        </w:numPr>
        <w:spacing w:line="240" w:lineRule="auto"/>
        <w:rPr>
          <w:rFonts w:ascii="Times New Roman" w:hAnsi="Times New Roman"/>
          <w:i/>
          <w:szCs w:val="24"/>
          <w:u w:val="single"/>
        </w:rPr>
      </w:pPr>
      <w:r w:rsidRPr="006828B9">
        <w:rPr>
          <w:rFonts w:ascii="Times New Roman" w:hAnsi="Times New Roman"/>
        </w:rPr>
        <w:t xml:space="preserve">The </w:t>
      </w:r>
      <w:r w:rsidR="009A1E3A">
        <w:rPr>
          <w:rFonts w:ascii="Times New Roman" w:hAnsi="Times New Roman"/>
        </w:rPr>
        <w:t>response</w:t>
      </w:r>
      <w:r w:rsidRPr="006828B9">
        <w:rPr>
          <w:rFonts w:ascii="Times New Roman" w:hAnsi="Times New Roman"/>
        </w:rPr>
        <w:t xml:space="preserve"> burden would be the same or greater, and the cost burden certainly greater</w:t>
      </w:r>
      <w:r w:rsidRPr="006828B9">
        <w:rPr>
          <w:rFonts w:ascii="Times New Roman" w:hAnsi="Times New Roman"/>
          <w:szCs w:val="24"/>
        </w:rPr>
        <w:t xml:space="preserve"> on respondents, if the information collections were not done by the Federal Government; respondents would have to </w:t>
      </w:r>
      <w:r w:rsidR="000149C8">
        <w:rPr>
          <w:rFonts w:ascii="Times New Roman" w:hAnsi="Times New Roman"/>
        </w:rPr>
        <w:t xml:space="preserve">obtain </w:t>
      </w:r>
      <w:r w:rsidR="009065BF">
        <w:rPr>
          <w:rFonts w:ascii="Times New Roman" w:hAnsi="Times New Roman"/>
        </w:rPr>
        <w:t xml:space="preserve">bonded warehouse purchases </w:t>
      </w:r>
      <w:r w:rsidRPr="006828B9">
        <w:rPr>
          <w:rFonts w:ascii="Times New Roman" w:hAnsi="Times New Roman"/>
          <w:szCs w:val="24"/>
        </w:rPr>
        <w:t>pay</w:t>
      </w:r>
      <w:r w:rsidR="009065BF">
        <w:rPr>
          <w:rFonts w:ascii="Times New Roman" w:hAnsi="Times New Roman"/>
          <w:szCs w:val="24"/>
        </w:rPr>
        <w:t>ing</w:t>
      </w:r>
      <w:r w:rsidRPr="006828B9">
        <w:rPr>
          <w:rFonts w:ascii="Times New Roman" w:hAnsi="Times New Roman"/>
          <w:szCs w:val="24"/>
        </w:rPr>
        <w:t xml:space="preserve"> the usual </w:t>
      </w:r>
      <w:r w:rsidR="009065BF">
        <w:rPr>
          <w:rFonts w:ascii="Times New Roman" w:hAnsi="Times New Roman"/>
          <w:szCs w:val="24"/>
        </w:rPr>
        <w:t xml:space="preserve">duty, </w:t>
      </w:r>
      <w:r w:rsidRPr="006828B9">
        <w:rPr>
          <w:rFonts w:ascii="Times New Roman" w:hAnsi="Times New Roman"/>
          <w:szCs w:val="24"/>
        </w:rPr>
        <w:t>taxes and fees,</w:t>
      </w:r>
      <w:r w:rsidRPr="006828B9">
        <w:rPr>
          <w:rFonts w:ascii="Times New Roman" w:hAnsi="Times New Roman"/>
        </w:rPr>
        <w:t xml:space="preserve"> and the</w:t>
      </w:r>
      <w:r w:rsidR="009065BF">
        <w:rPr>
          <w:rFonts w:ascii="Times New Roman" w:hAnsi="Times New Roman"/>
        </w:rPr>
        <w:t>reafter</w:t>
      </w:r>
      <w:r w:rsidRPr="006828B9">
        <w:rPr>
          <w:rFonts w:ascii="Times New Roman" w:hAnsi="Times New Roman"/>
        </w:rPr>
        <w:t xml:space="preserve"> apply for </w:t>
      </w:r>
      <w:r w:rsidR="009065BF">
        <w:rPr>
          <w:rFonts w:ascii="Times New Roman" w:hAnsi="Times New Roman"/>
        </w:rPr>
        <w:t xml:space="preserve">a </w:t>
      </w:r>
      <w:r w:rsidRPr="006828B9">
        <w:rPr>
          <w:rFonts w:ascii="Times New Roman" w:hAnsi="Times New Roman"/>
        </w:rPr>
        <w:t>refund</w:t>
      </w:r>
      <w:r w:rsidR="004B32A6">
        <w:rPr>
          <w:rFonts w:ascii="Times New Roman" w:hAnsi="Times New Roman"/>
        </w:rPr>
        <w:t>,</w:t>
      </w:r>
      <w:r w:rsidR="009065BF">
        <w:rPr>
          <w:rFonts w:ascii="Times New Roman" w:hAnsi="Times New Roman"/>
        </w:rPr>
        <w:t xml:space="preserve"> </w:t>
      </w:r>
      <w:r w:rsidR="000D3C40">
        <w:rPr>
          <w:rFonts w:ascii="Times New Roman" w:hAnsi="Times New Roman"/>
        </w:rPr>
        <w:t xml:space="preserve">if possible, </w:t>
      </w:r>
      <w:r w:rsidR="00FC6CA4">
        <w:rPr>
          <w:rFonts w:ascii="Times New Roman" w:hAnsi="Times New Roman"/>
        </w:rPr>
        <w:t xml:space="preserve">or </w:t>
      </w:r>
      <w:r w:rsidR="000D3C40">
        <w:rPr>
          <w:rFonts w:ascii="Times New Roman" w:hAnsi="Times New Roman"/>
        </w:rPr>
        <w:t>the</w:t>
      </w:r>
      <w:r w:rsidR="00FC6CA4">
        <w:rPr>
          <w:rFonts w:ascii="Times New Roman" w:hAnsi="Times New Roman"/>
        </w:rPr>
        <w:t xml:space="preserve"> </w:t>
      </w:r>
      <w:r w:rsidR="00AE7A3D">
        <w:rPr>
          <w:rFonts w:ascii="Times New Roman" w:hAnsi="Times New Roman"/>
          <w:szCs w:val="24"/>
        </w:rPr>
        <w:t>service</w:t>
      </w:r>
      <w:r w:rsidR="00FC6CA4">
        <w:rPr>
          <w:rFonts w:ascii="Times New Roman" w:hAnsi="Times New Roman"/>
          <w:szCs w:val="24"/>
        </w:rPr>
        <w:t xml:space="preserve"> </w:t>
      </w:r>
      <w:r w:rsidR="009065BF">
        <w:rPr>
          <w:rFonts w:ascii="Times New Roman" w:hAnsi="Times New Roman"/>
          <w:szCs w:val="24"/>
        </w:rPr>
        <w:t>would</w:t>
      </w:r>
      <w:r w:rsidR="00FC6CA4">
        <w:rPr>
          <w:rFonts w:ascii="Times New Roman" w:hAnsi="Times New Roman"/>
          <w:szCs w:val="24"/>
        </w:rPr>
        <w:t xml:space="preserve"> not be available.</w:t>
      </w:r>
    </w:p>
    <w:p w:rsidR="000A44D3" w:rsidRDefault="000A44D3" w:rsidP="000A44D3">
      <w:pPr>
        <w:pStyle w:val="BodyTextIndent"/>
        <w:spacing w:line="240" w:lineRule="auto"/>
        <w:ind w:left="0" w:firstLine="0"/>
        <w:rPr>
          <w:rFonts w:ascii="Times New Roman" w:hAnsi="Times New Roman"/>
        </w:rPr>
      </w:pPr>
    </w:p>
    <w:p w:rsidR="000A44D3" w:rsidRPr="00391FF0" w:rsidRDefault="0094732A" w:rsidP="00391FF0">
      <w:pPr>
        <w:pStyle w:val="BodyTextIndent"/>
        <w:numPr>
          <w:ilvl w:val="0"/>
          <w:numId w:val="6"/>
        </w:numPr>
        <w:spacing w:line="240" w:lineRule="auto"/>
        <w:rPr>
          <w:rFonts w:ascii="Times New Roman" w:hAnsi="Times New Roman"/>
          <w:b/>
          <w:i/>
          <w:szCs w:val="24"/>
          <w:u w:val="single"/>
        </w:rPr>
      </w:pPr>
      <w:r w:rsidRPr="00391FF0">
        <w:rPr>
          <w:rFonts w:ascii="Times New Roman" w:hAnsi="Times New Roman"/>
        </w:rPr>
        <w:t xml:space="preserve">The annualized cost for collection of this information and providing benefits is </w:t>
      </w:r>
      <w:r w:rsidR="00E55455" w:rsidRPr="00391FF0">
        <w:rPr>
          <w:rFonts w:ascii="Times New Roman" w:hAnsi="Times New Roman"/>
        </w:rPr>
        <w:t>based</w:t>
      </w:r>
      <w:r w:rsidR="000A44D3" w:rsidRPr="00391FF0">
        <w:rPr>
          <w:rFonts w:ascii="Times New Roman" w:hAnsi="Times New Roman"/>
        </w:rPr>
        <w:t xml:space="preserve"> on a </w:t>
      </w:r>
      <w:r w:rsidR="00E55455" w:rsidRPr="00391FF0">
        <w:rPr>
          <w:rFonts w:ascii="Times New Roman" w:hAnsi="Times New Roman"/>
        </w:rPr>
        <w:t>quantification of hours and operational expenses (such as labor costs</w:t>
      </w:r>
      <w:r w:rsidRPr="00391FF0">
        <w:rPr>
          <w:rFonts w:ascii="Times New Roman" w:hAnsi="Times New Roman"/>
        </w:rPr>
        <w:t xml:space="preserve">, </w:t>
      </w:r>
      <w:r w:rsidR="008C09CF" w:rsidRPr="00391FF0">
        <w:rPr>
          <w:rFonts w:ascii="Times New Roman" w:hAnsi="Times New Roman"/>
        </w:rPr>
        <w:t xml:space="preserve">programming, </w:t>
      </w:r>
      <w:r w:rsidRPr="00391FF0">
        <w:rPr>
          <w:rFonts w:ascii="Times New Roman" w:hAnsi="Times New Roman"/>
        </w:rPr>
        <w:t xml:space="preserve">processing, product </w:t>
      </w:r>
      <w:r w:rsidR="000476CE" w:rsidRPr="00391FF0">
        <w:rPr>
          <w:rFonts w:ascii="Times New Roman" w:hAnsi="Times New Roman"/>
        </w:rPr>
        <w:t xml:space="preserve">distribution, and/or reportage, </w:t>
      </w:r>
      <w:r w:rsidRPr="00391FF0">
        <w:rPr>
          <w:rFonts w:ascii="Times New Roman" w:hAnsi="Times New Roman"/>
        </w:rPr>
        <w:t>equipment and overhead</w:t>
      </w:r>
      <w:r w:rsidR="000476CE" w:rsidRPr="00391FF0">
        <w:rPr>
          <w:rFonts w:ascii="Times New Roman" w:hAnsi="Times New Roman"/>
        </w:rPr>
        <w:t>)</w:t>
      </w:r>
      <w:r w:rsidR="00404024" w:rsidRPr="00391FF0">
        <w:rPr>
          <w:rFonts w:ascii="Times New Roman" w:hAnsi="Times New Roman"/>
        </w:rPr>
        <w:t xml:space="preserve">. </w:t>
      </w:r>
      <w:r w:rsidRPr="00391FF0">
        <w:rPr>
          <w:rFonts w:ascii="Times New Roman" w:hAnsi="Times New Roman"/>
        </w:rPr>
        <w:t xml:space="preserve">The annual cost </w:t>
      </w:r>
      <w:r w:rsidR="00863E55" w:rsidRPr="00391FF0">
        <w:rPr>
          <w:rFonts w:ascii="Times New Roman" w:hAnsi="Times New Roman"/>
        </w:rPr>
        <w:t xml:space="preserve">burden </w:t>
      </w:r>
      <w:r w:rsidRPr="00391FF0">
        <w:rPr>
          <w:rFonts w:ascii="Times New Roman" w:hAnsi="Times New Roman"/>
        </w:rPr>
        <w:t xml:space="preserve">to the Department is </w:t>
      </w:r>
      <w:r w:rsidR="00863E55" w:rsidRPr="00391FF0">
        <w:rPr>
          <w:rFonts w:ascii="Times New Roman" w:hAnsi="Times New Roman"/>
        </w:rPr>
        <w:t>estimated to be $</w:t>
      </w:r>
      <w:r w:rsidR="00B609B5" w:rsidRPr="00391FF0">
        <w:rPr>
          <w:rFonts w:ascii="Times New Roman" w:hAnsi="Times New Roman"/>
        </w:rPr>
        <w:t>3</w:t>
      </w:r>
      <w:r w:rsidR="0090429E">
        <w:rPr>
          <w:rFonts w:ascii="Times New Roman" w:hAnsi="Times New Roman"/>
        </w:rPr>
        <w:t>,</w:t>
      </w:r>
      <w:r w:rsidR="00B609B5" w:rsidRPr="00391FF0">
        <w:rPr>
          <w:rFonts w:ascii="Times New Roman" w:hAnsi="Times New Roman"/>
        </w:rPr>
        <w:t>8</w:t>
      </w:r>
      <w:r w:rsidR="0090429E">
        <w:rPr>
          <w:rFonts w:ascii="Times New Roman" w:hAnsi="Times New Roman"/>
        </w:rPr>
        <w:t>73</w:t>
      </w:r>
      <w:r w:rsidR="00863E55" w:rsidRPr="00391FF0">
        <w:rPr>
          <w:rFonts w:ascii="Times New Roman" w:hAnsi="Times New Roman"/>
        </w:rPr>
        <w:t>,</w:t>
      </w:r>
      <w:r w:rsidR="0090429E">
        <w:rPr>
          <w:rFonts w:ascii="Times New Roman" w:hAnsi="Times New Roman"/>
        </w:rPr>
        <w:t>244</w:t>
      </w:r>
      <w:r w:rsidR="00863E55" w:rsidRPr="00391FF0">
        <w:rPr>
          <w:rFonts w:ascii="Times New Roman" w:hAnsi="Times New Roman"/>
        </w:rPr>
        <w:t>.  See table below</w:t>
      </w:r>
      <w:r w:rsidR="007321A2" w:rsidRPr="00391FF0">
        <w:rPr>
          <w:rFonts w:ascii="Times New Roman" w:hAnsi="Times New Roman"/>
        </w:rPr>
        <w:t>.</w:t>
      </w:r>
      <w:r w:rsidRPr="00391FF0">
        <w:rPr>
          <w:rFonts w:ascii="Times New Roman" w:hAnsi="Times New Roman"/>
        </w:rPr>
        <w:t xml:space="preserve">  </w:t>
      </w:r>
    </w:p>
    <w:p w:rsidR="00B01490" w:rsidRPr="00B01490" w:rsidRDefault="003A54AE" w:rsidP="00B1411F">
      <w:pPr>
        <w:pStyle w:val="BodyTextIndent"/>
        <w:numPr>
          <w:ilvl w:val="3"/>
          <w:numId w:val="6"/>
        </w:numPr>
        <w:spacing w:line="240" w:lineRule="auto"/>
        <w:jc w:val="center"/>
        <w:rPr>
          <w:rFonts w:ascii="Times New Roman" w:hAnsi="Times New Roman"/>
          <w:i/>
          <w:szCs w:val="24"/>
          <w:u w:val="single"/>
        </w:rPr>
      </w:pPr>
      <w:r>
        <w:rPr>
          <w:rFonts w:ascii="Times New Roman" w:hAnsi="Times New Roman"/>
          <w:szCs w:val="24"/>
        </w:rPr>
        <w:br w:type="page"/>
      </w:r>
    </w:p>
    <w:p w:rsidR="00804B8F" w:rsidRPr="006828B9" w:rsidRDefault="00C56615" w:rsidP="00B1411F">
      <w:pPr>
        <w:pStyle w:val="BodyTextIndent"/>
        <w:numPr>
          <w:ilvl w:val="3"/>
          <w:numId w:val="6"/>
        </w:numPr>
        <w:spacing w:line="240" w:lineRule="auto"/>
        <w:jc w:val="center"/>
        <w:rPr>
          <w:rFonts w:ascii="Times New Roman" w:hAnsi="Times New Roman"/>
          <w:i/>
          <w:szCs w:val="24"/>
          <w:u w:val="single"/>
        </w:rPr>
      </w:pPr>
      <w:r w:rsidRPr="006828B9">
        <w:rPr>
          <w:rFonts w:ascii="Times New Roman" w:hAnsi="Times New Roman"/>
          <w:b/>
        </w:rPr>
        <w:t xml:space="preserve">Foreign Diplomatic </w:t>
      </w:r>
      <w:r w:rsidR="006828B9" w:rsidRPr="006828B9">
        <w:rPr>
          <w:rFonts w:ascii="Times New Roman" w:hAnsi="Times New Roman"/>
          <w:b/>
        </w:rPr>
        <w:t xml:space="preserve">Services </w:t>
      </w:r>
      <w:r w:rsidRPr="006828B9">
        <w:rPr>
          <w:rFonts w:ascii="Times New Roman" w:hAnsi="Times New Roman"/>
          <w:b/>
        </w:rPr>
        <w:t>Application</w:t>
      </w:r>
      <w:r w:rsidR="006828B9" w:rsidRPr="006828B9">
        <w:rPr>
          <w:rFonts w:ascii="Times New Roman" w:hAnsi="Times New Roman"/>
          <w:b/>
        </w:rPr>
        <w:t>s</w:t>
      </w:r>
    </w:p>
    <w:tbl>
      <w:tblPr>
        <w:tblW w:w="0" w:type="auto"/>
        <w:jc w:val="center"/>
        <w:tblLayout w:type="fixed"/>
        <w:tblLook w:val="04A0"/>
      </w:tblPr>
      <w:tblGrid>
        <w:gridCol w:w="1470"/>
        <w:gridCol w:w="1605"/>
        <w:gridCol w:w="1872"/>
        <w:gridCol w:w="288"/>
        <w:gridCol w:w="990"/>
        <w:gridCol w:w="1764"/>
      </w:tblGrid>
      <w:tr w:rsidR="00B51487" w:rsidRPr="00B51487" w:rsidTr="0089783C">
        <w:trPr>
          <w:cantSplit/>
          <w:trHeight w:val="1015"/>
          <w:jc w:val="center"/>
        </w:trPr>
        <w:tc>
          <w:tcPr>
            <w:tcW w:w="147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B51487" w:rsidRPr="00B51487" w:rsidRDefault="00B51487" w:rsidP="00B51487">
            <w:pPr>
              <w:jc w:val="center"/>
              <w:rPr>
                <w:b/>
                <w:bCs/>
                <w:color w:val="000000"/>
                <w:sz w:val="24"/>
                <w:szCs w:val="24"/>
              </w:rPr>
            </w:pPr>
            <w:r w:rsidRPr="00B51487">
              <w:rPr>
                <w:b/>
                <w:bCs/>
                <w:color w:val="000000"/>
                <w:sz w:val="24"/>
                <w:szCs w:val="24"/>
              </w:rPr>
              <w:t>Information Collection Form No.</w:t>
            </w:r>
          </w:p>
        </w:tc>
        <w:tc>
          <w:tcPr>
            <w:tcW w:w="1605" w:type="dxa"/>
            <w:tcBorders>
              <w:top w:val="single" w:sz="8" w:space="0" w:color="auto"/>
              <w:left w:val="nil"/>
              <w:bottom w:val="single" w:sz="8" w:space="0" w:color="auto"/>
              <w:right w:val="single" w:sz="8" w:space="0" w:color="auto"/>
            </w:tcBorders>
            <w:shd w:val="clear" w:color="000000" w:fill="A6A6A6"/>
            <w:vAlign w:val="center"/>
            <w:hideMark/>
          </w:tcPr>
          <w:p w:rsidR="00B51487" w:rsidRPr="00B51487" w:rsidRDefault="00B51487" w:rsidP="004228C0">
            <w:pPr>
              <w:jc w:val="center"/>
              <w:rPr>
                <w:b/>
                <w:bCs/>
                <w:color w:val="000000"/>
                <w:sz w:val="24"/>
                <w:szCs w:val="24"/>
              </w:rPr>
            </w:pPr>
            <w:r w:rsidRPr="00B51487">
              <w:rPr>
                <w:b/>
                <w:bCs/>
                <w:color w:val="000000"/>
                <w:sz w:val="24"/>
                <w:szCs w:val="24"/>
              </w:rPr>
              <w:t>Respondents</w:t>
            </w:r>
          </w:p>
        </w:tc>
        <w:tc>
          <w:tcPr>
            <w:tcW w:w="1872" w:type="dxa"/>
            <w:tcBorders>
              <w:top w:val="single" w:sz="8" w:space="0" w:color="auto"/>
              <w:left w:val="nil"/>
              <w:bottom w:val="single" w:sz="8" w:space="0" w:color="auto"/>
              <w:right w:val="nil"/>
            </w:tcBorders>
            <w:shd w:val="clear" w:color="000000" w:fill="A6A6A6"/>
            <w:vAlign w:val="center"/>
            <w:hideMark/>
          </w:tcPr>
          <w:p w:rsidR="00B51487" w:rsidRPr="00B51487" w:rsidRDefault="00B51487" w:rsidP="00B51487">
            <w:pPr>
              <w:jc w:val="center"/>
              <w:rPr>
                <w:b/>
                <w:bCs/>
                <w:color w:val="000000"/>
                <w:sz w:val="24"/>
                <w:szCs w:val="24"/>
              </w:rPr>
            </w:pPr>
            <w:r w:rsidRPr="00B51487">
              <w:rPr>
                <w:b/>
                <w:bCs/>
                <w:color w:val="000000"/>
                <w:sz w:val="24"/>
                <w:szCs w:val="24"/>
              </w:rPr>
              <w:t xml:space="preserve">Total </w:t>
            </w:r>
            <w:r w:rsidRPr="00B51487">
              <w:rPr>
                <w:b/>
                <w:bCs/>
                <w:color w:val="000000"/>
                <w:sz w:val="24"/>
                <w:szCs w:val="24"/>
                <w:u w:val="single"/>
              </w:rPr>
              <w:t>Responses</w:t>
            </w:r>
            <w:r w:rsidRPr="00B51487">
              <w:rPr>
                <w:b/>
                <w:bCs/>
                <w:color w:val="000000"/>
                <w:sz w:val="24"/>
                <w:szCs w:val="24"/>
                <w:u w:val="single"/>
              </w:rPr>
              <w:br/>
            </w:r>
            <w:r w:rsidRPr="00B51487">
              <w:rPr>
                <w:b/>
                <w:bCs/>
                <w:color w:val="000000"/>
                <w:sz w:val="18"/>
                <w:szCs w:val="18"/>
              </w:rPr>
              <w:t>(paper + automated + eGov)</w:t>
            </w:r>
          </w:p>
        </w:tc>
        <w:tc>
          <w:tcPr>
            <w:tcW w:w="1278" w:type="dxa"/>
            <w:gridSpan w:val="2"/>
            <w:tcBorders>
              <w:top w:val="single" w:sz="8" w:space="0" w:color="auto"/>
              <w:left w:val="single" w:sz="8" w:space="0" w:color="auto"/>
              <w:right w:val="single" w:sz="8" w:space="0" w:color="000000"/>
            </w:tcBorders>
            <w:shd w:val="clear" w:color="000000" w:fill="A6A6A6"/>
            <w:vAlign w:val="center"/>
            <w:hideMark/>
          </w:tcPr>
          <w:p w:rsidR="00B51487" w:rsidRPr="00B51487" w:rsidRDefault="00B51487" w:rsidP="00B51487">
            <w:pPr>
              <w:jc w:val="center"/>
              <w:rPr>
                <w:b/>
                <w:bCs/>
                <w:color w:val="000000"/>
                <w:sz w:val="24"/>
                <w:szCs w:val="24"/>
              </w:rPr>
            </w:pPr>
            <w:r w:rsidRPr="00B51487">
              <w:rPr>
                <w:b/>
                <w:bCs/>
                <w:color w:val="000000"/>
                <w:sz w:val="24"/>
                <w:szCs w:val="24"/>
              </w:rPr>
              <w:t>Estimated Costs Per</w:t>
            </w:r>
            <w:r w:rsidRPr="00B51487">
              <w:rPr>
                <w:b/>
                <w:bCs/>
                <w:color w:val="000000"/>
                <w:sz w:val="24"/>
                <w:szCs w:val="24"/>
              </w:rPr>
              <w:br/>
              <w:t>Response</w:t>
            </w:r>
          </w:p>
        </w:tc>
        <w:tc>
          <w:tcPr>
            <w:tcW w:w="1764" w:type="dxa"/>
            <w:tcBorders>
              <w:top w:val="single" w:sz="8" w:space="0" w:color="auto"/>
              <w:left w:val="nil"/>
              <w:bottom w:val="single" w:sz="8" w:space="0" w:color="auto"/>
              <w:right w:val="single" w:sz="8" w:space="0" w:color="auto"/>
            </w:tcBorders>
            <w:shd w:val="clear" w:color="000000" w:fill="A6A6A6"/>
            <w:vAlign w:val="center"/>
            <w:hideMark/>
          </w:tcPr>
          <w:p w:rsidR="00B51487" w:rsidRPr="00B51487" w:rsidRDefault="00B51487" w:rsidP="00B51487">
            <w:pPr>
              <w:jc w:val="center"/>
              <w:rPr>
                <w:b/>
                <w:bCs/>
                <w:color w:val="000000"/>
                <w:sz w:val="24"/>
                <w:szCs w:val="24"/>
              </w:rPr>
            </w:pPr>
            <w:r w:rsidRPr="00B51487">
              <w:rPr>
                <w:b/>
                <w:bCs/>
                <w:color w:val="000000"/>
                <w:sz w:val="24"/>
                <w:szCs w:val="24"/>
              </w:rPr>
              <w:t xml:space="preserve">Total Annual </w:t>
            </w:r>
            <w:r w:rsidRPr="00B51487">
              <w:rPr>
                <w:b/>
                <w:bCs/>
                <w:color w:val="000000"/>
                <w:sz w:val="24"/>
                <w:szCs w:val="24"/>
              </w:rPr>
              <w:br/>
              <w:t>Costs</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DS-98</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2,413</w:t>
            </w:r>
          </w:p>
        </w:tc>
        <w:tc>
          <w:tcPr>
            <w:tcW w:w="288" w:type="dxa"/>
            <w:tcBorders>
              <w:top w:val="nil"/>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nil"/>
              <w:bottom w:val="single" w:sz="8" w:space="0" w:color="auto"/>
              <w:right w:val="single" w:sz="8" w:space="0" w:color="auto"/>
            </w:tcBorders>
            <w:shd w:val="clear" w:color="auto" w:fill="auto"/>
            <w:noWrap/>
            <w:vAlign w:val="center"/>
            <w:hideMark/>
          </w:tcPr>
          <w:p w:rsidR="00B51487" w:rsidRPr="00B51487" w:rsidRDefault="00B51487" w:rsidP="004228C0">
            <w:pPr>
              <w:jc w:val="right"/>
              <w:rPr>
                <w:i/>
                <w:iCs/>
                <w:color w:val="000000"/>
                <w:sz w:val="24"/>
                <w:szCs w:val="24"/>
              </w:rPr>
            </w:pPr>
            <w:r w:rsidRPr="00B51487">
              <w:rPr>
                <w:i/>
                <w:iCs/>
                <w:color w:val="000000"/>
                <w:sz w:val="24"/>
                <w:szCs w:val="24"/>
              </w:rPr>
              <w:t>23.00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55,499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DS-99</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2,676</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noWrap/>
            <w:vAlign w:val="center"/>
            <w:hideMark/>
          </w:tcPr>
          <w:p w:rsidR="00B51487" w:rsidRPr="00B51487" w:rsidRDefault="00B51487" w:rsidP="004228C0">
            <w:pPr>
              <w:jc w:val="right"/>
              <w:rPr>
                <w:i/>
                <w:iCs/>
                <w:color w:val="000000"/>
                <w:sz w:val="24"/>
                <w:szCs w:val="24"/>
              </w:rPr>
            </w:pPr>
            <w:r w:rsidRPr="00B51487">
              <w:rPr>
                <w:i/>
                <w:iCs/>
                <w:color w:val="000000"/>
                <w:sz w:val="24"/>
                <w:szCs w:val="24"/>
              </w:rPr>
              <w:t>23.00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61,548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DS-100</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2,200</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noWrap/>
            <w:vAlign w:val="center"/>
            <w:hideMark/>
          </w:tcPr>
          <w:p w:rsidR="00B51487" w:rsidRPr="00B51487" w:rsidRDefault="00B51487" w:rsidP="004228C0">
            <w:pPr>
              <w:jc w:val="right"/>
              <w:rPr>
                <w:i/>
                <w:iCs/>
                <w:color w:val="000000"/>
                <w:sz w:val="24"/>
                <w:szCs w:val="24"/>
              </w:rPr>
            </w:pPr>
            <w:r w:rsidRPr="00B51487">
              <w:rPr>
                <w:i/>
                <w:iCs/>
                <w:color w:val="000000"/>
                <w:sz w:val="24"/>
                <w:szCs w:val="24"/>
              </w:rPr>
              <w:t>43.00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94,600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DS-101</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7,900</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noWrap/>
            <w:vAlign w:val="center"/>
            <w:hideMark/>
          </w:tcPr>
          <w:p w:rsidR="00B51487" w:rsidRPr="00B51487" w:rsidRDefault="00B51487" w:rsidP="004228C0">
            <w:pPr>
              <w:jc w:val="right"/>
              <w:rPr>
                <w:i/>
                <w:iCs/>
                <w:color w:val="000000"/>
                <w:sz w:val="24"/>
                <w:szCs w:val="24"/>
              </w:rPr>
            </w:pPr>
            <w:r w:rsidRPr="00B51487">
              <w:rPr>
                <w:i/>
                <w:iCs/>
                <w:color w:val="000000"/>
                <w:sz w:val="24"/>
                <w:szCs w:val="24"/>
              </w:rPr>
              <w:t>43.00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339,700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DS-102</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4,601</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noWrap/>
            <w:vAlign w:val="center"/>
            <w:hideMark/>
          </w:tcPr>
          <w:p w:rsidR="00B51487" w:rsidRPr="00B51487" w:rsidRDefault="00B51487" w:rsidP="004228C0">
            <w:pPr>
              <w:jc w:val="right"/>
              <w:rPr>
                <w:i/>
                <w:iCs/>
                <w:color w:val="000000"/>
                <w:sz w:val="24"/>
                <w:szCs w:val="24"/>
              </w:rPr>
            </w:pPr>
            <w:r w:rsidRPr="00B51487">
              <w:rPr>
                <w:i/>
                <w:iCs/>
                <w:color w:val="000000"/>
                <w:sz w:val="24"/>
                <w:szCs w:val="24"/>
              </w:rPr>
              <w:t>43.00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197,843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DS-104</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164</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noWrap/>
            <w:vAlign w:val="center"/>
            <w:hideMark/>
          </w:tcPr>
          <w:p w:rsidR="00B51487" w:rsidRPr="00B51487" w:rsidRDefault="00B51487" w:rsidP="004228C0">
            <w:pPr>
              <w:jc w:val="right"/>
              <w:rPr>
                <w:i/>
                <w:iCs/>
                <w:color w:val="000000"/>
                <w:sz w:val="24"/>
                <w:szCs w:val="24"/>
              </w:rPr>
            </w:pPr>
            <w:r w:rsidRPr="00B51487">
              <w:rPr>
                <w:i/>
                <w:iCs/>
                <w:color w:val="000000"/>
                <w:sz w:val="24"/>
                <w:szCs w:val="24"/>
              </w:rPr>
              <w:t>43.00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7,052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DS-1504</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7,938</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noWrap/>
            <w:vAlign w:val="center"/>
            <w:hideMark/>
          </w:tcPr>
          <w:p w:rsidR="00B51487" w:rsidRPr="00B51487" w:rsidRDefault="00B51487" w:rsidP="004228C0">
            <w:pPr>
              <w:jc w:val="right"/>
              <w:rPr>
                <w:i/>
                <w:iCs/>
                <w:color w:val="000000"/>
                <w:sz w:val="24"/>
                <w:szCs w:val="24"/>
              </w:rPr>
            </w:pPr>
            <w:r w:rsidRPr="00B51487">
              <w:rPr>
                <w:i/>
                <w:iCs/>
                <w:color w:val="000000"/>
                <w:sz w:val="24"/>
                <w:szCs w:val="24"/>
              </w:rPr>
              <w:t>23.00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182,574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DS-1972</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noWrap/>
            <w:vAlign w:val="center"/>
            <w:hideMark/>
          </w:tcPr>
          <w:p w:rsidR="00B51487" w:rsidRPr="00B51487" w:rsidRDefault="00B51487" w:rsidP="004228C0">
            <w:pPr>
              <w:jc w:val="right"/>
              <w:rPr>
                <w:i/>
                <w:iCs/>
                <w:color w:val="000000"/>
                <w:sz w:val="24"/>
                <w:szCs w:val="24"/>
              </w:rPr>
            </w:pPr>
            <w:r w:rsidRPr="00B51487">
              <w:rPr>
                <w:i/>
                <w:iCs/>
                <w:color w:val="000000"/>
                <w:sz w:val="24"/>
                <w:szCs w:val="24"/>
              </w:rPr>
              <w:t>43.00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60,286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DS-1972D</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6,782</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noWrap/>
            <w:vAlign w:val="center"/>
            <w:hideMark/>
          </w:tcPr>
          <w:p w:rsidR="00B51487" w:rsidRPr="00B51487" w:rsidRDefault="00B51487" w:rsidP="004228C0">
            <w:pPr>
              <w:jc w:val="right"/>
              <w:rPr>
                <w:i/>
                <w:iCs/>
                <w:color w:val="000000"/>
                <w:sz w:val="24"/>
                <w:szCs w:val="24"/>
              </w:rPr>
            </w:pPr>
            <w:r w:rsidRPr="00B51487">
              <w:rPr>
                <w:i/>
                <w:iCs/>
                <w:color w:val="000000"/>
                <w:sz w:val="24"/>
                <w:szCs w:val="24"/>
              </w:rPr>
              <w:t>43.00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270,126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DS-1972T</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5,593</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noWrap/>
            <w:vAlign w:val="center"/>
            <w:hideMark/>
          </w:tcPr>
          <w:p w:rsidR="00B51487" w:rsidRPr="00B51487" w:rsidRDefault="00B51487" w:rsidP="004228C0">
            <w:pPr>
              <w:jc w:val="right"/>
              <w:rPr>
                <w:i/>
                <w:iCs/>
                <w:color w:val="000000"/>
                <w:sz w:val="24"/>
                <w:szCs w:val="24"/>
              </w:rPr>
            </w:pPr>
            <w:r w:rsidRPr="00B51487">
              <w:rPr>
                <w:i/>
                <w:iCs/>
                <w:color w:val="000000"/>
                <w:sz w:val="24"/>
                <w:szCs w:val="24"/>
              </w:rPr>
              <w:t>43.00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216,763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DS-2003</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11,854</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66.00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627,000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DS-2004</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800</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66.00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109,164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 xml:space="preserve">DS-2005 </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155</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200</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66.00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13,200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DS-2006</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8,116</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33.00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267,828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DS-2007</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1,500</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66.00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198,000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DS-2008</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6,685</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66.00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441,210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DS-4138</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3,000</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120.00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360,000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DS-4139</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18,000</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18.00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324,000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DS-4140</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350</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456</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18.00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8,208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DS-4155</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1,005</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3,015</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32.50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32,663 </w:t>
            </w:r>
          </w:p>
        </w:tc>
      </w:tr>
      <w:tr w:rsidR="00B51487" w:rsidRPr="00B51487" w:rsidTr="0089783C">
        <w:trPr>
          <w:trHeight w:val="461"/>
          <w:jc w:val="center"/>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B51487" w:rsidRPr="00B51487" w:rsidRDefault="00B51487" w:rsidP="00B51487">
            <w:pPr>
              <w:rPr>
                <w:b/>
                <w:bCs/>
                <w:color w:val="000000"/>
                <w:sz w:val="24"/>
                <w:szCs w:val="24"/>
              </w:rPr>
            </w:pPr>
            <w:r w:rsidRPr="00B51487">
              <w:rPr>
                <w:b/>
                <w:bCs/>
                <w:color w:val="000000"/>
                <w:sz w:val="24"/>
                <w:szCs w:val="24"/>
              </w:rPr>
              <w:t>DS-7675</w:t>
            </w:r>
          </w:p>
        </w:tc>
        <w:tc>
          <w:tcPr>
            <w:tcW w:w="1605"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737</w:t>
            </w:r>
          </w:p>
        </w:tc>
        <w:tc>
          <w:tcPr>
            <w:tcW w:w="1872" w:type="dxa"/>
            <w:tcBorders>
              <w:top w:val="nil"/>
              <w:left w:val="nil"/>
              <w:bottom w:val="single" w:sz="8" w:space="0" w:color="auto"/>
              <w:right w:val="nil"/>
            </w:tcBorders>
            <w:shd w:val="clear" w:color="auto" w:fill="auto"/>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737</w:t>
            </w:r>
          </w:p>
        </w:tc>
        <w:tc>
          <w:tcPr>
            <w:tcW w:w="288" w:type="dxa"/>
            <w:tcBorders>
              <w:top w:val="single" w:sz="8" w:space="0" w:color="auto"/>
              <w:left w:val="single" w:sz="8" w:space="0" w:color="auto"/>
              <w:bottom w:val="single" w:sz="8" w:space="0" w:color="auto"/>
            </w:tcBorders>
            <w:shd w:val="clear" w:color="auto" w:fill="auto"/>
            <w:vAlign w:val="center"/>
            <w:hideMark/>
          </w:tcPr>
          <w:p w:rsidR="00B51487" w:rsidRPr="00B51487" w:rsidRDefault="00B51487" w:rsidP="00B51487">
            <w:pPr>
              <w:jc w:val="right"/>
              <w:rPr>
                <w:i/>
                <w:iCs/>
                <w:color w:val="000000"/>
                <w:sz w:val="24"/>
                <w:szCs w:val="24"/>
              </w:rPr>
            </w:pPr>
            <w:r w:rsidRPr="00B51487">
              <w:rPr>
                <w:i/>
                <w:iCs/>
                <w:color w:val="000000"/>
                <w:sz w:val="24"/>
                <w:szCs w:val="24"/>
              </w:rPr>
              <w:t>$</w:t>
            </w:r>
          </w:p>
        </w:tc>
        <w:tc>
          <w:tcPr>
            <w:tcW w:w="990" w:type="dxa"/>
            <w:tcBorders>
              <w:top w:val="single" w:sz="8" w:space="0" w:color="auto"/>
              <w:bottom w:val="single" w:sz="8" w:space="0" w:color="auto"/>
              <w:right w:val="single" w:sz="8" w:space="0" w:color="auto"/>
            </w:tcBorders>
            <w:shd w:val="clear" w:color="auto" w:fill="auto"/>
            <w:vAlign w:val="center"/>
            <w:hideMark/>
          </w:tcPr>
          <w:p w:rsidR="00B51487" w:rsidRPr="00B51487" w:rsidRDefault="00B51487" w:rsidP="004228C0">
            <w:pPr>
              <w:jc w:val="right"/>
              <w:rPr>
                <w:i/>
                <w:iCs/>
                <w:color w:val="000000"/>
                <w:sz w:val="24"/>
                <w:szCs w:val="24"/>
              </w:rPr>
            </w:pPr>
            <w:r w:rsidRPr="00B51487">
              <w:rPr>
                <w:i/>
                <w:iCs/>
                <w:color w:val="000000"/>
                <w:sz w:val="24"/>
                <w:szCs w:val="24"/>
              </w:rPr>
              <w:t>32.50</w:t>
            </w:r>
          </w:p>
        </w:tc>
        <w:tc>
          <w:tcPr>
            <w:tcW w:w="1764" w:type="dxa"/>
            <w:tcBorders>
              <w:top w:val="nil"/>
              <w:left w:val="nil"/>
              <w:bottom w:val="single" w:sz="8" w:space="0" w:color="auto"/>
              <w:right w:val="single" w:sz="8" w:space="0" w:color="auto"/>
            </w:tcBorders>
            <w:shd w:val="clear" w:color="auto" w:fill="auto"/>
            <w:vAlign w:val="center"/>
            <w:hideMark/>
          </w:tcPr>
          <w:p w:rsidR="00B51487" w:rsidRPr="00B51487" w:rsidRDefault="00B51487" w:rsidP="00ED3ACE">
            <w:pPr>
              <w:rPr>
                <w:color w:val="000000"/>
                <w:sz w:val="24"/>
                <w:szCs w:val="24"/>
              </w:rPr>
            </w:pPr>
            <w:r w:rsidRPr="00B51487">
              <w:rPr>
                <w:color w:val="000000"/>
                <w:sz w:val="24"/>
                <w:szCs w:val="24"/>
              </w:rPr>
              <w:t xml:space="preserve">$              5,980 </w:t>
            </w:r>
          </w:p>
        </w:tc>
      </w:tr>
      <w:tr w:rsidR="00B51487" w:rsidRPr="00B51487" w:rsidTr="0089783C">
        <w:trPr>
          <w:trHeight w:val="702"/>
          <w:jc w:val="center"/>
        </w:trPr>
        <w:tc>
          <w:tcPr>
            <w:tcW w:w="1470" w:type="dxa"/>
            <w:tcBorders>
              <w:top w:val="nil"/>
              <w:left w:val="single" w:sz="8" w:space="0" w:color="auto"/>
              <w:bottom w:val="single" w:sz="8" w:space="0" w:color="auto"/>
              <w:right w:val="single" w:sz="8" w:space="0" w:color="auto"/>
            </w:tcBorders>
            <w:shd w:val="clear" w:color="000000" w:fill="A6A6A6"/>
            <w:vAlign w:val="center"/>
            <w:hideMark/>
          </w:tcPr>
          <w:p w:rsidR="00B51487" w:rsidRPr="00B51487" w:rsidRDefault="00B51487" w:rsidP="00B51487">
            <w:pPr>
              <w:rPr>
                <w:b/>
                <w:bCs/>
                <w:color w:val="000000"/>
                <w:sz w:val="24"/>
                <w:szCs w:val="24"/>
              </w:rPr>
            </w:pPr>
            <w:r w:rsidRPr="00B51487">
              <w:rPr>
                <w:b/>
                <w:bCs/>
                <w:color w:val="000000"/>
                <w:sz w:val="24"/>
                <w:szCs w:val="24"/>
              </w:rPr>
              <w:t>Total Annual Aggregate</w:t>
            </w:r>
          </w:p>
        </w:tc>
        <w:tc>
          <w:tcPr>
            <w:tcW w:w="1605" w:type="dxa"/>
            <w:tcBorders>
              <w:top w:val="nil"/>
              <w:left w:val="nil"/>
              <w:bottom w:val="single" w:sz="8" w:space="0" w:color="auto"/>
              <w:right w:val="single" w:sz="8" w:space="0" w:color="auto"/>
            </w:tcBorders>
            <w:shd w:val="clear" w:color="000000" w:fill="A6A6A6"/>
            <w:vAlign w:val="center"/>
            <w:hideMark/>
          </w:tcPr>
          <w:p w:rsidR="00B51487" w:rsidRPr="00B51487" w:rsidRDefault="00B51487" w:rsidP="00ED3ACE">
            <w:pPr>
              <w:ind w:right="144" w:firstLineChars="200" w:firstLine="482"/>
              <w:jc w:val="right"/>
              <w:rPr>
                <w:b/>
                <w:bCs/>
                <w:color w:val="000000"/>
                <w:sz w:val="24"/>
                <w:szCs w:val="24"/>
              </w:rPr>
            </w:pPr>
            <w:r w:rsidRPr="00B51487">
              <w:rPr>
                <w:b/>
                <w:bCs/>
                <w:color w:val="000000"/>
                <w:sz w:val="24"/>
                <w:szCs w:val="24"/>
              </w:rPr>
              <w:t>8,197</w:t>
            </w:r>
          </w:p>
        </w:tc>
        <w:tc>
          <w:tcPr>
            <w:tcW w:w="1872" w:type="dxa"/>
            <w:tcBorders>
              <w:top w:val="nil"/>
              <w:left w:val="nil"/>
              <w:bottom w:val="single" w:sz="8" w:space="0" w:color="auto"/>
              <w:right w:val="nil"/>
            </w:tcBorders>
            <w:shd w:val="clear" w:color="000000" w:fill="A6A6A6"/>
            <w:vAlign w:val="center"/>
            <w:hideMark/>
          </w:tcPr>
          <w:p w:rsidR="00B51487" w:rsidRPr="00B51487" w:rsidRDefault="00B51487" w:rsidP="00ED3ACE">
            <w:pPr>
              <w:ind w:right="144" w:firstLineChars="200" w:firstLine="480"/>
              <w:jc w:val="right"/>
              <w:rPr>
                <w:color w:val="000000"/>
                <w:sz w:val="24"/>
                <w:szCs w:val="24"/>
              </w:rPr>
            </w:pPr>
            <w:r w:rsidRPr="00B51487">
              <w:rPr>
                <w:color w:val="000000"/>
                <w:sz w:val="24"/>
                <w:szCs w:val="24"/>
              </w:rPr>
              <w:t>94,980</w:t>
            </w:r>
          </w:p>
        </w:tc>
        <w:tc>
          <w:tcPr>
            <w:tcW w:w="288" w:type="dxa"/>
            <w:tcBorders>
              <w:top w:val="single" w:sz="8" w:space="0" w:color="auto"/>
              <w:left w:val="single" w:sz="8" w:space="0" w:color="auto"/>
              <w:bottom w:val="single" w:sz="8" w:space="0" w:color="auto"/>
            </w:tcBorders>
            <w:shd w:val="clear" w:color="000000" w:fill="A6A6A6"/>
            <w:vAlign w:val="center"/>
            <w:hideMark/>
          </w:tcPr>
          <w:p w:rsidR="00B51487" w:rsidRPr="00B51487" w:rsidRDefault="00B51487" w:rsidP="00B51487">
            <w:pPr>
              <w:jc w:val="right"/>
              <w:rPr>
                <w:b/>
                <w:bCs/>
                <w:color w:val="000000"/>
                <w:sz w:val="24"/>
                <w:szCs w:val="24"/>
              </w:rPr>
            </w:pPr>
            <w:r w:rsidRPr="00B51487">
              <w:rPr>
                <w:b/>
                <w:bCs/>
                <w:color w:val="000000"/>
                <w:sz w:val="24"/>
                <w:szCs w:val="24"/>
              </w:rPr>
              <w:t>$</w:t>
            </w:r>
          </w:p>
        </w:tc>
        <w:tc>
          <w:tcPr>
            <w:tcW w:w="990" w:type="dxa"/>
            <w:tcBorders>
              <w:top w:val="single" w:sz="8" w:space="0" w:color="auto"/>
              <w:bottom w:val="single" w:sz="8" w:space="0" w:color="auto"/>
              <w:right w:val="single" w:sz="8" w:space="0" w:color="auto"/>
            </w:tcBorders>
            <w:shd w:val="clear" w:color="000000" w:fill="A6A6A6"/>
            <w:vAlign w:val="center"/>
            <w:hideMark/>
          </w:tcPr>
          <w:p w:rsidR="00B51487" w:rsidRPr="00B51487" w:rsidRDefault="00B51487" w:rsidP="004228C0">
            <w:pPr>
              <w:jc w:val="right"/>
              <w:rPr>
                <w:b/>
                <w:bCs/>
                <w:color w:val="000000"/>
                <w:sz w:val="24"/>
                <w:szCs w:val="24"/>
              </w:rPr>
            </w:pPr>
            <w:r w:rsidRPr="00B51487">
              <w:rPr>
                <w:b/>
                <w:bCs/>
                <w:color w:val="000000"/>
                <w:sz w:val="24"/>
                <w:szCs w:val="24"/>
              </w:rPr>
              <w:t>954.00</w:t>
            </w:r>
          </w:p>
        </w:tc>
        <w:tc>
          <w:tcPr>
            <w:tcW w:w="1764" w:type="dxa"/>
            <w:tcBorders>
              <w:top w:val="nil"/>
              <w:left w:val="nil"/>
              <w:bottom w:val="single" w:sz="8" w:space="0" w:color="auto"/>
              <w:right w:val="single" w:sz="8" w:space="0" w:color="auto"/>
            </w:tcBorders>
            <w:shd w:val="clear" w:color="000000" w:fill="A6A6A6"/>
            <w:vAlign w:val="center"/>
            <w:hideMark/>
          </w:tcPr>
          <w:p w:rsidR="00B51487" w:rsidRPr="00B51487" w:rsidRDefault="00B51487" w:rsidP="00ED3ACE">
            <w:pPr>
              <w:rPr>
                <w:b/>
                <w:bCs/>
                <w:color w:val="000000"/>
                <w:sz w:val="24"/>
                <w:szCs w:val="24"/>
              </w:rPr>
            </w:pPr>
            <w:r w:rsidRPr="00B51487">
              <w:rPr>
                <w:b/>
                <w:bCs/>
                <w:color w:val="000000"/>
                <w:sz w:val="24"/>
                <w:szCs w:val="24"/>
              </w:rPr>
              <w:t xml:space="preserve">$       3,873,244 </w:t>
            </w:r>
          </w:p>
        </w:tc>
      </w:tr>
    </w:tbl>
    <w:p w:rsidR="00B51487" w:rsidRDefault="00B51487" w:rsidP="008C09CF">
      <w:pPr>
        <w:pStyle w:val="BodyTextIndent"/>
        <w:spacing w:line="240" w:lineRule="auto"/>
        <w:rPr>
          <w:rFonts w:ascii="Times New Roman" w:hAnsi="Times New Roman"/>
          <w:szCs w:val="24"/>
        </w:rPr>
      </w:pPr>
    </w:p>
    <w:p w:rsidR="001007D6" w:rsidRPr="001007D6" w:rsidRDefault="001007D6" w:rsidP="008C09CF">
      <w:pPr>
        <w:pStyle w:val="BodyTextIndent"/>
        <w:spacing w:line="240" w:lineRule="auto"/>
        <w:rPr>
          <w:rFonts w:ascii="Times New Roman" w:hAnsi="Times New Roman"/>
          <w:szCs w:val="24"/>
        </w:rPr>
      </w:pPr>
    </w:p>
    <w:p w:rsidR="00DD562B" w:rsidRPr="00391FF0" w:rsidRDefault="00C24CE0" w:rsidP="00391FF0">
      <w:pPr>
        <w:pStyle w:val="BodyTextIndent"/>
        <w:numPr>
          <w:ilvl w:val="0"/>
          <w:numId w:val="6"/>
        </w:numPr>
        <w:spacing w:line="240" w:lineRule="auto"/>
        <w:rPr>
          <w:rFonts w:ascii="Times New Roman" w:hAnsi="Times New Roman"/>
          <w:b/>
          <w:szCs w:val="24"/>
        </w:rPr>
      </w:pPr>
      <w:r>
        <w:rPr>
          <w:rFonts w:ascii="Times New Roman" w:hAnsi="Times New Roman"/>
          <w:szCs w:val="24"/>
        </w:rPr>
        <w:t xml:space="preserve">A revision is being requested to the </w:t>
      </w:r>
      <w:r w:rsidR="004D6F01">
        <w:rPr>
          <w:rFonts w:ascii="Times New Roman" w:hAnsi="Times New Roman"/>
          <w:szCs w:val="24"/>
        </w:rPr>
        <w:t>current</w:t>
      </w:r>
      <w:r w:rsidR="0010549E">
        <w:rPr>
          <w:rFonts w:ascii="Times New Roman" w:hAnsi="Times New Roman"/>
          <w:szCs w:val="24"/>
        </w:rPr>
        <w:t>ly approved</w:t>
      </w:r>
      <w:r w:rsidR="004D6F01">
        <w:rPr>
          <w:rFonts w:ascii="Times New Roman" w:hAnsi="Times New Roman"/>
          <w:szCs w:val="24"/>
        </w:rPr>
        <w:t xml:space="preserve"> </w:t>
      </w:r>
      <w:r w:rsidRPr="00391FF0">
        <w:rPr>
          <w:rFonts w:ascii="Times New Roman" w:hAnsi="Times New Roman"/>
          <w:szCs w:val="24"/>
        </w:rPr>
        <w:t xml:space="preserve">FDSA </w:t>
      </w:r>
      <w:r w:rsidR="0010549E" w:rsidRPr="00391FF0">
        <w:rPr>
          <w:rFonts w:ascii="Times New Roman" w:hAnsi="Times New Roman"/>
          <w:szCs w:val="24"/>
        </w:rPr>
        <w:t>information</w:t>
      </w:r>
      <w:r w:rsidR="0010549E" w:rsidRPr="004D6F01">
        <w:rPr>
          <w:rFonts w:ascii="Times New Roman" w:hAnsi="Times New Roman"/>
          <w:szCs w:val="24"/>
        </w:rPr>
        <w:t xml:space="preserve"> </w:t>
      </w:r>
      <w:r w:rsidR="0010549E">
        <w:rPr>
          <w:rFonts w:ascii="Times New Roman" w:hAnsi="Times New Roman"/>
          <w:szCs w:val="24"/>
        </w:rPr>
        <w:t xml:space="preserve">collection </w:t>
      </w:r>
      <w:bookmarkStart w:id="0" w:name="_GoBack"/>
      <w:bookmarkEnd w:id="0"/>
      <w:r>
        <w:rPr>
          <w:rFonts w:ascii="Times New Roman" w:hAnsi="Times New Roman"/>
          <w:szCs w:val="24"/>
        </w:rPr>
        <w:t xml:space="preserve">to allow </w:t>
      </w:r>
      <w:r w:rsidR="0010549E">
        <w:rPr>
          <w:rFonts w:ascii="Times New Roman" w:hAnsi="Times New Roman"/>
          <w:szCs w:val="24"/>
        </w:rPr>
        <w:t xml:space="preserve">the addition of </w:t>
      </w:r>
      <w:r>
        <w:rPr>
          <w:rFonts w:ascii="Times New Roman" w:hAnsi="Times New Roman"/>
          <w:szCs w:val="24"/>
        </w:rPr>
        <w:t>t</w:t>
      </w:r>
      <w:r w:rsidR="00DD562B" w:rsidRPr="00391FF0">
        <w:rPr>
          <w:rFonts w:ascii="Times New Roman" w:hAnsi="Times New Roman"/>
          <w:szCs w:val="24"/>
        </w:rPr>
        <w:t xml:space="preserve">wo </w:t>
      </w:r>
      <w:r w:rsidR="004D6F01">
        <w:rPr>
          <w:rFonts w:ascii="Times New Roman" w:hAnsi="Times New Roman"/>
          <w:szCs w:val="24"/>
        </w:rPr>
        <w:t>new</w:t>
      </w:r>
      <w:r w:rsidR="00DD562B" w:rsidRPr="00391FF0">
        <w:rPr>
          <w:rFonts w:ascii="Times New Roman" w:hAnsi="Times New Roman"/>
          <w:szCs w:val="24"/>
        </w:rPr>
        <w:t xml:space="preserve"> </w:t>
      </w:r>
      <w:r w:rsidR="004D6F01">
        <w:rPr>
          <w:rFonts w:ascii="Times New Roman" w:hAnsi="Times New Roman"/>
          <w:szCs w:val="24"/>
        </w:rPr>
        <w:t>collection</w:t>
      </w:r>
      <w:r w:rsidR="00DD562B" w:rsidRPr="00391FF0">
        <w:rPr>
          <w:rFonts w:ascii="Times New Roman" w:hAnsi="Times New Roman"/>
          <w:szCs w:val="24"/>
        </w:rPr>
        <w:t xml:space="preserve"> instruments.</w:t>
      </w:r>
    </w:p>
    <w:p w:rsidR="0094732A" w:rsidRPr="000B7B3F" w:rsidRDefault="0094732A" w:rsidP="0094732A">
      <w:pPr>
        <w:pStyle w:val="BodyTextIndent"/>
        <w:tabs>
          <w:tab w:val="clear" w:pos="720"/>
        </w:tabs>
        <w:spacing w:line="240" w:lineRule="auto"/>
        <w:ind w:firstLine="0"/>
        <w:rPr>
          <w:rFonts w:ascii="Times New Roman" w:hAnsi="Times New Roman"/>
          <w:szCs w:val="24"/>
        </w:rPr>
      </w:pPr>
    </w:p>
    <w:p w:rsidR="0094732A" w:rsidRPr="00391FF0" w:rsidRDefault="0094732A" w:rsidP="00391FF0">
      <w:pPr>
        <w:pStyle w:val="BodyTextIndent"/>
        <w:numPr>
          <w:ilvl w:val="0"/>
          <w:numId w:val="6"/>
        </w:numPr>
        <w:spacing w:line="240" w:lineRule="auto"/>
        <w:rPr>
          <w:rFonts w:ascii="Times New Roman" w:hAnsi="Times New Roman"/>
          <w:b/>
          <w:szCs w:val="24"/>
        </w:rPr>
      </w:pPr>
      <w:r w:rsidRPr="00391FF0">
        <w:rPr>
          <w:rFonts w:ascii="Times New Roman" w:hAnsi="Times New Roman"/>
        </w:rPr>
        <w:t xml:space="preserve">No plans exist to publish the information collected for statistical purposes.  </w:t>
      </w:r>
    </w:p>
    <w:p w:rsidR="0094732A" w:rsidRPr="00A960D0" w:rsidRDefault="0094732A" w:rsidP="0094732A">
      <w:pPr>
        <w:pStyle w:val="BodyTextIndent"/>
        <w:tabs>
          <w:tab w:val="clear" w:pos="720"/>
        </w:tabs>
        <w:spacing w:line="240" w:lineRule="auto"/>
        <w:ind w:left="0" w:firstLine="0"/>
        <w:rPr>
          <w:rFonts w:ascii="Times New Roman" w:hAnsi="Times New Roman"/>
          <w:szCs w:val="24"/>
        </w:rPr>
      </w:pPr>
    </w:p>
    <w:p w:rsidR="0094732A" w:rsidRPr="00391FF0" w:rsidRDefault="0094732A" w:rsidP="00391FF0">
      <w:pPr>
        <w:pStyle w:val="BodyTextIndent"/>
        <w:numPr>
          <w:ilvl w:val="0"/>
          <w:numId w:val="6"/>
        </w:numPr>
        <w:spacing w:line="240" w:lineRule="auto"/>
        <w:rPr>
          <w:rFonts w:ascii="Times New Roman" w:hAnsi="Times New Roman"/>
          <w:szCs w:val="24"/>
        </w:rPr>
      </w:pPr>
      <w:r w:rsidRPr="00391FF0">
        <w:rPr>
          <w:rFonts w:ascii="Times New Roman" w:hAnsi="Times New Roman"/>
        </w:rPr>
        <w:t xml:space="preserve">The OMB expiration date will be displayed.   </w:t>
      </w:r>
    </w:p>
    <w:p w:rsidR="0094732A" w:rsidRPr="00A960D0" w:rsidRDefault="0094732A" w:rsidP="0094732A">
      <w:pPr>
        <w:pStyle w:val="BodyTextIndent"/>
        <w:tabs>
          <w:tab w:val="clear" w:pos="720"/>
        </w:tabs>
        <w:spacing w:line="240" w:lineRule="auto"/>
        <w:ind w:left="0" w:firstLine="0"/>
        <w:rPr>
          <w:rFonts w:ascii="Times New Roman" w:hAnsi="Times New Roman"/>
        </w:rPr>
      </w:pPr>
    </w:p>
    <w:p w:rsidR="0094732A" w:rsidRPr="00391FF0" w:rsidRDefault="0094732A" w:rsidP="00391FF0">
      <w:pPr>
        <w:pStyle w:val="BodyTextIndent"/>
        <w:numPr>
          <w:ilvl w:val="0"/>
          <w:numId w:val="6"/>
        </w:numPr>
        <w:spacing w:line="240" w:lineRule="auto"/>
        <w:rPr>
          <w:rFonts w:ascii="Times New Roman" w:hAnsi="Times New Roman"/>
          <w:szCs w:val="24"/>
        </w:rPr>
      </w:pPr>
      <w:r w:rsidRPr="00391FF0">
        <w:rPr>
          <w:rFonts w:ascii="Times New Roman" w:hAnsi="Times New Roman"/>
        </w:rPr>
        <w:t>Exceptions to items (b) and (g</w:t>
      </w:r>
      <w:proofErr w:type="gramStart"/>
      <w:r w:rsidR="00E85D91" w:rsidRPr="00391FF0">
        <w:rPr>
          <w:rFonts w:ascii="Times New Roman" w:hAnsi="Times New Roman"/>
        </w:rPr>
        <w:t>)(</w:t>
      </w:r>
      <w:proofErr w:type="gramEnd"/>
      <w:r w:rsidRPr="00391FF0">
        <w:rPr>
          <w:rFonts w:ascii="Times New Roman" w:hAnsi="Times New Roman"/>
        </w:rPr>
        <w:t>vi) of the certification statement are identified in item 19 of OMB Form 83-I.  The exception to item (b) reflects the fact that although purposeful paperwork burdens run counter to the thrust of PRA, they are statutorily authorized in the context of foreign mission personnel.  See item 3 above.</w:t>
      </w:r>
      <w:r w:rsidRPr="00391FF0">
        <w:rPr>
          <w:rFonts w:ascii="Times New Roman" w:hAnsi="Times New Roman"/>
          <w:strike/>
        </w:rPr>
        <w:t xml:space="preserve"> </w:t>
      </w:r>
      <w:r w:rsidRPr="00391FF0">
        <w:rPr>
          <w:rFonts w:ascii="Times New Roman" w:hAnsi="Times New Roman"/>
        </w:rPr>
        <w:t xml:space="preserve"> The exception to item (g</w:t>
      </w:r>
      <w:proofErr w:type="gramStart"/>
      <w:r w:rsidRPr="00391FF0">
        <w:rPr>
          <w:rFonts w:ascii="Times New Roman" w:hAnsi="Times New Roman"/>
        </w:rPr>
        <w:t>)(</w:t>
      </w:r>
      <w:proofErr w:type="gramEnd"/>
      <w:r w:rsidRPr="00391FF0">
        <w:rPr>
          <w:rFonts w:ascii="Times New Roman" w:hAnsi="Times New Roman"/>
        </w:rPr>
        <w:t>vi) is appropriate based on the Foreign Mission Act’s “notwithstanding” clause, which provides that benefits provided by the Office of Foreign Missions cannot be denied by any act of any agency</w:t>
      </w:r>
      <w:r w:rsidRPr="006C41CB">
        <w:t xml:space="preserve"> </w:t>
      </w:r>
      <w:r w:rsidRPr="00391FF0">
        <w:rPr>
          <w:rFonts w:ascii="Times New Roman" w:hAnsi="Times New Roman"/>
        </w:rPr>
        <w:t xml:space="preserve">contrary to the provisions of the Foreign Missions Act.  </w:t>
      </w:r>
      <w:r w:rsidRPr="00391FF0">
        <w:rPr>
          <w:rFonts w:ascii="Times New Roman" w:hAnsi="Times New Roman"/>
          <w:i/>
          <w:iCs/>
        </w:rPr>
        <w:t>See,</w:t>
      </w:r>
      <w:r w:rsidRPr="00391FF0">
        <w:rPr>
          <w:rFonts w:ascii="Times New Roman" w:hAnsi="Times New Roman"/>
        </w:rPr>
        <w:t xml:space="preserve"> 22 U.S.C. 4307.</w:t>
      </w:r>
    </w:p>
    <w:p w:rsidR="0094732A" w:rsidRPr="00A960D0" w:rsidRDefault="0094732A" w:rsidP="0094732A">
      <w:pPr>
        <w:pStyle w:val="BodyTextIndent"/>
        <w:tabs>
          <w:tab w:val="left" w:pos="0"/>
        </w:tabs>
        <w:spacing w:line="240" w:lineRule="auto"/>
        <w:ind w:left="0"/>
        <w:rPr>
          <w:rFonts w:ascii="Times New Roman" w:hAnsi="Times New Roman"/>
          <w:szCs w:val="24"/>
        </w:rPr>
      </w:pPr>
      <w:r w:rsidRPr="00A960D0">
        <w:rPr>
          <w:rFonts w:ascii="Times New Roman" w:hAnsi="Times New Roman"/>
          <w:szCs w:val="24"/>
        </w:rPr>
        <w:tab/>
      </w:r>
    </w:p>
    <w:p w:rsidR="0094732A" w:rsidRPr="00A960D0" w:rsidRDefault="0094732A" w:rsidP="0094732A">
      <w:pPr>
        <w:tabs>
          <w:tab w:val="left" w:pos="720"/>
        </w:tabs>
        <w:ind w:left="720" w:hanging="720"/>
        <w:outlineLvl w:val="0"/>
        <w:rPr>
          <w:sz w:val="24"/>
        </w:rPr>
      </w:pPr>
      <w:r w:rsidRPr="00A960D0">
        <w:rPr>
          <w:b/>
          <w:sz w:val="24"/>
        </w:rPr>
        <w:t>B.</w:t>
      </w:r>
      <w:r w:rsidRPr="00A960D0">
        <w:rPr>
          <w:b/>
          <w:sz w:val="24"/>
        </w:rPr>
        <w:tab/>
        <w:t>COLLECTIONS OF INFORMATION EMPLOYING STATISTICAL METHODS</w:t>
      </w:r>
    </w:p>
    <w:p w:rsidR="0094732A" w:rsidRPr="00A960D0" w:rsidRDefault="0094732A" w:rsidP="0094732A">
      <w:pPr>
        <w:tabs>
          <w:tab w:val="left" w:pos="720"/>
        </w:tabs>
        <w:ind w:left="720" w:hanging="720"/>
        <w:rPr>
          <w:sz w:val="24"/>
        </w:rPr>
      </w:pPr>
    </w:p>
    <w:p w:rsidR="0094732A" w:rsidRDefault="0094732A" w:rsidP="00001CE5">
      <w:pPr>
        <w:tabs>
          <w:tab w:val="left" w:pos="720"/>
        </w:tabs>
        <w:ind w:left="360"/>
        <w:rPr>
          <w:sz w:val="24"/>
        </w:rPr>
      </w:pPr>
      <w:r w:rsidRPr="00A960D0">
        <w:rPr>
          <w:sz w:val="24"/>
        </w:rPr>
        <w:tab/>
        <w:t>Th</w:t>
      </w:r>
      <w:r w:rsidR="00641047">
        <w:rPr>
          <w:sz w:val="24"/>
        </w:rPr>
        <w:t>is</w:t>
      </w:r>
      <w:r w:rsidRPr="00A960D0">
        <w:rPr>
          <w:sz w:val="24"/>
        </w:rPr>
        <w:t xml:space="preserve"> collection does not employ statistical methods. </w:t>
      </w:r>
      <w:r w:rsidR="00954EC2">
        <w:rPr>
          <w:sz w:val="24"/>
        </w:rPr>
        <w:t xml:space="preserve"> </w:t>
      </w:r>
    </w:p>
    <w:p w:rsidR="00F70D36" w:rsidRDefault="00F70D36" w:rsidP="00001CE5">
      <w:pPr>
        <w:tabs>
          <w:tab w:val="left" w:pos="720"/>
        </w:tabs>
        <w:ind w:left="360"/>
      </w:pPr>
    </w:p>
    <w:sectPr w:rsidR="00F70D36" w:rsidSect="0089783C">
      <w:footerReference w:type="default" r:id="rId8"/>
      <w:pgSz w:w="12240" w:h="15840" w:code="1"/>
      <w:pgMar w:top="1440" w:right="1008"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B2F" w:rsidRDefault="00712B2F">
      <w:r>
        <w:separator/>
      </w:r>
    </w:p>
  </w:endnote>
  <w:endnote w:type="continuationSeparator" w:id="0">
    <w:p w:rsidR="00712B2F" w:rsidRDefault="00712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A3" w:rsidRDefault="00FE37A3" w:rsidP="00266B04">
    <w:pPr>
      <w:pStyle w:val="Footer"/>
      <w:jc w:val="center"/>
    </w:pPr>
    <w:r w:rsidRPr="00E562A9">
      <w:t xml:space="preserve">Page </w:t>
    </w:r>
    <w:r w:rsidR="00BE5C74">
      <w:fldChar w:fldCharType="begin"/>
    </w:r>
    <w:r w:rsidR="008943EB">
      <w:instrText xml:space="preserve"> PAGE </w:instrText>
    </w:r>
    <w:r w:rsidR="00BE5C74">
      <w:fldChar w:fldCharType="separate"/>
    </w:r>
    <w:r w:rsidR="002B4316">
      <w:rPr>
        <w:noProof/>
      </w:rPr>
      <w:t>5</w:t>
    </w:r>
    <w:r w:rsidR="00BE5C74">
      <w:rPr>
        <w:noProof/>
      </w:rPr>
      <w:fldChar w:fldCharType="end"/>
    </w:r>
    <w:r w:rsidRPr="00E562A9">
      <w:t xml:space="preserve"> of </w:t>
    </w:r>
    <w:fldSimple w:instr=" NUMPAGES ">
      <w:r w:rsidR="002B4316">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B2F" w:rsidRDefault="00712B2F">
      <w:r>
        <w:separator/>
      </w:r>
    </w:p>
  </w:footnote>
  <w:footnote w:type="continuationSeparator" w:id="0">
    <w:p w:rsidR="00712B2F" w:rsidRDefault="00712B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E7F"/>
    <w:multiLevelType w:val="multilevel"/>
    <w:tmpl w:val="C6345CA8"/>
    <w:lvl w:ilvl="0">
      <w:start w:val="5"/>
      <w:numFmt w:val="decimal"/>
      <w:lvlText w:val="%1."/>
      <w:lvlJc w:val="left"/>
      <w:pPr>
        <w:tabs>
          <w:tab w:val="num" w:pos="648"/>
        </w:tabs>
        <w:ind w:left="648" w:hanging="648"/>
      </w:pPr>
      <w:rPr>
        <w:rFonts w:ascii="Times New Roman" w:hAnsi="Times New Roman" w:hint="default"/>
        <w:sz w:val="24"/>
      </w:rPr>
    </w:lvl>
    <w:lvl w:ilvl="1">
      <w:start w:val="1"/>
      <w:numFmt w:val="lowerLetter"/>
      <w:lvlText w:val="%2."/>
      <w:lvlJc w:val="left"/>
      <w:pPr>
        <w:tabs>
          <w:tab w:val="num" w:pos="648"/>
        </w:tabs>
        <w:ind w:left="648" w:hanging="432"/>
      </w:pPr>
      <w:rPr>
        <w:rFonts w:hint="default"/>
        <w:sz w:val="24"/>
      </w:rPr>
    </w:lvl>
    <w:lvl w:ilvl="2">
      <w:start w:val="1"/>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178"/>
        </w:tabs>
        <w:ind w:left="1176" w:hanging="216"/>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1">
    <w:nsid w:val="2B07683D"/>
    <w:multiLevelType w:val="singleLevel"/>
    <w:tmpl w:val="7020DB52"/>
    <w:lvl w:ilvl="0">
      <w:start w:val="10"/>
      <w:numFmt w:val="upperLetter"/>
      <w:lvlText w:val="%1)"/>
      <w:lvlJc w:val="left"/>
      <w:pPr>
        <w:tabs>
          <w:tab w:val="num" w:pos="735"/>
        </w:tabs>
        <w:ind w:left="735" w:hanging="735"/>
      </w:pPr>
      <w:rPr>
        <w:rFonts w:hint="default"/>
      </w:rPr>
    </w:lvl>
  </w:abstractNum>
  <w:abstractNum w:abstractNumId="2">
    <w:nsid w:val="39D02BEB"/>
    <w:multiLevelType w:val="hybridMultilevel"/>
    <w:tmpl w:val="CB5631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121A7"/>
    <w:multiLevelType w:val="multilevel"/>
    <w:tmpl w:val="8BF813CE"/>
    <w:lvl w:ilvl="0">
      <w:start w:val="2"/>
      <w:numFmt w:val="decimal"/>
      <w:lvlText w:val="%1."/>
      <w:lvlJc w:val="left"/>
      <w:pPr>
        <w:tabs>
          <w:tab w:val="num" w:pos="720"/>
        </w:tabs>
        <w:ind w:left="720" w:hanging="648"/>
      </w:pPr>
      <w:rPr>
        <w:rFonts w:ascii="Times New Roman" w:hAnsi="Times New Roman" w:hint="default"/>
        <w:b/>
        <w:i w:val="0"/>
        <w:sz w:val="24"/>
      </w:rPr>
    </w:lvl>
    <w:lvl w:ilvl="1">
      <w:start w:val="1"/>
      <w:numFmt w:val="lowerLetter"/>
      <w:lvlText w:val="%2."/>
      <w:lvlJc w:val="left"/>
      <w:pPr>
        <w:tabs>
          <w:tab w:val="num" w:pos="792"/>
        </w:tabs>
        <w:ind w:left="1080" w:hanging="360"/>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decimal"/>
      <w:lvlText w:val="(%5)"/>
      <w:lvlJc w:val="left"/>
      <w:pPr>
        <w:tabs>
          <w:tab w:val="num" w:pos="1584"/>
        </w:tabs>
        <w:ind w:left="1584" w:hanging="432"/>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4">
    <w:nsid w:val="3FCC38DA"/>
    <w:multiLevelType w:val="multilevel"/>
    <w:tmpl w:val="1016A1EE"/>
    <w:lvl w:ilvl="0">
      <w:start w:val="6"/>
      <w:numFmt w:val="decimal"/>
      <w:lvlText w:val="%1."/>
      <w:lvlJc w:val="left"/>
      <w:pPr>
        <w:tabs>
          <w:tab w:val="num" w:pos="648"/>
        </w:tabs>
        <w:ind w:left="648" w:hanging="648"/>
      </w:pPr>
      <w:rPr>
        <w:rFonts w:ascii="Times New Roman" w:hAnsi="Times New Roman" w:hint="default"/>
        <w:sz w:val="24"/>
      </w:rPr>
    </w:lvl>
    <w:lvl w:ilvl="1">
      <w:start w:val="1"/>
      <w:numFmt w:val="lowerLetter"/>
      <w:lvlText w:val="%2."/>
      <w:lvlJc w:val="left"/>
      <w:pPr>
        <w:tabs>
          <w:tab w:val="num" w:pos="648"/>
        </w:tabs>
        <w:ind w:left="648" w:hanging="432"/>
      </w:pPr>
      <w:rPr>
        <w:rFonts w:hint="default"/>
        <w:sz w:val="24"/>
      </w:rPr>
    </w:lvl>
    <w:lvl w:ilvl="2">
      <w:start w:val="2"/>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58"/>
        </w:tabs>
        <w:ind w:left="936" w:hanging="144"/>
      </w:pPr>
      <w:rPr>
        <w:rFonts w:hint="default"/>
      </w:rPr>
    </w:lvl>
    <w:lvl w:ilvl="6">
      <w:start w:val="1"/>
      <w:numFmt w:val="lowerLetter"/>
      <w:lvlText w:val="%7."/>
      <w:lvlJc w:val="left"/>
      <w:pPr>
        <w:tabs>
          <w:tab w:val="num" w:pos="1296"/>
        </w:tabs>
        <w:ind w:left="1296"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5">
    <w:nsid w:val="4849581F"/>
    <w:multiLevelType w:val="multilevel"/>
    <w:tmpl w:val="07DE54CC"/>
    <w:lvl w:ilvl="0">
      <w:start w:val="13"/>
      <w:numFmt w:val="decimal"/>
      <w:lvlText w:val="%1."/>
      <w:lvlJc w:val="left"/>
      <w:pPr>
        <w:tabs>
          <w:tab w:val="num" w:pos="648"/>
        </w:tabs>
        <w:ind w:left="648" w:hanging="648"/>
      </w:pPr>
      <w:rPr>
        <w:rFonts w:ascii="Times New Roman" w:hAnsi="Times New Roman" w:hint="default"/>
        <w:i w:val="0"/>
        <w:sz w:val="24"/>
      </w:rPr>
    </w:lvl>
    <w:lvl w:ilvl="1">
      <w:start w:val="1"/>
      <w:numFmt w:val="lowerLetter"/>
      <w:lvlText w:val="%2."/>
      <w:lvlJc w:val="left"/>
      <w:pPr>
        <w:tabs>
          <w:tab w:val="num" w:pos="648"/>
        </w:tabs>
        <w:ind w:left="648" w:hanging="432"/>
      </w:pPr>
      <w:rPr>
        <w:rFonts w:hint="default"/>
        <w:sz w:val="24"/>
      </w:rPr>
    </w:lvl>
    <w:lvl w:ilvl="2">
      <w:start w:val="2"/>
      <w:numFmt w:val="bullet"/>
      <w:lvlText w:val=""/>
      <w:lvlJc w:val="left"/>
      <w:pPr>
        <w:tabs>
          <w:tab w:val="num" w:pos="29"/>
        </w:tabs>
        <w:ind w:left="1152" w:hanging="144"/>
      </w:pPr>
      <w:rPr>
        <w:rFonts w:ascii="Wingdings" w:hAnsi="Wingdings" w:hint="default"/>
      </w:rPr>
    </w:lvl>
    <w:lvl w:ilvl="3">
      <w:start w:val="1"/>
      <w:numFmt w:val="none"/>
      <w:lvlText w:val=""/>
      <w:lvlJc w:val="left"/>
      <w:pPr>
        <w:tabs>
          <w:tab w:val="num" w:pos="648"/>
        </w:tabs>
        <w:ind w:left="648" w:hanging="288"/>
      </w:pPr>
      <w:rPr>
        <w:rFonts w:hint="default"/>
      </w:rPr>
    </w:lvl>
    <w:lvl w:ilvl="4">
      <w:start w:val="1"/>
      <w:numFmt w:val="bullet"/>
      <w:lvlText w:val=""/>
      <w:lvlJc w:val="left"/>
      <w:pPr>
        <w:tabs>
          <w:tab w:val="num" w:pos="-58"/>
        </w:tabs>
        <w:ind w:left="936" w:hanging="288"/>
      </w:pPr>
      <w:rPr>
        <w:rFonts w:ascii="Wingdings" w:hAnsi="Wingdings" w:hint="default"/>
      </w:rPr>
    </w:lvl>
    <w:lvl w:ilvl="5">
      <w:start w:val="1"/>
      <w:numFmt w:val="lowerLetter"/>
      <w:lvlText w:val="%6."/>
      <w:lvlJc w:val="right"/>
      <w:pPr>
        <w:tabs>
          <w:tab w:val="num" w:pos="-58"/>
        </w:tabs>
        <w:ind w:left="936" w:hanging="144"/>
      </w:pPr>
      <w:rPr>
        <w:rFonts w:hint="default"/>
      </w:rPr>
    </w:lvl>
    <w:lvl w:ilvl="6">
      <w:start w:val="1"/>
      <w:numFmt w:val="lowerLetter"/>
      <w:lvlText w:val="%7."/>
      <w:lvlJc w:val="left"/>
      <w:pPr>
        <w:tabs>
          <w:tab w:val="num" w:pos="1296"/>
        </w:tabs>
        <w:ind w:left="1296"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6">
    <w:nsid w:val="51C66830"/>
    <w:multiLevelType w:val="multilevel"/>
    <w:tmpl w:val="CB622450"/>
    <w:lvl w:ilvl="0">
      <w:start w:val="1"/>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bullet"/>
      <w:lvlText w:val=""/>
      <w:lvlJc w:val="left"/>
      <w:pPr>
        <w:tabs>
          <w:tab w:val="num" w:pos="14"/>
        </w:tabs>
        <w:ind w:left="1008" w:hanging="288"/>
      </w:pPr>
      <w:rPr>
        <w:rFonts w:ascii="Wingdings" w:hAnsi="Wingdings" w:hint="default"/>
      </w:rPr>
    </w:lvl>
    <w:lvl w:ilvl="5">
      <w:start w:val="1"/>
      <w:numFmt w:val="lowerRoman"/>
      <w:lvlText w:val="%6."/>
      <w:lvlJc w:val="right"/>
      <w:pPr>
        <w:tabs>
          <w:tab w:val="num" w:pos="5184"/>
        </w:tabs>
        <w:ind w:left="5184" w:hanging="180"/>
      </w:pPr>
      <w:rPr>
        <w:rFonts w:hint="default"/>
      </w:rPr>
    </w:lvl>
    <w:lvl w:ilvl="6">
      <w:start w:val="1"/>
      <w:numFmt w:val="decimal"/>
      <w:lvlText w:val="%7."/>
      <w:lvlJc w:val="left"/>
      <w:pPr>
        <w:tabs>
          <w:tab w:val="num" w:pos="5904"/>
        </w:tabs>
        <w:ind w:left="5904" w:hanging="360"/>
      </w:pPr>
      <w:rPr>
        <w:rFonts w:hint="default"/>
      </w:rPr>
    </w:lvl>
    <w:lvl w:ilvl="7">
      <w:start w:val="1"/>
      <w:numFmt w:val="lowerLetter"/>
      <w:lvlText w:val="%8."/>
      <w:lvlJc w:val="left"/>
      <w:pPr>
        <w:tabs>
          <w:tab w:val="num" w:pos="6624"/>
        </w:tabs>
        <w:ind w:left="6624" w:hanging="360"/>
      </w:pPr>
      <w:rPr>
        <w:rFonts w:hint="default"/>
      </w:rPr>
    </w:lvl>
    <w:lvl w:ilvl="8">
      <w:start w:val="1"/>
      <w:numFmt w:val="lowerRoman"/>
      <w:lvlText w:val="%9."/>
      <w:lvlJc w:val="right"/>
      <w:pPr>
        <w:tabs>
          <w:tab w:val="num" w:pos="7344"/>
        </w:tabs>
        <w:ind w:left="7344" w:hanging="180"/>
      </w:pPr>
      <w:rPr>
        <w:rFonts w:hint="default"/>
      </w:rPr>
    </w:lvl>
  </w:abstractNum>
  <w:abstractNum w:abstractNumId="7">
    <w:nsid w:val="64EC7BA3"/>
    <w:multiLevelType w:val="multilevel"/>
    <w:tmpl w:val="2CE847A8"/>
    <w:lvl w:ilvl="0">
      <w:start w:val="3"/>
      <w:numFmt w:val="decimal"/>
      <w:lvlText w:val="%1."/>
      <w:lvlJc w:val="left"/>
      <w:pPr>
        <w:tabs>
          <w:tab w:val="num" w:pos="720"/>
        </w:tabs>
        <w:ind w:left="720" w:hanging="648"/>
      </w:pPr>
      <w:rPr>
        <w:rFonts w:ascii="Times New Roman" w:hAnsi="Times New Roman" w:hint="default"/>
        <w:sz w:val="24"/>
      </w:rPr>
    </w:lvl>
    <w:lvl w:ilvl="1">
      <w:start w:val="1"/>
      <w:numFmt w:val="lowerLetter"/>
      <w:lvlText w:val="%2."/>
      <w:lvlJc w:val="left"/>
      <w:pPr>
        <w:tabs>
          <w:tab w:val="num" w:pos="720"/>
        </w:tabs>
        <w:ind w:left="720" w:hanging="432"/>
      </w:pPr>
      <w:rPr>
        <w:rFonts w:hint="default"/>
        <w:sz w:val="24"/>
      </w:rPr>
    </w:lvl>
    <w:lvl w:ilvl="2">
      <w:start w:val="1"/>
      <w:numFmt w:val="bullet"/>
      <w:lvlText w:val=""/>
      <w:lvlJc w:val="left"/>
      <w:pPr>
        <w:tabs>
          <w:tab w:val="num" w:pos="720"/>
        </w:tabs>
        <w:ind w:left="720" w:hanging="216"/>
      </w:pPr>
      <w:rPr>
        <w:rFonts w:ascii="Wingdings" w:hAnsi="Wingdings" w:hint="default"/>
      </w:rPr>
    </w:lvl>
    <w:lvl w:ilvl="3">
      <w:start w:val="1"/>
      <w:numFmt w:val="none"/>
      <w:lvlText w:val=""/>
      <w:lvlJc w:val="left"/>
      <w:pPr>
        <w:tabs>
          <w:tab w:val="num" w:pos="720"/>
        </w:tabs>
        <w:ind w:left="720" w:hanging="288"/>
      </w:pPr>
      <w:rPr>
        <w:rFonts w:hint="default"/>
      </w:rPr>
    </w:lvl>
    <w:lvl w:ilvl="4">
      <w:start w:val="1"/>
      <w:numFmt w:val="lowerLetter"/>
      <w:lvlText w:val="%5."/>
      <w:lvlJc w:val="left"/>
      <w:pPr>
        <w:tabs>
          <w:tab w:val="num" w:pos="14"/>
        </w:tabs>
        <w:ind w:left="1008" w:hanging="288"/>
      </w:pPr>
      <w:rPr>
        <w:rFonts w:hint="default"/>
      </w:rPr>
    </w:lvl>
    <w:lvl w:ilvl="5">
      <w:start w:val="1"/>
      <w:numFmt w:val="none"/>
      <w:lvlText w:val="%6"/>
      <w:lvlJc w:val="right"/>
      <w:pPr>
        <w:tabs>
          <w:tab w:val="num" w:pos="14"/>
        </w:tabs>
        <w:ind w:left="1008" w:hanging="144"/>
      </w:pPr>
      <w:rPr>
        <w:rFonts w:hint="default"/>
      </w:rPr>
    </w:lvl>
    <w:lvl w:ilvl="6">
      <w:start w:val="1"/>
      <w:numFmt w:val="bullet"/>
      <w:lvlText w:val=""/>
      <w:lvlJc w:val="left"/>
      <w:pPr>
        <w:tabs>
          <w:tab w:val="num" w:pos="29"/>
        </w:tabs>
        <w:ind w:left="1152" w:hanging="144"/>
      </w:pPr>
      <w:rPr>
        <w:rFonts w:ascii="Wingdings" w:hAnsi="Wingdings" w:hint="default"/>
      </w:rPr>
    </w:lvl>
    <w:lvl w:ilvl="7">
      <w:start w:val="1"/>
      <w:numFmt w:val="lowerLetter"/>
      <w:lvlText w:val="(%8)"/>
      <w:lvlJc w:val="left"/>
      <w:pPr>
        <w:tabs>
          <w:tab w:val="num" w:pos="14"/>
        </w:tabs>
        <w:ind w:left="1872" w:hanging="432"/>
      </w:pPr>
      <w:rPr>
        <w:rFonts w:hint="default"/>
      </w:rPr>
    </w:lvl>
    <w:lvl w:ilvl="8">
      <w:start w:val="1"/>
      <w:numFmt w:val="none"/>
      <w:lvlText w:val="%9"/>
      <w:lvlJc w:val="right"/>
      <w:pPr>
        <w:tabs>
          <w:tab w:val="num" w:pos="29"/>
        </w:tabs>
        <w:ind w:left="1152" w:hanging="144"/>
      </w:pPr>
      <w:rPr>
        <w:rFonts w:hint="default"/>
      </w:rPr>
    </w:lvl>
  </w:abstractNum>
  <w:num w:numId="1">
    <w:abstractNumId w:val="6"/>
  </w:num>
  <w:num w:numId="2">
    <w:abstractNumId w:val="3"/>
  </w:num>
  <w:num w:numId="3">
    <w:abstractNumId w:val="7"/>
  </w:num>
  <w:num w:numId="4">
    <w:abstractNumId w:val="0"/>
  </w:num>
  <w:num w:numId="5">
    <w:abstractNumId w:val="4"/>
  </w:num>
  <w:num w:numId="6">
    <w:abstractNumId w:val="5"/>
  </w:num>
  <w:num w:numId="7">
    <w:abstractNumId w:val="2"/>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66B04"/>
    <w:rsid w:val="00001CE5"/>
    <w:rsid w:val="000106C8"/>
    <w:rsid w:val="00013EE8"/>
    <w:rsid w:val="000149C8"/>
    <w:rsid w:val="00015F38"/>
    <w:rsid w:val="00016E6E"/>
    <w:rsid w:val="00023FA5"/>
    <w:rsid w:val="0002592D"/>
    <w:rsid w:val="00026737"/>
    <w:rsid w:val="000436D9"/>
    <w:rsid w:val="000476CE"/>
    <w:rsid w:val="00054DBC"/>
    <w:rsid w:val="000568A6"/>
    <w:rsid w:val="0006389D"/>
    <w:rsid w:val="00066755"/>
    <w:rsid w:val="00067202"/>
    <w:rsid w:val="00070001"/>
    <w:rsid w:val="00073EEB"/>
    <w:rsid w:val="00076DA8"/>
    <w:rsid w:val="000860DE"/>
    <w:rsid w:val="000871B9"/>
    <w:rsid w:val="00090790"/>
    <w:rsid w:val="000954BF"/>
    <w:rsid w:val="00095536"/>
    <w:rsid w:val="0009667A"/>
    <w:rsid w:val="000A3EA1"/>
    <w:rsid w:val="000A44D3"/>
    <w:rsid w:val="000A4959"/>
    <w:rsid w:val="000A53CD"/>
    <w:rsid w:val="000B76F5"/>
    <w:rsid w:val="000C01DC"/>
    <w:rsid w:val="000C02E9"/>
    <w:rsid w:val="000C107A"/>
    <w:rsid w:val="000C1844"/>
    <w:rsid w:val="000C1DEB"/>
    <w:rsid w:val="000C3197"/>
    <w:rsid w:val="000C7C3D"/>
    <w:rsid w:val="000C7CB5"/>
    <w:rsid w:val="000D3C40"/>
    <w:rsid w:val="000D66A8"/>
    <w:rsid w:val="000E18FB"/>
    <w:rsid w:val="000E1EB2"/>
    <w:rsid w:val="000E2A47"/>
    <w:rsid w:val="000E55B5"/>
    <w:rsid w:val="000F1107"/>
    <w:rsid w:val="000F545B"/>
    <w:rsid w:val="001007D6"/>
    <w:rsid w:val="00100DAA"/>
    <w:rsid w:val="00101906"/>
    <w:rsid w:val="0010541C"/>
    <w:rsid w:val="0010549E"/>
    <w:rsid w:val="00111AE9"/>
    <w:rsid w:val="00112E31"/>
    <w:rsid w:val="00114167"/>
    <w:rsid w:val="00114FF4"/>
    <w:rsid w:val="001243DE"/>
    <w:rsid w:val="001247CB"/>
    <w:rsid w:val="00130040"/>
    <w:rsid w:val="0013186C"/>
    <w:rsid w:val="00137F1B"/>
    <w:rsid w:val="001442D3"/>
    <w:rsid w:val="001625FD"/>
    <w:rsid w:val="00163253"/>
    <w:rsid w:val="00166AAB"/>
    <w:rsid w:val="00186A10"/>
    <w:rsid w:val="0019048F"/>
    <w:rsid w:val="00195833"/>
    <w:rsid w:val="001960D1"/>
    <w:rsid w:val="001A6FB4"/>
    <w:rsid w:val="001B4C04"/>
    <w:rsid w:val="001C006E"/>
    <w:rsid w:val="001D25A2"/>
    <w:rsid w:val="001F0EDC"/>
    <w:rsid w:val="001F1C1A"/>
    <w:rsid w:val="001F4F4A"/>
    <w:rsid w:val="001F7A1D"/>
    <w:rsid w:val="00200761"/>
    <w:rsid w:val="002027BF"/>
    <w:rsid w:val="00203380"/>
    <w:rsid w:val="002111C7"/>
    <w:rsid w:val="00221C8F"/>
    <w:rsid w:val="0022210C"/>
    <w:rsid w:val="00224F25"/>
    <w:rsid w:val="00226F30"/>
    <w:rsid w:val="00227094"/>
    <w:rsid w:val="002306C9"/>
    <w:rsid w:val="00236425"/>
    <w:rsid w:val="00240153"/>
    <w:rsid w:val="00243235"/>
    <w:rsid w:val="00253977"/>
    <w:rsid w:val="00257EED"/>
    <w:rsid w:val="002608C9"/>
    <w:rsid w:val="00266B04"/>
    <w:rsid w:val="00267FED"/>
    <w:rsid w:val="00274225"/>
    <w:rsid w:val="00283B7B"/>
    <w:rsid w:val="0028638F"/>
    <w:rsid w:val="0029122D"/>
    <w:rsid w:val="00292389"/>
    <w:rsid w:val="00294B38"/>
    <w:rsid w:val="00294E96"/>
    <w:rsid w:val="00295B95"/>
    <w:rsid w:val="002B3812"/>
    <w:rsid w:val="002B3E1A"/>
    <w:rsid w:val="002B4316"/>
    <w:rsid w:val="002B7A4C"/>
    <w:rsid w:val="002C3B0F"/>
    <w:rsid w:val="002D7B3C"/>
    <w:rsid w:val="003011A4"/>
    <w:rsid w:val="00301D7A"/>
    <w:rsid w:val="003068B8"/>
    <w:rsid w:val="00306CC0"/>
    <w:rsid w:val="003074A1"/>
    <w:rsid w:val="00314FCC"/>
    <w:rsid w:val="00317EF6"/>
    <w:rsid w:val="00327F58"/>
    <w:rsid w:val="00330C90"/>
    <w:rsid w:val="00333A2D"/>
    <w:rsid w:val="0035150A"/>
    <w:rsid w:val="00351DDF"/>
    <w:rsid w:val="00354BDE"/>
    <w:rsid w:val="00360871"/>
    <w:rsid w:val="00365EA4"/>
    <w:rsid w:val="00380BE8"/>
    <w:rsid w:val="00382F39"/>
    <w:rsid w:val="0038565F"/>
    <w:rsid w:val="00391FF0"/>
    <w:rsid w:val="00395FFC"/>
    <w:rsid w:val="003A54AE"/>
    <w:rsid w:val="003B4FF1"/>
    <w:rsid w:val="003B5933"/>
    <w:rsid w:val="003B6F43"/>
    <w:rsid w:val="003C2753"/>
    <w:rsid w:val="003D34D5"/>
    <w:rsid w:val="003D50F3"/>
    <w:rsid w:val="003E0893"/>
    <w:rsid w:val="003E7D39"/>
    <w:rsid w:val="003F1EDB"/>
    <w:rsid w:val="003F2244"/>
    <w:rsid w:val="003F2F92"/>
    <w:rsid w:val="003F5269"/>
    <w:rsid w:val="003F5DB1"/>
    <w:rsid w:val="004001CC"/>
    <w:rsid w:val="00401C2C"/>
    <w:rsid w:val="00402A6C"/>
    <w:rsid w:val="00404024"/>
    <w:rsid w:val="00406277"/>
    <w:rsid w:val="0041318C"/>
    <w:rsid w:val="00414CD2"/>
    <w:rsid w:val="0041534A"/>
    <w:rsid w:val="004155BE"/>
    <w:rsid w:val="00420EC4"/>
    <w:rsid w:val="004216AC"/>
    <w:rsid w:val="004228C0"/>
    <w:rsid w:val="0042451C"/>
    <w:rsid w:val="00431096"/>
    <w:rsid w:val="004315EA"/>
    <w:rsid w:val="00446A85"/>
    <w:rsid w:val="00446D5D"/>
    <w:rsid w:val="00447834"/>
    <w:rsid w:val="00451122"/>
    <w:rsid w:val="004514A0"/>
    <w:rsid w:val="00451FAA"/>
    <w:rsid w:val="004535BD"/>
    <w:rsid w:val="00454E7F"/>
    <w:rsid w:val="004578E6"/>
    <w:rsid w:val="004603A6"/>
    <w:rsid w:val="004623E1"/>
    <w:rsid w:val="00464266"/>
    <w:rsid w:val="00465803"/>
    <w:rsid w:val="00472436"/>
    <w:rsid w:val="00474575"/>
    <w:rsid w:val="00474F26"/>
    <w:rsid w:val="00477EA9"/>
    <w:rsid w:val="00483B4C"/>
    <w:rsid w:val="00486C85"/>
    <w:rsid w:val="0049406B"/>
    <w:rsid w:val="00495028"/>
    <w:rsid w:val="00496D11"/>
    <w:rsid w:val="004974E8"/>
    <w:rsid w:val="00497E50"/>
    <w:rsid w:val="004A08CC"/>
    <w:rsid w:val="004A2B94"/>
    <w:rsid w:val="004A3396"/>
    <w:rsid w:val="004A3C59"/>
    <w:rsid w:val="004B32A6"/>
    <w:rsid w:val="004B33DE"/>
    <w:rsid w:val="004B3A81"/>
    <w:rsid w:val="004B7144"/>
    <w:rsid w:val="004D0B05"/>
    <w:rsid w:val="004D6F01"/>
    <w:rsid w:val="004E2DDE"/>
    <w:rsid w:val="004E4F1A"/>
    <w:rsid w:val="004F0CE3"/>
    <w:rsid w:val="004F3061"/>
    <w:rsid w:val="0051787B"/>
    <w:rsid w:val="00520B55"/>
    <w:rsid w:val="00526477"/>
    <w:rsid w:val="00527B86"/>
    <w:rsid w:val="00533774"/>
    <w:rsid w:val="00536FF9"/>
    <w:rsid w:val="00555E70"/>
    <w:rsid w:val="00557170"/>
    <w:rsid w:val="00557AEA"/>
    <w:rsid w:val="005653E1"/>
    <w:rsid w:val="00565722"/>
    <w:rsid w:val="005676AA"/>
    <w:rsid w:val="005708FE"/>
    <w:rsid w:val="00572724"/>
    <w:rsid w:val="00575BD2"/>
    <w:rsid w:val="00580C98"/>
    <w:rsid w:val="00585D05"/>
    <w:rsid w:val="0059274D"/>
    <w:rsid w:val="00597022"/>
    <w:rsid w:val="005B4B00"/>
    <w:rsid w:val="005C2FC8"/>
    <w:rsid w:val="005C6848"/>
    <w:rsid w:val="005D1EE7"/>
    <w:rsid w:val="005D3BC2"/>
    <w:rsid w:val="005E4FD9"/>
    <w:rsid w:val="005E57A0"/>
    <w:rsid w:val="005F2799"/>
    <w:rsid w:val="005F4EEE"/>
    <w:rsid w:val="005F554F"/>
    <w:rsid w:val="006068FA"/>
    <w:rsid w:val="00606E30"/>
    <w:rsid w:val="006102EE"/>
    <w:rsid w:val="00640AA5"/>
    <w:rsid w:val="00641047"/>
    <w:rsid w:val="00651815"/>
    <w:rsid w:val="00662135"/>
    <w:rsid w:val="00667D31"/>
    <w:rsid w:val="006772F0"/>
    <w:rsid w:val="00680A0C"/>
    <w:rsid w:val="006828B9"/>
    <w:rsid w:val="006847D3"/>
    <w:rsid w:val="006953D5"/>
    <w:rsid w:val="00697B47"/>
    <w:rsid w:val="006A1608"/>
    <w:rsid w:val="006B228F"/>
    <w:rsid w:val="006B7E8C"/>
    <w:rsid w:val="006C2CC6"/>
    <w:rsid w:val="006D3740"/>
    <w:rsid w:val="006D4416"/>
    <w:rsid w:val="006D5289"/>
    <w:rsid w:val="006F0FD2"/>
    <w:rsid w:val="00705250"/>
    <w:rsid w:val="00706097"/>
    <w:rsid w:val="00712B2F"/>
    <w:rsid w:val="0071658B"/>
    <w:rsid w:val="00720526"/>
    <w:rsid w:val="00722439"/>
    <w:rsid w:val="00725C08"/>
    <w:rsid w:val="007321A2"/>
    <w:rsid w:val="0074760C"/>
    <w:rsid w:val="00747B1B"/>
    <w:rsid w:val="007723F6"/>
    <w:rsid w:val="00781CD6"/>
    <w:rsid w:val="007829B6"/>
    <w:rsid w:val="00784D42"/>
    <w:rsid w:val="00785296"/>
    <w:rsid w:val="00785C40"/>
    <w:rsid w:val="00787062"/>
    <w:rsid w:val="00792463"/>
    <w:rsid w:val="007A404E"/>
    <w:rsid w:val="007B3F97"/>
    <w:rsid w:val="007B4728"/>
    <w:rsid w:val="007B74AC"/>
    <w:rsid w:val="007C5C45"/>
    <w:rsid w:val="007E0086"/>
    <w:rsid w:val="007E47A3"/>
    <w:rsid w:val="007E49E5"/>
    <w:rsid w:val="008024F6"/>
    <w:rsid w:val="00804B8F"/>
    <w:rsid w:val="008075D7"/>
    <w:rsid w:val="00810518"/>
    <w:rsid w:val="008141D3"/>
    <w:rsid w:val="008206E1"/>
    <w:rsid w:val="008208C5"/>
    <w:rsid w:val="00820CDF"/>
    <w:rsid w:val="008218C7"/>
    <w:rsid w:val="00837A26"/>
    <w:rsid w:val="00842FD9"/>
    <w:rsid w:val="00853101"/>
    <w:rsid w:val="008557DB"/>
    <w:rsid w:val="00857CC9"/>
    <w:rsid w:val="00863E55"/>
    <w:rsid w:val="00866389"/>
    <w:rsid w:val="00867A8E"/>
    <w:rsid w:val="00871C91"/>
    <w:rsid w:val="00873286"/>
    <w:rsid w:val="00877CFB"/>
    <w:rsid w:val="00887E6E"/>
    <w:rsid w:val="00892304"/>
    <w:rsid w:val="008943EB"/>
    <w:rsid w:val="0089783C"/>
    <w:rsid w:val="008A0AA5"/>
    <w:rsid w:val="008A17DD"/>
    <w:rsid w:val="008A50FA"/>
    <w:rsid w:val="008A6C8A"/>
    <w:rsid w:val="008A7ADF"/>
    <w:rsid w:val="008B443E"/>
    <w:rsid w:val="008B54A2"/>
    <w:rsid w:val="008C09CF"/>
    <w:rsid w:val="008C1667"/>
    <w:rsid w:val="008C18C0"/>
    <w:rsid w:val="008D2045"/>
    <w:rsid w:val="008E0E04"/>
    <w:rsid w:val="008E3D5A"/>
    <w:rsid w:val="008E7DDF"/>
    <w:rsid w:val="008F0E6D"/>
    <w:rsid w:val="008F5E84"/>
    <w:rsid w:val="0090429E"/>
    <w:rsid w:val="009065BF"/>
    <w:rsid w:val="00917021"/>
    <w:rsid w:val="009312E8"/>
    <w:rsid w:val="00934F62"/>
    <w:rsid w:val="00935849"/>
    <w:rsid w:val="0094008D"/>
    <w:rsid w:val="0094255B"/>
    <w:rsid w:val="0094732A"/>
    <w:rsid w:val="00954EC2"/>
    <w:rsid w:val="009566BF"/>
    <w:rsid w:val="00966E0E"/>
    <w:rsid w:val="0097324E"/>
    <w:rsid w:val="009845B2"/>
    <w:rsid w:val="00992A82"/>
    <w:rsid w:val="009A19CC"/>
    <w:rsid w:val="009A1E3A"/>
    <w:rsid w:val="009A4FE3"/>
    <w:rsid w:val="009A7498"/>
    <w:rsid w:val="009B2828"/>
    <w:rsid w:val="009C107E"/>
    <w:rsid w:val="009C2845"/>
    <w:rsid w:val="009C35BE"/>
    <w:rsid w:val="009C7DB8"/>
    <w:rsid w:val="009D6863"/>
    <w:rsid w:val="009E3261"/>
    <w:rsid w:val="009E4704"/>
    <w:rsid w:val="009E65A8"/>
    <w:rsid w:val="009E6CEB"/>
    <w:rsid w:val="009E72E8"/>
    <w:rsid w:val="009E7EB1"/>
    <w:rsid w:val="009F14AC"/>
    <w:rsid w:val="00A010E8"/>
    <w:rsid w:val="00A110B0"/>
    <w:rsid w:val="00A11CA2"/>
    <w:rsid w:val="00A33DC2"/>
    <w:rsid w:val="00A37C85"/>
    <w:rsid w:val="00A4045D"/>
    <w:rsid w:val="00A47C0D"/>
    <w:rsid w:val="00A518B0"/>
    <w:rsid w:val="00A52DD8"/>
    <w:rsid w:val="00A5677F"/>
    <w:rsid w:val="00A57970"/>
    <w:rsid w:val="00A618E5"/>
    <w:rsid w:val="00A75446"/>
    <w:rsid w:val="00A76C47"/>
    <w:rsid w:val="00A81590"/>
    <w:rsid w:val="00A908BC"/>
    <w:rsid w:val="00A91EA6"/>
    <w:rsid w:val="00A9388C"/>
    <w:rsid w:val="00A93CF2"/>
    <w:rsid w:val="00A93FD6"/>
    <w:rsid w:val="00AA1258"/>
    <w:rsid w:val="00AA2DF0"/>
    <w:rsid w:val="00AB2379"/>
    <w:rsid w:val="00AB30CA"/>
    <w:rsid w:val="00AC3347"/>
    <w:rsid w:val="00AC41E5"/>
    <w:rsid w:val="00AD558F"/>
    <w:rsid w:val="00AE149A"/>
    <w:rsid w:val="00AE661D"/>
    <w:rsid w:val="00AE7A3D"/>
    <w:rsid w:val="00AE7EF2"/>
    <w:rsid w:val="00AF4352"/>
    <w:rsid w:val="00AF6E68"/>
    <w:rsid w:val="00B01490"/>
    <w:rsid w:val="00B04A5D"/>
    <w:rsid w:val="00B1411F"/>
    <w:rsid w:val="00B25429"/>
    <w:rsid w:val="00B27E14"/>
    <w:rsid w:val="00B30367"/>
    <w:rsid w:val="00B31099"/>
    <w:rsid w:val="00B324CA"/>
    <w:rsid w:val="00B37594"/>
    <w:rsid w:val="00B43301"/>
    <w:rsid w:val="00B44D62"/>
    <w:rsid w:val="00B465EB"/>
    <w:rsid w:val="00B51487"/>
    <w:rsid w:val="00B53978"/>
    <w:rsid w:val="00B609B5"/>
    <w:rsid w:val="00B75714"/>
    <w:rsid w:val="00B75FDB"/>
    <w:rsid w:val="00B9322A"/>
    <w:rsid w:val="00B93252"/>
    <w:rsid w:val="00B93F79"/>
    <w:rsid w:val="00BA1084"/>
    <w:rsid w:val="00BA5F5E"/>
    <w:rsid w:val="00BC1AF1"/>
    <w:rsid w:val="00BC3486"/>
    <w:rsid w:val="00BC588B"/>
    <w:rsid w:val="00BC7C63"/>
    <w:rsid w:val="00BD06BC"/>
    <w:rsid w:val="00BD40AD"/>
    <w:rsid w:val="00BD7ED4"/>
    <w:rsid w:val="00BE538A"/>
    <w:rsid w:val="00BE5C74"/>
    <w:rsid w:val="00BF1434"/>
    <w:rsid w:val="00BF1A40"/>
    <w:rsid w:val="00BF43B9"/>
    <w:rsid w:val="00BF6778"/>
    <w:rsid w:val="00C03F57"/>
    <w:rsid w:val="00C04FA5"/>
    <w:rsid w:val="00C05A79"/>
    <w:rsid w:val="00C07FFD"/>
    <w:rsid w:val="00C15E86"/>
    <w:rsid w:val="00C2072B"/>
    <w:rsid w:val="00C24CE0"/>
    <w:rsid w:val="00C3016C"/>
    <w:rsid w:val="00C329AE"/>
    <w:rsid w:val="00C33E27"/>
    <w:rsid w:val="00C56615"/>
    <w:rsid w:val="00C57D78"/>
    <w:rsid w:val="00C61938"/>
    <w:rsid w:val="00C655B5"/>
    <w:rsid w:val="00C6574F"/>
    <w:rsid w:val="00C65CDF"/>
    <w:rsid w:val="00C71F00"/>
    <w:rsid w:val="00C7224E"/>
    <w:rsid w:val="00C849F5"/>
    <w:rsid w:val="00C859C5"/>
    <w:rsid w:val="00C90CB3"/>
    <w:rsid w:val="00C93483"/>
    <w:rsid w:val="00C9456E"/>
    <w:rsid w:val="00CA009F"/>
    <w:rsid w:val="00CA4496"/>
    <w:rsid w:val="00CA6E5C"/>
    <w:rsid w:val="00CB3747"/>
    <w:rsid w:val="00CB7D97"/>
    <w:rsid w:val="00CC10CB"/>
    <w:rsid w:val="00CC3F9F"/>
    <w:rsid w:val="00CC589A"/>
    <w:rsid w:val="00CD4570"/>
    <w:rsid w:val="00CD5EE8"/>
    <w:rsid w:val="00CE663B"/>
    <w:rsid w:val="00CF1B18"/>
    <w:rsid w:val="00D0074D"/>
    <w:rsid w:val="00D0347B"/>
    <w:rsid w:val="00D047F3"/>
    <w:rsid w:val="00D04A69"/>
    <w:rsid w:val="00D04B84"/>
    <w:rsid w:val="00D072CF"/>
    <w:rsid w:val="00D07CE3"/>
    <w:rsid w:val="00D11F12"/>
    <w:rsid w:val="00D12AAD"/>
    <w:rsid w:val="00D15C91"/>
    <w:rsid w:val="00D26404"/>
    <w:rsid w:val="00D26530"/>
    <w:rsid w:val="00D347A4"/>
    <w:rsid w:val="00D36CAD"/>
    <w:rsid w:val="00D42C6C"/>
    <w:rsid w:val="00D45821"/>
    <w:rsid w:val="00D4690A"/>
    <w:rsid w:val="00D47221"/>
    <w:rsid w:val="00D51B34"/>
    <w:rsid w:val="00D5604B"/>
    <w:rsid w:val="00D571F3"/>
    <w:rsid w:val="00D605BC"/>
    <w:rsid w:val="00D60931"/>
    <w:rsid w:val="00D62283"/>
    <w:rsid w:val="00D62B95"/>
    <w:rsid w:val="00D64A34"/>
    <w:rsid w:val="00D7138B"/>
    <w:rsid w:val="00D7787A"/>
    <w:rsid w:val="00D823A2"/>
    <w:rsid w:val="00D870AC"/>
    <w:rsid w:val="00D97537"/>
    <w:rsid w:val="00DA7D52"/>
    <w:rsid w:val="00DB045B"/>
    <w:rsid w:val="00DC7B85"/>
    <w:rsid w:val="00DD562B"/>
    <w:rsid w:val="00DE09F8"/>
    <w:rsid w:val="00DE0DB7"/>
    <w:rsid w:val="00DE2688"/>
    <w:rsid w:val="00DE2CF1"/>
    <w:rsid w:val="00DE5F9C"/>
    <w:rsid w:val="00DF1DA9"/>
    <w:rsid w:val="00DF51A7"/>
    <w:rsid w:val="00DF791F"/>
    <w:rsid w:val="00E00CB4"/>
    <w:rsid w:val="00E030D2"/>
    <w:rsid w:val="00E03502"/>
    <w:rsid w:val="00E15D2C"/>
    <w:rsid w:val="00E15D75"/>
    <w:rsid w:val="00E2404B"/>
    <w:rsid w:val="00E30053"/>
    <w:rsid w:val="00E30B52"/>
    <w:rsid w:val="00E34773"/>
    <w:rsid w:val="00E366FE"/>
    <w:rsid w:val="00E5442E"/>
    <w:rsid w:val="00E55455"/>
    <w:rsid w:val="00E6041E"/>
    <w:rsid w:val="00E625FC"/>
    <w:rsid w:val="00E62E1A"/>
    <w:rsid w:val="00E677D0"/>
    <w:rsid w:val="00E70B34"/>
    <w:rsid w:val="00E72D87"/>
    <w:rsid w:val="00E758C9"/>
    <w:rsid w:val="00E80FB4"/>
    <w:rsid w:val="00E82119"/>
    <w:rsid w:val="00E822AC"/>
    <w:rsid w:val="00E83EF0"/>
    <w:rsid w:val="00E840E8"/>
    <w:rsid w:val="00E85D91"/>
    <w:rsid w:val="00E957C5"/>
    <w:rsid w:val="00E959CC"/>
    <w:rsid w:val="00EB2B32"/>
    <w:rsid w:val="00EB3322"/>
    <w:rsid w:val="00EB336B"/>
    <w:rsid w:val="00EB36FA"/>
    <w:rsid w:val="00EB5A10"/>
    <w:rsid w:val="00EC63C7"/>
    <w:rsid w:val="00ED1165"/>
    <w:rsid w:val="00ED3ACE"/>
    <w:rsid w:val="00EE1396"/>
    <w:rsid w:val="00EF0D87"/>
    <w:rsid w:val="00EF4E14"/>
    <w:rsid w:val="00F03B5A"/>
    <w:rsid w:val="00F03F69"/>
    <w:rsid w:val="00F13463"/>
    <w:rsid w:val="00F13D39"/>
    <w:rsid w:val="00F16725"/>
    <w:rsid w:val="00F21847"/>
    <w:rsid w:val="00F21FFD"/>
    <w:rsid w:val="00F23E5E"/>
    <w:rsid w:val="00F250E3"/>
    <w:rsid w:val="00F32C4F"/>
    <w:rsid w:val="00F42D26"/>
    <w:rsid w:val="00F50B2E"/>
    <w:rsid w:val="00F53819"/>
    <w:rsid w:val="00F5508C"/>
    <w:rsid w:val="00F568D6"/>
    <w:rsid w:val="00F6614B"/>
    <w:rsid w:val="00F66286"/>
    <w:rsid w:val="00F70D36"/>
    <w:rsid w:val="00F903F1"/>
    <w:rsid w:val="00F940B3"/>
    <w:rsid w:val="00FA07AE"/>
    <w:rsid w:val="00FA152E"/>
    <w:rsid w:val="00FA5406"/>
    <w:rsid w:val="00FB071A"/>
    <w:rsid w:val="00FB502A"/>
    <w:rsid w:val="00FC3047"/>
    <w:rsid w:val="00FC450C"/>
    <w:rsid w:val="00FC63A4"/>
    <w:rsid w:val="00FC6CA4"/>
    <w:rsid w:val="00FD03A2"/>
    <w:rsid w:val="00FD2D27"/>
    <w:rsid w:val="00FE37A3"/>
    <w:rsid w:val="00FE6F9A"/>
    <w:rsid w:val="00FF17E1"/>
    <w:rsid w:val="00FF3041"/>
    <w:rsid w:val="00FF3649"/>
    <w:rsid w:val="00FF3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6B04"/>
    <w:pPr>
      <w:tabs>
        <w:tab w:val="left" w:pos="720"/>
      </w:tabs>
      <w:spacing w:line="480" w:lineRule="atLeast"/>
      <w:ind w:left="720" w:hanging="720"/>
    </w:pPr>
    <w:rPr>
      <w:rFonts w:ascii="Courier" w:hAnsi="Courier"/>
      <w:sz w:val="24"/>
    </w:rPr>
  </w:style>
  <w:style w:type="paragraph" w:styleId="Title">
    <w:name w:val="Title"/>
    <w:basedOn w:val="Normal"/>
    <w:qFormat/>
    <w:rsid w:val="00266B04"/>
    <w:pPr>
      <w:tabs>
        <w:tab w:val="left" w:pos="720"/>
      </w:tabs>
      <w:ind w:left="720" w:hanging="720"/>
      <w:jc w:val="center"/>
    </w:pPr>
    <w:rPr>
      <w:sz w:val="24"/>
      <w:u w:val="single"/>
    </w:rPr>
  </w:style>
  <w:style w:type="paragraph" w:styleId="Subtitle">
    <w:name w:val="Subtitle"/>
    <w:basedOn w:val="Normal"/>
    <w:qFormat/>
    <w:rsid w:val="00266B04"/>
    <w:pPr>
      <w:tabs>
        <w:tab w:val="left" w:pos="720"/>
      </w:tabs>
      <w:spacing w:line="0" w:lineRule="atLeast"/>
      <w:ind w:left="720" w:hanging="720"/>
    </w:pPr>
    <w:rPr>
      <w:b/>
      <w:bCs/>
      <w:sz w:val="24"/>
    </w:rPr>
  </w:style>
  <w:style w:type="paragraph" w:styleId="Header">
    <w:name w:val="header"/>
    <w:basedOn w:val="Normal"/>
    <w:link w:val="HeaderChar"/>
    <w:rsid w:val="00266B04"/>
    <w:pPr>
      <w:tabs>
        <w:tab w:val="center" w:pos="4320"/>
        <w:tab w:val="right" w:pos="8640"/>
      </w:tabs>
    </w:pPr>
  </w:style>
  <w:style w:type="paragraph" w:styleId="Footer">
    <w:name w:val="footer"/>
    <w:basedOn w:val="Normal"/>
    <w:rsid w:val="00266B04"/>
    <w:pPr>
      <w:tabs>
        <w:tab w:val="center" w:pos="4320"/>
        <w:tab w:val="right" w:pos="8640"/>
      </w:tabs>
    </w:pPr>
  </w:style>
  <w:style w:type="paragraph" w:styleId="BodyText">
    <w:name w:val="Body Text"/>
    <w:basedOn w:val="Normal"/>
    <w:rsid w:val="0094732A"/>
    <w:pPr>
      <w:spacing w:after="120"/>
    </w:pPr>
  </w:style>
  <w:style w:type="table" w:styleId="TableGrid">
    <w:name w:val="Table Grid"/>
    <w:basedOn w:val="TableNormal"/>
    <w:rsid w:val="009473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B76F5"/>
    <w:rPr>
      <w:rFonts w:ascii="Tahoma" w:hAnsi="Tahoma" w:cs="Tahoma"/>
      <w:sz w:val="16"/>
      <w:szCs w:val="16"/>
    </w:rPr>
  </w:style>
  <w:style w:type="paragraph" w:customStyle="1" w:styleId="cfr5">
    <w:name w:val="cfr5"/>
    <w:basedOn w:val="Normal"/>
    <w:rsid w:val="00380BE8"/>
    <w:pPr>
      <w:spacing w:before="60" w:after="60"/>
      <w:ind w:left="640"/>
    </w:pPr>
    <w:rPr>
      <w:rFonts w:ascii="Arial" w:hAnsi="Arial" w:cs="Arial"/>
      <w:b/>
      <w:bCs/>
    </w:rPr>
  </w:style>
  <w:style w:type="paragraph" w:customStyle="1" w:styleId="FRNoticeHeading2">
    <w:name w:val="FR Notice Heading 2"/>
    <w:basedOn w:val="Normal"/>
    <w:rsid w:val="00C05A79"/>
    <w:pPr>
      <w:spacing w:line="360" w:lineRule="auto"/>
    </w:pPr>
    <w:rPr>
      <w:bCs/>
      <w:i/>
      <w:iCs/>
      <w:sz w:val="24"/>
    </w:rPr>
  </w:style>
  <w:style w:type="paragraph" w:styleId="ListParagraph">
    <w:name w:val="List Paragraph"/>
    <w:basedOn w:val="Normal"/>
    <w:uiPriority w:val="34"/>
    <w:qFormat/>
    <w:rsid w:val="00E34773"/>
    <w:pPr>
      <w:spacing w:after="200" w:line="276" w:lineRule="auto"/>
      <w:ind w:left="720"/>
      <w:contextualSpacing/>
    </w:pPr>
    <w:rPr>
      <w:rFonts w:ascii="Calibri" w:eastAsia="Calibri" w:hAnsi="Calibri"/>
      <w:sz w:val="22"/>
      <w:szCs w:val="22"/>
    </w:rPr>
  </w:style>
  <w:style w:type="character" w:customStyle="1" w:styleId="BodyTextIndentChar">
    <w:name w:val="Body Text Indent Char"/>
    <w:link w:val="BodyTextIndent"/>
    <w:rsid w:val="005D3BC2"/>
    <w:rPr>
      <w:rFonts w:ascii="Courier" w:hAnsi="Courier"/>
      <w:sz w:val="24"/>
    </w:rPr>
  </w:style>
  <w:style w:type="character" w:customStyle="1" w:styleId="HeaderChar">
    <w:name w:val="Header Char"/>
    <w:basedOn w:val="DefaultParagraphFont"/>
    <w:link w:val="Header"/>
    <w:rsid w:val="009E6CEB"/>
  </w:style>
  <w:style w:type="paragraph" w:styleId="BodyTextIndent3">
    <w:name w:val="Body Text Indent 3"/>
    <w:basedOn w:val="Normal"/>
    <w:link w:val="BodyTextIndent3Char"/>
    <w:rsid w:val="00BC1AF1"/>
    <w:pPr>
      <w:spacing w:after="120"/>
      <w:ind w:left="360"/>
    </w:pPr>
    <w:rPr>
      <w:sz w:val="16"/>
      <w:szCs w:val="16"/>
    </w:rPr>
  </w:style>
  <w:style w:type="character" w:customStyle="1" w:styleId="BodyTextIndent3Char">
    <w:name w:val="Body Text Indent 3 Char"/>
    <w:link w:val="BodyTextIndent3"/>
    <w:rsid w:val="00BC1AF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96622">
      <w:bodyDiv w:val="1"/>
      <w:marLeft w:val="0"/>
      <w:marRight w:val="0"/>
      <w:marTop w:val="0"/>
      <w:marBottom w:val="0"/>
      <w:divBdr>
        <w:top w:val="none" w:sz="0" w:space="0" w:color="auto"/>
        <w:left w:val="none" w:sz="0" w:space="0" w:color="auto"/>
        <w:bottom w:val="none" w:sz="0" w:space="0" w:color="auto"/>
        <w:right w:val="none" w:sz="0" w:space="0" w:color="auto"/>
      </w:divBdr>
    </w:div>
    <w:div w:id="312953376">
      <w:bodyDiv w:val="1"/>
      <w:marLeft w:val="0"/>
      <w:marRight w:val="0"/>
      <w:marTop w:val="0"/>
      <w:marBottom w:val="0"/>
      <w:divBdr>
        <w:top w:val="none" w:sz="0" w:space="0" w:color="auto"/>
        <w:left w:val="none" w:sz="0" w:space="0" w:color="auto"/>
        <w:bottom w:val="none" w:sz="0" w:space="0" w:color="auto"/>
        <w:right w:val="none" w:sz="0" w:space="0" w:color="auto"/>
      </w:divBdr>
    </w:div>
    <w:div w:id="513423799">
      <w:bodyDiv w:val="1"/>
      <w:marLeft w:val="0"/>
      <w:marRight w:val="0"/>
      <w:marTop w:val="0"/>
      <w:marBottom w:val="0"/>
      <w:divBdr>
        <w:top w:val="none" w:sz="0" w:space="0" w:color="auto"/>
        <w:left w:val="none" w:sz="0" w:space="0" w:color="auto"/>
        <w:bottom w:val="none" w:sz="0" w:space="0" w:color="auto"/>
        <w:right w:val="none" w:sz="0" w:space="0" w:color="auto"/>
      </w:divBdr>
    </w:div>
    <w:div w:id="571352155">
      <w:bodyDiv w:val="1"/>
      <w:marLeft w:val="0"/>
      <w:marRight w:val="0"/>
      <w:marTop w:val="0"/>
      <w:marBottom w:val="0"/>
      <w:divBdr>
        <w:top w:val="none" w:sz="0" w:space="0" w:color="auto"/>
        <w:left w:val="none" w:sz="0" w:space="0" w:color="auto"/>
        <w:bottom w:val="none" w:sz="0" w:space="0" w:color="auto"/>
        <w:right w:val="none" w:sz="0" w:space="0" w:color="auto"/>
      </w:divBdr>
    </w:div>
    <w:div w:id="643199741">
      <w:bodyDiv w:val="1"/>
      <w:marLeft w:val="0"/>
      <w:marRight w:val="0"/>
      <w:marTop w:val="0"/>
      <w:marBottom w:val="0"/>
      <w:divBdr>
        <w:top w:val="none" w:sz="0" w:space="0" w:color="auto"/>
        <w:left w:val="none" w:sz="0" w:space="0" w:color="auto"/>
        <w:bottom w:val="none" w:sz="0" w:space="0" w:color="auto"/>
        <w:right w:val="none" w:sz="0" w:space="0" w:color="auto"/>
      </w:divBdr>
    </w:div>
    <w:div w:id="822815599">
      <w:bodyDiv w:val="1"/>
      <w:marLeft w:val="0"/>
      <w:marRight w:val="0"/>
      <w:marTop w:val="0"/>
      <w:marBottom w:val="0"/>
      <w:divBdr>
        <w:top w:val="none" w:sz="0" w:space="0" w:color="auto"/>
        <w:left w:val="none" w:sz="0" w:space="0" w:color="auto"/>
        <w:bottom w:val="none" w:sz="0" w:space="0" w:color="auto"/>
        <w:right w:val="none" w:sz="0" w:space="0" w:color="auto"/>
      </w:divBdr>
    </w:div>
    <w:div w:id="824971063">
      <w:bodyDiv w:val="1"/>
      <w:marLeft w:val="0"/>
      <w:marRight w:val="0"/>
      <w:marTop w:val="0"/>
      <w:marBottom w:val="0"/>
      <w:divBdr>
        <w:top w:val="none" w:sz="0" w:space="0" w:color="auto"/>
        <w:left w:val="none" w:sz="0" w:space="0" w:color="auto"/>
        <w:bottom w:val="none" w:sz="0" w:space="0" w:color="auto"/>
        <w:right w:val="none" w:sz="0" w:space="0" w:color="auto"/>
      </w:divBdr>
    </w:div>
    <w:div w:id="980815388">
      <w:bodyDiv w:val="1"/>
      <w:marLeft w:val="0"/>
      <w:marRight w:val="0"/>
      <w:marTop w:val="0"/>
      <w:marBottom w:val="0"/>
      <w:divBdr>
        <w:top w:val="none" w:sz="0" w:space="0" w:color="auto"/>
        <w:left w:val="none" w:sz="0" w:space="0" w:color="auto"/>
        <w:bottom w:val="none" w:sz="0" w:space="0" w:color="auto"/>
        <w:right w:val="none" w:sz="0" w:space="0" w:color="auto"/>
      </w:divBdr>
    </w:div>
    <w:div w:id="1284729281">
      <w:bodyDiv w:val="1"/>
      <w:marLeft w:val="0"/>
      <w:marRight w:val="0"/>
      <w:marTop w:val="0"/>
      <w:marBottom w:val="0"/>
      <w:divBdr>
        <w:top w:val="none" w:sz="0" w:space="0" w:color="auto"/>
        <w:left w:val="none" w:sz="0" w:space="0" w:color="auto"/>
        <w:bottom w:val="none" w:sz="0" w:space="0" w:color="auto"/>
        <w:right w:val="none" w:sz="0" w:space="0" w:color="auto"/>
      </w:divBdr>
    </w:div>
    <w:div w:id="1290555826">
      <w:bodyDiv w:val="1"/>
      <w:marLeft w:val="0"/>
      <w:marRight w:val="0"/>
      <w:marTop w:val="0"/>
      <w:marBottom w:val="0"/>
      <w:divBdr>
        <w:top w:val="none" w:sz="0" w:space="0" w:color="auto"/>
        <w:left w:val="none" w:sz="0" w:space="0" w:color="auto"/>
        <w:bottom w:val="none" w:sz="0" w:space="0" w:color="auto"/>
        <w:right w:val="none" w:sz="0" w:space="0" w:color="auto"/>
      </w:divBdr>
    </w:div>
    <w:div w:id="1314607175">
      <w:bodyDiv w:val="1"/>
      <w:marLeft w:val="0"/>
      <w:marRight w:val="0"/>
      <w:marTop w:val="0"/>
      <w:marBottom w:val="0"/>
      <w:divBdr>
        <w:top w:val="none" w:sz="0" w:space="0" w:color="auto"/>
        <w:left w:val="none" w:sz="0" w:space="0" w:color="auto"/>
        <w:bottom w:val="none" w:sz="0" w:space="0" w:color="auto"/>
        <w:right w:val="none" w:sz="0" w:space="0" w:color="auto"/>
      </w:divBdr>
    </w:div>
    <w:div w:id="1432551539">
      <w:bodyDiv w:val="1"/>
      <w:marLeft w:val="0"/>
      <w:marRight w:val="0"/>
      <w:marTop w:val="0"/>
      <w:marBottom w:val="0"/>
      <w:divBdr>
        <w:top w:val="none" w:sz="0" w:space="0" w:color="auto"/>
        <w:left w:val="none" w:sz="0" w:space="0" w:color="auto"/>
        <w:bottom w:val="none" w:sz="0" w:space="0" w:color="auto"/>
        <w:right w:val="none" w:sz="0" w:space="0" w:color="auto"/>
      </w:divBdr>
    </w:div>
    <w:div w:id="1477256653">
      <w:bodyDiv w:val="1"/>
      <w:marLeft w:val="0"/>
      <w:marRight w:val="0"/>
      <w:marTop w:val="0"/>
      <w:marBottom w:val="0"/>
      <w:divBdr>
        <w:top w:val="none" w:sz="0" w:space="0" w:color="auto"/>
        <w:left w:val="none" w:sz="0" w:space="0" w:color="auto"/>
        <w:bottom w:val="none" w:sz="0" w:space="0" w:color="auto"/>
        <w:right w:val="none" w:sz="0" w:space="0" w:color="auto"/>
      </w:divBdr>
    </w:div>
    <w:div w:id="1572034866">
      <w:bodyDiv w:val="1"/>
      <w:marLeft w:val="0"/>
      <w:marRight w:val="0"/>
      <w:marTop w:val="0"/>
      <w:marBottom w:val="0"/>
      <w:divBdr>
        <w:top w:val="none" w:sz="0" w:space="0" w:color="auto"/>
        <w:left w:val="none" w:sz="0" w:space="0" w:color="auto"/>
        <w:bottom w:val="none" w:sz="0" w:space="0" w:color="auto"/>
        <w:right w:val="none" w:sz="0" w:space="0" w:color="auto"/>
      </w:divBdr>
    </w:div>
    <w:div w:id="1761636177">
      <w:bodyDiv w:val="1"/>
      <w:marLeft w:val="0"/>
      <w:marRight w:val="0"/>
      <w:marTop w:val="0"/>
      <w:marBottom w:val="0"/>
      <w:divBdr>
        <w:top w:val="none" w:sz="0" w:space="0" w:color="auto"/>
        <w:left w:val="none" w:sz="0" w:space="0" w:color="auto"/>
        <w:bottom w:val="none" w:sz="0" w:space="0" w:color="auto"/>
        <w:right w:val="none" w:sz="0" w:space="0" w:color="auto"/>
      </w:divBdr>
    </w:div>
    <w:div w:id="199702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F814A-E2D8-4D8B-8F23-ED3673AB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2797</Words>
  <Characters>15608</Characters>
  <Application>Microsoft Office Word</Application>
  <DocSecurity>4</DocSecurity>
  <Lines>600</Lines>
  <Paragraphs>418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17987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Jackie Robinson</dc:creator>
  <cp:lastModifiedBy>andruskodf</cp:lastModifiedBy>
  <cp:revision>2</cp:revision>
  <cp:lastPrinted>2011-10-14T12:57:00Z</cp:lastPrinted>
  <dcterms:created xsi:type="dcterms:W3CDTF">2011-10-24T16:31:00Z</dcterms:created>
  <dcterms:modified xsi:type="dcterms:W3CDTF">2011-10-24T16:31:00Z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1325088628</vt:i4>
  </property>
  <property fmtid="{D5CDD505-2E9C-101B-9397-08002B2CF9AE}" pid="4" name="_EmailSubject">
    <vt:lpwstr>new supporting statement for IC 1405-0105</vt:lpwstr>
  </property>
  <property fmtid="{D5CDD505-2E9C-101B-9397-08002B2CF9AE}" pid="5" name="_AuthorEmail">
    <vt:lpwstr>RobinsonJD@state.gov</vt:lpwstr>
  </property>
  <property fmtid="{D5CDD505-2E9C-101B-9397-08002B2CF9AE}" pid="6" name="_AuthorEmailDisplayName">
    <vt:lpwstr>Robinson, Jackie</vt:lpwstr>
  </property>
  <property fmtid="{D5CDD505-2E9C-101B-9397-08002B2CF9AE}" pid="7" name="_PreviousAdHocReviewCycleID">
    <vt:i4>1325088628</vt:i4>
  </property>
  <property fmtid="{D5CDD505-2E9C-101B-9397-08002B2CF9AE}" pid="8" name="_ReviewingToolsShownOnce">
    <vt:lpwstr/>
  </property>
</Properties>
</file>