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17" w:rsidRDefault="00206A25" w:rsidP="00901008">
      <w:pPr>
        <w:tabs>
          <w:tab w:val="clear" w:pos="432"/>
          <w:tab w:val="left" w:pos="-1080"/>
          <w:tab w:val="left" w:pos="7920"/>
        </w:tabs>
        <w:spacing w:line="240" w:lineRule="auto"/>
        <w:ind w:firstLine="0"/>
        <w:rPr>
          <w:rFonts w:ascii="Arial" w:hAnsi="Arial"/>
          <w:b/>
        </w:rPr>
      </w:pPr>
      <w:r>
        <w:rPr>
          <w:rFonts w:ascii="Arial" w:hAnsi="Arial"/>
          <w:b/>
        </w:rPr>
        <w:t>MEMORANDUM</w:t>
      </w:r>
    </w:p>
    <w:p w:rsidR="002B12A3" w:rsidRPr="00675AB2" w:rsidRDefault="001265FF" w:rsidP="00675AB2">
      <w:pPr>
        <w:tabs>
          <w:tab w:val="clear" w:pos="432"/>
          <w:tab w:val="left" w:pos="-1080"/>
          <w:tab w:val="left" w:pos="8010"/>
        </w:tabs>
        <w:spacing w:line="192" w:lineRule="auto"/>
        <w:ind w:firstLine="0"/>
        <w:rPr>
          <w:sz w:val="16"/>
          <w:szCs w:val="16"/>
        </w:rPr>
        <w:sectPr w:rsidR="002B12A3" w:rsidRPr="00675AB2" w:rsidSect="009025BD">
          <w:headerReference w:type="default" r:id="rId9"/>
          <w:footerReference w:type="first" r:id="rId10"/>
          <w:type w:val="continuous"/>
          <w:pgSz w:w="12240" w:h="15840" w:code="1"/>
          <w:pgMar w:top="1080" w:right="965" w:bottom="1080" w:left="965" w:header="720" w:footer="720" w:gutter="0"/>
          <w:paperSrc w:first="3" w:other="3"/>
          <w:cols w:num="2" w:space="720"/>
          <w:titlePg/>
        </w:sectPr>
      </w:pPr>
      <w:r>
        <w:rPr>
          <w:rFonts w:ascii="Arial" w:hAnsi="Arial"/>
          <w:b/>
        </w:rPr>
        <w:tab/>
      </w:r>
      <w:bookmarkStart w:id="3" w:name="MPRAddress"/>
      <w:bookmarkEnd w:id="3"/>
    </w:p>
    <w:p w:rsidR="006950ED" w:rsidRDefault="006950ED" w:rsidP="005F10D9">
      <w:pPr>
        <w:widowControl w:val="0"/>
        <w:tabs>
          <w:tab w:val="clear" w:pos="432"/>
          <w:tab w:val="left" w:pos="1440"/>
          <w:tab w:val="left" w:pos="7470"/>
        </w:tabs>
        <w:spacing w:line="240" w:lineRule="auto"/>
        <w:ind w:right="2923" w:firstLine="0"/>
        <w:rPr>
          <w:rFonts w:ascii="Arial" w:hAnsi="Arial"/>
          <w:b/>
          <w:sz w:val="20"/>
        </w:rPr>
      </w:pPr>
    </w:p>
    <w:p w:rsidR="006950ED" w:rsidRDefault="006950ED" w:rsidP="00082868">
      <w:pPr>
        <w:widowControl w:val="0"/>
        <w:tabs>
          <w:tab w:val="clear" w:pos="432"/>
          <w:tab w:val="left" w:pos="1440"/>
          <w:tab w:val="left" w:pos="7470"/>
        </w:tabs>
        <w:spacing w:line="240" w:lineRule="auto"/>
        <w:ind w:right="2923" w:firstLine="0"/>
        <w:rPr>
          <w:rFonts w:ascii="Arial" w:hAnsi="Arial"/>
          <w:b/>
          <w:sz w:val="20"/>
        </w:rPr>
      </w:pPr>
    </w:p>
    <w:p w:rsidR="00C1478C" w:rsidRDefault="00206A25" w:rsidP="005F10D9">
      <w:pPr>
        <w:widowControl w:val="0"/>
        <w:tabs>
          <w:tab w:val="clear" w:pos="432"/>
          <w:tab w:val="left" w:pos="1440"/>
          <w:tab w:val="left" w:pos="7470"/>
        </w:tabs>
        <w:spacing w:line="240" w:lineRule="auto"/>
        <w:ind w:right="2923" w:firstLine="0"/>
      </w:pPr>
      <w:r>
        <w:rPr>
          <w:rFonts w:ascii="Arial" w:hAnsi="Arial"/>
          <w:b/>
          <w:sz w:val="20"/>
        </w:rPr>
        <w:t>TO:</w:t>
      </w:r>
      <w:r>
        <w:tab/>
      </w:r>
      <w:bookmarkStart w:id="4" w:name="ToList"/>
      <w:bookmarkEnd w:id="4"/>
      <w:r w:rsidR="00675AB2">
        <w:t xml:space="preserve">Joseph </w:t>
      </w:r>
      <w:proofErr w:type="spellStart"/>
      <w:r w:rsidR="00675AB2">
        <w:t>Borson</w:t>
      </w:r>
      <w:proofErr w:type="spellEnd"/>
      <w:r w:rsidR="00675AB2">
        <w:t>, OMB</w:t>
      </w:r>
    </w:p>
    <w:p w:rsidR="00C1478C" w:rsidRDefault="00C1478C">
      <w:pPr>
        <w:widowControl w:val="0"/>
        <w:tabs>
          <w:tab w:val="clear" w:pos="432"/>
          <w:tab w:val="left" w:pos="1440"/>
          <w:tab w:val="left" w:pos="7380"/>
          <w:tab w:val="right" w:pos="9720"/>
        </w:tabs>
        <w:spacing w:line="240" w:lineRule="auto"/>
        <w:ind w:left="-446" w:right="-360" w:firstLine="446"/>
        <w:rPr>
          <w:rFonts w:ascii="Arial" w:hAnsi="Arial"/>
          <w:b/>
          <w:sz w:val="20"/>
        </w:rPr>
      </w:pPr>
    </w:p>
    <w:p w:rsidR="00C1478C" w:rsidRDefault="00206A25" w:rsidP="00B81C50">
      <w:pPr>
        <w:widowControl w:val="0"/>
        <w:tabs>
          <w:tab w:val="clear" w:pos="432"/>
          <w:tab w:val="left" w:pos="1440"/>
          <w:tab w:val="left" w:pos="8010"/>
          <w:tab w:val="right" w:pos="9720"/>
        </w:tabs>
        <w:spacing w:before="40" w:line="240" w:lineRule="auto"/>
        <w:ind w:right="-360" w:firstLine="0"/>
        <w:rPr>
          <w:b/>
          <w:w w:val="107"/>
          <w:sz w:val="16"/>
        </w:rPr>
      </w:pPr>
      <w:r>
        <w:rPr>
          <w:rFonts w:ascii="Arial" w:hAnsi="Arial"/>
          <w:b/>
          <w:sz w:val="20"/>
        </w:rPr>
        <w:t>FROM:</w:t>
      </w:r>
      <w:r>
        <w:tab/>
      </w:r>
      <w:bookmarkStart w:id="5" w:name="From"/>
      <w:bookmarkEnd w:id="5"/>
      <w:r w:rsidR="00675AB2">
        <w:t>Amy Farb, HHS/OAH and Seth Chamberlain, HHS/ACF</w:t>
      </w:r>
      <w:r>
        <w:tab/>
      </w:r>
      <w:r>
        <w:rPr>
          <w:rFonts w:ascii="Arial" w:hAnsi="Arial"/>
          <w:b/>
          <w:sz w:val="20"/>
        </w:rPr>
        <w:t>DATE:</w:t>
      </w:r>
      <w:r>
        <w:t xml:space="preserve"> </w:t>
      </w:r>
      <w:bookmarkStart w:id="6" w:name="DateMark"/>
      <w:bookmarkEnd w:id="6"/>
      <w:r w:rsidR="00675AB2">
        <w:t>7/27</w:t>
      </w:r>
      <w:r w:rsidR="00840EBA">
        <w:t>/2011</w:t>
      </w:r>
    </w:p>
    <w:p w:rsidR="00C1478C" w:rsidRDefault="00206A25" w:rsidP="00B81C50">
      <w:pPr>
        <w:widowControl w:val="0"/>
        <w:tabs>
          <w:tab w:val="clear" w:pos="432"/>
          <w:tab w:val="left" w:pos="1440"/>
          <w:tab w:val="left" w:pos="8010"/>
        </w:tabs>
        <w:spacing w:line="240" w:lineRule="auto"/>
        <w:ind w:left="-446" w:right="-360" w:firstLine="446"/>
      </w:pPr>
      <w:r>
        <w:tab/>
      </w:r>
      <w:r>
        <w:tab/>
      </w:r>
      <w:bookmarkStart w:id="7" w:name="MemoNumber"/>
      <w:bookmarkEnd w:id="7"/>
    </w:p>
    <w:p w:rsidR="00C1478C" w:rsidRDefault="00206A25" w:rsidP="009143AF">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8" w:name="Subject"/>
      <w:bookmarkEnd w:id="8"/>
      <w:r w:rsidR="00675AB2">
        <w:t>Additional Information</w:t>
      </w:r>
      <w:r w:rsidR="00840EBA">
        <w:t xml:space="preserve"> to Supporting Statement A of</w:t>
      </w:r>
      <w:r w:rsidR="00675AB2">
        <w:t xml:space="preserve"> Evaluation of Adolescent Pregnancy Prevention Approaches (</w:t>
      </w:r>
      <w:r w:rsidR="00840EBA">
        <w:t>PPA</w:t>
      </w:r>
      <w:r w:rsidR="00675AB2">
        <w:t>)</w:t>
      </w:r>
      <w:r w:rsidR="00840EBA">
        <w:t xml:space="preserve"> Emergency Clearance Package</w:t>
      </w:r>
      <w:r w:rsidR="00675AB2">
        <w:t>, OMB #0970-0360</w:t>
      </w:r>
    </w:p>
    <w:p w:rsidR="00C1478C" w:rsidRDefault="00675AB2">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127635</wp:posOffset>
                </wp:positionV>
                <wp:extent cx="6702425" cy="0"/>
                <wp:effectExtent l="9525" t="13335" r="1270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EQEAIAACgEAAAOAAAAZHJzL2Uyb0RvYy54bWysU9uO2yAQfa/Uf0C8J77UySZWnFVlJ31J&#10;u5F2+wEEcIyKAQGJE1X99w7kot3tS1XVD3hgZg5nZg6Lx1Mv0ZFbJ7SqcDZOMeKKaibUvsLfX9aj&#10;GUbOE8WI1IpX+Mwdflx+/LAYTMlz3WnJuEUAolw5mAp33psySRzteE/cWBuuwNlq2xMPW7tPmCUD&#10;oPcyydN0mgzaMmM15c7BaXNx4mXEb1tO/VPbOu6RrDBw83G1cd2FNVkuSLm3xHSCXmmQf2DRE6Hg&#10;0jtUQzxBByv+gOoFtdrp1o+p7hPdtoLyWANUk6XvqnnuiOGxFmiOM/c2uf8HS78dtxYJVuEcI0V6&#10;GNFGKI7y0JnBuBICarW1oTZ6Us9mo+kPh5SuO6L2PDJ8ORtIy0JG8iYlbJwB/N3wVTOIIQevY5tO&#10;re0DJDQAneI0zvdp8JNHFA6nD2le5BOM6M2XkPKWaKzzX7juUTAqLIFzBCbHjfOBCClvIeEepddC&#10;yjhsqdBQ4fkEkIPHaSlYcMaN3e9qadGRBLnEL1b1Lszqg2IRrOOEra62J0JebLhcqoAHpQCdq3XR&#10;w895Ol/NVrNiVOTT1ahIm2b0eV0Xo+k6e5g0n5q6brJfgVpWlJ1gjKvA7qbNrPi72V9fyUVVd3Xe&#10;25C8RY/9ArK3fyQdZxnGdxHCTrPz1t5mDHKMwdenE/T+eg/26we+/A0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JxFEQEAIA&#10;ACgEAAAOAAAAAAAAAAAAAAAAAC4CAABkcnMvZTJvRG9jLnhtbFBLAQItABQABgAIAAAAIQCoMPFZ&#10;2wAAAAcBAAAPAAAAAAAAAAAAAAAAAGoEAABkcnMvZG93bnJldi54bWxQSwUGAAAAAAQABADzAAAA&#10;cgUAAAAA&#10;" o:allowincell="f"/>
            </w:pict>
          </mc:Fallback>
        </mc:AlternateContent>
      </w:r>
    </w:p>
    <w:p w:rsidR="00C1478C" w:rsidRDefault="00C1478C">
      <w:pPr>
        <w:pStyle w:val="NormalSS"/>
        <w:sectPr w:rsidR="00C1478C">
          <w:type w:val="continuous"/>
          <w:pgSz w:w="12240" w:h="15840" w:code="1"/>
          <w:pgMar w:top="1080" w:right="965" w:bottom="1080" w:left="965" w:header="720" w:footer="720" w:gutter="0"/>
          <w:paperSrc w:first="3" w:other="3"/>
          <w:cols w:space="720"/>
          <w:titlePg/>
        </w:sectPr>
      </w:pPr>
    </w:p>
    <w:p w:rsidR="00C1478C" w:rsidRDefault="00840EBA">
      <w:pPr>
        <w:pStyle w:val="NormalSS"/>
        <w:ind w:firstLine="0"/>
      </w:pPr>
      <w:bookmarkStart w:id="9" w:name="StartingPoint"/>
      <w:bookmarkEnd w:id="9"/>
      <w:r>
        <w:lastRenderedPageBreak/>
        <w:t xml:space="preserve">This memorandum </w:t>
      </w:r>
      <w:r w:rsidR="00675AB2">
        <w:t xml:space="preserve">provides additional information to </w:t>
      </w:r>
      <w:r>
        <w:t xml:space="preserve">Supporting Statement A of the OMB Clearance Package submitted for emergency review for the Evaluation of Adolescent Pregnancy </w:t>
      </w:r>
      <w:r w:rsidR="00675AB2">
        <w:t xml:space="preserve">Prevention Approaches (PPA). This information </w:t>
      </w:r>
      <w:r>
        <w:t>prov</w:t>
      </w:r>
      <w:r w:rsidR="00052F29">
        <w:t>ide</w:t>
      </w:r>
      <w:r w:rsidR="00675AB2">
        <w:t>s</w:t>
      </w:r>
      <w:r w:rsidR="00052F29">
        <w:t xml:space="preserve"> additional justification of the need for site-specific baseline instruments, and to explain any implications of site-specific instruments for the study’s statistical power.</w:t>
      </w:r>
    </w:p>
    <w:p w:rsidR="00052F29" w:rsidRDefault="00052F29">
      <w:pPr>
        <w:pStyle w:val="NormalSS"/>
        <w:ind w:firstLine="0"/>
      </w:pPr>
    </w:p>
    <w:p w:rsidR="00052F29" w:rsidRDefault="00FD40E9" w:rsidP="00052F29">
      <w:pPr>
        <w:pStyle w:val="Heading3"/>
      </w:pPr>
      <w:r>
        <w:t>A</w:t>
      </w:r>
      <w:r w:rsidR="00052F29">
        <w:t>.</w:t>
      </w:r>
      <w:r w:rsidR="00052F29">
        <w:tab/>
        <w:t>Context</w:t>
      </w:r>
    </w:p>
    <w:p w:rsidR="00052F29" w:rsidRDefault="00052F29" w:rsidP="00052F29">
      <w:pPr>
        <w:pStyle w:val="NormalSS"/>
      </w:pPr>
      <w:r w:rsidRPr="00052F29">
        <w:t>The PPA</w:t>
      </w:r>
      <w:r>
        <w:t xml:space="preserve"> study</w:t>
      </w:r>
      <w:r w:rsidRPr="00052F29">
        <w:t xml:space="preserve"> is being conducted in seven separate </w:t>
      </w:r>
      <w:r>
        <w:t>evaluation sites. In each site, the study team is</w:t>
      </w:r>
      <w:r w:rsidRPr="00052F29">
        <w:t xml:space="preserve"> testing a different intervention, and program impacts will be analyzed and reported on separately for each site. This is different from studies that have multiple sites but combine</w:t>
      </w:r>
      <w:r>
        <w:t xml:space="preserve"> data</w:t>
      </w:r>
      <w:r w:rsidRPr="00052F29">
        <w:t xml:space="preserve"> for the purpose of analysis and report</w:t>
      </w:r>
      <w:r>
        <w:t>ing. In PPA, the sites are all separate.</w:t>
      </w:r>
    </w:p>
    <w:p w:rsidR="00052F29" w:rsidRDefault="00052F29" w:rsidP="00052F29">
      <w:pPr>
        <w:pStyle w:val="NormalSS"/>
        <w:ind w:firstLine="0"/>
      </w:pPr>
    </w:p>
    <w:p w:rsidR="00052F29" w:rsidRDefault="00FD40E9" w:rsidP="00052F29">
      <w:pPr>
        <w:pStyle w:val="Heading3"/>
      </w:pPr>
      <w:r>
        <w:t>B</w:t>
      </w:r>
      <w:r w:rsidR="00052F29">
        <w:t>.</w:t>
      </w:r>
      <w:r w:rsidR="00052F29">
        <w:tab/>
        <w:t>Need for Site-Specific Baseline Instruments</w:t>
      </w:r>
    </w:p>
    <w:p w:rsidR="00052F29" w:rsidRDefault="00FD40E9" w:rsidP="00052F29">
      <w:r>
        <w:t>There are three mai</w:t>
      </w:r>
      <w:r w:rsidR="002F2AC1">
        <w:t xml:space="preserve">n </w:t>
      </w:r>
      <w:r w:rsidR="00AC3799">
        <w:t xml:space="preserve">reasons that PPA requires </w:t>
      </w:r>
      <w:r>
        <w:t>a different baseline instrument for each site:</w:t>
      </w:r>
    </w:p>
    <w:p w:rsidR="00FD40E9" w:rsidRDefault="00FD40E9" w:rsidP="00FD40E9">
      <w:pPr>
        <w:pStyle w:val="NumberedBullet"/>
      </w:pPr>
      <w:r w:rsidRPr="00FD40E9">
        <w:rPr>
          <w:b/>
        </w:rPr>
        <w:t>Different program models</w:t>
      </w:r>
      <w:r>
        <w:t xml:space="preserve">. </w:t>
      </w:r>
      <w:r w:rsidRPr="00FD40E9">
        <w:t>The data needs vary across sites in part because the program models are ver</w:t>
      </w:r>
      <w:r>
        <w:t xml:space="preserve">y different. </w:t>
      </w:r>
      <w:r w:rsidR="00AC3799">
        <w:t>For example, o</w:t>
      </w:r>
      <w:r>
        <w:t>ne site is testing</w:t>
      </w:r>
      <w:r w:rsidRPr="00FD40E9">
        <w:t xml:space="preserve"> a clinic-based program to reduce repeat pregnancies among pregnant or parenting teens. </w:t>
      </w:r>
      <w:r>
        <w:t xml:space="preserve">Another site is </w:t>
      </w:r>
      <w:r w:rsidRPr="00FD40E9">
        <w:t xml:space="preserve">testing a program targeted to high-risk youth in group foster care homes. </w:t>
      </w:r>
      <w:r w:rsidR="00AC3799">
        <w:t>Two other</w:t>
      </w:r>
      <w:r w:rsidRPr="00FD40E9">
        <w:t xml:space="preserve"> sites are testing more traditional classroom-based curricula for middle or high school students. Each program has a different logic model and aims to change teens’ behaviors in different ways.</w:t>
      </w:r>
    </w:p>
    <w:p w:rsidR="00FD40E9" w:rsidRDefault="00FD40E9" w:rsidP="00FD40E9">
      <w:pPr>
        <w:pStyle w:val="NumberedBullet"/>
      </w:pPr>
      <w:r w:rsidRPr="00FD40E9">
        <w:rPr>
          <w:b/>
        </w:rPr>
        <w:t>Different samples</w:t>
      </w:r>
      <w:r w:rsidRPr="00FD40E9">
        <w:t>.</w:t>
      </w:r>
      <w:r>
        <w:t xml:space="preserve"> The evaluation samples also vary across sites. In some sites, the sample will be limited to a high-risk population like foster care youth or pregnant or parenting teens. In other sites, the sample will be a more general population of middle or high school students. Some baseline questions are not relevant for all these populations. For example, it is not necessary to ask pregnant or parenting teens whether they have ever had sex, but we do need to know information about their pregnancy histories. For foster care youth, some of the questions we ask </w:t>
      </w:r>
      <w:r w:rsidR="00390E03">
        <w:t xml:space="preserve">in other sites </w:t>
      </w:r>
      <w:r>
        <w:t xml:space="preserve">about family relationships and parents are either not relevant or potentially </w:t>
      </w:r>
      <w:r w:rsidR="00390E03">
        <w:t xml:space="preserve">too </w:t>
      </w:r>
      <w:r>
        <w:t>sensitive</w:t>
      </w:r>
      <w:r w:rsidR="00390E03">
        <w:t xml:space="preserve"> to ask of youth whose backgrounds often include experience of abuse.</w:t>
      </w:r>
    </w:p>
    <w:p w:rsidR="00FD40E9" w:rsidRDefault="00FD40E9" w:rsidP="00FD40E9">
      <w:pPr>
        <w:pStyle w:val="NumberedBullet"/>
      </w:pPr>
      <w:r>
        <w:rPr>
          <w:b/>
        </w:rPr>
        <w:lastRenderedPageBreak/>
        <w:t xml:space="preserve">Need to coordinate with grantees and local evaluators. </w:t>
      </w:r>
      <w:r w:rsidRPr="00FD40E9">
        <w:t>In six of our seven sites, we are working with local organizations that have received federal gr</w:t>
      </w:r>
      <w:r>
        <w:t>ants from either the Administration for Children and Families (ACF) or the Office of Adolescent Health (OAH)</w:t>
      </w:r>
      <w:r w:rsidRPr="00FD40E9">
        <w:t xml:space="preserve"> to </w:t>
      </w:r>
      <w:r w:rsidR="00390E03">
        <w:t xml:space="preserve">implement and </w:t>
      </w:r>
      <w:r w:rsidRPr="00FD40E9">
        <w:t xml:space="preserve">test their programs. </w:t>
      </w:r>
      <w:r w:rsidR="00390E03">
        <w:t xml:space="preserve">To meet a requirement </w:t>
      </w:r>
      <w:r w:rsidRPr="00FD40E9">
        <w:t xml:space="preserve">of their grant awards, each grantee has contracted with a local evaluator to conduct an independent </w:t>
      </w:r>
      <w:r w:rsidR="004166D2">
        <w:t xml:space="preserve">study </w:t>
      </w:r>
      <w:r w:rsidRPr="00FD40E9">
        <w:t>of its program. Now that these grantees have been selected as federal evaluatio</w:t>
      </w:r>
      <w:r w:rsidR="00AC3799">
        <w:t xml:space="preserve">n sites, we must work with </w:t>
      </w:r>
      <w:r w:rsidR="004166D2">
        <w:t xml:space="preserve">each of </w:t>
      </w:r>
      <w:r w:rsidR="00AC3799">
        <w:t>them</w:t>
      </w:r>
      <w:r w:rsidRPr="00FD40E9">
        <w:t xml:space="preserve"> </w:t>
      </w:r>
      <w:r w:rsidR="004166D2">
        <w:t>(</w:t>
      </w:r>
      <w:r w:rsidRPr="00FD40E9">
        <w:t xml:space="preserve">and </w:t>
      </w:r>
      <w:r w:rsidR="00AC3799">
        <w:t xml:space="preserve">the </w:t>
      </w:r>
      <w:r w:rsidR="004166D2">
        <w:t>local evaluator</w:t>
      </w:r>
      <w:r w:rsidR="00390E03">
        <w:t>s</w:t>
      </w:r>
      <w:r w:rsidR="004166D2">
        <w:t>)</w:t>
      </w:r>
      <w:r w:rsidR="00AC3799">
        <w:t xml:space="preserve"> to merge </w:t>
      </w:r>
      <w:r w:rsidR="004166D2">
        <w:t>our federal study with the study that they had already been planning.</w:t>
      </w:r>
      <w:r w:rsidRPr="00FD40E9">
        <w:t xml:space="preserve"> </w:t>
      </w:r>
      <w:r w:rsidR="004166D2">
        <w:t xml:space="preserve">As one component of this, we must work with each grantee and its local evaluator to develop a single survey instrument that meets the needs </w:t>
      </w:r>
      <w:r w:rsidR="00A91731">
        <w:t xml:space="preserve">and preferences </w:t>
      </w:r>
      <w:r w:rsidR="004166D2">
        <w:t>of both studies</w:t>
      </w:r>
      <w:r w:rsidR="00A91731">
        <w:t>.</w:t>
      </w:r>
      <w:r w:rsidR="004166D2" w:rsidRPr="00FD40E9">
        <w:t xml:space="preserve"> </w:t>
      </w:r>
      <w:r w:rsidRPr="00FD40E9">
        <w:t xml:space="preserve">A </w:t>
      </w:r>
      <w:r w:rsidR="004166D2">
        <w:t xml:space="preserve">critical </w:t>
      </w:r>
      <w:r w:rsidRPr="00FD40E9">
        <w:t xml:space="preserve">part of this </w:t>
      </w:r>
      <w:r w:rsidR="00ED388A">
        <w:t>process</w:t>
      </w:r>
      <w:r w:rsidRPr="00FD40E9">
        <w:t xml:space="preserve"> has involved allowing the grantees and local evaluators some input on </w:t>
      </w:r>
      <w:r w:rsidR="00ED388A">
        <w:t xml:space="preserve">the </w:t>
      </w:r>
      <w:r w:rsidRPr="00FD40E9">
        <w:t xml:space="preserve">survey </w:t>
      </w:r>
      <w:r w:rsidR="00ED388A">
        <w:t xml:space="preserve">content, </w:t>
      </w:r>
      <w:r w:rsidR="00390E03">
        <w:t xml:space="preserve">while still ensuring that there is no negative effect on </w:t>
      </w:r>
      <w:r w:rsidR="00011716">
        <w:t>the quality o</w:t>
      </w:r>
      <w:r w:rsidR="005E0571">
        <w:t>f</w:t>
      </w:r>
      <w:r w:rsidR="00011716">
        <w:t xml:space="preserve"> </w:t>
      </w:r>
      <w:r w:rsidR="00ED388A">
        <w:t>the federal evaluation</w:t>
      </w:r>
      <w:r w:rsidR="005E0571">
        <w:t xml:space="preserve"> and our ability to achieve its goals</w:t>
      </w:r>
      <w:r w:rsidRPr="00FD40E9">
        <w:t>.</w:t>
      </w:r>
    </w:p>
    <w:p w:rsidR="002F2AC1" w:rsidRDefault="002F2AC1" w:rsidP="002F2AC1">
      <w:pPr>
        <w:pStyle w:val="Heading3"/>
      </w:pPr>
      <w:r>
        <w:t>C.</w:t>
      </w:r>
      <w:r>
        <w:tab/>
        <w:t>Implications for Statistical Power</w:t>
      </w:r>
    </w:p>
    <w:p w:rsidR="00714C47" w:rsidRDefault="00675AB2" w:rsidP="009F376B">
      <w:pPr>
        <w:pStyle w:val="NormalSS"/>
      </w:pPr>
      <w:r>
        <w:t>T</w:t>
      </w:r>
      <w:r w:rsidR="002F2AC1">
        <w:t xml:space="preserve">he </w:t>
      </w:r>
      <w:r>
        <w:t xml:space="preserve">PPA </w:t>
      </w:r>
      <w:r w:rsidR="002F2AC1">
        <w:t xml:space="preserve">study was designed from the outset to </w:t>
      </w:r>
      <w:r w:rsidR="00714C47">
        <w:t xml:space="preserve">recruit sites that could recruit sufficient sample to result in </w:t>
      </w:r>
      <w:r w:rsidR="002F2AC1">
        <w:t>adequate statistical power for each individual site.</w:t>
      </w:r>
      <w:r w:rsidR="002F2AC1" w:rsidRPr="002F2AC1">
        <w:t xml:space="preserve"> </w:t>
      </w:r>
      <w:r w:rsidR="00714C47">
        <w:t>The number of participants (and, in some cases, clusters) expected to be recruited at</w:t>
      </w:r>
      <w:bookmarkStart w:id="10" w:name="_GoBack"/>
      <w:bookmarkEnd w:id="10"/>
      <w:r w:rsidR="00714C47">
        <w:t xml:space="preserve"> each site meets or exceeds the target sample for each type of site.</w:t>
      </w:r>
    </w:p>
    <w:p w:rsidR="00714C47" w:rsidRDefault="00714C47" w:rsidP="009F376B">
      <w:pPr>
        <w:pStyle w:val="NormalSS"/>
      </w:pPr>
    </w:p>
    <w:p w:rsidR="009F376B" w:rsidRDefault="002F2AC1" w:rsidP="009F376B">
      <w:pPr>
        <w:pStyle w:val="NormalSS"/>
      </w:pPr>
      <w:r w:rsidRPr="002F2AC1">
        <w:t>On July 26, 2010, A</w:t>
      </w:r>
      <w:r>
        <w:t>CF received O</w:t>
      </w:r>
      <w:r w:rsidR="00C97D35">
        <w:t>MB approval for the general PPA data collection plans</w:t>
      </w:r>
      <w:r w:rsidRPr="002F2AC1">
        <w:t xml:space="preserve"> (OMB Control No. 0970-0360)</w:t>
      </w:r>
      <w:r w:rsidR="00C97D35">
        <w:t xml:space="preserve">. </w:t>
      </w:r>
      <w:r w:rsidR="00E0067E">
        <w:t>P</w:t>
      </w:r>
      <w:r w:rsidR="00714C47">
        <w:t>art of that approval was</w:t>
      </w:r>
      <w:r w:rsidR="00E0067E">
        <w:t xml:space="preserve"> the power calculations laid out in </w:t>
      </w:r>
      <w:r w:rsidR="00C97D35">
        <w:t xml:space="preserve">Supporting Statement B of that </w:t>
      </w:r>
      <w:r w:rsidR="00E0067E">
        <w:t>Clearance Package.  The PPA s</w:t>
      </w:r>
      <w:r w:rsidR="009F376B">
        <w:t xml:space="preserve">ite recruitment </w:t>
      </w:r>
      <w:r w:rsidR="00E0067E">
        <w:t xml:space="preserve">plans </w:t>
      </w:r>
      <w:r w:rsidR="009F376B">
        <w:t xml:space="preserve">targeted </w:t>
      </w:r>
      <w:r w:rsidR="00714C47">
        <w:t>programs</w:t>
      </w:r>
      <w:r w:rsidR="009F376B">
        <w:t xml:space="preserve"> that could support samples of</w:t>
      </w:r>
      <w:r w:rsidR="002B47CF">
        <w:t>: (1)</w:t>
      </w:r>
      <w:r w:rsidR="009F376B">
        <w:t xml:space="preserve"> 1,600 in the case of a school-based program involving </w:t>
      </w:r>
      <w:r w:rsidR="002B47CF">
        <w:t xml:space="preserve">a clustered, </w:t>
      </w:r>
      <w:r w:rsidR="009F376B">
        <w:t>random assignment of schools</w:t>
      </w:r>
      <w:r w:rsidR="002B47CF">
        <w:t>, design; or (2)</w:t>
      </w:r>
      <w:r w:rsidR="009F376B">
        <w:t xml:space="preserve"> 600 in the case of an elective program involving ran</w:t>
      </w:r>
      <w:r w:rsidR="00E0067E">
        <w:t>dom assignment of individuals, because t</w:t>
      </w:r>
      <w:r w:rsidR="009F376B">
        <w:t xml:space="preserve">hese target samples ensure minimum detectable impacts </w:t>
      </w:r>
      <w:r w:rsidR="00B253CE">
        <w:t xml:space="preserve">(MDIs) </w:t>
      </w:r>
      <w:r w:rsidR="009F376B">
        <w:t>for each site consistent with those observed previously in the literature (see Table 1 below).</w:t>
      </w:r>
    </w:p>
    <w:p w:rsidR="009F376B" w:rsidRDefault="009F376B" w:rsidP="009F376B">
      <w:pPr>
        <w:pStyle w:val="NormalSS"/>
      </w:pPr>
    </w:p>
    <w:p w:rsidR="002F2AC1" w:rsidRDefault="009F376B" w:rsidP="00185F22">
      <w:pPr>
        <w:pStyle w:val="NormalSS"/>
      </w:pPr>
      <w:r>
        <w:t>All of the PPA sites now recruited plan t</w:t>
      </w:r>
      <w:r w:rsidR="00381369">
        <w:t xml:space="preserve">o achieve the </w:t>
      </w:r>
      <w:r w:rsidR="00F6125B">
        <w:t xml:space="preserve">sample </w:t>
      </w:r>
      <w:r w:rsidR="00381369">
        <w:t>target</w:t>
      </w:r>
      <w:r w:rsidR="00F6125B">
        <w:t xml:space="preserve">s </w:t>
      </w:r>
      <w:r w:rsidR="00E0067E">
        <w:t xml:space="preserve">that meet or exceed the target samples </w:t>
      </w:r>
      <w:proofErr w:type="gramStart"/>
      <w:r w:rsidR="00E0067E">
        <w:t>laid</w:t>
      </w:r>
      <w:proofErr w:type="gramEnd"/>
      <w:r w:rsidR="00E0067E">
        <w:t xml:space="preserve"> out and approved in the previous OMB package.  </w:t>
      </w:r>
      <w:r w:rsidR="00381369">
        <w:t xml:space="preserve">The two new school-based sites recruited (Live the Life Ministries and Princeton Center for Leadership Training) </w:t>
      </w:r>
      <w:r w:rsidR="002B47CF">
        <w:t xml:space="preserve">will be evaluated </w:t>
      </w:r>
      <w:r w:rsidR="00011716">
        <w:t>through a clustered, random assignment of schools, design. As a result, both sites plan</w:t>
      </w:r>
      <w:r w:rsidR="00381369">
        <w:t xml:space="preserve"> to enroll </w:t>
      </w:r>
      <w:r w:rsidR="00011716">
        <w:t xml:space="preserve">relatively large samples </w:t>
      </w:r>
      <w:r w:rsidR="002B47CF">
        <w:t>–</w:t>
      </w:r>
      <w:r w:rsidR="00011716">
        <w:t xml:space="preserve"> </w:t>
      </w:r>
      <w:r w:rsidR="002B47CF">
        <w:t>at least</w:t>
      </w:r>
      <w:r w:rsidR="00011716">
        <w:t xml:space="preserve"> </w:t>
      </w:r>
      <w:r w:rsidR="00381369">
        <w:t>1,600 students per site</w:t>
      </w:r>
      <w:r w:rsidR="00011716">
        <w:t xml:space="preserve"> across </w:t>
      </w:r>
      <w:r w:rsidR="002B47CF">
        <w:t xml:space="preserve">a minimum of </w:t>
      </w:r>
      <w:r w:rsidR="00011716">
        <w:t>16 schools – consistent with the targeted sample size and power for this design. The remaining sites all feature rando</w:t>
      </w:r>
      <w:r w:rsidR="00B253CE">
        <w:t xml:space="preserve">m assignment of individuals or, </w:t>
      </w:r>
      <w:r w:rsidR="00011716">
        <w:t>in th</w:t>
      </w:r>
      <w:r w:rsidR="00B253CE">
        <w:t xml:space="preserve">e case of the foster-care </w:t>
      </w:r>
      <w:r w:rsidR="00011716">
        <w:t xml:space="preserve">program </w:t>
      </w:r>
      <w:r w:rsidR="00B253CE">
        <w:t xml:space="preserve">being implemented by the Oklahoma Institute for Child Advocacy, random assignment of such a large number of clusters (42 foster care agencies) that the MDIs </w:t>
      </w:r>
      <w:r w:rsidR="009257EC">
        <w:t xml:space="preserve">for that site are </w:t>
      </w:r>
      <w:r w:rsidR="00B253CE">
        <w:t>approximate</w:t>
      </w:r>
      <w:r w:rsidR="009257EC">
        <w:t>ly equivalent</w:t>
      </w:r>
      <w:r w:rsidR="00B253CE">
        <w:t xml:space="preserve"> to </w:t>
      </w:r>
      <w:r w:rsidR="00D946C1">
        <w:t>what they would be if individuals were randomly assigned.</w:t>
      </w:r>
      <w:r w:rsidR="009257EC">
        <w:t xml:space="preserve"> A</w:t>
      </w:r>
      <w:r w:rsidR="00B253CE">
        <w:t xml:space="preserve">ll </w:t>
      </w:r>
      <w:r w:rsidR="002B47CF">
        <w:t xml:space="preserve">of </w:t>
      </w:r>
      <w:r w:rsidR="00B253CE">
        <w:t xml:space="preserve">these sites plan to enroll at least 600 youth, consistent with the targeted sample size and power for this design. Specifically, </w:t>
      </w:r>
      <w:r w:rsidR="00381369">
        <w:t>the</w:t>
      </w:r>
      <w:r w:rsidR="00B253CE">
        <w:t xml:space="preserve"> sample sizes across the</w:t>
      </w:r>
      <w:r w:rsidR="00F6125B">
        <w:t>se</w:t>
      </w:r>
      <w:r w:rsidR="00B253CE">
        <w:t xml:space="preserve"> four sites are: </w:t>
      </w:r>
      <w:r w:rsidR="00381369">
        <w:t xml:space="preserve">600 (OhioHealth Research and Innovation Institute), 1,080 (Oklahoma Institute for Child Advocacy), </w:t>
      </w:r>
      <w:r w:rsidR="002B47CF">
        <w:t xml:space="preserve">1,124 (EngenderHealth) </w:t>
      </w:r>
      <w:r w:rsidR="00381369">
        <w:t>and</w:t>
      </w:r>
      <w:r w:rsidR="002B47CF" w:rsidRPr="002B47CF">
        <w:t xml:space="preserve"> </w:t>
      </w:r>
      <w:r w:rsidR="002B47CF">
        <w:t xml:space="preserve">1,400 (Children’s Hospital of Los Angeles). The variation across these different sites </w:t>
      </w:r>
      <w:r w:rsidR="00185F22">
        <w:t xml:space="preserve">largely </w:t>
      </w:r>
      <w:r w:rsidR="002B47CF">
        <w:t xml:space="preserve">reflects the opportunity to enroll even larger samples, improving our </w:t>
      </w:r>
      <w:r w:rsidR="00185F22">
        <w:t>power to</w:t>
      </w:r>
      <w:r w:rsidR="002B47CF">
        <w:t xml:space="preserve"> detect </w:t>
      </w:r>
      <w:r w:rsidR="00185F22">
        <w:t>meaningful program impacts even beyond the standard level (80 percent) targeted for the evaluation.</w:t>
      </w:r>
      <w:r w:rsidR="002B47CF">
        <w:t xml:space="preserve"> </w:t>
      </w:r>
      <w:r w:rsidR="002F2AC1">
        <w:br w:type="page"/>
      </w:r>
    </w:p>
    <w:p w:rsidR="002F2AC1" w:rsidRDefault="002F2AC1" w:rsidP="002F2AC1">
      <w:pPr>
        <w:pStyle w:val="NormalSS12continued"/>
        <w:rPr>
          <w:b/>
          <w:sz w:val="22"/>
          <w:szCs w:val="22"/>
        </w:rPr>
      </w:pPr>
      <w:r>
        <w:rPr>
          <w:b/>
          <w:sz w:val="22"/>
          <w:szCs w:val="22"/>
        </w:rPr>
        <w:lastRenderedPageBreak/>
        <w:t xml:space="preserve">Table </w:t>
      </w:r>
      <w:r w:rsidRPr="00686B3C">
        <w:rPr>
          <w:b/>
          <w:sz w:val="22"/>
          <w:szCs w:val="22"/>
        </w:rPr>
        <w:t>1</w:t>
      </w:r>
      <w:r>
        <w:rPr>
          <w:b/>
          <w:sz w:val="22"/>
          <w:szCs w:val="22"/>
        </w:rPr>
        <w:t>. Projected Minimum Detectable Impacts for Alternative Program Settings</w:t>
      </w:r>
      <w:r>
        <w:rPr>
          <w:b/>
          <w:sz w:val="22"/>
          <w:szCs w:val="22"/>
          <w:vertAlign w:val="superscript"/>
        </w:rPr>
        <w:t>a</w:t>
      </w:r>
    </w:p>
    <w:tbl>
      <w:tblPr>
        <w:tblW w:w="9728" w:type="dxa"/>
        <w:tblBorders>
          <w:top w:val="single" w:sz="4" w:space="0" w:color="auto"/>
          <w:bottom w:val="single" w:sz="4" w:space="0" w:color="auto"/>
        </w:tblBorders>
        <w:tblLook w:val="0000" w:firstRow="0" w:lastRow="0" w:firstColumn="0" w:lastColumn="0" w:noHBand="0" w:noVBand="0"/>
      </w:tblPr>
      <w:tblGrid>
        <w:gridCol w:w="2538"/>
        <w:gridCol w:w="1409"/>
        <w:gridCol w:w="1345"/>
        <w:gridCol w:w="1345"/>
        <w:gridCol w:w="516"/>
        <w:gridCol w:w="1287"/>
        <w:gridCol w:w="1288"/>
      </w:tblGrid>
      <w:tr w:rsidR="002F2AC1" w:rsidRPr="00854D7F" w:rsidTr="00390E03">
        <w:trPr>
          <w:cantSplit/>
        </w:trPr>
        <w:tc>
          <w:tcPr>
            <w:tcW w:w="2538" w:type="dxa"/>
            <w:tcBorders>
              <w:top w:val="single" w:sz="12" w:space="0" w:color="auto"/>
              <w:bottom w:val="nil"/>
            </w:tcBorders>
          </w:tcPr>
          <w:p w:rsidR="002F2AC1" w:rsidRDefault="002F2AC1" w:rsidP="00390E03">
            <w:pPr>
              <w:tabs>
                <w:tab w:val="clear" w:pos="432"/>
              </w:tabs>
              <w:spacing w:before="120" w:after="60" w:line="240" w:lineRule="auto"/>
              <w:ind w:firstLine="0"/>
              <w:rPr>
                <w:sz w:val="22"/>
                <w:szCs w:val="22"/>
              </w:rPr>
            </w:pPr>
          </w:p>
        </w:tc>
        <w:tc>
          <w:tcPr>
            <w:tcW w:w="1409" w:type="dxa"/>
            <w:tcBorders>
              <w:top w:val="single" w:sz="12" w:space="0" w:color="auto"/>
              <w:bottom w:val="nil"/>
            </w:tcBorders>
          </w:tcPr>
          <w:p w:rsidR="002F2AC1" w:rsidRDefault="002F2AC1" w:rsidP="00390E03">
            <w:pPr>
              <w:tabs>
                <w:tab w:val="clear" w:pos="432"/>
              </w:tabs>
              <w:spacing w:before="120" w:after="60" w:line="240" w:lineRule="auto"/>
              <w:ind w:firstLine="0"/>
              <w:jc w:val="center"/>
              <w:rPr>
                <w:sz w:val="22"/>
                <w:szCs w:val="22"/>
              </w:rPr>
            </w:pPr>
          </w:p>
        </w:tc>
        <w:tc>
          <w:tcPr>
            <w:tcW w:w="5781" w:type="dxa"/>
            <w:gridSpan w:val="5"/>
            <w:tcBorders>
              <w:top w:val="single" w:sz="12" w:space="0" w:color="auto"/>
              <w:bottom w:val="single" w:sz="4" w:space="0" w:color="auto"/>
            </w:tcBorders>
          </w:tcPr>
          <w:p w:rsidR="002F2AC1" w:rsidRDefault="002F2AC1" w:rsidP="00390E03">
            <w:pPr>
              <w:tabs>
                <w:tab w:val="clear" w:pos="432"/>
              </w:tabs>
              <w:spacing w:before="120" w:after="60" w:line="240" w:lineRule="auto"/>
              <w:ind w:firstLine="0"/>
              <w:jc w:val="center"/>
              <w:rPr>
                <w:sz w:val="22"/>
                <w:szCs w:val="22"/>
              </w:rPr>
            </w:pPr>
            <w:r w:rsidRPr="00854D7F">
              <w:rPr>
                <w:sz w:val="22"/>
                <w:szCs w:val="22"/>
              </w:rPr>
              <w:t>Minimum Detectable Impact for Illust</w:t>
            </w:r>
            <w:r>
              <w:rPr>
                <w:sz w:val="22"/>
                <w:szCs w:val="22"/>
              </w:rPr>
              <w:t>rative Outcome</w:t>
            </w:r>
          </w:p>
        </w:tc>
      </w:tr>
      <w:tr w:rsidR="002F2AC1" w:rsidRPr="00854D7F" w:rsidTr="00390E03">
        <w:trPr>
          <w:cantSplit/>
          <w:trHeight w:val="503"/>
        </w:trPr>
        <w:tc>
          <w:tcPr>
            <w:tcW w:w="2538" w:type="dxa"/>
            <w:tcBorders>
              <w:top w:val="nil"/>
              <w:bottom w:val="single" w:sz="4" w:space="0" w:color="auto"/>
            </w:tcBorders>
          </w:tcPr>
          <w:p w:rsidR="002F2AC1" w:rsidRPr="00854D7F" w:rsidRDefault="002F2AC1" w:rsidP="00390E03">
            <w:pPr>
              <w:tabs>
                <w:tab w:val="clear" w:pos="432"/>
              </w:tabs>
              <w:spacing w:line="240" w:lineRule="auto"/>
              <w:ind w:firstLine="0"/>
              <w:rPr>
                <w:sz w:val="22"/>
                <w:szCs w:val="22"/>
              </w:rPr>
            </w:pPr>
          </w:p>
          <w:p w:rsidR="002F2AC1" w:rsidRPr="00854D7F" w:rsidRDefault="002F2AC1" w:rsidP="00390E03">
            <w:pPr>
              <w:tabs>
                <w:tab w:val="clear" w:pos="432"/>
              </w:tabs>
              <w:spacing w:line="240" w:lineRule="auto"/>
              <w:ind w:firstLine="0"/>
              <w:rPr>
                <w:sz w:val="22"/>
                <w:szCs w:val="22"/>
              </w:rPr>
            </w:pPr>
            <w:r w:rsidRPr="00854D7F">
              <w:rPr>
                <w:sz w:val="22"/>
                <w:szCs w:val="22"/>
              </w:rPr>
              <w:t>Sample (specification)</w:t>
            </w:r>
          </w:p>
        </w:tc>
        <w:tc>
          <w:tcPr>
            <w:tcW w:w="1409" w:type="dxa"/>
            <w:tcBorders>
              <w:top w:val="nil"/>
              <w:bottom w:val="single" w:sz="4" w:space="0" w:color="auto"/>
            </w:tcBorders>
          </w:tcPr>
          <w:p w:rsidR="002F2AC1" w:rsidRPr="00854D7F" w:rsidRDefault="002F2AC1" w:rsidP="00390E03">
            <w:pPr>
              <w:tabs>
                <w:tab w:val="clear" w:pos="432"/>
              </w:tabs>
              <w:spacing w:line="240" w:lineRule="auto"/>
              <w:ind w:firstLine="0"/>
              <w:jc w:val="center"/>
              <w:rPr>
                <w:sz w:val="22"/>
                <w:szCs w:val="22"/>
              </w:rPr>
            </w:pPr>
          </w:p>
          <w:p w:rsidR="002F2AC1" w:rsidRPr="00854D7F" w:rsidRDefault="002F2AC1" w:rsidP="00390E03">
            <w:pPr>
              <w:tabs>
                <w:tab w:val="clear" w:pos="432"/>
              </w:tabs>
              <w:spacing w:line="240" w:lineRule="auto"/>
              <w:ind w:firstLine="0"/>
              <w:jc w:val="center"/>
              <w:rPr>
                <w:sz w:val="22"/>
                <w:szCs w:val="22"/>
              </w:rPr>
            </w:pPr>
          </w:p>
        </w:tc>
        <w:tc>
          <w:tcPr>
            <w:tcW w:w="2690" w:type="dxa"/>
            <w:gridSpan w:val="2"/>
            <w:tcBorders>
              <w:top w:val="single" w:sz="4" w:space="0" w:color="auto"/>
              <w:bottom w:val="single" w:sz="4" w:space="0" w:color="auto"/>
            </w:tcBorders>
          </w:tcPr>
          <w:p w:rsidR="002F2AC1" w:rsidRPr="00854D7F" w:rsidRDefault="002F2AC1" w:rsidP="00390E03">
            <w:pPr>
              <w:tabs>
                <w:tab w:val="clear" w:pos="432"/>
              </w:tabs>
              <w:spacing w:line="240" w:lineRule="auto"/>
              <w:ind w:firstLine="0"/>
              <w:jc w:val="center"/>
              <w:rPr>
                <w:sz w:val="22"/>
                <w:szCs w:val="22"/>
              </w:rPr>
            </w:pPr>
            <w:r>
              <w:rPr>
                <w:sz w:val="22"/>
                <w:szCs w:val="22"/>
              </w:rPr>
              <w:t>50% Proportion [stdv=0.5]</w:t>
            </w:r>
          </w:p>
          <w:p w:rsidR="002F2AC1" w:rsidRPr="00854D7F" w:rsidRDefault="002F2AC1" w:rsidP="00390E03">
            <w:pPr>
              <w:tabs>
                <w:tab w:val="clear" w:pos="432"/>
              </w:tabs>
              <w:spacing w:line="240" w:lineRule="auto"/>
              <w:ind w:firstLine="0"/>
              <w:jc w:val="center"/>
              <w:rPr>
                <w:sz w:val="22"/>
                <w:szCs w:val="22"/>
              </w:rPr>
            </w:pPr>
            <w:r w:rsidRPr="00854D7F">
              <w:rPr>
                <w:sz w:val="22"/>
                <w:szCs w:val="22"/>
              </w:rPr>
              <w:t xml:space="preserve">(e.g. Sexually Active) </w:t>
            </w:r>
          </w:p>
        </w:tc>
        <w:tc>
          <w:tcPr>
            <w:tcW w:w="516" w:type="dxa"/>
            <w:tcBorders>
              <w:top w:val="single" w:sz="4" w:space="0" w:color="auto"/>
              <w:bottom w:val="single" w:sz="4" w:space="0" w:color="auto"/>
            </w:tcBorders>
          </w:tcPr>
          <w:p w:rsidR="002F2AC1" w:rsidRPr="00854D7F" w:rsidRDefault="002F2AC1" w:rsidP="00390E03">
            <w:pPr>
              <w:tabs>
                <w:tab w:val="clear" w:pos="432"/>
              </w:tabs>
              <w:spacing w:line="240" w:lineRule="auto"/>
              <w:ind w:left="-107" w:firstLine="0"/>
              <w:jc w:val="center"/>
              <w:rPr>
                <w:sz w:val="22"/>
                <w:szCs w:val="22"/>
              </w:rPr>
            </w:pPr>
          </w:p>
        </w:tc>
        <w:tc>
          <w:tcPr>
            <w:tcW w:w="2575" w:type="dxa"/>
            <w:gridSpan w:val="2"/>
            <w:tcBorders>
              <w:top w:val="single" w:sz="4" w:space="0" w:color="auto"/>
              <w:bottom w:val="single" w:sz="4" w:space="0" w:color="auto"/>
            </w:tcBorders>
          </w:tcPr>
          <w:p w:rsidR="002F2AC1" w:rsidRPr="00854D7F" w:rsidRDefault="002F2AC1" w:rsidP="00390E03">
            <w:pPr>
              <w:spacing w:line="240" w:lineRule="auto"/>
              <w:ind w:firstLine="0"/>
              <w:jc w:val="center"/>
              <w:rPr>
                <w:sz w:val="22"/>
                <w:szCs w:val="22"/>
              </w:rPr>
            </w:pPr>
          </w:p>
          <w:p w:rsidR="002F2AC1" w:rsidRPr="00854D7F" w:rsidRDefault="002F2AC1" w:rsidP="00390E03">
            <w:pPr>
              <w:spacing w:line="240" w:lineRule="auto"/>
              <w:ind w:firstLine="0"/>
              <w:jc w:val="center"/>
              <w:rPr>
                <w:sz w:val="22"/>
                <w:szCs w:val="22"/>
              </w:rPr>
            </w:pPr>
            <w:r w:rsidRPr="00854D7F">
              <w:rPr>
                <w:sz w:val="22"/>
                <w:szCs w:val="22"/>
              </w:rPr>
              <w:t>Effect Size</w:t>
            </w:r>
            <w:r>
              <w:rPr>
                <w:sz w:val="22"/>
                <w:szCs w:val="22"/>
                <w:vertAlign w:val="superscript"/>
              </w:rPr>
              <w:t>b</w:t>
            </w:r>
          </w:p>
        </w:tc>
      </w:tr>
      <w:tr w:rsidR="002F2AC1" w:rsidRPr="00854D7F" w:rsidTr="00390E03">
        <w:trPr>
          <w:cantSplit/>
        </w:trPr>
        <w:tc>
          <w:tcPr>
            <w:tcW w:w="9728" w:type="dxa"/>
            <w:gridSpan w:val="7"/>
            <w:tcBorders>
              <w:top w:val="single" w:sz="4" w:space="0" w:color="auto"/>
              <w:bottom w:val="single" w:sz="4" w:space="0" w:color="auto"/>
            </w:tcBorders>
            <w:shd w:val="clear" w:color="auto" w:fill="C0C0C0"/>
          </w:tcPr>
          <w:p w:rsidR="002F2AC1" w:rsidRPr="00854D7F" w:rsidRDefault="002F2AC1" w:rsidP="00390E03">
            <w:pPr>
              <w:spacing w:line="240" w:lineRule="auto"/>
              <w:ind w:firstLine="0"/>
              <w:rPr>
                <w:sz w:val="22"/>
                <w:szCs w:val="22"/>
              </w:rPr>
            </w:pPr>
            <w:r w:rsidRPr="00854D7F">
              <w:rPr>
                <w:b/>
                <w:bCs/>
                <w:sz w:val="22"/>
                <w:szCs w:val="22"/>
              </w:rPr>
              <w:t>Random Assignment of Schools (in-school, non-elective programs)</w:t>
            </w:r>
            <w:r w:rsidRPr="00854D7F">
              <w:rPr>
                <w:i/>
                <w:iCs/>
                <w:sz w:val="22"/>
                <w:szCs w:val="22"/>
              </w:rPr>
              <w:t xml:space="preserve">: </w:t>
            </w:r>
            <w:r w:rsidRPr="00854D7F">
              <w:rPr>
                <w:sz w:val="22"/>
                <w:szCs w:val="22"/>
              </w:rPr>
              <w:t xml:space="preserve">Assumes 16 high schools randomized evenly between program and control groups with a total sample to 1600 youth per site (or about 100 youth per school). </w:t>
            </w:r>
          </w:p>
        </w:tc>
      </w:tr>
      <w:tr w:rsidR="002F2AC1" w:rsidRPr="00854D7F" w:rsidTr="00390E03">
        <w:trPr>
          <w:cantSplit/>
          <w:trHeight w:val="261"/>
        </w:trPr>
        <w:tc>
          <w:tcPr>
            <w:tcW w:w="3947" w:type="dxa"/>
            <w:gridSpan w:val="2"/>
            <w:tcBorders>
              <w:top w:val="nil"/>
              <w:bottom w:val="nil"/>
            </w:tcBorders>
          </w:tcPr>
          <w:p w:rsidR="002F2AC1" w:rsidRPr="00854D7F" w:rsidRDefault="002F2AC1" w:rsidP="00390E03">
            <w:pPr>
              <w:spacing w:line="240" w:lineRule="auto"/>
              <w:ind w:firstLine="0"/>
              <w:rPr>
                <w:sz w:val="22"/>
                <w:szCs w:val="22"/>
              </w:rPr>
            </w:pPr>
          </w:p>
        </w:tc>
        <w:tc>
          <w:tcPr>
            <w:tcW w:w="2690" w:type="dxa"/>
            <w:gridSpan w:val="2"/>
            <w:tcBorders>
              <w:top w:val="nil"/>
              <w:bottom w:val="nil"/>
            </w:tcBorders>
          </w:tcPr>
          <w:p w:rsidR="002F2AC1" w:rsidRPr="00854D7F" w:rsidRDefault="002F2AC1" w:rsidP="00390E03">
            <w:pPr>
              <w:pStyle w:val="NormalSS"/>
              <w:ind w:firstLine="0"/>
              <w:jc w:val="center"/>
              <w:rPr>
                <w:sz w:val="22"/>
                <w:szCs w:val="22"/>
              </w:rPr>
            </w:pPr>
            <w:r w:rsidRPr="00854D7F">
              <w:rPr>
                <w:sz w:val="22"/>
                <w:szCs w:val="22"/>
                <w:u w:val="single"/>
              </w:rPr>
              <w:t>Low ICC</w:t>
            </w:r>
            <w:r w:rsidRPr="003F2DC9">
              <w:rPr>
                <w:sz w:val="22"/>
                <w:szCs w:val="22"/>
                <w:u w:val="single"/>
                <w:vertAlign w:val="superscript"/>
              </w:rPr>
              <w:t xml:space="preserve">c </w:t>
            </w:r>
            <w:r w:rsidRPr="00F906F3">
              <w:rPr>
                <w:sz w:val="22"/>
                <w:szCs w:val="22"/>
              </w:rPr>
              <w:t xml:space="preserve">  </w:t>
            </w:r>
            <w:r>
              <w:rPr>
                <w:sz w:val="22"/>
                <w:szCs w:val="22"/>
              </w:rPr>
              <w:t xml:space="preserve">     </w:t>
            </w:r>
            <w:r w:rsidRPr="00854D7F">
              <w:rPr>
                <w:sz w:val="22"/>
                <w:szCs w:val="22"/>
                <w:u w:val="single"/>
              </w:rPr>
              <w:t>High ICC</w:t>
            </w:r>
            <w:r w:rsidRPr="003F2DC9">
              <w:rPr>
                <w:sz w:val="22"/>
                <w:szCs w:val="22"/>
                <w:u w:val="single"/>
                <w:vertAlign w:val="superscript"/>
              </w:rPr>
              <w:t>c</w:t>
            </w:r>
          </w:p>
        </w:tc>
        <w:tc>
          <w:tcPr>
            <w:tcW w:w="516" w:type="dxa"/>
            <w:tcBorders>
              <w:top w:val="nil"/>
              <w:bottom w:val="nil"/>
            </w:tcBorders>
          </w:tcPr>
          <w:p w:rsidR="002F2AC1" w:rsidRPr="00854D7F" w:rsidRDefault="002F2AC1" w:rsidP="00390E03">
            <w:pPr>
              <w:pStyle w:val="NormalSS"/>
              <w:ind w:firstLine="0"/>
              <w:jc w:val="center"/>
              <w:rPr>
                <w:sz w:val="22"/>
                <w:szCs w:val="22"/>
              </w:rPr>
            </w:pPr>
          </w:p>
        </w:tc>
        <w:tc>
          <w:tcPr>
            <w:tcW w:w="1287" w:type="dxa"/>
            <w:tcBorders>
              <w:top w:val="nil"/>
              <w:bottom w:val="nil"/>
            </w:tcBorders>
          </w:tcPr>
          <w:p w:rsidR="002F2AC1" w:rsidRPr="00854D7F" w:rsidRDefault="002F2AC1" w:rsidP="00390E03">
            <w:pPr>
              <w:pStyle w:val="NormalSS"/>
              <w:ind w:firstLine="0"/>
              <w:jc w:val="center"/>
              <w:rPr>
                <w:sz w:val="22"/>
                <w:szCs w:val="22"/>
              </w:rPr>
            </w:pPr>
            <w:r w:rsidRPr="00854D7F">
              <w:rPr>
                <w:sz w:val="22"/>
                <w:szCs w:val="22"/>
                <w:u w:val="single"/>
              </w:rPr>
              <w:t>Low ICC</w:t>
            </w:r>
            <w:r w:rsidRPr="003F2DC9">
              <w:rPr>
                <w:sz w:val="22"/>
                <w:szCs w:val="22"/>
                <w:u w:val="single"/>
                <w:vertAlign w:val="superscript"/>
              </w:rPr>
              <w:t xml:space="preserve">c </w:t>
            </w:r>
            <w:r w:rsidRPr="00F906F3">
              <w:rPr>
                <w:sz w:val="22"/>
                <w:szCs w:val="22"/>
              </w:rPr>
              <w:t xml:space="preserve">  </w:t>
            </w:r>
            <w:r>
              <w:rPr>
                <w:sz w:val="22"/>
                <w:szCs w:val="22"/>
              </w:rPr>
              <w:t xml:space="preserve">  </w:t>
            </w:r>
          </w:p>
        </w:tc>
        <w:tc>
          <w:tcPr>
            <w:tcW w:w="1288" w:type="dxa"/>
            <w:tcBorders>
              <w:top w:val="nil"/>
              <w:bottom w:val="nil"/>
            </w:tcBorders>
          </w:tcPr>
          <w:p w:rsidR="002F2AC1" w:rsidRPr="00854D7F" w:rsidRDefault="002F2AC1" w:rsidP="00390E03">
            <w:pPr>
              <w:pStyle w:val="NormalSS"/>
              <w:ind w:firstLine="0"/>
              <w:rPr>
                <w:sz w:val="22"/>
                <w:szCs w:val="22"/>
              </w:rPr>
            </w:pPr>
            <w:r w:rsidRPr="00854D7F">
              <w:rPr>
                <w:sz w:val="22"/>
                <w:szCs w:val="22"/>
                <w:u w:val="single"/>
              </w:rPr>
              <w:t>High ICC</w:t>
            </w:r>
            <w:r w:rsidRPr="003F2DC9">
              <w:rPr>
                <w:sz w:val="22"/>
                <w:szCs w:val="22"/>
                <w:u w:val="single"/>
                <w:vertAlign w:val="superscript"/>
              </w:rPr>
              <w:t>c</w:t>
            </w:r>
          </w:p>
        </w:tc>
      </w:tr>
      <w:tr w:rsidR="002F2AC1" w:rsidRPr="00854D7F" w:rsidTr="00390E03">
        <w:trPr>
          <w:cantSplit/>
          <w:trHeight w:val="261"/>
        </w:trPr>
        <w:tc>
          <w:tcPr>
            <w:tcW w:w="3947" w:type="dxa"/>
            <w:gridSpan w:val="2"/>
            <w:tcBorders>
              <w:top w:val="nil"/>
              <w:bottom w:val="nil"/>
            </w:tcBorders>
          </w:tcPr>
          <w:p w:rsidR="002F2AC1" w:rsidRPr="00854D7F" w:rsidRDefault="002F2AC1" w:rsidP="00390E03">
            <w:pPr>
              <w:spacing w:line="240" w:lineRule="auto"/>
              <w:ind w:firstLine="0"/>
              <w:rPr>
                <w:sz w:val="22"/>
                <w:szCs w:val="22"/>
              </w:rPr>
            </w:pPr>
            <w:r w:rsidRPr="00854D7F">
              <w:rPr>
                <w:sz w:val="22"/>
                <w:szCs w:val="22"/>
              </w:rPr>
              <w:t xml:space="preserve">1 Program site (1600 youth) </w:t>
            </w:r>
          </w:p>
          <w:p w:rsidR="002F2AC1" w:rsidRDefault="002F2AC1" w:rsidP="00390E03">
            <w:pPr>
              <w:spacing w:line="240" w:lineRule="auto"/>
              <w:ind w:firstLine="0"/>
              <w:rPr>
                <w:sz w:val="22"/>
                <w:szCs w:val="22"/>
              </w:rPr>
            </w:pPr>
            <w:r w:rsidRPr="00854D7F">
              <w:rPr>
                <w:sz w:val="22"/>
                <w:szCs w:val="22"/>
              </w:rPr>
              <w:t xml:space="preserve">   - Full sample </w:t>
            </w:r>
          </w:p>
          <w:p w:rsidR="002F2AC1" w:rsidRDefault="002F2AC1" w:rsidP="00390E03">
            <w:pPr>
              <w:spacing w:line="240" w:lineRule="auto"/>
              <w:ind w:firstLine="0"/>
              <w:rPr>
                <w:sz w:val="22"/>
                <w:szCs w:val="22"/>
              </w:rPr>
            </w:pPr>
            <w:r>
              <w:rPr>
                <w:sz w:val="22"/>
                <w:szCs w:val="22"/>
              </w:rPr>
              <w:t xml:space="preserve">   - 50% subgroup</w:t>
            </w:r>
            <w:r w:rsidRPr="00854D7F">
              <w:rPr>
                <w:sz w:val="22"/>
                <w:szCs w:val="22"/>
              </w:rPr>
              <w:t xml:space="preserve">           </w:t>
            </w:r>
          </w:p>
          <w:p w:rsidR="002F2AC1" w:rsidRPr="00854D7F" w:rsidRDefault="002F2AC1" w:rsidP="00390E03">
            <w:pPr>
              <w:spacing w:line="240" w:lineRule="auto"/>
              <w:ind w:firstLine="0"/>
              <w:rPr>
                <w:sz w:val="22"/>
                <w:szCs w:val="22"/>
              </w:rPr>
            </w:pPr>
            <w:r w:rsidRPr="00854D7F">
              <w:rPr>
                <w:sz w:val="22"/>
                <w:szCs w:val="22"/>
              </w:rPr>
              <w:t xml:space="preserve">  </w:t>
            </w:r>
          </w:p>
        </w:tc>
        <w:tc>
          <w:tcPr>
            <w:tcW w:w="1345" w:type="dxa"/>
            <w:tcBorders>
              <w:top w:val="nil"/>
              <w:bottom w:val="nil"/>
            </w:tcBorders>
          </w:tcPr>
          <w:p w:rsidR="002F2AC1" w:rsidRDefault="002F2AC1" w:rsidP="00390E03">
            <w:pPr>
              <w:pStyle w:val="NormalSS"/>
              <w:ind w:firstLine="0"/>
              <w:jc w:val="center"/>
              <w:rPr>
                <w:sz w:val="22"/>
                <w:szCs w:val="22"/>
              </w:rPr>
            </w:pPr>
          </w:p>
          <w:p w:rsidR="002F2AC1" w:rsidRDefault="002F2AC1" w:rsidP="00390E03">
            <w:pPr>
              <w:pStyle w:val="NormalSS"/>
              <w:ind w:firstLine="0"/>
              <w:jc w:val="center"/>
              <w:rPr>
                <w:sz w:val="22"/>
                <w:szCs w:val="22"/>
              </w:rPr>
            </w:pPr>
            <w:r>
              <w:rPr>
                <w:sz w:val="22"/>
                <w:szCs w:val="22"/>
              </w:rPr>
              <w:t>7.2</w:t>
            </w:r>
          </w:p>
          <w:p w:rsidR="002F2AC1" w:rsidRDefault="002F2AC1" w:rsidP="00390E03">
            <w:pPr>
              <w:pStyle w:val="NormalSS"/>
              <w:ind w:firstLine="0"/>
              <w:jc w:val="center"/>
              <w:rPr>
                <w:sz w:val="22"/>
                <w:szCs w:val="22"/>
              </w:rPr>
            </w:pPr>
            <w:r>
              <w:rPr>
                <w:sz w:val="22"/>
                <w:szCs w:val="22"/>
              </w:rPr>
              <w:t>9.4</w:t>
            </w:r>
          </w:p>
          <w:p w:rsidR="002F2AC1" w:rsidRPr="00854D7F" w:rsidRDefault="002F2AC1" w:rsidP="00390E03">
            <w:pPr>
              <w:pStyle w:val="NormalSS"/>
              <w:ind w:firstLine="0"/>
              <w:jc w:val="center"/>
              <w:rPr>
                <w:sz w:val="22"/>
                <w:szCs w:val="22"/>
              </w:rPr>
            </w:pPr>
          </w:p>
        </w:tc>
        <w:tc>
          <w:tcPr>
            <w:tcW w:w="1345" w:type="dxa"/>
            <w:tcBorders>
              <w:top w:val="nil"/>
              <w:bottom w:val="nil"/>
            </w:tcBorders>
          </w:tcPr>
          <w:p w:rsidR="002F2AC1" w:rsidRDefault="002F2AC1" w:rsidP="00390E03">
            <w:pPr>
              <w:pStyle w:val="NormalSS"/>
              <w:ind w:firstLine="0"/>
              <w:jc w:val="center"/>
              <w:rPr>
                <w:sz w:val="22"/>
                <w:szCs w:val="22"/>
              </w:rPr>
            </w:pPr>
          </w:p>
          <w:p w:rsidR="002F2AC1" w:rsidRDefault="002F2AC1" w:rsidP="00390E03">
            <w:pPr>
              <w:pStyle w:val="NormalSS"/>
              <w:ind w:firstLine="0"/>
              <w:jc w:val="center"/>
              <w:rPr>
                <w:sz w:val="22"/>
                <w:szCs w:val="22"/>
              </w:rPr>
            </w:pPr>
            <w:r>
              <w:rPr>
                <w:sz w:val="22"/>
                <w:szCs w:val="22"/>
              </w:rPr>
              <w:t xml:space="preserve"> 9.4</w:t>
            </w:r>
          </w:p>
          <w:p w:rsidR="002F2AC1" w:rsidRPr="00854D7F" w:rsidRDefault="002F2AC1" w:rsidP="00390E03">
            <w:pPr>
              <w:pStyle w:val="NormalSS"/>
              <w:ind w:firstLine="0"/>
              <w:jc w:val="center"/>
              <w:rPr>
                <w:sz w:val="22"/>
                <w:szCs w:val="22"/>
              </w:rPr>
            </w:pPr>
            <w:r>
              <w:rPr>
                <w:sz w:val="22"/>
                <w:szCs w:val="22"/>
              </w:rPr>
              <w:t>11.1</w:t>
            </w:r>
          </w:p>
        </w:tc>
        <w:tc>
          <w:tcPr>
            <w:tcW w:w="516" w:type="dxa"/>
            <w:tcBorders>
              <w:top w:val="nil"/>
              <w:bottom w:val="nil"/>
            </w:tcBorders>
          </w:tcPr>
          <w:p w:rsidR="002F2AC1" w:rsidRPr="00854D7F" w:rsidRDefault="002F2AC1" w:rsidP="00390E03">
            <w:pPr>
              <w:pStyle w:val="NormalSS"/>
              <w:ind w:firstLine="0"/>
              <w:jc w:val="center"/>
              <w:rPr>
                <w:sz w:val="22"/>
                <w:szCs w:val="22"/>
              </w:rPr>
            </w:pPr>
          </w:p>
        </w:tc>
        <w:tc>
          <w:tcPr>
            <w:tcW w:w="1287" w:type="dxa"/>
            <w:tcBorders>
              <w:top w:val="nil"/>
              <w:bottom w:val="nil"/>
            </w:tcBorders>
          </w:tcPr>
          <w:p w:rsidR="002F2AC1" w:rsidRDefault="002F2AC1" w:rsidP="00390E03">
            <w:pPr>
              <w:pStyle w:val="NormalSS"/>
              <w:ind w:firstLine="0"/>
              <w:jc w:val="center"/>
              <w:rPr>
                <w:sz w:val="22"/>
                <w:szCs w:val="22"/>
              </w:rPr>
            </w:pPr>
          </w:p>
          <w:p w:rsidR="002F2AC1" w:rsidRDefault="002F2AC1" w:rsidP="00390E03">
            <w:pPr>
              <w:pStyle w:val="NormalSS"/>
              <w:ind w:firstLine="0"/>
              <w:jc w:val="center"/>
              <w:rPr>
                <w:sz w:val="22"/>
                <w:szCs w:val="22"/>
              </w:rPr>
            </w:pPr>
            <w:r>
              <w:rPr>
                <w:sz w:val="22"/>
                <w:szCs w:val="22"/>
              </w:rPr>
              <w:t>0.14</w:t>
            </w:r>
          </w:p>
          <w:p w:rsidR="002F2AC1" w:rsidRDefault="002F2AC1" w:rsidP="00390E03">
            <w:pPr>
              <w:pStyle w:val="NormalSS"/>
              <w:ind w:firstLine="0"/>
              <w:jc w:val="center"/>
              <w:rPr>
                <w:sz w:val="22"/>
                <w:szCs w:val="22"/>
              </w:rPr>
            </w:pPr>
            <w:r>
              <w:rPr>
                <w:sz w:val="22"/>
                <w:szCs w:val="22"/>
              </w:rPr>
              <w:t>0.19</w:t>
            </w:r>
          </w:p>
          <w:p w:rsidR="002F2AC1" w:rsidRDefault="002F2AC1" w:rsidP="00390E03">
            <w:pPr>
              <w:pStyle w:val="NormalSS"/>
              <w:ind w:firstLine="0"/>
              <w:rPr>
                <w:sz w:val="22"/>
                <w:szCs w:val="22"/>
              </w:rPr>
            </w:pPr>
          </w:p>
        </w:tc>
        <w:tc>
          <w:tcPr>
            <w:tcW w:w="1288" w:type="dxa"/>
            <w:tcBorders>
              <w:top w:val="nil"/>
              <w:bottom w:val="nil"/>
            </w:tcBorders>
          </w:tcPr>
          <w:p w:rsidR="002F2AC1" w:rsidRDefault="002F2AC1" w:rsidP="00390E03">
            <w:pPr>
              <w:pStyle w:val="NormalSS"/>
              <w:ind w:firstLine="0"/>
              <w:jc w:val="center"/>
              <w:rPr>
                <w:sz w:val="22"/>
                <w:szCs w:val="22"/>
              </w:rPr>
            </w:pPr>
          </w:p>
          <w:p w:rsidR="002F2AC1" w:rsidRDefault="002F2AC1" w:rsidP="00390E03">
            <w:pPr>
              <w:pStyle w:val="NormalSS"/>
              <w:ind w:firstLine="0"/>
              <w:jc w:val="center"/>
              <w:rPr>
                <w:sz w:val="22"/>
                <w:szCs w:val="22"/>
              </w:rPr>
            </w:pPr>
            <w:r>
              <w:rPr>
                <w:sz w:val="22"/>
                <w:szCs w:val="22"/>
              </w:rPr>
              <w:t>0.19</w:t>
            </w:r>
          </w:p>
          <w:p w:rsidR="002F2AC1" w:rsidRPr="00854D7F" w:rsidRDefault="002F2AC1" w:rsidP="00390E03">
            <w:pPr>
              <w:pStyle w:val="NormalSS"/>
              <w:ind w:firstLine="0"/>
              <w:jc w:val="center"/>
              <w:rPr>
                <w:sz w:val="22"/>
                <w:szCs w:val="22"/>
              </w:rPr>
            </w:pPr>
            <w:r>
              <w:rPr>
                <w:sz w:val="22"/>
                <w:szCs w:val="22"/>
              </w:rPr>
              <w:t>0.22</w:t>
            </w:r>
          </w:p>
        </w:tc>
      </w:tr>
      <w:tr w:rsidR="002F2AC1" w:rsidRPr="00854D7F" w:rsidTr="00390E03">
        <w:trPr>
          <w:cantSplit/>
          <w:trHeight w:val="350"/>
        </w:trPr>
        <w:tc>
          <w:tcPr>
            <w:tcW w:w="9728" w:type="dxa"/>
            <w:gridSpan w:val="7"/>
            <w:tcBorders>
              <w:top w:val="single" w:sz="4" w:space="0" w:color="auto"/>
              <w:bottom w:val="single" w:sz="4" w:space="0" w:color="auto"/>
            </w:tcBorders>
            <w:shd w:val="clear" w:color="auto" w:fill="BFBFBF"/>
          </w:tcPr>
          <w:p w:rsidR="002F2AC1" w:rsidRDefault="002F2AC1" w:rsidP="00390E03">
            <w:pPr>
              <w:pStyle w:val="NormalSS"/>
              <w:ind w:firstLine="0"/>
              <w:rPr>
                <w:sz w:val="22"/>
                <w:szCs w:val="22"/>
              </w:rPr>
            </w:pPr>
            <w:r w:rsidRPr="00854D7F">
              <w:rPr>
                <w:b/>
                <w:bCs/>
                <w:iCs/>
                <w:sz w:val="22"/>
                <w:szCs w:val="22"/>
              </w:rPr>
              <w:t xml:space="preserve">Random Assignment of Youth (in-school, elective </w:t>
            </w:r>
            <w:r>
              <w:rPr>
                <w:b/>
                <w:bCs/>
                <w:iCs/>
                <w:sz w:val="22"/>
                <w:szCs w:val="22"/>
              </w:rPr>
              <w:t>and</w:t>
            </w:r>
            <w:r w:rsidRPr="00854D7F">
              <w:rPr>
                <w:b/>
                <w:bCs/>
                <w:iCs/>
                <w:sz w:val="22"/>
                <w:szCs w:val="22"/>
              </w:rPr>
              <w:t xml:space="preserve"> out-of-school, voluntary programs):</w:t>
            </w:r>
            <w:r w:rsidRPr="00854D7F">
              <w:rPr>
                <w:sz w:val="22"/>
                <w:szCs w:val="22"/>
              </w:rPr>
              <w:t xml:space="preserve"> Assumes 600 students per site randomized individually into program and control groups. </w:t>
            </w:r>
          </w:p>
        </w:tc>
      </w:tr>
      <w:tr w:rsidR="002F2AC1" w:rsidRPr="00854D7F" w:rsidTr="00390E03">
        <w:trPr>
          <w:cantSplit/>
          <w:trHeight w:val="350"/>
        </w:trPr>
        <w:tc>
          <w:tcPr>
            <w:tcW w:w="3947" w:type="dxa"/>
            <w:gridSpan w:val="2"/>
            <w:tcBorders>
              <w:top w:val="single" w:sz="4" w:space="0" w:color="auto"/>
              <w:bottom w:val="nil"/>
            </w:tcBorders>
          </w:tcPr>
          <w:p w:rsidR="002F2AC1" w:rsidRPr="00854D7F" w:rsidRDefault="002F2AC1" w:rsidP="00390E03">
            <w:pPr>
              <w:pStyle w:val="NormalSS"/>
              <w:ind w:firstLine="0"/>
              <w:rPr>
                <w:sz w:val="22"/>
                <w:szCs w:val="22"/>
              </w:rPr>
            </w:pPr>
            <w:r w:rsidRPr="00854D7F">
              <w:rPr>
                <w:sz w:val="22"/>
                <w:szCs w:val="22"/>
              </w:rPr>
              <w:t>1 Program Site (600 Youth)</w:t>
            </w:r>
          </w:p>
          <w:p w:rsidR="002F2AC1" w:rsidRPr="00854D7F" w:rsidRDefault="002F2AC1" w:rsidP="00390E03">
            <w:pPr>
              <w:pStyle w:val="NormalSS"/>
              <w:ind w:firstLine="0"/>
              <w:rPr>
                <w:sz w:val="22"/>
                <w:szCs w:val="22"/>
              </w:rPr>
            </w:pPr>
            <w:r w:rsidRPr="00854D7F">
              <w:rPr>
                <w:sz w:val="22"/>
                <w:szCs w:val="22"/>
              </w:rPr>
              <w:t xml:space="preserve">  - Full sample, full participation</w:t>
            </w:r>
          </w:p>
        </w:tc>
        <w:tc>
          <w:tcPr>
            <w:tcW w:w="2690" w:type="dxa"/>
            <w:gridSpan w:val="2"/>
            <w:tcBorders>
              <w:top w:val="single" w:sz="4" w:space="0" w:color="auto"/>
              <w:bottom w:val="nil"/>
            </w:tcBorders>
          </w:tcPr>
          <w:p w:rsidR="002F2AC1" w:rsidRPr="00854D7F" w:rsidRDefault="002F2AC1" w:rsidP="00390E03">
            <w:pPr>
              <w:pStyle w:val="NormalSS"/>
              <w:ind w:firstLine="0"/>
              <w:jc w:val="center"/>
              <w:rPr>
                <w:sz w:val="22"/>
                <w:szCs w:val="22"/>
              </w:rPr>
            </w:pPr>
          </w:p>
          <w:p w:rsidR="002F2AC1" w:rsidRPr="00854D7F" w:rsidRDefault="002F2AC1" w:rsidP="00390E03">
            <w:pPr>
              <w:pStyle w:val="NormalSS"/>
              <w:ind w:firstLine="0"/>
              <w:jc w:val="center"/>
              <w:rPr>
                <w:sz w:val="22"/>
                <w:szCs w:val="22"/>
              </w:rPr>
            </w:pPr>
            <w:r w:rsidRPr="00854D7F">
              <w:rPr>
                <w:sz w:val="22"/>
                <w:szCs w:val="22"/>
              </w:rPr>
              <w:t xml:space="preserve">  9.5</w:t>
            </w:r>
          </w:p>
        </w:tc>
        <w:tc>
          <w:tcPr>
            <w:tcW w:w="516" w:type="dxa"/>
            <w:tcBorders>
              <w:top w:val="single" w:sz="4" w:space="0" w:color="auto"/>
              <w:bottom w:val="nil"/>
            </w:tcBorders>
          </w:tcPr>
          <w:p w:rsidR="002F2AC1" w:rsidRPr="00854D7F" w:rsidRDefault="002F2AC1" w:rsidP="00390E03">
            <w:pPr>
              <w:pStyle w:val="NormalSS"/>
              <w:ind w:firstLine="0"/>
              <w:jc w:val="center"/>
              <w:rPr>
                <w:sz w:val="22"/>
                <w:szCs w:val="22"/>
              </w:rPr>
            </w:pPr>
          </w:p>
        </w:tc>
        <w:tc>
          <w:tcPr>
            <w:tcW w:w="2575" w:type="dxa"/>
            <w:gridSpan w:val="2"/>
            <w:tcBorders>
              <w:top w:val="single" w:sz="4" w:space="0" w:color="auto"/>
              <w:bottom w:val="nil"/>
            </w:tcBorders>
          </w:tcPr>
          <w:p w:rsidR="002F2AC1" w:rsidRPr="00854D7F" w:rsidRDefault="002F2AC1" w:rsidP="00390E03">
            <w:pPr>
              <w:pStyle w:val="NormalSS"/>
              <w:ind w:firstLine="0"/>
              <w:jc w:val="center"/>
              <w:rPr>
                <w:sz w:val="22"/>
                <w:szCs w:val="22"/>
              </w:rPr>
            </w:pPr>
          </w:p>
          <w:p w:rsidR="002F2AC1" w:rsidRPr="00854D7F" w:rsidRDefault="002F2AC1" w:rsidP="00390E03">
            <w:pPr>
              <w:pStyle w:val="NormalSS"/>
              <w:ind w:firstLine="0"/>
              <w:jc w:val="center"/>
              <w:rPr>
                <w:sz w:val="22"/>
                <w:szCs w:val="22"/>
              </w:rPr>
            </w:pPr>
            <w:r w:rsidRPr="00854D7F">
              <w:rPr>
                <w:sz w:val="22"/>
                <w:szCs w:val="22"/>
              </w:rPr>
              <w:t>0.19</w:t>
            </w:r>
          </w:p>
        </w:tc>
      </w:tr>
      <w:tr w:rsidR="002F2AC1" w:rsidRPr="00854D7F" w:rsidTr="00390E03">
        <w:trPr>
          <w:cantSplit/>
          <w:trHeight w:val="225"/>
        </w:trPr>
        <w:tc>
          <w:tcPr>
            <w:tcW w:w="3947" w:type="dxa"/>
            <w:gridSpan w:val="2"/>
            <w:tcBorders>
              <w:top w:val="nil"/>
              <w:bottom w:val="nil"/>
            </w:tcBorders>
          </w:tcPr>
          <w:p w:rsidR="002F2AC1" w:rsidRPr="00854D7F" w:rsidRDefault="002F2AC1" w:rsidP="00390E03">
            <w:pPr>
              <w:pStyle w:val="NormalSS"/>
              <w:ind w:firstLine="0"/>
              <w:rPr>
                <w:sz w:val="22"/>
                <w:szCs w:val="22"/>
              </w:rPr>
            </w:pPr>
            <w:r w:rsidRPr="00854D7F">
              <w:rPr>
                <w:sz w:val="22"/>
                <w:szCs w:val="22"/>
              </w:rPr>
              <w:t xml:space="preserve">  - Full sample, 75% participation</w:t>
            </w:r>
          </w:p>
        </w:tc>
        <w:tc>
          <w:tcPr>
            <w:tcW w:w="2690" w:type="dxa"/>
            <w:gridSpan w:val="2"/>
            <w:tcBorders>
              <w:top w:val="nil"/>
              <w:bottom w:val="nil"/>
            </w:tcBorders>
          </w:tcPr>
          <w:p w:rsidR="002F2AC1" w:rsidRPr="00854D7F" w:rsidRDefault="002F2AC1" w:rsidP="00390E03">
            <w:pPr>
              <w:pStyle w:val="NormalSS"/>
              <w:ind w:firstLine="0"/>
              <w:jc w:val="center"/>
              <w:rPr>
                <w:sz w:val="22"/>
                <w:szCs w:val="22"/>
              </w:rPr>
            </w:pPr>
            <w:r w:rsidRPr="00854D7F">
              <w:rPr>
                <w:sz w:val="22"/>
                <w:szCs w:val="22"/>
              </w:rPr>
              <w:t>12.7</w:t>
            </w:r>
          </w:p>
        </w:tc>
        <w:tc>
          <w:tcPr>
            <w:tcW w:w="516" w:type="dxa"/>
            <w:tcBorders>
              <w:top w:val="nil"/>
              <w:bottom w:val="nil"/>
            </w:tcBorders>
          </w:tcPr>
          <w:p w:rsidR="002F2AC1" w:rsidRPr="00854D7F" w:rsidRDefault="002F2AC1" w:rsidP="00390E03">
            <w:pPr>
              <w:pStyle w:val="NormalSS"/>
              <w:ind w:firstLine="0"/>
              <w:jc w:val="center"/>
              <w:rPr>
                <w:sz w:val="22"/>
                <w:szCs w:val="22"/>
              </w:rPr>
            </w:pPr>
          </w:p>
        </w:tc>
        <w:tc>
          <w:tcPr>
            <w:tcW w:w="2575" w:type="dxa"/>
            <w:gridSpan w:val="2"/>
            <w:tcBorders>
              <w:top w:val="nil"/>
              <w:bottom w:val="nil"/>
            </w:tcBorders>
          </w:tcPr>
          <w:p w:rsidR="002F2AC1" w:rsidRPr="00854D7F" w:rsidRDefault="002F2AC1" w:rsidP="00390E03">
            <w:pPr>
              <w:pStyle w:val="NormalSS"/>
              <w:ind w:firstLine="0"/>
              <w:jc w:val="center"/>
              <w:rPr>
                <w:sz w:val="22"/>
                <w:szCs w:val="22"/>
              </w:rPr>
            </w:pPr>
            <w:r w:rsidRPr="00854D7F">
              <w:rPr>
                <w:sz w:val="22"/>
                <w:szCs w:val="22"/>
              </w:rPr>
              <w:t>0.25</w:t>
            </w:r>
          </w:p>
        </w:tc>
      </w:tr>
      <w:tr w:rsidR="002F2AC1" w:rsidRPr="00854D7F" w:rsidTr="00390E03">
        <w:trPr>
          <w:cantSplit/>
          <w:trHeight w:val="350"/>
        </w:trPr>
        <w:tc>
          <w:tcPr>
            <w:tcW w:w="3947" w:type="dxa"/>
            <w:gridSpan w:val="2"/>
            <w:tcBorders>
              <w:top w:val="nil"/>
              <w:bottom w:val="nil"/>
            </w:tcBorders>
          </w:tcPr>
          <w:p w:rsidR="002F2AC1" w:rsidRPr="00854D7F" w:rsidRDefault="002F2AC1" w:rsidP="00390E03">
            <w:pPr>
              <w:pStyle w:val="NormalSS"/>
              <w:ind w:firstLine="0"/>
              <w:rPr>
                <w:sz w:val="22"/>
                <w:szCs w:val="22"/>
              </w:rPr>
            </w:pPr>
            <w:r w:rsidRPr="00854D7F">
              <w:rPr>
                <w:sz w:val="22"/>
                <w:szCs w:val="22"/>
              </w:rPr>
              <w:t xml:space="preserve">  -50% subgroup, full participation</w:t>
            </w:r>
          </w:p>
        </w:tc>
        <w:tc>
          <w:tcPr>
            <w:tcW w:w="2690" w:type="dxa"/>
            <w:gridSpan w:val="2"/>
            <w:tcBorders>
              <w:top w:val="nil"/>
              <w:bottom w:val="nil"/>
            </w:tcBorders>
          </w:tcPr>
          <w:p w:rsidR="002F2AC1" w:rsidRPr="00854D7F" w:rsidRDefault="002F2AC1" w:rsidP="00390E03">
            <w:pPr>
              <w:pStyle w:val="NormalSS"/>
              <w:ind w:firstLine="0"/>
              <w:jc w:val="center"/>
              <w:rPr>
                <w:sz w:val="22"/>
                <w:szCs w:val="22"/>
              </w:rPr>
            </w:pPr>
            <w:r w:rsidRPr="00854D7F">
              <w:rPr>
                <w:sz w:val="22"/>
                <w:szCs w:val="22"/>
              </w:rPr>
              <w:t>13.4</w:t>
            </w:r>
          </w:p>
        </w:tc>
        <w:tc>
          <w:tcPr>
            <w:tcW w:w="516" w:type="dxa"/>
            <w:tcBorders>
              <w:top w:val="nil"/>
              <w:bottom w:val="nil"/>
            </w:tcBorders>
          </w:tcPr>
          <w:p w:rsidR="002F2AC1" w:rsidRPr="00854D7F" w:rsidRDefault="002F2AC1" w:rsidP="00390E03">
            <w:pPr>
              <w:pStyle w:val="NormalSS"/>
              <w:ind w:firstLine="0"/>
              <w:jc w:val="center"/>
              <w:rPr>
                <w:sz w:val="22"/>
                <w:szCs w:val="22"/>
              </w:rPr>
            </w:pPr>
          </w:p>
        </w:tc>
        <w:tc>
          <w:tcPr>
            <w:tcW w:w="2575" w:type="dxa"/>
            <w:gridSpan w:val="2"/>
            <w:tcBorders>
              <w:top w:val="nil"/>
              <w:bottom w:val="nil"/>
            </w:tcBorders>
          </w:tcPr>
          <w:p w:rsidR="002F2AC1" w:rsidRPr="00854D7F" w:rsidRDefault="002F2AC1" w:rsidP="00390E03">
            <w:pPr>
              <w:pStyle w:val="NormalSS"/>
              <w:ind w:firstLine="0"/>
              <w:jc w:val="center"/>
              <w:rPr>
                <w:sz w:val="22"/>
                <w:szCs w:val="22"/>
              </w:rPr>
            </w:pPr>
            <w:r w:rsidRPr="00854D7F">
              <w:rPr>
                <w:sz w:val="22"/>
                <w:szCs w:val="22"/>
              </w:rPr>
              <w:t>0.27</w:t>
            </w:r>
          </w:p>
        </w:tc>
      </w:tr>
      <w:tr w:rsidR="002F2AC1" w:rsidRPr="003F2DC9" w:rsidTr="00390E03">
        <w:trPr>
          <w:cantSplit/>
        </w:trPr>
        <w:tc>
          <w:tcPr>
            <w:tcW w:w="9728" w:type="dxa"/>
            <w:gridSpan w:val="7"/>
            <w:tcBorders>
              <w:top w:val="single" w:sz="4" w:space="0" w:color="auto"/>
              <w:bottom w:val="nil"/>
            </w:tcBorders>
          </w:tcPr>
          <w:p w:rsidR="002F2AC1" w:rsidRDefault="002F2AC1" w:rsidP="00390E03">
            <w:pPr>
              <w:pStyle w:val="NormalSS"/>
              <w:ind w:firstLine="0"/>
              <w:rPr>
                <w:rFonts w:ascii="Times" w:hAnsi="Times"/>
                <w:sz w:val="18"/>
                <w:szCs w:val="18"/>
              </w:rPr>
            </w:pPr>
            <w:r w:rsidRPr="003F2DC9">
              <w:rPr>
                <w:rFonts w:ascii="Times" w:hAnsi="Times"/>
                <w:sz w:val="18"/>
                <w:szCs w:val="18"/>
                <w:vertAlign w:val="superscript"/>
              </w:rPr>
              <w:t>a</w:t>
            </w:r>
            <w:r w:rsidRPr="003F2DC9">
              <w:rPr>
                <w:rFonts w:ascii="Times" w:hAnsi="Times"/>
                <w:sz w:val="18"/>
                <w:szCs w:val="18"/>
              </w:rPr>
              <w:t xml:space="preserve"> The minimal detectable impact, or MDI, is the smallest possible program impact that can be detected for a given sample size at an acceptable level of statistical power. The MDI’s shown assume the commonly preferred level of statistical power (80 percent), a response rate of 80 percent on the follow up survey, a regression R-squared of .030 and a two-tailed test of statistical significance of 10 percent (equivalent to a one-tailed test of 5 percent). For the school-based random assignment, the assumed intra-class correlation (ICC) is 0.01 for “low” and 0.035 for “high”.</w:t>
            </w:r>
            <w:r>
              <w:rPr>
                <w:rFonts w:ascii="Times" w:hAnsi="Times"/>
                <w:sz w:val="18"/>
                <w:szCs w:val="18"/>
              </w:rPr>
              <w:t xml:space="preserve"> These assumptions are based on school-level data on teen sexual risk from the National Adolescent Health Survey.</w:t>
            </w:r>
          </w:p>
          <w:p w:rsidR="002F2AC1" w:rsidRPr="003F2DC9" w:rsidRDefault="002F2AC1" w:rsidP="00390E03">
            <w:pPr>
              <w:pStyle w:val="NormalSS"/>
              <w:ind w:firstLine="0"/>
              <w:rPr>
                <w:rFonts w:ascii="Times" w:hAnsi="Times"/>
                <w:sz w:val="18"/>
                <w:szCs w:val="18"/>
              </w:rPr>
            </w:pPr>
          </w:p>
          <w:p w:rsidR="002F2AC1" w:rsidRPr="003F2DC9" w:rsidRDefault="002F2AC1" w:rsidP="00390E03">
            <w:pPr>
              <w:pStyle w:val="NormalSS"/>
              <w:ind w:firstLine="0"/>
              <w:rPr>
                <w:rFonts w:ascii="Times" w:hAnsi="Times"/>
                <w:sz w:val="18"/>
                <w:szCs w:val="18"/>
              </w:rPr>
            </w:pPr>
            <w:r w:rsidRPr="003F2DC9">
              <w:rPr>
                <w:rFonts w:ascii="Times" w:hAnsi="Times"/>
                <w:sz w:val="18"/>
                <w:szCs w:val="18"/>
                <w:vertAlign w:val="superscript"/>
              </w:rPr>
              <w:t>b</w:t>
            </w:r>
            <w:r>
              <w:rPr>
                <w:rFonts w:ascii="Times" w:hAnsi="Times"/>
                <w:sz w:val="18"/>
                <w:szCs w:val="18"/>
                <w:vertAlign w:val="superscript"/>
              </w:rPr>
              <w:t xml:space="preserve"> </w:t>
            </w:r>
            <w:r w:rsidRPr="003F2DC9">
              <w:rPr>
                <w:rFonts w:ascii="Times" w:hAnsi="Times"/>
                <w:sz w:val="18"/>
                <w:szCs w:val="18"/>
              </w:rPr>
              <w:t>The effect size is calculated as the ratio of the MDI measured in nominal (percentage point) units divided by the standard deviation of the outcome (which in the illustration is equal to 50 points). Because it reflects a standardized measure, the effect size can be used to calculate the MDI in percentage points for any alternative proportion. For example, for a proportion of 10 percent (which has a standard deviation of 30 points), an effect size of 0.08 translates into an MDI in percentage point terms of 2.4</w:t>
            </w:r>
            <w:r>
              <w:rPr>
                <w:rFonts w:ascii="Times" w:hAnsi="Times"/>
                <w:sz w:val="18"/>
                <w:szCs w:val="18"/>
              </w:rPr>
              <w:t> </w:t>
            </w:r>
            <w:r w:rsidRPr="003F2DC9">
              <w:rPr>
                <w:rFonts w:ascii="Times" w:hAnsi="Times"/>
                <w:sz w:val="18"/>
                <w:szCs w:val="18"/>
              </w:rPr>
              <w:t>percentage points</w:t>
            </w:r>
          </w:p>
          <w:p w:rsidR="002F2AC1" w:rsidRPr="003F2DC9" w:rsidRDefault="002F2AC1" w:rsidP="00390E03">
            <w:pPr>
              <w:pStyle w:val="NormalSS"/>
              <w:ind w:firstLine="0"/>
              <w:rPr>
                <w:rFonts w:ascii="Times" w:hAnsi="Times"/>
                <w:sz w:val="18"/>
                <w:szCs w:val="18"/>
              </w:rPr>
            </w:pPr>
          </w:p>
          <w:p w:rsidR="002F2AC1" w:rsidRPr="003F2DC9" w:rsidRDefault="002F2AC1" w:rsidP="00390E03">
            <w:pPr>
              <w:pStyle w:val="NormalSS"/>
              <w:ind w:firstLine="0"/>
              <w:rPr>
                <w:rFonts w:ascii="Times" w:hAnsi="Times"/>
                <w:sz w:val="18"/>
                <w:szCs w:val="18"/>
              </w:rPr>
            </w:pPr>
            <w:r w:rsidRPr="003F2DC9">
              <w:rPr>
                <w:sz w:val="18"/>
                <w:szCs w:val="18"/>
                <w:vertAlign w:val="superscript"/>
              </w:rPr>
              <w:t>c</w:t>
            </w:r>
            <w:r>
              <w:rPr>
                <w:sz w:val="18"/>
                <w:szCs w:val="18"/>
                <w:vertAlign w:val="superscript"/>
              </w:rPr>
              <w:t xml:space="preserve"> </w:t>
            </w:r>
            <w:r w:rsidRPr="003F2DC9">
              <w:rPr>
                <w:sz w:val="18"/>
                <w:szCs w:val="18"/>
              </w:rPr>
              <w:t xml:space="preserve">The intraclass correlation (ICC) </w:t>
            </w:r>
            <w:r>
              <w:rPr>
                <w:sz w:val="18"/>
                <w:szCs w:val="18"/>
              </w:rPr>
              <w:t>reflects</w:t>
            </w:r>
            <w:r w:rsidRPr="003F2DC9">
              <w:rPr>
                <w:sz w:val="18"/>
                <w:szCs w:val="18"/>
              </w:rPr>
              <w:t xml:space="preserve"> the proportion of an outcome’s varia</w:t>
            </w:r>
            <w:r>
              <w:rPr>
                <w:sz w:val="18"/>
                <w:szCs w:val="18"/>
              </w:rPr>
              <w:t xml:space="preserve">nce that is attributable to the </w:t>
            </w:r>
            <w:r w:rsidRPr="003F2DC9">
              <w:rPr>
                <w:sz w:val="18"/>
                <w:szCs w:val="18"/>
              </w:rPr>
              <w:t>school</w:t>
            </w:r>
            <w:r>
              <w:rPr>
                <w:sz w:val="18"/>
                <w:szCs w:val="18"/>
              </w:rPr>
              <w:t xml:space="preserve"> (or other group level) that youth are randomly assigned. It </w:t>
            </w:r>
            <w:r w:rsidRPr="003F2DC9">
              <w:rPr>
                <w:sz w:val="18"/>
                <w:szCs w:val="18"/>
              </w:rPr>
              <w:t>is the key determinant of how much statistical power is lost through random assignme</w:t>
            </w:r>
            <w:r>
              <w:rPr>
                <w:sz w:val="18"/>
                <w:szCs w:val="18"/>
              </w:rPr>
              <w:t>nt of schools or other groups. (</w:t>
            </w:r>
            <w:r w:rsidRPr="003F2DC9">
              <w:rPr>
                <w:sz w:val="18"/>
                <w:szCs w:val="18"/>
              </w:rPr>
              <w:t>The higher this ICC, the more statistical power declines</w:t>
            </w:r>
            <w:r>
              <w:rPr>
                <w:sz w:val="18"/>
                <w:szCs w:val="18"/>
              </w:rPr>
              <w:t>)</w:t>
            </w:r>
            <w:r w:rsidRPr="003F2DC9">
              <w:rPr>
                <w:sz w:val="18"/>
                <w:szCs w:val="18"/>
              </w:rPr>
              <w:t>.</w:t>
            </w:r>
          </w:p>
          <w:p w:rsidR="002F2AC1" w:rsidRPr="003F2DC9" w:rsidRDefault="002F2AC1" w:rsidP="00390E03">
            <w:pPr>
              <w:pStyle w:val="NormalSS"/>
              <w:ind w:firstLine="0"/>
              <w:jc w:val="center"/>
              <w:rPr>
                <w:sz w:val="18"/>
                <w:szCs w:val="18"/>
              </w:rPr>
            </w:pPr>
          </w:p>
        </w:tc>
      </w:tr>
    </w:tbl>
    <w:p w:rsidR="00206A25" w:rsidRDefault="00206A25" w:rsidP="00185F22">
      <w:pPr>
        <w:ind w:firstLine="0"/>
      </w:pPr>
      <w:bookmarkStart w:id="11" w:name="CC"/>
      <w:bookmarkEnd w:id="11"/>
    </w:p>
    <w:p w:rsidR="00713AFA" w:rsidRDefault="00713AFA" w:rsidP="00185F22">
      <w:pPr>
        <w:ind w:firstLine="0"/>
      </w:pPr>
    </w:p>
    <w:sectPr w:rsidR="00713AFA"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59F" w:rsidRDefault="008C659F">
      <w:pPr>
        <w:spacing w:line="240" w:lineRule="auto"/>
      </w:pPr>
      <w:r>
        <w:separator/>
      </w:r>
    </w:p>
  </w:endnote>
  <w:endnote w:type="continuationSeparator" w:id="0">
    <w:p w:rsidR="008C659F" w:rsidRDefault="008C6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25B" w:rsidRDefault="00F6125B">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59F" w:rsidRDefault="008C659F">
      <w:pPr>
        <w:ind w:firstLine="0"/>
      </w:pPr>
      <w:r>
        <w:separator/>
      </w:r>
    </w:p>
  </w:footnote>
  <w:footnote w:type="continuationSeparator" w:id="0">
    <w:p w:rsidR="008C659F" w:rsidRDefault="008C659F">
      <w:pPr>
        <w:spacing w:line="240" w:lineRule="auto"/>
        <w:ind w:firstLine="0"/>
      </w:pPr>
      <w:r>
        <w:separator/>
      </w:r>
    </w:p>
    <w:p w:rsidR="008C659F" w:rsidRDefault="008C659F">
      <w:pPr>
        <w:ind w:firstLine="0"/>
      </w:pPr>
      <w:r>
        <w:rPr>
          <w:i/>
        </w:rPr>
        <w:t>(continued)</w:t>
      </w:r>
    </w:p>
  </w:footnote>
  <w:footnote w:type="continuationNotice" w:id="1">
    <w:p w:rsidR="008C659F" w:rsidRDefault="008C65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25B" w:rsidRDefault="00F6125B">
    <w:pPr>
      <w:tabs>
        <w:tab w:val="clear" w:pos="432"/>
        <w:tab w:val="left" w:pos="1260"/>
      </w:tabs>
      <w:spacing w:line="240" w:lineRule="auto"/>
      <w:ind w:firstLine="0"/>
      <w:rPr>
        <w:bCs/>
      </w:rPr>
    </w:pPr>
    <w:r>
      <w:rPr>
        <w:bCs/>
      </w:rPr>
      <w:t xml:space="preserve">MEMO TO:  </w:t>
    </w:r>
    <w:r w:rsidR="00675AB2">
      <w:rPr>
        <w:bCs/>
      </w:rPr>
      <w:t xml:space="preserve">Joseph </w:t>
    </w:r>
    <w:proofErr w:type="spellStart"/>
    <w:r w:rsidR="00675AB2">
      <w:rPr>
        <w:bCs/>
      </w:rPr>
      <w:t>Borson</w:t>
    </w:r>
    <w:proofErr w:type="spellEnd"/>
    <w:r>
      <w:rPr>
        <w:bCs/>
      </w:rPr>
      <w:tab/>
    </w:r>
    <w:bookmarkStart w:id="0" w:name="HeaderTo"/>
    <w:bookmarkEnd w:id="0"/>
  </w:p>
  <w:p w:rsidR="00F6125B" w:rsidRDefault="00F6125B">
    <w:pPr>
      <w:tabs>
        <w:tab w:val="left" w:pos="-1109"/>
        <w:tab w:val="left" w:pos="-720"/>
        <w:tab w:val="left" w:pos="1260"/>
        <w:tab w:val="left" w:pos="7675"/>
      </w:tabs>
      <w:spacing w:line="240" w:lineRule="auto"/>
      <w:ind w:firstLine="0"/>
      <w:rPr>
        <w:bCs/>
      </w:rPr>
    </w:pPr>
    <w:r>
      <w:rPr>
        <w:bCs/>
      </w:rPr>
      <w:t>FROM:</w:t>
    </w:r>
    <w:r>
      <w:rPr>
        <w:bCs/>
      </w:rPr>
      <w:tab/>
    </w:r>
    <w:bookmarkStart w:id="1" w:name="HeaderFrom"/>
    <w:bookmarkEnd w:id="1"/>
    <w:r w:rsidR="00675AB2">
      <w:rPr>
        <w:bCs/>
      </w:rPr>
      <w:t>Amy Farb and Seth Chamberlain</w:t>
    </w:r>
  </w:p>
  <w:p w:rsidR="00F6125B" w:rsidRDefault="00F6125B">
    <w:pPr>
      <w:tabs>
        <w:tab w:val="left" w:pos="-1109"/>
        <w:tab w:val="left" w:pos="-720"/>
        <w:tab w:val="left" w:pos="1260"/>
        <w:tab w:val="left" w:pos="7675"/>
      </w:tabs>
      <w:spacing w:line="240" w:lineRule="auto"/>
      <w:ind w:firstLine="0"/>
      <w:rPr>
        <w:bCs/>
      </w:rPr>
    </w:pPr>
    <w:r>
      <w:rPr>
        <w:bCs/>
      </w:rPr>
      <w:t>DATE:</w:t>
    </w:r>
    <w:r>
      <w:rPr>
        <w:bCs/>
      </w:rPr>
      <w:tab/>
    </w:r>
    <w:bookmarkStart w:id="2" w:name="HeaderDateMark"/>
    <w:bookmarkEnd w:id="2"/>
    <w:r w:rsidR="00675AB2">
      <w:rPr>
        <w:bCs/>
      </w:rPr>
      <w:t>7/27</w:t>
    </w:r>
    <w:r>
      <w:rPr>
        <w:bCs/>
      </w:rPr>
      <w:t>/2011</w:t>
    </w:r>
  </w:p>
  <w:p w:rsidR="00F6125B" w:rsidRDefault="00F6125B">
    <w:pPr>
      <w:tabs>
        <w:tab w:val="left" w:pos="-1109"/>
        <w:tab w:val="left" w:pos="-720"/>
        <w:tab w:val="left" w:pos="1260"/>
        <w:tab w:val="left" w:pos="7675"/>
      </w:tabs>
      <w:spacing w:line="240" w:lineRule="auto"/>
      <w:ind w:firstLine="0"/>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sidR="00714C47">
      <w:rPr>
        <w:rStyle w:val="PageNumber"/>
        <w:bCs/>
        <w:noProof/>
      </w:rPr>
      <w:t>3</w:t>
    </w:r>
    <w:r>
      <w:rPr>
        <w:rStyle w:val="PageNumber"/>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2B6B5A15"/>
    <w:multiLevelType w:val="singleLevel"/>
    <w:tmpl w:val="6E0658D6"/>
    <w:lvl w:ilvl="0">
      <w:start w:val="1"/>
      <w:numFmt w:val="decimal"/>
      <w:lvlText w:val="%1."/>
      <w:lvlJc w:val="left"/>
      <w:pPr>
        <w:tabs>
          <w:tab w:val="num" w:pos="360"/>
        </w:tabs>
        <w:ind w:left="360" w:hanging="360"/>
      </w:pPr>
    </w:lvl>
  </w:abstractNum>
  <w:abstractNum w:abstractNumId="5">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8">
    <w:nsid w:val="49C6048B"/>
    <w:multiLevelType w:val="singleLevel"/>
    <w:tmpl w:val="D90C4D30"/>
    <w:lvl w:ilvl="0">
      <w:start w:val="1"/>
      <w:numFmt w:val="decimal"/>
      <w:pStyle w:val="NumberedBullet"/>
      <w:lvlText w:val="%1."/>
      <w:lvlJc w:val="left"/>
      <w:pPr>
        <w:tabs>
          <w:tab w:val="num" w:pos="792"/>
        </w:tabs>
        <w:ind w:left="792" w:hanging="360"/>
      </w:pPr>
      <w:rPr>
        <w:rFonts w:hint="default"/>
        <w:b/>
      </w:rPr>
    </w:lvl>
  </w:abstractNum>
  <w:abstractNum w:abstractNumId="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2">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2"/>
  </w:num>
  <w:num w:numId="4">
    <w:abstractNumId w:val="0"/>
  </w:num>
  <w:num w:numId="5">
    <w:abstractNumId w:val="11"/>
  </w:num>
  <w:num w:numId="6">
    <w:abstractNumId w:val="4"/>
  </w:num>
  <w:num w:numId="7">
    <w:abstractNumId w:val="8"/>
  </w:num>
  <w:num w:numId="8">
    <w:abstractNumId w:val="7"/>
  </w:num>
  <w:num w:numId="9">
    <w:abstractNumId w:val="12"/>
  </w:num>
  <w:num w:numId="10">
    <w:abstractNumId w:val="0"/>
  </w:num>
  <w:num w:numId="11">
    <w:abstractNumId w:val="11"/>
  </w:num>
  <w:num w:numId="12">
    <w:abstractNumId w:val="4"/>
  </w:num>
  <w:num w:numId="13">
    <w:abstractNumId w:val="8"/>
  </w:num>
  <w:num w:numId="14">
    <w:abstractNumId w:val="7"/>
  </w:num>
  <w:num w:numId="15">
    <w:abstractNumId w:val="12"/>
  </w:num>
  <w:num w:numId="16">
    <w:abstractNumId w:val="0"/>
  </w:num>
  <w:num w:numId="17">
    <w:abstractNumId w:val="11"/>
  </w:num>
  <w:num w:numId="18">
    <w:abstractNumId w:val="4"/>
  </w:num>
  <w:num w:numId="19">
    <w:abstractNumId w:val="8"/>
  </w:num>
  <w:num w:numId="20">
    <w:abstractNumId w:val="1"/>
  </w:num>
  <w:num w:numId="21">
    <w:abstractNumId w:val="7"/>
  </w:num>
  <w:num w:numId="22">
    <w:abstractNumId w:val="12"/>
  </w:num>
  <w:num w:numId="23">
    <w:abstractNumId w:val="0"/>
  </w:num>
  <w:num w:numId="24">
    <w:abstractNumId w:val="11"/>
  </w:num>
  <w:num w:numId="25">
    <w:abstractNumId w:val="1"/>
  </w:num>
  <w:num w:numId="26">
    <w:abstractNumId w:val="3"/>
  </w:num>
  <w:num w:numId="27">
    <w:abstractNumId w:val="9"/>
  </w:num>
  <w:num w:numId="28">
    <w:abstractNumId w:val="9"/>
  </w:num>
  <w:num w:numId="29">
    <w:abstractNumId w:val="2"/>
  </w:num>
  <w:num w:numId="30">
    <w:abstractNumId w:val="2"/>
  </w:num>
  <w:num w:numId="31">
    <w:abstractNumId w:val="13"/>
  </w:num>
  <w:num w:numId="32">
    <w:abstractNumId w:val="8"/>
  </w:num>
  <w:num w:numId="33">
    <w:abstractNumId w:val="8"/>
  </w:num>
  <w:num w:numId="34">
    <w:abstractNumId w:val="10"/>
  </w:num>
  <w:num w:numId="35">
    <w:abstractNumId w:val="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29"/>
    <w:rsid w:val="00000EB2"/>
    <w:rsid w:val="0000235B"/>
    <w:rsid w:val="00011716"/>
    <w:rsid w:val="00037D4E"/>
    <w:rsid w:val="0004452D"/>
    <w:rsid w:val="00050B86"/>
    <w:rsid w:val="00052F29"/>
    <w:rsid w:val="00076C64"/>
    <w:rsid w:val="000770BE"/>
    <w:rsid w:val="00082685"/>
    <w:rsid w:val="00082868"/>
    <w:rsid w:val="000A25A4"/>
    <w:rsid w:val="000A47F6"/>
    <w:rsid w:val="000B371A"/>
    <w:rsid w:val="000D0B2B"/>
    <w:rsid w:val="000E0333"/>
    <w:rsid w:val="000E2E56"/>
    <w:rsid w:val="001030A0"/>
    <w:rsid w:val="001265FF"/>
    <w:rsid w:val="00156718"/>
    <w:rsid w:val="001707BE"/>
    <w:rsid w:val="00173CE0"/>
    <w:rsid w:val="00183F3E"/>
    <w:rsid w:val="00185094"/>
    <w:rsid w:val="00185F22"/>
    <w:rsid w:val="001868C4"/>
    <w:rsid w:val="001D3FF7"/>
    <w:rsid w:val="001D468F"/>
    <w:rsid w:val="001E2897"/>
    <w:rsid w:val="001F0C78"/>
    <w:rsid w:val="001F1831"/>
    <w:rsid w:val="00206A25"/>
    <w:rsid w:val="00212F85"/>
    <w:rsid w:val="00233D9B"/>
    <w:rsid w:val="0024708C"/>
    <w:rsid w:val="00247FDC"/>
    <w:rsid w:val="002515B4"/>
    <w:rsid w:val="00275FF2"/>
    <w:rsid w:val="002B12A3"/>
    <w:rsid w:val="002B47CF"/>
    <w:rsid w:val="002B569C"/>
    <w:rsid w:val="002B6A17"/>
    <w:rsid w:val="002C6AE0"/>
    <w:rsid w:val="002C6E21"/>
    <w:rsid w:val="002F2AC1"/>
    <w:rsid w:val="002F707D"/>
    <w:rsid w:val="00304A76"/>
    <w:rsid w:val="00310967"/>
    <w:rsid w:val="00324043"/>
    <w:rsid w:val="0033236F"/>
    <w:rsid w:val="00336055"/>
    <w:rsid w:val="00342BE6"/>
    <w:rsid w:val="00381369"/>
    <w:rsid w:val="003814D4"/>
    <w:rsid w:val="00390E03"/>
    <w:rsid w:val="003A3CDA"/>
    <w:rsid w:val="003A4CDC"/>
    <w:rsid w:val="003B06CA"/>
    <w:rsid w:val="003C7111"/>
    <w:rsid w:val="003F7DD5"/>
    <w:rsid w:val="004166D2"/>
    <w:rsid w:val="00465787"/>
    <w:rsid w:val="0047070C"/>
    <w:rsid w:val="00473218"/>
    <w:rsid w:val="00474E69"/>
    <w:rsid w:val="00495FA4"/>
    <w:rsid w:val="004A118E"/>
    <w:rsid w:val="004B1D0F"/>
    <w:rsid w:val="004C7419"/>
    <w:rsid w:val="004D670E"/>
    <w:rsid w:val="004E145E"/>
    <w:rsid w:val="004E485B"/>
    <w:rsid w:val="005216B7"/>
    <w:rsid w:val="005322B1"/>
    <w:rsid w:val="005474AB"/>
    <w:rsid w:val="00554E36"/>
    <w:rsid w:val="00554EBD"/>
    <w:rsid w:val="00574252"/>
    <w:rsid w:val="00591975"/>
    <w:rsid w:val="005A3A6F"/>
    <w:rsid w:val="005B1399"/>
    <w:rsid w:val="005B7229"/>
    <w:rsid w:val="005D5E7D"/>
    <w:rsid w:val="005E0571"/>
    <w:rsid w:val="005F10D9"/>
    <w:rsid w:val="005F1C22"/>
    <w:rsid w:val="005F502A"/>
    <w:rsid w:val="00632187"/>
    <w:rsid w:val="00650933"/>
    <w:rsid w:val="00652415"/>
    <w:rsid w:val="00652708"/>
    <w:rsid w:val="00664315"/>
    <w:rsid w:val="00665825"/>
    <w:rsid w:val="00675AB2"/>
    <w:rsid w:val="0069412E"/>
    <w:rsid w:val="006946CD"/>
    <w:rsid w:val="00694755"/>
    <w:rsid w:val="006950ED"/>
    <w:rsid w:val="006B1DE8"/>
    <w:rsid w:val="006E2A3C"/>
    <w:rsid w:val="006F7FBC"/>
    <w:rsid w:val="00701EB7"/>
    <w:rsid w:val="00711FAB"/>
    <w:rsid w:val="00713AFA"/>
    <w:rsid w:val="00714C47"/>
    <w:rsid w:val="00717966"/>
    <w:rsid w:val="00732201"/>
    <w:rsid w:val="00736EF5"/>
    <w:rsid w:val="00743DC7"/>
    <w:rsid w:val="00744B8E"/>
    <w:rsid w:val="00753181"/>
    <w:rsid w:val="00765C21"/>
    <w:rsid w:val="00772EBE"/>
    <w:rsid w:val="00794B01"/>
    <w:rsid w:val="007A490F"/>
    <w:rsid w:val="007B1E08"/>
    <w:rsid w:val="007C04EA"/>
    <w:rsid w:val="007E4573"/>
    <w:rsid w:val="007E58DD"/>
    <w:rsid w:val="00810D90"/>
    <w:rsid w:val="008138A2"/>
    <w:rsid w:val="008158C2"/>
    <w:rsid w:val="00840EBA"/>
    <w:rsid w:val="0085676A"/>
    <w:rsid w:val="0086294F"/>
    <w:rsid w:val="008633BA"/>
    <w:rsid w:val="00873D36"/>
    <w:rsid w:val="00874DE5"/>
    <w:rsid w:val="008758C4"/>
    <w:rsid w:val="00880CBA"/>
    <w:rsid w:val="0088717B"/>
    <w:rsid w:val="00894F97"/>
    <w:rsid w:val="0089738C"/>
    <w:rsid w:val="008B5D93"/>
    <w:rsid w:val="008B6298"/>
    <w:rsid w:val="008B67BF"/>
    <w:rsid w:val="008C659F"/>
    <w:rsid w:val="008E2F6B"/>
    <w:rsid w:val="008E403A"/>
    <w:rsid w:val="008E71C9"/>
    <w:rsid w:val="008F02F9"/>
    <w:rsid w:val="00900491"/>
    <w:rsid w:val="00901008"/>
    <w:rsid w:val="00901242"/>
    <w:rsid w:val="009025BD"/>
    <w:rsid w:val="0090696E"/>
    <w:rsid w:val="00911A74"/>
    <w:rsid w:val="009143AF"/>
    <w:rsid w:val="00920C13"/>
    <w:rsid w:val="00921B22"/>
    <w:rsid w:val="009257EC"/>
    <w:rsid w:val="00925E91"/>
    <w:rsid w:val="00937384"/>
    <w:rsid w:val="00937DE0"/>
    <w:rsid w:val="00941227"/>
    <w:rsid w:val="00944016"/>
    <w:rsid w:val="00951FD3"/>
    <w:rsid w:val="00975331"/>
    <w:rsid w:val="009810E3"/>
    <w:rsid w:val="0098138F"/>
    <w:rsid w:val="009A2384"/>
    <w:rsid w:val="009B7B53"/>
    <w:rsid w:val="009C4DD8"/>
    <w:rsid w:val="009D01F5"/>
    <w:rsid w:val="009D7395"/>
    <w:rsid w:val="009E6B73"/>
    <w:rsid w:val="009F376B"/>
    <w:rsid w:val="00A13C79"/>
    <w:rsid w:val="00A16661"/>
    <w:rsid w:val="00A40930"/>
    <w:rsid w:val="00A40F03"/>
    <w:rsid w:val="00A478A5"/>
    <w:rsid w:val="00A50355"/>
    <w:rsid w:val="00A625A7"/>
    <w:rsid w:val="00A803EA"/>
    <w:rsid w:val="00A91731"/>
    <w:rsid w:val="00AA6CB1"/>
    <w:rsid w:val="00AC2780"/>
    <w:rsid w:val="00AC3799"/>
    <w:rsid w:val="00AD07BB"/>
    <w:rsid w:val="00AE53DE"/>
    <w:rsid w:val="00AF1A35"/>
    <w:rsid w:val="00B0037A"/>
    <w:rsid w:val="00B074A2"/>
    <w:rsid w:val="00B24B32"/>
    <w:rsid w:val="00B253CE"/>
    <w:rsid w:val="00B3451A"/>
    <w:rsid w:val="00B37EBC"/>
    <w:rsid w:val="00B66D14"/>
    <w:rsid w:val="00B75A96"/>
    <w:rsid w:val="00B81C50"/>
    <w:rsid w:val="00BA3C09"/>
    <w:rsid w:val="00BB0531"/>
    <w:rsid w:val="00BE7736"/>
    <w:rsid w:val="00C14150"/>
    <w:rsid w:val="00C1478C"/>
    <w:rsid w:val="00C35A3F"/>
    <w:rsid w:val="00C44309"/>
    <w:rsid w:val="00C457D4"/>
    <w:rsid w:val="00C54564"/>
    <w:rsid w:val="00C56665"/>
    <w:rsid w:val="00C97D35"/>
    <w:rsid w:val="00CA0852"/>
    <w:rsid w:val="00CC778A"/>
    <w:rsid w:val="00CD3B63"/>
    <w:rsid w:val="00CD49AD"/>
    <w:rsid w:val="00CF1178"/>
    <w:rsid w:val="00CF3922"/>
    <w:rsid w:val="00D03CDC"/>
    <w:rsid w:val="00D118EC"/>
    <w:rsid w:val="00D168D5"/>
    <w:rsid w:val="00D54680"/>
    <w:rsid w:val="00D67A20"/>
    <w:rsid w:val="00D71703"/>
    <w:rsid w:val="00D946C1"/>
    <w:rsid w:val="00D965E1"/>
    <w:rsid w:val="00DC4AC9"/>
    <w:rsid w:val="00DD2B26"/>
    <w:rsid w:val="00DD6EA5"/>
    <w:rsid w:val="00DF55D9"/>
    <w:rsid w:val="00DF7EE0"/>
    <w:rsid w:val="00E0067E"/>
    <w:rsid w:val="00E1017D"/>
    <w:rsid w:val="00E11C5D"/>
    <w:rsid w:val="00E22D6A"/>
    <w:rsid w:val="00E50ADE"/>
    <w:rsid w:val="00E56C08"/>
    <w:rsid w:val="00E74902"/>
    <w:rsid w:val="00E81E89"/>
    <w:rsid w:val="00E8266F"/>
    <w:rsid w:val="00EA0909"/>
    <w:rsid w:val="00EA5A1B"/>
    <w:rsid w:val="00EB4F20"/>
    <w:rsid w:val="00ED388A"/>
    <w:rsid w:val="00ED597C"/>
    <w:rsid w:val="00EE08B0"/>
    <w:rsid w:val="00EE697B"/>
    <w:rsid w:val="00F04F78"/>
    <w:rsid w:val="00F14616"/>
    <w:rsid w:val="00F452E1"/>
    <w:rsid w:val="00F60E81"/>
    <w:rsid w:val="00F6125B"/>
    <w:rsid w:val="00F90E6A"/>
    <w:rsid w:val="00F9342B"/>
    <w:rsid w:val="00FA32DD"/>
    <w:rsid w:val="00FB05C4"/>
    <w:rsid w:val="00FB4847"/>
    <w:rsid w:val="00FD40E9"/>
    <w:rsid w:val="00FE3C09"/>
    <w:rsid w:val="00FE5BFD"/>
    <w:rsid w:val="00FE61E1"/>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34"/>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customStyle="1" w:styleId="DashLAST">
    <w:name w:val="Dash (LAST)"/>
    <w:basedOn w:val="Dash"/>
    <w:next w:val="Normal"/>
    <w:qFormat/>
    <w:rsid w:val="009A2384"/>
    <w:pPr>
      <w:numPr>
        <w:numId w:val="35"/>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qFormat/>
    <w:rsid w:val="00664315"/>
    <w:pPr>
      <w:numPr>
        <w:numId w:val="28"/>
      </w:numPr>
      <w:tabs>
        <w:tab w:val="left" w:pos="360"/>
      </w:tabs>
      <w:spacing w:after="180"/>
      <w:ind w:left="720" w:right="360" w:hanging="288"/>
      <w:jc w:val="both"/>
    </w:pPr>
  </w:style>
  <w:style w:type="paragraph" w:customStyle="1" w:styleId="NumberedBullet">
    <w:name w:val="Numbered Bullet"/>
    <w:qFormat/>
    <w:rsid w:val="00664315"/>
    <w:pPr>
      <w:numPr>
        <w:numId w:val="33"/>
      </w:numPr>
      <w:tabs>
        <w:tab w:val="clear" w:pos="792"/>
        <w:tab w:val="left" w:pos="360"/>
      </w:tabs>
      <w:spacing w:after="18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99"/>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664315"/>
    <w:pPr>
      <w:numPr>
        <w:numId w:val="36"/>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34"/>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customStyle="1" w:styleId="DashLAST">
    <w:name w:val="Dash (LAST)"/>
    <w:basedOn w:val="Dash"/>
    <w:next w:val="Normal"/>
    <w:qFormat/>
    <w:rsid w:val="009A2384"/>
    <w:pPr>
      <w:numPr>
        <w:numId w:val="35"/>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qFormat/>
    <w:rsid w:val="00664315"/>
    <w:pPr>
      <w:numPr>
        <w:numId w:val="28"/>
      </w:numPr>
      <w:tabs>
        <w:tab w:val="left" w:pos="360"/>
      </w:tabs>
      <w:spacing w:after="180"/>
      <w:ind w:left="720" w:right="360" w:hanging="288"/>
      <w:jc w:val="both"/>
    </w:pPr>
  </w:style>
  <w:style w:type="paragraph" w:customStyle="1" w:styleId="NumberedBullet">
    <w:name w:val="Numbered Bullet"/>
    <w:qFormat/>
    <w:rsid w:val="00664315"/>
    <w:pPr>
      <w:numPr>
        <w:numId w:val="33"/>
      </w:numPr>
      <w:tabs>
        <w:tab w:val="clear" w:pos="792"/>
        <w:tab w:val="left" w:pos="360"/>
      </w:tabs>
      <w:spacing w:after="18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99"/>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664315"/>
    <w:pPr>
      <w:numPr>
        <w:numId w:val="36"/>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29E3-7DA4-405A-B8DE-0A90C31D8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11</TotalTime>
  <Pages>3</Pages>
  <Words>1347</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8645</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bgoesling</dc:creator>
  <dc:description>This template should just print out on plain paper.</dc:description>
  <cp:lastModifiedBy>Seth F. Chamberlain</cp:lastModifiedBy>
  <cp:revision>4</cp:revision>
  <cp:lastPrinted>2010-02-19T17:30:00Z</cp:lastPrinted>
  <dcterms:created xsi:type="dcterms:W3CDTF">2011-07-27T14:29:00Z</dcterms:created>
  <dcterms:modified xsi:type="dcterms:W3CDTF">2011-07-27T14:39:00Z</dcterms:modified>
</cp:coreProperties>
</file>