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EA5" w:rsidRPr="001F3D9C" w:rsidRDefault="007E1EA5" w:rsidP="007E1EA5">
      <w:pPr>
        <w:pStyle w:val="NoSpacing"/>
        <w:jc w:val="center"/>
        <w:rPr>
          <w:rFonts w:asciiTheme="majorHAnsi" w:hAnsiTheme="majorHAnsi" w:cs="Times New Roman"/>
          <w:b/>
        </w:rPr>
      </w:pPr>
      <w:r w:rsidRPr="001F3D9C">
        <w:rPr>
          <w:rFonts w:asciiTheme="majorHAnsi" w:hAnsiTheme="majorHAnsi" w:cs="Times New Roman"/>
          <w:b/>
        </w:rPr>
        <w:t xml:space="preserve">Outline for </w:t>
      </w:r>
    </w:p>
    <w:p w:rsidR="007E1EA5" w:rsidRPr="001F3D9C" w:rsidRDefault="007E1EA5" w:rsidP="007E1EA5">
      <w:pPr>
        <w:pStyle w:val="NoSpacing"/>
        <w:jc w:val="center"/>
        <w:rPr>
          <w:rFonts w:asciiTheme="majorHAnsi" w:hAnsiTheme="majorHAnsi" w:cs="Times New Roman"/>
          <w:b/>
        </w:rPr>
      </w:pPr>
      <w:r w:rsidRPr="001F3D9C">
        <w:rPr>
          <w:rFonts w:asciiTheme="majorHAnsi" w:hAnsiTheme="majorHAnsi" w:cs="Times New Roman"/>
          <w:b/>
        </w:rPr>
        <w:t xml:space="preserve">Report on Analysis of </w:t>
      </w:r>
      <w:proofErr w:type="spellStart"/>
      <w:r w:rsidRPr="001F3D9C">
        <w:rPr>
          <w:rFonts w:asciiTheme="majorHAnsi" w:hAnsiTheme="majorHAnsi" w:cs="Times New Roman"/>
          <w:b/>
        </w:rPr>
        <w:t>Nonresponse</w:t>
      </w:r>
      <w:proofErr w:type="spellEnd"/>
      <w:r w:rsidRPr="001F3D9C">
        <w:rPr>
          <w:rFonts w:asciiTheme="majorHAnsi" w:hAnsiTheme="majorHAnsi" w:cs="Times New Roman"/>
          <w:b/>
        </w:rPr>
        <w:t xml:space="preserve"> and </w:t>
      </w:r>
      <w:proofErr w:type="spellStart"/>
      <w:r w:rsidRPr="001F3D9C">
        <w:rPr>
          <w:rFonts w:asciiTheme="majorHAnsi" w:hAnsiTheme="majorHAnsi" w:cs="Times New Roman"/>
          <w:b/>
        </w:rPr>
        <w:t>Nonresponse</w:t>
      </w:r>
      <w:proofErr w:type="spellEnd"/>
      <w:r w:rsidRPr="001F3D9C">
        <w:rPr>
          <w:rFonts w:asciiTheme="majorHAnsi" w:hAnsiTheme="majorHAnsi" w:cs="Times New Roman"/>
          <w:b/>
        </w:rPr>
        <w:t xml:space="preserve"> Bias</w:t>
      </w:r>
    </w:p>
    <w:p w:rsidR="007E1EA5" w:rsidRPr="001F3D9C" w:rsidRDefault="007E1EA5" w:rsidP="007E1EA5">
      <w:pPr>
        <w:pStyle w:val="NoSpacing"/>
        <w:jc w:val="center"/>
        <w:rPr>
          <w:rFonts w:asciiTheme="majorHAnsi" w:hAnsiTheme="majorHAnsi" w:cs="Times New Roman"/>
          <w:b/>
        </w:rPr>
      </w:pPr>
      <w:proofErr w:type="gramStart"/>
      <w:r w:rsidRPr="001F3D9C">
        <w:rPr>
          <w:rFonts w:asciiTheme="majorHAnsi" w:hAnsiTheme="majorHAnsi" w:cs="Times New Roman"/>
          <w:b/>
        </w:rPr>
        <w:t>in</w:t>
      </w:r>
      <w:proofErr w:type="gramEnd"/>
      <w:r w:rsidRPr="001F3D9C">
        <w:rPr>
          <w:rFonts w:asciiTheme="majorHAnsi" w:hAnsiTheme="majorHAnsi" w:cs="Times New Roman"/>
          <w:b/>
        </w:rPr>
        <w:t xml:space="preserve"> the</w:t>
      </w:r>
    </w:p>
    <w:p w:rsidR="007E1EA5" w:rsidRPr="001F3D9C" w:rsidRDefault="007E1EA5" w:rsidP="007E1EA5">
      <w:pPr>
        <w:pStyle w:val="NoSpacing"/>
        <w:jc w:val="center"/>
        <w:rPr>
          <w:rFonts w:asciiTheme="majorHAnsi" w:hAnsiTheme="majorHAnsi" w:cs="Times New Roman"/>
          <w:b/>
        </w:rPr>
      </w:pPr>
      <w:r w:rsidRPr="001F3D9C">
        <w:rPr>
          <w:rFonts w:asciiTheme="majorHAnsi" w:hAnsiTheme="majorHAnsi" w:cs="Times New Roman"/>
          <w:b/>
        </w:rPr>
        <w:t>National Survey of Early Care and Education</w:t>
      </w:r>
    </w:p>
    <w:p w:rsidR="007E1EA5" w:rsidRPr="00264091" w:rsidRDefault="007E1EA5" w:rsidP="007E1EA5">
      <w:pPr>
        <w:rPr>
          <w:rFonts w:ascii="Times New Roman" w:hAnsi="Times New Roman"/>
        </w:rPr>
      </w:pPr>
    </w:p>
    <w:p w:rsidR="007E1EA5" w:rsidRPr="001E2EA7" w:rsidRDefault="007E1EA5" w:rsidP="007E1EA5">
      <w:pPr>
        <w:spacing w:line="360" w:lineRule="auto"/>
        <w:rPr>
          <w:rFonts w:asciiTheme="majorHAnsi" w:hAnsiTheme="majorHAnsi"/>
          <w:b/>
        </w:rPr>
      </w:pPr>
      <w:r w:rsidRPr="001E2EA7">
        <w:rPr>
          <w:rFonts w:asciiTheme="majorHAnsi" w:hAnsiTheme="majorHAnsi"/>
          <w:b/>
        </w:rPr>
        <w:t>1. Introduction</w:t>
      </w:r>
      <w:r>
        <w:rPr>
          <w:rFonts w:asciiTheme="majorHAnsi" w:hAnsiTheme="majorHAnsi"/>
          <w:b/>
        </w:rPr>
        <w:t xml:space="preserve"> to the </w:t>
      </w:r>
      <w:r w:rsidRPr="001E2EA7">
        <w:rPr>
          <w:rFonts w:asciiTheme="majorHAnsi" w:hAnsiTheme="majorHAnsi"/>
          <w:b/>
        </w:rPr>
        <w:t>National Survey of Early Care and Education</w:t>
      </w:r>
    </w:p>
    <w:p w:rsidR="007E1EA5" w:rsidRPr="001F3D9C" w:rsidRDefault="007E1EA5" w:rsidP="007E1EA5">
      <w:pPr>
        <w:pStyle w:val="NoSpacing"/>
        <w:rPr>
          <w:rFonts w:asciiTheme="majorHAnsi" w:hAnsiTheme="majorHAnsi"/>
          <w:b/>
        </w:rPr>
      </w:pPr>
      <w:r w:rsidRPr="001F3D9C">
        <w:rPr>
          <w:rFonts w:asciiTheme="majorHAnsi" w:hAnsiTheme="majorHAnsi"/>
          <w:b/>
        </w:rPr>
        <w:t xml:space="preserve">2. Unit </w:t>
      </w:r>
      <w:proofErr w:type="spellStart"/>
      <w:r w:rsidRPr="001F3D9C">
        <w:rPr>
          <w:rFonts w:asciiTheme="majorHAnsi" w:hAnsiTheme="majorHAnsi"/>
          <w:b/>
        </w:rPr>
        <w:t>Nonresponse</w:t>
      </w:r>
      <w:proofErr w:type="spellEnd"/>
      <w:r w:rsidRPr="001F3D9C">
        <w:rPr>
          <w:rFonts w:asciiTheme="majorHAnsi" w:hAnsiTheme="majorHAnsi"/>
          <w:b/>
        </w:rPr>
        <w:t xml:space="preserve"> in the NSECE</w:t>
      </w:r>
    </w:p>
    <w:p w:rsidR="007E1EA5" w:rsidRPr="001F3D9C" w:rsidRDefault="007E1EA5" w:rsidP="007E1EA5">
      <w:pPr>
        <w:pStyle w:val="NoSpacing"/>
        <w:rPr>
          <w:b/>
        </w:rPr>
      </w:pPr>
    </w:p>
    <w:p w:rsidR="007E1EA5" w:rsidRPr="001F3D9C" w:rsidRDefault="007E1EA5" w:rsidP="007E1EA5">
      <w:pPr>
        <w:pStyle w:val="NoSpacing"/>
        <w:rPr>
          <w:rFonts w:asciiTheme="majorHAnsi" w:hAnsiTheme="majorHAnsi"/>
        </w:rPr>
      </w:pPr>
      <w:r w:rsidRPr="001F3D9C">
        <w:rPr>
          <w:rFonts w:asciiTheme="majorHAnsi" w:hAnsiTheme="majorHAnsi"/>
        </w:rPr>
        <w:t>In this section</w:t>
      </w:r>
      <w:r>
        <w:rPr>
          <w:rFonts w:asciiTheme="majorHAnsi" w:hAnsiTheme="majorHAnsi"/>
        </w:rPr>
        <w:t>,</w:t>
      </w:r>
      <w:r w:rsidRPr="001F3D9C">
        <w:rPr>
          <w:rFonts w:asciiTheme="majorHAnsi" w:hAnsiTheme="majorHAnsi"/>
        </w:rPr>
        <w:t xml:space="preserve"> unit </w:t>
      </w:r>
      <w:proofErr w:type="spellStart"/>
      <w:r w:rsidRPr="001F3D9C">
        <w:rPr>
          <w:rFonts w:asciiTheme="majorHAnsi" w:hAnsiTheme="majorHAnsi"/>
        </w:rPr>
        <w:t>nonresponse</w:t>
      </w:r>
      <w:proofErr w:type="spellEnd"/>
      <w:r w:rsidRPr="001F3D9C">
        <w:rPr>
          <w:rFonts w:asciiTheme="majorHAnsi" w:hAnsiTheme="majorHAnsi"/>
        </w:rPr>
        <w:t xml:space="preserve"> rates </w:t>
      </w:r>
      <w:proofErr w:type="gramStart"/>
      <w:r w:rsidRPr="001F3D9C">
        <w:rPr>
          <w:rFonts w:asciiTheme="majorHAnsi" w:hAnsiTheme="majorHAnsi"/>
        </w:rPr>
        <w:t>will be presented</w:t>
      </w:r>
      <w:proofErr w:type="gramEnd"/>
      <w:r w:rsidRPr="001F3D9C">
        <w:rPr>
          <w:rFonts w:asciiTheme="majorHAnsi" w:hAnsiTheme="majorHAnsi"/>
        </w:rPr>
        <w:t xml:space="preserve"> for each survey. In addition, for each survey, </w:t>
      </w:r>
      <w:proofErr w:type="spellStart"/>
      <w:r w:rsidRPr="001F3D9C">
        <w:rPr>
          <w:rFonts w:asciiTheme="majorHAnsi" w:hAnsiTheme="majorHAnsi"/>
        </w:rPr>
        <w:t>nonresponse</w:t>
      </w:r>
      <w:proofErr w:type="spellEnd"/>
      <w:r w:rsidRPr="001F3D9C">
        <w:rPr>
          <w:rFonts w:asciiTheme="majorHAnsi" w:hAnsiTheme="majorHAnsi"/>
        </w:rPr>
        <w:t xml:space="preserve"> rates </w:t>
      </w:r>
      <w:proofErr w:type="gramStart"/>
      <w:r w:rsidRPr="001F3D9C">
        <w:rPr>
          <w:rFonts w:asciiTheme="majorHAnsi" w:hAnsiTheme="majorHAnsi"/>
        </w:rPr>
        <w:t>will be tabulated and displayed by the mode of data collection, by state, or by tracts (for the household survey) and provider clusters for the two provider surveys</w:t>
      </w:r>
      <w:proofErr w:type="gramEnd"/>
      <w:r w:rsidRPr="001F3D9C">
        <w:rPr>
          <w:rFonts w:asciiTheme="majorHAnsi" w:hAnsiTheme="majorHAnsi"/>
        </w:rPr>
        <w:t xml:space="preserve">. </w:t>
      </w:r>
      <w:proofErr w:type="spellStart"/>
      <w:r w:rsidRPr="001F3D9C">
        <w:rPr>
          <w:rFonts w:asciiTheme="majorHAnsi" w:hAnsiTheme="majorHAnsi"/>
        </w:rPr>
        <w:t>Nonresponse</w:t>
      </w:r>
      <w:proofErr w:type="spellEnd"/>
      <w:r w:rsidRPr="001F3D9C">
        <w:rPr>
          <w:rFonts w:asciiTheme="majorHAnsi" w:hAnsiTheme="majorHAnsi"/>
        </w:rPr>
        <w:t xml:space="preserve"> rates </w:t>
      </w:r>
      <w:proofErr w:type="gramStart"/>
      <w:r w:rsidRPr="001F3D9C">
        <w:rPr>
          <w:rFonts w:asciiTheme="majorHAnsi" w:hAnsiTheme="majorHAnsi"/>
        </w:rPr>
        <w:t>will also be tabulated and displayed by income stratum for the household survey and provider stratum for the center-based provider survey and the workforce survey</w:t>
      </w:r>
      <w:proofErr w:type="gramEnd"/>
      <w:r w:rsidRPr="001F3D9C">
        <w:rPr>
          <w:rFonts w:asciiTheme="majorHAnsi" w:hAnsiTheme="majorHAnsi"/>
        </w:rPr>
        <w:t xml:space="preserve">. </w:t>
      </w:r>
      <w:proofErr w:type="gramStart"/>
      <w:r w:rsidRPr="001F3D9C">
        <w:rPr>
          <w:rFonts w:asciiTheme="majorHAnsi" w:hAnsiTheme="majorHAnsi"/>
        </w:rPr>
        <w:t xml:space="preserve">Although high </w:t>
      </w:r>
      <w:proofErr w:type="spellStart"/>
      <w:r w:rsidRPr="001F3D9C">
        <w:rPr>
          <w:rFonts w:asciiTheme="majorHAnsi" w:hAnsiTheme="majorHAnsi"/>
        </w:rPr>
        <w:t>nonresponse</w:t>
      </w:r>
      <w:proofErr w:type="spellEnd"/>
      <w:r w:rsidRPr="001F3D9C">
        <w:rPr>
          <w:rFonts w:asciiTheme="majorHAnsi" w:hAnsiTheme="majorHAnsi"/>
        </w:rPr>
        <w:t xml:space="preserve"> rates do not necessarily imply large </w:t>
      </w:r>
      <w:proofErr w:type="spellStart"/>
      <w:r w:rsidRPr="001F3D9C">
        <w:rPr>
          <w:rFonts w:asciiTheme="majorHAnsi" w:hAnsiTheme="majorHAnsi"/>
        </w:rPr>
        <w:t>nonresponse</w:t>
      </w:r>
      <w:proofErr w:type="spellEnd"/>
      <w:r w:rsidRPr="001F3D9C">
        <w:rPr>
          <w:rFonts w:asciiTheme="majorHAnsi" w:hAnsiTheme="majorHAnsi"/>
        </w:rPr>
        <w:t xml:space="preserve"> bias (see Groves, 2006), we will examine </w:t>
      </w:r>
      <w:proofErr w:type="spellStart"/>
      <w:r w:rsidRPr="001F3D9C">
        <w:rPr>
          <w:rFonts w:asciiTheme="majorHAnsi" w:hAnsiTheme="majorHAnsi"/>
        </w:rPr>
        <w:t>nonresponse</w:t>
      </w:r>
      <w:proofErr w:type="spellEnd"/>
      <w:r w:rsidRPr="001F3D9C">
        <w:rPr>
          <w:rFonts w:asciiTheme="majorHAnsi" w:hAnsiTheme="majorHAnsi"/>
        </w:rPr>
        <w:t xml:space="preserve"> bias by surveys, locales, and strata wherever possible.</w:t>
      </w:r>
      <w:proofErr w:type="gramEnd"/>
      <w:r w:rsidRPr="001F3D9C">
        <w:rPr>
          <w:rFonts w:asciiTheme="majorHAnsi" w:hAnsiTheme="majorHAnsi"/>
        </w:rPr>
        <w:t xml:space="preserve"> We will identify strata and locales where </w:t>
      </w:r>
      <w:proofErr w:type="spellStart"/>
      <w:r w:rsidRPr="001F3D9C">
        <w:rPr>
          <w:rFonts w:asciiTheme="majorHAnsi" w:hAnsiTheme="majorHAnsi"/>
        </w:rPr>
        <w:t>nonresponse</w:t>
      </w:r>
      <w:proofErr w:type="spellEnd"/>
      <w:r w:rsidRPr="001F3D9C">
        <w:rPr>
          <w:rFonts w:asciiTheme="majorHAnsi" w:hAnsiTheme="majorHAnsi"/>
        </w:rPr>
        <w:t xml:space="preserve"> rates are the highest and investigate these in more detail when conducting </w:t>
      </w:r>
      <w:proofErr w:type="spellStart"/>
      <w:r w:rsidRPr="001F3D9C">
        <w:rPr>
          <w:rFonts w:asciiTheme="majorHAnsi" w:hAnsiTheme="majorHAnsi"/>
        </w:rPr>
        <w:t>nonresponse</w:t>
      </w:r>
      <w:proofErr w:type="spellEnd"/>
      <w:r w:rsidRPr="001F3D9C">
        <w:rPr>
          <w:rFonts w:asciiTheme="majorHAnsi" w:hAnsiTheme="majorHAnsi"/>
        </w:rPr>
        <w:t xml:space="preserve"> bias.</w:t>
      </w:r>
    </w:p>
    <w:p w:rsidR="007E1EA5" w:rsidRDefault="007E1EA5" w:rsidP="007E1EA5">
      <w:pPr>
        <w:pStyle w:val="NoSpacing"/>
        <w:rPr>
          <w:rFonts w:asciiTheme="majorHAnsi" w:hAnsiTheme="majorHAnsi"/>
        </w:rPr>
      </w:pPr>
      <w:r>
        <w:rPr>
          <w:rFonts w:asciiTheme="majorHAnsi" w:hAnsiTheme="majorHAnsi"/>
        </w:rPr>
        <w:t xml:space="preserve">  </w:t>
      </w:r>
    </w:p>
    <w:p w:rsidR="007E1EA5" w:rsidRPr="001F3D9C" w:rsidRDefault="007E1EA5" w:rsidP="007E1EA5">
      <w:pPr>
        <w:pStyle w:val="NoSpacing"/>
        <w:rPr>
          <w:rFonts w:asciiTheme="majorHAnsi" w:hAnsiTheme="majorHAnsi"/>
          <w:i/>
        </w:rPr>
      </w:pPr>
      <w:r w:rsidRPr="001F3D9C">
        <w:rPr>
          <w:rFonts w:asciiTheme="majorHAnsi" w:hAnsiTheme="majorHAnsi"/>
          <w:i/>
        </w:rPr>
        <w:t>2.1 Household Survey</w:t>
      </w:r>
    </w:p>
    <w:p w:rsidR="007E1EA5" w:rsidRDefault="007E1EA5" w:rsidP="007E1EA5">
      <w:pPr>
        <w:pStyle w:val="NoSpacing"/>
        <w:ind w:left="720" w:firstLine="720"/>
        <w:rPr>
          <w:rFonts w:asciiTheme="majorHAnsi" w:hAnsiTheme="majorHAnsi"/>
        </w:rPr>
      </w:pPr>
      <w:r w:rsidRPr="001E2EA7">
        <w:rPr>
          <w:rFonts w:asciiTheme="majorHAnsi" w:hAnsiTheme="majorHAnsi"/>
        </w:rPr>
        <w:t>By mode</w:t>
      </w:r>
    </w:p>
    <w:p w:rsidR="007E1EA5" w:rsidRPr="001E2EA7" w:rsidRDefault="007E1EA5" w:rsidP="007E1EA5">
      <w:pPr>
        <w:pStyle w:val="NoSpacing"/>
        <w:ind w:left="720" w:firstLine="720"/>
        <w:rPr>
          <w:rFonts w:asciiTheme="majorHAnsi" w:hAnsiTheme="majorHAnsi"/>
        </w:rPr>
      </w:pPr>
    </w:p>
    <w:p w:rsidR="007E1EA5" w:rsidRPr="001F3D9C" w:rsidRDefault="007E1EA5" w:rsidP="007E1EA5">
      <w:pPr>
        <w:pStyle w:val="NoSpacing"/>
        <w:rPr>
          <w:rFonts w:asciiTheme="majorHAnsi" w:hAnsiTheme="majorHAnsi"/>
          <w:i/>
        </w:rPr>
      </w:pPr>
      <w:r w:rsidRPr="001F3D9C">
        <w:rPr>
          <w:rFonts w:asciiTheme="majorHAnsi" w:hAnsiTheme="majorHAnsi"/>
          <w:i/>
        </w:rPr>
        <w:t>2.2 Home-Based Provider Survey</w:t>
      </w:r>
    </w:p>
    <w:p w:rsidR="007E1EA5" w:rsidRDefault="007E1EA5" w:rsidP="007E1EA5">
      <w:pPr>
        <w:pStyle w:val="NoSpacing"/>
        <w:ind w:left="720" w:firstLine="720"/>
        <w:rPr>
          <w:rFonts w:asciiTheme="majorHAnsi" w:hAnsiTheme="majorHAnsi"/>
        </w:rPr>
      </w:pPr>
      <w:r w:rsidRPr="001E2EA7">
        <w:rPr>
          <w:rFonts w:asciiTheme="majorHAnsi" w:hAnsiTheme="majorHAnsi"/>
        </w:rPr>
        <w:t>By mode</w:t>
      </w:r>
    </w:p>
    <w:p w:rsidR="007E1EA5" w:rsidRPr="001E2EA7" w:rsidRDefault="007E1EA5" w:rsidP="007E1EA5">
      <w:pPr>
        <w:pStyle w:val="NoSpacing"/>
        <w:ind w:left="720" w:firstLine="720"/>
        <w:rPr>
          <w:rFonts w:asciiTheme="majorHAnsi" w:hAnsiTheme="majorHAnsi"/>
        </w:rPr>
      </w:pPr>
    </w:p>
    <w:p w:rsidR="007E1EA5" w:rsidRPr="001F3D9C" w:rsidRDefault="007E1EA5" w:rsidP="007E1EA5">
      <w:pPr>
        <w:pStyle w:val="NoSpacing"/>
        <w:rPr>
          <w:rFonts w:asciiTheme="majorHAnsi" w:hAnsiTheme="majorHAnsi"/>
          <w:i/>
        </w:rPr>
      </w:pPr>
      <w:r w:rsidRPr="001F3D9C">
        <w:rPr>
          <w:rFonts w:asciiTheme="majorHAnsi" w:hAnsiTheme="majorHAnsi"/>
          <w:i/>
        </w:rPr>
        <w:t>2.3 Center-Based Provider Survey</w:t>
      </w:r>
    </w:p>
    <w:p w:rsidR="007E1EA5" w:rsidRDefault="007E1EA5" w:rsidP="007E1EA5">
      <w:pPr>
        <w:pStyle w:val="NoSpacing"/>
        <w:ind w:left="720" w:firstLine="720"/>
        <w:rPr>
          <w:rFonts w:asciiTheme="majorHAnsi" w:hAnsiTheme="majorHAnsi"/>
        </w:rPr>
      </w:pPr>
      <w:r w:rsidRPr="001E2EA7">
        <w:rPr>
          <w:rFonts w:asciiTheme="majorHAnsi" w:hAnsiTheme="majorHAnsi"/>
        </w:rPr>
        <w:t>By mode</w:t>
      </w:r>
    </w:p>
    <w:p w:rsidR="007E1EA5" w:rsidRPr="001E2EA7" w:rsidRDefault="007E1EA5" w:rsidP="007E1EA5">
      <w:pPr>
        <w:pStyle w:val="NoSpacing"/>
        <w:ind w:left="720" w:firstLine="720"/>
        <w:rPr>
          <w:rFonts w:asciiTheme="majorHAnsi" w:hAnsiTheme="majorHAnsi"/>
        </w:rPr>
      </w:pPr>
    </w:p>
    <w:p w:rsidR="007E1EA5" w:rsidRPr="001F3D9C" w:rsidRDefault="007E1EA5" w:rsidP="007E1EA5">
      <w:pPr>
        <w:pStyle w:val="NoSpacing"/>
        <w:rPr>
          <w:rFonts w:asciiTheme="majorHAnsi" w:hAnsiTheme="majorHAnsi"/>
          <w:i/>
        </w:rPr>
      </w:pPr>
      <w:r w:rsidRPr="001F3D9C">
        <w:rPr>
          <w:rFonts w:asciiTheme="majorHAnsi" w:hAnsiTheme="majorHAnsi"/>
          <w:i/>
        </w:rPr>
        <w:t>2.4 Workforce Survey</w:t>
      </w:r>
    </w:p>
    <w:p w:rsidR="007E1EA5" w:rsidRPr="001E2EA7" w:rsidRDefault="007E1EA5" w:rsidP="007E1EA5">
      <w:pPr>
        <w:pStyle w:val="NoSpacing"/>
        <w:ind w:left="720" w:firstLine="720"/>
        <w:rPr>
          <w:rFonts w:asciiTheme="majorHAnsi" w:hAnsiTheme="majorHAnsi"/>
        </w:rPr>
      </w:pPr>
      <w:r w:rsidRPr="001E2EA7">
        <w:rPr>
          <w:rFonts w:asciiTheme="majorHAnsi" w:hAnsiTheme="majorHAnsi"/>
        </w:rPr>
        <w:t>By mode</w:t>
      </w:r>
    </w:p>
    <w:p w:rsidR="007E1EA5" w:rsidRPr="001E2EA7" w:rsidRDefault="007E1EA5" w:rsidP="007E1EA5">
      <w:pPr>
        <w:pStyle w:val="NoSpacing"/>
        <w:ind w:left="720"/>
        <w:rPr>
          <w:rFonts w:asciiTheme="majorHAnsi" w:hAnsiTheme="majorHAnsi"/>
        </w:rPr>
      </w:pPr>
    </w:p>
    <w:p w:rsidR="007E1EA5" w:rsidRDefault="007E1EA5" w:rsidP="007E1EA5">
      <w:pPr>
        <w:pStyle w:val="NoSpacing"/>
        <w:rPr>
          <w:rFonts w:asciiTheme="majorHAnsi" w:hAnsiTheme="majorHAnsi"/>
          <w:b/>
        </w:rPr>
      </w:pPr>
      <w:r>
        <w:rPr>
          <w:rFonts w:asciiTheme="majorHAnsi" w:hAnsiTheme="majorHAnsi"/>
          <w:b/>
        </w:rPr>
        <w:t>3</w:t>
      </w:r>
      <w:r w:rsidRPr="001E2EA7">
        <w:rPr>
          <w:rFonts w:asciiTheme="majorHAnsi" w:hAnsiTheme="majorHAnsi"/>
          <w:b/>
        </w:rPr>
        <w:t xml:space="preserve">. </w:t>
      </w:r>
      <w:proofErr w:type="spellStart"/>
      <w:r w:rsidRPr="001E2EA7">
        <w:rPr>
          <w:rFonts w:asciiTheme="majorHAnsi" w:hAnsiTheme="majorHAnsi"/>
          <w:b/>
        </w:rPr>
        <w:t>Nonresponse</w:t>
      </w:r>
      <w:proofErr w:type="spellEnd"/>
      <w:r w:rsidRPr="001E2EA7">
        <w:rPr>
          <w:rFonts w:asciiTheme="majorHAnsi" w:hAnsiTheme="majorHAnsi"/>
          <w:b/>
        </w:rPr>
        <w:t xml:space="preserve"> Bias</w:t>
      </w:r>
    </w:p>
    <w:p w:rsidR="007E1EA5" w:rsidRDefault="007E1EA5" w:rsidP="007E1EA5">
      <w:pPr>
        <w:pStyle w:val="NoSpacing"/>
        <w:rPr>
          <w:rFonts w:asciiTheme="majorHAnsi" w:hAnsiTheme="majorHAnsi"/>
          <w:b/>
        </w:rPr>
      </w:pPr>
    </w:p>
    <w:p w:rsidR="007E1EA5" w:rsidRDefault="007E1EA5" w:rsidP="007E1EA5">
      <w:pPr>
        <w:pStyle w:val="NoSpacing"/>
        <w:rPr>
          <w:rFonts w:asciiTheme="majorHAnsi" w:hAnsiTheme="majorHAnsi"/>
        </w:rPr>
      </w:pPr>
      <w:r w:rsidRPr="00A96AD5">
        <w:rPr>
          <w:rFonts w:asciiTheme="majorHAnsi" w:hAnsiTheme="majorHAnsi"/>
        </w:rPr>
        <w:t xml:space="preserve">For years, survey statisticians have proposed statistical models that link bias in estimates with </w:t>
      </w:r>
      <w:proofErr w:type="spellStart"/>
      <w:r w:rsidRPr="00A96AD5">
        <w:rPr>
          <w:rFonts w:asciiTheme="majorHAnsi" w:hAnsiTheme="majorHAnsi"/>
        </w:rPr>
        <w:t>nonresponse</w:t>
      </w:r>
      <w:proofErr w:type="spellEnd"/>
      <w:r w:rsidRPr="00A96AD5">
        <w:rPr>
          <w:rFonts w:asciiTheme="majorHAnsi" w:hAnsiTheme="majorHAnsi"/>
        </w:rPr>
        <w:t xml:space="preserve">.  The basic underlying premise is that </w:t>
      </w:r>
      <w:proofErr w:type="spellStart"/>
      <w:r w:rsidRPr="00A96AD5">
        <w:rPr>
          <w:rFonts w:asciiTheme="majorHAnsi" w:hAnsiTheme="majorHAnsi"/>
        </w:rPr>
        <w:t>nonresponders</w:t>
      </w:r>
      <w:proofErr w:type="spellEnd"/>
      <w:r w:rsidRPr="00A96AD5">
        <w:rPr>
          <w:rFonts w:asciiTheme="majorHAnsi" w:hAnsiTheme="majorHAnsi"/>
        </w:rPr>
        <w:t xml:space="preserve"> (m) may be different from responders (r) on characteristics associated with key variables measured in the survey.  </w:t>
      </w:r>
      <w:r>
        <w:rPr>
          <w:rFonts w:asciiTheme="majorHAnsi" w:hAnsiTheme="majorHAnsi"/>
        </w:rPr>
        <w:t xml:space="preserve">A </w:t>
      </w:r>
      <w:r w:rsidRPr="00A96AD5">
        <w:rPr>
          <w:rFonts w:asciiTheme="majorHAnsi" w:hAnsiTheme="majorHAnsi"/>
        </w:rPr>
        <w:t xml:space="preserve">deterministic model assumes that all members of the target population (N) are either certain to respond (R) or certain not to respond (M).  </w:t>
      </w:r>
      <w:r>
        <w:rPr>
          <w:rFonts w:asciiTheme="majorHAnsi" w:hAnsiTheme="majorHAnsi"/>
        </w:rPr>
        <w:t xml:space="preserve">In other words, N is the sum of M and R. </w:t>
      </w:r>
      <w:r w:rsidRPr="00A96AD5">
        <w:rPr>
          <w:rFonts w:asciiTheme="majorHAnsi" w:hAnsiTheme="majorHAnsi"/>
        </w:rPr>
        <w:t xml:space="preserve">Bias is quantified as the product of the </w:t>
      </w:r>
      <w:proofErr w:type="spellStart"/>
      <w:r w:rsidRPr="00A96AD5">
        <w:rPr>
          <w:rFonts w:asciiTheme="majorHAnsi" w:hAnsiTheme="majorHAnsi"/>
        </w:rPr>
        <w:t>nonresponse</w:t>
      </w:r>
      <w:proofErr w:type="spellEnd"/>
      <w:r w:rsidRPr="00A96AD5">
        <w:rPr>
          <w:rFonts w:asciiTheme="majorHAnsi" w:hAnsiTheme="majorHAnsi"/>
        </w:rPr>
        <w:t xml:space="preserve"> rate</w:t>
      </w:r>
      <w:r>
        <w:rPr>
          <w:rFonts w:asciiTheme="majorHAnsi" w:hAnsiTheme="majorHAnsi"/>
        </w:rPr>
        <w:t xml:space="preserve"> (M/R)</w:t>
      </w:r>
      <w:r w:rsidRPr="00A96AD5">
        <w:rPr>
          <w:rFonts w:asciiTheme="majorHAnsi" w:hAnsiTheme="majorHAnsi"/>
        </w:rPr>
        <w:t xml:space="preserve"> and the difference in populations means </w:t>
      </w:r>
      <w:r>
        <w:rPr>
          <w:rFonts w:asciiTheme="majorHAnsi" w:hAnsiTheme="majorHAnsi"/>
        </w:rPr>
        <w:t xml:space="preserve">    </w:t>
      </w:r>
      <w:r w:rsidRPr="00290A91">
        <w:t>(</w:t>
      </w:r>
      <w:r w:rsidRPr="00290A91">
        <w:rPr>
          <w:position w:val="-4"/>
        </w:rPr>
        <w:object w:dxaOrig="2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6.5pt" o:ole="">
            <v:imagedata r:id="rId4" o:title=""/>
          </v:shape>
          <o:OLEObject Type="Embed" ProgID="Equation.3" ShapeID="_x0000_i1025" DrawAspect="Content" ObjectID="_1374911778" r:id="rId5"/>
        </w:object>
      </w:r>
      <w:r w:rsidRPr="00290A91">
        <w:t>)</w:t>
      </w:r>
      <w:r w:rsidRPr="00A96AD5">
        <w:rPr>
          <w:rFonts w:asciiTheme="majorHAnsi" w:hAnsiTheme="majorHAnsi"/>
        </w:rPr>
        <w:t xml:space="preserve"> or other statistics between respondents and </w:t>
      </w:r>
      <w:proofErr w:type="spellStart"/>
      <w:r w:rsidRPr="00A96AD5">
        <w:rPr>
          <w:rFonts w:asciiTheme="majorHAnsi" w:hAnsiTheme="majorHAnsi"/>
        </w:rPr>
        <w:t>nonrespondents</w:t>
      </w:r>
      <w:proofErr w:type="spellEnd"/>
      <w:r w:rsidRPr="00A96AD5">
        <w:rPr>
          <w:rFonts w:asciiTheme="majorHAnsi" w:hAnsiTheme="majorHAnsi"/>
        </w:rPr>
        <w:t xml:space="preserve"> (</w:t>
      </w:r>
      <w:proofErr w:type="spellStart"/>
      <w:r w:rsidRPr="00A96AD5">
        <w:rPr>
          <w:rFonts w:asciiTheme="majorHAnsi" w:hAnsiTheme="majorHAnsi"/>
        </w:rPr>
        <w:t>Biemer</w:t>
      </w:r>
      <w:proofErr w:type="spellEnd"/>
      <w:r w:rsidRPr="00A96AD5">
        <w:rPr>
          <w:rFonts w:asciiTheme="majorHAnsi" w:hAnsiTheme="majorHAnsi"/>
        </w:rPr>
        <w:t xml:space="preserve"> &amp; </w:t>
      </w:r>
      <w:proofErr w:type="spellStart"/>
      <w:r w:rsidRPr="00A96AD5">
        <w:rPr>
          <w:rFonts w:asciiTheme="majorHAnsi" w:hAnsiTheme="majorHAnsi"/>
        </w:rPr>
        <w:t>Lyberg</w:t>
      </w:r>
      <w:proofErr w:type="spellEnd"/>
      <w:r w:rsidRPr="00A96AD5">
        <w:rPr>
          <w:rFonts w:asciiTheme="majorHAnsi" w:hAnsiTheme="majorHAnsi"/>
        </w:rPr>
        <w:t>, 2003; Groves, 1989).</w:t>
      </w:r>
    </w:p>
    <w:p w:rsidR="007E1EA5" w:rsidRDefault="007E1EA5" w:rsidP="007E1EA5">
      <w:pPr>
        <w:pStyle w:val="NoSpacing"/>
        <w:rPr>
          <w:rFonts w:asciiTheme="majorHAnsi" w:hAnsiTheme="majorHAnsi"/>
        </w:rPr>
      </w:pPr>
    </w:p>
    <w:p w:rsidR="007E1EA5" w:rsidRDefault="007E1EA5" w:rsidP="007E1EA5">
      <w:pPr>
        <w:pStyle w:val="NoSpacing"/>
        <w:rPr>
          <w:rFonts w:asciiTheme="majorHAnsi" w:hAnsiTheme="majorHAnsi"/>
        </w:rPr>
      </w:pPr>
      <w:r w:rsidRPr="00A96AD5">
        <w:rPr>
          <w:rFonts w:asciiTheme="majorHAnsi" w:hAnsiTheme="majorHAnsi"/>
        </w:rPr>
        <w:t>The formula below is for the deterministic model.</w:t>
      </w:r>
    </w:p>
    <w:p w:rsidR="007E1EA5" w:rsidRDefault="007E1EA5" w:rsidP="007E1EA5">
      <w:pPr>
        <w:pStyle w:val="NoSpacing"/>
        <w:rPr>
          <w:rFonts w:asciiTheme="majorHAnsi" w:hAnsiTheme="majorHAnsi"/>
        </w:rPr>
      </w:pPr>
      <w:r>
        <w:rPr>
          <w:rFonts w:asciiTheme="majorHAnsi" w:hAnsiTheme="majorHAnsi"/>
          <w:noProof/>
        </w:rPr>
        <w:pict>
          <v:shape id="_x0000_s1026" type="#_x0000_t75" style="position:absolute;margin-left:110.85pt;margin-top:2.35pt;width:200.1pt;height:54.05pt;z-index:251660288">
            <v:imagedata r:id="rId6" o:title=""/>
          </v:shape>
          <o:OLEObject Type="Embed" ProgID="Equation.3" ShapeID="_x0000_s1026" DrawAspect="Content" ObjectID="_1374911785" r:id="rId7"/>
        </w:pict>
      </w:r>
    </w:p>
    <w:p w:rsidR="007E1EA5" w:rsidRDefault="007E1EA5" w:rsidP="007E1EA5">
      <w:pPr>
        <w:pStyle w:val="NoSpacing"/>
        <w:rPr>
          <w:rFonts w:asciiTheme="majorHAnsi" w:hAnsiTheme="majorHAnsi"/>
        </w:rPr>
      </w:pPr>
      <w:r>
        <w:rPr>
          <w:rFonts w:asciiTheme="majorHAnsi" w:hAnsiTheme="majorHAnsi"/>
        </w:rPr>
        <w:t>(1)</w:t>
      </w:r>
    </w:p>
    <w:p w:rsidR="007E1EA5" w:rsidRDefault="007E1EA5" w:rsidP="007E1EA5">
      <w:pPr>
        <w:pStyle w:val="NoSpacing"/>
        <w:rPr>
          <w:rFonts w:asciiTheme="majorHAnsi" w:hAnsiTheme="majorHAnsi"/>
        </w:rPr>
      </w:pPr>
    </w:p>
    <w:p w:rsidR="007E1EA5" w:rsidRDefault="007E1EA5" w:rsidP="007E1EA5">
      <w:pPr>
        <w:pStyle w:val="NoSpacing"/>
        <w:rPr>
          <w:rFonts w:asciiTheme="majorHAnsi" w:hAnsiTheme="majorHAnsi"/>
        </w:rPr>
      </w:pPr>
    </w:p>
    <w:p w:rsidR="007E1EA5" w:rsidRPr="00A96AD5" w:rsidRDefault="007E1EA5" w:rsidP="007E1EA5">
      <w:pPr>
        <w:pStyle w:val="NoSpacing"/>
        <w:rPr>
          <w:rFonts w:asciiTheme="majorHAnsi" w:hAnsiTheme="majorHAnsi"/>
        </w:rPr>
      </w:pPr>
    </w:p>
    <w:p w:rsidR="007E1EA5" w:rsidRPr="00A96AD5" w:rsidRDefault="007E1EA5" w:rsidP="007E1EA5">
      <w:pPr>
        <w:pStyle w:val="NoSpacing"/>
        <w:rPr>
          <w:rFonts w:asciiTheme="majorHAnsi" w:hAnsiTheme="majorHAnsi"/>
        </w:rPr>
      </w:pPr>
    </w:p>
    <w:p w:rsidR="007E1EA5" w:rsidRDefault="007E1EA5" w:rsidP="007E1EA5">
      <w:pPr>
        <w:pStyle w:val="NoSpacing"/>
        <w:rPr>
          <w:rFonts w:asciiTheme="majorHAnsi" w:hAnsiTheme="majorHAnsi"/>
          <w:b/>
        </w:rPr>
      </w:pPr>
    </w:p>
    <w:p w:rsidR="007E1EA5" w:rsidRDefault="007E1EA5" w:rsidP="007E1EA5">
      <w:pPr>
        <w:pStyle w:val="NoSpacing"/>
        <w:rPr>
          <w:rFonts w:asciiTheme="majorHAnsi" w:hAnsiTheme="majorHAnsi"/>
          <w:position w:val="-6"/>
        </w:rPr>
      </w:pPr>
      <w:r>
        <w:rPr>
          <w:rFonts w:asciiTheme="majorHAnsi" w:hAnsiTheme="majorHAnsi"/>
        </w:rPr>
        <w:t xml:space="preserve">Mathematically speaking, formula (1) is equivalent to the differences between the population mean </w:t>
      </w:r>
      <w:r w:rsidRPr="003F4E53">
        <w:rPr>
          <w:rFonts w:asciiTheme="majorHAnsi" w:hAnsiTheme="majorHAnsi"/>
          <w:position w:val="-4"/>
        </w:rPr>
        <w:object w:dxaOrig="220" w:dyaOrig="320">
          <v:shape id="_x0000_i1026" type="#_x0000_t75" style="width:10.5pt;height:16.5pt" o:ole="">
            <v:imagedata r:id="rId8" o:title=""/>
          </v:shape>
          <o:OLEObject Type="Embed" ProgID="Equation.3" ShapeID="_x0000_i1026" DrawAspect="Content" ObjectID="_1374911779" r:id="rId9"/>
        </w:object>
      </w:r>
      <w:r w:rsidRPr="003F4E53">
        <w:rPr>
          <w:rFonts w:asciiTheme="majorHAnsi" w:hAnsiTheme="majorHAnsi"/>
        </w:rPr>
        <w:t xml:space="preserve">for the full sample and </w:t>
      </w:r>
      <w:r w:rsidRPr="003F4E53">
        <w:rPr>
          <w:rFonts w:asciiTheme="majorHAnsi" w:hAnsiTheme="majorHAnsi"/>
          <w:position w:val="-6"/>
        </w:rPr>
        <w:object w:dxaOrig="300" w:dyaOrig="340">
          <v:shape id="_x0000_i1027" type="#_x0000_t75" style="width:15pt;height:17.25pt" o:ole="">
            <v:imagedata r:id="rId10" o:title=""/>
          </v:shape>
          <o:OLEObject Type="Embed" ProgID="Equation.3" ShapeID="_x0000_i1027" DrawAspect="Content" ObjectID="_1374911780" r:id="rId11"/>
        </w:object>
      </w:r>
      <w:r w:rsidRPr="003F4E53">
        <w:rPr>
          <w:rFonts w:asciiTheme="majorHAnsi" w:hAnsiTheme="majorHAnsi"/>
        </w:rPr>
        <w:t>(the mean for respondents only)</w:t>
      </w:r>
      <w:r>
        <w:rPr>
          <w:rFonts w:asciiTheme="majorHAnsi" w:hAnsiTheme="majorHAnsi"/>
        </w:rPr>
        <w:t xml:space="preserve">. Below, we outline three different methods to evaluate </w:t>
      </w:r>
      <w:proofErr w:type="spellStart"/>
      <w:r>
        <w:rPr>
          <w:rFonts w:asciiTheme="majorHAnsi" w:hAnsiTheme="majorHAnsi"/>
        </w:rPr>
        <w:t>nonresponse</w:t>
      </w:r>
      <w:proofErr w:type="spellEnd"/>
      <w:r>
        <w:rPr>
          <w:rFonts w:asciiTheme="majorHAnsi" w:hAnsiTheme="majorHAnsi"/>
        </w:rPr>
        <w:t xml:space="preserve"> bias; each method makes a different assumption on </w:t>
      </w:r>
      <w:r w:rsidRPr="003F4E53">
        <w:rPr>
          <w:rFonts w:asciiTheme="majorHAnsi" w:hAnsiTheme="majorHAnsi"/>
          <w:position w:val="-4"/>
        </w:rPr>
        <w:object w:dxaOrig="220" w:dyaOrig="320">
          <v:shape id="_x0000_i1028" type="#_x0000_t75" style="width:10.5pt;height:16.5pt" o:ole="">
            <v:imagedata r:id="rId8" o:title=""/>
          </v:shape>
          <o:OLEObject Type="Embed" ProgID="Equation.3" ShapeID="_x0000_i1028" DrawAspect="Content" ObjectID="_1374911781" r:id="rId12"/>
        </w:object>
      </w:r>
      <w:r>
        <w:rPr>
          <w:rFonts w:asciiTheme="majorHAnsi" w:hAnsiTheme="majorHAnsi"/>
          <w:position w:val="-4"/>
        </w:rPr>
        <w:t xml:space="preserve"> </w:t>
      </w:r>
      <w:proofErr w:type="spellStart"/>
      <w:proofErr w:type="gramStart"/>
      <w:r>
        <w:rPr>
          <w:rFonts w:asciiTheme="majorHAnsi" w:hAnsiTheme="majorHAnsi"/>
          <w:position w:val="-4"/>
        </w:rPr>
        <w:t>and</w:t>
      </w:r>
      <w:proofErr w:type="spellEnd"/>
      <w:r>
        <w:rPr>
          <w:rFonts w:asciiTheme="majorHAnsi" w:hAnsiTheme="majorHAnsi"/>
          <w:position w:val="-4"/>
        </w:rPr>
        <w:t xml:space="preserve"> </w:t>
      </w:r>
      <w:proofErr w:type="gramEnd"/>
      <w:r w:rsidRPr="003F4E53">
        <w:rPr>
          <w:rFonts w:asciiTheme="majorHAnsi" w:hAnsiTheme="majorHAnsi"/>
          <w:position w:val="-6"/>
        </w:rPr>
        <w:object w:dxaOrig="300" w:dyaOrig="340">
          <v:shape id="_x0000_i1029" type="#_x0000_t75" style="width:15pt;height:17.25pt" o:ole="">
            <v:imagedata r:id="rId10" o:title=""/>
          </v:shape>
          <o:OLEObject Type="Embed" ProgID="Equation.3" ShapeID="_x0000_i1029" DrawAspect="Content" ObjectID="_1374911782" r:id="rId13"/>
        </w:object>
      </w:r>
      <w:r>
        <w:rPr>
          <w:rFonts w:asciiTheme="majorHAnsi" w:hAnsiTheme="majorHAnsi"/>
          <w:position w:val="-6"/>
        </w:rPr>
        <w:t>.</w:t>
      </w:r>
    </w:p>
    <w:p w:rsidR="007E1EA5" w:rsidRDefault="007E1EA5" w:rsidP="007E1EA5">
      <w:pPr>
        <w:pStyle w:val="NoSpacing"/>
        <w:rPr>
          <w:rFonts w:asciiTheme="majorHAnsi" w:hAnsiTheme="majorHAnsi"/>
          <w:position w:val="-6"/>
        </w:rPr>
      </w:pPr>
    </w:p>
    <w:p w:rsidR="007E1EA5" w:rsidRDefault="007E1EA5" w:rsidP="007E1EA5">
      <w:pPr>
        <w:pStyle w:val="NoSpacing"/>
        <w:contextualSpacing/>
        <w:rPr>
          <w:rFonts w:asciiTheme="majorHAnsi" w:hAnsiTheme="majorHAnsi"/>
          <w:i/>
        </w:rPr>
      </w:pPr>
    </w:p>
    <w:p w:rsidR="007E1EA5" w:rsidRPr="001F3D9C" w:rsidRDefault="007E1EA5" w:rsidP="007E1EA5">
      <w:pPr>
        <w:pStyle w:val="NoSpacing"/>
        <w:contextualSpacing/>
        <w:rPr>
          <w:rFonts w:asciiTheme="majorHAnsi" w:hAnsiTheme="majorHAnsi"/>
          <w:i/>
        </w:rPr>
      </w:pPr>
      <w:r w:rsidRPr="001F3D9C">
        <w:rPr>
          <w:rFonts w:asciiTheme="majorHAnsi" w:hAnsiTheme="majorHAnsi"/>
          <w:i/>
        </w:rPr>
        <w:t>3.1 Using Sampling Frame Data</w:t>
      </w:r>
    </w:p>
    <w:p w:rsidR="007E1EA5" w:rsidRDefault="007E1EA5" w:rsidP="007E1EA5">
      <w:pPr>
        <w:pStyle w:val="NoSpacing"/>
        <w:contextualSpacing/>
        <w:rPr>
          <w:rFonts w:asciiTheme="majorHAnsi" w:hAnsiTheme="majorHAnsi"/>
        </w:rPr>
      </w:pPr>
      <w:r>
        <w:rPr>
          <w:rFonts w:asciiTheme="majorHAnsi" w:hAnsiTheme="majorHAnsi"/>
        </w:rPr>
        <w:t xml:space="preserve">The first method used to examine the </w:t>
      </w:r>
      <w:proofErr w:type="spellStart"/>
      <w:r>
        <w:rPr>
          <w:rFonts w:asciiTheme="majorHAnsi" w:hAnsiTheme="majorHAnsi"/>
        </w:rPr>
        <w:t>nonresponse</w:t>
      </w:r>
      <w:proofErr w:type="spellEnd"/>
      <w:r>
        <w:rPr>
          <w:rFonts w:asciiTheme="majorHAnsi" w:hAnsiTheme="majorHAnsi"/>
        </w:rPr>
        <w:t xml:space="preserve"> bias is to take advantage of sampling frame data that are available for both respondents and </w:t>
      </w:r>
      <w:proofErr w:type="spellStart"/>
      <w:r>
        <w:rPr>
          <w:rFonts w:asciiTheme="majorHAnsi" w:hAnsiTheme="majorHAnsi"/>
        </w:rPr>
        <w:t>nonrespondents</w:t>
      </w:r>
      <w:proofErr w:type="spellEnd"/>
      <w:r>
        <w:rPr>
          <w:rFonts w:asciiTheme="majorHAnsi" w:hAnsiTheme="majorHAnsi"/>
        </w:rPr>
        <w:t xml:space="preserve">.  The Household survey sample, for instance, </w:t>
      </w:r>
      <w:proofErr w:type="gramStart"/>
      <w:r>
        <w:rPr>
          <w:rFonts w:asciiTheme="majorHAnsi" w:hAnsiTheme="majorHAnsi"/>
        </w:rPr>
        <w:t>is selected</w:t>
      </w:r>
      <w:proofErr w:type="gramEnd"/>
      <w:r>
        <w:rPr>
          <w:rFonts w:asciiTheme="majorHAnsi" w:hAnsiTheme="majorHAnsi"/>
        </w:rPr>
        <w:t xml:space="preserve"> in three stages. The first </w:t>
      </w:r>
      <w:proofErr w:type="gramStart"/>
      <w:r>
        <w:rPr>
          <w:rFonts w:asciiTheme="majorHAnsi" w:hAnsiTheme="majorHAnsi"/>
        </w:rPr>
        <w:t>stage sampling</w:t>
      </w:r>
      <w:proofErr w:type="gramEnd"/>
      <w:r>
        <w:rPr>
          <w:rFonts w:asciiTheme="majorHAnsi" w:hAnsiTheme="majorHAnsi"/>
        </w:rPr>
        <w:t xml:space="preserve"> unit (PSU) is county or county clusters and the secondary sampling unit (SSU) is census tract. SSU-level data are available from the Decennial Census and the 5-year American Community Survey (ACS) such as hard-to-count scores of the tracts, the number of households having a child less than 13, percent of households below 250% of DHHS poverty guidelines, percent of population that do not speak English and so on. The SSU-level data then </w:t>
      </w:r>
      <w:proofErr w:type="gramStart"/>
      <w:r>
        <w:rPr>
          <w:rFonts w:asciiTheme="majorHAnsi" w:hAnsiTheme="majorHAnsi"/>
        </w:rPr>
        <w:t>can be attached</w:t>
      </w:r>
      <w:proofErr w:type="gramEnd"/>
      <w:r>
        <w:rPr>
          <w:rFonts w:asciiTheme="majorHAnsi" w:hAnsiTheme="majorHAnsi"/>
        </w:rPr>
        <w:t xml:space="preserve"> to all sampled addresses in the SSUs. </w:t>
      </w:r>
      <w:proofErr w:type="spellStart"/>
      <w:r>
        <w:rPr>
          <w:rFonts w:asciiTheme="majorHAnsi" w:hAnsiTheme="majorHAnsi"/>
        </w:rPr>
        <w:t>Nonresponse</w:t>
      </w:r>
      <w:proofErr w:type="spellEnd"/>
      <w:r>
        <w:rPr>
          <w:rFonts w:asciiTheme="majorHAnsi" w:hAnsiTheme="majorHAnsi"/>
        </w:rPr>
        <w:t xml:space="preserve"> bias due to </w:t>
      </w:r>
      <w:proofErr w:type="spellStart"/>
      <w:r>
        <w:rPr>
          <w:rFonts w:asciiTheme="majorHAnsi" w:hAnsiTheme="majorHAnsi"/>
        </w:rPr>
        <w:t>nonresponse</w:t>
      </w:r>
      <w:proofErr w:type="spellEnd"/>
      <w:r>
        <w:rPr>
          <w:rFonts w:asciiTheme="majorHAnsi" w:hAnsiTheme="majorHAnsi"/>
        </w:rPr>
        <w:t xml:space="preserve"> to the household screener can be calculated using formula (1) of the deterministic model on these SSU-level data, where M stands for </w:t>
      </w:r>
      <w:proofErr w:type="spellStart"/>
      <w:r>
        <w:rPr>
          <w:rFonts w:asciiTheme="majorHAnsi" w:hAnsiTheme="majorHAnsi"/>
        </w:rPr>
        <w:t>nonrespondents</w:t>
      </w:r>
      <w:proofErr w:type="spellEnd"/>
      <w:r>
        <w:rPr>
          <w:rFonts w:asciiTheme="majorHAnsi" w:hAnsiTheme="majorHAnsi"/>
        </w:rPr>
        <w:t xml:space="preserve"> to the Household Screener and N stands for all sampled addresses.</w:t>
      </w:r>
    </w:p>
    <w:p w:rsidR="007E1EA5" w:rsidRDefault="007E1EA5" w:rsidP="007E1EA5">
      <w:pPr>
        <w:pStyle w:val="NoSpacing"/>
        <w:rPr>
          <w:rFonts w:asciiTheme="majorHAnsi" w:hAnsiTheme="majorHAnsi"/>
        </w:rPr>
      </w:pPr>
    </w:p>
    <w:p w:rsidR="007E1EA5" w:rsidRDefault="007E1EA5" w:rsidP="007E1EA5">
      <w:pPr>
        <w:pStyle w:val="NoSpacing"/>
        <w:rPr>
          <w:rFonts w:asciiTheme="majorHAnsi" w:hAnsiTheme="majorHAnsi"/>
        </w:rPr>
      </w:pPr>
      <w:r>
        <w:rPr>
          <w:rFonts w:asciiTheme="majorHAnsi" w:hAnsiTheme="majorHAnsi"/>
        </w:rPr>
        <w:t xml:space="preserve">Alternatively, we know, for each SSU, </w:t>
      </w:r>
      <w:r>
        <w:t xml:space="preserve"> </w:t>
      </w:r>
      <w:r w:rsidRPr="003F4E53">
        <w:rPr>
          <w:rFonts w:asciiTheme="majorHAnsi" w:hAnsiTheme="majorHAnsi"/>
          <w:position w:val="-4"/>
        </w:rPr>
        <w:object w:dxaOrig="220" w:dyaOrig="320">
          <v:shape id="_x0000_i1030" type="#_x0000_t75" style="width:10.5pt;height:16.5pt" o:ole="">
            <v:imagedata r:id="rId8" o:title=""/>
          </v:shape>
          <o:OLEObject Type="Embed" ProgID="Equation.3" ShapeID="_x0000_i1030" DrawAspect="Content" ObjectID="_1374911783" r:id="rId14"/>
        </w:object>
      </w:r>
      <w:r>
        <w:rPr>
          <w:rFonts w:asciiTheme="majorHAnsi" w:hAnsiTheme="majorHAnsi"/>
        </w:rPr>
        <w:t xml:space="preserve"> from either the Decennial Census or 5-year ACS data. We can also calculate </w:t>
      </w:r>
      <w:r w:rsidRPr="003F4E53">
        <w:rPr>
          <w:rFonts w:asciiTheme="majorHAnsi" w:hAnsiTheme="majorHAnsi"/>
        </w:rPr>
        <w:t xml:space="preserve"> </w:t>
      </w:r>
      <w:r w:rsidRPr="003F4E53">
        <w:rPr>
          <w:rFonts w:asciiTheme="majorHAnsi" w:hAnsiTheme="majorHAnsi"/>
          <w:position w:val="-6"/>
        </w:rPr>
        <w:object w:dxaOrig="300" w:dyaOrig="340">
          <v:shape id="_x0000_i1031" type="#_x0000_t75" style="width:15pt;height:17.25pt" o:ole="">
            <v:imagedata r:id="rId10" o:title=""/>
          </v:shape>
          <o:OLEObject Type="Embed" ProgID="Equation.3" ShapeID="_x0000_i1031" DrawAspect="Content" ObjectID="_1374911784" r:id="rId15"/>
        </w:object>
      </w:r>
      <w:r>
        <w:rPr>
          <w:rFonts w:asciiTheme="majorHAnsi" w:hAnsiTheme="majorHAnsi"/>
        </w:rPr>
        <w:t xml:space="preserve"> using the completed screening interviews. The differences between these two means will be the </w:t>
      </w:r>
      <w:proofErr w:type="spellStart"/>
      <w:r>
        <w:rPr>
          <w:rFonts w:asciiTheme="majorHAnsi" w:hAnsiTheme="majorHAnsi"/>
        </w:rPr>
        <w:t>nonresponse</w:t>
      </w:r>
      <w:proofErr w:type="spellEnd"/>
      <w:r>
        <w:rPr>
          <w:rFonts w:asciiTheme="majorHAnsi" w:hAnsiTheme="majorHAnsi"/>
        </w:rPr>
        <w:t xml:space="preserve"> bias at the SSU level. </w:t>
      </w:r>
    </w:p>
    <w:p w:rsidR="007E1EA5" w:rsidRDefault="007E1EA5" w:rsidP="007E1EA5">
      <w:pPr>
        <w:pStyle w:val="NoSpacing"/>
        <w:rPr>
          <w:rFonts w:asciiTheme="majorHAnsi" w:hAnsiTheme="majorHAnsi"/>
        </w:rPr>
      </w:pPr>
    </w:p>
    <w:p w:rsidR="007E1EA5" w:rsidRDefault="007E1EA5" w:rsidP="007E1EA5">
      <w:pPr>
        <w:pStyle w:val="NoSpacing"/>
        <w:rPr>
          <w:rFonts w:asciiTheme="majorHAnsi" w:hAnsiTheme="majorHAnsi"/>
        </w:rPr>
      </w:pPr>
      <w:proofErr w:type="spellStart"/>
      <w:r>
        <w:rPr>
          <w:rFonts w:asciiTheme="majorHAnsi" w:hAnsiTheme="majorHAnsi"/>
        </w:rPr>
        <w:t>Nonresponse</w:t>
      </w:r>
      <w:proofErr w:type="spellEnd"/>
      <w:r>
        <w:rPr>
          <w:rFonts w:asciiTheme="majorHAnsi" w:hAnsiTheme="majorHAnsi"/>
        </w:rPr>
        <w:t xml:space="preserve"> bias due to </w:t>
      </w:r>
      <w:proofErr w:type="spellStart"/>
      <w:r>
        <w:rPr>
          <w:rFonts w:asciiTheme="majorHAnsi" w:hAnsiTheme="majorHAnsi"/>
        </w:rPr>
        <w:t>nonresponse</w:t>
      </w:r>
      <w:proofErr w:type="spellEnd"/>
      <w:r>
        <w:rPr>
          <w:rFonts w:asciiTheme="majorHAnsi" w:hAnsiTheme="majorHAnsi"/>
        </w:rPr>
        <w:t xml:space="preserve"> to the main household interview </w:t>
      </w:r>
      <w:proofErr w:type="gramStart"/>
      <w:r>
        <w:rPr>
          <w:rFonts w:asciiTheme="majorHAnsi" w:hAnsiTheme="majorHAnsi"/>
        </w:rPr>
        <w:t>can be calculated</w:t>
      </w:r>
      <w:proofErr w:type="gramEnd"/>
      <w:r>
        <w:rPr>
          <w:rFonts w:asciiTheme="majorHAnsi" w:hAnsiTheme="majorHAnsi"/>
        </w:rPr>
        <w:t xml:space="preserve"> similarly, where M will refer to those households who are screened in as eligible but fail to respond to the main Household interview and R will refer to those households who are screened in as eligible and who do respond to the main Household interview. In addition, screener data are available for both respondents and </w:t>
      </w:r>
      <w:proofErr w:type="spellStart"/>
      <w:r>
        <w:rPr>
          <w:rFonts w:asciiTheme="majorHAnsi" w:hAnsiTheme="majorHAnsi"/>
        </w:rPr>
        <w:t>nonrespondents</w:t>
      </w:r>
      <w:proofErr w:type="spellEnd"/>
      <w:r>
        <w:rPr>
          <w:rFonts w:asciiTheme="majorHAnsi" w:hAnsiTheme="majorHAnsi"/>
        </w:rPr>
        <w:t xml:space="preserve"> to the main Household interview and we can calculate </w:t>
      </w:r>
      <w:proofErr w:type="spellStart"/>
      <w:r>
        <w:rPr>
          <w:rFonts w:asciiTheme="majorHAnsi" w:hAnsiTheme="majorHAnsi"/>
        </w:rPr>
        <w:t>nonresponse</w:t>
      </w:r>
      <w:proofErr w:type="spellEnd"/>
      <w:r>
        <w:rPr>
          <w:rFonts w:asciiTheme="majorHAnsi" w:hAnsiTheme="majorHAnsi"/>
        </w:rPr>
        <w:t xml:space="preserve"> bias due to </w:t>
      </w:r>
      <w:proofErr w:type="spellStart"/>
      <w:r>
        <w:rPr>
          <w:rFonts w:asciiTheme="majorHAnsi" w:hAnsiTheme="majorHAnsi"/>
        </w:rPr>
        <w:t>nonresponse</w:t>
      </w:r>
      <w:proofErr w:type="spellEnd"/>
      <w:r>
        <w:rPr>
          <w:rFonts w:asciiTheme="majorHAnsi" w:hAnsiTheme="majorHAnsi"/>
        </w:rPr>
        <w:t xml:space="preserve"> to the main interview using the screener data. </w:t>
      </w:r>
    </w:p>
    <w:p w:rsidR="007E1EA5" w:rsidRDefault="007E1EA5" w:rsidP="007E1EA5">
      <w:pPr>
        <w:pStyle w:val="NoSpacing"/>
        <w:rPr>
          <w:rFonts w:asciiTheme="majorHAnsi" w:hAnsiTheme="majorHAnsi"/>
        </w:rPr>
      </w:pPr>
      <w:r>
        <w:rPr>
          <w:rFonts w:asciiTheme="majorHAnsi" w:hAnsiTheme="majorHAnsi"/>
        </w:rPr>
        <w:t xml:space="preserve">For the Center-based Provider survey and Home-based Provider survey (for providers coming from administrative records), administrative data such as capacity and age ranges of the children served are available for certain types of providers and for certain states. Wherever information is available, we can compare responding providers and </w:t>
      </w:r>
      <w:proofErr w:type="spellStart"/>
      <w:r>
        <w:rPr>
          <w:rFonts w:asciiTheme="majorHAnsi" w:hAnsiTheme="majorHAnsi"/>
        </w:rPr>
        <w:t>nonresponding</w:t>
      </w:r>
      <w:proofErr w:type="spellEnd"/>
      <w:r>
        <w:rPr>
          <w:rFonts w:asciiTheme="majorHAnsi" w:hAnsiTheme="majorHAnsi"/>
        </w:rPr>
        <w:t xml:space="preserve"> providers on these variables to study </w:t>
      </w:r>
      <w:proofErr w:type="spellStart"/>
      <w:r>
        <w:rPr>
          <w:rFonts w:asciiTheme="majorHAnsi" w:hAnsiTheme="majorHAnsi"/>
        </w:rPr>
        <w:t>nonresponse</w:t>
      </w:r>
      <w:proofErr w:type="spellEnd"/>
      <w:r>
        <w:rPr>
          <w:rFonts w:asciiTheme="majorHAnsi" w:hAnsiTheme="majorHAnsi"/>
        </w:rPr>
        <w:t xml:space="preserve"> bias. </w:t>
      </w:r>
    </w:p>
    <w:p w:rsidR="007E1EA5" w:rsidRDefault="007E1EA5" w:rsidP="007E1EA5">
      <w:pPr>
        <w:pStyle w:val="NoSpacing"/>
        <w:rPr>
          <w:rFonts w:asciiTheme="majorHAnsi" w:hAnsiTheme="majorHAnsi"/>
        </w:rPr>
      </w:pPr>
    </w:p>
    <w:p w:rsidR="007E1EA5" w:rsidRDefault="007E1EA5" w:rsidP="007E1EA5">
      <w:pPr>
        <w:pStyle w:val="NoSpacing"/>
        <w:rPr>
          <w:rFonts w:asciiTheme="majorHAnsi" w:hAnsiTheme="majorHAnsi"/>
        </w:rPr>
      </w:pPr>
      <w:r>
        <w:rPr>
          <w:rFonts w:asciiTheme="majorHAnsi" w:hAnsiTheme="majorHAnsi"/>
        </w:rPr>
        <w:t xml:space="preserve">Home-Based Providers </w:t>
      </w:r>
      <w:proofErr w:type="gramStart"/>
      <w:r>
        <w:rPr>
          <w:rFonts w:asciiTheme="majorHAnsi" w:hAnsiTheme="majorHAnsi"/>
        </w:rPr>
        <w:t>can also be spawned</w:t>
      </w:r>
      <w:proofErr w:type="gramEnd"/>
      <w:r>
        <w:rPr>
          <w:rFonts w:asciiTheme="majorHAnsi" w:hAnsiTheme="majorHAnsi"/>
        </w:rPr>
        <w:t xml:space="preserve"> through the Household Screener. As a result, we have available information for all eligible providers of this type such as the number of adults living in the households and the number of children under the age of 13, and the number of adults in the household who qualify as home-based providers. These pieces of information are available for both responding and </w:t>
      </w:r>
      <w:proofErr w:type="spellStart"/>
      <w:r>
        <w:rPr>
          <w:rFonts w:asciiTheme="majorHAnsi" w:hAnsiTheme="majorHAnsi"/>
        </w:rPr>
        <w:t>nonresponding</w:t>
      </w:r>
      <w:proofErr w:type="spellEnd"/>
      <w:r>
        <w:rPr>
          <w:rFonts w:asciiTheme="majorHAnsi" w:hAnsiTheme="majorHAnsi"/>
        </w:rPr>
        <w:t xml:space="preserve"> providers, and, thus, </w:t>
      </w:r>
      <w:proofErr w:type="spellStart"/>
      <w:r>
        <w:rPr>
          <w:rFonts w:asciiTheme="majorHAnsi" w:hAnsiTheme="majorHAnsi"/>
        </w:rPr>
        <w:t>nonresponse</w:t>
      </w:r>
      <w:proofErr w:type="spellEnd"/>
      <w:r>
        <w:rPr>
          <w:rFonts w:asciiTheme="majorHAnsi" w:hAnsiTheme="majorHAnsi"/>
        </w:rPr>
        <w:t xml:space="preserve"> bias in these variables </w:t>
      </w:r>
      <w:proofErr w:type="gramStart"/>
      <w:r>
        <w:rPr>
          <w:rFonts w:asciiTheme="majorHAnsi" w:hAnsiTheme="majorHAnsi"/>
        </w:rPr>
        <w:t>can be estimated</w:t>
      </w:r>
      <w:proofErr w:type="gramEnd"/>
      <w:r>
        <w:rPr>
          <w:rFonts w:asciiTheme="majorHAnsi" w:hAnsiTheme="majorHAnsi"/>
        </w:rPr>
        <w:t xml:space="preserve">.  Another variable of interest will be </w:t>
      </w:r>
      <w:proofErr w:type="gramStart"/>
      <w:r>
        <w:rPr>
          <w:rFonts w:asciiTheme="majorHAnsi" w:hAnsiTheme="majorHAnsi"/>
        </w:rPr>
        <w:t>whether or not</w:t>
      </w:r>
      <w:proofErr w:type="gramEnd"/>
      <w:r>
        <w:rPr>
          <w:rFonts w:asciiTheme="majorHAnsi" w:hAnsiTheme="majorHAnsi"/>
        </w:rPr>
        <w:t xml:space="preserve"> the provider is co-resident with children under age 13 (and therefore in a household eligible for the Household Survey). </w:t>
      </w:r>
    </w:p>
    <w:p w:rsidR="007E1EA5" w:rsidRDefault="007E1EA5" w:rsidP="007E1EA5">
      <w:pPr>
        <w:pStyle w:val="NoSpacing"/>
        <w:rPr>
          <w:rFonts w:asciiTheme="majorHAnsi" w:hAnsiTheme="majorHAnsi"/>
        </w:rPr>
      </w:pPr>
    </w:p>
    <w:p w:rsidR="007E1EA5" w:rsidRDefault="007E1EA5" w:rsidP="007E1EA5">
      <w:pPr>
        <w:pStyle w:val="NoSpacing"/>
        <w:rPr>
          <w:rFonts w:asciiTheme="majorHAnsi" w:hAnsiTheme="majorHAnsi"/>
        </w:rPr>
      </w:pPr>
      <w:r>
        <w:rPr>
          <w:rFonts w:asciiTheme="majorHAnsi" w:hAnsiTheme="majorHAnsi"/>
        </w:rPr>
        <w:t xml:space="preserve">The sample for the workforce survey </w:t>
      </w:r>
      <w:proofErr w:type="gramStart"/>
      <w:r>
        <w:rPr>
          <w:rFonts w:asciiTheme="majorHAnsi" w:hAnsiTheme="majorHAnsi"/>
        </w:rPr>
        <w:t>is selected</w:t>
      </w:r>
      <w:proofErr w:type="gramEnd"/>
      <w:r>
        <w:rPr>
          <w:rFonts w:asciiTheme="majorHAnsi" w:hAnsiTheme="majorHAnsi"/>
        </w:rPr>
        <w:t xml:space="preserve"> from a roster of staff working directly with children in a randomly selected classroom in the completed center interviews. Information such as number of hours working each week, title, and wages is available for all </w:t>
      </w:r>
      <w:proofErr w:type="spellStart"/>
      <w:r>
        <w:rPr>
          <w:rFonts w:asciiTheme="majorHAnsi" w:hAnsiTheme="majorHAnsi"/>
        </w:rPr>
        <w:t>rostered</w:t>
      </w:r>
      <w:proofErr w:type="spellEnd"/>
      <w:r>
        <w:rPr>
          <w:rFonts w:asciiTheme="majorHAnsi" w:hAnsiTheme="majorHAnsi"/>
        </w:rPr>
        <w:t xml:space="preserve"> staff who have worked in the same classroom as the selected workforce respondents. Therefore, we can compare </w:t>
      </w:r>
      <w:r>
        <w:rPr>
          <w:rFonts w:asciiTheme="majorHAnsi" w:hAnsiTheme="majorHAnsi"/>
        </w:rPr>
        <w:lastRenderedPageBreak/>
        <w:t xml:space="preserve">workforce respondents to </w:t>
      </w:r>
      <w:proofErr w:type="spellStart"/>
      <w:r>
        <w:rPr>
          <w:rFonts w:asciiTheme="majorHAnsi" w:hAnsiTheme="majorHAnsi"/>
        </w:rPr>
        <w:t>nonresponding</w:t>
      </w:r>
      <w:proofErr w:type="spellEnd"/>
      <w:r>
        <w:rPr>
          <w:rFonts w:asciiTheme="majorHAnsi" w:hAnsiTheme="majorHAnsi"/>
        </w:rPr>
        <w:t xml:space="preserve"> staff who </w:t>
      </w:r>
      <w:proofErr w:type="gramStart"/>
      <w:r>
        <w:rPr>
          <w:rFonts w:asciiTheme="majorHAnsi" w:hAnsiTheme="majorHAnsi"/>
        </w:rPr>
        <w:t>were selected</w:t>
      </w:r>
      <w:proofErr w:type="gramEnd"/>
      <w:r>
        <w:rPr>
          <w:rFonts w:asciiTheme="majorHAnsi" w:hAnsiTheme="majorHAnsi"/>
        </w:rPr>
        <w:t xml:space="preserve"> for the workforce study but have not completed the interview on these variables to examine possible bias due to </w:t>
      </w:r>
      <w:proofErr w:type="spellStart"/>
      <w:r>
        <w:rPr>
          <w:rFonts w:asciiTheme="majorHAnsi" w:hAnsiTheme="majorHAnsi"/>
        </w:rPr>
        <w:t>nonresponse</w:t>
      </w:r>
      <w:proofErr w:type="spellEnd"/>
      <w:r>
        <w:rPr>
          <w:rFonts w:asciiTheme="majorHAnsi" w:hAnsiTheme="majorHAnsi"/>
        </w:rPr>
        <w:t xml:space="preserve">.  In addition, we can look at the characteristics of the providers from which the workforce respondents </w:t>
      </w:r>
      <w:proofErr w:type="gramStart"/>
      <w:r>
        <w:rPr>
          <w:rFonts w:asciiTheme="majorHAnsi" w:hAnsiTheme="majorHAnsi"/>
        </w:rPr>
        <w:t>have been selected</w:t>
      </w:r>
      <w:proofErr w:type="gramEnd"/>
      <w:r>
        <w:rPr>
          <w:rFonts w:asciiTheme="majorHAnsi" w:hAnsiTheme="majorHAnsi"/>
        </w:rPr>
        <w:t>. In this case, we have the full breadth of data from the center-based provider questionnaire available for analyses.  We envision program size and type, the number of classrooms, and the percentage of staff who are teachers (as opposed to aides or assistant teachers) to be relevant variables for comparisons.</w:t>
      </w:r>
    </w:p>
    <w:p w:rsidR="007E1EA5" w:rsidRPr="001F3D9C" w:rsidRDefault="007E1EA5" w:rsidP="007E1EA5">
      <w:pPr>
        <w:ind w:firstLine="720"/>
        <w:rPr>
          <w:rFonts w:asciiTheme="majorHAnsi" w:hAnsiTheme="majorHAnsi"/>
          <w:i/>
        </w:rPr>
      </w:pPr>
    </w:p>
    <w:p w:rsidR="007E1EA5" w:rsidRDefault="007E1EA5" w:rsidP="007E1EA5">
      <w:pPr>
        <w:contextualSpacing/>
        <w:rPr>
          <w:rFonts w:asciiTheme="majorHAnsi" w:hAnsiTheme="majorHAnsi"/>
        </w:rPr>
      </w:pPr>
      <w:proofErr w:type="gramStart"/>
      <w:r w:rsidRPr="001F3D9C">
        <w:rPr>
          <w:rFonts w:asciiTheme="majorHAnsi" w:hAnsiTheme="majorHAnsi"/>
          <w:i/>
        </w:rPr>
        <w:t>3.2</w:t>
      </w:r>
      <w:proofErr w:type="gramEnd"/>
      <w:r w:rsidRPr="001F3D9C">
        <w:rPr>
          <w:rFonts w:asciiTheme="majorHAnsi" w:hAnsiTheme="majorHAnsi"/>
          <w:i/>
        </w:rPr>
        <w:t xml:space="preserve"> Level-of-Effort Analysis</w:t>
      </w:r>
    </w:p>
    <w:p w:rsidR="007E1EA5" w:rsidRPr="001F3D9C" w:rsidRDefault="007E1EA5" w:rsidP="007E1EA5">
      <w:pPr>
        <w:spacing w:line="240" w:lineRule="auto"/>
        <w:contextualSpacing/>
        <w:rPr>
          <w:rFonts w:asciiTheme="majorHAnsi" w:hAnsiTheme="majorHAnsi"/>
        </w:rPr>
      </w:pPr>
      <w:r w:rsidRPr="001F3D9C">
        <w:rPr>
          <w:rFonts w:asciiTheme="majorHAnsi" w:hAnsiTheme="majorHAnsi"/>
        </w:rPr>
        <w:t xml:space="preserve">The second method is the so-called level-of-effort analysis, which </w:t>
      </w:r>
      <w:proofErr w:type="gramStart"/>
      <w:r w:rsidRPr="001F3D9C">
        <w:rPr>
          <w:rFonts w:asciiTheme="majorHAnsi" w:hAnsiTheme="majorHAnsi"/>
        </w:rPr>
        <w:t>is often used</w:t>
      </w:r>
      <w:proofErr w:type="gramEnd"/>
      <w:r w:rsidRPr="001F3D9C">
        <w:rPr>
          <w:rFonts w:asciiTheme="majorHAnsi" w:hAnsiTheme="majorHAnsi"/>
        </w:rPr>
        <w:t xml:space="preserve"> when there are not enough data on the sampling frame data or external information is simply not available for comparison. With the level of effort analysis, respondents who have required different levels of recruitment effort </w:t>
      </w:r>
      <w:proofErr w:type="gramStart"/>
      <w:r w:rsidRPr="001F3D9C">
        <w:rPr>
          <w:rFonts w:asciiTheme="majorHAnsi" w:hAnsiTheme="majorHAnsi"/>
        </w:rPr>
        <w:t>are contrasted</w:t>
      </w:r>
      <w:proofErr w:type="gramEnd"/>
      <w:r w:rsidRPr="001F3D9C">
        <w:rPr>
          <w:rFonts w:asciiTheme="majorHAnsi" w:hAnsiTheme="majorHAnsi"/>
        </w:rPr>
        <w:t xml:space="preserve">. For instance, survey responses of respondents who required refusal conversion efforts </w:t>
      </w:r>
      <w:proofErr w:type="gramStart"/>
      <w:r w:rsidRPr="001F3D9C">
        <w:rPr>
          <w:rFonts w:asciiTheme="majorHAnsi" w:hAnsiTheme="majorHAnsi"/>
        </w:rPr>
        <w:t>will be compared</w:t>
      </w:r>
      <w:proofErr w:type="gramEnd"/>
      <w:r w:rsidRPr="001F3D9C">
        <w:rPr>
          <w:rFonts w:asciiTheme="majorHAnsi" w:hAnsiTheme="majorHAnsi"/>
        </w:rPr>
        <w:t xml:space="preserve"> with respondents who complied with the survey request without the need of conversion. This method </w:t>
      </w:r>
      <w:proofErr w:type="gramStart"/>
      <w:r w:rsidRPr="001F3D9C">
        <w:rPr>
          <w:rFonts w:asciiTheme="majorHAnsi" w:hAnsiTheme="majorHAnsi"/>
        </w:rPr>
        <w:t>is based</w:t>
      </w:r>
      <w:proofErr w:type="gramEnd"/>
      <w:r w:rsidRPr="001F3D9C">
        <w:rPr>
          <w:rFonts w:asciiTheme="majorHAnsi" w:hAnsiTheme="majorHAnsi"/>
        </w:rPr>
        <w:t xml:space="preserve"> on the assumption that respondents</w:t>
      </w:r>
      <w:r w:rsidRPr="001F3D9C">
        <w:rPr>
          <w:rFonts w:asciiTheme="majorHAnsi" w:hAnsiTheme="majorHAnsi"/>
          <w:b/>
        </w:rPr>
        <w:t xml:space="preserve"> </w:t>
      </w:r>
      <w:r w:rsidRPr="001F3D9C">
        <w:rPr>
          <w:rFonts w:asciiTheme="majorHAnsi" w:hAnsiTheme="majorHAnsi"/>
        </w:rPr>
        <w:t xml:space="preserve">who respond less readily are more like </w:t>
      </w:r>
      <w:proofErr w:type="spellStart"/>
      <w:r w:rsidRPr="001F3D9C">
        <w:rPr>
          <w:rFonts w:asciiTheme="majorHAnsi" w:hAnsiTheme="majorHAnsi"/>
        </w:rPr>
        <w:t>nonrespondents</w:t>
      </w:r>
      <w:proofErr w:type="spellEnd"/>
      <w:r w:rsidRPr="001F3D9C">
        <w:rPr>
          <w:rFonts w:asciiTheme="majorHAnsi" w:hAnsiTheme="majorHAnsi"/>
        </w:rPr>
        <w:t xml:space="preserve">. We plan to conduct these level-of-effort analyses for all four surveys and the Household Screener to complete our understanding of potential </w:t>
      </w:r>
      <w:proofErr w:type="spellStart"/>
      <w:r w:rsidRPr="001F3D9C">
        <w:rPr>
          <w:rFonts w:asciiTheme="majorHAnsi" w:hAnsiTheme="majorHAnsi"/>
        </w:rPr>
        <w:t>nonresponse</w:t>
      </w:r>
      <w:proofErr w:type="spellEnd"/>
      <w:r w:rsidRPr="001F3D9C">
        <w:rPr>
          <w:rFonts w:asciiTheme="majorHAnsi" w:hAnsiTheme="majorHAnsi"/>
        </w:rPr>
        <w:t xml:space="preserve"> bias.</w:t>
      </w:r>
    </w:p>
    <w:p w:rsidR="007E1EA5" w:rsidRDefault="007E1EA5" w:rsidP="007E1EA5">
      <w:pPr>
        <w:pStyle w:val="NoSpacing"/>
        <w:rPr>
          <w:rFonts w:asciiTheme="majorHAnsi" w:hAnsiTheme="majorHAnsi"/>
          <w:b/>
        </w:rPr>
      </w:pPr>
    </w:p>
    <w:p w:rsidR="007E1EA5" w:rsidRPr="001F3D9C" w:rsidRDefault="007E1EA5" w:rsidP="007E1EA5">
      <w:pPr>
        <w:pStyle w:val="NoSpacing"/>
        <w:rPr>
          <w:rFonts w:asciiTheme="majorHAnsi" w:hAnsiTheme="majorHAnsi"/>
          <w:i/>
        </w:rPr>
      </w:pPr>
      <w:r w:rsidRPr="001F3D9C">
        <w:rPr>
          <w:rFonts w:asciiTheme="majorHAnsi" w:hAnsiTheme="majorHAnsi"/>
          <w:i/>
        </w:rPr>
        <w:t>3.3 Comparison to the External Data Sets</w:t>
      </w:r>
    </w:p>
    <w:p w:rsidR="007E1EA5" w:rsidRDefault="007E1EA5" w:rsidP="007E1EA5">
      <w:pPr>
        <w:pStyle w:val="NoSpacing"/>
        <w:rPr>
          <w:rFonts w:asciiTheme="majorHAnsi" w:hAnsiTheme="majorHAnsi"/>
        </w:rPr>
      </w:pPr>
      <w:r>
        <w:rPr>
          <w:rFonts w:asciiTheme="majorHAnsi" w:hAnsiTheme="majorHAnsi"/>
        </w:rPr>
        <w:t xml:space="preserve">Sometimes, external datasets are available that provide national or local estimates of some variables. For instance, national estimates of program sizes for Head Start programs are available and we can compare our estimates derived from our completed interviews to the national estimate to calculate potential </w:t>
      </w:r>
      <w:proofErr w:type="spellStart"/>
      <w:r>
        <w:rPr>
          <w:rFonts w:asciiTheme="majorHAnsi" w:hAnsiTheme="majorHAnsi"/>
        </w:rPr>
        <w:t>nonresponse</w:t>
      </w:r>
      <w:proofErr w:type="spellEnd"/>
      <w:r>
        <w:rPr>
          <w:rFonts w:asciiTheme="majorHAnsi" w:hAnsiTheme="majorHAnsi"/>
        </w:rPr>
        <w:t xml:space="preserve"> bias. </w:t>
      </w:r>
    </w:p>
    <w:p w:rsidR="007E1EA5" w:rsidRDefault="007E1EA5" w:rsidP="007E1EA5">
      <w:pPr>
        <w:pStyle w:val="NoSpacing"/>
        <w:rPr>
          <w:rFonts w:asciiTheme="majorHAnsi" w:hAnsiTheme="majorHAnsi"/>
        </w:rPr>
      </w:pPr>
    </w:p>
    <w:p w:rsidR="007E1EA5" w:rsidRPr="001E2EA7" w:rsidRDefault="007E1EA5" w:rsidP="007E1EA5">
      <w:pPr>
        <w:pStyle w:val="NoSpacing"/>
        <w:rPr>
          <w:rFonts w:asciiTheme="majorHAnsi" w:hAnsiTheme="majorHAnsi"/>
        </w:rPr>
      </w:pPr>
      <w:r>
        <w:rPr>
          <w:rFonts w:asciiTheme="majorHAnsi" w:hAnsiTheme="majorHAnsi"/>
        </w:rPr>
        <w:t xml:space="preserve">Another example is the estimates of teacher-student ratio available from some market rates studies. We can compare our estimates to those external estimates to get a sense of possible </w:t>
      </w:r>
      <w:proofErr w:type="spellStart"/>
      <w:r>
        <w:rPr>
          <w:rFonts w:asciiTheme="majorHAnsi" w:hAnsiTheme="majorHAnsi"/>
        </w:rPr>
        <w:t>nonresponse</w:t>
      </w:r>
      <w:proofErr w:type="spellEnd"/>
      <w:r>
        <w:rPr>
          <w:rFonts w:asciiTheme="majorHAnsi" w:hAnsiTheme="majorHAnsi"/>
        </w:rPr>
        <w:t xml:space="preserve"> bias. However, results from this method </w:t>
      </w:r>
      <w:proofErr w:type="gramStart"/>
      <w:r>
        <w:rPr>
          <w:rFonts w:asciiTheme="majorHAnsi" w:hAnsiTheme="majorHAnsi"/>
        </w:rPr>
        <w:t>should be studied</w:t>
      </w:r>
      <w:proofErr w:type="gramEnd"/>
      <w:r>
        <w:rPr>
          <w:rFonts w:asciiTheme="majorHAnsi" w:hAnsiTheme="majorHAnsi"/>
        </w:rPr>
        <w:t xml:space="preserve"> with caution as any different design parameters could contribute to this difference rather than just </w:t>
      </w:r>
      <w:proofErr w:type="spellStart"/>
      <w:r>
        <w:rPr>
          <w:rFonts w:asciiTheme="majorHAnsi" w:hAnsiTheme="majorHAnsi"/>
        </w:rPr>
        <w:t>nonresponse</w:t>
      </w:r>
      <w:proofErr w:type="spellEnd"/>
      <w:r>
        <w:rPr>
          <w:rFonts w:asciiTheme="majorHAnsi" w:hAnsiTheme="majorHAnsi"/>
        </w:rPr>
        <w:t>.</w:t>
      </w:r>
    </w:p>
    <w:p w:rsidR="007E1EA5" w:rsidRDefault="007E1EA5" w:rsidP="007E1EA5">
      <w:pPr>
        <w:pStyle w:val="NoSpacing"/>
        <w:rPr>
          <w:rFonts w:asciiTheme="majorHAnsi" w:hAnsiTheme="majorHAnsi"/>
          <w:b/>
        </w:rPr>
      </w:pPr>
    </w:p>
    <w:p w:rsidR="007E1EA5" w:rsidRDefault="007E1EA5" w:rsidP="007E1EA5">
      <w:pPr>
        <w:pStyle w:val="NoSpacing"/>
        <w:rPr>
          <w:rFonts w:asciiTheme="majorHAnsi" w:hAnsiTheme="majorHAnsi"/>
          <w:b/>
        </w:rPr>
      </w:pPr>
      <w:r>
        <w:rPr>
          <w:rFonts w:asciiTheme="majorHAnsi" w:hAnsiTheme="majorHAnsi"/>
          <w:b/>
        </w:rPr>
        <w:t>4</w:t>
      </w:r>
      <w:r w:rsidRPr="001E2EA7">
        <w:rPr>
          <w:rFonts w:asciiTheme="majorHAnsi" w:hAnsiTheme="majorHAnsi"/>
          <w:b/>
        </w:rPr>
        <w:t>. NSECE Weighting</w:t>
      </w:r>
    </w:p>
    <w:p w:rsidR="007E1EA5" w:rsidRDefault="007E1EA5" w:rsidP="007E1EA5">
      <w:pPr>
        <w:pStyle w:val="NoSpacing"/>
        <w:rPr>
          <w:rFonts w:asciiTheme="majorHAnsi" w:hAnsiTheme="majorHAnsi"/>
          <w:b/>
        </w:rPr>
      </w:pPr>
    </w:p>
    <w:p w:rsidR="007E1EA5" w:rsidRPr="002F5E2E" w:rsidRDefault="007E1EA5" w:rsidP="007E1EA5">
      <w:pPr>
        <w:pStyle w:val="NoSpacing"/>
        <w:rPr>
          <w:rFonts w:asciiTheme="majorHAnsi" w:hAnsiTheme="majorHAnsi"/>
        </w:rPr>
      </w:pPr>
      <w:r w:rsidRPr="002F5E2E">
        <w:rPr>
          <w:rFonts w:asciiTheme="majorHAnsi" w:hAnsiTheme="majorHAnsi"/>
        </w:rPr>
        <w:t xml:space="preserve">Given the multi-stage clustering design, the NSECE weights will include a selection weight to compensate for unequal selection probabilities at each stage, a </w:t>
      </w:r>
      <w:proofErr w:type="spellStart"/>
      <w:r w:rsidRPr="002F5E2E">
        <w:rPr>
          <w:rFonts w:asciiTheme="majorHAnsi" w:hAnsiTheme="majorHAnsi"/>
        </w:rPr>
        <w:t>nonresponse</w:t>
      </w:r>
      <w:proofErr w:type="spellEnd"/>
      <w:r w:rsidRPr="002F5E2E">
        <w:rPr>
          <w:rFonts w:asciiTheme="majorHAnsi" w:hAnsiTheme="majorHAnsi"/>
        </w:rPr>
        <w:t xml:space="preserve"> adjustment factor, and, lastly, a post-stratification weight to a known control total.</w:t>
      </w:r>
    </w:p>
    <w:p w:rsidR="007E1EA5" w:rsidRPr="002F5E2E" w:rsidRDefault="007E1EA5" w:rsidP="007E1EA5">
      <w:pPr>
        <w:pStyle w:val="NoSpacing"/>
        <w:rPr>
          <w:rFonts w:asciiTheme="majorHAnsi" w:hAnsiTheme="majorHAnsi"/>
        </w:rPr>
      </w:pPr>
    </w:p>
    <w:p w:rsidR="007E1EA5" w:rsidRDefault="007E1EA5" w:rsidP="007E1EA5">
      <w:pPr>
        <w:pStyle w:val="NoSpacing"/>
        <w:rPr>
          <w:rFonts w:asciiTheme="majorHAnsi" w:hAnsiTheme="majorHAnsi"/>
        </w:rPr>
      </w:pPr>
      <w:r w:rsidRPr="002F5E2E">
        <w:rPr>
          <w:rFonts w:asciiTheme="majorHAnsi" w:hAnsiTheme="majorHAnsi"/>
        </w:rPr>
        <w:t xml:space="preserve">As part of </w:t>
      </w:r>
      <w:proofErr w:type="spellStart"/>
      <w:r w:rsidRPr="002F5E2E">
        <w:rPr>
          <w:rFonts w:asciiTheme="majorHAnsi" w:hAnsiTheme="majorHAnsi"/>
        </w:rPr>
        <w:t>nonresponse</w:t>
      </w:r>
      <w:proofErr w:type="spellEnd"/>
      <w:r w:rsidRPr="002F5E2E">
        <w:rPr>
          <w:rFonts w:asciiTheme="majorHAnsi" w:hAnsiTheme="majorHAnsi"/>
        </w:rPr>
        <w:t xml:space="preserve"> bias analysis, we will evaluate the impact of our </w:t>
      </w:r>
      <w:proofErr w:type="spellStart"/>
      <w:r w:rsidRPr="002F5E2E">
        <w:rPr>
          <w:rFonts w:asciiTheme="majorHAnsi" w:hAnsiTheme="majorHAnsi"/>
        </w:rPr>
        <w:t>nonresponse</w:t>
      </w:r>
      <w:proofErr w:type="spellEnd"/>
      <w:r w:rsidRPr="002F5E2E">
        <w:rPr>
          <w:rFonts w:asciiTheme="majorHAnsi" w:hAnsiTheme="majorHAnsi"/>
        </w:rPr>
        <w:t xml:space="preserve"> adjustments on the reduction of </w:t>
      </w:r>
      <w:proofErr w:type="spellStart"/>
      <w:r w:rsidRPr="002F5E2E">
        <w:rPr>
          <w:rFonts w:asciiTheme="majorHAnsi" w:hAnsiTheme="majorHAnsi"/>
        </w:rPr>
        <w:t>nonresponse</w:t>
      </w:r>
      <w:proofErr w:type="spellEnd"/>
      <w:r w:rsidRPr="002F5E2E">
        <w:rPr>
          <w:rFonts w:asciiTheme="majorHAnsi" w:hAnsiTheme="majorHAnsi"/>
        </w:rPr>
        <w:t xml:space="preserve"> bias. For each survey, we will calculate estimates on several variables where external information is available first using weights before </w:t>
      </w:r>
      <w:proofErr w:type="spellStart"/>
      <w:r w:rsidRPr="002F5E2E">
        <w:rPr>
          <w:rFonts w:asciiTheme="majorHAnsi" w:hAnsiTheme="majorHAnsi"/>
        </w:rPr>
        <w:t>nonresponse</w:t>
      </w:r>
      <w:proofErr w:type="spellEnd"/>
      <w:r w:rsidRPr="002F5E2E">
        <w:rPr>
          <w:rFonts w:asciiTheme="majorHAnsi" w:hAnsiTheme="majorHAnsi"/>
        </w:rPr>
        <w:t xml:space="preserve"> adjustment and compare them to the external benchmarks. Then we will recalculate the estimates using </w:t>
      </w:r>
      <w:proofErr w:type="spellStart"/>
      <w:r w:rsidRPr="002F5E2E">
        <w:rPr>
          <w:rFonts w:asciiTheme="majorHAnsi" w:hAnsiTheme="majorHAnsi"/>
        </w:rPr>
        <w:t>nonresponse</w:t>
      </w:r>
      <w:proofErr w:type="spellEnd"/>
      <w:r w:rsidRPr="002F5E2E">
        <w:rPr>
          <w:rFonts w:asciiTheme="majorHAnsi" w:hAnsiTheme="majorHAnsi"/>
        </w:rPr>
        <w:t xml:space="preserve">-adjusted weights and compare them to the external data. Smaller differences in the second comparisons suggest that our </w:t>
      </w:r>
      <w:proofErr w:type="spellStart"/>
      <w:r w:rsidRPr="002F5E2E">
        <w:rPr>
          <w:rFonts w:asciiTheme="majorHAnsi" w:hAnsiTheme="majorHAnsi"/>
        </w:rPr>
        <w:t>nonresponse</w:t>
      </w:r>
      <w:proofErr w:type="spellEnd"/>
      <w:r w:rsidRPr="002F5E2E">
        <w:rPr>
          <w:rFonts w:asciiTheme="majorHAnsi" w:hAnsiTheme="majorHAnsi"/>
        </w:rPr>
        <w:t xml:space="preserve"> adjustment succeeds in reducing </w:t>
      </w:r>
      <w:proofErr w:type="spellStart"/>
      <w:r w:rsidRPr="002F5E2E">
        <w:rPr>
          <w:rFonts w:asciiTheme="majorHAnsi" w:hAnsiTheme="majorHAnsi"/>
        </w:rPr>
        <w:t>nonresponse</w:t>
      </w:r>
      <w:proofErr w:type="spellEnd"/>
      <w:r w:rsidRPr="002F5E2E">
        <w:rPr>
          <w:rFonts w:asciiTheme="majorHAnsi" w:hAnsiTheme="majorHAnsi"/>
        </w:rPr>
        <w:t xml:space="preserve"> bias. </w:t>
      </w:r>
    </w:p>
    <w:p w:rsidR="007E1EA5" w:rsidRPr="002F5E2E" w:rsidRDefault="007E1EA5" w:rsidP="007E1EA5">
      <w:pPr>
        <w:pStyle w:val="NoSpacing"/>
        <w:rPr>
          <w:rFonts w:asciiTheme="majorHAnsi" w:hAnsiTheme="majorHAnsi"/>
        </w:rPr>
      </w:pPr>
    </w:p>
    <w:p w:rsidR="007E1EA5" w:rsidRPr="001E2EA7" w:rsidRDefault="007E1EA5" w:rsidP="007E1EA5">
      <w:pPr>
        <w:spacing w:line="360" w:lineRule="auto"/>
        <w:rPr>
          <w:rFonts w:asciiTheme="majorHAnsi" w:hAnsiTheme="majorHAnsi"/>
          <w:b/>
        </w:rPr>
      </w:pPr>
      <w:r>
        <w:rPr>
          <w:rFonts w:asciiTheme="majorHAnsi" w:hAnsiTheme="majorHAnsi"/>
          <w:b/>
        </w:rPr>
        <w:t>5</w:t>
      </w:r>
      <w:r w:rsidRPr="001E2EA7">
        <w:rPr>
          <w:rFonts w:asciiTheme="majorHAnsi" w:hAnsiTheme="majorHAnsi"/>
          <w:b/>
        </w:rPr>
        <w:t>. Conclusions and Limitations</w:t>
      </w:r>
    </w:p>
    <w:p w:rsidR="007E1EA5" w:rsidRPr="001E2EA7" w:rsidRDefault="007E1EA5" w:rsidP="007E1EA5">
      <w:pPr>
        <w:pStyle w:val="NoSpacing"/>
        <w:ind w:firstLine="720"/>
        <w:rPr>
          <w:rFonts w:asciiTheme="majorHAnsi" w:hAnsiTheme="majorHAnsi"/>
        </w:rPr>
      </w:pPr>
      <w:r w:rsidRPr="001E2EA7">
        <w:rPr>
          <w:rFonts w:asciiTheme="majorHAnsi" w:hAnsiTheme="majorHAnsi"/>
        </w:rPr>
        <w:t xml:space="preserve">Appendix A: Distribution of Children across Response Categories </w:t>
      </w:r>
    </w:p>
    <w:p w:rsidR="007E1EA5" w:rsidRPr="001E2EA7" w:rsidRDefault="007E1EA5" w:rsidP="007E1EA5">
      <w:pPr>
        <w:pStyle w:val="NoSpacing"/>
        <w:ind w:firstLine="720"/>
        <w:rPr>
          <w:rFonts w:asciiTheme="majorHAnsi" w:hAnsiTheme="majorHAnsi"/>
        </w:rPr>
      </w:pPr>
      <w:r w:rsidRPr="001E2EA7">
        <w:rPr>
          <w:rFonts w:asciiTheme="majorHAnsi" w:hAnsiTheme="majorHAnsi"/>
        </w:rPr>
        <w:t>Appendix B: Demographic Distribution of Sample Children v. Benchmarks</w:t>
      </w:r>
    </w:p>
    <w:p w:rsidR="007E1EA5" w:rsidRPr="001E2EA7" w:rsidRDefault="007E1EA5" w:rsidP="007E1EA5">
      <w:pPr>
        <w:pStyle w:val="NoSpacing"/>
        <w:ind w:firstLine="720"/>
        <w:rPr>
          <w:rFonts w:asciiTheme="majorHAnsi" w:hAnsiTheme="majorHAnsi"/>
        </w:rPr>
      </w:pPr>
      <w:r w:rsidRPr="001E2EA7">
        <w:rPr>
          <w:rFonts w:asciiTheme="majorHAnsi" w:hAnsiTheme="majorHAnsi"/>
        </w:rPr>
        <w:lastRenderedPageBreak/>
        <w:t>Appendix C: Distribution of Providers across Response Categories</w:t>
      </w:r>
    </w:p>
    <w:p w:rsidR="007E1EA5" w:rsidRDefault="007E1EA5" w:rsidP="007E1EA5">
      <w:pPr>
        <w:pStyle w:val="NoSpacing"/>
        <w:ind w:firstLine="720"/>
      </w:pPr>
      <w:r w:rsidRPr="001E2EA7">
        <w:rPr>
          <w:rFonts w:asciiTheme="majorHAnsi" w:hAnsiTheme="majorHAnsi"/>
        </w:rPr>
        <w:t>Appendix D: Distribution of Providers v. Benchmarks</w:t>
      </w:r>
    </w:p>
    <w:p w:rsidR="007E1EA5" w:rsidRPr="00B95CF9" w:rsidRDefault="007E1EA5" w:rsidP="007E1EA5">
      <w:pPr>
        <w:rPr>
          <w:rFonts w:ascii="Times New Roman" w:hAnsi="Times New Roman" w:cs="Times New Roman"/>
          <w:sz w:val="24"/>
          <w:szCs w:val="24"/>
        </w:rPr>
      </w:pPr>
    </w:p>
    <w:p w:rsidR="006C3F44" w:rsidRDefault="007E1EA5"/>
    <w:sectPr w:rsidR="006C3F44" w:rsidSect="00CA4B25">
      <w:footerReference w:type="default" r:id="rId1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2502477"/>
      <w:docPartObj>
        <w:docPartGallery w:val="Page Numbers (Bottom of Page)"/>
        <w:docPartUnique/>
      </w:docPartObj>
    </w:sdtPr>
    <w:sdtEndPr>
      <w:rPr>
        <w:noProof/>
      </w:rPr>
    </w:sdtEndPr>
    <w:sdtContent>
      <w:p w:rsidR="000824D9" w:rsidRDefault="007E1EA5">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0824D9" w:rsidRDefault="007E1EA5">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E1EA5"/>
    <w:rsid w:val="0009480D"/>
    <w:rsid w:val="00101825"/>
    <w:rsid w:val="00166223"/>
    <w:rsid w:val="001841B6"/>
    <w:rsid w:val="003C3A19"/>
    <w:rsid w:val="005902A9"/>
    <w:rsid w:val="006659E4"/>
    <w:rsid w:val="007E1EA5"/>
    <w:rsid w:val="00830815"/>
    <w:rsid w:val="00893E6B"/>
    <w:rsid w:val="008E21E2"/>
    <w:rsid w:val="009974C8"/>
    <w:rsid w:val="00A976E4"/>
    <w:rsid w:val="00AB0E71"/>
    <w:rsid w:val="00AD74E0"/>
    <w:rsid w:val="00B243E1"/>
    <w:rsid w:val="00B85298"/>
    <w:rsid w:val="00C95C19"/>
    <w:rsid w:val="00ED46FE"/>
    <w:rsid w:val="00FD54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EA5"/>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E1EA5"/>
    <w:pPr>
      <w:spacing w:line="240" w:lineRule="auto"/>
    </w:pPr>
  </w:style>
  <w:style w:type="paragraph" w:styleId="Footer">
    <w:name w:val="footer"/>
    <w:basedOn w:val="Normal"/>
    <w:link w:val="FooterChar"/>
    <w:uiPriority w:val="99"/>
    <w:unhideWhenUsed/>
    <w:rsid w:val="007E1E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1EA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6.bin"/><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2.bin"/><Relationship Id="rId12" Type="http://schemas.openxmlformats.org/officeDocument/2006/relationships/oleObject" Target="embeddings/oleObject5.bin"/><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5" Type="http://schemas.openxmlformats.org/officeDocument/2006/relationships/oleObject" Target="embeddings/oleObject1.bin"/><Relationship Id="rId15" Type="http://schemas.openxmlformats.org/officeDocument/2006/relationships/oleObject" Target="embeddings/oleObject8.bin"/><Relationship Id="rId10" Type="http://schemas.openxmlformats.org/officeDocument/2006/relationships/image" Target="media/image4.wmf"/><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oleObject" Target="embeddings/oleObject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1338</Words>
  <Characters>7628</Characters>
  <Application>Microsoft Office Word</Application>
  <DocSecurity>0</DocSecurity>
  <Lines>63</Lines>
  <Paragraphs>17</Paragraphs>
  <ScaleCrop>false</ScaleCrop>
  <Company>DHHS</Company>
  <LinksUpToDate>false</LinksUpToDate>
  <CharactersWithSpaces>8949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Health and Human Services</dc:creator>
  <cp:keywords/>
  <dc:description/>
  <cp:lastModifiedBy>Department of Health and Human Services</cp:lastModifiedBy>
  <cp:revision>1</cp:revision>
  <dcterms:created xsi:type="dcterms:W3CDTF">2011-08-15T15:08:00Z</dcterms:created>
  <dcterms:modified xsi:type="dcterms:W3CDTF">2011-08-15T15:10:00Z</dcterms:modified>
</cp:coreProperties>
</file>