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F78" w:rsidRDefault="00FD2F78">
      <w:pPr>
        <w:suppressAutoHyphens/>
        <w:jc w:val="center"/>
        <w:rPr>
          <w:rFonts w:ascii="Times New Roman" w:hAnsi="Times New Roman"/>
          <w:b/>
        </w:rPr>
      </w:pPr>
      <w:r>
        <w:rPr>
          <w:rFonts w:ascii="Times New Roman" w:hAnsi="Times New Roman"/>
          <w:b/>
        </w:rPr>
        <w:t>Supporting Statement for Form SSA-824</w:t>
      </w:r>
    </w:p>
    <w:p w:rsidR="00FD2F78" w:rsidRDefault="00FD2F78">
      <w:pPr>
        <w:pStyle w:val="Heading1"/>
      </w:pPr>
      <w:r>
        <w:t>Report on Individual with Mental Impairment</w:t>
      </w:r>
    </w:p>
    <w:p w:rsidR="00FD2F78" w:rsidRDefault="008E6F17">
      <w:pPr>
        <w:suppressAutoHyphens/>
        <w:jc w:val="center"/>
        <w:rPr>
          <w:rFonts w:ascii="Times New Roman" w:hAnsi="Times New Roman"/>
          <w:b/>
        </w:rPr>
      </w:pPr>
      <w:r>
        <w:rPr>
          <w:rFonts w:ascii="Times New Roman" w:hAnsi="Times New Roman"/>
          <w:b/>
        </w:rPr>
        <w:t xml:space="preserve">20 CFR 404.1513 and 20 CFR </w:t>
      </w:r>
      <w:r w:rsidR="00FD2F78">
        <w:rPr>
          <w:rFonts w:ascii="Times New Roman" w:hAnsi="Times New Roman"/>
          <w:b/>
        </w:rPr>
        <w:t xml:space="preserve">416.913 </w:t>
      </w:r>
    </w:p>
    <w:p w:rsidR="00FD2F78" w:rsidRDefault="008E6F17">
      <w:pPr>
        <w:suppressAutoHyphens/>
        <w:jc w:val="center"/>
        <w:rPr>
          <w:rFonts w:ascii="Times New Roman" w:hAnsi="Times New Roman"/>
          <w:b/>
        </w:rPr>
      </w:pPr>
      <w:r>
        <w:rPr>
          <w:rFonts w:ascii="Times New Roman" w:hAnsi="Times New Roman"/>
          <w:b/>
        </w:rPr>
        <w:t>OMB No. 0960-0058</w:t>
      </w:r>
    </w:p>
    <w:p w:rsidR="00FD2F78" w:rsidRDefault="00FD2F78">
      <w:pPr>
        <w:suppressAutoHyphens/>
        <w:rPr>
          <w:rFonts w:ascii="Times New Roman" w:hAnsi="Times New Roman"/>
          <w:b/>
        </w:rPr>
      </w:pPr>
    </w:p>
    <w:p w:rsidR="00FD2F78" w:rsidRDefault="00FD2F78">
      <w:pPr>
        <w:suppressAutoHyphens/>
        <w:rPr>
          <w:rFonts w:ascii="Times New Roman" w:hAnsi="Times New Roman"/>
          <w:b/>
        </w:rPr>
      </w:pPr>
    </w:p>
    <w:p w:rsidR="00FD2F78" w:rsidRDefault="00FD2F78">
      <w:pPr>
        <w:suppressAutoHyphens/>
        <w:rPr>
          <w:rFonts w:ascii="Times New Roman" w:hAnsi="Times New Roman"/>
        </w:rPr>
      </w:pPr>
      <w:r>
        <w:rPr>
          <w:rFonts w:ascii="Times New Roman" w:hAnsi="Times New Roman"/>
        </w:rPr>
        <w:t>A.</w:t>
      </w:r>
      <w:r>
        <w:rPr>
          <w:rFonts w:ascii="Times New Roman" w:hAnsi="Times New Roman"/>
          <w:b/>
        </w:rPr>
        <w:tab/>
      </w:r>
      <w:r w:rsidRPr="00C52E42">
        <w:rPr>
          <w:rFonts w:ascii="Times New Roman" w:hAnsi="Times New Roman"/>
          <w:b/>
          <w:u w:val="single"/>
        </w:rPr>
        <w:t>Justification</w:t>
      </w:r>
    </w:p>
    <w:p w:rsidR="00FD2F78" w:rsidRDefault="00FD2F78">
      <w:pPr>
        <w:suppressAutoHyphens/>
        <w:rPr>
          <w:rFonts w:ascii="Times New Roman" w:hAnsi="Times New Roman"/>
        </w:rPr>
      </w:pPr>
    </w:p>
    <w:p w:rsidR="00A80DCF" w:rsidRDefault="00AA3188" w:rsidP="00A80DCF">
      <w:pPr>
        <w:numPr>
          <w:ilvl w:val="0"/>
          <w:numId w:val="4"/>
        </w:numPr>
        <w:suppressAutoHyphens/>
        <w:rPr>
          <w:rFonts w:ascii="Times New Roman" w:hAnsi="Times New Roman"/>
          <w:b/>
        </w:rPr>
      </w:pPr>
      <w:r>
        <w:rPr>
          <w:rFonts w:ascii="Times New Roman" w:hAnsi="Times New Roman"/>
          <w:b/>
        </w:rPr>
        <w:t xml:space="preserve">      </w:t>
      </w:r>
      <w:r w:rsidR="00A80DCF">
        <w:rPr>
          <w:rFonts w:ascii="Times New Roman" w:hAnsi="Times New Roman"/>
          <w:b/>
        </w:rPr>
        <w:t>Introduction/Authoring Laws and Regulations</w:t>
      </w:r>
    </w:p>
    <w:p w:rsidR="00FD2F78" w:rsidRDefault="00637D71" w:rsidP="00A80DCF">
      <w:pPr>
        <w:suppressAutoHyphens/>
        <w:ind w:left="1440"/>
        <w:rPr>
          <w:rFonts w:ascii="Times New Roman" w:hAnsi="Times New Roman"/>
        </w:rPr>
      </w:pPr>
      <w:r>
        <w:rPr>
          <w:rFonts w:ascii="Times New Roman" w:hAnsi="Times New Roman"/>
        </w:rPr>
        <w:t xml:space="preserve">Sections </w:t>
      </w:r>
      <w:r w:rsidRPr="00AA3188">
        <w:rPr>
          <w:rFonts w:ascii="Times New Roman" w:hAnsi="Times New Roman"/>
          <w:i/>
        </w:rPr>
        <w:t>223(d)</w:t>
      </w:r>
      <w:r>
        <w:rPr>
          <w:rFonts w:ascii="Times New Roman" w:hAnsi="Times New Roman"/>
        </w:rPr>
        <w:t xml:space="preserve"> and </w:t>
      </w:r>
      <w:r w:rsidRPr="00AA3188">
        <w:rPr>
          <w:rFonts w:ascii="Times New Roman" w:hAnsi="Times New Roman"/>
          <w:i/>
        </w:rPr>
        <w:t>1614(a)</w:t>
      </w:r>
      <w:r>
        <w:rPr>
          <w:rFonts w:ascii="Times New Roman" w:hAnsi="Times New Roman"/>
        </w:rPr>
        <w:t xml:space="preserve"> of the </w:t>
      </w:r>
      <w:r w:rsidRPr="00AA3188">
        <w:rPr>
          <w:rFonts w:ascii="Times New Roman" w:hAnsi="Times New Roman"/>
          <w:i/>
        </w:rPr>
        <w:t>Social Security Act</w:t>
      </w:r>
      <w:r w:rsidR="00AA3188">
        <w:rPr>
          <w:rFonts w:ascii="Times New Roman" w:hAnsi="Times New Roman"/>
          <w:i/>
        </w:rPr>
        <w:t xml:space="preserve"> (Act)</w:t>
      </w:r>
      <w:r w:rsidR="00523EC3">
        <w:rPr>
          <w:rFonts w:ascii="Times New Roman" w:hAnsi="Times New Roman"/>
        </w:rPr>
        <w:t xml:space="preserve"> and Sections </w:t>
      </w:r>
      <w:r w:rsidR="00523EC3" w:rsidRPr="00AA3188">
        <w:rPr>
          <w:rFonts w:ascii="Times New Roman" w:hAnsi="Times New Roman"/>
          <w:i/>
        </w:rPr>
        <w:t>20 CFR 404.1513</w:t>
      </w:r>
      <w:r w:rsidR="00523EC3">
        <w:rPr>
          <w:rFonts w:ascii="Times New Roman" w:hAnsi="Times New Roman"/>
        </w:rPr>
        <w:t xml:space="preserve"> and </w:t>
      </w:r>
      <w:r w:rsidR="00523EC3" w:rsidRPr="00AA3188">
        <w:rPr>
          <w:rFonts w:ascii="Times New Roman" w:hAnsi="Times New Roman"/>
          <w:i/>
        </w:rPr>
        <w:t>20 CFR 416.913</w:t>
      </w:r>
      <w:r w:rsidR="00523EC3">
        <w:rPr>
          <w:rFonts w:ascii="Times New Roman" w:hAnsi="Times New Roman"/>
        </w:rPr>
        <w:t xml:space="preserve"> of the </w:t>
      </w:r>
      <w:r w:rsidR="00523EC3" w:rsidRPr="00AA3188">
        <w:rPr>
          <w:rFonts w:ascii="Times New Roman" w:hAnsi="Times New Roman"/>
          <w:i/>
        </w:rPr>
        <w:t>Code of Federal Regulations</w:t>
      </w:r>
      <w:r w:rsidR="00AA3188">
        <w:rPr>
          <w:rFonts w:ascii="Times New Roman" w:hAnsi="Times New Roman"/>
        </w:rPr>
        <w:t xml:space="preserve"> authorize </w:t>
      </w:r>
      <w:r w:rsidR="00FD2F78">
        <w:rPr>
          <w:rFonts w:ascii="Times New Roman" w:hAnsi="Times New Roman"/>
        </w:rPr>
        <w:t xml:space="preserve">Social Security Administration (SSA) </w:t>
      </w:r>
      <w:r w:rsidR="00425230">
        <w:rPr>
          <w:rFonts w:ascii="Times New Roman" w:hAnsi="Times New Roman"/>
        </w:rPr>
        <w:t xml:space="preserve">adjudicators </w:t>
      </w:r>
      <w:r w:rsidR="00523EC3">
        <w:rPr>
          <w:rFonts w:ascii="Times New Roman" w:hAnsi="Times New Roman"/>
        </w:rPr>
        <w:t xml:space="preserve">to </w:t>
      </w:r>
      <w:r w:rsidR="003C5612">
        <w:rPr>
          <w:rFonts w:ascii="Times New Roman" w:hAnsi="Times New Roman"/>
        </w:rPr>
        <w:t>collect</w:t>
      </w:r>
      <w:r w:rsidR="00523EC3">
        <w:rPr>
          <w:rFonts w:ascii="Times New Roman" w:hAnsi="Times New Roman"/>
        </w:rPr>
        <w:t xml:space="preserve"> </w:t>
      </w:r>
      <w:r w:rsidR="003C5612">
        <w:rPr>
          <w:rFonts w:ascii="Times New Roman" w:hAnsi="Times New Roman"/>
        </w:rPr>
        <w:t xml:space="preserve">information </w:t>
      </w:r>
      <w:r w:rsidR="00FD2F78">
        <w:rPr>
          <w:rFonts w:ascii="Times New Roman" w:hAnsi="Times New Roman"/>
        </w:rPr>
        <w:t>to determine if a claimant or applicant filing for disability benefits has a</w:t>
      </w:r>
      <w:r w:rsidR="001A16FF">
        <w:rPr>
          <w:rFonts w:ascii="Times New Roman" w:hAnsi="Times New Roman"/>
        </w:rPr>
        <w:t>n</w:t>
      </w:r>
      <w:r w:rsidR="00FD2F78">
        <w:rPr>
          <w:rFonts w:ascii="Times New Roman" w:hAnsi="Times New Roman"/>
        </w:rPr>
        <w:t xml:space="preserve"> impairment that meets the severity and duration requirements of the law.</w:t>
      </w:r>
      <w:r w:rsidR="00F7265A">
        <w:rPr>
          <w:rFonts w:ascii="Times New Roman" w:hAnsi="Times New Roman"/>
        </w:rPr>
        <w:t xml:space="preserve"> </w:t>
      </w:r>
      <w:r w:rsidR="00523EC3">
        <w:rPr>
          <w:rFonts w:ascii="Times New Roman" w:hAnsi="Times New Roman"/>
        </w:rPr>
        <w:t xml:space="preserve"> </w:t>
      </w:r>
      <w:r w:rsidR="0050159C">
        <w:rPr>
          <w:rFonts w:ascii="Times New Roman" w:hAnsi="Times New Roman"/>
        </w:rPr>
        <w:t>SSA a</w:t>
      </w:r>
      <w:r w:rsidR="00425230">
        <w:rPr>
          <w:rFonts w:ascii="Times New Roman" w:hAnsi="Times New Roman"/>
        </w:rPr>
        <w:t>djudicators</w:t>
      </w:r>
      <w:r>
        <w:rPr>
          <w:rFonts w:ascii="Times New Roman" w:hAnsi="Times New Roman"/>
        </w:rPr>
        <w:t xml:space="preserve"> </w:t>
      </w:r>
      <w:r w:rsidR="00523EC3">
        <w:rPr>
          <w:rFonts w:ascii="Times New Roman" w:hAnsi="Times New Roman"/>
        </w:rPr>
        <w:t>use</w:t>
      </w:r>
      <w:r>
        <w:rPr>
          <w:rFonts w:ascii="Times New Roman" w:hAnsi="Times New Roman"/>
        </w:rPr>
        <w:t xml:space="preserve"> </w:t>
      </w:r>
      <w:r w:rsidR="001A16FF">
        <w:rPr>
          <w:rFonts w:ascii="Times New Roman" w:hAnsi="Times New Roman"/>
        </w:rPr>
        <w:t>F</w:t>
      </w:r>
      <w:r w:rsidR="00523EC3">
        <w:rPr>
          <w:rFonts w:ascii="Times New Roman" w:hAnsi="Times New Roman"/>
        </w:rPr>
        <w:t xml:space="preserve">orm </w:t>
      </w:r>
      <w:r>
        <w:rPr>
          <w:rFonts w:ascii="Times New Roman" w:hAnsi="Times New Roman"/>
        </w:rPr>
        <w:t>SSA-824, “Report on Individual with Mental Impairment</w:t>
      </w:r>
      <w:r w:rsidR="00425230">
        <w:rPr>
          <w:rFonts w:ascii="Times New Roman" w:hAnsi="Times New Roman"/>
        </w:rPr>
        <w:t>,</w:t>
      </w:r>
      <w:r>
        <w:rPr>
          <w:rFonts w:ascii="Times New Roman" w:hAnsi="Times New Roman"/>
        </w:rPr>
        <w:t xml:space="preserve">” </w:t>
      </w:r>
      <w:r w:rsidR="00A36AC6">
        <w:rPr>
          <w:rFonts w:ascii="Times New Roman" w:hAnsi="Times New Roman"/>
        </w:rPr>
        <w:t xml:space="preserve">to obtain evidence </w:t>
      </w:r>
      <w:r w:rsidR="0050159C">
        <w:rPr>
          <w:rFonts w:ascii="Times New Roman" w:hAnsi="Times New Roman"/>
        </w:rPr>
        <w:t xml:space="preserve">about </w:t>
      </w:r>
      <w:r w:rsidR="001A16FF">
        <w:rPr>
          <w:rFonts w:ascii="Times New Roman" w:hAnsi="Times New Roman"/>
        </w:rPr>
        <w:t>claimants who ha</w:t>
      </w:r>
      <w:r w:rsidR="00AA3188">
        <w:rPr>
          <w:rFonts w:ascii="Times New Roman" w:hAnsi="Times New Roman"/>
        </w:rPr>
        <w:t xml:space="preserve">ve a mental impairment.  </w:t>
      </w:r>
    </w:p>
    <w:p w:rsidR="00FD2F78" w:rsidRDefault="00FD2F78">
      <w:pPr>
        <w:suppressAutoHyphens/>
        <w:rPr>
          <w:rFonts w:ascii="Times New Roman" w:hAnsi="Times New Roman"/>
        </w:rPr>
      </w:pPr>
    </w:p>
    <w:p w:rsidR="00A80DCF" w:rsidRPr="00A80DCF" w:rsidRDefault="00A80DCF" w:rsidP="00A80DCF">
      <w:pPr>
        <w:pStyle w:val="BodyTextIndent"/>
        <w:tabs>
          <w:tab w:val="clear" w:pos="-720"/>
          <w:tab w:val="clear" w:pos="0"/>
          <w:tab w:val="clear" w:pos="720"/>
        </w:tabs>
        <w:ind w:hanging="720"/>
        <w:rPr>
          <w:rFonts w:ascii="Times New Roman" w:hAnsi="Times New Roman"/>
        </w:rPr>
      </w:pPr>
      <w:r>
        <w:rPr>
          <w:rFonts w:ascii="Times New Roman" w:hAnsi="Times New Roman"/>
          <w:b/>
        </w:rPr>
        <w:t>2.</w:t>
      </w:r>
      <w:r>
        <w:rPr>
          <w:rFonts w:ascii="Times New Roman" w:hAnsi="Times New Roman"/>
          <w:b/>
        </w:rPr>
        <w:tab/>
        <w:t>Description of Collection</w:t>
      </w:r>
    </w:p>
    <w:p w:rsidR="00425230" w:rsidRDefault="00E019EB" w:rsidP="00355224">
      <w:pPr>
        <w:suppressAutoHyphens/>
        <w:ind w:left="1440"/>
        <w:rPr>
          <w:rFonts w:ascii="Times New Roman" w:hAnsi="Times New Roman"/>
        </w:rPr>
      </w:pPr>
      <w:r>
        <w:rPr>
          <w:rFonts w:ascii="Times New Roman" w:hAnsi="Times New Roman"/>
        </w:rPr>
        <w:t>The purpose o</w:t>
      </w:r>
      <w:r w:rsidR="00355224">
        <w:rPr>
          <w:rFonts w:ascii="Times New Roman" w:hAnsi="Times New Roman"/>
        </w:rPr>
        <w:t>f f</w:t>
      </w:r>
      <w:r>
        <w:rPr>
          <w:rFonts w:ascii="Times New Roman" w:hAnsi="Times New Roman"/>
        </w:rPr>
        <w:t>orm SSA-824 is</w:t>
      </w:r>
      <w:r w:rsidR="00FD2F78">
        <w:rPr>
          <w:rFonts w:ascii="Times New Roman" w:hAnsi="Times New Roman"/>
        </w:rPr>
        <w:t xml:space="preserve"> to obtain medica</w:t>
      </w:r>
      <w:r>
        <w:rPr>
          <w:rFonts w:ascii="Times New Roman" w:hAnsi="Times New Roman"/>
        </w:rPr>
        <w:t>l evidence from medical sources</w:t>
      </w:r>
      <w:r w:rsidR="00425230">
        <w:rPr>
          <w:rFonts w:ascii="Times New Roman" w:hAnsi="Times New Roman"/>
        </w:rPr>
        <w:t xml:space="preserve"> </w:t>
      </w:r>
      <w:r w:rsidR="001F10C6">
        <w:rPr>
          <w:rFonts w:ascii="Times New Roman" w:hAnsi="Times New Roman"/>
        </w:rPr>
        <w:t>(</w:t>
      </w:r>
      <w:r w:rsidR="00425230">
        <w:rPr>
          <w:rFonts w:ascii="Times New Roman" w:hAnsi="Times New Roman"/>
        </w:rPr>
        <w:t xml:space="preserve">i.e., </w:t>
      </w:r>
      <w:r w:rsidR="001F10C6">
        <w:rPr>
          <w:rFonts w:ascii="Times New Roman" w:hAnsi="Times New Roman"/>
        </w:rPr>
        <w:t>respondents)</w:t>
      </w:r>
      <w:r>
        <w:rPr>
          <w:rFonts w:ascii="Times New Roman" w:hAnsi="Times New Roman"/>
        </w:rPr>
        <w:t xml:space="preserve"> </w:t>
      </w:r>
      <w:r w:rsidR="00425230">
        <w:rPr>
          <w:rFonts w:ascii="Times New Roman" w:hAnsi="Times New Roman"/>
        </w:rPr>
        <w:t>who</w:t>
      </w:r>
      <w:r w:rsidR="00FD2F78">
        <w:rPr>
          <w:rFonts w:ascii="Times New Roman" w:hAnsi="Times New Roman"/>
        </w:rPr>
        <w:t xml:space="preserve"> have treated</w:t>
      </w:r>
      <w:r w:rsidR="00A36AC6">
        <w:rPr>
          <w:rFonts w:ascii="Times New Roman" w:hAnsi="Times New Roman"/>
        </w:rPr>
        <w:t>,</w:t>
      </w:r>
      <w:r w:rsidR="00FD2F78">
        <w:rPr>
          <w:rFonts w:ascii="Times New Roman" w:hAnsi="Times New Roman"/>
        </w:rPr>
        <w:t xml:space="preserve"> </w:t>
      </w:r>
      <w:r w:rsidR="001F10C6">
        <w:rPr>
          <w:rFonts w:ascii="Times New Roman" w:hAnsi="Times New Roman"/>
        </w:rPr>
        <w:t>or are currently treating</w:t>
      </w:r>
      <w:r w:rsidR="00A36AC6">
        <w:rPr>
          <w:rFonts w:ascii="Times New Roman" w:hAnsi="Times New Roman"/>
        </w:rPr>
        <w:t>,</w:t>
      </w:r>
      <w:r w:rsidR="001F10C6">
        <w:rPr>
          <w:rFonts w:ascii="Times New Roman" w:hAnsi="Times New Roman"/>
        </w:rPr>
        <w:t xml:space="preserve"> </w:t>
      </w:r>
      <w:r w:rsidR="00FD2F78">
        <w:rPr>
          <w:rFonts w:ascii="Times New Roman" w:hAnsi="Times New Roman"/>
        </w:rPr>
        <w:t xml:space="preserve">the claimant for a mental impairment.  SSA uses the information </w:t>
      </w:r>
      <w:r>
        <w:rPr>
          <w:rFonts w:ascii="Times New Roman" w:hAnsi="Times New Roman"/>
        </w:rPr>
        <w:t>on this form</w:t>
      </w:r>
      <w:r w:rsidR="00FD2F78">
        <w:rPr>
          <w:rFonts w:ascii="Times New Roman" w:hAnsi="Times New Roman"/>
        </w:rPr>
        <w:t xml:space="preserve"> to establish whether a claimant filing for disability benefits has a mental impairment that meets the statutory defini</w:t>
      </w:r>
      <w:r w:rsidR="00AA3188">
        <w:rPr>
          <w:rFonts w:ascii="Times New Roman" w:hAnsi="Times New Roman"/>
        </w:rPr>
        <w:t xml:space="preserve">tion of disability in the </w:t>
      </w:r>
      <w:r w:rsidR="00AA3188" w:rsidRPr="00AA3188">
        <w:rPr>
          <w:rFonts w:ascii="Times New Roman" w:hAnsi="Times New Roman"/>
          <w:i/>
        </w:rPr>
        <w:t>Act</w:t>
      </w:r>
      <w:r>
        <w:rPr>
          <w:rFonts w:ascii="Times New Roman" w:hAnsi="Times New Roman"/>
        </w:rPr>
        <w:t>.</w:t>
      </w:r>
      <w:r w:rsidR="002A0BB2">
        <w:rPr>
          <w:rFonts w:ascii="Times New Roman" w:hAnsi="Times New Roman"/>
        </w:rPr>
        <w:t xml:space="preserve">  </w:t>
      </w:r>
      <w:r w:rsidR="001F10C6">
        <w:rPr>
          <w:rFonts w:ascii="Times New Roman" w:hAnsi="Times New Roman"/>
        </w:rPr>
        <w:t xml:space="preserve"> </w:t>
      </w:r>
      <w:r w:rsidR="00355224">
        <w:rPr>
          <w:rFonts w:ascii="Times New Roman" w:hAnsi="Times New Roman"/>
        </w:rPr>
        <w:t xml:space="preserve">The respondents are individuals who are treating sources for claimants. </w:t>
      </w:r>
      <w:r w:rsidR="009C01F9">
        <w:rPr>
          <w:rFonts w:ascii="Times New Roman" w:hAnsi="Times New Roman"/>
        </w:rPr>
        <w:t xml:space="preserve"> </w:t>
      </w:r>
      <w:r w:rsidR="008D6A84">
        <w:rPr>
          <w:rFonts w:ascii="Times New Roman" w:hAnsi="Times New Roman"/>
        </w:rPr>
        <w:t xml:space="preserve">Disability Determination Services (DDS) </w:t>
      </w:r>
      <w:r w:rsidR="00425230">
        <w:rPr>
          <w:rFonts w:ascii="Times New Roman" w:hAnsi="Times New Roman"/>
        </w:rPr>
        <w:t xml:space="preserve">employees </w:t>
      </w:r>
      <w:r w:rsidR="008D6A84">
        <w:rPr>
          <w:rFonts w:ascii="Times New Roman" w:hAnsi="Times New Roman"/>
        </w:rPr>
        <w:t xml:space="preserve">collect this information, </w:t>
      </w:r>
      <w:r w:rsidR="00D3554A">
        <w:rPr>
          <w:rFonts w:ascii="Times New Roman" w:hAnsi="Times New Roman"/>
        </w:rPr>
        <w:t>usually</w:t>
      </w:r>
      <w:r w:rsidR="008D6A84">
        <w:rPr>
          <w:rFonts w:ascii="Times New Roman" w:hAnsi="Times New Roman"/>
        </w:rPr>
        <w:t xml:space="preserve"> on a one-time basis.  </w:t>
      </w:r>
    </w:p>
    <w:p w:rsidR="00AA3188" w:rsidRDefault="00AA3188" w:rsidP="000C36ED">
      <w:pPr>
        <w:pStyle w:val="BodyTextIndent"/>
        <w:tabs>
          <w:tab w:val="clear" w:pos="-720"/>
          <w:tab w:val="clear" w:pos="0"/>
          <w:tab w:val="clear" w:pos="720"/>
        </w:tabs>
        <w:ind w:firstLine="0"/>
        <w:rPr>
          <w:rFonts w:ascii="Times New Roman" w:hAnsi="Times New Roman"/>
        </w:rPr>
      </w:pPr>
    </w:p>
    <w:p w:rsidR="00776853" w:rsidRPr="00776853" w:rsidRDefault="00776853" w:rsidP="00776853">
      <w:pPr>
        <w:suppressAutoHyphens/>
        <w:ind w:firstLine="720"/>
        <w:rPr>
          <w:rFonts w:ascii="Times New Roman" w:hAnsi="Times New Roman"/>
          <w:b/>
        </w:rPr>
      </w:pPr>
      <w:r>
        <w:rPr>
          <w:rFonts w:ascii="Times New Roman" w:hAnsi="Times New Roman"/>
          <w:b/>
        </w:rPr>
        <w:t xml:space="preserve">3. </w:t>
      </w:r>
      <w:r>
        <w:rPr>
          <w:rFonts w:ascii="Times New Roman" w:hAnsi="Times New Roman"/>
          <w:b/>
        </w:rPr>
        <w:tab/>
      </w:r>
      <w:r w:rsidR="00A80DCF" w:rsidRPr="00776853">
        <w:rPr>
          <w:rFonts w:ascii="Times New Roman" w:hAnsi="Times New Roman"/>
          <w:b/>
        </w:rPr>
        <w:t>Use of Information Technology to Collect the Information</w:t>
      </w:r>
    </w:p>
    <w:p w:rsidR="00BB2D54" w:rsidRDefault="00355224" w:rsidP="00AA3188">
      <w:pPr>
        <w:suppressAutoHyphens/>
        <w:ind w:left="1440"/>
        <w:rPr>
          <w:rFonts w:ascii="Times New Roman" w:hAnsi="Times New Roman"/>
        </w:rPr>
      </w:pPr>
      <w:r>
        <w:rPr>
          <w:rFonts w:ascii="Times New Roman" w:hAnsi="Times New Roman"/>
        </w:rPr>
        <w:t>D</w:t>
      </w:r>
      <w:r w:rsidR="00BD735D">
        <w:rPr>
          <w:rFonts w:ascii="Times New Roman" w:hAnsi="Times New Roman"/>
        </w:rPr>
        <w:t xml:space="preserve">ue to low </w:t>
      </w:r>
      <w:r w:rsidR="00AA3188">
        <w:rPr>
          <w:rFonts w:ascii="Times New Roman" w:hAnsi="Times New Roman"/>
        </w:rPr>
        <w:t xml:space="preserve">volume </w:t>
      </w:r>
      <w:r w:rsidR="00BD735D">
        <w:rPr>
          <w:rFonts w:ascii="Times New Roman" w:hAnsi="Times New Roman"/>
        </w:rPr>
        <w:t xml:space="preserve">usage, </w:t>
      </w:r>
      <w:r w:rsidR="00BB2D54">
        <w:rPr>
          <w:rFonts w:ascii="Times New Roman" w:hAnsi="Times New Roman"/>
        </w:rPr>
        <w:t xml:space="preserve">SSA </w:t>
      </w:r>
      <w:r w:rsidR="00BD735D">
        <w:rPr>
          <w:rFonts w:ascii="Times New Roman" w:hAnsi="Times New Roman"/>
        </w:rPr>
        <w:t>has not created an electronic version</w:t>
      </w:r>
      <w:r w:rsidR="00AA3188">
        <w:rPr>
          <w:rFonts w:ascii="Times New Roman" w:hAnsi="Times New Roman"/>
        </w:rPr>
        <w:t xml:space="preserve"> of the form</w:t>
      </w:r>
      <w:r w:rsidRPr="00355224">
        <w:rPr>
          <w:rFonts w:ascii="Times New Roman" w:hAnsi="Times New Roman"/>
        </w:rPr>
        <w:t xml:space="preserve"> </w:t>
      </w:r>
      <w:r>
        <w:rPr>
          <w:rFonts w:ascii="Times New Roman" w:hAnsi="Times New Roman"/>
        </w:rPr>
        <w:t>in accordance with the agency’s Government Paperwork Elimination Act plan.</w:t>
      </w:r>
    </w:p>
    <w:p w:rsidR="00FD2F78" w:rsidRDefault="00FD2F78">
      <w:pPr>
        <w:suppressAutoHyphens/>
        <w:rPr>
          <w:rFonts w:ascii="Times New Roman" w:hAnsi="Times New Roman"/>
        </w:rPr>
      </w:pPr>
    </w:p>
    <w:p w:rsidR="00A80DCF" w:rsidRDefault="00A80DCF">
      <w:pPr>
        <w:ind w:left="1440" w:hanging="720"/>
        <w:rPr>
          <w:rFonts w:ascii="Times New Roman" w:hAnsi="Times New Roman"/>
          <w:b/>
        </w:rPr>
      </w:pPr>
      <w:r>
        <w:rPr>
          <w:rFonts w:ascii="Times New Roman" w:hAnsi="Times New Roman"/>
          <w:b/>
        </w:rPr>
        <w:t>4.</w:t>
      </w:r>
      <w:r>
        <w:rPr>
          <w:rFonts w:ascii="Times New Roman" w:hAnsi="Times New Roman"/>
          <w:b/>
        </w:rPr>
        <w:tab/>
        <w:t>Why We Cannot Use Duplicate Information</w:t>
      </w:r>
    </w:p>
    <w:p w:rsidR="00FD2F78" w:rsidRDefault="00E019EB" w:rsidP="00A80DCF">
      <w:pPr>
        <w:ind w:left="1440"/>
        <w:rPr>
          <w:rFonts w:ascii="Times New Roman" w:hAnsi="Times New Roman"/>
        </w:rPr>
      </w:pPr>
      <w:r w:rsidRPr="00E019EB">
        <w:rPr>
          <w:rFonts w:ascii="Times New Roman" w:hAnsi="Times New Roman"/>
        </w:rPr>
        <w:t xml:space="preserve">The nature of the information </w:t>
      </w:r>
      <w:r w:rsidR="003472E5">
        <w:rPr>
          <w:rFonts w:ascii="Times New Roman" w:hAnsi="Times New Roman"/>
        </w:rPr>
        <w:t>we</w:t>
      </w:r>
      <w:r w:rsidRPr="00E019EB">
        <w:rPr>
          <w:rFonts w:ascii="Times New Roman" w:hAnsi="Times New Roman"/>
        </w:rPr>
        <w:t xml:space="preserve"> collect and the manner in which</w:t>
      </w:r>
      <w:r w:rsidR="003472E5">
        <w:rPr>
          <w:rFonts w:ascii="Times New Roman" w:hAnsi="Times New Roman"/>
        </w:rPr>
        <w:t xml:space="preserve"> we collect</w:t>
      </w:r>
      <w:r w:rsidRPr="00E019EB">
        <w:rPr>
          <w:rFonts w:ascii="Times New Roman" w:hAnsi="Times New Roman"/>
        </w:rPr>
        <w:t xml:space="preserve"> it </w:t>
      </w:r>
      <w:r w:rsidR="00AA3188" w:rsidRPr="00E019EB">
        <w:rPr>
          <w:rFonts w:ascii="Times New Roman" w:hAnsi="Times New Roman"/>
        </w:rPr>
        <w:t>preclude</w:t>
      </w:r>
      <w:r w:rsidR="00AA3188">
        <w:rPr>
          <w:rFonts w:ascii="Times New Roman" w:hAnsi="Times New Roman"/>
        </w:rPr>
        <w:t xml:space="preserve"> </w:t>
      </w:r>
      <w:r w:rsidR="00AA3188" w:rsidRPr="00E019EB">
        <w:rPr>
          <w:rFonts w:ascii="Times New Roman" w:hAnsi="Times New Roman"/>
        </w:rPr>
        <w:t>duplication</w:t>
      </w:r>
      <w:r w:rsidRPr="00E019EB">
        <w:rPr>
          <w:rFonts w:ascii="Times New Roman" w:hAnsi="Times New Roman"/>
        </w:rPr>
        <w:t xml:space="preserve">.  </w:t>
      </w:r>
      <w:r w:rsidR="003472E5">
        <w:rPr>
          <w:rFonts w:ascii="Times New Roman" w:hAnsi="Times New Roman"/>
        </w:rPr>
        <w:t>SSA doe</w:t>
      </w:r>
      <w:r w:rsidR="00AA3188">
        <w:rPr>
          <w:rFonts w:ascii="Times New Roman" w:hAnsi="Times New Roman"/>
        </w:rPr>
        <w:t xml:space="preserve">s not use another </w:t>
      </w:r>
      <w:r w:rsidRPr="00E019EB">
        <w:rPr>
          <w:rFonts w:ascii="Times New Roman" w:hAnsi="Times New Roman"/>
        </w:rPr>
        <w:t xml:space="preserve">collection instrument that collects data similar to </w:t>
      </w:r>
      <w:r w:rsidR="00700C76">
        <w:rPr>
          <w:rFonts w:ascii="Times New Roman" w:hAnsi="Times New Roman"/>
        </w:rPr>
        <w:t xml:space="preserve">data we </w:t>
      </w:r>
      <w:r w:rsidRPr="00E019EB">
        <w:rPr>
          <w:rFonts w:ascii="Times New Roman" w:hAnsi="Times New Roman"/>
        </w:rPr>
        <w:t>collect here</w:t>
      </w:r>
      <w:r w:rsidR="00FD2F78">
        <w:rPr>
          <w:rFonts w:ascii="Times New Roman" w:hAnsi="Times New Roman"/>
        </w:rPr>
        <w:t>.</w:t>
      </w:r>
    </w:p>
    <w:p w:rsidR="00FD2F78" w:rsidRDefault="00FD2F78">
      <w:pPr>
        <w:suppressAutoHyphens/>
        <w:rPr>
          <w:rFonts w:ascii="Times New Roman" w:hAnsi="Times New Roman"/>
        </w:rPr>
      </w:pPr>
    </w:p>
    <w:p w:rsidR="00A80DCF" w:rsidRDefault="00A80DCF" w:rsidP="00AA3188">
      <w:pPr>
        <w:pStyle w:val="BodyText3"/>
        <w:ind w:left="1440" w:hanging="720"/>
        <w:rPr>
          <w:rFonts w:ascii="Times New Roman" w:hAnsi="Times New Roman"/>
          <w:b/>
          <w:i w:val="0"/>
        </w:rPr>
      </w:pPr>
      <w:r>
        <w:rPr>
          <w:rFonts w:ascii="Times New Roman" w:hAnsi="Times New Roman"/>
          <w:b/>
          <w:i w:val="0"/>
        </w:rPr>
        <w:t>5.</w:t>
      </w:r>
      <w:r>
        <w:rPr>
          <w:rFonts w:ascii="Times New Roman" w:hAnsi="Times New Roman"/>
          <w:b/>
          <w:i w:val="0"/>
        </w:rPr>
        <w:tab/>
        <w:t>Minimizing Burden on Small Respondents</w:t>
      </w:r>
    </w:p>
    <w:p w:rsidR="00FD2F78" w:rsidRDefault="00FD2F78" w:rsidP="00A80DCF">
      <w:pPr>
        <w:pStyle w:val="BodyText3"/>
        <w:ind w:left="1440"/>
        <w:rPr>
          <w:rFonts w:ascii="Times New Roman" w:hAnsi="Times New Roman"/>
          <w:i w:val="0"/>
        </w:rPr>
      </w:pPr>
      <w:r>
        <w:rPr>
          <w:rFonts w:ascii="Times New Roman" w:hAnsi="Times New Roman"/>
          <w:i w:val="0"/>
        </w:rPr>
        <w:t xml:space="preserve">This collection does not </w:t>
      </w:r>
      <w:r w:rsidR="00BD735D">
        <w:rPr>
          <w:rFonts w:ascii="Times New Roman" w:hAnsi="Times New Roman"/>
          <w:i w:val="0"/>
        </w:rPr>
        <w:t>affect</w:t>
      </w:r>
      <w:r>
        <w:rPr>
          <w:rFonts w:ascii="Times New Roman" w:hAnsi="Times New Roman"/>
          <w:i w:val="0"/>
        </w:rPr>
        <w:t xml:space="preserve"> small businesses or other small entities.</w:t>
      </w:r>
    </w:p>
    <w:p w:rsidR="00FD2F78" w:rsidRDefault="00FD2F78">
      <w:pPr>
        <w:suppressAutoHyphens/>
        <w:ind w:left="1440" w:hanging="1440"/>
        <w:rPr>
          <w:rFonts w:ascii="Times New Roman" w:hAnsi="Times New Roman"/>
        </w:rPr>
      </w:pPr>
      <w:r>
        <w:rPr>
          <w:rFonts w:ascii="Times New Roman" w:hAnsi="Times New Roman"/>
        </w:rPr>
        <w:t xml:space="preserve"> </w:t>
      </w:r>
    </w:p>
    <w:p w:rsidR="00A80DCF" w:rsidRDefault="00A80DCF" w:rsidP="00AA3188">
      <w:pPr>
        <w:suppressAutoHyphens/>
        <w:ind w:left="720" w:hanging="720"/>
        <w:rPr>
          <w:rFonts w:ascii="Times New Roman" w:hAnsi="Times New Roman"/>
          <w:b/>
        </w:rPr>
      </w:pPr>
      <w:r>
        <w:rPr>
          <w:rFonts w:ascii="Times New Roman" w:hAnsi="Times New Roman"/>
        </w:rPr>
        <w:tab/>
      </w:r>
      <w:r>
        <w:rPr>
          <w:rFonts w:ascii="Times New Roman" w:hAnsi="Times New Roman"/>
          <w:b/>
        </w:rPr>
        <w:t>6.</w:t>
      </w:r>
      <w:r>
        <w:rPr>
          <w:rFonts w:ascii="Times New Roman" w:hAnsi="Times New Roman"/>
          <w:b/>
        </w:rPr>
        <w:tab/>
        <w:t>Consequences of Not Collecting Information or Collecting It Less Frequently</w:t>
      </w:r>
    </w:p>
    <w:p w:rsidR="00FD2F78" w:rsidRDefault="00437EE2" w:rsidP="00A80DCF">
      <w:pPr>
        <w:suppressAutoHyphens/>
        <w:ind w:left="1440"/>
        <w:rPr>
          <w:rFonts w:ascii="Times New Roman" w:hAnsi="Times New Roman"/>
        </w:rPr>
      </w:pPr>
      <w:r>
        <w:rPr>
          <w:rFonts w:ascii="Times New Roman" w:hAnsi="Times New Roman"/>
        </w:rPr>
        <w:t>Respondents may choose whether to c</w:t>
      </w:r>
      <w:r w:rsidR="007A5CD4">
        <w:rPr>
          <w:rFonts w:ascii="Times New Roman" w:hAnsi="Times New Roman"/>
        </w:rPr>
        <w:t>omplet</w:t>
      </w:r>
      <w:r>
        <w:rPr>
          <w:rFonts w:ascii="Times New Roman" w:hAnsi="Times New Roman"/>
        </w:rPr>
        <w:t xml:space="preserve">e </w:t>
      </w:r>
      <w:r w:rsidR="007A5CD4">
        <w:rPr>
          <w:rFonts w:ascii="Times New Roman" w:hAnsi="Times New Roman"/>
        </w:rPr>
        <w:t>this form</w:t>
      </w:r>
      <w:r>
        <w:rPr>
          <w:rFonts w:ascii="Times New Roman" w:hAnsi="Times New Roman"/>
        </w:rPr>
        <w:t xml:space="preserve">. </w:t>
      </w:r>
      <w:r w:rsidR="007A5CD4">
        <w:rPr>
          <w:rFonts w:ascii="Times New Roman" w:hAnsi="Times New Roman"/>
        </w:rPr>
        <w:t xml:space="preserve"> If </w:t>
      </w:r>
      <w:r w:rsidR="003472E5">
        <w:rPr>
          <w:rFonts w:ascii="Times New Roman" w:hAnsi="Times New Roman"/>
        </w:rPr>
        <w:t xml:space="preserve">the adjudicator does </w:t>
      </w:r>
      <w:r w:rsidR="007A5CD4">
        <w:rPr>
          <w:rFonts w:ascii="Times New Roman" w:hAnsi="Times New Roman"/>
        </w:rPr>
        <w:t xml:space="preserve">not use this form, </w:t>
      </w:r>
      <w:r w:rsidR="003472E5">
        <w:rPr>
          <w:rFonts w:ascii="Times New Roman" w:hAnsi="Times New Roman"/>
        </w:rPr>
        <w:t xml:space="preserve">he or she </w:t>
      </w:r>
      <w:r w:rsidR="007A5CD4">
        <w:rPr>
          <w:rFonts w:ascii="Times New Roman" w:hAnsi="Times New Roman"/>
        </w:rPr>
        <w:t xml:space="preserve">may need to use other more costly methods, </w:t>
      </w:r>
      <w:r w:rsidR="003472E5">
        <w:rPr>
          <w:rFonts w:ascii="Times New Roman" w:hAnsi="Times New Roman"/>
        </w:rPr>
        <w:t>e.g.</w:t>
      </w:r>
      <w:r w:rsidR="007A5CD4">
        <w:rPr>
          <w:rFonts w:ascii="Times New Roman" w:hAnsi="Times New Roman"/>
        </w:rPr>
        <w:t xml:space="preserve">., consultative examinations, to </w:t>
      </w:r>
      <w:r w:rsidR="00FD2F78">
        <w:rPr>
          <w:rFonts w:ascii="Times New Roman" w:hAnsi="Times New Roman"/>
        </w:rPr>
        <w:t xml:space="preserve">obtain the evidence necessary to evaluate disability claims involving mental impairments.  There are no technical or legal obstacles </w:t>
      </w:r>
      <w:r w:rsidR="007A5CD4">
        <w:rPr>
          <w:rFonts w:ascii="Times New Roman" w:hAnsi="Times New Roman"/>
        </w:rPr>
        <w:t>to</w:t>
      </w:r>
      <w:r w:rsidR="00FD2F78">
        <w:rPr>
          <w:rFonts w:ascii="Times New Roman" w:hAnsi="Times New Roman"/>
        </w:rPr>
        <w:t xml:space="preserve"> burden reduction.</w:t>
      </w:r>
    </w:p>
    <w:p w:rsidR="00AA3188" w:rsidRDefault="00AA3188">
      <w:pPr>
        <w:suppressAutoHyphens/>
        <w:rPr>
          <w:rFonts w:ascii="Times New Roman" w:hAnsi="Times New Roman"/>
        </w:rPr>
      </w:pPr>
    </w:p>
    <w:p w:rsidR="00A80DCF" w:rsidRDefault="00A80DCF" w:rsidP="00AA3188">
      <w:pPr>
        <w:suppressAutoHyphens/>
        <w:ind w:left="720" w:hanging="720"/>
        <w:rPr>
          <w:rFonts w:ascii="Times New Roman" w:hAnsi="Times New Roman"/>
          <w:b/>
        </w:rPr>
      </w:pPr>
      <w:r>
        <w:rPr>
          <w:rFonts w:ascii="Times New Roman" w:hAnsi="Times New Roman"/>
        </w:rPr>
        <w:tab/>
      </w:r>
      <w:r>
        <w:rPr>
          <w:rFonts w:ascii="Times New Roman" w:hAnsi="Times New Roman"/>
          <w:b/>
        </w:rPr>
        <w:t>7.</w:t>
      </w:r>
      <w:r>
        <w:rPr>
          <w:rFonts w:ascii="Times New Roman" w:hAnsi="Times New Roman"/>
          <w:b/>
        </w:rPr>
        <w:tab/>
        <w:t>Special Circumstances</w:t>
      </w:r>
    </w:p>
    <w:p w:rsidR="00FD2F78" w:rsidRDefault="00CD34EA" w:rsidP="00A80DCF">
      <w:pPr>
        <w:suppressAutoHyphens/>
        <w:ind w:left="1440"/>
        <w:rPr>
          <w:rFonts w:ascii="Times New Roman" w:hAnsi="Times New Roman"/>
        </w:rPr>
      </w:pPr>
      <w:r w:rsidRPr="00CD34EA">
        <w:rPr>
          <w:rFonts w:ascii="Times New Roman" w:hAnsi="Times New Roman"/>
        </w:rPr>
        <w:t xml:space="preserve">There are no special circumstances that would cause </w:t>
      </w:r>
      <w:r w:rsidR="007A5CD4">
        <w:rPr>
          <w:rFonts w:ascii="Times New Roman" w:hAnsi="Times New Roman"/>
        </w:rPr>
        <w:t xml:space="preserve">SSA </w:t>
      </w:r>
      <w:r w:rsidRPr="00CD34EA">
        <w:rPr>
          <w:rFonts w:ascii="Times New Roman" w:hAnsi="Times New Roman"/>
        </w:rPr>
        <w:t>to conduct</w:t>
      </w:r>
      <w:r w:rsidR="007A5CD4">
        <w:rPr>
          <w:rFonts w:ascii="Times New Roman" w:hAnsi="Times New Roman"/>
        </w:rPr>
        <w:t xml:space="preserve"> this information collection</w:t>
      </w:r>
      <w:r w:rsidRPr="00CD34EA">
        <w:rPr>
          <w:rFonts w:ascii="Times New Roman" w:hAnsi="Times New Roman"/>
        </w:rPr>
        <w:t xml:space="preserve"> in a manner </w:t>
      </w:r>
      <w:r w:rsidR="007A5CD4">
        <w:rPr>
          <w:rFonts w:ascii="Times New Roman" w:hAnsi="Times New Roman"/>
        </w:rPr>
        <w:t xml:space="preserve">inconsistent </w:t>
      </w:r>
      <w:r w:rsidRPr="00CD34EA">
        <w:rPr>
          <w:rFonts w:ascii="Times New Roman" w:hAnsi="Times New Roman"/>
        </w:rPr>
        <w:t>with 5 CFR 1320.5</w:t>
      </w:r>
      <w:r w:rsidR="00FD2F78">
        <w:rPr>
          <w:rFonts w:ascii="Times New Roman" w:hAnsi="Times New Roman"/>
        </w:rPr>
        <w:t>.</w:t>
      </w:r>
    </w:p>
    <w:p w:rsidR="005B7B54" w:rsidRDefault="005B7B54">
      <w:pPr>
        <w:suppressAutoHyphens/>
        <w:ind w:left="1440" w:hanging="1440"/>
        <w:rPr>
          <w:rFonts w:ascii="Times New Roman" w:hAnsi="Times New Roman"/>
        </w:rPr>
      </w:pPr>
    </w:p>
    <w:p w:rsidR="00D002DC" w:rsidRDefault="00D002DC" w:rsidP="00266D75">
      <w:pPr>
        <w:ind w:left="1440" w:hanging="720"/>
        <w:rPr>
          <w:rFonts w:ascii="Times New Roman" w:hAnsi="Times New Roman"/>
          <w:b/>
        </w:rPr>
      </w:pPr>
      <w:r>
        <w:rPr>
          <w:rFonts w:ascii="Times New Roman" w:hAnsi="Times New Roman"/>
          <w:b/>
        </w:rPr>
        <w:lastRenderedPageBreak/>
        <w:t>8.</w:t>
      </w:r>
      <w:r>
        <w:rPr>
          <w:rFonts w:ascii="Times New Roman" w:hAnsi="Times New Roman"/>
          <w:b/>
        </w:rPr>
        <w:tab/>
        <w:t>Solicitation of Public Comment and Other Consultations with the Public</w:t>
      </w:r>
    </w:p>
    <w:p w:rsidR="00FD2F78" w:rsidRDefault="007A5CD4" w:rsidP="00D002DC">
      <w:pPr>
        <w:ind w:left="1440"/>
      </w:pPr>
      <w:r>
        <w:rPr>
          <w:rFonts w:ascii="Times New Roman" w:hAnsi="Times New Roman"/>
        </w:rPr>
        <w:t>SSA published t</w:t>
      </w:r>
      <w:r w:rsidR="000836EE" w:rsidRPr="00266D75">
        <w:rPr>
          <w:rFonts w:ascii="Times New Roman" w:hAnsi="Times New Roman"/>
        </w:rPr>
        <w:t xml:space="preserve">he 60-day advance </w:t>
      </w:r>
      <w:r w:rsidR="000836EE" w:rsidRPr="0050159C">
        <w:rPr>
          <w:rFonts w:ascii="Times New Roman" w:hAnsi="Times New Roman"/>
        </w:rPr>
        <w:t xml:space="preserve">Federal Register </w:t>
      </w:r>
      <w:r w:rsidR="000836EE" w:rsidRPr="0050159C">
        <w:rPr>
          <w:rFonts w:ascii="Times New Roman" w:hAnsi="Times New Roman"/>
          <w:iCs/>
        </w:rPr>
        <w:t>Notice</w:t>
      </w:r>
      <w:r w:rsidR="0050159C">
        <w:rPr>
          <w:rFonts w:ascii="Times New Roman" w:hAnsi="Times New Roman"/>
        </w:rPr>
        <w:t xml:space="preserve"> on August 1, 2011 at 76 FR 45902</w:t>
      </w:r>
      <w:r w:rsidR="00A36AC6">
        <w:rPr>
          <w:rFonts w:ascii="Times New Roman" w:hAnsi="Times New Roman"/>
        </w:rPr>
        <w:t>.</w:t>
      </w:r>
      <w:r w:rsidR="000836EE" w:rsidRPr="00266D75">
        <w:rPr>
          <w:rFonts w:ascii="Times New Roman" w:hAnsi="Times New Roman"/>
        </w:rPr>
        <w:t xml:space="preserve">  </w:t>
      </w:r>
      <w:r w:rsidR="0050159C">
        <w:rPr>
          <w:rFonts w:ascii="Times New Roman" w:hAnsi="Times New Roman"/>
        </w:rPr>
        <w:t xml:space="preserve">We did not receive any public comments.  </w:t>
      </w:r>
      <w:r>
        <w:rPr>
          <w:rFonts w:ascii="Times New Roman" w:hAnsi="Times New Roman"/>
        </w:rPr>
        <w:t>We published the</w:t>
      </w:r>
      <w:r w:rsidR="000836EE" w:rsidRPr="00266D75">
        <w:rPr>
          <w:rFonts w:ascii="Times New Roman" w:hAnsi="Times New Roman"/>
        </w:rPr>
        <w:t xml:space="preserve"> second Notice on </w:t>
      </w:r>
      <w:r w:rsidR="009C01F9">
        <w:rPr>
          <w:rFonts w:ascii="Times New Roman" w:hAnsi="Times New Roman"/>
        </w:rPr>
        <w:t>November 7, 2011 at 76 FR 68805</w:t>
      </w:r>
      <w:r w:rsidR="003472E5">
        <w:rPr>
          <w:rFonts w:ascii="Times New Roman" w:hAnsi="Times New Roman"/>
        </w:rPr>
        <w:t xml:space="preserve">.  </w:t>
      </w:r>
      <w:r w:rsidR="009C01F9" w:rsidRPr="009C01F9">
        <w:rPr>
          <w:rFonts w:ascii="Times New Roman" w:hAnsi="Times New Roman"/>
        </w:rPr>
        <w:t xml:space="preserve">If we receive any comments in response to the </w:t>
      </w:r>
      <w:r w:rsidR="009C01F9">
        <w:rPr>
          <w:rFonts w:ascii="Times New Roman" w:hAnsi="Times New Roman"/>
        </w:rPr>
        <w:t xml:space="preserve">     </w:t>
      </w:r>
      <w:r w:rsidR="009C01F9" w:rsidRPr="009C01F9">
        <w:rPr>
          <w:rFonts w:ascii="Times New Roman" w:hAnsi="Times New Roman"/>
        </w:rPr>
        <w:t xml:space="preserve">30-day Notice, we will forward them to OMB.  We did not consult with members of the public in the maintenance of this form.  </w:t>
      </w:r>
    </w:p>
    <w:p w:rsidR="00FD2F78" w:rsidRDefault="00FD2F78">
      <w:pPr>
        <w:suppressAutoHyphens/>
        <w:rPr>
          <w:rFonts w:ascii="Times New Roman" w:hAnsi="Times New Roman"/>
        </w:rPr>
      </w:pPr>
    </w:p>
    <w:p w:rsidR="00D002DC" w:rsidRPr="00D002DC" w:rsidRDefault="00D002DC" w:rsidP="00AA3188">
      <w:pPr>
        <w:numPr>
          <w:ilvl w:val="0"/>
          <w:numId w:val="5"/>
        </w:numPr>
        <w:suppressAutoHyphens/>
        <w:ind w:left="1440" w:hanging="720"/>
        <w:rPr>
          <w:rFonts w:ascii="Times New Roman" w:hAnsi="Times New Roman"/>
        </w:rPr>
      </w:pPr>
      <w:r>
        <w:rPr>
          <w:rFonts w:ascii="Times New Roman" w:hAnsi="Times New Roman"/>
          <w:b/>
        </w:rPr>
        <w:t>Payment or Gifts to Respondents</w:t>
      </w:r>
    </w:p>
    <w:p w:rsidR="00FD2F78" w:rsidRDefault="00FD2F78" w:rsidP="00D002DC">
      <w:pPr>
        <w:suppressAutoHyphens/>
        <w:ind w:left="1440"/>
        <w:rPr>
          <w:rFonts w:ascii="Times New Roman" w:hAnsi="Times New Roman"/>
        </w:rPr>
      </w:pPr>
      <w:r>
        <w:rPr>
          <w:rFonts w:ascii="Times New Roman" w:hAnsi="Times New Roman"/>
        </w:rPr>
        <w:t>SS</w:t>
      </w:r>
      <w:r w:rsidR="00A464FC">
        <w:rPr>
          <w:rFonts w:ascii="Times New Roman" w:hAnsi="Times New Roman"/>
        </w:rPr>
        <w:t xml:space="preserve">A pays non-Federal respondents </w:t>
      </w:r>
      <w:r>
        <w:rPr>
          <w:rFonts w:ascii="Times New Roman" w:hAnsi="Times New Roman"/>
        </w:rPr>
        <w:t xml:space="preserve">for the reasonable cost of providing the information, as required by sections </w:t>
      </w:r>
      <w:r w:rsidRPr="00AA3188">
        <w:rPr>
          <w:rFonts w:ascii="Times New Roman" w:hAnsi="Times New Roman"/>
          <w:i/>
        </w:rPr>
        <w:t>223(d)(5)(A)</w:t>
      </w:r>
      <w:r>
        <w:rPr>
          <w:rFonts w:ascii="Times New Roman" w:hAnsi="Times New Roman"/>
        </w:rPr>
        <w:t xml:space="preserve"> and </w:t>
      </w:r>
      <w:r w:rsidRPr="00AA3188">
        <w:rPr>
          <w:rFonts w:ascii="Times New Roman" w:hAnsi="Times New Roman"/>
          <w:i/>
        </w:rPr>
        <w:t>1614(a)(3)(H)(i)</w:t>
      </w:r>
      <w:r>
        <w:rPr>
          <w:rFonts w:ascii="Times New Roman" w:hAnsi="Times New Roman"/>
        </w:rPr>
        <w:t xml:space="preserve"> of the </w:t>
      </w:r>
      <w:r w:rsidRPr="00AA3188">
        <w:rPr>
          <w:rFonts w:ascii="Times New Roman" w:hAnsi="Times New Roman"/>
          <w:i/>
        </w:rPr>
        <w:t>Act</w:t>
      </w:r>
      <w:r>
        <w:rPr>
          <w:rFonts w:ascii="Times New Roman" w:hAnsi="Times New Roman"/>
        </w:rPr>
        <w:t xml:space="preserve"> and </w:t>
      </w:r>
      <w:r w:rsidRPr="00AA3188">
        <w:rPr>
          <w:rFonts w:ascii="Times New Roman" w:hAnsi="Times New Roman"/>
          <w:i/>
        </w:rPr>
        <w:t xml:space="preserve">20 CFR 404.1514 </w:t>
      </w:r>
      <w:r>
        <w:rPr>
          <w:rFonts w:ascii="Times New Roman" w:hAnsi="Times New Roman"/>
        </w:rPr>
        <w:t xml:space="preserve">and </w:t>
      </w:r>
      <w:r w:rsidRPr="00AA3188">
        <w:rPr>
          <w:rFonts w:ascii="Times New Roman" w:hAnsi="Times New Roman"/>
          <w:i/>
        </w:rPr>
        <w:t>416.914</w:t>
      </w:r>
      <w:r w:rsidR="003D70EE">
        <w:rPr>
          <w:rFonts w:ascii="Times New Roman" w:hAnsi="Times New Roman"/>
        </w:rPr>
        <w:t>.</w:t>
      </w:r>
      <w:r w:rsidR="00A464FC">
        <w:rPr>
          <w:rFonts w:ascii="Times New Roman" w:hAnsi="Times New Roman"/>
        </w:rPr>
        <w:t xml:space="preserve">  SSA does not provide any gifts to respondents.</w:t>
      </w:r>
      <w:r>
        <w:rPr>
          <w:rFonts w:ascii="Times New Roman" w:hAnsi="Times New Roman"/>
        </w:rPr>
        <w:t xml:space="preserve"> </w:t>
      </w:r>
    </w:p>
    <w:p w:rsidR="00FD2F78" w:rsidRDefault="00FD2F78">
      <w:pPr>
        <w:suppressAutoHyphens/>
        <w:ind w:left="720"/>
        <w:rPr>
          <w:rFonts w:ascii="Times New Roman" w:hAnsi="Times New Roman"/>
        </w:rPr>
      </w:pPr>
    </w:p>
    <w:p w:rsidR="00D002DC" w:rsidRPr="00D002DC" w:rsidRDefault="00D002DC" w:rsidP="00AA3188">
      <w:pPr>
        <w:numPr>
          <w:ilvl w:val="0"/>
          <w:numId w:val="5"/>
        </w:numPr>
        <w:ind w:left="1440" w:hanging="720"/>
        <w:rPr>
          <w:rFonts w:ascii="Times New Roman" w:hAnsi="Times New Roman"/>
        </w:rPr>
      </w:pPr>
      <w:r>
        <w:rPr>
          <w:rFonts w:ascii="Times New Roman" w:hAnsi="Times New Roman"/>
          <w:b/>
        </w:rPr>
        <w:t>Assurances of Confidentiality</w:t>
      </w:r>
    </w:p>
    <w:p w:rsidR="00FD2F78" w:rsidRDefault="009D71E0" w:rsidP="00D002DC">
      <w:pPr>
        <w:ind w:left="1440"/>
        <w:rPr>
          <w:rFonts w:ascii="Times New Roman" w:hAnsi="Times New Roman"/>
        </w:rPr>
      </w:pPr>
      <w:r>
        <w:rPr>
          <w:rFonts w:ascii="Times New Roman" w:hAnsi="Times New Roman"/>
        </w:rPr>
        <w:t>SSA</w:t>
      </w:r>
      <w:r w:rsidR="00A464FC" w:rsidRPr="00A464FC">
        <w:rPr>
          <w:rFonts w:ascii="Times New Roman" w:hAnsi="Times New Roman"/>
        </w:rPr>
        <w:t xml:space="preserve"> protect</w:t>
      </w:r>
      <w:r>
        <w:rPr>
          <w:rFonts w:ascii="Times New Roman" w:hAnsi="Times New Roman"/>
        </w:rPr>
        <w:t>s</w:t>
      </w:r>
      <w:r w:rsidR="00A464FC" w:rsidRPr="00A464FC">
        <w:rPr>
          <w:rFonts w:ascii="Times New Roman" w:hAnsi="Times New Roman"/>
        </w:rPr>
        <w:t xml:space="preserve"> and</w:t>
      </w:r>
      <w:r>
        <w:rPr>
          <w:rFonts w:ascii="Times New Roman" w:hAnsi="Times New Roman"/>
        </w:rPr>
        <w:t xml:space="preserve"> </w:t>
      </w:r>
      <w:r w:rsidR="003472E5">
        <w:rPr>
          <w:rFonts w:ascii="Times New Roman" w:hAnsi="Times New Roman"/>
        </w:rPr>
        <w:t>h</w:t>
      </w:r>
      <w:r>
        <w:rPr>
          <w:rFonts w:ascii="Times New Roman" w:hAnsi="Times New Roman"/>
        </w:rPr>
        <w:t>olds</w:t>
      </w:r>
      <w:r w:rsidR="00A464FC" w:rsidRPr="00A464FC">
        <w:rPr>
          <w:rFonts w:ascii="Times New Roman" w:hAnsi="Times New Roman"/>
        </w:rPr>
        <w:t xml:space="preserve"> confidential </w:t>
      </w:r>
      <w:r>
        <w:rPr>
          <w:rFonts w:ascii="Times New Roman" w:hAnsi="Times New Roman"/>
        </w:rPr>
        <w:t>the informa</w:t>
      </w:r>
      <w:r w:rsidR="00AA3188">
        <w:rPr>
          <w:rFonts w:ascii="Times New Roman" w:hAnsi="Times New Roman"/>
        </w:rPr>
        <w:t>tion we collect</w:t>
      </w:r>
      <w:r>
        <w:rPr>
          <w:rFonts w:ascii="Times New Roman" w:hAnsi="Times New Roman"/>
        </w:rPr>
        <w:t xml:space="preserve"> </w:t>
      </w:r>
      <w:r w:rsidR="00A464FC" w:rsidRPr="00A464FC">
        <w:rPr>
          <w:rFonts w:ascii="Times New Roman" w:hAnsi="Times New Roman"/>
        </w:rPr>
        <w:t xml:space="preserve">in accordance with </w:t>
      </w:r>
      <w:r w:rsidR="00A464FC" w:rsidRPr="00AA3188">
        <w:rPr>
          <w:rFonts w:ascii="Times New Roman" w:hAnsi="Times New Roman"/>
          <w:i/>
        </w:rPr>
        <w:t>42 U.S.C. 1306, 20 CFR 401</w:t>
      </w:r>
      <w:r w:rsidR="00A464FC" w:rsidRPr="00A464FC">
        <w:rPr>
          <w:rFonts w:ascii="Times New Roman" w:hAnsi="Times New Roman"/>
        </w:rPr>
        <w:t xml:space="preserve"> and </w:t>
      </w:r>
      <w:r w:rsidR="00A464FC" w:rsidRPr="00AA3188">
        <w:rPr>
          <w:rFonts w:ascii="Times New Roman" w:hAnsi="Times New Roman"/>
          <w:i/>
        </w:rPr>
        <w:t>402, 5 U.S.C. 552 (Freedom of Information Act), 5 U.S.C. 552a</w:t>
      </w:r>
      <w:r w:rsidR="00A464FC" w:rsidRPr="00A464FC">
        <w:rPr>
          <w:rFonts w:ascii="Times New Roman" w:hAnsi="Times New Roman"/>
        </w:rPr>
        <w:t xml:space="preserve"> (Privacy Act of 1974) and OMB Circular No. A-130</w:t>
      </w:r>
      <w:r w:rsidR="00FD2F78">
        <w:rPr>
          <w:rFonts w:ascii="Times New Roman" w:hAnsi="Times New Roman"/>
          <w:color w:val="0000FF"/>
        </w:rPr>
        <w:t>.</w:t>
      </w:r>
    </w:p>
    <w:p w:rsidR="00FD2F78" w:rsidRDefault="00FD2F78">
      <w:pPr>
        <w:suppressAutoHyphens/>
        <w:ind w:left="1440" w:hanging="1440"/>
        <w:rPr>
          <w:rFonts w:ascii="Times New Roman" w:hAnsi="Times New Roman"/>
        </w:rPr>
      </w:pPr>
    </w:p>
    <w:p w:rsidR="00D002DC" w:rsidRPr="00D002DC" w:rsidRDefault="00D002DC" w:rsidP="002F009F">
      <w:pPr>
        <w:numPr>
          <w:ilvl w:val="0"/>
          <w:numId w:val="5"/>
        </w:numPr>
        <w:suppressAutoHyphens/>
        <w:ind w:left="1440" w:hanging="720"/>
        <w:rPr>
          <w:rFonts w:ascii="Times New Roman" w:hAnsi="Times New Roman"/>
        </w:rPr>
      </w:pPr>
      <w:r>
        <w:rPr>
          <w:rFonts w:ascii="Times New Roman" w:hAnsi="Times New Roman"/>
          <w:b/>
        </w:rPr>
        <w:t>Justification for Sensitive Questions</w:t>
      </w:r>
    </w:p>
    <w:p w:rsidR="00FD2F78" w:rsidRDefault="00FD2F78" w:rsidP="00D002DC">
      <w:pPr>
        <w:suppressAutoHyphens/>
        <w:ind w:left="1440"/>
        <w:rPr>
          <w:rFonts w:ascii="Times New Roman" w:hAnsi="Times New Roman"/>
        </w:rPr>
      </w:pPr>
      <w:r>
        <w:rPr>
          <w:rFonts w:ascii="Times New Roman" w:hAnsi="Times New Roman"/>
        </w:rPr>
        <w:t xml:space="preserve">The information </w:t>
      </w:r>
      <w:r w:rsidR="009D71E0">
        <w:rPr>
          <w:rFonts w:ascii="Times New Roman" w:hAnsi="Times New Roman"/>
        </w:rPr>
        <w:t xml:space="preserve">we </w:t>
      </w:r>
      <w:r>
        <w:rPr>
          <w:rFonts w:ascii="Times New Roman" w:hAnsi="Times New Roman"/>
        </w:rPr>
        <w:t>collect is sensit</w:t>
      </w:r>
      <w:r w:rsidR="0050159C">
        <w:rPr>
          <w:rFonts w:ascii="Times New Roman" w:hAnsi="Times New Roman"/>
        </w:rPr>
        <w:t>ive because it relates to psychological</w:t>
      </w:r>
      <w:r>
        <w:rPr>
          <w:rFonts w:ascii="Times New Roman" w:hAnsi="Times New Roman"/>
        </w:rPr>
        <w:t xml:space="preserve"> problems</w:t>
      </w:r>
      <w:r w:rsidR="00A464FC">
        <w:rPr>
          <w:rFonts w:ascii="Times New Roman" w:hAnsi="Times New Roman"/>
        </w:rPr>
        <w:t xml:space="preserve"> and disorders</w:t>
      </w:r>
      <w:r w:rsidR="002F009F">
        <w:rPr>
          <w:rFonts w:ascii="Times New Roman" w:hAnsi="Times New Roman"/>
        </w:rPr>
        <w:t xml:space="preserve"> of the claimant.  </w:t>
      </w:r>
      <w:r>
        <w:rPr>
          <w:rFonts w:ascii="Times New Roman" w:hAnsi="Times New Roman"/>
        </w:rPr>
        <w:t xml:space="preserve">However, because </w:t>
      </w:r>
      <w:r w:rsidR="003472E5">
        <w:rPr>
          <w:rFonts w:ascii="Times New Roman" w:hAnsi="Times New Roman"/>
        </w:rPr>
        <w:t>adjudicators</w:t>
      </w:r>
      <w:r w:rsidR="009D71E0">
        <w:rPr>
          <w:rFonts w:ascii="Times New Roman" w:hAnsi="Times New Roman"/>
        </w:rPr>
        <w:t xml:space="preserve"> cannot make </w:t>
      </w:r>
      <w:r>
        <w:rPr>
          <w:rFonts w:ascii="Times New Roman" w:hAnsi="Times New Roman"/>
        </w:rPr>
        <w:t xml:space="preserve">a disability determination </w:t>
      </w:r>
      <w:r w:rsidR="00700C76">
        <w:rPr>
          <w:rFonts w:ascii="Times New Roman" w:hAnsi="Times New Roman"/>
        </w:rPr>
        <w:t xml:space="preserve">for a mental impairment </w:t>
      </w:r>
      <w:r>
        <w:rPr>
          <w:rFonts w:ascii="Times New Roman" w:hAnsi="Times New Roman"/>
        </w:rPr>
        <w:t xml:space="preserve">without collecting </w:t>
      </w:r>
      <w:r w:rsidR="002F009F">
        <w:rPr>
          <w:rFonts w:ascii="Times New Roman" w:hAnsi="Times New Roman"/>
        </w:rPr>
        <w:t xml:space="preserve">this </w:t>
      </w:r>
      <w:r w:rsidR="001D6666">
        <w:rPr>
          <w:rFonts w:ascii="Times New Roman" w:hAnsi="Times New Roman"/>
        </w:rPr>
        <w:t>evidence</w:t>
      </w:r>
      <w:r>
        <w:rPr>
          <w:rFonts w:ascii="Times New Roman" w:hAnsi="Times New Roman"/>
        </w:rPr>
        <w:t>, it is essential that we make every reasonable effort to obtain it.  If the respondent does not reply, we must loo</w:t>
      </w:r>
      <w:r w:rsidR="002F009F">
        <w:rPr>
          <w:rFonts w:ascii="Times New Roman" w:hAnsi="Times New Roman"/>
        </w:rPr>
        <w:t>k to other sources for evidence (</w:t>
      </w:r>
      <w:r w:rsidR="001D6666">
        <w:rPr>
          <w:rFonts w:ascii="Times New Roman" w:hAnsi="Times New Roman"/>
        </w:rPr>
        <w:t xml:space="preserve">e.g., </w:t>
      </w:r>
      <w:r w:rsidR="002F009F">
        <w:rPr>
          <w:rFonts w:ascii="Times New Roman" w:hAnsi="Times New Roman"/>
        </w:rPr>
        <w:t>consultative examinations).</w:t>
      </w:r>
    </w:p>
    <w:p w:rsidR="00FD2F78" w:rsidRDefault="00FD2F78">
      <w:pPr>
        <w:suppressAutoHyphens/>
        <w:rPr>
          <w:rFonts w:ascii="Times New Roman" w:hAnsi="Times New Roman"/>
        </w:rPr>
      </w:pPr>
    </w:p>
    <w:p w:rsidR="00D002DC" w:rsidRPr="00D002DC" w:rsidRDefault="00D002DC" w:rsidP="002F009F">
      <w:pPr>
        <w:numPr>
          <w:ilvl w:val="0"/>
          <w:numId w:val="5"/>
        </w:numPr>
        <w:suppressAutoHyphens/>
        <w:ind w:left="1440" w:hanging="720"/>
        <w:rPr>
          <w:rFonts w:ascii="Times New Roman" w:hAnsi="Times New Roman"/>
        </w:rPr>
      </w:pPr>
      <w:r>
        <w:rPr>
          <w:rFonts w:ascii="Times New Roman" w:hAnsi="Times New Roman"/>
          <w:b/>
        </w:rPr>
        <w:t>Estimates of Public Burden</w:t>
      </w:r>
    </w:p>
    <w:p w:rsidR="00AF78B9" w:rsidRDefault="00FD2F78" w:rsidP="00D002DC">
      <w:pPr>
        <w:suppressAutoHyphens/>
        <w:ind w:left="1440"/>
        <w:rPr>
          <w:rFonts w:ascii="Times New Roman" w:hAnsi="Times New Roman"/>
        </w:rPr>
      </w:pPr>
      <w:r>
        <w:rPr>
          <w:rFonts w:ascii="Times New Roman" w:hAnsi="Times New Roman"/>
        </w:rPr>
        <w:t>The estimated total</w:t>
      </w:r>
      <w:r w:rsidR="00355224">
        <w:rPr>
          <w:rFonts w:ascii="Times New Roman" w:hAnsi="Times New Roman"/>
        </w:rPr>
        <w:t xml:space="preserve"> number of respondents is 500</w:t>
      </w:r>
      <w:r>
        <w:rPr>
          <w:rFonts w:ascii="Times New Roman" w:hAnsi="Times New Roman"/>
        </w:rPr>
        <w:t xml:space="preserve">.  </w:t>
      </w:r>
      <w:r w:rsidR="00C434AC">
        <w:rPr>
          <w:rFonts w:ascii="Times New Roman" w:hAnsi="Times New Roman"/>
        </w:rPr>
        <w:t xml:space="preserve">We estimate that half are </w:t>
      </w:r>
      <w:r w:rsidR="00D361EC">
        <w:rPr>
          <w:rFonts w:ascii="Times New Roman" w:hAnsi="Times New Roman"/>
        </w:rPr>
        <w:t xml:space="preserve">individual treating sources and half </w:t>
      </w:r>
      <w:r w:rsidR="001D6666">
        <w:rPr>
          <w:rFonts w:ascii="Times New Roman" w:hAnsi="Times New Roman"/>
        </w:rPr>
        <w:t xml:space="preserve">are </w:t>
      </w:r>
      <w:r w:rsidR="00D361EC">
        <w:rPr>
          <w:rFonts w:ascii="Times New Roman" w:hAnsi="Times New Roman"/>
        </w:rPr>
        <w:t>mental health facilities</w:t>
      </w:r>
      <w:r w:rsidR="00776853">
        <w:rPr>
          <w:rFonts w:ascii="Times New Roman" w:hAnsi="Times New Roman"/>
        </w:rPr>
        <w:t>.</w:t>
      </w:r>
      <w:r w:rsidR="001D6666">
        <w:rPr>
          <w:rFonts w:ascii="Times New Roman" w:hAnsi="Times New Roman"/>
        </w:rPr>
        <w:t xml:space="preserve">  </w:t>
      </w:r>
      <w:r>
        <w:rPr>
          <w:rFonts w:ascii="Times New Roman" w:hAnsi="Times New Roman"/>
        </w:rPr>
        <w:t>The estimat</w:t>
      </w:r>
      <w:r w:rsidR="002F009F">
        <w:rPr>
          <w:rFonts w:ascii="Times New Roman" w:hAnsi="Times New Roman"/>
        </w:rPr>
        <w:t xml:space="preserve">ed response time </w:t>
      </w:r>
      <w:r>
        <w:rPr>
          <w:rFonts w:ascii="Times New Roman" w:hAnsi="Times New Roman"/>
        </w:rPr>
        <w:t xml:space="preserve">is 36 minutes.  Thus, the estimated </w:t>
      </w:r>
      <w:r w:rsidR="001D6666">
        <w:rPr>
          <w:rFonts w:ascii="Times New Roman" w:hAnsi="Times New Roman"/>
        </w:rPr>
        <w:t xml:space="preserve">total annual </w:t>
      </w:r>
      <w:r>
        <w:rPr>
          <w:rFonts w:ascii="Times New Roman" w:hAnsi="Times New Roman"/>
        </w:rPr>
        <w:t>burden for this informati</w:t>
      </w:r>
      <w:r w:rsidR="00355224">
        <w:rPr>
          <w:rFonts w:ascii="Times New Roman" w:hAnsi="Times New Roman"/>
        </w:rPr>
        <w:t>on collection is 300</w:t>
      </w:r>
      <w:r w:rsidR="00350D00">
        <w:rPr>
          <w:rFonts w:ascii="Times New Roman" w:hAnsi="Times New Roman"/>
        </w:rPr>
        <w:t xml:space="preserve"> hours</w:t>
      </w:r>
      <w:r w:rsidR="002F009F">
        <w:rPr>
          <w:rFonts w:ascii="Times New Roman" w:hAnsi="Times New Roman"/>
        </w:rPr>
        <w:t>.</w:t>
      </w:r>
    </w:p>
    <w:p w:rsidR="00355224" w:rsidRDefault="00355224" w:rsidP="00D002DC">
      <w:pPr>
        <w:suppressAutoHyphens/>
        <w:ind w:left="1440"/>
        <w:rPr>
          <w:rFonts w:ascii="Times New Roman" w:hAnsi="Times New Roman"/>
        </w:rPr>
      </w:pPr>
    </w:p>
    <w:tbl>
      <w:tblPr>
        <w:tblStyle w:val="TableGrid"/>
        <w:tblW w:w="0" w:type="auto"/>
        <w:tblInd w:w="1440" w:type="dxa"/>
        <w:tblLook w:val="04A0"/>
      </w:tblPr>
      <w:tblGrid>
        <w:gridCol w:w="1830"/>
        <w:gridCol w:w="1830"/>
        <w:gridCol w:w="1488"/>
        <w:gridCol w:w="1620"/>
        <w:gridCol w:w="1620"/>
      </w:tblGrid>
      <w:tr w:rsidR="00355224" w:rsidTr="00355224">
        <w:tc>
          <w:tcPr>
            <w:tcW w:w="1830" w:type="dxa"/>
          </w:tcPr>
          <w:p w:rsidR="00355224" w:rsidRPr="00355224" w:rsidRDefault="00355224" w:rsidP="00D002DC">
            <w:pPr>
              <w:suppressAutoHyphens/>
              <w:rPr>
                <w:rFonts w:ascii="Times New Roman" w:hAnsi="Times New Roman"/>
                <w:b/>
              </w:rPr>
            </w:pPr>
            <w:r w:rsidRPr="00355224">
              <w:rPr>
                <w:rFonts w:ascii="Times New Roman" w:hAnsi="Times New Roman"/>
                <w:b/>
              </w:rPr>
              <w:t>Type of Respondents</w:t>
            </w:r>
          </w:p>
        </w:tc>
        <w:tc>
          <w:tcPr>
            <w:tcW w:w="1830" w:type="dxa"/>
          </w:tcPr>
          <w:p w:rsidR="00355224" w:rsidRPr="00355224" w:rsidRDefault="00355224" w:rsidP="00D002DC">
            <w:pPr>
              <w:suppressAutoHyphens/>
              <w:rPr>
                <w:rFonts w:ascii="Times New Roman" w:hAnsi="Times New Roman"/>
                <w:b/>
              </w:rPr>
            </w:pPr>
            <w:r w:rsidRPr="00355224">
              <w:rPr>
                <w:rFonts w:ascii="Times New Roman" w:hAnsi="Times New Roman"/>
                <w:b/>
              </w:rPr>
              <w:t>Number of Respondents</w:t>
            </w:r>
          </w:p>
        </w:tc>
        <w:tc>
          <w:tcPr>
            <w:tcW w:w="1488" w:type="dxa"/>
          </w:tcPr>
          <w:p w:rsidR="00355224" w:rsidRPr="00355224" w:rsidRDefault="00355224" w:rsidP="00D002DC">
            <w:pPr>
              <w:suppressAutoHyphens/>
              <w:rPr>
                <w:rFonts w:ascii="Times New Roman" w:hAnsi="Times New Roman"/>
                <w:b/>
              </w:rPr>
            </w:pPr>
            <w:r w:rsidRPr="00355224">
              <w:rPr>
                <w:rFonts w:ascii="Times New Roman" w:hAnsi="Times New Roman"/>
                <w:b/>
              </w:rPr>
              <w:t>Frequency of Response</w:t>
            </w:r>
          </w:p>
        </w:tc>
        <w:tc>
          <w:tcPr>
            <w:tcW w:w="1620" w:type="dxa"/>
          </w:tcPr>
          <w:p w:rsidR="00355224" w:rsidRPr="00355224" w:rsidRDefault="00355224" w:rsidP="00D002DC">
            <w:pPr>
              <w:suppressAutoHyphens/>
              <w:rPr>
                <w:rFonts w:ascii="Times New Roman" w:hAnsi="Times New Roman"/>
                <w:b/>
              </w:rPr>
            </w:pPr>
            <w:r w:rsidRPr="00355224">
              <w:rPr>
                <w:rFonts w:ascii="Times New Roman" w:hAnsi="Times New Roman"/>
                <w:b/>
              </w:rPr>
              <w:t>Average Burden Per Response (minutes)</w:t>
            </w:r>
          </w:p>
        </w:tc>
        <w:tc>
          <w:tcPr>
            <w:tcW w:w="1620" w:type="dxa"/>
          </w:tcPr>
          <w:p w:rsidR="00355224" w:rsidRPr="00355224" w:rsidRDefault="00355224" w:rsidP="00D002DC">
            <w:pPr>
              <w:suppressAutoHyphens/>
              <w:rPr>
                <w:rFonts w:ascii="Times New Roman" w:hAnsi="Times New Roman"/>
                <w:b/>
              </w:rPr>
            </w:pPr>
            <w:r w:rsidRPr="00355224">
              <w:rPr>
                <w:rFonts w:ascii="Times New Roman" w:hAnsi="Times New Roman"/>
                <w:b/>
              </w:rPr>
              <w:t>Estimated</w:t>
            </w:r>
          </w:p>
          <w:p w:rsidR="00355224" w:rsidRPr="00355224" w:rsidRDefault="00355224" w:rsidP="00D002DC">
            <w:pPr>
              <w:suppressAutoHyphens/>
              <w:rPr>
                <w:rFonts w:ascii="Times New Roman" w:hAnsi="Times New Roman"/>
                <w:b/>
              </w:rPr>
            </w:pPr>
            <w:r w:rsidRPr="00355224">
              <w:rPr>
                <w:rFonts w:ascii="Times New Roman" w:hAnsi="Times New Roman"/>
                <w:b/>
              </w:rPr>
              <w:t>Total Annual Burden (hours)</w:t>
            </w:r>
          </w:p>
        </w:tc>
      </w:tr>
      <w:tr w:rsidR="00355224" w:rsidTr="00355224">
        <w:tc>
          <w:tcPr>
            <w:tcW w:w="1830" w:type="dxa"/>
          </w:tcPr>
          <w:p w:rsidR="00355224" w:rsidRDefault="00355224" w:rsidP="00D002DC">
            <w:pPr>
              <w:suppressAutoHyphens/>
              <w:rPr>
                <w:rFonts w:ascii="Times New Roman" w:hAnsi="Times New Roman"/>
              </w:rPr>
            </w:pPr>
            <w:r>
              <w:rPr>
                <w:rFonts w:ascii="Times New Roman" w:hAnsi="Times New Roman"/>
              </w:rPr>
              <w:t>Individuals responding as treating sources</w:t>
            </w:r>
          </w:p>
        </w:tc>
        <w:tc>
          <w:tcPr>
            <w:tcW w:w="1830" w:type="dxa"/>
          </w:tcPr>
          <w:p w:rsidR="00355224" w:rsidRDefault="00355224" w:rsidP="00355224">
            <w:pPr>
              <w:suppressAutoHyphens/>
              <w:jc w:val="right"/>
              <w:rPr>
                <w:rFonts w:ascii="Times New Roman" w:hAnsi="Times New Roman"/>
              </w:rPr>
            </w:pPr>
          </w:p>
          <w:p w:rsidR="00355224" w:rsidRDefault="00355224" w:rsidP="00355224">
            <w:pPr>
              <w:suppressAutoHyphens/>
              <w:jc w:val="right"/>
              <w:rPr>
                <w:rFonts w:ascii="Times New Roman" w:hAnsi="Times New Roman"/>
              </w:rPr>
            </w:pPr>
          </w:p>
          <w:p w:rsidR="00355224" w:rsidRDefault="00355224" w:rsidP="00355224">
            <w:pPr>
              <w:suppressAutoHyphens/>
              <w:jc w:val="right"/>
              <w:rPr>
                <w:rFonts w:ascii="Times New Roman" w:hAnsi="Times New Roman"/>
              </w:rPr>
            </w:pPr>
            <w:r>
              <w:rPr>
                <w:rFonts w:ascii="Times New Roman" w:hAnsi="Times New Roman"/>
              </w:rPr>
              <w:t>250</w:t>
            </w:r>
          </w:p>
        </w:tc>
        <w:tc>
          <w:tcPr>
            <w:tcW w:w="1488" w:type="dxa"/>
          </w:tcPr>
          <w:p w:rsidR="00355224" w:rsidRDefault="00355224" w:rsidP="00355224">
            <w:pPr>
              <w:suppressAutoHyphens/>
              <w:jc w:val="right"/>
              <w:rPr>
                <w:rFonts w:ascii="Times New Roman" w:hAnsi="Times New Roman"/>
              </w:rPr>
            </w:pPr>
          </w:p>
          <w:p w:rsidR="00355224" w:rsidRDefault="00355224" w:rsidP="00355224">
            <w:pPr>
              <w:suppressAutoHyphens/>
              <w:jc w:val="right"/>
              <w:rPr>
                <w:rFonts w:ascii="Times New Roman" w:hAnsi="Times New Roman"/>
              </w:rPr>
            </w:pPr>
          </w:p>
          <w:p w:rsidR="00355224" w:rsidRDefault="00355224" w:rsidP="00355224">
            <w:pPr>
              <w:suppressAutoHyphens/>
              <w:jc w:val="right"/>
              <w:rPr>
                <w:rFonts w:ascii="Times New Roman" w:hAnsi="Times New Roman"/>
              </w:rPr>
            </w:pPr>
            <w:r>
              <w:rPr>
                <w:rFonts w:ascii="Times New Roman" w:hAnsi="Times New Roman"/>
              </w:rPr>
              <w:t>1</w:t>
            </w:r>
          </w:p>
        </w:tc>
        <w:tc>
          <w:tcPr>
            <w:tcW w:w="1620" w:type="dxa"/>
          </w:tcPr>
          <w:p w:rsidR="00355224" w:rsidRDefault="00355224" w:rsidP="00355224">
            <w:pPr>
              <w:suppressAutoHyphens/>
              <w:jc w:val="right"/>
              <w:rPr>
                <w:rFonts w:ascii="Times New Roman" w:hAnsi="Times New Roman"/>
              </w:rPr>
            </w:pPr>
          </w:p>
          <w:p w:rsidR="00355224" w:rsidRDefault="00355224" w:rsidP="00355224">
            <w:pPr>
              <w:suppressAutoHyphens/>
              <w:jc w:val="right"/>
              <w:rPr>
                <w:rFonts w:ascii="Times New Roman" w:hAnsi="Times New Roman"/>
              </w:rPr>
            </w:pPr>
          </w:p>
          <w:p w:rsidR="00355224" w:rsidRDefault="00355224" w:rsidP="00355224">
            <w:pPr>
              <w:suppressAutoHyphens/>
              <w:jc w:val="right"/>
              <w:rPr>
                <w:rFonts w:ascii="Times New Roman" w:hAnsi="Times New Roman"/>
              </w:rPr>
            </w:pPr>
            <w:r>
              <w:rPr>
                <w:rFonts w:ascii="Times New Roman" w:hAnsi="Times New Roman"/>
              </w:rPr>
              <w:t>36</w:t>
            </w:r>
          </w:p>
        </w:tc>
        <w:tc>
          <w:tcPr>
            <w:tcW w:w="1620" w:type="dxa"/>
          </w:tcPr>
          <w:p w:rsidR="00355224" w:rsidRDefault="00355224" w:rsidP="00355224">
            <w:pPr>
              <w:suppressAutoHyphens/>
              <w:jc w:val="right"/>
              <w:rPr>
                <w:rFonts w:ascii="Times New Roman" w:hAnsi="Times New Roman"/>
              </w:rPr>
            </w:pPr>
          </w:p>
          <w:p w:rsidR="00355224" w:rsidRDefault="00355224" w:rsidP="00355224">
            <w:pPr>
              <w:suppressAutoHyphens/>
              <w:jc w:val="right"/>
              <w:rPr>
                <w:rFonts w:ascii="Times New Roman" w:hAnsi="Times New Roman"/>
              </w:rPr>
            </w:pPr>
          </w:p>
          <w:p w:rsidR="00355224" w:rsidRDefault="00355224" w:rsidP="00355224">
            <w:pPr>
              <w:suppressAutoHyphens/>
              <w:jc w:val="right"/>
              <w:rPr>
                <w:rFonts w:ascii="Times New Roman" w:hAnsi="Times New Roman"/>
              </w:rPr>
            </w:pPr>
            <w:r>
              <w:rPr>
                <w:rFonts w:ascii="Times New Roman" w:hAnsi="Times New Roman"/>
              </w:rPr>
              <w:t>150</w:t>
            </w:r>
          </w:p>
        </w:tc>
      </w:tr>
      <w:tr w:rsidR="00355224" w:rsidTr="00355224">
        <w:tc>
          <w:tcPr>
            <w:tcW w:w="1830" w:type="dxa"/>
          </w:tcPr>
          <w:p w:rsidR="00355224" w:rsidRDefault="00355224" w:rsidP="00D002DC">
            <w:pPr>
              <w:suppressAutoHyphens/>
              <w:rPr>
                <w:rFonts w:ascii="Times New Roman" w:hAnsi="Times New Roman"/>
              </w:rPr>
            </w:pPr>
            <w:r>
              <w:rPr>
                <w:rFonts w:ascii="Times New Roman" w:hAnsi="Times New Roman"/>
              </w:rPr>
              <w:t>Mental Health Facilities</w:t>
            </w:r>
          </w:p>
        </w:tc>
        <w:tc>
          <w:tcPr>
            <w:tcW w:w="1830" w:type="dxa"/>
          </w:tcPr>
          <w:p w:rsidR="00355224" w:rsidRDefault="00355224" w:rsidP="00355224">
            <w:pPr>
              <w:suppressAutoHyphens/>
              <w:jc w:val="right"/>
              <w:rPr>
                <w:rFonts w:ascii="Times New Roman" w:hAnsi="Times New Roman"/>
              </w:rPr>
            </w:pPr>
          </w:p>
          <w:p w:rsidR="00355224" w:rsidRDefault="00355224" w:rsidP="00355224">
            <w:pPr>
              <w:suppressAutoHyphens/>
              <w:jc w:val="right"/>
              <w:rPr>
                <w:rFonts w:ascii="Times New Roman" w:hAnsi="Times New Roman"/>
              </w:rPr>
            </w:pPr>
            <w:r>
              <w:rPr>
                <w:rFonts w:ascii="Times New Roman" w:hAnsi="Times New Roman"/>
              </w:rPr>
              <w:t>250</w:t>
            </w:r>
          </w:p>
        </w:tc>
        <w:tc>
          <w:tcPr>
            <w:tcW w:w="1488" w:type="dxa"/>
          </w:tcPr>
          <w:p w:rsidR="00355224" w:rsidRDefault="00355224" w:rsidP="00355224">
            <w:pPr>
              <w:suppressAutoHyphens/>
              <w:jc w:val="right"/>
              <w:rPr>
                <w:rFonts w:ascii="Times New Roman" w:hAnsi="Times New Roman"/>
              </w:rPr>
            </w:pPr>
          </w:p>
          <w:p w:rsidR="00355224" w:rsidRDefault="00355224" w:rsidP="00355224">
            <w:pPr>
              <w:suppressAutoHyphens/>
              <w:jc w:val="right"/>
              <w:rPr>
                <w:rFonts w:ascii="Times New Roman" w:hAnsi="Times New Roman"/>
              </w:rPr>
            </w:pPr>
            <w:r>
              <w:rPr>
                <w:rFonts w:ascii="Times New Roman" w:hAnsi="Times New Roman"/>
              </w:rPr>
              <w:t>1</w:t>
            </w:r>
          </w:p>
        </w:tc>
        <w:tc>
          <w:tcPr>
            <w:tcW w:w="1620" w:type="dxa"/>
          </w:tcPr>
          <w:p w:rsidR="00355224" w:rsidRDefault="00355224" w:rsidP="00355224">
            <w:pPr>
              <w:suppressAutoHyphens/>
              <w:jc w:val="right"/>
              <w:rPr>
                <w:rFonts w:ascii="Times New Roman" w:hAnsi="Times New Roman"/>
              </w:rPr>
            </w:pPr>
          </w:p>
          <w:p w:rsidR="00355224" w:rsidRDefault="00355224" w:rsidP="00355224">
            <w:pPr>
              <w:suppressAutoHyphens/>
              <w:jc w:val="right"/>
              <w:rPr>
                <w:rFonts w:ascii="Times New Roman" w:hAnsi="Times New Roman"/>
              </w:rPr>
            </w:pPr>
            <w:r>
              <w:rPr>
                <w:rFonts w:ascii="Times New Roman" w:hAnsi="Times New Roman"/>
              </w:rPr>
              <w:t>36</w:t>
            </w:r>
          </w:p>
        </w:tc>
        <w:tc>
          <w:tcPr>
            <w:tcW w:w="1620" w:type="dxa"/>
          </w:tcPr>
          <w:p w:rsidR="00355224" w:rsidRDefault="00355224" w:rsidP="00355224">
            <w:pPr>
              <w:suppressAutoHyphens/>
              <w:jc w:val="right"/>
              <w:rPr>
                <w:rFonts w:ascii="Times New Roman" w:hAnsi="Times New Roman"/>
              </w:rPr>
            </w:pPr>
          </w:p>
          <w:p w:rsidR="00355224" w:rsidRDefault="00355224" w:rsidP="00355224">
            <w:pPr>
              <w:suppressAutoHyphens/>
              <w:jc w:val="right"/>
              <w:rPr>
                <w:rFonts w:ascii="Times New Roman" w:hAnsi="Times New Roman"/>
              </w:rPr>
            </w:pPr>
            <w:r>
              <w:rPr>
                <w:rFonts w:ascii="Times New Roman" w:hAnsi="Times New Roman"/>
              </w:rPr>
              <w:t>150</w:t>
            </w:r>
          </w:p>
        </w:tc>
      </w:tr>
      <w:tr w:rsidR="00355224" w:rsidTr="00355224">
        <w:tc>
          <w:tcPr>
            <w:tcW w:w="1830" w:type="dxa"/>
          </w:tcPr>
          <w:p w:rsidR="00355224" w:rsidRPr="00355224" w:rsidRDefault="00355224" w:rsidP="00D002DC">
            <w:pPr>
              <w:suppressAutoHyphens/>
              <w:rPr>
                <w:rFonts w:ascii="Times New Roman" w:hAnsi="Times New Roman"/>
                <w:b/>
              </w:rPr>
            </w:pPr>
            <w:r w:rsidRPr="00355224">
              <w:rPr>
                <w:rFonts w:ascii="Times New Roman" w:hAnsi="Times New Roman"/>
                <w:b/>
              </w:rPr>
              <w:t>Totals</w:t>
            </w:r>
          </w:p>
        </w:tc>
        <w:tc>
          <w:tcPr>
            <w:tcW w:w="1830" w:type="dxa"/>
          </w:tcPr>
          <w:p w:rsidR="00355224" w:rsidRPr="00355224" w:rsidRDefault="00355224" w:rsidP="00355224">
            <w:pPr>
              <w:suppressAutoHyphens/>
              <w:jc w:val="right"/>
              <w:rPr>
                <w:rFonts w:ascii="Times New Roman" w:hAnsi="Times New Roman"/>
                <w:b/>
              </w:rPr>
            </w:pPr>
            <w:r w:rsidRPr="00355224">
              <w:rPr>
                <w:rFonts w:ascii="Times New Roman" w:hAnsi="Times New Roman"/>
                <w:b/>
              </w:rPr>
              <w:t>500</w:t>
            </w:r>
          </w:p>
        </w:tc>
        <w:tc>
          <w:tcPr>
            <w:tcW w:w="1488" w:type="dxa"/>
          </w:tcPr>
          <w:p w:rsidR="00355224" w:rsidRPr="00355224" w:rsidRDefault="00355224" w:rsidP="00355224">
            <w:pPr>
              <w:suppressAutoHyphens/>
              <w:jc w:val="right"/>
              <w:rPr>
                <w:rFonts w:ascii="Times New Roman" w:hAnsi="Times New Roman"/>
                <w:b/>
              </w:rPr>
            </w:pPr>
            <w:r w:rsidRPr="00355224">
              <w:rPr>
                <w:rFonts w:ascii="Times New Roman" w:hAnsi="Times New Roman"/>
                <w:b/>
              </w:rPr>
              <w:t>-</w:t>
            </w:r>
          </w:p>
        </w:tc>
        <w:tc>
          <w:tcPr>
            <w:tcW w:w="1620" w:type="dxa"/>
          </w:tcPr>
          <w:p w:rsidR="00355224" w:rsidRPr="00355224" w:rsidRDefault="00355224" w:rsidP="00355224">
            <w:pPr>
              <w:suppressAutoHyphens/>
              <w:jc w:val="right"/>
              <w:rPr>
                <w:rFonts w:ascii="Times New Roman" w:hAnsi="Times New Roman"/>
                <w:b/>
              </w:rPr>
            </w:pPr>
            <w:r w:rsidRPr="00355224">
              <w:rPr>
                <w:rFonts w:ascii="Times New Roman" w:hAnsi="Times New Roman"/>
                <w:b/>
              </w:rPr>
              <w:t>-</w:t>
            </w:r>
          </w:p>
        </w:tc>
        <w:tc>
          <w:tcPr>
            <w:tcW w:w="1620" w:type="dxa"/>
          </w:tcPr>
          <w:p w:rsidR="00355224" w:rsidRPr="00355224" w:rsidRDefault="00355224" w:rsidP="00355224">
            <w:pPr>
              <w:suppressAutoHyphens/>
              <w:jc w:val="right"/>
              <w:rPr>
                <w:rFonts w:ascii="Times New Roman" w:hAnsi="Times New Roman"/>
                <w:b/>
              </w:rPr>
            </w:pPr>
            <w:r w:rsidRPr="00355224">
              <w:rPr>
                <w:rFonts w:ascii="Times New Roman" w:hAnsi="Times New Roman"/>
                <w:b/>
              </w:rPr>
              <w:t>300</w:t>
            </w:r>
          </w:p>
        </w:tc>
      </w:tr>
    </w:tbl>
    <w:p w:rsidR="00355224" w:rsidRDefault="00355224" w:rsidP="00D002DC">
      <w:pPr>
        <w:suppressAutoHyphens/>
        <w:ind w:left="1440"/>
        <w:rPr>
          <w:rFonts w:ascii="Times New Roman" w:hAnsi="Times New Roman"/>
        </w:rPr>
      </w:pPr>
    </w:p>
    <w:p w:rsidR="00FD2F78" w:rsidRDefault="00FD2F78">
      <w:pPr>
        <w:suppressAutoHyphens/>
        <w:rPr>
          <w:rFonts w:ascii="Times New Roman" w:hAnsi="Times New Roman"/>
        </w:rPr>
      </w:pPr>
    </w:p>
    <w:p w:rsidR="00D002DC" w:rsidRPr="00D002DC" w:rsidRDefault="00D002DC" w:rsidP="002F009F">
      <w:pPr>
        <w:pStyle w:val="BodyTextIndent"/>
        <w:numPr>
          <w:ilvl w:val="0"/>
          <w:numId w:val="5"/>
        </w:numPr>
        <w:tabs>
          <w:tab w:val="clear" w:pos="-720"/>
          <w:tab w:val="clear" w:pos="0"/>
          <w:tab w:val="clear" w:pos="720"/>
        </w:tabs>
        <w:ind w:left="1440" w:hanging="720"/>
        <w:rPr>
          <w:rFonts w:ascii="Times New Roman" w:hAnsi="Times New Roman"/>
        </w:rPr>
      </w:pPr>
      <w:r>
        <w:rPr>
          <w:rFonts w:ascii="Times New Roman" w:hAnsi="Times New Roman"/>
          <w:b/>
        </w:rPr>
        <w:t>Annual Cost to the Respondents (Other)</w:t>
      </w:r>
    </w:p>
    <w:p w:rsidR="00FD2F78" w:rsidRDefault="00A04711" w:rsidP="00D002DC">
      <w:pPr>
        <w:pStyle w:val="BodyTextIndent"/>
        <w:tabs>
          <w:tab w:val="clear" w:pos="-720"/>
          <w:tab w:val="clear" w:pos="0"/>
          <w:tab w:val="clear" w:pos="720"/>
        </w:tabs>
        <w:ind w:left="1080" w:firstLine="360"/>
        <w:rPr>
          <w:rFonts w:ascii="Times New Roman" w:hAnsi="Times New Roman"/>
        </w:rPr>
      </w:pPr>
      <w:r>
        <w:rPr>
          <w:rFonts w:ascii="Times New Roman" w:hAnsi="Times New Roman"/>
        </w:rPr>
        <w:t>This collection does not impose a</w:t>
      </w:r>
      <w:r w:rsidR="00FD2F78">
        <w:rPr>
          <w:rFonts w:ascii="Times New Roman" w:hAnsi="Times New Roman"/>
        </w:rPr>
        <w:t xml:space="preserve"> known cost burden </w:t>
      </w:r>
      <w:r w:rsidR="001D6666">
        <w:rPr>
          <w:rFonts w:ascii="Times New Roman" w:hAnsi="Times New Roman"/>
        </w:rPr>
        <w:t>on</w:t>
      </w:r>
      <w:r w:rsidR="00FD2F78">
        <w:rPr>
          <w:rFonts w:ascii="Times New Roman" w:hAnsi="Times New Roman"/>
        </w:rPr>
        <w:t xml:space="preserve"> the respondents. </w:t>
      </w:r>
    </w:p>
    <w:p w:rsidR="00FD2F78" w:rsidRDefault="00FD2F78">
      <w:pPr>
        <w:suppressAutoHyphens/>
        <w:rPr>
          <w:rFonts w:ascii="Times New Roman" w:hAnsi="Times New Roman"/>
        </w:rPr>
      </w:pPr>
    </w:p>
    <w:p w:rsidR="00D002DC" w:rsidRPr="00D002DC" w:rsidRDefault="00D002DC" w:rsidP="002F009F">
      <w:pPr>
        <w:numPr>
          <w:ilvl w:val="0"/>
          <w:numId w:val="5"/>
        </w:numPr>
        <w:ind w:left="1440" w:hanging="720"/>
        <w:rPr>
          <w:rFonts w:ascii="Times New Roman" w:hAnsi="Times New Roman"/>
        </w:rPr>
      </w:pPr>
      <w:r>
        <w:rPr>
          <w:rFonts w:ascii="Times New Roman" w:hAnsi="Times New Roman"/>
          <w:b/>
        </w:rPr>
        <w:lastRenderedPageBreak/>
        <w:t>Annual Cost to the Federal Government</w:t>
      </w:r>
    </w:p>
    <w:p w:rsidR="00FD2F78" w:rsidRPr="00EE64EE" w:rsidRDefault="00615BA2" w:rsidP="00D002DC">
      <w:pPr>
        <w:ind w:left="1440"/>
        <w:rPr>
          <w:rFonts w:ascii="Times New Roman" w:hAnsi="Times New Roman"/>
        </w:rPr>
      </w:pPr>
      <w:r>
        <w:rPr>
          <w:rFonts w:ascii="Times New Roman" w:hAnsi="Times New Roman"/>
        </w:rPr>
        <w:t>We estimate the Federal Government pays an average of $15 to respondents fo</w:t>
      </w:r>
      <w:r w:rsidR="00355224">
        <w:rPr>
          <w:rFonts w:ascii="Times New Roman" w:hAnsi="Times New Roman"/>
        </w:rPr>
        <w:t xml:space="preserve">r medical evidence of record.  </w:t>
      </w:r>
      <w:r w:rsidR="007F1945">
        <w:rPr>
          <w:rFonts w:ascii="Times New Roman" w:hAnsi="Times New Roman"/>
        </w:rPr>
        <w:t xml:space="preserve">Therefore, the estimated annual cost to the Federal Government to collect the information is </w:t>
      </w:r>
      <w:r w:rsidR="00355224">
        <w:rPr>
          <w:rFonts w:ascii="Times New Roman" w:hAnsi="Times New Roman"/>
        </w:rPr>
        <w:t>$7,500.</w:t>
      </w:r>
      <w:r>
        <w:rPr>
          <w:rFonts w:ascii="Times New Roman" w:hAnsi="Times New Roman"/>
        </w:rPr>
        <w:t xml:space="preserve">  </w:t>
      </w:r>
      <w:r w:rsidR="007F1945">
        <w:rPr>
          <w:rFonts w:ascii="Times New Roman" w:hAnsi="Times New Roman"/>
        </w:rPr>
        <w:t xml:space="preserve"> </w:t>
      </w:r>
    </w:p>
    <w:p w:rsidR="00FD2F78" w:rsidRDefault="00FD2F78">
      <w:pPr>
        <w:suppressAutoHyphens/>
        <w:rPr>
          <w:rFonts w:ascii="Times New Roman" w:hAnsi="Times New Roman"/>
        </w:rPr>
      </w:pPr>
    </w:p>
    <w:p w:rsidR="00D002DC" w:rsidRPr="00355224" w:rsidRDefault="00D002DC" w:rsidP="002F009F">
      <w:pPr>
        <w:numPr>
          <w:ilvl w:val="0"/>
          <w:numId w:val="5"/>
        </w:numPr>
        <w:suppressAutoHyphens/>
        <w:ind w:left="1440" w:hanging="720"/>
        <w:rPr>
          <w:rFonts w:ascii="Times New Roman" w:hAnsi="Times New Roman"/>
        </w:rPr>
      </w:pPr>
      <w:r>
        <w:rPr>
          <w:rFonts w:ascii="Times New Roman" w:hAnsi="Times New Roman"/>
          <w:b/>
        </w:rPr>
        <w:t>Program Changes or Adjustments to the Information Collection Request</w:t>
      </w:r>
    </w:p>
    <w:p w:rsidR="00FD2F78" w:rsidRDefault="00C767A4" w:rsidP="00D002DC">
      <w:pPr>
        <w:suppressAutoHyphens/>
        <w:ind w:left="1440"/>
        <w:rPr>
          <w:rFonts w:ascii="Times New Roman" w:hAnsi="Times New Roman"/>
        </w:rPr>
      </w:pPr>
      <w:r>
        <w:rPr>
          <w:rFonts w:ascii="Times New Roman" w:hAnsi="Times New Roman"/>
        </w:rPr>
        <w:t>Since last we cleared this information collection, the DDS offices have changed their business processes for acquiring this information.  They have found it more cost effective to use the medical evidence of record process as outlined in the OMB-approved information collection OMB No. 0960-0555, Clearance o</w:t>
      </w:r>
      <w:r w:rsidRPr="00C767A4">
        <w:rPr>
          <w:rFonts w:ascii="Times New Roman" w:hAnsi="Times New Roman"/>
        </w:rPr>
        <w:t>f Inf</w:t>
      </w:r>
      <w:r>
        <w:rPr>
          <w:rFonts w:ascii="Times New Roman" w:hAnsi="Times New Roman"/>
        </w:rPr>
        <w:t>ormation Collections Conducted b</w:t>
      </w:r>
      <w:r w:rsidRPr="00C767A4">
        <w:rPr>
          <w:rFonts w:ascii="Times New Roman" w:hAnsi="Times New Roman"/>
        </w:rPr>
        <w:t>y State Dis</w:t>
      </w:r>
      <w:r>
        <w:rPr>
          <w:rFonts w:ascii="Times New Roman" w:hAnsi="Times New Roman"/>
        </w:rPr>
        <w:t>ability Determination Services on Behalf of t</w:t>
      </w:r>
      <w:r w:rsidRPr="00C767A4">
        <w:rPr>
          <w:rFonts w:ascii="Times New Roman" w:hAnsi="Times New Roman"/>
        </w:rPr>
        <w:t>he Social Security Administration</w:t>
      </w:r>
      <w:r>
        <w:rPr>
          <w:rFonts w:ascii="Times New Roman" w:hAnsi="Times New Roman"/>
        </w:rPr>
        <w:t xml:space="preserve">. </w:t>
      </w:r>
    </w:p>
    <w:p w:rsidR="00FD2F78" w:rsidRDefault="00FD2F78">
      <w:pPr>
        <w:suppressAutoHyphens/>
        <w:rPr>
          <w:rFonts w:ascii="Times New Roman" w:hAnsi="Times New Roman"/>
        </w:rPr>
      </w:pPr>
    </w:p>
    <w:p w:rsidR="00D002DC" w:rsidRPr="00D002DC" w:rsidRDefault="00D002DC" w:rsidP="002F009F">
      <w:pPr>
        <w:numPr>
          <w:ilvl w:val="0"/>
          <w:numId w:val="5"/>
        </w:numPr>
        <w:suppressAutoHyphens/>
        <w:ind w:left="1440" w:hanging="720"/>
        <w:rPr>
          <w:rFonts w:ascii="Times New Roman" w:hAnsi="Times New Roman"/>
        </w:rPr>
      </w:pPr>
      <w:r>
        <w:rPr>
          <w:rFonts w:ascii="Times New Roman" w:hAnsi="Times New Roman"/>
          <w:b/>
        </w:rPr>
        <w:t>Plans for Publication Information Collection Results</w:t>
      </w:r>
    </w:p>
    <w:p w:rsidR="00FD2F78" w:rsidRDefault="007F1945" w:rsidP="00D002DC">
      <w:pPr>
        <w:suppressAutoHyphens/>
        <w:ind w:left="1080" w:firstLine="360"/>
        <w:rPr>
          <w:rFonts w:ascii="Times New Roman" w:hAnsi="Times New Roman"/>
        </w:rPr>
      </w:pPr>
      <w:r>
        <w:rPr>
          <w:rFonts w:ascii="Times New Roman" w:hAnsi="Times New Roman"/>
        </w:rPr>
        <w:t>SSA will not publish the</w:t>
      </w:r>
      <w:r w:rsidR="00FD2F78">
        <w:rPr>
          <w:rFonts w:ascii="Times New Roman" w:hAnsi="Times New Roman"/>
        </w:rPr>
        <w:t xml:space="preserve"> results of the information collection</w:t>
      </w:r>
      <w:r>
        <w:rPr>
          <w:rFonts w:ascii="Times New Roman" w:hAnsi="Times New Roman"/>
        </w:rPr>
        <w:t>.</w:t>
      </w:r>
    </w:p>
    <w:p w:rsidR="00FD2F78" w:rsidRDefault="00FD2F78">
      <w:pPr>
        <w:suppressAutoHyphens/>
        <w:rPr>
          <w:rFonts w:ascii="Times New Roman" w:hAnsi="Times New Roman"/>
        </w:rPr>
      </w:pPr>
    </w:p>
    <w:p w:rsidR="00D002DC" w:rsidRPr="00D002DC" w:rsidRDefault="00D002DC" w:rsidP="002F009F">
      <w:pPr>
        <w:pStyle w:val="BodyText2"/>
        <w:numPr>
          <w:ilvl w:val="0"/>
          <w:numId w:val="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hanging="720"/>
        <w:rPr>
          <w:rFonts w:ascii="Times New Roman" w:hAnsi="Times New Roman"/>
          <w:b w:val="0"/>
          <w:i w:val="0"/>
        </w:rPr>
      </w:pPr>
      <w:r>
        <w:rPr>
          <w:rFonts w:ascii="Times New Roman" w:hAnsi="Times New Roman"/>
          <w:i w:val="0"/>
        </w:rPr>
        <w:t>Displaying the OMB Approval Expiration Date</w:t>
      </w:r>
    </w:p>
    <w:p w:rsidR="00FD2F78" w:rsidRDefault="00EE64EE" w:rsidP="00D002D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EE64EE">
        <w:rPr>
          <w:rFonts w:ascii="Times New Roman" w:hAnsi="Times New Roman"/>
          <w:b w:val="0"/>
          <w:i w:val="0"/>
        </w:rPr>
        <w:t xml:space="preserve">OMB granted SSA an exemption from the requirement </w:t>
      </w:r>
      <w:r w:rsidR="007F1945">
        <w:rPr>
          <w:rFonts w:ascii="Times New Roman" w:hAnsi="Times New Roman"/>
          <w:b w:val="0"/>
          <w:i w:val="0"/>
        </w:rPr>
        <w:t xml:space="preserve">to </w:t>
      </w:r>
      <w:r w:rsidR="002F009F">
        <w:rPr>
          <w:rFonts w:ascii="Times New Roman" w:hAnsi="Times New Roman"/>
          <w:b w:val="0"/>
          <w:i w:val="0"/>
        </w:rPr>
        <w:t>display</w:t>
      </w:r>
      <w:r w:rsidR="007F1945">
        <w:rPr>
          <w:rFonts w:ascii="Times New Roman" w:hAnsi="Times New Roman"/>
          <w:b w:val="0"/>
          <w:i w:val="0"/>
        </w:rPr>
        <w:t xml:space="preserve"> </w:t>
      </w:r>
      <w:r w:rsidRPr="00EE64EE">
        <w:rPr>
          <w:rFonts w:ascii="Times New Roman" w:hAnsi="Times New Roman"/>
          <w:b w:val="0"/>
          <w:i w:val="0"/>
        </w:rPr>
        <w:t xml:space="preserve">the </w:t>
      </w:r>
      <w:r w:rsidR="007F1945">
        <w:rPr>
          <w:rFonts w:ascii="Times New Roman" w:hAnsi="Times New Roman"/>
          <w:b w:val="0"/>
          <w:i w:val="0"/>
        </w:rPr>
        <w:t xml:space="preserve">OMB </w:t>
      </w:r>
      <w:r w:rsidRPr="00EE64EE">
        <w:rPr>
          <w:rFonts w:ascii="Times New Roman" w:hAnsi="Times New Roman"/>
          <w:b w:val="0"/>
          <w:i w:val="0"/>
        </w:rPr>
        <w:t>expiration date</w:t>
      </w:r>
      <w:r w:rsidR="00594184">
        <w:rPr>
          <w:rFonts w:ascii="Times New Roman" w:hAnsi="Times New Roman"/>
          <w:b w:val="0"/>
          <w:i w:val="0"/>
        </w:rPr>
        <w:t xml:space="preserve"> </w:t>
      </w:r>
      <w:r w:rsidRPr="00EE64EE">
        <w:rPr>
          <w:rFonts w:ascii="Times New Roman" w:hAnsi="Times New Roman"/>
          <w:b w:val="0"/>
          <w:i w:val="0"/>
        </w:rPr>
        <w:t>on its program forms. SSA produces millions of public-use forms</w:t>
      </w:r>
      <w:r w:rsidR="007F1945">
        <w:rPr>
          <w:rFonts w:ascii="Times New Roman" w:hAnsi="Times New Roman"/>
          <w:b w:val="0"/>
          <w:i w:val="0"/>
        </w:rPr>
        <w:t xml:space="preserve"> with </w:t>
      </w:r>
      <w:r w:rsidRPr="00EE64EE">
        <w:rPr>
          <w:rFonts w:ascii="Times New Roman" w:hAnsi="Times New Roman"/>
          <w:b w:val="0"/>
          <w:i w:val="0"/>
        </w:rPr>
        <w:t>life cycle</w:t>
      </w:r>
      <w:r w:rsidR="007F1945">
        <w:rPr>
          <w:rFonts w:ascii="Times New Roman" w:hAnsi="Times New Roman"/>
          <w:b w:val="0"/>
          <w:i w:val="0"/>
        </w:rPr>
        <w:t>s</w:t>
      </w:r>
      <w:r w:rsidRPr="00EE64EE">
        <w:rPr>
          <w:rFonts w:ascii="Times New Roman" w:hAnsi="Times New Roman"/>
          <w:b w:val="0"/>
          <w:i w:val="0"/>
        </w:rPr>
        <w:t xml:space="preserve"> </w:t>
      </w:r>
      <w:r w:rsidR="007F1945">
        <w:rPr>
          <w:rFonts w:ascii="Times New Roman" w:hAnsi="Times New Roman"/>
          <w:b w:val="0"/>
          <w:i w:val="0"/>
        </w:rPr>
        <w:t>exceeding those</w:t>
      </w:r>
      <w:r w:rsidRPr="00EE64EE">
        <w:rPr>
          <w:rFonts w:ascii="Times New Roman" w:hAnsi="Times New Roman"/>
          <w:b w:val="0"/>
          <w:i w:val="0"/>
        </w:rPr>
        <w:t xml:space="preserve"> of an OMB approval. SSA does not periodically revise and reprint its public-use forms (e.g., on an annual basis).  </w:t>
      </w:r>
      <w:r w:rsidR="001660D3">
        <w:rPr>
          <w:rFonts w:ascii="Times New Roman" w:hAnsi="Times New Roman"/>
          <w:b w:val="0"/>
          <w:i w:val="0"/>
        </w:rPr>
        <w:t>OMB granted this</w:t>
      </w:r>
      <w:r w:rsidRPr="00EE64EE">
        <w:rPr>
          <w:rFonts w:ascii="Times New Roman" w:hAnsi="Times New Roman"/>
          <w:b w:val="0"/>
          <w:i w:val="0"/>
        </w:rPr>
        <w:t xml:space="preserve"> exemption so </w:t>
      </w:r>
      <w:r w:rsidR="007F1945">
        <w:rPr>
          <w:rFonts w:ascii="Times New Roman" w:hAnsi="Times New Roman"/>
          <w:b w:val="0"/>
          <w:i w:val="0"/>
        </w:rPr>
        <w:t xml:space="preserve">SSA would not have to destroy stocks of </w:t>
      </w:r>
      <w:r w:rsidRPr="00EE64EE">
        <w:rPr>
          <w:rFonts w:ascii="Times New Roman" w:hAnsi="Times New Roman"/>
          <w:b w:val="0"/>
          <w:i w:val="0"/>
        </w:rPr>
        <w:t>useable editions</w:t>
      </w:r>
      <w:r w:rsidR="007F1945">
        <w:rPr>
          <w:rFonts w:ascii="Times New Roman" w:hAnsi="Times New Roman"/>
          <w:b w:val="0"/>
          <w:i w:val="0"/>
        </w:rPr>
        <w:t xml:space="preserve"> with expired OMB approval dates. </w:t>
      </w:r>
      <w:r w:rsidRPr="00EE64EE">
        <w:rPr>
          <w:rFonts w:ascii="Times New Roman" w:hAnsi="Times New Roman"/>
          <w:b w:val="0"/>
          <w:i w:val="0"/>
        </w:rPr>
        <w:t xml:space="preserve">  </w:t>
      </w:r>
      <w:r w:rsidR="009B71B6">
        <w:rPr>
          <w:rFonts w:ascii="Times New Roman" w:hAnsi="Times New Roman"/>
          <w:b w:val="0"/>
          <w:i w:val="0"/>
        </w:rPr>
        <w:t>W</w:t>
      </w:r>
      <w:r w:rsidR="001660D3">
        <w:rPr>
          <w:rFonts w:ascii="Times New Roman" w:hAnsi="Times New Roman"/>
          <w:b w:val="0"/>
          <w:i w:val="0"/>
        </w:rPr>
        <w:t xml:space="preserve">e </w:t>
      </w:r>
      <w:r w:rsidRPr="00EE64EE">
        <w:rPr>
          <w:rFonts w:ascii="Times New Roman" w:hAnsi="Times New Roman"/>
          <w:b w:val="0"/>
          <w:i w:val="0"/>
        </w:rPr>
        <w:t>avoid</w:t>
      </w:r>
      <w:r w:rsidR="001660D3">
        <w:rPr>
          <w:rFonts w:ascii="Times New Roman" w:hAnsi="Times New Roman"/>
          <w:b w:val="0"/>
          <w:i w:val="0"/>
        </w:rPr>
        <w:t xml:space="preserve"> Government waste</w:t>
      </w:r>
      <w:r w:rsidRPr="00EE64EE">
        <w:rPr>
          <w:rFonts w:ascii="Times New Roman" w:hAnsi="Times New Roman"/>
          <w:b w:val="0"/>
          <w:i w:val="0"/>
        </w:rPr>
        <w:t xml:space="preserve"> because </w:t>
      </w:r>
      <w:r w:rsidR="001660D3">
        <w:rPr>
          <w:rFonts w:ascii="Times New Roman" w:hAnsi="Times New Roman"/>
          <w:b w:val="0"/>
          <w:i w:val="0"/>
        </w:rPr>
        <w:t>we will not need to destroy and reprint stocks of forms.</w:t>
      </w:r>
    </w:p>
    <w:p w:rsidR="00FD2F78" w:rsidRDefault="00FD2F78">
      <w:pPr>
        <w:pStyle w:val="BodyTextIndent"/>
        <w:tabs>
          <w:tab w:val="clear" w:pos="-720"/>
          <w:tab w:val="clear" w:pos="0"/>
          <w:tab w:val="clear" w:pos="720"/>
        </w:tabs>
        <w:rPr>
          <w:rFonts w:ascii="Times New Roman" w:hAnsi="Times New Roman"/>
        </w:rPr>
      </w:pPr>
    </w:p>
    <w:p w:rsidR="00D002DC" w:rsidRPr="00D002DC" w:rsidRDefault="00D002DC" w:rsidP="002F009F">
      <w:pPr>
        <w:numPr>
          <w:ilvl w:val="0"/>
          <w:numId w:val="5"/>
        </w:numPr>
        <w:suppressAutoHyphens/>
        <w:ind w:left="1440" w:hanging="720"/>
        <w:rPr>
          <w:rFonts w:ascii="Times New Roman" w:hAnsi="Times New Roman"/>
        </w:rPr>
      </w:pPr>
      <w:r>
        <w:rPr>
          <w:rFonts w:ascii="Times New Roman" w:hAnsi="Times New Roman"/>
          <w:b/>
        </w:rPr>
        <w:t>Exceptions to Certification statement</w:t>
      </w:r>
    </w:p>
    <w:p w:rsidR="00FD2F78" w:rsidRDefault="00FD2F78" w:rsidP="00D002DC">
      <w:pPr>
        <w:suppressAutoHyphens/>
        <w:ind w:left="1440"/>
        <w:rPr>
          <w:rFonts w:ascii="Times New Roman" w:hAnsi="Times New Roman"/>
        </w:rPr>
      </w:pPr>
      <w:r>
        <w:rPr>
          <w:rFonts w:ascii="Times New Roman" w:hAnsi="Times New Roman"/>
        </w:rPr>
        <w:t xml:space="preserve">SSA </w:t>
      </w:r>
      <w:r w:rsidR="00A93EE9">
        <w:rPr>
          <w:rFonts w:ascii="Times New Roman" w:hAnsi="Times New Roman"/>
        </w:rPr>
        <w:t xml:space="preserve">does </w:t>
      </w:r>
      <w:r>
        <w:rPr>
          <w:rFonts w:ascii="Times New Roman" w:hAnsi="Times New Roman"/>
        </w:rPr>
        <w:t xml:space="preserve">not request an exception to the certification requirements at 5 CFR 1320.9 and related provisions at 5 CFR 1320.8(b)(3).  </w:t>
      </w:r>
    </w:p>
    <w:p w:rsidR="00FD2F78" w:rsidRDefault="00FD2F78">
      <w:pPr>
        <w:suppressAutoHyphens/>
        <w:rPr>
          <w:rFonts w:ascii="Times New Roman" w:hAnsi="Times New Roman"/>
        </w:rPr>
      </w:pPr>
    </w:p>
    <w:p w:rsidR="00FD2F78" w:rsidRDefault="00FD2F78">
      <w:pPr>
        <w:pStyle w:val="Heading2"/>
      </w:pPr>
      <w:r>
        <w:t xml:space="preserve">B.   </w:t>
      </w:r>
      <w:r>
        <w:tab/>
      </w:r>
      <w:r w:rsidRPr="00C52E42">
        <w:rPr>
          <w:u w:val="single"/>
        </w:rPr>
        <w:t>Collections of Information Employing Statistical Methods</w:t>
      </w:r>
    </w:p>
    <w:p w:rsidR="00FD2F78" w:rsidRDefault="00FD2F78">
      <w:pPr>
        <w:suppressAutoHyphens/>
        <w:rPr>
          <w:rFonts w:ascii="Times New Roman" w:hAnsi="Times New Roman"/>
        </w:rPr>
      </w:pPr>
    </w:p>
    <w:p w:rsidR="00FD2F78" w:rsidRDefault="00FD2F78">
      <w:pPr>
        <w:suppressAutoHyphens/>
        <w:ind w:left="720" w:hanging="720"/>
        <w:rPr>
          <w:rFonts w:ascii="Times New Roman" w:hAnsi="Times New Roman"/>
        </w:rPr>
      </w:pPr>
      <w:r>
        <w:rPr>
          <w:rFonts w:ascii="Times New Roman" w:hAnsi="Times New Roman"/>
        </w:rPr>
        <w:tab/>
      </w:r>
      <w:r>
        <w:rPr>
          <w:rFonts w:ascii="Times New Roman" w:hAnsi="Times New Roman"/>
        </w:rPr>
        <w:tab/>
      </w:r>
      <w:r w:rsidR="00A93EE9">
        <w:rPr>
          <w:rFonts w:ascii="Times New Roman" w:hAnsi="Times New Roman"/>
        </w:rPr>
        <w:t>SSA does not use s</w:t>
      </w:r>
      <w:r>
        <w:rPr>
          <w:rFonts w:ascii="Times New Roman" w:hAnsi="Times New Roman"/>
        </w:rPr>
        <w:t>tatistical methods for this information collection.</w:t>
      </w:r>
    </w:p>
    <w:p w:rsidR="00FD2F78" w:rsidRDefault="00FD2F78">
      <w:pPr>
        <w:suppressAutoHyphens/>
        <w:ind w:left="720" w:hanging="720"/>
        <w:jc w:val="center"/>
      </w:pPr>
    </w:p>
    <w:sectPr w:rsidR="00FD2F78" w:rsidSect="00776853">
      <w:headerReference w:type="even" r:id="rId7"/>
      <w:headerReference w:type="default" r:id="rId8"/>
      <w:footerReference w:type="even" r:id="rId9"/>
      <w:footerReference w:type="default" r:id="rId10"/>
      <w:footerReference w:type="first" r:id="rId11"/>
      <w:endnotePr>
        <w:numFmt w:val="decimal"/>
      </w:endnotePr>
      <w:type w:val="continuous"/>
      <w:pgSz w:w="12240" w:h="15840"/>
      <w:pgMar w:top="900" w:right="1440" w:bottom="1440" w:left="720" w:header="144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224" w:rsidRDefault="00355224">
      <w:pPr>
        <w:spacing w:line="20" w:lineRule="exact"/>
      </w:pPr>
    </w:p>
  </w:endnote>
  <w:endnote w:type="continuationSeparator" w:id="0">
    <w:p w:rsidR="00355224" w:rsidRDefault="00355224">
      <w:r>
        <w:t xml:space="preserve"> </w:t>
      </w:r>
    </w:p>
  </w:endnote>
  <w:endnote w:type="continuationNotice" w:id="1">
    <w:p w:rsidR="00355224" w:rsidRDefault="0035522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224" w:rsidRDefault="007830E5">
    <w:pPr>
      <w:pStyle w:val="Footer"/>
      <w:framePr w:wrap="around" w:vAnchor="text" w:hAnchor="margin" w:xAlign="center" w:y="1"/>
      <w:rPr>
        <w:rStyle w:val="PageNumber"/>
      </w:rPr>
    </w:pPr>
    <w:r>
      <w:rPr>
        <w:rStyle w:val="PageNumber"/>
      </w:rPr>
      <w:fldChar w:fldCharType="begin"/>
    </w:r>
    <w:r w:rsidR="00355224">
      <w:rPr>
        <w:rStyle w:val="PageNumber"/>
      </w:rPr>
      <w:instrText xml:space="preserve">PAGE  </w:instrText>
    </w:r>
    <w:r>
      <w:rPr>
        <w:rStyle w:val="PageNumber"/>
      </w:rPr>
      <w:fldChar w:fldCharType="end"/>
    </w:r>
  </w:p>
  <w:p w:rsidR="00355224" w:rsidRDefault="003552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224" w:rsidRPr="00C52E42" w:rsidRDefault="00355224" w:rsidP="00C52E42">
    <w:pPr>
      <w:pStyle w:val="Footer"/>
      <w:jc w:val="right"/>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224" w:rsidRPr="002B2FEC" w:rsidRDefault="00355224" w:rsidP="002B2FEC">
    <w:pPr>
      <w:pStyle w:val="Footer"/>
      <w:jc w:val="righ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224" w:rsidRDefault="00355224">
      <w:r>
        <w:separator/>
      </w:r>
    </w:p>
  </w:footnote>
  <w:footnote w:type="continuationSeparator" w:id="0">
    <w:p w:rsidR="00355224" w:rsidRDefault="003552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224" w:rsidRDefault="007830E5">
    <w:pPr>
      <w:pStyle w:val="Header"/>
      <w:framePr w:wrap="around" w:vAnchor="text" w:hAnchor="margin" w:xAlign="right" w:y="1"/>
      <w:rPr>
        <w:rStyle w:val="PageNumber"/>
      </w:rPr>
    </w:pPr>
    <w:r>
      <w:rPr>
        <w:rStyle w:val="PageNumber"/>
      </w:rPr>
      <w:fldChar w:fldCharType="begin"/>
    </w:r>
    <w:r w:rsidR="00355224">
      <w:rPr>
        <w:rStyle w:val="PageNumber"/>
      </w:rPr>
      <w:instrText xml:space="preserve">PAGE  </w:instrText>
    </w:r>
    <w:r>
      <w:rPr>
        <w:rStyle w:val="PageNumber"/>
      </w:rPr>
      <w:fldChar w:fldCharType="end"/>
    </w:r>
  </w:p>
  <w:p w:rsidR="00355224" w:rsidRDefault="0035522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224" w:rsidRDefault="00355224">
    <w:pPr>
      <w:tabs>
        <w:tab w:val="left" w:pos="-720"/>
      </w:tabs>
      <w:suppressAutoHyphens/>
      <w:spacing w:after="140"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7048D"/>
    <w:multiLevelType w:val="hybridMultilevel"/>
    <w:tmpl w:val="0A081CE6"/>
    <w:lvl w:ilvl="0" w:tplc="CFFEB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CE799A"/>
    <w:multiLevelType w:val="hybridMultilevel"/>
    <w:tmpl w:val="1416062C"/>
    <w:lvl w:ilvl="0" w:tplc="540A7752">
      <w:start w:val="9"/>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B40F2C"/>
    <w:multiLevelType w:val="singleLevel"/>
    <w:tmpl w:val="55AC2AEC"/>
    <w:lvl w:ilvl="0">
      <w:start w:val="14"/>
      <w:numFmt w:val="decimal"/>
      <w:lvlText w:val="%1."/>
      <w:lvlJc w:val="left"/>
      <w:pPr>
        <w:tabs>
          <w:tab w:val="num" w:pos="1440"/>
        </w:tabs>
        <w:ind w:left="1440" w:hanging="720"/>
      </w:pPr>
      <w:rPr>
        <w:rFonts w:hint="default"/>
      </w:rPr>
    </w:lvl>
  </w:abstractNum>
  <w:abstractNum w:abstractNumId="3">
    <w:nsid w:val="5C7663A1"/>
    <w:multiLevelType w:val="hybridMultilevel"/>
    <w:tmpl w:val="D3A4C9B0"/>
    <w:lvl w:ilvl="0" w:tplc="4008C05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D3567E"/>
    <w:multiLevelType w:val="singleLevel"/>
    <w:tmpl w:val="EC76F758"/>
    <w:lvl w:ilvl="0">
      <w:start w:val="9"/>
      <w:numFmt w:val="decimal"/>
      <w:lvlText w:val="%1."/>
      <w:lvlJc w:val="left"/>
      <w:pPr>
        <w:tabs>
          <w:tab w:val="num" w:pos="1440"/>
        </w:tabs>
        <w:ind w:left="1440" w:hanging="720"/>
      </w:pPr>
      <w:rPr>
        <w:rFonts w:hint="default"/>
      </w:rPr>
    </w:lvl>
  </w:abstractNum>
  <w:abstractNum w:abstractNumId="5">
    <w:nsid w:val="72D402A9"/>
    <w:multiLevelType w:val="hybridMultilevel"/>
    <w:tmpl w:val="A4828B76"/>
    <w:lvl w:ilvl="0" w:tplc="4C082B1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DB12E8"/>
    <w:multiLevelType w:val="hybridMultilevel"/>
    <w:tmpl w:val="6F20A952"/>
    <w:lvl w:ilvl="0" w:tplc="B44A0ABE">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1"/>
  <w:proofState w:spelling="clean" w:grammar="clean"/>
  <w:stylePaneFormatFilter w:val="3F01"/>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rsids>
    <w:rsidRoot w:val="00F552C3"/>
    <w:rsid w:val="00022EB7"/>
    <w:rsid w:val="00040E2F"/>
    <w:rsid w:val="00067867"/>
    <w:rsid w:val="000836EE"/>
    <w:rsid w:val="000A1271"/>
    <w:rsid w:val="000C36ED"/>
    <w:rsid w:val="00116192"/>
    <w:rsid w:val="00164B9C"/>
    <w:rsid w:val="001660D3"/>
    <w:rsid w:val="00182953"/>
    <w:rsid w:val="00192BEA"/>
    <w:rsid w:val="001A16FF"/>
    <w:rsid w:val="001D6666"/>
    <w:rsid w:val="001E505C"/>
    <w:rsid w:val="001F10C6"/>
    <w:rsid w:val="002012B8"/>
    <w:rsid w:val="002242FB"/>
    <w:rsid w:val="00226286"/>
    <w:rsid w:val="00265A65"/>
    <w:rsid w:val="00266D75"/>
    <w:rsid w:val="002A0BB2"/>
    <w:rsid w:val="002B2FEC"/>
    <w:rsid w:val="002F009F"/>
    <w:rsid w:val="0034139F"/>
    <w:rsid w:val="003472E5"/>
    <w:rsid w:val="00350D00"/>
    <w:rsid w:val="00355224"/>
    <w:rsid w:val="0039147B"/>
    <w:rsid w:val="003C5612"/>
    <w:rsid w:val="003D70EE"/>
    <w:rsid w:val="003F37CA"/>
    <w:rsid w:val="004038BE"/>
    <w:rsid w:val="004203FB"/>
    <w:rsid w:val="00425230"/>
    <w:rsid w:val="00437EE2"/>
    <w:rsid w:val="00452553"/>
    <w:rsid w:val="004C009A"/>
    <w:rsid w:val="004E6B71"/>
    <w:rsid w:val="0050159C"/>
    <w:rsid w:val="00523EC3"/>
    <w:rsid w:val="00525B24"/>
    <w:rsid w:val="00550418"/>
    <w:rsid w:val="00574FDF"/>
    <w:rsid w:val="005772A4"/>
    <w:rsid w:val="0059318D"/>
    <w:rsid w:val="00594184"/>
    <w:rsid w:val="005B0E97"/>
    <w:rsid w:val="005B7B54"/>
    <w:rsid w:val="005E3D78"/>
    <w:rsid w:val="005E6B96"/>
    <w:rsid w:val="00600BFF"/>
    <w:rsid w:val="0060659F"/>
    <w:rsid w:val="00615BA2"/>
    <w:rsid w:val="00637D71"/>
    <w:rsid w:val="006929A5"/>
    <w:rsid w:val="006A1D3E"/>
    <w:rsid w:val="006B3967"/>
    <w:rsid w:val="006C0E34"/>
    <w:rsid w:val="006D3722"/>
    <w:rsid w:val="006E63D4"/>
    <w:rsid w:val="00700C76"/>
    <w:rsid w:val="007357BF"/>
    <w:rsid w:val="00755B3A"/>
    <w:rsid w:val="00776853"/>
    <w:rsid w:val="007830E5"/>
    <w:rsid w:val="007A5CD4"/>
    <w:rsid w:val="007E4E37"/>
    <w:rsid w:val="007E6602"/>
    <w:rsid w:val="007F0E33"/>
    <w:rsid w:val="007F1945"/>
    <w:rsid w:val="007F1B3E"/>
    <w:rsid w:val="007F748F"/>
    <w:rsid w:val="008B3709"/>
    <w:rsid w:val="008D16A4"/>
    <w:rsid w:val="008D6A84"/>
    <w:rsid w:val="008E6F17"/>
    <w:rsid w:val="008F0B53"/>
    <w:rsid w:val="008F264C"/>
    <w:rsid w:val="008F524C"/>
    <w:rsid w:val="009279BE"/>
    <w:rsid w:val="00944867"/>
    <w:rsid w:val="0096047B"/>
    <w:rsid w:val="00982CF4"/>
    <w:rsid w:val="0099741A"/>
    <w:rsid w:val="009B2AE2"/>
    <w:rsid w:val="009B6DE7"/>
    <w:rsid w:val="009B71B6"/>
    <w:rsid w:val="009C01F9"/>
    <w:rsid w:val="009C3ED9"/>
    <w:rsid w:val="009D2848"/>
    <w:rsid w:val="009D71E0"/>
    <w:rsid w:val="00A04711"/>
    <w:rsid w:val="00A24EE1"/>
    <w:rsid w:val="00A36AC6"/>
    <w:rsid w:val="00A459AD"/>
    <w:rsid w:val="00A464FC"/>
    <w:rsid w:val="00A80DCF"/>
    <w:rsid w:val="00A93EE9"/>
    <w:rsid w:val="00A93FA5"/>
    <w:rsid w:val="00A94040"/>
    <w:rsid w:val="00AA3188"/>
    <w:rsid w:val="00AA3A79"/>
    <w:rsid w:val="00AF78B9"/>
    <w:rsid w:val="00BB2D54"/>
    <w:rsid w:val="00BB32FC"/>
    <w:rsid w:val="00BD735D"/>
    <w:rsid w:val="00C04818"/>
    <w:rsid w:val="00C3073B"/>
    <w:rsid w:val="00C434AC"/>
    <w:rsid w:val="00C52E42"/>
    <w:rsid w:val="00C547D6"/>
    <w:rsid w:val="00C767A4"/>
    <w:rsid w:val="00C94D6D"/>
    <w:rsid w:val="00CB10D6"/>
    <w:rsid w:val="00CD2451"/>
    <w:rsid w:val="00CD34EA"/>
    <w:rsid w:val="00CE6746"/>
    <w:rsid w:val="00D002DC"/>
    <w:rsid w:val="00D0691E"/>
    <w:rsid w:val="00D11D99"/>
    <w:rsid w:val="00D27262"/>
    <w:rsid w:val="00D3554A"/>
    <w:rsid w:val="00D361EC"/>
    <w:rsid w:val="00D602B7"/>
    <w:rsid w:val="00D91DB2"/>
    <w:rsid w:val="00DD40B9"/>
    <w:rsid w:val="00DF6C08"/>
    <w:rsid w:val="00E019EB"/>
    <w:rsid w:val="00E223EA"/>
    <w:rsid w:val="00E51BE6"/>
    <w:rsid w:val="00E535F8"/>
    <w:rsid w:val="00E614C7"/>
    <w:rsid w:val="00E6150E"/>
    <w:rsid w:val="00E773DD"/>
    <w:rsid w:val="00EA7D18"/>
    <w:rsid w:val="00EB5080"/>
    <w:rsid w:val="00EE64EE"/>
    <w:rsid w:val="00EF280E"/>
    <w:rsid w:val="00F37837"/>
    <w:rsid w:val="00F552C3"/>
    <w:rsid w:val="00F7265A"/>
    <w:rsid w:val="00F765B2"/>
    <w:rsid w:val="00FD2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03FB"/>
    <w:pPr>
      <w:widowControl w:val="0"/>
    </w:pPr>
    <w:rPr>
      <w:rFonts w:ascii="Courier New" w:hAnsi="Courier New"/>
      <w:snapToGrid w:val="0"/>
      <w:sz w:val="24"/>
    </w:rPr>
  </w:style>
  <w:style w:type="paragraph" w:styleId="Heading1">
    <w:name w:val="heading 1"/>
    <w:basedOn w:val="Normal"/>
    <w:next w:val="Normal"/>
    <w:qFormat/>
    <w:rsid w:val="004203FB"/>
    <w:pPr>
      <w:keepNext/>
      <w:suppressAutoHyphens/>
      <w:jc w:val="center"/>
      <w:outlineLvl w:val="0"/>
    </w:pPr>
    <w:rPr>
      <w:rFonts w:ascii="Times New Roman" w:hAnsi="Times New Roman"/>
      <w:b/>
    </w:rPr>
  </w:style>
  <w:style w:type="paragraph" w:styleId="Heading2">
    <w:name w:val="heading 2"/>
    <w:basedOn w:val="Normal"/>
    <w:next w:val="Normal"/>
    <w:qFormat/>
    <w:rsid w:val="004203FB"/>
    <w:pPr>
      <w:keepNext/>
      <w:suppressAutoHyphens/>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203FB"/>
  </w:style>
  <w:style w:type="character" w:styleId="EndnoteReference">
    <w:name w:val="endnote reference"/>
    <w:basedOn w:val="DefaultParagraphFont"/>
    <w:semiHidden/>
    <w:rsid w:val="004203FB"/>
    <w:rPr>
      <w:vertAlign w:val="superscript"/>
    </w:rPr>
  </w:style>
  <w:style w:type="paragraph" w:styleId="FootnoteText">
    <w:name w:val="footnote text"/>
    <w:basedOn w:val="Normal"/>
    <w:semiHidden/>
    <w:rsid w:val="004203FB"/>
  </w:style>
  <w:style w:type="character" w:styleId="FootnoteReference">
    <w:name w:val="footnote reference"/>
    <w:basedOn w:val="DefaultParagraphFont"/>
    <w:semiHidden/>
    <w:rsid w:val="004203FB"/>
    <w:rPr>
      <w:vertAlign w:val="superscript"/>
    </w:rPr>
  </w:style>
  <w:style w:type="paragraph" w:styleId="TOC1">
    <w:name w:val="toc 1"/>
    <w:basedOn w:val="Normal"/>
    <w:next w:val="Normal"/>
    <w:autoRedefine/>
    <w:semiHidden/>
    <w:rsid w:val="004203FB"/>
    <w:pPr>
      <w:tabs>
        <w:tab w:val="right" w:leader="dot" w:pos="9360"/>
      </w:tabs>
      <w:suppressAutoHyphens/>
      <w:spacing w:before="480"/>
      <w:ind w:left="720" w:right="720" w:hanging="720"/>
    </w:pPr>
  </w:style>
  <w:style w:type="paragraph" w:styleId="TOC2">
    <w:name w:val="toc 2"/>
    <w:basedOn w:val="Normal"/>
    <w:next w:val="Normal"/>
    <w:autoRedefine/>
    <w:semiHidden/>
    <w:rsid w:val="004203FB"/>
    <w:pPr>
      <w:tabs>
        <w:tab w:val="right" w:leader="dot" w:pos="9360"/>
      </w:tabs>
      <w:suppressAutoHyphens/>
      <w:ind w:left="1440" w:right="720" w:hanging="720"/>
    </w:pPr>
  </w:style>
  <w:style w:type="paragraph" w:styleId="TOC3">
    <w:name w:val="toc 3"/>
    <w:basedOn w:val="Normal"/>
    <w:next w:val="Normal"/>
    <w:autoRedefine/>
    <w:semiHidden/>
    <w:rsid w:val="004203FB"/>
    <w:pPr>
      <w:tabs>
        <w:tab w:val="right" w:leader="dot" w:pos="9360"/>
      </w:tabs>
      <w:suppressAutoHyphens/>
      <w:ind w:left="2160" w:right="720" w:hanging="720"/>
    </w:pPr>
  </w:style>
  <w:style w:type="paragraph" w:styleId="TOC4">
    <w:name w:val="toc 4"/>
    <w:basedOn w:val="Normal"/>
    <w:next w:val="Normal"/>
    <w:autoRedefine/>
    <w:semiHidden/>
    <w:rsid w:val="004203FB"/>
    <w:pPr>
      <w:tabs>
        <w:tab w:val="right" w:leader="dot" w:pos="9360"/>
      </w:tabs>
      <w:suppressAutoHyphens/>
      <w:ind w:left="2880" w:right="720" w:hanging="720"/>
    </w:pPr>
  </w:style>
  <w:style w:type="paragraph" w:styleId="TOC5">
    <w:name w:val="toc 5"/>
    <w:basedOn w:val="Normal"/>
    <w:next w:val="Normal"/>
    <w:autoRedefine/>
    <w:semiHidden/>
    <w:rsid w:val="004203FB"/>
    <w:pPr>
      <w:tabs>
        <w:tab w:val="right" w:leader="dot" w:pos="9360"/>
      </w:tabs>
      <w:suppressAutoHyphens/>
      <w:ind w:left="3600" w:right="720" w:hanging="720"/>
    </w:pPr>
  </w:style>
  <w:style w:type="paragraph" w:styleId="TOC6">
    <w:name w:val="toc 6"/>
    <w:basedOn w:val="Normal"/>
    <w:next w:val="Normal"/>
    <w:autoRedefine/>
    <w:semiHidden/>
    <w:rsid w:val="004203FB"/>
    <w:pPr>
      <w:tabs>
        <w:tab w:val="right" w:pos="9360"/>
      </w:tabs>
      <w:suppressAutoHyphens/>
      <w:ind w:left="720" w:hanging="720"/>
    </w:pPr>
  </w:style>
  <w:style w:type="paragraph" w:styleId="TOC7">
    <w:name w:val="toc 7"/>
    <w:basedOn w:val="Normal"/>
    <w:next w:val="Normal"/>
    <w:autoRedefine/>
    <w:semiHidden/>
    <w:rsid w:val="004203FB"/>
    <w:pPr>
      <w:suppressAutoHyphens/>
      <w:ind w:left="720" w:hanging="720"/>
    </w:pPr>
  </w:style>
  <w:style w:type="paragraph" w:styleId="TOC8">
    <w:name w:val="toc 8"/>
    <w:basedOn w:val="Normal"/>
    <w:next w:val="Normal"/>
    <w:autoRedefine/>
    <w:semiHidden/>
    <w:rsid w:val="004203FB"/>
    <w:pPr>
      <w:tabs>
        <w:tab w:val="right" w:pos="9360"/>
      </w:tabs>
      <w:suppressAutoHyphens/>
      <w:ind w:left="720" w:hanging="720"/>
    </w:pPr>
  </w:style>
  <w:style w:type="paragraph" w:styleId="TOC9">
    <w:name w:val="toc 9"/>
    <w:basedOn w:val="Normal"/>
    <w:next w:val="Normal"/>
    <w:autoRedefine/>
    <w:semiHidden/>
    <w:rsid w:val="004203FB"/>
    <w:pPr>
      <w:tabs>
        <w:tab w:val="right" w:leader="dot" w:pos="9360"/>
      </w:tabs>
      <w:suppressAutoHyphens/>
      <w:ind w:left="720" w:hanging="720"/>
    </w:pPr>
  </w:style>
  <w:style w:type="paragraph" w:styleId="Index1">
    <w:name w:val="index 1"/>
    <w:basedOn w:val="Normal"/>
    <w:next w:val="Normal"/>
    <w:autoRedefine/>
    <w:semiHidden/>
    <w:rsid w:val="004203FB"/>
    <w:pPr>
      <w:tabs>
        <w:tab w:val="right" w:leader="dot" w:pos="9360"/>
      </w:tabs>
      <w:suppressAutoHyphens/>
      <w:ind w:left="1440" w:right="720" w:hanging="1440"/>
    </w:pPr>
  </w:style>
  <w:style w:type="paragraph" w:styleId="Index2">
    <w:name w:val="index 2"/>
    <w:basedOn w:val="Normal"/>
    <w:next w:val="Normal"/>
    <w:autoRedefine/>
    <w:semiHidden/>
    <w:rsid w:val="004203FB"/>
    <w:pPr>
      <w:tabs>
        <w:tab w:val="right" w:leader="dot" w:pos="9360"/>
      </w:tabs>
      <w:suppressAutoHyphens/>
      <w:ind w:left="1440" w:right="720" w:hanging="720"/>
    </w:pPr>
  </w:style>
  <w:style w:type="paragraph" w:styleId="TOAHeading">
    <w:name w:val="toa heading"/>
    <w:basedOn w:val="Normal"/>
    <w:next w:val="Normal"/>
    <w:semiHidden/>
    <w:rsid w:val="004203FB"/>
    <w:pPr>
      <w:tabs>
        <w:tab w:val="right" w:pos="9360"/>
      </w:tabs>
      <w:suppressAutoHyphens/>
    </w:pPr>
  </w:style>
  <w:style w:type="paragraph" w:styleId="Caption">
    <w:name w:val="caption"/>
    <w:basedOn w:val="Normal"/>
    <w:next w:val="Normal"/>
    <w:qFormat/>
    <w:rsid w:val="004203FB"/>
  </w:style>
  <w:style w:type="character" w:customStyle="1" w:styleId="EquationCaption">
    <w:name w:val="_Equation Caption"/>
    <w:rsid w:val="004203FB"/>
  </w:style>
  <w:style w:type="paragraph" w:styleId="BodyTextIndent">
    <w:name w:val="Body Text Indent"/>
    <w:basedOn w:val="Normal"/>
    <w:rsid w:val="004203FB"/>
    <w:pPr>
      <w:tabs>
        <w:tab w:val="left" w:pos="-720"/>
        <w:tab w:val="left" w:pos="0"/>
        <w:tab w:val="left" w:pos="720"/>
      </w:tabs>
      <w:suppressAutoHyphens/>
      <w:ind w:left="1440" w:hanging="1440"/>
    </w:pPr>
  </w:style>
  <w:style w:type="paragraph" w:styleId="Header">
    <w:name w:val="header"/>
    <w:basedOn w:val="Normal"/>
    <w:rsid w:val="004203FB"/>
    <w:pPr>
      <w:tabs>
        <w:tab w:val="center" w:pos="4320"/>
        <w:tab w:val="right" w:pos="8640"/>
      </w:tabs>
    </w:pPr>
  </w:style>
  <w:style w:type="character" w:styleId="PageNumber">
    <w:name w:val="page number"/>
    <w:basedOn w:val="DefaultParagraphFont"/>
    <w:rsid w:val="004203FB"/>
  </w:style>
  <w:style w:type="paragraph" w:styleId="Footer">
    <w:name w:val="footer"/>
    <w:basedOn w:val="Normal"/>
    <w:rsid w:val="004203FB"/>
    <w:pPr>
      <w:tabs>
        <w:tab w:val="center" w:pos="4320"/>
        <w:tab w:val="right" w:pos="8640"/>
      </w:tabs>
    </w:pPr>
  </w:style>
  <w:style w:type="paragraph" w:styleId="BodyText3">
    <w:name w:val="Body Text 3"/>
    <w:basedOn w:val="Normal"/>
    <w:rsid w:val="004203FB"/>
    <w:rPr>
      <w:rFonts w:ascii="Courier" w:hAnsi="Courier"/>
      <w:i/>
    </w:rPr>
  </w:style>
  <w:style w:type="paragraph" w:styleId="BodyTextIndent3">
    <w:name w:val="Body Text Indent 3"/>
    <w:basedOn w:val="Normal"/>
    <w:rsid w:val="004203FB"/>
    <w:pPr>
      <w:ind w:left="1440" w:hanging="720"/>
    </w:pPr>
    <w:rPr>
      <w:rFonts w:ascii="Times New Roman" w:hAnsi="Times New Roman"/>
    </w:rPr>
  </w:style>
  <w:style w:type="paragraph" w:styleId="BodyText2">
    <w:name w:val="Body Text 2"/>
    <w:basedOn w:val="Normal"/>
    <w:rsid w:val="004203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i/>
    </w:rPr>
  </w:style>
  <w:style w:type="paragraph" w:styleId="DocumentMap">
    <w:name w:val="Document Map"/>
    <w:basedOn w:val="Normal"/>
    <w:semiHidden/>
    <w:rsid w:val="0039147B"/>
    <w:pPr>
      <w:shd w:val="clear" w:color="auto" w:fill="000080"/>
    </w:pPr>
    <w:rPr>
      <w:rFonts w:ascii="Tahoma" w:hAnsi="Tahoma" w:cs="Tahoma"/>
      <w:sz w:val="20"/>
    </w:rPr>
  </w:style>
  <w:style w:type="table" w:styleId="TableGrid">
    <w:name w:val="Table Grid"/>
    <w:basedOn w:val="TableNormal"/>
    <w:rsid w:val="00350D0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B2FEC"/>
    <w:rPr>
      <w:rFonts w:ascii="Tahoma" w:hAnsi="Tahoma" w:cs="Tahoma"/>
      <w:sz w:val="16"/>
      <w:szCs w:val="16"/>
    </w:rPr>
  </w:style>
  <w:style w:type="character" w:customStyle="1" w:styleId="BalloonTextChar">
    <w:name w:val="Balloon Text Char"/>
    <w:basedOn w:val="DefaultParagraphFont"/>
    <w:link w:val="BalloonText"/>
    <w:rsid w:val="002B2FEC"/>
    <w:rPr>
      <w:rFonts w:ascii="Tahoma" w:hAnsi="Tahoma" w:cs="Tahoma"/>
      <w:snapToGrid w:val="0"/>
      <w:sz w:val="16"/>
      <w:szCs w:val="16"/>
    </w:rPr>
  </w:style>
  <w:style w:type="character" w:styleId="CommentReference">
    <w:name w:val="annotation reference"/>
    <w:basedOn w:val="DefaultParagraphFont"/>
    <w:rsid w:val="00425230"/>
    <w:rPr>
      <w:sz w:val="16"/>
      <w:szCs w:val="16"/>
    </w:rPr>
  </w:style>
  <w:style w:type="paragraph" w:styleId="CommentText">
    <w:name w:val="annotation text"/>
    <w:basedOn w:val="Normal"/>
    <w:link w:val="CommentTextChar"/>
    <w:rsid w:val="00425230"/>
    <w:rPr>
      <w:sz w:val="20"/>
    </w:rPr>
  </w:style>
  <w:style w:type="character" w:customStyle="1" w:styleId="CommentTextChar">
    <w:name w:val="Comment Text Char"/>
    <w:basedOn w:val="DefaultParagraphFont"/>
    <w:link w:val="CommentText"/>
    <w:rsid w:val="00425230"/>
    <w:rPr>
      <w:rFonts w:ascii="Courier New" w:hAnsi="Courier New"/>
      <w:snapToGrid w:val="0"/>
    </w:rPr>
  </w:style>
  <w:style w:type="paragraph" w:styleId="CommentSubject">
    <w:name w:val="annotation subject"/>
    <w:basedOn w:val="CommentText"/>
    <w:next w:val="CommentText"/>
    <w:link w:val="CommentSubjectChar"/>
    <w:rsid w:val="00425230"/>
    <w:rPr>
      <w:b/>
      <w:bCs/>
    </w:rPr>
  </w:style>
  <w:style w:type="character" w:customStyle="1" w:styleId="CommentSubjectChar">
    <w:name w:val="Comment Subject Char"/>
    <w:basedOn w:val="CommentTextChar"/>
    <w:link w:val="CommentSubject"/>
    <w:rsid w:val="0042523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969</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May 14, 1999</vt:lpstr>
    </vt:vector>
  </TitlesOfParts>
  <Company>OPUM</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14, 1999</dc:title>
  <dc:creator>YCROSS</dc:creator>
  <cp:lastModifiedBy>889123</cp:lastModifiedBy>
  <cp:revision>3</cp:revision>
  <cp:lastPrinted>2011-06-28T13:34:00Z</cp:lastPrinted>
  <dcterms:created xsi:type="dcterms:W3CDTF">2011-10-31T20:27:00Z</dcterms:created>
  <dcterms:modified xsi:type="dcterms:W3CDTF">2011-11-07T19:44:00Z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1315016210</vt:i4>
  </property>
  <property fmtid="{D5CDD505-2E9C-101B-9397-08002B2CF9AE}" pid="4" name="_EmailSubject">
    <vt:lpwstr>6 28 11 to TM in CRC   re Expiration Notice:  OMB 0960-0058 SSA-824 -- DUE to CRC 07 05 11</vt:lpwstr>
  </property>
  <property fmtid="{D5CDD505-2E9C-101B-9397-08002B2CF9AE}" pid="5" name="_AuthorEmail">
    <vt:lpwstr>Tessa.Albright@ssa.gov</vt:lpwstr>
  </property>
  <property fmtid="{D5CDD505-2E9C-101B-9397-08002B2CF9AE}" pid="6" name="_AuthorEmailDisplayName">
    <vt:lpwstr>Albright, Tessa</vt:lpwstr>
  </property>
  <property fmtid="{D5CDD505-2E9C-101B-9397-08002B2CF9AE}" pid="7" name="_PreviousAdHocReviewCycleID">
    <vt:i4>1107262084</vt:i4>
  </property>
  <property fmtid="{D5CDD505-2E9C-101B-9397-08002B2CF9AE}" pid="8" name="_ReviewingToolsShownOnce">
    <vt:lpwstr/>
  </property>
</Properties>
</file>