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16F" w:rsidRDefault="00DA416F" w:rsidP="00325EBF">
      <w:pPr>
        <w:tabs>
          <w:tab w:val="center" w:pos="4680"/>
        </w:tabs>
        <w:jc w:val="center"/>
        <w:rPr>
          <w:rFonts w:ascii="Palatino Linotype" w:hAnsi="Palatino Linotype"/>
          <w:b/>
          <w:bCs/>
          <w:sz w:val="22"/>
          <w:szCs w:val="22"/>
        </w:rPr>
      </w:pPr>
      <w:r>
        <w:rPr>
          <w:rFonts w:ascii="Palatino Linotype" w:hAnsi="Palatino Linotype"/>
          <w:b/>
          <w:bCs/>
          <w:sz w:val="22"/>
          <w:szCs w:val="22"/>
        </w:rPr>
        <w:t>Draft 04012011</w:t>
      </w:r>
    </w:p>
    <w:p w:rsidR="00DA416F" w:rsidRDefault="00DA416F" w:rsidP="00325EBF">
      <w:pPr>
        <w:tabs>
          <w:tab w:val="center" w:pos="4680"/>
        </w:tabs>
        <w:jc w:val="center"/>
        <w:rPr>
          <w:rFonts w:ascii="Palatino Linotype" w:hAnsi="Palatino Linotype"/>
          <w:b/>
          <w:bCs/>
          <w:sz w:val="22"/>
          <w:szCs w:val="22"/>
        </w:rPr>
      </w:pPr>
      <w:r w:rsidRPr="00BC76FE">
        <w:rPr>
          <w:rFonts w:ascii="Palatino Linotype" w:hAnsi="Palatino Linotype"/>
          <w:b/>
          <w:bCs/>
          <w:sz w:val="22"/>
          <w:szCs w:val="22"/>
        </w:rPr>
        <w:t xml:space="preserve">Supporting Statement </w:t>
      </w:r>
      <w:r>
        <w:rPr>
          <w:rFonts w:ascii="Palatino Linotype" w:hAnsi="Palatino Linotype"/>
          <w:b/>
          <w:bCs/>
          <w:sz w:val="22"/>
          <w:szCs w:val="22"/>
        </w:rPr>
        <w:t xml:space="preserve">for the Information Collection Requirements Contained in the </w:t>
      </w:r>
      <w:r w:rsidRPr="00BC76FE">
        <w:rPr>
          <w:rFonts w:ascii="Palatino Linotype" w:hAnsi="Palatino Linotype"/>
          <w:b/>
          <w:bCs/>
          <w:sz w:val="22"/>
          <w:szCs w:val="22"/>
        </w:rPr>
        <w:t>Grants to</w:t>
      </w:r>
      <w:r>
        <w:rPr>
          <w:rFonts w:ascii="Palatino Linotype" w:hAnsi="Palatino Linotype"/>
          <w:b/>
          <w:bCs/>
          <w:sz w:val="22"/>
          <w:szCs w:val="22"/>
        </w:rPr>
        <w:t xml:space="preserve"> </w:t>
      </w:r>
      <w:r w:rsidRPr="00BC76FE">
        <w:rPr>
          <w:rFonts w:ascii="Palatino Linotype" w:hAnsi="Palatino Linotype"/>
          <w:b/>
          <w:bCs/>
          <w:sz w:val="22"/>
          <w:szCs w:val="22"/>
        </w:rPr>
        <w:t xml:space="preserve">States for Heath Insurance Premium Review </w:t>
      </w:r>
      <w:r>
        <w:rPr>
          <w:rFonts w:ascii="Palatino Linotype" w:hAnsi="Palatino Linotype"/>
          <w:b/>
          <w:bCs/>
          <w:sz w:val="22"/>
          <w:szCs w:val="22"/>
        </w:rPr>
        <w:t xml:space="preserve">Cycle I and </w:t>
      </w:r>
      <w:r w:rsidRPr="00BC76FE">
        <w:rPr>
          <w:rFonts w:ascii="Palatino Linotype" w:hAnsi="Palatino Linotype"/>
          <w:b/>
          <w:bCs/>
          <w:sz w:val="22"/>
          <w:szCs w:val="22"/>
        </w:rPr>
        <w:t>Cycle II</w:t>
      </w:r>
      <w:r>
        <w:rPr>
          <w:rFonts w:ascii="Palatino Linotype" w:hAnsi="Palatino Linotype"/>
          <w:b/>
          <w:bCs/>
          <w:sz w:val="22"/>
          <w:szCs w:val="22"/>
        </w:rPr>
        <w:t xml:space="preserve"> </w:t>
      </w:r>
    </w:p>
    <w:p w:rsidR="00DA416F" w:rsidRPr="00BC76FE" w:rsidRDefault="00DA416F" w:rsidP="00325EBF">
      <w:pPr>
        <w:tabs>
          <w:tab w:val="center" w:pos="4680"/>
        </w:tabs>
        <w:jc w:val="center"/>
        <w:rPr>
          <w:rFonts w:ascii="Palatino Linotype" w:hAnsi="Palatino Linotype"/>
          <w:b/>
          <w:bCs/>
          <w:sz w:val="22"/>
          <w:szCs w:val="22"/>
        </w:rPr>
      </w:pPr>
      <w:r>
        <w:rPr>
          <w:rFonts w:ascii="Palatino Linotype" w:hAnsi="Palatino Linotype"/>
          <w:b/>
          <w:bCs/>
          <w:sz w:val="22"/>
          <w:szCs w:val="22"/>
        </w:rPr>
        <w:t>OMB- Control No. 0938-1121</w:t>
      </w:r>
    </w:p>
    <w:p w:rsidR="00DA416F" w:rsidRPr="00BC76FE" w:rsidRDefault="00DA416F">
      <w:pPr>
        <w:rPr>
          <w:rFonts w:ascii="Palatino Linotype" w:hAnsi="Palatino Linotype"/>
          <w:b/>
          <w:bCs/>
          <w:sz w:val="22"/>
          <w:szCs w:val="22"/>
        </w:rPr>
      </w:pPr>
    </w:p>
    <w:p w:rsidR="00DA416F" w:rsidRPr="00BC76FE" w:rsidRDefault="00DA416F">
      <w:pPr>
        <w:rPr>
          <w:rFonts w:ascii="Palatino Linotype" w:hAnsi="Palatino Linotype"/>
          <w:b/>
          <w:bCs/>
          <w:sz w:val="22"/>
          <w:szCs w:val="22"/>
        </w:rPr>
      </w:pPr>
      <w:r w:rsidRPr="00BC76FE">
        <w:rPr>
          <w:rFonts w:ascii="Palatino Linotype" w:hAnsi="Palatino Linotype"/>
          <w:b/>
          <w:bCs/>
          <w:sz w:val="22"/>
          <w:szCs w:val="22"/>
        </w:rPr>
        <w:t>A.</w:t>
      </w:r>
      <w:r w:rsidRPr="00BC76FE">
        <w:rPr>
          <w:rFonts w:ascii="Palatino Linotype" w:hAnsi="Palatino Linotype"/>
          <w:b/>
          <w:bCs/>
          <w:sz w:val="22"/>
          <w:szCs w:val="22"/>
        </w:rPr>
        <w:tab/>
        <w:t>Justification</w:t>
      </w:r>
    </w:p>
    <w:p w:rsidR="00DA416F" w:rsidRPr="00BC76FE" w:rsidRDefault="00DA416F">
      <w:pPr>
        <w:rPr>
          <w:rFonts w:ascii="Palatino Linotype" w:hAnsi="Palatino Linotype"/>
          <w:sz w:val="22"/>
          <w:szCs w:val="22"/>
        </w:rPr>
      </w:pPr>
    </w:p>
    <w:p w:rsidR="00DA416F" w:rsidRPr="00BC76FE" w:rsidRDefault="00DA416F">
      <w:pPr>
        <w:numPr>
          <w:ilvl w:val="0"/>
          <w:numId w:val="1"/>
        </w:numPr>
        <w:rPr>
          <w:rFonts w:ascii="Palatino Linotype" w:hAnsi="Palatino Linotype"/>
          <w:b/>
          <w:sz w:val="22"/>
          <w:szCs w:val="22"/>
        </w:rPr>
      </w:pPr>
      <w:r w:rsidRPr="00BC76FE">
        <w:rPr>
          <w:rFonts w:ascii="Palatino Linotype" w:hAnsi="Palatino Linotype"/>
          <w:b/>
          <w:sz w:val="22"/>
          <w:szCs w:val="22"/>
          <w:u w:val="single"/>
        </w:rPr>
        <w:t>Circumstances Making the Collection of Information Necessary</w:t>
      </w:r>
    </w:p>
    <w:p w:rsidR="00DA416F" w:rsidRPr="00BC76FE" w:rsidRDefault="00DA416F">
      <w:pPr>
        <w:ind w:left="720"/>
        <w:rPr>
          <w:rFonts w:ascii="Palatino Linotype" w:hAnsi="Palatino Linotype"/>
          <w:sz w:val="22"/>
          <w:szCs w:val="22"/>
        </w:rPr>
      </w:pPr>
      <w:r w:rsidRPr="00BC76FE">
        <w:rPr>
          <w:rFonts w:ascii="Palatino Linotype" w:hAnsi="Palatino Linotype"/>
          <w:sz w:val="22"/>
          <w:szCs w:val="22"/>
        </w:rPr>
        <w:tab/>
      </w:r>
    </w:p>
    <w:p w:rsidR="00DA416F" w:rsidRPr="00BC76FE" w:rsidRDefault="00DA416F" w:rsidP="00564727">
      <w:pPr>
        <w:ind w:left="360"/>
        <w:rPr>
          <w:rFonts w:ascii="Palatino Linotype" w:hAnsi="Palatino Linotype"/>
          <w:sz w:val="22"/>
        </w:rPr>
      </w:pPr>
      <w:r w:rsidRPr="00BC76FE">
        <w:rPr>
          <w:rFonts w:ascii="Palatino Linotype" w:hAnsi="Palatino Linotype"/>
          <w:sz w:val="22"/>
        </w:rPr>
        <w:t>On March 23, 2010, the President signed into law H.R. 3590, the Patient Protection and Affordable Care Act (ACA), Public Law 111-148.  Section 1003 of the Affordable Care Act</w:t>
      </w:r>
      <w:r w:rsidRPr="00BC76FE">
        <w:rPr>
          <w:rFonts w:ascii="Palatino Linotype" w:hAnsi="Palatino Linotype"/>
          <w:sz w:val="22"/>
          <w:szCs w:val="22"/>
        </w:rPr>
        <w:t xml:space="preserve"> amends the Public Health Service Act by adding Section 2794 “Ensuring Consumers Receive Value for Their Dollars.”  This section</w:t>
      </w:r>
      <w:r w:rsidRPr="00BC76FE">
        <w:rPr>
          <w:rFonts w:ascii="Palatino Linotype" w:hAnsi="Palatino Linotype"/>
          <w:sz w:val="22"/>
        </w:rPr>
        <w:t xml:space="preserve"> requires the Secretary of HHS in conjunction with States and territories, to establish a process for the annual review of health insurance premiums to protect consumers from unreasonable, unjustified and/or excessive plan increases.  This requirement takes effect beginning with the 2010 plan year.  Section 1003 also establishes a program of grants to states for health insurance premium review.  States and territories receiving a grant award are to review, and if appropriate under State law, approve premium changes and provide information to the Secretary on premium increases.  </w:t>
      </w:r>
    </w:p>
    <w:p w:rsidR="00DA416F" w:rsidRPr="00BC76FE" w:rsidRDefault="00DA416F" w:rsidP="00564727">
      <w:pPr>
        <w:ind w:left="360"/>
        <w:rPr>
          <w:rFonts w:ascii="Palatino Linotype" w:hAnsi="Palatino Linotype"/>
          <w:sz w:val="22"/>
        </w:rPr>
      </w:pPr>
    </w:p>
    <w:p w:rsidR="00DA416F" w:rsidRDefault="00DA416F" w:rsidP="00564727">
      <w:pPr>
        <w:ind w:left="360"/>
        <w:rPr>
          <w:rFonts w:ascii="Palatino Linotype" w:hAnsi="Palatino Linotype"/>
          <w:sz w:val="22"/>
          <w:szCs w:val="22"/>
        </w:rPr>
      </w:pPr>
      <w:r>
        <w:rPr>
          <w:rFonts w:ascii="Palatino Linotype" w:hAnsi="Palatino Linotype"/>
          <w:sz w:val="22"/>
          <w:szCs w:val="22"/>
        </w:rPr>
        <w:t xml:space="preserve">The U.S. Department of </w:t>
      </w:r>
      <w:r w:rsidRPr="00BC76FE">
        <w:rPr>
          <w:rFonts w:ascii="Palatino Linotype" w:hAnsi="Palatino Linotype"/>
          <w:sz w:val="22"/>
          <w:szCs w:val="22"/>
        </w:rPr>
        <w:t>H</w:t>
      </w:r>
      <w:r>
        <w:rPr>
          <w:rFonts w:ascii="Palatino Linotype" w:hAnsi="Palatino Linotype"/>
          <w:sz w:val="22"/>
          <w:szCs w:val="22"/>
        </w:rPr>
        <w:t xml:space="preserve">ealth and </w:t>
      </w:r>
      <w:r w:rsidRPr="00BC76FE">
        <w:rPr>
          <w:rFonts w:ascii="Palatino Linotype" w:hAnsi="Palatino Linotype"/>
          <w:sz w:val="22"/>
          <w:szCs w:val="22"/>
        </w:rPr>
        <w:t>H</w:t>
      </w:r>
      <w:r>
        <w:rPr>
          <w:rFonts w:ascii="Palatino Linotype" w:hAnsi="Palatino Linotype"/>
          <w:sz w:val="22"/>
          <w:szCs w:val="22"/>
        </w:rPr>
        <w:t xml:space="preserve">uman </w:t>
      </w:r>
      <w:r w:rsidRPr="00BC76FE">
        <w:rPr>
          <w:rFonts w:ascii="Palatino Linotype" w:hAnsi="Palatino Linotype"/>
          <w:sz w:val="22"/>
          <w:szCs w:val="22"/>
        </w:rPr>
        <w:t>S</w:t>
      </w:r>
      <w:r>
        <w:rPr>
          <w:rFonts w:ascii="Palatino Linotype" w:hAnsi="Palatino Linotype"/>
          <w:sz w:val="22"/>
          <w:szCs w:val="22"/>
        </w:rPr>
        <w:t>ervices (HHS)</w:t>
      </w:r>
      <w:r w:rsidRPr="00BC76FE">
        <w:rPr>
          <w:rFonts w:ascii="Palatino Linotype" w:hAnsi="Palatino Linotype"/>
          <w:sz w:val="22"/>
          <w:szCs w:val="22"/>
        </w:rPr>
        <w:t xml:space="preserve"> released the</w:t>
      </w:r>
      <w:r>
        <w:rPr>
          <w:rFonts w:ascii="Palatino Linotype" w:hAnsi="Palatino Linotype"/>
          <w:sz w:val="22"/>
          <w:szCs w:val="22"/>
        </w:rPr>
        <w:t xml:space="preserve"> Premium Review Grants</w:t>
      </w:r>
      <w:r w:rsidRPr="00BC76FE">
        <w:rPr>
          <w:rFonts w:ascii="Palatino Linotype" w:hAnsi="Palatino Linotype"/>
          <w:sz w:val="22"/>
          <w:szCs w:val="22"/>
        </w:rPr>
        <w:t xml:space="preserve"> Cycle I funding opportunity twice; first to States (and the </w:t>
      </w:r>
      <w:smartTag w:uri="urn:schemas-microsoft-com:office:smarttags" w:element="State">
        <w:smartTag w:uri="urn:schemas-microsoft-com:office:smarttags" w:element="place">
          <w:r w:rsidRPr="00BC76FE">
            <w:rPr>
              <w:rFonts w:ascii="Palatino Linotype" w:hAnsi="Palatino Linotype"/>
              <w:sz w:val="22"/>
              <w:szCs w:val="22"/>
            </w:rPr>
            <w:t>District of Columbia</w:t>
          </w:r>
        </w:smartTag>
      </w:smartTag>
      <w:r w:rsidRPr="00BC76FE">
        <w:rPr>
          <w:rFonts w:ascii="Palatino Linotype" w:hAnsi="Palatino Linotype"/>
          <w:sz w:val="22"/>
          <w:szCs w:val="22"/>
        </w:rPr>
        <w:t>)</w:t>
      </w:r>
      <w:r>
        <w:rPr>
          <w:rFonts w:ascii="Palatino Linotype" w:hAnsi="Palatino Linotype"/>
          <w:sz w:val="22"/>
          <w:szCs w:val="22"/>
        </w:rPr>
        <w:t xml:space="preserve"> in July 2010</w:t>
      </w:r>
      <w:r w:rsidRPr="00BC76FE">
        <w:rPr>
          <w:rFonts w:ascii="Palatino Linotype" w:hAnsi="Palatino Linotype"/>
          <w:sz w:val="22"/>
          <w:szCs w:val="22"/>
        </w:rPr>
        <w:t xml:space="preserve"> and then to the territories and the five States that did not apply during the first release.  The second release was due to the decision that the territories were subject to provisions of the ACA and hence eligible for the </w:t>
      </w:r>
      <w:r>
        <w:rPr>
          <w:rFonts w:ascii="Palatino Linotype" w:hAnsi="Palatino Linotype"/>
          <w:sz w:val="22"/>
          <w:szCs w:val="22"/>
        </w:rPr>
        <w:t>Rate</w:t>
      </w:r>
      <w:r w:rsidR="001D00D7">
        <w:rPr>
          <w:rFonts w:ascii="Palatino Linotype" w:hAnsi="Palatino Linotype"/>
          <w:sz w:val="22"/>
          <w:szCs w:val="22"/>
        </w:rPr>
        <w:t xml:space="preserve"> Review Grants.  46</w:t>
      </w:r>
      <w:r w:rsidRPr="00BC76FE">
        <w:rPr>
          <w:rFonts w:ascii="Palatino Linotype" w:hAnsi="Palatino Linotype"/>
          <w:sz w:val="22"/>
          <w:szCs w:val="22"/>
        </w:rPr>
        <w:t xml:space="preserve"> States</w:t>
      </w:r>
      <w:r>
        <w:rPr>
          <w:rFonts w:ascii="Palatino Linotype" w:hAnsi="Palatino Linotype"/>
          <w:sz w:val="22"/>
          <w:szCs w:val="22"/>
        </w:rPr>
        <w:t>, 5 Territories</w:t>
      </w:r>
      <w:r w:rsidRPr="00BC76FE">
        <w:rPr>
          <w:rFonts w:ascii="Palatino Linotype" w:hAnsi="Palatino Linotype"/>
          <w:sz w:val="22"/>
          <w:szCs w:val="22"/>
        </w:rPr>
        <w:t xml:space="preserve"> plus the District of Columbia were awarded grants.  </w:t>
      </w:r>
    </w:p>
    <w:p w:rsidR="00DA416F" w:rsidRDefault="00DA416F" w:rsidP="00564727">
      <w:pPr>
        <w:ind w:left="360"/>
        <w:rPr>
          <w:rFonts w:ascii="Palatino Linotype" w:hAnsi="Palatino Linotype"/>
          <w:sz w:val="22"/>
          <w:szCs w:val="22"/>
        </w:rPr>
      </w:pPr>
    </w:p>
    <w:p w:rsidR="00DA416F" w:rsidRDefault="00DA416F" w:rsidP="00564727">
      <w:pPr>
        <w:ind w:left="360"/>
        <w:rPr>
          <w:rFonts w:ascii="Palatino Linotype" w:hAnsi="Palatino Linotype"/>
          <w:sz w:val="22"/>
          <w:szCs w:val="22"/>
        </w:rPr>
      </w:pPr>
      <w:r>
        <w:rPr>
          <w:rFonts w:ascii="Palatino Linotype" w:hAnsi="Palatino Linotype"/>
          <w:sz w:val="22"/>
          <w:szCs w:val="22"/>
        </w:rPr>
        <w:t>HHS is seeking to release Cycle II of the Rate Review Grants.</w:t>
      </w:r>
      <w:r w:rsidRPr="0067040D">
        <w:rPr>
          <w:sz w:val="24"/>
        </w:rPr>
        <w:t xml:space="preserve"> </w:t>
      </w:r>
      <w:r>
        <w:rPr>
          <w:sz w:val="24"/>
        </w:rPr>
        <w:t xml:space="preserve"> </w:t>
      </w:r>
      <w:r w:rsidRPr="0067040D">
        <w:rPr>
          <w:rFonts w:ascii="Palatino Linotype" w:hAnsi="Palatino Linotype"/>
          <w:sz w:val="22"/>
          <w:szCs w:val="22"/>
        </w:rPr>
        <w:t xml:space="preserve">The Cycle II </w:t>
      </w:r>
      <w:r>
        <w:rPr>
          <w:rFonts w:ascii="Palatino Linotype" w:hAnsi="Palatino Linotype"/>
          <w:sz w:val="22"/>
          <w:szCs w:val="22"/>
        </w:rPr>
        <w:t xml:space="preserve">grants </w:t>
      </w:r>
      <w:r w:rsidRPr="0067040D">
        <w:rPr>
          <w:rFonts w:ascii="Palatino Linotype" w:hAnsi="Palatino Linotype"/>
          <w:sz w:val="22"/>
          <w:szCs w:val="22"/>
        </w:rPr>
        <w:t xml:space="preserve">provides the opportunity to coordinate the process for review of annual health insurance rates outlined in the </w:t>
      </w:r>
      <w:r w:rsidRPr="00461967">
        <w:rPr>
          <w:rFonts w:ascii="Palatino Linotype" w:hAnsi="Palatino Linotype"/>
          <w:sz w:val="22"/>
          <w:szCs w:val="22"/>
        </w:rPr>
        <w:t xml:space="preserve">Rate </w:t>
      </w:r>
      <w:r w:rsidRPr="00461967">
        <w:rPr>
          <w:rFonts w:ascii="Palatino Linotype" w:hAnsi="Palatino Linotype"/>
          <w:bCs/>
          <w:sz w:val="22"/>
          <w:szCs w:val="22"/>
        </w:rPr>
        <w:t xml:space="preserve">Increase Disclosure and Review Proposed Rule, </w:t>
      </w:r>
      <w:r w:rsidRPr="00461967">
        <w:rPr>
          <w:rStyle w:val="volumefirstchild"/>
          <w:rFonts w:ascii="Palatino Linotype" w:hAnsi="Palatino Linotype"/>
          <w:sz w:val="22"/>
          <w:szCs w:val="22"/>
        </w:rPr>
        <w:t>75</w:t>
      </w:r>
      <w:r w:rsidRPr="00461967">
        <w:rPr>
          <w:rFonts w:ascii="Palatino Linotype" w:hAnsi="Palatino Linotype"/>
          <w:sz w:val="22"/>
          <w:szCs w:val="22"/>
        </w:rPr>
        <w:t xml:space="preserve"> FR </w:t>
      </w:r>
      <w:r w:rsidRPr="00461967">
        <w:rPr>
          <w:rStyle w:val="pagelastchild"/>
          <w:rFonts w:ascii="Palatino Linotype" w:hAnsi="Palatino Linotype"/>
          <w:sz w:val="22"/>
          <w:szCs w:val="22"/>
        </w:rPr>
        <w:t>81004</w:t>
      </w:r>
      <w:r>
        <w:rPr>
          <w:rStyle w:val="pagelastchild"/>
          <w:rFonts w:ascii="Palatino Linotype" w:hAnsi="Palatino Linotype"/>
          <w:sz w:val="22"/>
          <w:szCs w:val="22"/>
        </w:rPr>
        <w:t xml:space="preserve"> (</w:t>
      </w:r>
      <w:r w:rsidRPr="0067040D">
        <w:rPr>
          <w:rFonts w:ascii="Palatino Linotype" w:hAnsi="Palatino Linotype"/>
          <w:sz w:val="22"/>
          <w:szCs w:val="22"/>
        </w:rPr>
        <w:t>NPRM</w:t>
      </w:r>
      <w:r>
        <w:rPr>
          <w:rFonts w:ascii="Palatino Linotype" w:hAnsi="Palatino Linotype"/>
          <w:sz w:val="22"/>
          <w:szCs w:val="22"/>
        </w:rPr>
        <w:t>)</w:t>
      </w:r>
      <w:r w:rsidRPr="0067040D">
        <w:rPr>
          <w:rFonts w:ascii="Palatino Linotype" w:hAnsi="Palatino Linotype"/>
          <w:sz w:val="22"/>
          <w:szCs w:val="22"/>
        </w:rPr>
        <w:t xml:space="preserve"> with the resources made available to the States </w:t>
      </w:r>
      <w:r>
        <w:rPr>
          <w:rFonts w:ascii="Palatino Linotype" w:hAnsi="Palatino Linotype"/>
          <w:sz w:val="22"/>
          <w:szCs w:val="22"/>
        </w:rPr>
        <w:t xml:space="preserve">and Territories (herein after called “States”) </w:t>
      </w:r>
      <w:r w:rsidRPr="0067040D">
        <w:rPr>
          <w:rFonts w:ascii="Palatino Linotype" w:hAnsi="Palatino Linotype"/>
          <w:sz w:val="22"/>
          <w:szCs w:val="22"/>
        </w:rPr>
        <w:t xml:space="preserve">through the grant program.  For Cycle II, the grant program requirements </w:t>
      </w:r>
      <w:r>
        <w:rPr>
          <w:rFonts w:ascii="Palatino Linotype" w:hAnsi="Palatino Linotype"/>
          <w:sz w:val="22"/>
          <w:szCs w:val="22"/>
        </w:rPr>
        <w:t>are</w:t>
      </w:r>
      <w:r w:rsidRPr="0067040D">
        <w:rPr>
          <w:rFonts w:ascii="Palatino Linotype" w:hAnsi="Palatino Linotype"/>
          <w:sz w:val="22"/>
          <w:szCs w:val="22"/>
        </w:rPr>
        <w:t xml:space="preserve"> based largely on the definition of an “effective rate review program</w:t>
      </w:r>
      <w:r>
        <w:rPr>
          <w:rFonts w:ascii="Palatino Linotype" w:hAnsi="Palatino Linotype"/>
          <w:sz w:val="22"/>
          <w:szCs w:val="22"/>
        </w:rPr>
        <w:t>” described in the NPRM that will be finalized in future rulemaking.</w:t>
      </w:r>
      <w:r w:rsidRPr="0067040D">
        <w:rPr>
          <w:rFonts w:ascii="Palatino Linotype" w:hAnsi="Palatino Linotype"/>
          <w:sz w:val="22"/>
          <w:szCs w:val="22"/>
        </w:rPr>
        <w:t xml:space="preserve">  The Cycle II funding opportunity is designed to provide States with multiple opportunities to apply for funding as they progress toward becoming a State with an ‘effective rate review” progra</w:t>
      </w:r>
      <w:r w:rsidR="001D00D7">
        <w:rPr>
          <w:rFonts w:ascii="Palatino Linotype" w:hAnsi="Palatino Linotype"/>
          <w:sz w:val="22"/>
          <w:szCs w:val="22"/>
        </w:rPr>
        <w:t>m.  In order to be eligible for</w:t>
      </w:r>
      <w:r w:rsidRPr="0067040D">
        <w:rPr>
          <w:rFonts w:ascii="Palatino Linotype" w:hAnsi="Palatino Linotype"/>
          <w:sz w:val="22"/>
          <w:szCs w:val="22"/>
        </w:rPr>
        <w:t xml:space="preserve"> and receive Phase I funding, a State must demonstrate that it already has an “effective rate review program” as </w:t>
      </w:r>
      <w:r>
        <w:rPr>
          <w:rFonts w:ascii="Palatino Linotype" w:hAnsi="Palatino Linotype"/>
          <w:sz w:val="22"/>
          <w:szCs w:val="22"/>
        </w:rPr>
        <w:t xml:space="preserve">will be </w:t>
      </w:r>
      <w:r w:rsidRPr="0067040D">
        <w:rPr>
          <w:rFonts w:ascii="Palatino Linotype" w:hAnsi="Palatino Linotype"/>
          <w:sz w:val="22"/>
          <w:szCs w:val="22"/>
        </w:rPr>
        <w:t>outlined in the</w:t>
      </w:r>
      <w:r>
        <w:rPr>
          <w:rFonts w:ascii="Palatino Linotype" w:hAnsi="Palatino Linotype"/>
          <w:sz w:val="22"/>
          <w:szCs w:val="22"/>
        </w:rPr>
        <w:t xml:space="preserve"> final rule</w:t>
      </w:r>
      <w:r w:rsidRPr="0067040D">
        <w:rPr>
          <w:rFonts w:ascii="Palatino Linotype" w:hAnsi="Palatino Linotype"/>
          <w:sz w:val="22"/>
          <w:szCs w:val="22"/>
        </w:rPr>
        <w:t>; or a State must demonstrate that as a result of receiving Cycle II grant funds, it will have and will use the resources needed to review rates through an “effective rate review program.”</w:t>
      </w:r>
    </w:p>
    <w:p w:rsidR="00DA416F" w:rsidRDefault="00DA416F" w:rsidP="00564727">
      <w:pPr>
        <w:ind w:left="360"/>
        <w:rPr>
          <w:rFonts w:ascii="Palatino Linotype" w:hAnsi="Palatino Linotype"/>
          <w:sz w:val="22"/>
          <w:szCs w:val="22"/>
        </w:rPr>
      </w:pPr>
    </w:p>
    <w:p w:rsidR="00DA416F" w:rsidRDefault="00DA416F" w:rsidP="00564727">
      <w:pPr>
        <w:ind w:left="360"/>
        <w:rPr>
          <w:rFonts w:ascii="Palatino Linotype" w:hAnsi="Palatino Linotype"/>
          <w:sz w:val="22"/>
          <w:szCs w:val="22"/>
        </w:rPr>
      </w:pPr>
      <w:r w:rsidRPr="0067040D">
        <w:rPr>
          <w:rFonts w:ascii="Palatino Linotype" w:hAnsi="Palatino Linotype"/>
          <w:sz w:val="22"/>
          <w:szCs w:val="22"/>
        </w:rPr>
        <w:lastRenderedPageBreak/>
        <w:t xml:space="preserve">Phase II funding will be available to States that are unable to meet the standard or commitment requirements for a Phase I grant.  All grant applicants will be required to provide a plan to use grant funds to develop or enhance the State process for health insurance rate review through </w:t>
      </w:r>
      <w:r>
        <w:rPr>
          <w:rFonts w:ascii="Palatino Linotype" w:hAnsi="Palatino Linotype"/>
          <w:sz w:val="22"/>
          <w:szCs w:val="22"/>
        </w:rPr>
        <w:t>F</w:t>
      </w:r>
      <w:r w:rsidRPr="0067040D">
        <w:rPr>
          <w:rFonts w:ascii="Palatino Linotype" w:hAnsi="Palatino Linotype"/>
          <w:sz w:val="22"/>
          <w:szCs w:val="22"/>
        </w:rPr>
        <w:t>FY 2014, including a plan for disclosing rates to the public and a commitment to share rate trend information with the Secretary.</w:t>
      </w:r>
    </w:p>
    <w:p w:rsidR="00DA416F" w:rsidRDefault="00DA416F" w:rsidP="00564727">
      <w:pPr>
        <w:ind w:left="360"/>
        <w:rPr>
          <w:rFonts w:ascii="Palatino Linotype" w:hAnsi="Palatino Linotype"/>
          <w:sz w:val="22"/>
          <w:szCs w:val="22"/>
        </w:rPr>
      </w:pPr>
      <w:r w:rsidRPr="0067040D">
        <w:rPr>
          <w:rFonts w:ascii="Palatino Linotype" w:hAnsi="Palatino Linotype"/>
          <w:sz w:val="22"/>
          <w:szCs w:val="22"/>
        </w:rPr>
        <w:t xml:space="preserve">The Cycle II, Phase I grants will be awarded for a period of approximately three years, through FFY 2014.  Supplemental awards are available to a certain number of States based on population size and premium volume.  A second supplemental award is available to States based on performance, for example those States that have currently in place, or enact, enhancements to their rate review programs that provide additional protections to consumers, such as the ability to disapprove rates.  The NPRM </w:t>
      </w:r>
      <w:r>
        <w:rPr>
          <w:rFonts w:ascii="Palatino Linotype" w:hAnsi="Palatino Linotype"/>
          <w:sz w:val="22"/>
          <w:szCs w:val="22"/>
        </w:rPr>
        <w:t xml:space="preserve">did </w:t>
      </w:r>
      <w:r w:rsidRPr="0067040D">
        <w:rPr>
          <w:rFonts w:ascii="Palatino Linotype" w:hAnsi="Palatino Linotype"/>
          <w:sz w:val="22"/>
          <w:szCs w:val="22"/>
        </w:rPr>
        <w:t xml:space="preserve">not </w:t>
      </w:r>
      <w:r>
        <w:rPr>
          <w:rFonts w:ascii="Palatino Linotype" w:hAnsi="Palatino Linotype"/>
          <w:sz w:val="22"/>
          <w:szCs w:val="22"/>
        </w:rPr>
        <w:t xml:space="preserve">propose to </w:t>
      </w:r>
      <w:r w:rsidRPr="0067040D">
        <w:rPr>
          <w:rFonts w:ascii="Palatino Linotype" w:hAnsi="Palatino Linotype"/>
          <w:sz w:val="22"/>
          <w:szCs w:val="22"/>
        </w:rPr>
        <w:t xml:space="preserve">require that States have the authority or ability to disapprove rates in order to be considered a State with an “effective rate review” program, but </w:t>
      </w:r>
      <w:r>
        <w:rPr>
          <w:rFonts w:ascii="Palatino Linotype" w:hAnsi="Palatino Linotype"/>
          <w:sz w:val="22"/>
          <w:szCs w:val="22"/>
        </w:rPr>
        <w:t>did propose to</w:t>
      </w:r>
      <w:r w:rsidRPr="0067040D">
        <w:rPr>
          <w:rFonts w:ascii="Palatino Linotype" w:hAnsi="Palatino Linotype"/>
          <w:sz w:val="22"/>
          <w:szCs w:val="22"/>
        </w:rPr>
        <w:t xml:space="preserve"> require States to collect certain data and conduct an effective and timely review.  The Phase II grant program will be awarded for the duration of one or two years, depending upon the date of award.  Phase II grant awardees may also receive a performance bonus.  </w:t>
      </w:r>
    </w:p>
    <w:p w:rsidR="00DA416F" w:rsidRDefault="00DA416F" w:rsidP="00564727">
      <w:pPr>
        <w:ind w:left="360"/>
        <w:rPr>
          <w:rFonts w:ascii="Palatino Linotype" w:hAnsi="Palatino Linotype"/>
          <w:sz w:val="22"/>
          <w:szCs w:val="22"/>
        </w:rPr>
      </w:pPr>
    </w:p>
    <w:p w:rsidR="00DA416F" w:rsidRDefault="00DA416F" w:rsidP="00564727">
      <w:pPr>
        <w:ind w:left="360"/>
        <w:rPr>
          <w:rFonts w:ascii="Palatino Linotype" w:hAnsi="Palatino Linotype"/>
          <w:sz w:val="22"/>
          <w:szCs w:val="22"/>
        </w:rPr>
      </w:pPr>
      <w:r>
        <w:rPr>
          <w:rFonts w:ascii="Palatino Linotype" w:hAnsi="Palatino Linotype"/>
          <w:sz w:val="22"/>
          <w:szCs w:val="22"/>
        </w:rPr>
        <w:t xml:space="preserve">On February 24, 2011, </w:t>
      </w:r>
      <w:r w:rsidRPr="00BC76FE">
        <w:rPr>
          <w:rFonts w:ascii="Palatino Linotype" w:hAnsi="Palatino Linotype"/>
          <w:sz w:val="22"/>
        </w:rPr>
        <w:t xml:space="preserve">The Department of Health and Human Services </w:t>
      </w:r>
      <w:r>
        <w:rPr>
          <w:rFonts w:ascii="Palatino Linotype" w:hAnsi="Palatino Linotype"/>
          <w:sz w:val="22"/>
        </w:rPr>
        <w:t>(</w:t>
      </w:r>
      <w:r>
        <w:rPr>
          <w:rFonts w:ascii="Palatino Linotype" w:hAnsi="Palatino Linotype"/>
          <w:sz w:val="22"/>
          <w:szCs w:val="22"/>
        </w:rPr>
        <w:t xml:space="preserve">HHS) released the Funding Opportunity Award (FOA) for Cycle II Premium Rate Review Grants.  </w:t>
      </w:r>
      <w:r w:rsidRPr="004B01F7">
        <w:rPr>
          <w:rFonts w:ascii="Palatino Linotype" w:hAnsi="Palatino Linotype"/>
          <w:sz w:val="22"/>
          <w:szCs w:val="22"/>
        </w:rPr>
        <w:t>The response to the FOA w</w:t>
      </w:r>
      <w:r>
        <w:rPr>
          <w:rFonts w:ascii="Palatino Linotype" w:hAnsi="Palatino Linotype"/>
          <w:sz w:val="22"/>
          <w:szCs w:val="22"/>
        </w:rPr>
        <w:t>ill</w:t>
      </w:r>
      <w:r w:rsidRPr="004B01F7">
        <w:rPr>
          <w:rFonts w:ascii="Palatino Linotype" w:hAnsi="Palatino Linotype"/>
          <w:sz w:val="22"/>
          <w:szCs w:val="22"/>
        </w:rPr>
        <w:t xml:space="preserve"> be due in </w:t>
      </w:r>
      <w:r>
        <w:rPr>
          <w:rFonts w:ascii="Palatino Linotype" w:hAnsi="Palatino Linotype"/>
          <w:sz w:val="22"/>
          <w:szCs w:val="22"/>
        </w:rPr>
        <w:t xml:space="preserve">August 2011.  Awards are scheduled to be made 45 days after applications are due.  </w:t>
      </w:r>
    </w:p>
    <w:p w:rsidR="00DA416F" w:rsidRDefault="00DA416F" w:rsidP="00564727">
      <w:pPr>
        <w:ind w:left="360"/>
        <w:rPr>
          <w:rFonts w:ascii="Palatino Linotype" w:hAnsi="Palatino Linotype"/>
          <w:sz w:val="22"/>
          <w:szCs w:val="22"/>
        </w:rPr>
      </w:pPr>
    </w:p>
    <w:p w:rsidR="00DA416F" w:rsidRPr="00BC76FE" w:rsidRDefault="00DA416F" w:rsidP="00564727">
      <w:pPr>
        <w:ind w:left="360"/>
        <w:rPr>
          <w:rFonts w:ascii="Palatino Linotype" w:hAnsi="Palatino Linotype"/>
          <w:sz w:val="22"/>
        </w:rPr>
      </w:pPr>
      <w:r w:rsidRPr="00BC76FE">
        <w:rPr>
          <w:rFonts w:ascii="Palatino Linotype" w:hAnsi="Palatino Linotype"/>
          <w:sz w:val="22"/>
          <w:szCs w:val="22"/>
        </w:rPr>
        <w:t>States and territories</w:t>
      </w:r>
      <w:r w:rsidR="001D00D7">
        <w:rPr>
          <w:rFonts w:ascii="Palatino Linotype" w:hAnsi="Palatino Linotype"/>
          <w:sz w:val="22"/>
          <w:szCs w:val="22"/>
        </w:rPr>
        <w:t xml:space="preserve"> which</w:t>
      </w:r>
      <w:r>
        <w:rPr>
          <w:rFonts w:ascii="Palatino Linotype" w:hAnsi="Palatino Linotype"/>
          <w:sz w:val="22"/>
          <w:szCs w:val="22"/>
        </w:rPr>
        <w:t xml:space="preserve"> apply for funds are required to complete the grant application.  States and territories wh</w:t>
      </w:r>
      <w:r w:rsidR="001D00D7">
        <w:rPr>
          <w:rFonts w:ascii="Palatino Linotype" w:hAnsi="Palatino Linotype"/>
          <w:sz w:val="22"/>
          <w:szCs w:val="22"/>
        </w:rPr>
        <w:t>ich</w:t>
      </w:r>
      <w:r>
        <w:rPr>
          <w:rFonts w:ascii="Palatino Linotype" w:hAnsi="Palatino Linotype"/>
          <w:sz w:val="22"/>
          <w:szCs w:val="22"/>
        </w:rPr>
        <w:t xml:space="preserve"> are</w:t>
      </w:r>
      <w:r w:rsidRPr="00BC76FE">
        <w:rPr>
          <w:rFonts w:ascii="Palatino Linotype" w:hAnsi="Palatino Linotype"/>
          <w:sz w:val="22"/>
        </w:rPr>
        <w:t xml:space="preserve"> awarded funds under this funding opportunity are required to provide the Secretary with rate review data</w:t>
      </w:r>
      <w:r>
        <w:rPr>
          <w:rFonts w:ascii="Palatino Linotype" w:hAnsi="Palatino Linotype"/>
          <w:sz w:val="22"/>
          <w:szCs w:val="22"/>
        </w:rPr>
        <w:t>, four</w:t>
      </w:r>
      <w:r w:rsidRPr="00BC76FE">
        <w:rPr>
          <w:rFonts w:ascii="Palatino Linotype" w:hAnsi="Palatino Linotype"/>
          <w:sz w:val="22"/>
        </w:rPr>
        <w:t xml:space="preserve"> quarterly reports</w:t>
      </w:r>
      <w:r>
        <w:rPr>
          <w:rFonts w:ascii="Palatino Linotype" w:hAnsi="Palatino Linotype"/>
          <w:sz w:val="22"/>
          <w:szCs w:val="22"/>
        </w:rPr>
        <w:t>, and one annual report per year</w:t>
      </w:r>
      <w:r w:rsidRPr="00BC76FE">
        <w:rPr>
          <w:rFonts w:ascii="Palatino Linotype" w:hAnsi="Palatino Linotype"/>
          <w:sz w:val="22"/>
        </w:rPr>
        <w:t xml:space="preserve"> until the end of the grant period detailing the States’ progression towards a more comprehensive </w:t>
      </w:r>
      <w:r>
        <w:rPr>
          <w:rFonts w:ascii="Palatino Linotype" w:hAnsi="Palatino Linotype"/>
          <w:sz w:val="22"/>
          <w:szCs w:val="22"/>
        </w:rPr>
        <w:t xml:space="preserve">and effective </w:t>
      </w:r>
      <w:r w:rsidRPr="00BC76FE">
        <w:rPr>
          <w:rFonts w:ascii="Palatino Linotype" w:hAnsi="Palatino Linotype"/>
          <w:sz w:val="22"/>
        </w:rPr>
        <w:t>rate review process.</w:t>
      </w:r>
      <w:r w:rsidRPr="00BC76FE">
        <w:rPr>
          <w:rFonts w:ascii="Palatino Linotype" w:hAnsi="Palatino Linotype"/>
          <w:sz w:val="22"/>
          <w:szCs w:val="22"/>
        </w:rPr>
        <w:t xml:space="preserve">  </w:t>
      </w:r>
      <w:r>
        <w:rPr>
          <w:rFonts w:ascii="Palatino Linotype" w:hAnsi="Palatino Linotype"/>
          <w:sz w:val="22"/>
          <w:szCs w:val="22"/>
        </w:rPr>
        <w:t>A final report is due at the end of the grant period.</w:t>
      </w:r>
    </w:p>
    <w:p w:rsidR="00DA416F" w:rsidRPr="00BC76FE" w:rsidRDefault="00DA416F" w:rsidP="00564727">
      <w:pPr>
        <w:rPr>
          <w:rFonts w:ascii="Palatino Linotype" w:hAnsi="Palatino Linotype"/>
          <w:sz w:val="22"/>
        </w:rPr>
      </w:pPr>
    </w:p>
    <w:p w:rsidR="00DA416F" w:rsidRDefault="00DA416F" w:rsidP="00564727">
      <w:pPr>
        <w:ind w:left="360"/>
        <w:rPr>
          <w:rFonts w:ascii="Palatino Linotype" w:hAnsi="Palatino Linotype"/>
          <w:sz w:val="22"/>
        </w:rPr>
      </w:pPr>
      <w:r w:rsidRPr="00BC76FE">
        <w:rPr>
          <w:rFonts w:ascii="Palatino Linotype" w:hAnsi="Palatino Linotype"/>
          <w:sz w:val="22"/>
        </w:rPr>
        <w:t xml:space="preserve">HHS is requesting </w:t>
      </w:r>
      <w:r>
        <w:rPr>
          <w:rFonts w:ascii="Palatino Linotype" w:hAnsi="Palatino Linotype"/>
          <w:sz w:val="22"/>
        </w:rPr>
        <w:t>three-year approval</w:t>
      </w:r>
      <w:r w:rsidRPr="00BC76FE">
        <w:rPr>
          <w:rFonts w:ascii="Palatino Linotype" w:hAnsi="Palatino Linotype"/>
          <w:sz w:val="22"/>
        </w:rPr>
        <w:t xml:space="preserve"> by the Office of Management and Budget </w:t>
      </w:r>
      <w:r w:rsidRPr="00FB2202">
        <w:rPr>
          <w:rFonts w:ascii="Palatino Linotype" w:hAnsi="Palatino Linotype"/>
          <w:sz w:val="22"/>
        </w:rPr>
        <w:t>no later than August</w:t>
      </w:r>
      <w:r>
        <w:rPr>
          <w:rFonts w:ascii="Palatino Linotype" w:hAnsi="Palatino Linotype"/>
          <w:sz w:val="22"/>
          <w:szCs w:val="22"/>
        </w:rPr>
        <w:t xml:space="preserve"> 29</w:t>
      </w:r>
      <w:r w:rsidRPr="00FB2202">
        <w:rPr>
          <w:rFonts w:ascii="Palatino Linotype" w:hAnsi="Palatino Linotype"/>
          <w:sz w:val="22"/>
          <w:szCs w:val="22"/>
        </w:rPr>
        <w:t>, 2011</w:t>
      </w:r>
      <w:r w:rsidRPr="00BC76FE">
        <w:rPr>
          <w:rFonts w:ascii="Palatino Linotype" w:hAnsi="Palatino Linotype"/>
          <w:sz w:val="22"/>
        </w:rPr>
        <w:t xml:space="preserve"> to ensure that the </w:t>
      </w:r>
      <w:r>
        <w:rPr>
          <w:rFonts w:ascii="Palatino Linotype" w:hAnsi="Palatino Linotype"/>
          <w:sz w:val="22"/>
        </w:rPr>
        <w:t xml:space="preserve">current approval #0938-1092 does not expire on August 31, 2011 and so that HHS may begin to collect Cycle II applicant information and continue the reporting requirements of Cycle I. </w:t>
      </w:r>
    </w:p>
    <w:p w:rsidR="00DA416F" w:rsidRPr="00BC76FE" w:rsidRDefault="00DA416F" w:rsidP="00564727">
      <w:pPr>
        <w:ind w:left="360"/>
        <w:rPr>
          <w:rFonts w:ascii="Palatino Linotype" w:hAnsi="Palatino Linotype"/>
          <w:sz w:val="22"/>
        </w:rPr>
      </w:pPr>
    </w:p>
    <w:p w:rsidR="00DA416F" w:rsidRPr="00BC76FE" w:rsidRDefault="00DA416F">
      <w:pPr>
        <w:numPr>
          <w:ilvl w:val="0"/>
          <w:numId w:val="1"/>
        </w:numPr>
        <w:rPr>
          <w:rFonts w:ascii="Palatino Linotype" w:hAnsi="Palatino Linotype"/>
          <w:b/>
          <w:sz w:val="22"/>
          <w:szCs w:val="22"/>
        </w:rPr>
      </w:pPr>
      <w:r w:rsidRPr="00BC76FE">
        <w:rPr>
          <w:rFonts w:ascii="Palatino Linotype" w:hAnsi="Palatino Linotype"/>
          <w:b/>
          <w:sz w:val="22"/>
          <w:szCs w:val="22"/>
          <w:u w:val="single"/>
        </w:rPr>
        <w:t>Purpose and Use of Information Collection</w:t>
      </w:r>
    </w:p>
    <w:p w:rsidR="00DA416F" w:rsidRPr="00BC76FE" w:rsidRDefault="00DA416F" w:rsidP="00325EBF">
      <w:pPr>
        <w:pStyle w:val="EndnoteText"/>
        <w:rPr>
          <w:rFonts w:ascii="Palatino Linotype" w:hAnsi="Palatino Linotype"/>
          <w:sz w:val="22"/>
          <w:szCs w:val="22"/>
        </w:rPr>
      </w:pPr>
    </w:p>
    <w:p w:rsidR="00DA416F" w:rsidRPr="00564727" w:rsidRDefault="00DA416F" w:rsidP="00661FFF">
      <w:pPr>
        <w:pStyle w:val="EndnoteText"/>
        <w:ind w:left="360"/>
        <w:rPr>
          <w:rFonts w:ascii="Palatino Linotype" w:hAnsi="Palatino Linotype"/>
          <w:b/>
          <w:sz w:val="22"/>
          <w:szCs w:val="22"/>
          <w:u w:val="single"/>
        </w:rPr>
      </w:pPr>
      <w:r w:rsidRPr="00564727">
        <w:rPr>
          <w:rFonts w:ascii="Palatino Linotype" w:hAnsi="Palatino Linotype"/>
          <w:b/>
          <w:sz w:val="22"/>
          <w:szCs w:val="22"/>
          <w:u w:val="single"/>
        </w:rPr>
        <w:t>Cycle I Process</w:t>
      </w:r>
    </w:p>
    <w:p w:rsidR="00DA416F" w:rsidRDefault="00DA416F" w:rsidP="00564727">
      <w:pPr>
        <w:pStyle w:val="EndnoteText"/>
        <w:ind w:left="360"/>
        <w:rPr>
          <w:sz w:val="24"/>
          <w:szCs w:val="24"/>
        </w:rPr>
      </w:pPr>
      <w:r>
        <w:rPr>
          <w:sz w:val="24"/>
          <w:szCs w:val="24"/>
        </w:rPr>
        <w:t xml:space="preserve">The data collection is used by HHS to request that States and territories submit the following: </w:t>
      </w:r>
    </w:p>
    <w:p w:rsidR="00DA416F" w:rsidRDefault="00DA416F" w:rsidP="00564727">
      <w:pPr>
        <w:pStyle w:val="EndnoteText"/>
        <w:ind w:left="360"/>
        <w:rPr>
          <w:sz w:val="24"/>
          <w:szCs w:val="24"/>
        </w:rPr>
      </w:pPr>
    </w:p>
    <w:p w:rsidR="00DA416F" w:rsidRDefault="00DA416F" w:rsidP="00564727">
      <w:pPr>
        <w:pStyle w:val="EndnoteText"/>
        <w:numPr>
          <w:ilvl w:val="0"/>
          <w:numId w:val="22"/>
        </w:numPr>
        <w:rPr>
          <w:sz w:val="24"/>
        </w:rPr>
      </w:pPr>
      <w:r>
        <w:rPr>
          <w:sz w:val="24"/>
        </w:rPr>
        <w:t>An application to apply for the Cycle I Health Insurance Rate Review Grants.  Guidance requirements for the application were provided on pages 12-20 of the initial funding opportunity announcement dated June 7, 2010.</w:t>
      </w:r>
    </w:p>
    <w:p w:rsidR="00DA416F" w:rsidRDefault="00DA416F" w:rsidP="00564727">
      <w:pPr>
        <w:pStyle w:val="EndnoteText"/>
        <w:numPr>
          <w:ilvl w:val="0"/>
          <w:numId w:val="22"/>
        </w:numPr>
        <w:rPr>
          <w:sz w:val="24"/>
        </w:rPr>
      </w:pPr>
      <w:r w:rsidRPr="00E306E0">
        <w:rPr>
          <w:sz w:val="24"/>
        </w:rPr>
        <w:lastRenderedPageBreak/>
        <w:t xml:space="preserve">Four quarterly reports to the Secretary detailing the States’ progression towards a more comprehensive rate review process, utilizing funds awarded in Cycle I Health Insurance Premium Review Grants.  </w:t>
      </w:r>
    </w:p>
    <w:p w:rsidR="00DA416F" w:rsidRDefault="00DA416F" w:rsidP="00564727">
      <w:pPr>
        <w:pStyle w:val="EndnoteText"/>
        <w:numPr>
          <w:ilvl w:val="0"/>
          <w:numId w:val="22"/>
        </w:numPr>
        <w:rPr>
          <w:sz w:val="24"/>
        </w:rPr>
      </w:pPr>
      <w:r>
        <w:rPr>
          <w:sz w:val="24"/>
        </w:rPr>
        <w:t>Rate review transaction data collected by the State.</w:t>
      </w:r>
    </w:p>
    <w:p w:rsidR="00DA416F" w:rsidRPr="00D937C3" w:rsidRDefault="00DA416F" w:rsidP="00564727">
      <w:pPr>
        <w:pStyle w:val="EndnoteText"/>
        <w:numPr>
          <w:ilvl w:val="0"/>
          <w:numId w:val="22"/>
        </w:numPr>
        <w:rPr>
          <w:sz w:val="24"/>
        </w:rPr>
      </w:pPr>
      <w:r>
        <w:rPr>
          <w:sz w:val="24"/>
        </w:rPr>
        <w:t>One final Cycle I report</w:t>
      </w:r>
    </w:p>
    <w:p w:rsidR="00DA416F" w:rsidRDefault="00DA416F" w:rsidP="00564727">
      <w:pPr>
        <w:rPr>
          <w:sz w:val="24"/>
        </w:rPr>
      </w:pPr>
    </w:p>
    <w:p w:rsidR="00DA416F" w:rsidRPr="00DE39D8" w:rsidRDefault="00DA416F" w:rsidP="00564727">
      <w:pPr>
        <w:tabs>
          <w:tab w:val="left" w:pos="810"/>
        </w:tabs>
        <w:ind w:left="360"/>
        <w:rPr>
          <w:sz w:val="24"/>
        </w:rPr>
      </w:pPr>
      <w:r>
        <w:rPr>
          <w:sz w:val="24"/>
        </w:rPr>
        <w:t xml:space="preserve">This information will assist HHS in planning for and executing grants to States for health insurance premium review.  In addition, reporting of </w:t>
      </w:r>
      <w:r w:rsidRPr="00DE39D8">
        <w:rPr>
          <w:sz w:val="24"/>
        </w:rPr>
        <w:t xml:space="preserve">information </w:t>
      </w:r>
      <w:r>
        <w:rPr>
          <w:sz w:val="24"/>
        </w:rPr>
        <w:t xml:space="preserve">by grant awardees </w:t>
      </w:r>
      <w:r w:rsidRPr="00DE39D8">
        <w:rPr>
          <w:sz w:val="24"/>
        </w:rPr>
        <w:t xml:space="preserve">will assist HHS in </w:t>
      </w:r>
      <w:r>
        <w:rPr>
          <w:sz w:val="24"/>
        </w:rPr>
        <w:t>assuring that grant awardees report and share finding with the Secretary as required by the grant program.</w:t>
      </w:r>
    </w:p>
    <w:p w:rsidR="00DA416F" w:rsidRDefault="00DA416F" w:rsidP="00661FFF">
      <w:pPr>
        <w:pStyle w:val="EndnoteText"/>
        <w:ind w:left="360"/>
        <w:rPr>
          <w:rFonts w:ascii="Palatino Linotype" w:hAnsi="Palatino Linotype"/>
          <w:sz w:val="22"/>
          <w:szCs w:val="22"/>
        </w:rPr>
      </w:pPr>
    </w:p>
    <w:p w:rsidR="00DA416F" w:rsidRPr="00564727" w:rsidRDefault="00DA416F" w:rsidP="00564727">
      <w:pPr>
        <w:pStyle w:val="EndnoteText"/>
        <w:ind w:firstLine="360"/>
        <w:rPr>
          <w:rFonts w:ascii="Palatino Linotype" w:hAnsi="Palatino Linotype"/>
          <w:b/>
          <w:sz w:val="22"/>
          <w:szCs w:val="22"/>
          <w:u w:val="single"/>
        </w:rPr>
      </w:pPr>
      <w:r w:rsidRPr="00564727">
        <w:rPr>
          <w:rFonts w:ascii="Palatino Linotype" w:hAnsi="Palatino Linotype"/>
          <w:b/>
          <w:sz w:val="22"/>
          <w:szCs w:val="22"/>
          <w:u w:val="single"/>
        </w:rPr>
        <w:t>Cycle II Process</w:t>
      </w:r>
    </w:p>
    <w:p w:rsidR="00DA416F" w:rsidRPr="00BC76FE" w:rsidRDefault="00DA416F" w:rsidP="00661FFF">
      <w:pPr>
        <w:pStyle w:val="EndnoteText"/>
        <w:ind w:left="360"/>
        <w:rPr>
          <w:rFonts w:ascii="Palatino Linotype" w:hAnsi="Palatino Linotype"/>
          <w:sz w:val="22"/>
          <w:szCs w:val="22"/>
        </w:rPr>
      </w:pPr>
      <w:r w:rsidRPr="00BC76FE">
        <w:rPr>
          <w:rFonts w:ascii="Palatino Linotype" w:hAnsi="Palatino Linotype"/>
          <w:sz w:val="22"/>
          <w:szCs w:val="22"/>
        </w:rPr>
        <w:t xml:space="preserve">The data collection will be used by HHS to request that States and territories submit the following: </w:t>
      </w:r>
    </w:p>
    <w:p w:rsidR="00DA416F" w:rsidRPr="00BC76FE" w:rsidRDefault="00DA416F" w:rsidP="00661FFF">
      <w:pPr>
        <w:pStyle w:val="EndnoteText"/>
        <w:ind w:left="360"/>
        <w:rPr>
          <w:rFonts w:ascii="Palatino Linotype" w:hAnsi="Palatino Linotype"/>
          <w:sz w:val="22"/>
          <w:szCs w:val="22"/>
        </w:rPr>
      </w:pPr>
    </w:p>
    <w:p w:rsidR="00DA416F" w:rsidRPr="00BC76FE" w:rsidRDefault="00DA416F" w:rsidP="009E207E">
      <w:pPr>
        <w:pStyle w:val="EndnoteText"/>
        <w:numPr>
          <w:ilvl w:val="0"/>
          <w:numId w:val="22"/>
        </w:numPr>
        <w:rPr>
          <w:rFonts w:ascii="Palatino Linotype" w:hAnsi="Palatino Linotype"/>
          <w:sz w:val="22"/>
          <w:szCs w:val="22"/>
        </w:rPr>
      </w:pPr>
      <w:r w:rsidRPr="00BC76FE">
        <w:rPr>
          <w:rFonts w:ascii="Palatino Linotype" w:hAnsi="Palatino Linotype"/>
          <w:sz w:val="22"/>
          <w:szCs w:val="22"/>
        </w:rPr>
        <w:t>An application to apply for the Cycle I</w:t>
      </w:r>
      <w:r>
        <w:rPr>
          <w:rFonts w:ascii="Palatino Linotype" w:hAnsi="Palatino Linotype"/>
          <w:sz w:val="22"/>
          <w:szCs w:val="22"/>
        </w:rPr>
        <w:t>I</w:t>
      </w:r>
      <w:r w:rsidRPr="00BC76FE">
        <w:rPr>
          <w:rFonts w:ascii="Palatino Linotype" w:hAnsi="Palatino Linotype"/>
          <w:sz w:val="22"/>
          <w:szCs w:val="22"/>
        </w:rPr>
        <w:t xml:space="preserve"> Premium Review Grants.  Guidance requirements for the application are provided </w:t>
      </w:r>
      <w:r>
        <w:rPr>
          <w:rFonts w:ascii="Palatino Linotype" w:hAnsi="Palatino Linotype"/>
          <w:sz w:val="22"/>
          <w:szCs w:val="22"/>
        </w:rPr>
        <w:t xml:space="preserve">beginning </w:t>
      </w:r>
      <w:r w:rsidRPr="00BC76FE">
        <w:rPr>
          <w:rFonts w:ascii="Palatino Linotype" w:hAnsi="Palatino Linotype"/>
          <w:sz w:val="22"/>
          <w:szCs w:val="22"/>
        </w:rPr>
        <w:t>on page</w:t>
      </w:r>
      <w:r>
        <w:rPr>
          <w:rFonts w:ascii="Palatino Linotype" w:hAnsi="Palatino Linotype"/>
          <w:sz w:val="22"/>
          <w:szCs w:val="22"/>
        </w:rPr>
        <w:t xml:space="preserve"> 14 </w:t>
      </w:r>
      <w:r w:rsidRPr="00BC76FE">
        <w:rPr>
          <w:rFonts w:ascii="Palatino Linotype" w:hAnsi="Palatino Linotype"/>
          <w:sz w:val="22"/>
          <w:szCs w:val="22"/>
        </w:rPr>
        <w:t>of the funding opportunity announcement</w:t>
      </w:r>
      <w:r>
        <w:rPr>
          <w:rFonts w:ascii="Palatino Linotype" w:hAnsi="Palatino Linotype"/>
          <w:sz w:val="22"/>
          <w:szCs w:val="22"/>
        </w:rPr>
        <w:t xml:space="preserve"> released on February 24, 2011</w:t>
      </w:r>
      <w:r w:rsidRPr="00BC76FE">
        <w:rPr>
          <w:rFonts w:ascii="Palatino Linotype" w:hAnsi="Palatino Linotype"/>
          <w:sz w:val="22"/>
          <w:szCs w:val="22"/>
        </w:rPr>
        <w:t>.</w:t>
      </w:r>
    </w:p>
    <w:p w:rsidR="00DA416F" w:rsidRPr="009B7FF2" w:rsidRDefault="00DA416F" w:rsidP="00FE3C3A">
      <w:pPr>
        <w:pStyle w:val="EndnoteText"/>
        <w:numPr>
          <w:ilvl w:val="0"/>
          <w:numId w:val="22"/>
        </w:numPr>
        <w:rPr>
          <w:rFonts w:ascii="Palatino Linotype" w:hAnsi="Palatino Linotype"/>
          <w:sz w:val="22"/>
          <w:szCs w:val="22"/>
        </w:rPr>
      </w:pPr>
      <w:r w:rsidRPr="00BC76FE">
        <w:rPr>
          <w:rFonts w:ascii="Palatino Linotype" w:hAnsi="Palatino Linotype"/>
          <w:sz w:val="22"/>
          <w:szCs w:val="22"/>
        </w:rPr>
        <w:t>Four quarterly reports to the Secretary detailing the States’ progression towards a more comprehensive rate review process, utilizing funds awarded in Cycle I</w:t>
      </w:r>
      <w:r>
        <w:rPr>
          <w:rFonts w:ascii="Palatino Linotype" w:hAnsi="Palatino Linotype"/>
          <w:sz w:val="22"/>
          <w:szCs w:val="22"/>
        </w:rPr>
        <w:t>I</w:t>
      </w:r>
      <w:r w:rsidRPr="00BC76FE">
        <w:rPr>
          <w:rFonts w:ascii="Palatino Linotype" w:hAnsi="Palatino Linotype"/>
          <w:sz w:val="22"/>
          <w:szCs w:val="22"/>
        </w:rPr>
        <w:t xml:space="preserve"> Health Insurance </w:t>
      </w:r>
      <w:r>
        <w:rPr>
          <w:rFonts w:ascii="Palatino Linotype" w:hAnsi="Palatino Linotype"/>
          <w:sz w:val="22"/>
          <w:szCs w:val="22"/>
        </w:rPr>
        <w:t>Rate</w:t>
      </w:r>
      <w:r w:rsidRPr="00BC76FE">
        <w:rPr>
          <w:rFonts w:ascii="Palatino Linotype" w:hAnsi="Palatino Linotype"/>
          <w:sz w:val="22"/>
          <w:szCs w:val="22"/>
        </w:rPr>
        <w:t xml:space="preserve"> Review Grants.  </w:t>
      </w:r>
      <w:r>
        <w:rPr>
          <w:rFonts w:ascii="Palatino Linotype" w:hAnsi="Palatino Linotype"/>
          <w:sz w:val="22"/>
          <w:szCs w:val="22"/>
        </w:rPr>
        <w:t xml:space="preserve">Data elements are consistent with data elements in Cycle I Rate Review Grants.  </w:t>
      </w:r>
    </w:p>
    <w:p w:rsidR="00DA416F" w:rsidRDefault="00DA416F" w:rsidP="00FE3C3A">
      <w:pPr>
        <w:pStyle w:val="EndnoteText"/>
        <w:numPr>
          <w:ilvl w:val="0"/>
          <w:numId w:val="22"/>
        </w:numPr>
        <w:rPr>
          <w:rFonts w:ascii="Palatino Linotype" w:hAnsi="Palatino Linotype"/>
          <w:sz w:val="22"/>
          <w:szCs w:val="22"/>
        </w:rPr>
      </w:pPr>
      <w:r w:rsidRPr="00BC76FE">
        <w:rPr>
          <w:rFonts w:ascii="Palatino Linotype" w:hAnsi="Palatino Linotype"/>
          <w:sz w:val="22"/>
          <w:szCs w:val="22"/>
        </w:rPr>
        <w:t>Rate review transaction data collected by the State.</w:t>
      </w:r>
    </w:p>
    <w:p w:rsidR="00DA416F" w:rsidRDefault="00DA416F" w:rsidP="00FE3C3A">
      <w:pPr>
        <w:pStyle w:val="EndnoteText"/>
        <w:numPr>
          <w:ilvl w:val="0"/>
          <w:numId w:val="22"/>
        </w:numPr>
        <w:rPr>
          <w:rFonts w:ascii="Palatino Linotype" w:hAnsi="Palatino Linotype"/>
          <w:sz w:val="22"/>
          <w:szCs w:val="22"/>
        </w:rPr>
      </w:pPr>
      <w:r>
        <w:rPr>
          <w:rFonts w:ascii="Palatino Linotype" w:hAnsi="Palatino Linotype"/>
          <w:sz w:val="22"/>
          <w:szCs w:val="22"/>
        </w:rPr>
        <w:t>One annual report.</w:t>
      </w:r>
    </w:p>
    <w:p w:rsidR="00DA416F" w:rsidRPr="00BC76FE" w:rsidRDefault="00DA416F" w:rsidP="00FE3C3A">
      <w:pPr>
        <w:pStyle w:val="EndnoteText"/>
        <w:numPr>
          <w:ilvl w:val="0"/>
          <w:numId w:val="22"/>
        </w:numPr>
        <w:rPr>
          <w:rFonts w:ascii="Palatino Linotype" w:hAnsi="Palatino Linotype"/>
          <w:sz w:val="22"/>
          <w:szCs w:val="22"/>
        </w:rPr>
      </w:pPr>
      <w:r>
        <w:rPr>
          <w:rFonts w:ascii="Palatino Linotype" w:hAnsi="Palatino Linotype"/>
          <w:sz w:val="22"/>
          <w:szCs w:val="22"/>
        </w:rPr>
        <w:t>One final report at the end of the grant.</w:t>
      </w:r>
    </w:p>
    <w:p w:rsidR="00DA416F" w:rsidRPr="00BC76FE" w:rsidRDefault="00DA416F" w:rsidP="00762CCB">
      <w:pPr>
        <w:rPr>
          <w:rFonts w:ascii="Palatino Linotype" w:hAnsi="Palatino Linotype"/>
          <w:sz w:val="22"/>
          <w:szCs w:val="22"/>
        </w:rPr>
      </w:pPr>
    </w:p>
    <w:p w:rsidR="00DA416F" w:rsidRPr="00BC76FE" w:rsidRDefault="00DA416F" w:rsidP="00FE3C3A">
      <w:pPr>
        <w:tabs>
          <w:tab w:val="left" w:pos="810"/>
        </w:tabs>
        <w:ind w:left="360"/>
        <w:rPr>
          <w:rFonts w:ascii="Palatino Linotype" w:hAnsi="Palatino Linotype"/>
          <w:sz w:val="22"/>
          <w:szCs w:val="22"/>
        </w:rPr>
      </w:pPr>
      <w:r w:rsidRPr="00BC76FE">
        <w:rPr>
          <w:rFonts w:ascii="Palatino Linotype" w:hAnsi="Palatino Linotype"/>
          <w:sz w:val="22"/>
          <w:szCs w:val="22"/>
        </w:rPr>
        <w:t xml:space="preserve">This information will assist HHS in planning for and executing grants to States for health insurance </w:t>
      </w:r>
      <w:r>
        <w:rPr>
          <w:rFonts w:ascii="Palatino Linotype" w:hAnsi="Palatino Linotype"/>
          <w:sz w:val="22"/>
          <w:szCs w:val="22"/>
        </w:rPr>
        <w:t xml:space="preserve">rate </w:t>
      </w:r>
      <w:r w:rsidRPr="00BC76FE">
        <w:rPr>
          <w:rFonts w:ascii="Palatino Linotype" w:hAnsi="Palatino Linotype"/>
          <w:sz w:val="22"/>
          <w:szCs w:val="22"/>
        </w:rPr>
        <w:t>review.  In addition, reporting of information by grant awardees will assist HHS in assuring that grant awardees report</w:t>
      </w:r>
      <w:r>
        <w:rPr>
          <w:rFonts w:ascii="Palatino Linotype" w:hAnsi="Palatino Linotype"/>
          <w:sz w:val="22"/>
          <w:szCs w:val="22"/>
        </w:rPr>
        <w:t xml:space="preserve"> and share data</w:t>
      </w:r>
      <w:r w:rsidRPr="00BC76FE">
        <w:rPr>
          <w:rFonts w:ascii="Palatino Linotype" w:hAnsi="Palatino Linotype"/>
          <w:sz w:val="22"/>
          <w:szCs w:val="22"/>
        </w:rPr>
        <w:t xml:space="preserve"> with the Secretary as required by the grant program.</w:t>
      </w:r>
    </w:p>
    <w:p w:rsidR="00DA416F" w:rsidRPr="00BC76FE" w:rsidRDefault="00DA416F" w:rsidP="00630363">
      <w:pPr>
        <w:ind w:firstLine="720"/>
        <w:rPr>
          <w:rFonts w:ascii="Palatino Linotype" w:hAnsi="Palatino Linotype"/>
          <w:sz w:val="22"/>
          <w:szCs w:val="22"/>
        </w:rPr>
      </w:pPr>
    </w:p>
    <w:p w:rsidR="00DA416F" w:rsidRPr="00BC76FE" w:rsidRDefault="00DA416F" w:rsidP="00073D3B">
      <w:pPr>
        <w:numPr>
          <w:ilvl w:val="0"/>
          <w:numId w:val="1"/>
        </w:numPr>
        <w:rPr>
          <w:rFonts w:ascii="Palatino Linotype" w:hAnsi="Palatino Linotype"/>
          <w:sz w:val="22"/>
          <w:szCs w:val="22"/>
        </w:rPr>
      </w:pPr>
      <w:r w:rsidRPr="00BC76FE">
        <w:rPr>
          <w:rFonts w:ascii="Palatino Linotype" w:hAnsi="Palatino Linotype"/>
          <w:b/>
          <w:sz w:val="22"/>
          <w:szCs w:val="22"/>
          <w:u w:val="single"/>
        </w:rPr>
        <w:t>Use of Improved Information Technology and Burden Reduction</w:t>
      </w:r>
    </w:p>
    <w:p w:rsidR="00DA416F" w:rsidRPr="00BC76FE" w:rsidRDefault="00DA416F" w:rsidP="00073D3B">
      <w:pPr>
        <w:ind w:firstLine="720"/>
        <w:rPr>
          <w:rFonts w:ascii="Palatino Linotype" w:hAnsi="Palatino Linotype"/>
          <w:sz w:val="22"/>
          <w:szCs w:val="22"/>
        </w:rPr>
      </w:pPr>
    </w:p>
    <w:p w:rsidR="00DA416F" w:rsidRPr="00BC76FE" w:rsidRDefault="00DA416F" w:rsidP="00661FFF">
      <w:pPr>
        <w:ind w:left="360"/>
        <w:rPr>
          <w:rFonts w:ascii="Palatino Linotype" w:hAnsi="Palatino Linotype"/>
          <w:sz w:val="22"/>
          <w:szCs w:val="22"/>
        </w:rPr>
      </w:pPr>
      <w:r w:rsidRPr="00BC76FE">
        <w:rPr>
          <w:rFonts w:ascii="Palatino Linotype" w:hAnsi="Palatino Linotype"/>
          <w:sz w:val="22"/>
          <w:szCs w:val="22"/>
        </w:rPr>
        <w:t>All information collected in the grant application will be submitted electronically via grants.gov.  HHS staff will analyze the data electronically and communicate with States and territories using email and phone.</w:t>
      </w:r>
    </w:p>
    <w:p w:rsidR="00DA416F" w:rsidRPr="00BC76FE" w:rsidRDefault="00DA416F" w:rsidP="00661FFF">
      <w:pPr>
        <w:ind w:left="360"/>
        <w:rPr>
          <w:rFonts w:ascii="Palatino Linotype" w:hAnsi="Palatino Linotype"/>
          <w:sz w:val="22"/>
          <w:szCs w:val="22"/>
        </w:rPr>
      </w:pPr>
    </w:p>
    <w:p w:rsidR="00DA416F" w:rsidRPr="00BC76FE" w:rsidRDefault="00DA416F" w:rsidP="00FE3C3A">
      <w:pPr>
        <w:ind w:left="360"/>
        <w:rPr>
          <w:rFonts w:ascii="Palatino Linotype" w:hAnsi="Palatino Linotype"/>
          <w:sz w:val="22"/>
          <w:szCs w:val="22"/>
        </w:rPr>
      </w:pPr>
      <w:r>
        <w:rPr>
          <w:rFonts w:ascii="Palatino Linotype" w:hAnsi="Palatino Linotype"/>
          <w:sz w:val="22"/>
          <w:szCs w:val="22"/>
        </w:rPr>
        <w:t>All</w:t>
      </w:r>
      <w:r w:rsidRPr="00BC76FE">
        <w:rPr>
          <w:rFonts w:ascii="Palatino Linotype" w:hAnsi="Palatino Linotype"/>
          <w:sz w:val="22"/>
          <w:szCs w:val="22"/>
        </w:rPr>
        <w:t xml:space="preserve"> reports will be submitted electronically by States and territories.  For submission of transaction data records, the awardees will be provided with a structured Excel worksheet</w:t>
      </w:r>
      <w:r>
        <w:rPr>
          <w:rFonts w:ascii="Palatino Linotype" w:hAnsi="Palatino Linotype"/>
          <w:sz w:val="22"/>
          <w:szCs w:val="22"/>
        </w:rPr>
        <w:t xml:space="preserve"> or the data will be transmitted directly from the NAIC</w:t>
      </w:r>
      <w:r w:rsidR="001D00D7">
        <w:rPr>
          <w:rFonts w:ascii="Palatino Linotype" w:hAnsi="Palatino Linotype"/>
          <w:sz w:val="22"/>
          <w:szCs w:val="22"/>
        </w:rPr>
        <w:t>.   A web-</w:t>
      </w:r>
      <w:r w:rsidRPr="00BC76FE">
        <w:rPr>
          <w:rFonts w:ascii="Palatino Linotype" w:hAnsi="Palatino Linotype"/>
          <w:sz w:val="22"/>
          <w:szCs w:val="22"/>
        </w:rPr>
        <w:t>based interface will be provided to support ease of report and data submission during the award period.</w:t>
      </w:r>
      <w:r>
        <w:rPr>
          <w:rFonts w:ascii="Palatino Linotype" w:hAnsi="Palatino Linotype"/>
          <w:sz w:val="22"/>
          <w:szCs w:val="22"/>
        </w:rPr>
        <w:t xml:space="preserve">  All reports (quarterly, annual and final) will be submitted electronically.</w:t>
      </w:r>
    </w:p>
    <w:p w:rsidR="00DA416F" w:rsidRPr="00BC76FE" w:rsidRDefault="00DA416F" w:rsidP="00FE3C3A">
      <w:pPr>
        <w:ind w:left="360"/>
        <w:rPr>
          <w:rFonts w:ascii="Palatino Linotype" w:hAnsi="Palatino Linotype"/>
          <w:sz w:val="22"/>
          <w:szCs w:val="22"/>
        </w:rPr>
      </w:pPr>
    </w:p>
    <w:p w:rsidR="00DA416F" w:rsidRPr="00BC76FE" w:rsidRDefault="00DA416F">
      <w:pPr>
        <w:numPr>
          <w:ilvl w:val="0"/>
          <w:numId w:val="1"/>
        </w:numPr>
        <w:rPr>
          <w:rFonts w:ascii="Palatino Linotype" w:hAnsi="Palatino Linotype"/>
          <w:b/>
          <w:sz w:val="22"/>
          <w:szCs w:val="22"/>
        </w:rPr>
      </w:pPr>
      <w:r w:rsidRPr="00BC76FE">
        <w:rPr>
          <w:rFonts w:ascii="Palatino Linotype" w:hAnsi="Palatino Linotype"/>
          <w:b/>
          <w:sz w:val="22"/>
          <w:szCs w:val="22"/>
          <w:u w:val="single"/>
        </w:rPr>
        <w:t>Efforts to  Identify Duplication and Use of Similar Information</w:t>
      </w:r>
    </w:p>
    <w:p w:rsidR="00DA416F" w:rsidRPr="00BC76FE" w:rsidRDefault="00DA416F">
      <w:pPr>
        <w:ind w:left="720"/>
        <w:rPr>
          <w:rFonts w:ascii="Palatino Linotype" w:hAnsi="Palatino Linotype"/>
          <w:b/>
          <w:sz w:val="22"/>
          <w:szCs w:val="22"/>
        </w:rPr>
      </w:pPr>
    </w:p>
    <w:p w:rsidR="00DA416F" w:rsidRPr="00BC76FE" w:rsidRDefault="00DA416F" w:rsidP="00661FFF">
      <w:pPr>
        <w:ind w:left="360"/>
        <w:rPr>
          <w:rFonts w:ascii="Palatino Linotype" w:hAnsi="Palatino Linotype"/>
          <w:sz w:val="22"/>
          <w:szCs w:val="22"/>
        </w:rPr>
      </w:pPr>
      <w:r>
        <w:rPr>
          <w:rFonts w:ascii="Palatino Linotype" w:hAnsi="Palatino Linotype"/>
          <w:sz w:val="22"/>
          <w:szCs w:val="22"/>
        </w:rPr>
        <w:t xml:space="preserve">The information collected for Cycle II is not duplicative of the information collected for Cycle I.  A data set is being collected for Cycle I of the Premium Review Grants, and there is a separate data set to be collected for Cycle II.  </w:t>
      </w:r>
    </w:p>
    <w:p w:rsidR="00DA416F" w:rsidRPr="00BC76FE" w:rsidRDefault="00DA416F" w:rsidP="00661FFF">
      <w:pPr>
        <w:ind w:left="360"/>
        <w:rPr>
          <w:rFonts w:ascii="Palatino Linotype" w:hAnsi="Palatino Linotype"/>
          <w:sz w:val="22"/>
          <w:szCs w:val="22"/>
        </w:rPr>
      </w:pPr>
      <w:r w:rsidRPr="00BC76FE">
        <w:rPr>
          <w:rFonts w:ascii="Palatino Linotype" w:hAnsi="Palatino Linotype"/>
          <w:sz w:val="22"/>
          <w:szCs w:val="22"/>
        </w:rPr>
        <w:t xml:space="preserve">   </w:t>
      </w:r>
    </w:p>
    <w:p w:rsidR="00DA416F" w:rsidRPr="00BC76FE" w:rsidRDefault="00DA416F">
      <w:pPr>
        <w:numPr>
          <w:ilvl w:val="0"/>
          <w:numId w:val="1"/>
        </w:numPr>
        <w:rPr>
          <w:rFonts w:ascii="Palatino Linotype" w:hAnsi="Palatino Linotype"/>
          <w:color w:val="000000"/>
          <w:sz w:val="22"/>
          <w:szCs w:val="22"/>
        </w:rPr>
      </w:pPr>
      <w:r w:rsidRPr="00BC76FE">
        <w:rPr>
          <w:rFonts w:ascii="Palatino Linotype" w:hAnsi="Palatino Linotype"/>
          <w:b/>
          <w:sz w:val="22"/>
          <w:szCs w:val="22"/>
          <w:u w:val="single"/>
        </w:rPr>
        <w:t>Impact on Small Businesses or Other Small Entities</w:t>
      </w:r>
    </w:p>
    <w:p w:rsidR="00DA416F" w:rsidRPr="00BC76FE" w:rsidRDefault="00DA416F">
      <w:pPr>
        <w:ind w:left="720"/>
        <w:rPr>
          <w:rFonts w:ascii="Palatino Linotype" w:hAnsi="Palatino Linotype"/>
          <w:color w:val="000000"/>
          <w:sz w:val="22"/>
          <w:szCs w:val="22"/>
        </w:rPr>
      </w:pPr>
    </w:p>
    <w:p w:rsidR="00DA416F" w:rsidRPr="00BC76FE" w:rsidRDefault="00DA416F" w:rsidP="00661FFF">
      <w:pPr>
        <w:ind w:left="360"/>
        <w:rPr>
          <w:rFonts w:ascii="Palatino Linotype" w:hAnsi="Palatino Linotype"/>
          <w:i/>
          <w:sz w:val="22"/>
          <w:szCs w:val="22"/>
        </w:rPr>
      </w:pPr>
      <w:r w:rsidRPr="00BC76FE">
        <w:rPr>
          <w:rFonts w:ascii="Palatino Linotype" w:hAnsi="Palatino Linotype"/>
          <w:sz w:val="22"/>
          <w:szCs w:val="22"/>
        </w:rPr>
        <w:t>No impact on small business.</w:t>
      </w:r>
    </w:p>
    <w:p w:rsidR="00DA416F" w:rsidRPr="00BC76FE" w:rsidRDefault="00DA416F">
      <w:pPr>
        <w:ind w:left="360"/>
        <w:rPr>
          <w:rFonts w:ascii="Palatino Linotype" w:hAnsi="Palatino Linotype"/>
          <w:sz w:val="22"/>
          <w:szCs w:val="22"/>
        </w:rPr>
      </w:pPr>
    </w:p>
    <w:p w:rsidR="00DA416F" w:rsidRPr="00BC76FE" w:rsidRDefault="00DA416F">
      <w:pPr>
        <w:numPr>
          <w:ilvl w:val="0"/>
          <w:numId w:val="1"/>
        </w:numPr>
        <w:rPr>
          <w:rFonts w:ascii="Palatino Linotype" w:hAnsi="Palatino Linotype"/>
          <w:b/>
          <w:sz w:val="22"/>
          <w:szCs w:val="22"/>
        </w:rPr>
      </w:pPr>
      <w:r w:rsidRPr="00BC76FE">
        <w:rPr>
          <w:rFonts w:ascii="Palatino Linotype" w:hAnsi="Palatino Linotype"/>
          <w:b/>
          <w:sz w:val="22"/>
          <w:szCs w:val="22"/>
          <w:u w:val="single"/>
        </w:rPr>
        <w:t>Consequences of Collecting the Information Less Frequent Collection</w:t>
      </w:r>
    </w:p>
    <w:p w:rsidR="00DA416F" w:rsidRDefault="00DA416F" w:rsidP="00564727">
      <w:pPr>
        <w:widowControl/>
        <w:autoSpaceDE/>
        <w:autoSpaceDN/>
        <w:adjustRightInd/>
        <w:spacing w:before="100" w:beforeAutospacing="1" w:after="100" w:afterAutospacing="1"/>
        <w:ind w:left="360"/>
        <w:rPr>
          <w:rFonts w:ascii="Palatino Linotype" w:hAnsi="Palatino Linotype"/>
          <w:sz w:val="22"/>
          <w:szCs w:val="22"/>
        </w:rPr>
      </w:pPr>
      <w:r w:rsidRPr="00564727">
        <w:rPr>
          <w:rFonts w:ascii="Palatino Linotype" w:hAnsi="Palatino Linotype"/>
          <w:b/>
          <w:sz w:val="22"/>
          <w:szCs w:val="22"/>
          <w:u w:val="single"/>
        </w:rPr>
        <w:t>Cycle I Process</w:t>
      </w:r>
    </w:p>
    <w:p w:rsidR="00DA416F" w:rsidRDefault="00DA416F" w:rsidP="00564727">
      <w:pPr>
        <w:widowControl/>
        <w:autoSpaceDE/>
        <w:autoSpaceDN/>
        <w:adjustRightInd/>
        <w:spacing w:before="100" w:beforeAutospacing="1" w:after="100" w:afterAutospacing="1"/>
        <w:ind w:left="360"/>
        <w:rPr>
          <w:rFonts w:ascii="Palatino Linotype" w:hAnsi="Palatino Linotype"/>
          <w:b/>
          <w:sz w:val="22"/>
          <w:szCs w:val="22"/>
          <w:u w:val="single"/>
        </w:rPr>
      </w:pPr>
      <w:r w:rsidRPr="00564727">
        <w:rPr>
          <w:sz w:val="24"/>
        </w:rPr>
        <w:t>All</w:t>
      </w:r>
      <w:r>
        <w:rPr>
          <w:sz w:val="24"/>
        </w:rPr>
        <w:t xml:space="preserve"> information collected in the Cycle I grant application was submitted electronically via grants.gov.  HHS staff will analyze the data electronically and communicate with States and territories using email and phone.</w:t>
      </w:r>
    </w:p>
    <w:p w:rsidR="00DA416F" w:rsidRPr="00564727" w:rsidRDefault="00DA416F" w:rsidP="00564727">
      <w:pPr>
        <w:widowControl/>
        <w:autoSpaceDE/>
        <w:autoSpaceDN/>
        <w:adjustRightInd/>
        <w:spacing w:before="100" w:beforeAutospacing="1" w:after="100" w:afterAutospacing="1"/>
        <w:ind w:left="360"/>
        <w:rPr>
          <w:rFonts w:ascii="Palatino Linotype" w:hAnsi="Palatino Linotype"/>
          <w:b/>
          <w:sz w:val="22"/>
          <w:szCs w:val="22"/>
          <w:u w:val="single"/>
        </w:rPr>
      </w:pPr>
      <w:r>
        <w:rPr>
          <w:sz w:val="24"/>
        </w:rPr>
        <w:t>All reports will be submitted electronically by States and territories</w:t>
      </w:r>
      <w:r w:rsidRPr="00DE39D8">
        <w:rPr>
          <w:sz w:val="24"/>
        </w:rPr>
        <w:t>.</w:t>
      </w:r>
      <w:r>
        <w:rPr>
          <w:sz w:val="24"/>
        </w:rPr>
        <w:t xml:space="preserve">  For submission of transaction data records, the awardees will be provided with a structured Excel worksheet or the data will be transmitted directly from the NAIC.   A web based interface will be provided to support ease of report and data submission during the award period.</w:t>
      </w:r>
    </w:p>
    <w:p w:rsidR="00DA416F" w:rsidRPr="00564727" w:rsidRDefault="00DA416F" w:rsidP="00B22B2A">
      <w:pPr>
        <w:widowControl/>
        <w:autoSpaceDE/>
        <w:autoSpaceDN/>
        <w:adjustRightInd/>
        <w:spacing w:before="100" w:beforeAutospacing="1" w:after="100" w:afterAutospacing="1"/>
        <w:ind w:left="360"/>
        <w:rPr>
          <w:rFonts w:ascii="Palatino Linotype" w:hAnsi="Palatino Linotype"/>
          <w:b/>
          <w:sz w:val="22"/>
          <w:szCs w:val="22"/>
          <w:u w:val="single"/>
        </w:rPr>
      </w:pPr>
      <w:r w:rsidRPr="00564727">
        <w:rPr>
          <w:rFonts w:ascii="Palatino Linotype" w:hAnsi="Palatino Linotype"/>
          <w:b/>
          <w:sz w:val="22"/>
          <w:szCs w:val="22"/>
          <w:u w:val="single"/>
        </w:rPr>
        <w:t>Cycle II Process</w:t>
      </w:r>
    </w:p>
    <w:p w:rsidR="00DA416F" w:rsidRPr="00BC76FE" w:rsidRDefault="00DA416F" w:rsidP="00B22B2A">
      <w:pPr>
        <w:widowControl/>
        <w:autoSpaceDE/>
        <w:autoSpaceDN/>
        <w:adjustRightInd/>
        <w:spacing w:before="100" w:beforeAutospacing="1" w:after="100" w:afterAutospacing="1"/>
        <w:ind w:left="360"/>
        <w:rPr>
          <w:rFonts w:ascii="Palatino Linotype" w:hAnsi="Palatino Linotype"/>
          <w:sz w:val="22"/>
          <w:szCs w:val="22"/>
        </w:rPr>
      </w:pPr>
      <w:r w:rsidRPr="00BC76FE">
        <w:rPr>
          <w:rFonts w:ascii="Palatino Linotype" w:hAnsi="Palatino Linotype"/>
          <w:sz w:val="22"/>
          <w:szCs w:val="22"/>
        </w:rPr>
        <w:t xml:space="preserve">Information collected in the grant application is a one-time data collection for the purposes of determining eligibility to receive a grant award.  As this </w:t>
      </w:r>
      <w:r>
        <w:rPr>
          <w:rFonts w:ascii="Palatino Linotype" w:hAnsi="Palatino Linotype"/>
          <w:sz w:val="22"/>
          <w:szCs w:val="22"/>
        </w:rPr>
        <w:t xml:space="preserve">grant </w:t>
      </w:r>
      <w:r w:rsidRPr="00BC76FE">
        <w:rPr>
          <w:rFonts w:ascii="Palatino Linotype" w:hAnsi="Palatino Linotype"/>
          <w:sz w:val="22"/>
          <w:szCs w:val="22"/>
        </w:rPr>
        <w:t xml:space="preserve">is </w:t>
      </w:r>
      <w:r>
        <w:rPr>
          <w:rFonts w:ascii="Palatino Linotype" w:hAnsi="Palatino Linotype"/>
          <w:sz w:val="22"/>
          <w:szCs w:val="22"/>
        </w:rPr>
        <w:t>a multi-year award</w:t>
      </w:r>
      <w:r w:rsidRPr="00BC76FE">
        <w:rPr>
          <w:rFonts w:ascii="Palatino Linotype" w:hAnsi="Palatino Linotype"/>
          <w:sz w:val="22"/>
          <w:szCs w:val="22"/>
        </w:rPr>
        <w:t>, collection at frequency less than quarterly reports, such as annual reports only, will put the Federal grant funding at risk due to the lack of oversight.</w:t>
      </w:r>
    </w:p>
    <w:p w:rsidR="00DA416F" w:rsidRPr="00BC76FE" w:rsidRDefault="00DA416F" w:rsidP="00906EF0">
      <w:pPr>
        <w:numPr>
          <w:ilvl w:val="0"/>
          <w:numId w:val="1"/>
        </w:numPr>
        <w:rPr>
          <w:rFonts w:ascii="Palatino Linotype" w:hAnsi="Palatino Linotype"/>
          <w:b/>
          <w:sz w:val="22"/>
          <w:szCs w:val="22"/>
        </w:rPr>
      </w:pPr>
      <w:r w:rsidRPr="00BC76FE">
        <w:rPr>
          <w:rFonts w:ascii="Palatino Linotype" w:hAnsi="Palatino Linotype"/>
          <w:b/>
          <w:sz w:val="22"/>
          <w:szCs w:val="22"/>
          <w:u w:val="single"/>
        </w:rPr>
        <w:t>Special Circumstances Relating to the Guidelines of 5 CFR 1320.5</w:t>
      </w:r>
    </w:p>
    <w:p w:rsidR="00DA416F" w:rsidRPr="00BC76FE" w:rsidRDefault="00DA416F" w:rsidP="00906EF0">
      <w:pPr>
        <w:rPr>
          <w:rFonts w:ascii="Palatino Linotype" w:hAnsi="Palatino Linotype"/>
          <w:b/>
          <w:sz w:val="22"/>
          <w:szCs w:val="22"/>
        </w:rPr>
      </w:pPr>
    </w:p>
    <w:p w:rsidR="00DA416F" w:rsidRPr="00BC76FE" w:rsidRDefault="00DA416F" w:rsidP="00661FFF">
      <w:pPr>
        <w:ind w:left="360"/>
        <w:rPr>
          <w:rFonts w:ascii="Palatino Linotype" w:hAnsi="Palatino Linotype"/>
          <w:b/>
          <w:sz w:val="22"/>
          <w:szCs w:val="22"/>
        </w:rPr>
      </w:pPr>
      <w:r w:rsidRPr="00BC76FE">
        <w:rPr>
          <w:rFonts w:ascii="Palatino Linotype" w:hAnsi="Palatino Linotype"/>
          <w:sz w:val="22"/>
          <w:szCs w:val="22"/>
        </w:rPr>
        <w:t>No special circumstance.</w:t>
      </w:r>
    </w:p>
    <w:p w:rsidR="00DA416F" w:rsidRPr="00BC76FE" w:rsidRDefault="00DA416F">
      <w:pPr>
        <w:ind w:left="360"/>
        <w:rPr>
          <w:rFonts w:ascii="Palatino Linotype" w:hAnsi="Palatino Linotype"/>
          <w:sz w:val="22"/>
          <w:szCs w:val="22"/>
        </w:rPr>
      </w:pPr>
    </w:p>
    <w:p w:rsidR="00DA416F" w:rsidRPr="00BC76FE" w:rsidRDefault="00DA416F">
      <w:pPr>
        <w:numPr>
          <w:ilvl w:val="0"/>
          <w:numId w:val="1"/>
        </w:numPr>
        <w:rPr>
          <w:rFonts w:ascii="Palatino Linotype" w:hAnsi="Palatino Linotype"/>
          <w:b/>
          <w:sz w:val="22"/>
          <w:szCs w:val="22"/>
        </w:rPr>
      </w:pPr>
      <w:r w:rsidRPr="00BC76FE">
        <w:rPr>
          <w:rFonts w:ascii="Palatino Linotype" w:hAnsi="Palatino Linotype"/>
          <w:b/>
          <w:iCs/>
          <w:sz w:val="22"/>
          <w:szCs w:val="22"/>
          <w:u w:val="single"/>
        </w:rPr>
        <w:t>Comments in Response to the Federal Register</w:t>
      </w:r>
      <w:r w:rsidRPr="00BC76FE">
        <w:rPr>
          <w:rFonts w:ascii="Palatino Linotype" w:hAnsi="Palatino Linotype"/>
          <w:b/>
          <w:sz w:val="22"/>
          <w:szCs w:val="22"/>
          <w:u w:val="single"/>
        </w:rPr>
        <w:t xml:space="preserve"> Notice/Outside Consultation</w:t>
      </w:r>
    </w:p>
    <w:p w:rsidR="00DA416F" w:rsidRPr="00BC76FE" w:rsidRDefault="00DA416F" w:rsidP="00906EF0">
      <w:pPr>
        <w:rPr>
          <w:rFonts w:ascii="Palatino Linotype" w:hAnsi="Palatino Linotype"/>
          <w:b/>
          <w:sz w:val="22"/>
          <w:szCs w:val="22"/>
        </w:rPr>
      </w:pPr>
    </w:p>
    <w:p w:rsidR="00DA416F" w:rsidRPr="00BC76FE" w:rsidRDefault="00DA416F" w:rsidP="00661FFF">
      <w:pPr>
        <w:ind w:left="360"/>
        <w:rPr>
          <w:rFonts w:ascii="Palatino Linotype" w:hAnsi="Palatino Linotype"/>
          <w:sz w:val="22"/>
          <w:szCs w:val="22"/>
        </w:rPr>
      </w:pPr>
      <w:r>
        <w:rPr>
          <w:rFonts w:ascii="Palatino Linotype" w:hAnsi="Palatino Linotype"/>
          <w:sz w:val="22"/>
          <w:szCs w:val="22"/>
        </w:rPr>
        <w:t xml:space="preserve">HHS is seeking a 60-day full review and Federal Register public comment period.  </w:t>
      </w:r>
    </w:p>
    <w:p w:rsidR="00DA416F" w:rsidRPr="00BC76FE" w:rsidRDefault="00DA416F">
      <w:pPr>
        <w:ind w:left="360"/>
        <w:rPr>
          <w:rFonts w:ascii="Palatino Linotype" w:hAnsi="Palatino Linotype"/>
          <w:sz w:val="22"/>
          <w:szCs w:val="22"/>
        </w:rPr>
      </w:pPr>
    </w:p>
    <w:p w:rsidR="00DA416F" w:rsidRPr="00BC76FE" w:rsidRDefault="00DA416F">
      <w:pPr>
        <w:numPr>
          <w:ilvl w:val="0"/>
          <w:numId w:val="1"/>
        </w:numPr>
        <w:rPr>
          <w:rFonts w:ascii="Palatino Linotype" w:hAnsi="Palatino Linotype"/>
          <w:b/>
          <w:sz w:val="22"/>
          <w:szCs w:val="22"/>
        </w:rPr>
      </w:pPr>
      <w:r w:rsidRPr="00BC76FE">
        <w:rPr>
          <w:rFonts w:ascii="Palatino Linotype" w:hAnsi="Palatino Linotype"/>
          <w:b/>
          <w:sz w:val="22"/>
          <w:szCs w:val="22"/>
          <w:u w:val="single"/>
        </w:rPr>
        <w:t>Explanation of any Payment/Gift to Respondents</w:t>
      </w:r>
    </w:p>
    <w:p w:rsidR="00DA416F" w:rsidRPr="00BC76FE" w:rsidRDefault="00DA416F" w:rsidP="00906EF0">
      <w:pPr>
        <w:rPr>
          <w:rFonts w:ascii="Palatino Linotype" w:hAnsi="Palatino Linotype"/>
          <w:sz w:val="22"/>
          <w:szCs w:val="22"/>
        </w:rPr>
      </w:pPr>
    </w:p>
    <w:p w:rsidR="00DA416F" w:rsidRPr="00BC76FE" w:rsidRDefault="00DA416F" w:rsidP="00661FFF">
      <w:pPr>
        <w:ind w:left="360"/>
        <w:rPr>
          <w:rFonts w:ascii="Palatino Linotype" w:hAnsi="Palatino Linotype"/>
          <w:sz w:val="22"/>
          <w:szCs w:val="22"/>
        </w:rPr>
      </w:pPr>
      <w:r w:rsidRPr="00BC76FE">
        <w:rPr>
          <w:rFonts w:ascii="Palatino Linotype" w:hAnsi="Palatino Linotype"/>
          <w:sz w:val="22"/>
          <w:szCs w:val="22"/>
        </w:rPr>
        <w:t xml:space="preserve">Not applicable </w:t>
      </w:r>
    </w:p>
    <w:p w:rsidR="00DA416F" w:rsidRPr="00BC76FE" w:rsidRDefault="00DA416F">
      <w:pPr>
        <w:ind w:left="1440"/>
        <w:rPr>
          <w:rFonts w:ascii="Palatino Linotype" w:hAnsi="Palatino Linotype"/>
          <w:sz w:val="22"/>
          <w:szCs w:val="22"/>
        </w:rPr>
      </w:pPr>
    </w:p>
    <w:p w:rsidR="00DA416F" w:rsidRPr="00BC76FE" w:rsidRDefault="00DA416F">
      <w:pPr>
        <w:numPr>
          <w:ilvl w:val="0"/>
          <w:numId w:val="1"/>
        </w:numPr>
        <w:rPr>
          <w:rFonts w:ascii="Palatino Linotype" w:hAnsi="Palatino Linotype"/>
          <w:b/>
          <w:sz w:val="22"/>
          <w:szCs w:val="22"/>
        </w:rPr>
      </w:pPr>
      <w:r w:rsidRPr="00BC76FE">
        <w:rPr>
          <w:rFonts w:ascii="Palatino Linotype" w:hAnsi="Palatino Linotype"/>
          <w:b/>
          <w:sz w:val="22"/>
          <w:szCs w:val="22"/>
          <w:u w:val="single"/>
        </w:rPr>
        <w:t>Assurance of Confidentiality Provided to Respondents</w:t>
      </w:r>
    </w:p>
    <w:p w:rsidR="00DA416F" w:rsidRPr="00BC76FE" w:rsidRDefault="00DA416F" w:rsidP="00906EF0">
      <w:pPr>
        <w:ind w:left="720"/>
        <w:rPr>
          <w:rFonts w:ascii="Palatino Linotype" w:hAnsi="Palatino Linotype"/>
          <w:b/>
          <w:sz w:val="22"/>
          <w:szCs w:val="22"/>
        </w:rPr>
      </w:pPr>
    </w:p>
    <w:p w:rsidR="00DA416F" w:rsidRPr="00BC76FE" w:rsidRDefault="00DA416F" w:rsidP="00661FFF">
      <w:pPr>
        <w:ind w:left="360"/>
        <w:rPr>
          <w:rFonts w:ascii="Palatino Linotype" w:hAnsi="Palatino Linotype"/>
          <w:sz w:val="22"/>
          <w:szCs w:val="22"/>
        </w:rPr>
      </w:pPr>
      <w:r w:rsidRPr="00BC76FE">
        <w:rPr>
          <w:rFonts w:ascii="Palatino Linotype" w:hAnsi="Palatino Linotype"/>
          <w:sz w:val="22"/>
          <w:szCs w:val="22"/>
        </w:rPr>
        <w:t xml:space="preserve">No personal health information will be collected.  All information will be kept private to the extent allowed by applicable laws/regulations. </w:t>
      </w:r>
    </w:p>
    <w:p w:rsidR="00DA416F" w:rsidRPr="00BC76FE" w:rsidRDefault="00DA416F" w:rsidP="00906EF0">
      <w:pPr>
        <w:ind w:firstLine="720"/>
        <w:rPr>
          <w:rFonts w:ascii="Palatino Linotype" w:hAnsi="Palatino Linotype"/>
          <w:sz w:val="22"/>
          <w:szCs w:val="22"/>
        </w:rPr>
      </w:pPr>
    </w:p>
    <w:p w:rsidR="00DA416F" w:rsidRPr="00BC76FE" w:rsidRDefault="00DA416F" w:rsidP="00906EF0">
      <w:pPr>
        <w:numPr>
          <w:ilvl w:val="0"/>
          <w:numId w:val="1"/>
        </w:numPr>
        <w:rPr>
          <w:rFonts w:ascii="Palatino Linotype" w:hAnsi="Palatino Linotype"/>
          <w:b/>
          <w:sz w:val="22"/>
          <w:szCs w:val="22"/>
        </w:rPr>
      </w:pPr>
      <w:r w:rsidRPr="00BC76FE">
        <w:rPr>
          <w:rFonts w:ascii="Palatino Linotype" w:hAnsi="Palatino Linotype"/>
          <w:b/>
          <w:sz w:val="22"/>
          <w:szCs w:val="22"/>
          <w:u w:val="single"/>
        </w:rPr>
        <w:t>Justification for Sensitive Questions</w:t>
      </w:r>
    </w:p>
    <w:p w:rsidR="00DA416F" w:rsidRPr="00BC76FE" w:rsidRDefault="00DA416F" w:rsidP="00906EF0">
      <w:pPr>
        <w:rPr>
          <w:rFonts w:ascii="Palatino Linotype" w:hAnsi="Palatino Linotype"/>
          <w:b/>
          <w:sz w:val="22"/>
          <w:szCs w:val="22"/>
        </w:rPr>
      </w:pPr>
    </w:p>
    <w:p w:rsidR="00DA416F" w:rsidRPr="00BC76FE" w:rsidRDefault="00DA416F" w:rsidP="00661FFF">
      <w:pPr>
        <w:ind w:left="360"/>
        <w:rPr>
          <w:rFonts w:ascii="Palatino Linotype" w:hAnsi="Palatino Linotype"/>
          <w:b/>
          <w:sz w:val="22"/>
          <w:szCs w:val="22"/>
        </w:rPr>
      </w:pPr>
      <w:r w:rsidRPr="00BC76FE">
        <w:rPr>
          <w:rFonts w:ascii="Palatino Linotype" w:hAnsi="Palatino Linotype"/>
          <w:sz w:val="22"/>
          <w:szCs w:val="22"/>
        </w:rPr>
        <w:t xml:space="preserve">No sensitive information will be collected. </w:t>
      </w:r>
    </w:p>
    <w:p w:rsidR="00DA416F" w:rsidRPr="00BC76FE" w:rsidRDefault="00DA416F">
      <w:pPr>
        <w:ind w:left="360"/>
        <w:rPr>
          <w:rFonts w:ascii="Palatino Linotype" w:hAnsi="Palatino Linotype"/>
          <w:sz w:val="22"/>
          <w:szCs w:val="22"/>
        </w:rPr>
      </w:pPr>
    </w:p>
    <w:p w:rsidR="00DA416F" w:rsidRPr="00BC76FE" w:rsidRDefault="00DA416F">
      <w:pPr>
        <w:numPr>
          <w:ilvl w:val="0"/>
          <w:numId w:val="1"/>
        </w:numPr>
        <w:rPr>
          <w:rFonts w:ascii="Palatino Linotype" w:hAnsi="Palatino Linotype"/>
          <w:sz w:val="22"/>
          <w:szCs w:val="22"/>
        </w:rPr>
      </w:pPr>
      <w:r w:rsidRPr="00BC76FE">
        <w:rPr>
          <w:rFonts w:ascii="Palatino Linotype" w:hAnsi="Palatino Linotype"/>
          <w:b/>
          <w:sz w:val="22"/>
          <w:szCs w:val="22"/>
          <w:u w:val="single"/>
        </w:rPr>
        <w:t xml:space="preserve">Estimates of Annualized Burden Hours </w:t>
      </w:r>
      <w:r w:rsidRPr="00BC76FE">
        <w:rPr>
          <w:rFonts w:ascii="Palatino Linotype" w:hAnsi="Palatino Linotype"/>
          <w:b/>
          <w:sz w:val="22"/>
          <w:szCs w:val="22"/>
        </w:rPr>
        <w:t>(Total Hours &amp; Wages</w:t>
      </w:r>
      <w:r w:rsidRPr="00BC76FE">
        <w:rPr>
          <w:rFonts w:ascii="Palatino Linotype" w:hAnsi="Palatino Linotype"/>
          <w:sz w:val="22"/>
          <w:szCs w:val="22"/>
        </w:rPr>
        <w:t>)</w:t>
      </w:r>
    </w:p>
    <w:p w:rsidR="00DA416F" w:rsidRPr="00BC76FE" w:rsidRDefault="00DA416F" w:rsidP="00906EF0">
      <w:pPr>
        <w:widowControl/>
        <w:rPr>
          <w:rFonts w:ascii="Palatino Linotype" w:hAnsi="Palatino Linotype"/>
          <w:sz w:val="22"/>
          <w:szCs w:val="22"/>
        </w:rPr>
      </w:pPr>
    </w:p>
    <w:p w:rsidR="00DA416F" w:rsidRDefault="00DA416F" w:rsidP="00866D8C">
      <w:pPr>
        <w:widowControl/>
        <w:rPr>
          <w:rFonts w:ascii="Palatino Linotype" w:hAnsi="Palatino Linotype"/>
          <w:sz w:val="22"/>
          <w:szCs w:val="22"/>
        </w:rPr>
      </w:pPr>
      <w:r w:rsidRPr="0067040D">
        <w:rPr>
          <w:rFonts w:ascii="Palatino Linotype" w:hAnsi="Palatino Linotype"/>
          <w:sz w:val="22"/>
          <w:szCs w:val="22"/>
        </w:rPr>
        <w:t>The Cycle II funding opportunity is designed to provide States with multiple opportunities to apply for funding as they progress toward becoming a State with an ‘effective rate review” program.</w:t>
      </w:r>
    </w:p>
    <w:p w:rsidR="00DA416F" w:rsidRDefault="00DA416F" w:rsidP="00866D8C">
      <w:pPr>
        <w:widowControl/>
        <w:rPr>
          <w:rFonts w:ascii="Palatino Linotype" w:hAnsi="Palatino Linotype"/>
          <w:sz w:val="22"/>
          <w:szCs w:val="22"/>
        </w:rPr>
      </w:pPr>
    </w:p>
    <w:p w:rsidR="00DA416F" w:rsidRPr="00BC76FE" w:rsidRDefault="00DA416F" w:rsidP="00866D8C">
      <w:pPr>
        <w:widowControl/>
        <w:rPr>
          <w:rFonts w:ascii="Palatino Linotype" w:hAnsi="Palatino Linotype"/>
          <w:sz w:val="22"/>
          <w:szCs w:val="22"/>
        </w:rPr>
      </w:pPr>
      <w:r w:rsidRPr="000909D5">
        <w:rPr>
          <w:rFonts w:ascii="Palatino Linotype" w:hAnsi="Palatino Linotype"/>
          <w:sz w:val="22"/>
          <w:szCs w:val="22"/>
        </w:rPr>
        <w:t>In order to complete the grant application, each applicant will be asked to provide information on their current rate review process for health insurance; changes that the State proposes to operate effective rate review programs; States currently reviewing rate filings will need to propose enhancements to further strengthen their existing authorities and process.  States that do not currently review rate filings must describe their plans to conduct reviews or otherwise enhance their oversight over insurers’ rate setting practices.  States will also be required to describe their plan for reporting data on health insurance premiums to the Secretary. State Insurance Commissioners will need to obtain a letter of support from their Governor’s office to be eligible for grant funding.</w:t>
      </w:r>
    </w:p>
    <w:p w:rsidR="00DA416F" w:rsidRPr="00BC76FE" w:rsidRDefault="00DA416F" w:rsidP="00866D8C">
      <w:pPr>
        <w:widowControl/>
        <w:rPr>
          <w:rFonts w:ascii="Palatino Linotype" w:hAnsi="Palatino Linotype"/>
          <w:sz w:val="22"/>
          <w:szCs w:val="22"/>
        </w:rPr>
      </w:pPr>
    </w:p>
    <w:p w:rsidR="00DA416F" w:rsidRDefault="00DA416F" w:rsidP="00A15A92">
      <w:pPr>
        <w:widowControl/>
        <w:rPr>
          <w:rFonts w:ascii="Palatino Linotype" w:hAnsi="Palatino Linotype"/>
          <w:sz w:val="22"/>
          <w:szCs w:val="22"/>
        </w:rPr>
      </w:pPr>
      <w:r w:rsidRPr="00BC76FE">
        <w:rPr>
          <w:rFonts w:ascii="Palatino Linotype" w:hAnsi="Palatino Linotype"/>
          <w:sz w:val="22"/>
          <w:szCs w:val="22"/>
        </w:rPr>
        <w:t>Once States</w:t>
      </w:r>
      <w:r>
        <w:rPr>
          <w:rFonts w:ascii="Palatino Linotype" w:hAnsi="Palatino Linotype"/>
          <w:sz w:val="22"/>
          <w:szCs w:val="22"/>
        </w:rPr>
        <w:t>, Territories</w:t>
      </w:r>
      <w:r w:rsidRPr="00BC76FE">
        <w:rPr>
          <w:rFonts w:ascii="Palatino Linotype" w:hAnsi="Palatino Linotype"/>
          <w:sz w:val="22"/>
          <w:szCs w:val="22"/>
        </w:rPr>
        <w:t xml:space="preserve"> and </w:t>
      </w:r>
      <w:r>
        <w:rPr>
          <w:rFonts w:ascii="Palatino Linotype" w:hAnsi="Palatino Linotype"/>
          <w:sz w:val="22"/>
          <w:szCs w:val="22"/>
        </w:rPr>
        <w:t>the District of Columbia</w:t>
      </w:r>
      <w:r w:rsidRPr="00BC76FE">
        <w:rPr>
          <w:rFonts w:ascii="Palatino Linotype" w:hAnsi="Palatino Linotype"/>
          <w:sz w:val="22"/>
          <w:szCs w:val="22"/>
        </w:rPr>
        <w:t xml:space="preserve"> are awarded grant funds they are required to provide the Secretary with quarterly reports 30 days after the quarter has ended for the entire duration of the grant cycle. The quarterly report allows awardees to update HHS with the progression towards its goal of a rate review process or process improvements. The report narrative asks for significant events towards the goal in addition to any experienced barriers and plans for rectifying any setbacks. In addition, the report asks for data components to track the progression of rate review within a state and an updated budget, work plan and time line as well as collection of rate review data.</w:t>
      </w:r>
      <w:r>
        <w:rPr>
          <w:rFonts w:ascii="Palatino Linotype" w:hAnsi="Palatino Linotype"/>
          <w:sz w:val="22"/>
          <w:szCs w:val="22"/>
        </w:rPr>
        <w:t xml:space="preserve">  </w:t>
      </w:r>
    </w:p>
    <w:p w:rsidR="00DA416F" w:rsidRDefault="00DA416F" w:rsidP="00A15A92">
      <w:pPr>
        <w:widowControl/>
        <w:rPr>
          <w:rFonts w:ascii="Palatino Linotype" w:hAnsi="Palatino Linotype"/>
          <w:sz w:val="22"/>
          <w:szCs w:val="22"/>
        </w:rPr>
      </w:pPr>
    </w:p>
    <w:p w:rsidR="00DA416F" w:rsidRPr="00BC76FE" w:rsidRDefault="00DA416F" w:rsidP="00A15A92">
      <w:pPr>
        <w:widowControl/>
        <w:rPr>
          <w:rFonts w:ascii="Palatino Linotype" w:hAnsi="Palatino Linotype"/>
          <w:sz w:val="22"/>
          <w:szCs w:val="22"/>
        </w:rPr>
      </w:pPr>
      <w:r>
        <w:rPr>
          <w:rFonts w:ascii="Palatino Linotype" w:hAnsi="Palatino Linotype"/>
          <w:sz w:val="22"/>
          <w:szCs w:val="22"/>
        </w:rPr>
        <w:t xml:space="preserve">In addition, each grantee must provide HHS with an annual report.  This report does not contain data, but instead documents the progress toward becoming (or improving) the grantees’ effective rate review program.  Finally, HHS requires a final report at the end of the grant period.  </w:t>
      </w:r>
    </w:p>
    <w:p w:rsidR="00DA416F" w:rsidRDefault="00DA416F" w:rsidP="006B268C">
      <w:pPr>
        <w:widowControl/>
        <w:jc w:val="center"/>
        <w:rPr>
          <w:rFonts w:ascii="Times New Roman Bold" w:hAnsi="Times New Roman Bold"/>
          <w:b/>
          <w:smallCaps/>
          <w:sz w:val="22"/>
          <w:szCs w:val="22"/>
          <w:u w:val="single"/>
        </w:rPr>
      </w:pPr>
    </w:p>
    <w:p w:rsidR="00803BB7" w:rsidRDefault="00803BB7" w:rsidP="006B268C">
      <w:pPr>
        <w:widowControl/>
        <w:jc w:val="center"/>
        <w:rPr>
          <w:rFonts w:ascii="Times New Roman Bold" w:hAnsi="Times New Roman Bold"/>
          <w:b/>
          <w:smallCaps/>
          <w:sz w:val="22"/>
          <w:szCs w:val="22"/>
          <w:u w:val="single"/>
        </w:rPr>
      </w:pPr>
    </w:p>
    <w:p w:rsidR="00DA416F" w:rsidRDefault="00DA416F" w:rsidP="006B268C">
      <w:pPr>
        <w:widowControl/>
        <w:jc w:val="center"/>
        <w:rPr>
          <w:rFonts w:ascii="Times New Roman Bold" w:hAnsi="Times New Roman Bold"/>
          <w:b/>
          <w:smallCaps/>
          <w:sz w:val="22"/>
          <w:szCs w:val="22"/>
          <w:u w:val="single"/>
        </w:rPr>
      </w:pPr>
    </w:p>
    <w:p w:rsidR="00DA416F" w:rsidRPr="00D67F58" w:rsidRDefault="00DA416F" w:rsidP="006B268C">
      <w:pPr>
        <w:widowControl/>
        <w:jc w:val="center"/>
        <w:rPr>
          <w:rFonts w:ascii="Times New Roman Bold" w:hAnsi="Times New Roman Bold"/>
          <w:b/>
          <w:smallCaps/>
          <w:sz w:val="22"/>
          <w:szCs w:val="22"/>
          <w:u w:val="single"/>
        </w:rPr>
      </w:pPr>
      <w:r w:rsidRPr="00D67F58">
        <w:rPr>
          <w:rFonts w:ascii="Times New Roman Bold" w:hAnsi="Times New Roman Bold"/>
          <w:b/>
          <w:smallCaps/>
          <w:sz w:val="22"/>
          <w:szCs w:val="22"/>
          <w:u w:val="single"/>
        </w:rPr>
        <w:lastRenderedPageBreak/>
        <w:t>Cycle I Process</w:t>
      </w:r>
    </w:p>
    <w:p w:rsidR="00DA416F" w:rsidRPr="00BC76FE" w:rsidRDefault="00DA416F" w:rsidP="006B268C">
      <w:pPr>
        <w:widowControl/>
        <w:rPr>
          <w:rFonts w:ascii="Palatino Linotype" w:hAnsi="Palatino Linotype"/>
          <w:b/>
          <w:sz w:val="22"/>
          <w:szCs w:val="22"/>
        </w:rPr>
      </w:pPr>
    </w:p>
    <w:p w:rsidR="00DA416F" w:rsidRPr="00D03F08" w:rsidRDefault="00DA416F" w:rsidP="006B268C">
      <w:pPr>
        <w:widowControl/>
        <w:rPr>
          <w:b/>
          <w:sz w:val="24"/>
        </w:rPr>
      </w:pPr>
      <w:r w:rsidRPr="00D03F08">
        <w:rPr>
          <w:b/>
          <w:sz w:val="24"/>
        </w:rPr>
        <w:t>12A. Estimated Annualized Burden Hours</w:t>
      </w:r>
    </w:p>
    <w:p w:rsidR="00DA416F" w:rsidRPr="00D03F08" w:rsidRDefault="00DA416F" w:rsidP="006B268C">
      <w:pPr>
        <w:widowControl/>
        <w:rPr>
          <w:sz w:val="24"/>
        </w:rPr>
      </w:pPr>
    </w:p>
    <w:p w:rsidR="00DA416F" w:rsidRDefault="00DA416F" w:rsidP="006B268C">
      <w:pPr>
        <w:rPr>
          <w:b/>
          <w:bCs/>
          <w:sz w:val="24"/>
        </w:rPr>
      </w:pPr>
      <w:r w:rsidRPr="0021364D">
        <w:rPr>
          <w:b/>
          <w:sz w:val="24"/>
        </w:rPr>
        <w:t xml:space="preserve">Estimated </w:t>
      </w:r>
      <w:r w:rsidRPr="0021364D">
        <w:rPr>
          <w:b/>
          <w:bCs/>
          <w:sz w:val="24"/>
        </w:rPr>
        <w:t xml:space="preserve">Annualized Burden Table </w:t>
      </w:r>
      <w:r>
        <w:rPr>
          <w:b/>
          <w:bCs/>
          <w:sz w:val="24"/>
        </w:rPr>
        <w:t>–</w:t>
      </w:r>
      <w:r w:rsidRPr="0021364D">
        <w:rPr>
          <w:b/>
          <w:bCs/>
          <w:sz w:val="24"/>
        </w:rPr>
        <w:t xml:space="preserve"> Application</w:t>
      </w:r>
      <w:r>
        <w:rPr>
          <w:b/>
          <w:bCs/>
          <w:sz w:val="24"/>
        </w:rPr>
        <w:t>:</w:t>
      </w:r>
    </w:p>
    <w:p w:rsidR="00DA416F" w:rsidRDefault="00DA416F" w:rsidP="006B268C">
      <w:pPr>
        <w:rPr>
          <w:b/>
          <w:bCs/>
          <w:i/>
          <w:sz w:val="24"/>
        </w:rPr>
      </w:pPr>
    </w:p>
    <w:p w:rsidR="00DA416F" w:rsidRPr="008729C9" w:rsidRDefault="00DA416F" w:rsidP="006B268C">
      <w:pPr>
        <w:rPr>
          <w:b/>
          <w:i/>
          <w:sz w:val="24"/>
        </w:rPr>
      </w:pPr>
      <w:r w:rsidRPr="008729C9">
        <w:rPr>
          <w:b/>
          <w:bCs/>
          <w:i/>
          <w:sz w:val="24"/>
        </w:rPr>
        <w:t>No Additional Burden as burden for Cycle I Application was satisfied in the emergency PRA</w:t>
      </w:r>
      <w:r>
        <w:rPr>
          <w:b/>
          <w:bCs/>
          <w:i/>
          <w:sz w:val="24"/>
        </w:rPr>
        <w:t>.</w:t>
      </w:r>
    </w:p>
    <w:p w:rsidR="00DA416F" w:rsidRDefault="00DA416F" w:rsidP="006B268C">
      <w:pPr>
        <w:widowControl/>
        <w:rPr>
          <w:sz w:val="24"/>
        </w:rPr>
      </w:pPr>
    </w:p>
    <w:p w:rsidR="00DA416F" w:rsidRPr="0021364D" w:rsidRDefault="00DA416F" w:rsidP="006B268C">
      <w:pPr>
        <w:rPr>
          <w:b/>
          <w:sz w:val="24"/>
        </w:rPr>
      </w:pPr>
      <w:r w:rsidRPr="0021364D">
        <w:rPr>
          <w:b/>
          <w:sz w:val="24"/>
        </w:rPr>
        <w:t xml:space="preserve">Estimated </w:t>
      </w:r>
      <w:r w:rsidRPr="0021364D">
        <w:rPr>
          <w:b/>
          <w:bCs/>
          <w:sz w:val="24"/>
        </w:rPr>
        <w:t>Annualized Burden Table – Reporting by Awardees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4"/>
        <w:gridCol w:w="1578"/>
        <w:gridCol w:w="1523"/>
        <w:gridCol w:w="1681"/>
        <w:gridCol w:w="1550"/>
        <w:gridCol w:w="1412"/>
      </w:tblGrid>
      <w:tr w:rsidR="00DA416F" w:rsidRPr="00DE39D8" w:rsidTr="00564727">
        <w:trPr>
          <w:trHeight w:val="285"/>
        </w:trPr>
        <w:tc>
          <w:tcPr>
            <w:tcW w:w="1724" w:type="dxa"/>
          </w:tcPr>
          <w:p w:rsidR="00DA416F" w:rsidRPr="00DE39D8" w:rsidRDefault="00DA416F" w:rsidP="00564727">
            <w:pPr>
              <w:rPr>
                <w:b/>
                <w:sz w:val="24"/>
              </w:rPr>
            </w:pPr>
            <w:r w:rsidRPr="00DE39D8">
              <w:rPr>
                <w:b/>
                <w:sz w:val="24"/>
              </w:rPr>
              <w:t xml:space="preserve">Forms </w:t>
            </w:r>
          </w:p>
          <w:p w:rsidR="00DA416F" w:rsidRPr="00DE39D8" w:rsidRDefault="00DA416F" w:rsidP="00564727">
            <w:pPr>
              <w:rPr>
                <w:b/>
                <w:sz w:val="24"/>
              </w:rPr>
            </w:pPr>
            <w:r w:rsidRPr="00DE39D8">
              <w:rPr>
                <w:b/>
                <w:sz w:val="24"/>
              </w:rPr>
              <w:t xml:space="preserve">(If necessary) </w:t>
            </w:r>
          </w:p>
        </w:tc>
        <w:tc>
          <w:tcPr>
            <w:tcW w:w="1578" w:type="dxa"/>
          </w:tcPr>
          <w:p w:rsidR="00DA416F" w:rsidRPr="00DE39D8" w:rsidRDefault="00DA416F" w:rsidP="00564727">
            <w:pPr>
              <w:rPr>
                <w:b/>
                <w:sz w:val="24"/>
              </w:rPr>
            </w:pPr>
            <w:r w:rsidRPr="00DE39D8">
              <w:rPr>
                <w:b/>
                <w:sz w:val="24"/>
              </w:rPr>
              <w:t>Type of Respondent</w:t>
            </w:r>
          </w:p>
          <w:p w:rsidR="00DA416F" w:rsidRPr="00DE39D8" w:rsidRDefault="00DA416F" w:rsidP="00564727">
            <w:pPr>
              <w:rPr>
                <w:b/>
                <w:sz w:val="24"/>
              </w:rPr>
            </w:pPr>
          </w:p>
        </w:tc>
        <w:tc>
          <w:tcPr>
            <w:tcW w:w="1523" w:type="dxa"/>
          </w:tcPr>
          <w:p w:rsidR="00DA416F" w:rsidRPr="00DE39D8" w:rsidRDefault="00DA416F" w:rsidP="00564727">
            <w:pPr>
              <w:rPr>
                <w:b/>
                <w:sz w:val="24"/>
              </w:rPr>
            </w:pPr>
            <w:r w:rsidRPr="00DE39D8">
              <w:rPr>
                <w:b/>
                <w:sz w:val="24"/>
              </w:rPr>
              <w:t xml:space="preserve">Number of  Respondents   </w:t>
            </w:r>
          </w:p>
        </w:tc>
        <w:tc>
          <w:tcPr>
            <w:tcW w:w="1681" w:type="dxa"/>
          </w:tcPr>
          <w:p w:rsidR="00DA416F" w:rsidRPr="00DE39D8" w:rsidRDefault="00DA416F" w:rsidP="00564727">
            <w:pPr>
              <w:rPr>
                <w:b/>
                <w:sz w:val="24"/>
              </w:rPr>
            </w:pPr>
            <w:r w:rsidRPr="00DE39D8">
              <w:rPr>
                <w:b/>
                <w:sz w:val="24"/>
              </w:rPr>
              <w:t xml:space="preserve">Number of Responses per Respondent </w:t>
            </w:r>
          </w:p>
        </w:tc>
        <w:tc>
          <w:tcPr>
            <w:tcW w:w="1550" w:type="dxa"/>
          </w:tcPr>
          <w:p w:rsidR="00DA416F" w:rsidRPr="00DE39D8" w:rsidRDefault="00DA416F" w:rsidP="00564727">
            <w:pPr>
              <w:rPr>
                <w:b/>
                <w:sz w:val="24"/>
              </w:rPr>
            </w:pPr>
            <w:r>
              <w:rPr>
                <w:b/>
                <w:sz w:val="24"/>
              </w:rPr>
              <w:t>Estimated</w:t>
            </w:r>
            <w:r w:rsidRPr="00DE39D8">
              <w:rPr>
                <w:b/>
                <w:sz w:val="24"/>
              </w:rPr>
              <w:t xml:space="preserve"> Burden hours per Response </w:t>
            </w:r>
          </w:p>
        </w:tc>
        <w:tc>
          <w:tcPr>
            <w:tcW w:w="1412" w:type="dxa"/>
          </w:tcPr>
          <w:p w:rsidR="00DA416F" w:rsidRPr="00DE39D8" w:rsidRDefault="00DA416F" w:rsidP="00564727">
            <w:pPr>
              <w:rPr>
                <w:b/>
                <w:sz w:val="24"/>
              </w:rPr>
            </w:pPr>
            <w:r w:rsidRPr="00DE39D8">
              <w:rPr>
                <w:b/>
                <w:sz w:val="24"/>
              </w:rPr>
              <w:t xml:space="preserve">Total </w:t>
            </w:r>
            <w:r>
              <w:rPr>
                <w:b/>
                <w:sz w:val="24"/>
              </w:rPr>
              <w:t xml:space="preserve">Estimated </w:t>
            </w:r>
            <w:r w:rsidRPr="00DE39D8">
              <w:rPr>
                <w:b/>
                <w:sz w:val="24"/>
              </w:rPr>
              <w:t xml:space="preserve">Burden Hours </w:t>
            </w:r>
          </w:p>
        </w:tc>
      </w:tr>
      <w:tr w:rsidR="00DA416F" w:rsidRPr="00DE39D8" w:rsidTr="00564727">
        <w:trPr>
          <w:trHeight w:val="285"/>
        </w:trPr>
        <w:tc>
          <w:tcPr>
            <w:tcW w:w="1724" w:type="dxa"/>
          </w:tcPr>
          <w:p w:rsidR="00DA416F" w:rsidRPr="00DE39D8" w:rsidRDefault="00DA416F" w:rsidP="00564727">
            <w:pPr>
              <w:rPr>
                <w:sz w:val="24"/>
              </w:rPr>
            </w:pPr>
            <w:r>
              <w:rPr>
                <w:sz w:val="24"/>
              </w:rPr>
              <w:t>Quarterly Report</w:t>
            </w:r>
          </w:p>
        </w:tc>
        <w:tc>
          <w:tcPr>
            <w:tcW w:w="1578" w:type="dxa"/>
          </w:tcPr>
          <w:p w:rsidR="00DA416F" w:rsidRPr="00DE39D8" w:rsidRDefault="00DA416F" w:rsidP="00564727">
            <w:pPr>
              <w:rPr>
                <w:sz w:val="24"/>
              </w:rPr>
            </w:pPr>
            <w:r>
              <w:rPr>
                <w:sz w:val="24"/>
              </w:rPr>
              <w:t xml:space="preserve">Territory or </w:t>
            </w:r>
            <w:r w:rsidRPr="00DE39D8">
              <w:rPr>
                <w:sz w:val="24"/>
              </w:rPr>
              <w:t>State Government</w:t>
            </w:r>
          </w:p>
        </w:tc>
        <w:tc>
          <w:tcPr>
            <w:tcW w:w="1523" w:type="dxa"/>
          </w:tcPr>
          <w:p w:rsidR="00DA416F" w:rsidRPr="00DE39D8" w:rsidRDefault="00DA416F" w:rsidP="00564727">
            <w:pPr>
              <w:rPr>
                <w:sz w:val="24"/>
              </w:rPr>
            </w:pPr>
            <w:r>
              <w:rPr>
                <w:sz w:val="24"/>
              </w:rPr>
              <w:t>51</w:t>
            </w:r>
          </w:p>
        </w:tc>
        <w:tc>
          <w:tcPr>
            <w:tcW w:w="1681" w:type="dxa"/>
          </w:tcPr>
          <w:p w:rsidR="00DA416F" w:rsidRPr="00DE39D8" w:rsidRDefault="00DA416F" w:rsidP="00564727">
            <w:pPr>
              <w:rPr>
                <w:sz w:val="24"/>
              </w:rPr>
            </w:pPr>
            <w:r>
              <w:rPr>
                <w:sz w:val="24"/>
              </w:rPr>
              <w:t>4</w:t>
            </w:r>
          </w:p>
        </w:tc>
        <w:tc>
          <w:tcPr>
            <w:tcW w:w="1550" w:type="dxa"/>
          </w:tcPr>
          <w:p w:rsidR="00DA416F" w:rsidRPr="00DE39D8" w:rsidRDefault="00DA416F" w:rsidP="00564727">
            <w:pPr>
              <w:rPr>
                <w:sz w:val="24"/>
              </w:rPr>
            </w:pPr>
            <w:r>
              <w:rPr>
                <w:sz w:val="24"/>
              </w:rPr>
              <w:t>24</w:t>
            </w:r>
          </w:p>
        </w:tc>
        <w:tc>
          <w:tcPr>
            <w:tcW w:w="1412" w:type="dxa"/>
          </w:tcPr>
          <w:p w:rsidR="00DA416F" w:rsidRPr="00DE39D8" w:rsidRDefault="00DA416F" w:rsidP="00564727">
            <w:pPr>
              <w:rPr>
                <w:sz w:val="24"/>
              </w:rPr>
            </w:pPr>
            <w:r>
              <w:rPr>
                <w:sz w:val="24"/>
              </w:rPr>
              <w:t>4,896</w:t>
            </w:r>
          </w:p>
        </w:tc>
      </w:tr>
      <w:tr w:rsidR="00DA416F" w:rsidRPr="00DE39D8" w:rsidTr="00564727">
        <w:trPr>
          <w:trHeight w:val="285"/>
        </w:trPr>
        <w:tc>
          <w:tcPr>
            <w:tcW w:w="1724" w:type="dxa"/>
          </w:tcPr>
          <w:p w:rsidR="00DA416F" w:rsidRPr="00DE39D8" w:rsidRDefault="00DA416F" w:rsidP="00564727">
            <w:pPr>
              <w:rPr>
                <w:sz w:val="24"/>
              </w:rPr>
            </w:pPr>
            <w:r>
              <w:rPr>
                <w:sz w:val="24"/>
              </w:rPr>
              <w:t>Transaction Data Collection</w:t>
            </w:r>
          </w:p>
        </w:tc>
        <w:tc>
          <w:tcPr>
            <w:tcW w:w="1578" w:type="dxa"/>
          </w:tcPr>
          <w:p w:rsidR="00DA416F" w:rsidRPr="00DE39D8" w:rsidRDefault="00DA416F" w:rsidP="00564727">
            <w:pPr>
              <w:rPr>
                <w:sz w:val="24"/>
              </w:rPr>
            </w:pPr>
            <w:r>
              <w:rPr>
                <w:sz w:val="24"/>
              </w:rPr>
              <w:t>Territory or State Government</w:t>
            </w:r>
          </w:p>
        </w:tc>
        <w:tc>
          <w:tcPr>
            <w:tcW w:w="1523" w:type="dxa"/>
          </w:tcPr>
          <w:p w:rsidR="00DA416F" w:rsidRPr="00DE39D8" w:rsidRDefault="00DA416F" w:rsidP="00564727">
            <w:pPr>
              <w:rPr>
                <w:sz w:val="24"/>
              </w:rPr>
            </w:pPr>
            <w:r>
              <w:rPr>
                <w:sz w:val="24"/>
              </w:rPr>
              <w:t>51</w:t>
            </w:r>
          </w:p>
        </w:tc>
        <w:tc>
          <w:tcPr>
            <w:tcW w:w="1681" w:type="dxa"/>
          </w:tcPr>
          <w:p w:rsidR="00DA416F" w:rsidRPr="00DE39D8" w:rsidRDefault="00DA416F" w:rsidP="00564727">
            <w:pPr>
              <w:rPr>
                <w:sz w:val="24"/>
              </w:rPr>
            </w:pPr>
            <w:r>
              <w:rPr>
                <w:sz w:val="24"/>
              </w:rPr>
              <w:t>4</w:t>
            </w:r>
          </w:p>
        </w:tc>
        <w:tc>
          <w:tcPr>
            <w:tcW w:w="1550" w:type="dxa"/>
          </w:tcPr>
          <w:p w:rsidR="00DA416F" w:rsidRDefault="00DA416F" w:rsidP="00564727">
            <w:pPr>
              <w:rPr>
                <w:sz w:val="24"/>
              </w:rPr>
            </w:pPr>
            <w:r>
              <w:rPr>
                <w:sz w:val="24"/>
              </w:rPr>
              <w:t>40</w:t>
            </w:r>
          </w:p>
        </w:tc>
        <w:tc>
          <w:tcPr>
            <w:tcW w:w="1412" w:type="dxa"/>
          </w:tcPr>
          <w:p w:rsidR="00DA416F" w:rsidRPr="00DE39D8" w:rsidRDefault="00DA416F" w:rsidP="00564727">
            <w:pPr>
              <w:rPr>
                <w:sz w:val="24"/>
              </w:rPr>
            </w:pPr>
            <w:r>
              <w:rPr>
                <w:sz w:val="24"/>
              </w:rPr>
              <w:t>8,160</w:t>
            </w:r>
          </w:p>
        </w:tc>
      </w:tr>
      <w:tr w:rsidR="00DA416F" w:rsidRPr="00DE39D8" w:rsidTr="00564727">
        <w:trPr>
          <w:trHeight w:val="285"/>
        </w:trPr>
        <w:tc>
          <w:tcPr>
            <w:tcW w:w="1724" w:type="dxa"/>
          </w:tcPr>
          <w:p w:rsidR="00DA416F" w:rsidRDefault="00DA416F" w:rsidP="00564727">
            <w:pPr>
              <w:rPr>
                <w:sz w:val="24"/>
              </w:rPr>
            </w:pPr>
            <w:r>
              <w:rPr>
                <w:sz w:val="24"/>
              </w:rPr>
              <w:t>Final Report</w:t>
            </w:r>
          </w:p>
        </w:tc>
        <w:tc>
          <w:tcPr>
            <w:tcW w:w="1578" w:type="dxa"/>
          </w:tcPr>
          <w:p w:rsidR="00DA416F" w:rsidRDefault="00DA416F" w:rsidP="00564727">
            <w:pPr>
              <w:rPr>
                <w:sz w:val="24"/>
              </w:rPr>
            </w:pPr>
            <w:r>
              <w:rPr>
                <w:sz w:val="24"/>
              </w:rPr>
              <w:t>Territory or State Government</w:t>
            </w:r>
          </w:p>
        </w:tc>
        <w:tc>
          <w:tcPr>
            <w:tcW w:w="1523" w:type="dxa"/>
          </w:tcPr>
          <w:p w:rsidR="00DA416F" w:rsidDel="0016270B" w:rsidRDefault="00DA416F" w:rsidP="00564727">
            <w:pPr>
              <w:rPr>
                <w:sz w:val="24"/>
              </w:rPr>
            </w:pPr>
            <w:r>
              <w:rPr>
                <w:sz w:val="24"/>
              </w:rPr>
              <w:t>51</w:t>
            </w:r>
          </w:p>
        </w:tc>
        <w:tc>
          <w:tcPr>
            <w:tcW w:w="1681" w:type="dxa"/>
          </w:tcPr>
          <w:p w:rsidR="00DA416F" w:rsidRDefault="00DA416F" w:rsidP="00564727">
            <w:pPr>
              <w:rPr>
                <w:sz w:val="24"/>
              </w:rPr>
            </w:pPr>
            <w:r>
              <w:rPr>
                <w:sz w:val="24"/>
              </w:rPr>
              <w:t>1</w:t>
            </w:r>
          </w:p>
        </w:tc>
        <w:tc>
          <w:tcPr>
            <w:tcW w:w="1550" w:type="dxa"/>
          </w:tcPr>
          <w:p w:rsidR="00DA416F" w:rsidRDefault="00DA416F" w:rsidP="00564727">
            <w:pPr>
              <w:rPr>
                <w:sz w:val="24"/>
              </w:rPr>
            </w:pPr>
            <w:r>
              <w:rPr>
                <w:sz w:val="24"/>
              </w:rPr>
              <w:t>40</w:t>
            </w:r>
          </w:p>
        </w:tc>
        <w:tc>
          <w:tcPr>
            <w:tcW w:w="1412" w:type="dxa"/>
          </w:tcPr>
          <w:p w:rsidR="00DA416F" w:rsidDel="0016270B" w:rsidRDefault="00DA416F" w:rsidP="00564727">
            <w:pPr>
              <w:rPr>
                <w:sz w:val="24"/>
              </w:rPr>
            </w:pPr>
            <w:r>
              <w:rPr>
                <w:sz w:val="24"/>
              </w:rPr>
              <w:t>2,040</w:t>
            </w:r>
          </w:p>
        </w:tc>
      </w:tr>
      <w:tr w:rsidR="00DA416F" w:rsidRPr="006A3774" w:rsidTr="00564727">
        <w:trPr>
          <w:trHeight w:val="285"/>
        </w:trPr>
        <w:tc>
          <w:tcPr>
            <w:tcW w:w="1724" w:type="dxa"/>
          </w:tcPr>
          <w:p w:rsidR="00DA416F" w:rsidRPr="006A3774" w:rsidRDefault="00DA416F" w:rsidP="00564727">
            <w:pPr>
              <w:rPr>
                <w:b/>
                <w:sz w:val="24"/>
              </w:rPr>
            </w:pPr>
            <w:r w:rsidRPr="006A3774">
              <w:rPr>
                <w:b/>
                <w:sz w:val="24"/>
              </w:rPr>
              <w:t>Total</w:t>
            </w:r>
          </w:p>
        </w:tc>
        <w:tc>
          <w:tcPr>
            <w:tcW w:w="1578" w:type="dxa"/>
          </w:tcPr>
          <w:p w:rsidR="00DA416F" w:rsidRPr="006A3774" w:rsidRDefault="00DA416F" w:rsidP="00564727">
            <w:pPr>
              <w:rPr>
                <w:b/>
                <w:sz w:val="24"/>
              </w:rPr>
            </w:pPr>
          </w:p>
        </w:tc>
        <w:tc>
          <w:tcPr>
            <w:tcW w:w="1523" w:type="dxa"/>
          </w:tcPr>
          <w:p w:rsidR="00DA416F" w:rsidRPr="006A3774" w:rsidRDefault="00DA416F" w:rsidP="00564727">
            <w:pPr>
              <w:rPr>
                <w:b/>
                <w:sz w:val="24"/>
              </w:rPr>
            </w:pPr>
            <w:r>
              <w:rPr>
                <w:b/>
                <w:sz w:val="24"/>
              </w:rPr>
              <w:t>51</w:t>
            </w:r>
          </w:p>
        </w:tc>
        <w:tc>
          <w:tcPr>
            <w:tcW w:w="1681" w:type="dxa"/>
          </w:tcPr>
          <w:p w:rsidR="00DA416F" w:rsidRPr="006A3774" w:rsidRDefault="00DA416F" w:rsidP="00564727">
            <w:pPr>
              <w:rPr>
                <w:b/>
                <w:sz w:val="24"/>
              </w:rPr>
            </w:pPr>
            <w:r>
              <w:rPr>
                <w:b/>
                <w:sz w:val="24"/>
              </w:rPr>
              <w:t>9</w:t>
            </w:r>
          </w:p>
        </w:tc>
        <w:tc>
          <w:tcPr>
            <w:tcW w:w="1550" w:type="dxa"/>
          </w:tcPr>
          <w:p w:rsidR="00DA416F" w:rsidRPr="006A3774" w:rsidRDefault="00DA416F" w:rsidP="00564727">
            <w:pPr>
              <w:rPr>
                <w:b/>
                <w:sz w:val="24"/>
              </w:rPr>
            </w:pPr>
            <w:r>
              <w:rPr>
                <w:b/>
                <w:sz w:val="24"/>
              </w:rPr>
              <w:t>104</w:t>
            </w:r>
          </w:p>
        </w:tc>
        <w:tc>
          <w:tcPr>
            <w:tcW w:w="1412" w:type="dxa"/>
          </w:tcPr>
          <w:p w:rsidR="00DA416F" w:rsidRPr="006A3774" w:rsidRDefault="00DA416F" w:rsidP="00564727">
            <w:pPr>
              <w:rPr>
                <w:b/>
                <w:sz w:val="24"/>
              </w:rPr>
            </w:pPr>
            <w:r w:rsidRPr="006A3774">
              <w:rPr>
                <w:b/>
                <w:sz w:val="24"/>
              </w:rPr>
              <w:t>15</w:t>
            </w:r>
            <w:r>
              <w:rPr>
                <w:b/>
                <w:sz w:val="24"/>
              </w:rPr>
              <w:t>,</w:t>
            </w:r>
            <w:r w:rsidRPr="006A3774">
              <w:rPr>
                <w:b/>
                <w:sz w:val="24"/>
              </w:rPr>
              <w:t>096</w:t>
            </w:r>
          </w:p>
        </w:tc>
      </w:tr>
    </w:tbl>
    <w:p w:rsidR="00DA416F" w:rsidRPr="006A3774" w:rsidRDefault="00DA416F" w:rsidP="006B268C">
      <w:pPr>
        <w:widowControl/>
        <w:rPr>
          <w:b/>
          <w:sz w:val="24"/>
        </w:rPr>
      </w:pPr>
    </w:p>
    <w:p w:rsidR="00DA416F" w:rsidRDefault="00DA416F" w:rsidP="006B268C">
      <w:pPr>
        <w:widowControl/>
        <w:rPr>
          <w:b/>
          <w:sz w:val="24"/>
        </w:rPr>
      </w:pPr>
    </w:p>
    <w:p w:rsidR="00DA416F" w:rsidRPr="00275D0F" w:rsidRDefault="00DA416F" w:rsidP="006B268C">
      <w:pPr>
        <w:widowControl/>
        <w:rPr>
          <w:b/>
          <w:sz w:val="24"/>
        </w:rPr>
      </w:pPr>
      <w:r w:rsidRPr="00DE39D8">
        <w:rPr>
          <w:b/>
          <w:sz w:val="24"/>
        </w:rPr>
        <w:t xml:space="preserve">Cost Estimate for All Respondents </w:t>
      </w:r>
      <w:r w:rsidR="00890534" w:rsidRPr="00DE39D8">
        <w:rPr>
          <w:b/>
          <w:sz w:val="24"/>
        </w:rPr>
        <w:t>completing</w:t>
      </w:r>
      <w:r w:rsidRPr="00DE39D8">
        <w:rPr>
          <w:b/>
          <w:sz w:val="24"/>
        </w:rPr>
        <w:t xml:space="preserve"> </w:t>
      </w:r>
      <w:r w:rsidRPr="00B87C07">
        <w:rPr>
          <w:b/>
          <w:sz w:val="24"/>
          <w:u w:val="single"/>
        </w:rPr>
        <w:t xml:space="preserve">all </w:t>
      </w:r>
      <w:r>
        <w:rPr>
          <w:b/>
          <w:sz w:val="24"/>
        </w:rPr>
        <w:t xml:space="preserve">Reporting Requirements, including the quarterly reports and data and one final report </w:t>
      </w:r>
      <w:r w:rsidRPr="00275D0F">
        <w:rPr>
          <w:b/>
          <w:sz w:val="24"/>
        </w:rPr>
        <w:t>(Annualized).</w:t>
      </w: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8"/>
        <w:gridCol w:w="1547"/>
        <w:gridCol w:w="1430"/>
        <w:gridCol w:w="1069"/>
        <w:gridCol w:w="1381"/>
        <w:gridCol w:w="1980"/>
      </w:tblGrid>
      <w:tr w:rsidR="00DA416F" w:rsidRPr="006A3774" w:rsidTr="006A3774">
        <w:trPr>
          <w:trHeight w:val="645"/>
        </w:trPr>
        <w:tc>
          <w:tcPr>
            <w:tcW w:w="1968" w:type="dxa"/>
          </w:tcPr>
          <w:p w:rsidR="00DA416F" w:rsidRPr="006A3774" w:rsidRDefault="00DA416F" w:rsidP="00564727">
            <w:pPr>
              <w:rPr>
                <w:b/>
                <w:sz w:val="24"/>
              </w:rPr>
            </w:pPr>
            <w:r w:rsidRPr="006A3774">
              <w:rPr>
                <w:b/>
                <w:sz w:val="24"/>
              </w:rPr>
              <w:t>Type of respondent</w:t>
            </w:r>
          </w:p>
        </w:tc>
        <w:tc>
          <w:tcPr>
            <w:tcW w:w="1547" w:type="dxa"/>
          </w:tcPr>
          <w:p w:rsidR="00DA416F" w:rsidRPr="006A3774" w:rsidRDefault="00DA416F" w:rsidP="00564727">
            <w:pPr>
              <w:jc w:val="right"/>
              <w:rPr>
                <w:b/>
                <w:sz w:val="24"/>
              </w:rPr>
            </w:pPr>
            <w:r w:rsidRPr="006A3774">
              <w:rPr>
                <w:b/>
                <w:sz w:val="24"/>
              </w:rPr>
              <w:t xml:space="preserve">Number of Respondents </w:t>
            </w:r>
          </w:p>
        </w:tc>
        <w:tc>
          <w:tcPr>
            <w:tcW w:w="1430" w:type="dxa"/>
          </w:tcPr>
          <w:p w:rsidR="00DA416F" w:rsidRPr="006A3774" w:rsidRDefault="00DA416F" w:rsidP="00564727">
            <w:pPr>
              <w:jc w:val="right"/>
              <w:rPr>
                <w:b/>
                <w:sz w:val="24"/>
              </w:rPr>
            </w:pPr>
            <w:r w:rsidRPr="006A3774">
              <w:rPr>
                <w:b/>
                <w:sz w:val="24"/>
              </w:rPr>
              <w:t xml:space="preserve">Number of Responses per Respondent </w:t>
            </w:r>
          </w:p>
        </w:tc>
        <w:tc>
          <w:tcPr>
            <w:tcW w:w="1069" w:type="dxa"/>
          </w:tcPr>
          <w:p w:rsidR="00DA416F" w:rsidRPr="006A3774" w:rsidRDefault="00DA416F" w:rsidP="00564727">
            <w:pPr>
              <w:jc w:val="right"/>
              <w:rPr>
                <w:b/>
                <w:sz w:val="24"/>
              </w:rPr>
            </w:pPr>
            <w:r w:rsidRPr="006A3774">
              <w:rPr>
                <w:b/>
                <w:sz w:val="24"/>
              </w:rPr>
              <w:t xml:space="preserve">Average Burden Hours </w:t>
            </w:r>
          </w:p>
        </w:tc>
        <w:tc>
          <w:tcPr>
            <w:tcW w:w="1381" w:type="dxa"/>
          </w:tcPr>
          <w:p w:rsidR="00DA416F" w:rsidRPr="006A3774" w:rsidRDefault="00DA416F" w:rsidP="00564727">
            <w:pPr>
              <w:jc w:val="right"/>
              <w:rPr>
                <w:b/>
                <w:sz w:val="24"/>
              </w:rPr>
            </w:pPr>
            <w:r w:rsidRPr="006A3774">
              <w:rPr>
                <w:b/>
                <w:sz w:val="24"/>
              </w:rPr>
              <w:t>Wage per Hour</w:t>
            </w:r>
          </w:p>
          <w:p w:rsidR="00DA416F" w:rsidRPr="006A3774" w:rsidRDefault="00DA416F" w:rsidP="006A3774">
            <w:pPr>
              <w:jc w:val="right"/>
              <w:rPr>
                <w:b/>
                <w:sz w:val="24"/>
              </w:rPr>
            </w:pPr>
            <w:r w:rsidRPr="006A3774">
              <w:rPr>
                <w:b/>
                <w:sz w:val="24"/>
              </w:rPr>
              <w:t>(</w:t>
            </w:r>
            <w:r>
              <w:rPr>
                <w:b/>
                <w:sz w:val="24"/>
              </w:rPr>
              <w:t>1)</w:t>
            </w:r>
          </w:p>
        </w:tc>
        <w:tc>
          <w:tcPr>
            <w:tcW w:w="1980" w:type="dxa"/>
          </w:tcPr>
          <w:p w:rsidR="00DA416F" w:rsidRPr="006A3774" w:rsidRDefault="00DA416F" w:rsidP="00564727">
            <w:pPr>
              <w:jc w:val="right"/>
              <w:rPr>
                <w:b/>
                <w:sz w:val="24"/>
              </w:rPr>
            </w:pPr>
            <w:r w:rsidRPr="006A3774">
              <w:rPr>
                <w:b/>
                <w:sz w:val="24"/>
              </w:rPr>
              <w:t>Burden Costs</w:t>
            </w:r>
          </w:p>
          <w:p w:rsidR="00DA416F" w:rsidRPr="006A3774" w:rsidRDefault="00DA416F" w:rsidP="00564727">
            <w:pPr>
              <w:jc w:val="right"/>
              <w:rPr>
                <w:b/>
                <w:sz w:val="24"/>
              </w:rPr>
            </w:pPr>
            <w:r w:rsidRPr="006A3774">
              <w:rPr>
                <w:b/>
                <w:sz w:val="24"/>
              </w:rPr>
              <w:t xml:space="preserve"> Per Annualized Response</w:t>
            </w:r>
          </w:p>
        </w:tc>
      </w:tr>
      <w:tr w:rsidR="00DA416F" w:rsidRPr="006A3774" w:rsidTr="006A3774">
        <w:trPr>
          <w:trHeight w:val="330"/>
        </w:trPr>
        <w:tc>
          <w:tcPr>
            <w:tcW w:w="1968" w:type="dxa"/>
          </w:tcPr>
          <w:p w:rsidR="00DA416F" w:rsidRPr="006A3774" w:rsidRDefault="00DA416F" w:rsidP="00B16AB2">
            <w:pPr>
              <w:rPr>
                <w:sz w:val="24"/>
              </w:rPr>
            </w:pPr>
            <w:r w:rsidRPr="00021DF2">
              <w:rPr>
                <w:rFonts w:ascii="Palatino Linotype" w:hAnsi="Palatino Linotype"/>
                <w:sz w:val="22"/>
                <w:szCs w:val="22"/>
              </w:rPr>
              <w:t>Supervisor DOI Staff Review –GS 14, Step 1</w:t>
            </w:r>
          </w:p>
        </w:tc>
        <w:tc>
          <w:tcPr>
            <w:tcW w:w="1547" w:type="dxa"/>
          </w:tcPr>
          <w:p w:rsidR="00DA416F" w:rsidRPr="006A3774" w:rsidRDefault="00DA416F" w:rsidP="00564727">
            <w:pPr>
              <w:tabs>
                <w:tab w:val="left" w:pos="1092"/>
                <w:tab w:val="right" w:pos="1212"/>
              </w:tabs>
              <w:rPr>
                <w:sz w:val="24"/>
              </w:rPr>
            </w:pPr>
            <w:r w:rsidRPr="006A3774">
              <w:rPr>
                <w:sz w:val="24"/>
              </w:rPr>
              <w:t>51</w:t>
            </w:r>
          </w:p>
        </w:tc>
        <w:tc>
          <w:tcPr>
            <w:tcW w:w="1430" w:type="dxa"/>
          </w:tcPr>
          <w:p w:rsidR="00DA416F" w:rsidRPr="006A3774" w:rsidRDefault="00DA416F" w:rsidP="00564727">
            <w:pPr>
              <w:jc w:val="right"/>
              <w:rPr>
                <w:sz w:val="24"/>
              </w:rPr>
            </w:pPr>
            <w:r>
              <w:rPr>
                <w:sz w:val="24"/>
              </w:rPr>
              <w:t>9</w:t>
            </w:r>
          </w:p>
        </w:tc>
        <w:tc>
          <w:tcPr>
            <w:tcW w:w="1069" w:type="dxa"/>
          </w:tcPr>
          <w:p w:rsidR="00DA416F" w:rsidRPr="006A3774" w:rsidRDefault="00DA416F" w:rsidP="00564727">
            <w:pPr>
              <w:jc w:val="right"/>
              <w:rPr>
                <w:sz w:val="24"/>
              </w:rPr>
            </w:pPr>
            <w:r>
              <w:rPr>
                <w:sz w:val="24"/>
              </w:rPr>
              <w:t>3,019</w:t>
            </w:r>
          </w:p>
        </w:tc>
        <w:tc>
          <w:tcPr>
            <w:tcW w:w="1381" w:type="dxa"/>
          </w:tcPr>
          <w:p w:rsidR="00DA416F" w:rsidRPr="006A3774" w:rsidRDefault="00DA416F" w:rsidP="00B16AB2">
            <w:pPr>
              <w:jc w:val="right"/>
              <w:rPr>
                <w:sz w:val="24"/>
              </w:rPr>
            </w:pPr>
            <w:r w:rsidRPr="00021DF2">
              <w:rPr>
                <w:rFonts w:ascii="Palatino Linotype" w:hAnsi="Palatino Linotype"/>
                <w:sz w:val="22"/>
                <w:szCs w:val="22"/>
              </w:rPr>
              <w:t>$50.41</w:t>
            </w:r>
          </w:p>
        </w:tc>
        <w:tc>
          <w:tcPr>
            <w:tcW w:w="1980" w:type="dxa"/>
          </w:tcPr>
          <w:p w:rsidR="00DA416F" w:rsidRPr="006A3774" w:rsidRDefault="00DA416F" w:rsidP="00B16AB2">
            <w:pPr>
              <w:rPr>
                <w:sz w:val="24"/>
              </w:rPr>
            </w:pPr>
            <w:r>
              <w:rPr>
                <w:sz w:val="24"/>
              </w:rPr>
              <w:t>$152,188</w:t>
            </w:r>
          </w:p>
        </w:tc>
      </w:tr>
      <w:tr w:rsidR="00DA416F" w:rsidRPr="006A3774" w:rsidTr="006A3774">
        <w:trPr>
          <w:trHeight w:val="330"/>
        </w:trPr>
        <w:tc>
          <w:tcPr>
            <w:tcW w:w="1968" w:type="dxa"/>
          </w:tcPr>
          <w:p w:rsidR="00DA416F" w:rsidRPr="006A3774" w:rsidRDefault="00DA416F" w:rsidP="00564727">
            <w:pPr>
              <w:rPr>
                <w:sz w:val="24"/>
              </w:rPr>
            </w:pPr>
            <w:r w:rsidRPr="00021DF2">
              <w:rPr>
                <w:rFonts w:ascii="Palatino Linotype" w:hAnsi="Palatino Linotype"/>
                <w:sz w:val="22"/>
                <w:szCs w:val="22"/>
              </w:rPr>
              <w:t>DOI Staff Report Writing—GS 13, Step 4</w:t>
            </w:r>
          </w:p>
        </w:tc>
        <w:tc>
          <w:tcPr>
            <w:tcW w:w="1547" w:type="dxa"/>
          </w:tcPr>
          <w:p w:rsidR="00DA416F" w:rsidRPr="006A3774" w:rsidRDefault="00DA416F" w:rsidP="00564727">
            <w:pPr>
              <w:tabs>
                <w:tab w:val="left" w:pos="1092"/>
                <w:tab w:val="right" w:pos="1212"/>
              </w:tabs>
              <w:rPr>
                <w:sz w:val="24"/>
              </w:rPr>
            </w:pPr>
            <w:r w:rsidRPr="006A3774">
              <w:rPr>
                <w:sz w:val="24"/>
              </w:rPr>
              <w:t>51</w:t>
            </w:r>
          </w:p>
        </w:tc>
        <w:tc>
          <w:tcPr>
            <w:tcW w:w="1430" w:type="dxa"/>
          </w:tcPr>
          <w:p w:rsidR="00DA416F" w:rsidRPr="006A3774" w:rsidRDefault="00DA416F" w:rsidP="00564727">
            <w:pPr>
              <w:jc w:val="right"/>
              <w:rPr>
                <w:sz w:val="24"/>
              </w:rPr>
            </w:pPr>
            <w:r>
              <w:rPr>
                <w:sz w:val="24"/>
              </w:rPr>
              <w:t>9</w:t>
            </w:r>
          </w:p>
        </w:tc>
        <w:tc>
          <w:tcPr>
            <w:tcW w:w="1069" w:type="dxa"/>
          </w:tcPr>
          <w:p w:rsidR="00DA416F" w:rsidRPr="006A3774" w:rsidRDefault="00DA416F" w:rsidP="00564727">
            <w:pPr>
              <w:jc w:val="right"/>
              <w:rPr>
                <w:sz w:val="24"/>
              </w:rPr>
            </w:pPr>
            <w:r>
              <w:rPr>
                <w:sz w:val="24"/>
              </w:rPr>
              <w:t>12,077</w:t>
            </w:r>
          </w:p>
        </w:tc>
        <w:tc>
          <w:tcPr>
            <w:tcW w:w="1381" w:type="dxa"/>
          </w:tcPr>
          <w:p w:rsidR="00DA416F" w:rsidRPr="006A3774" w:rsidRDefault="00DA416F" w:rsidP="00564727">
            <w:pPr>
              <w:jc w:val="right"/>
              <w:rPr>
                <w:sz w:val="24"/>
              </w:rPr>
            </w:pPr>
            <w:r w:rsidRPr="00021DF2">
              <w:rPr>
                <w:rFonts w:ascii="Palatino Linotype" w:hAnsi="Palatino Linotype"/>
                <w:sz w:val="22"/>
                <w:szCs w:val="22"/>
              </w:rPr>
              <w:t>$46.93</w:t>
            </w:r>
          </w:p>
        </w:tc>
        <w:tc>
          <w:tcPr>
            <w:tcW w:w="1980" w:type="dxa"/>
          </w:tcPr>
          <w:p w:rsidR="00DA416F" w:rsidRPr="006A3774" w:rsidRDefault="00DA416F" w:rsidP="006A3774">
            <w:pPr>
              <w:rPr>
                <w:sz w:val="24"/>
              </w:rPr>
            </w:pPr>
            <w:r>
              <w:rPr>
                <w:sz w:val="24"/>
              </w:rPr>
              <w:t>$566,774</w:t>
            </w:r>
          </w:p>
        </w:tc>
      </w:tr>
      <w:tr w:rsidR="00DA416F" w:rsidRPr="006A3774" w:rsidTr="006A3774">
        <w:trPr>
          <w:trHeight w:val="330"/>
        </w:trPr>
        <w:tc>
          <w:tcPr>
            <w:tcW w:w="1968" w:type="dxa"/>
          </w:tcPr>
          <w:p w:rsidR="00DA416F" w:rsidRPr="006A3774" w:rsidRDefault="00DA416F" w:rsidP="00564727">
            <w:pPr>
              <w:rPr>
                <w:b/>
                <w:sz w:val="24"/>
              </w:rPr>
            </w:pPr>
            <w:r w:rsidRPr="006A3774">
              <w:rPr>
                <w:b/>
                <w:sz w:val="24"/>
              </w:rPr>
              <w:t>Total</w:t>
            </w:r>
          </w:p>
        </w:tc>
        <w:tc>
          <w:tcPr>
            <w:tcW w:w="1547" w:type="dxa"/>
          </w:tcPr>
          <w:p w:rsidR="00DA416F" w:rsidRPr="006A3774" w:rsidRDefault="00DA416F" w:rsidP="00564727">
            <w:pPr>
              <w:jc w:val="right"/>
              <w:rPr>
                <w:b/>
                <w:sz w:val="24"/>
              </w:rPr>
            </w:pPr>
          </w:p>
        </w:tc>
        <w:tc>
          <w:tcPr>
            <w:tcW w:w="1430" w:type="dxa"/>
          </w:tcPr>
          <w:p w:rsidR="00DA416F" w:rsidRPr="006A3774" w:rsidRDefault="00DA416F" w:rsidP="00564727">
            <w:pPr>
              <w:jc w:val="right"/>
              <w:rPr>
                <w:b/>
                <w:sz w:val="24"/>
              </w:rPr>
            </w:pPr>
          </w:p>
        </w:tc>
        <w:tc>
          <w:tcPr>
            <w:tcW w:w="1069" w:type="dxa"/>
          </w:tcPr>
          <w:p w:rsidR="00DA416F" w:rsidRPr="006A3774" w:rsidRDefault="00DA416F" w:rsidP="00564727">
            <w:pPr>
              <w:jc w:val="right"/>
              <w:rPr>
                <w:b/>
                <w:sz w:val="24"/>
              </w:rPr>
            </w:pPr>
            <w:r w:rsidRPr="006A3774">
              <w:rPr>
                <w:b/>
                <w:sz w:val="24"/>
              </w:rPr>
              <w:t>15</w:t>
            </w:r>
            <w:r>
              <w:rPr>
                <w:b/>
                <w:sz w:val="24"/>
              </w:rPr>
              <w:t>,</w:t>
            </w:r>
            <w:r w:rsidRPr="006A3774">
              <w:rPr>
                <w:b/>
                <w:sz w:val="24"/>
              </w:rPr>
              <w:t>096</w:t>
            </w:r>
          </w:p>
        </w:tc>
        <w:tc>
          <w:tcPr>
            <w:tcW w:w="1381" w:type="dxa"/>
          </w:tcPr>
          <w:p w:rsidR="00DA416F" w:rsidRPr="006A3774" w:rsidRDefault="00DA416F" w:rsidP="00564727">
            <w:pPr>
              <w:jc w:val="right"/>
              <w:rPr>
                <w:b/>
                <w:sz w:val="24"/>
              </w:rPr>
            </w:pPr>
            <w:r w:rsidRPr="006A3774">
              <w:rPr>
                <w:b/>
                <w:sz w:val="24"/>
              </w:rPr>
              <w:t> </w:t>
            </w:r>
          </w:p>
        </w:tc>
        <w:tc>
          <w:tcPr>
            <w:tcW w:w="1980" w:type="dxa"/>
          </w:tcPr>
          <w:p w:rsidR="00DA416F" w:rsidRPr="006A3774" w:rsidRDefault="00024208" w:rsidP="00564727">
            <w:pPr>
              <w:jc w:val="right"/>
              <w:rPr>
                <w:b/>
                <w:sz w:val="24"/>
              </w:rPr>
            </w:pPr>
            <w:r w:rsidRPr="00024208">
              <w:rPr>
                <w:b/>
                <w:sz w:val="24"/>
              </w:rPr>
              <w:t>$718,96</w:t>
            </w:r>
            <w:r w:rsidR="00DA416F" w:rsidRPr="00E919F6">
              <w:rPr>
                <w:b/>
                <w:sz w:val="24"/>
              </w:rPr>
              <w:t>2</w:t>
            </w:r>
          </w:p>
        </w:tc>
      </w:tr>
    </w:tbl>
    <w:p w:rsidR="00DA416F" w:rsidRDefault="00DA416F" w:rsidP="002E0E7E">
      <w:pPr>
        <w:widowControl/>
        <w:rPr>
          <w:rFonts w:ascii="Times New Roman Bold" w:hAnsi="Times New Roman Bold"/>
          <w:b/>
          <w:smallCaps/>
          <w:sz w:val="22"/>
          <w:szCs w:val="22"/>
          <w:u w:val="single"/>
        </w:rPr>
      </w:pPr>
    </w:p>
    <w:p w:rsidR="00DA416F" w:rsidRDefault="00DA416F" w:rsidP="006A3774">
      <w:pPr>
        <w:widowControl/>
        <w:rPr>
          <w:rFonts w:ascii="Times New Roman Bold" w:hAnsi="Times New Roman Bold"/>
          <w:b/>
          <w:smallCaps/>
          <w:sz w:val="22"/>
          <w:szCs w:val="22"/>
          <w:u w:val="single"/>
        </w:rPr>
      </w:pPr>
      <w:r w:rsidRPr="00C2723A">
        <w:t>(</w:t>
      </w:r>
      <w:r w:rsidRPr="00C2723A">
        <w:rPr>
          <w:rStyle w:val="FootnoteReference"/>
        </w:rPr>
        <w:footnoteRef/>
      </w:r>
      <w:r w:rsidRPr="00C2723A">
        <w:t xml:space="preserve">) </w:t>
      </w:r>
      <w:r w:rsidRPr="00C2723A">
        <w:rPr>
          <w:rFonts w:ascii="Calibri" w:hAnsi="Calibri"/>
        </w:rPr>
        <w:t xml:space="preserve">Source Wages: NAIC 2009 Resource Guide provided range for State employees.  The wage per hour is taken from the </w:t>
      </w:r>
      <w:hyperlink r:id="rId7" w:history="1">
        <w:r w:rsidRPr="00C2723A">
          <w:rPr>
            <w:rStyle w:val="Hyperlink"/>
            <w:rFonts w:ascii="Calibri" w:hAnsi="Calibri"/>
          </w:rPr>
          <w:t>OPM Washington, DC GS</w:t>
        </w:r>
      </w:hyperlink>
      <w:r w:rsidRPr="00C2723A">
        <w:rPr>
          <w:rFonts w:ascii="Calibri" w:hAnsi="Calibri"/>
        </w:rPr>
        <w:t xml:space="preserve"> scale for (1) GS 14-Step 1 (Supervisor); (1) GS 12- Step 1 (Programmer) and (1) GS 13-Step 4 (Writer).</w:t>
      </w:r>
    </w:p>
    <w:p w:rsidR="00DA416F" w:rsidRDefault="00DA416F" w:rsidP="006B268C">
      <w:pPr>
        <w:widowControl/>
        <w:jc w:val="center"/>
        <w:rPr>
          <w:rFonts w:ascii="Times New Roman Bold" w:hAnsi="Times New Roman Bold"/>
          <w:b/>
          <w:smallCaps/>
          <w:sz w:val="22"/>
          <w:szCs w:val="22"/>
          <w:u w:val="single"/>
        </w:rPr>
      </w:pPr>
    </w:p>
    <w:p w:rsidR="00803BB7" w:rsidRDefault="00803BB7" w:rsidP="006B268C">
      <w:pPr>
        <w:widowControl/>
        <w:jc w:val="center"/>
        <w:rPr>
          <w:rFonts w:ascii="Times New Roman Bold" w:hAnsi="Times New Roman Bold"/>
          <w:b/>
          <w:smallCaps/>
          <w:sz w:val="22"/>
          <w:szCs w:val="22"/>
          <w:u w:val="single"/>
        </w:rPr>
      </w:pPr>
    </w:p>
    <w:p w:rsidR="00DA416F" w:rsidRPr="00D67F58" w:rsidRDefault="00DA416F" w:rsidP="006B268C">
      <w:pPr>
        <w:widowControl/>
        <w:jc w:val="center"/>
        <w:rPr>
          <w:rFonts w:ascii="Times New Roman Bold" w:hAnsi="Times New Roman Bold"/>
          <w:b/>
          <w:smallCaps/>
          <w:sz w:val="22"/>
          <w:szCs w:val="22"/>
          <w:u w:val="single"/>
        </w:rPr>
      </w:pPr>
      <w:r w:rsidRPr="00D67F58">
        <w:rPr>
          <w:rFonts w:ascii="Times New Roman Bold" w:hAnsi="Times New Roman Bold"/>
          <w:b/>
          <w:smallCaps/>
          <w:sz w:val="22"/>
          <w:szCs w:val="22"/>
          <w:u w:val="single"/>
        </w:rPr>
        <w:lastRenderedPageBreak/>
        <w:t>Cycle II Process</w:t>
      </w:r>
    </w:p>
    <w:p w:rsidR="00DA416F" w:rsidRDefault="00DA416F" w:rsidP="006B268C">
      <w:pPr>
        <w:widowControl/>
        <w:jc w:val="center"/>
        <w:rPr>
          <w:rFonts w:ascii="Palatino Linotype" w:hAnsi="Palatino Linotype"/>
          <w:b/>
          <w:sz w:val="22"/>
          <w:szCs w:val="22"/>
        </w:rPr>
      </w:pPr>
    </w:p>
    <w:p w:rsidR="00DA416F" w:rsidRDefault="00DA416F" w:rsidP="00066F0E">
      <w:pPr>
        <w:widowControl/>
        <w:rPr>
          <w:rFonts w:ascii="Palatino Linotype" w:hAnsi="Palatino Linotype"/>
          <w:b/>
          <w:sz w:val="22"/>
          <w:szCs w:val="22"/>
        </w:rPr>
      </w:pPr>
    </w:p>
    <w:p w:rsidR="00DA416F" w:rsidRPr="00BC76FE" w:rsidRDefault="00DA416F" w:rsidP="00066F0E">
      <w:pPr>
        <w:widowControl/>
        <w:rPr>
          <w:rFonts w:ascii="Palatino Linotype" w:hAnsi="Palatino Linotype"/>
          <w:b/>
          <w:sz w:val="22"/>
          <w:szCs w:val="22"/>
        </w:rPr>
      </w:pPr>
      <w:r>
        <w:rPr>
          <w:rFonts w:ascii="Palatino Linotype" w:hAnsi="Palatino Linotype"/>
          <w:b/>
          <w:sz w:val="22"/>
          <w:szCs w:val="22"/>
        </w:rPr>
        <w:t>12C</w:t>
      </w:r>
      <w:r w:rsidRPr="00BC76FE">
        <w:rPr>
          <w:rFonts w:ascii="Palatino Linotype" w:hAnsi="Palatino Linotype"/>
          <w:b/>
          <w:sz w:val="22"/>
          <w:szCs w:val="22"/>
        </w:rPr>
        <w:t>. Estimated Annualized Burden Hours</w:t>
      </w:r>
    </w:p>
    <w:p w:rsidR="00DA416F" w:rsidRPr="00BC76FE" w:rsidRDefault="00DA416F" w:rsidP="00906EF0">
      <w:pPr>
        <w:widowControl/>
        <w:rPr>
          <w:rFonts w:ascii="Palatino Linotype" w:hAnsi="Palatino Linotype"/>
          <w:sz w:val="22"/>
          <w:szCs w:val="22"/>
        </w:rPr>
      </w:pPr>
    </w:p>
    <w:p w:rsidR="00DA416F" w:rsidRPr="00BC76FE" w:rsidRDefault="00DA416F" w:rsidP="00906EF0">
      <w:pPr>
        <w:rPr>
          <w:rFonts w:ascii="Palatino Linotype" w:hAnsi="Palatino Linotype"/>
          <w:b/>
          <w:sz w:val="22"/>
          <w:szCs w:val="22"/>
        </w:rPr>
      </w:pPr>
      <w:r w:rsidRPr="00BC76FE">
        <w:rPr>
          <w:rFonts w:ascii="Palatino Linotype" w:hAnsi="Palatino Linotype"/>
          <w:b/>
          <w:sz w:val="22"/>
          <w:szCs w:val="22"/>
        </w:rPr>
        <w:t xml:space="preserve">Estimated </w:t>
      </w:r>
      <w:r w:rsidRPr="00BC76FE">
        <w:rPr>
          <w:rFonts w:ascii="Palatino Linotype" w:hAnsi="Palatino Linotype"/>
          <w:b/>
          <w:bCs/>
          <w:sz w:val="22"/>
          <w:szCs w:val="22"/>
        </w:rPr>
        <w:t>Annualized Burden Table -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4"/>
        <w:gridCol w:w="1578"/>
        <w:gridCol w:w="1523"/>
        <w:gridCol w:w="1681"/>
        <w:gridCol w:w="1550"/>
        <w:gridCol w:w="1412"/>
      </w:tblGrid>
      <w:tr w:rsidR="00DA416F" w:rsidRPr="00BC76FE" w:rsidTr="00360E08">
        <w:trPr>
          <w:trHeight w:val="285"/>
        </w:trPr>
        <w:tc>
          <w:tcPr>
            <w:tcW w:w="1724" w:type="dxa"/>
          </w:tcPr>
          <w:p w:rsidR="00DA416F" w:rsidRPr="00BC76FE" w:rsidRDefault="00DA416F" w:rsidP="00146780">
            <w:pPr>
              <w:rPr>
                <w:rFonts w:ascii="Palatino Linotype" w:hAnsi="Palatino Linotype"/>
                <w:b/>
                <w:sz w:val="22"/>
              </w:rPr>
            </w:pPr>
            <w:r w:rsidRPr="00BC76FE">
              <w:rPr>
                <w:rFonts w:ascii="Palatino Linotype" w:hAnsi="Palatino Linotype"/>
                <w:b/>
                <w:sz w:val="22"/>
                <w:szCs w:val="22"/>
              </w:rPr>
              <w:t xml:space="preserve">Forms </w:t>
            </w:r>
          </w:p>
          <w:p w:rsidR="00DA416F" w:rsidRPr="00BC76FE" w:rsidRDefault="00DA416F" w:rsidP="00146780">
            <w:pPr>
              <w:rPr>
                <w:rFonts w:ascii="Palatino Linotype" w:hAnsi="Palatino Linotype"/>
                <w:b/>
                <w:sz w:val="22"/>
              </w:rPr>
            </w:pPr>
            <w:r w:rsidRPr="00BC76FE">
              <w:rPr>
                <w:rFonts w:ascii="Palatino Linotype" w:hAnsi="Palatino Linotype"/>
                <w:b/>
                <w:sz w:val="22"/>
                <w:szCs w:val="22"/>
              </w:rPr>
              <w:t xml:space="preserve">(If necessary) </w:t>
            </w:r>
          </w:p>
        </w:tc>
        <w:tc>
          <w:tcPr>
            <w:tcW w:w="1578" w:type="dxa"/>
          </w:tcPr>
          <w:p w:rsidR="00DA416F" w:rsidRPr="00BC76FE" w:rsidRDefault="00DA416F" w:rsidP="00146780">
            <w:pPr>
              <w:rPr>
                <w:rFonts w:ascii="Palatino Linotype" w:hAnsi="Palatino Linotype"/>
                <w:b/>
                <w:sz w:val="22"/>
              </w:rPr>
            </w:pPr>
            <w:r w:rsidRPr="00BC76FE">
              <w:rPr>
                <w:rFonts w:ascii="Palatino Linotype" w:hAnsi="Palatino Linotype"/>
                <w:b/>
                <w:sz w:val="22"/>
                <w:szCs w:val="22"/>
              </w:rPr>
              <w:t>Type of Respondent</w:t>
            </w:r>
          </w:p>
          <w:p w:rsidR="00DA416F" w:rsidRPr="00BC76FE" w:rsidRDefault="00DA416F" w:rsidP="00146780">
            <w:pPr>
              <w:rPr>
                <w:rFonts w:ascii="Palatino Linotype" w:hAnsi="Palatino Linotype"/>
                <w:b/>
                <w:sz w:val="22"/>
              </w:rPr>
            </w:pPr>
          </w:p>
        </w:tc>
        <w:tc>
          <w:tcPr>
            <w:tcW w:w="1523" w:type="dxa"/>
          </w:tcPr>
          <w:p w:rsidR="00DA416F" w:rsidRPr="00BC76FE" w:rsidRDefault="00DA416F" w:rsidP="00146780">
            <w:pPr>
              <w:rPr>
                <w:rFonts w:ascii="Palatino Linotype" w:hAnsi="Palatino Linotype"/>
                <w:b/>
                <w:sz w:val="22"/>
              </w:rPr>
            </w:pPr>
            <w:r w:rsidRPr="00BC76FE">
              <w:rPr>
                <w:rFonts w:ascii="Palatino Linotype" w:hAnsi="Palatino Linotype"/>
                <w:b/>
                <w:sz w:val="22"/>
                <w:szCs w:val="22"/>
              </w:rPr>
              <w:t xml:space="preserve">Number of  Respondents   </w:t>
            </w:r>
          </w:p>
        </w:tc>
        <w:tc>
          <w:tcPr>
            <w:tcW w:w="1681" w:type="dxa"/>
          </w:tcPr>
          <w:p w:rsidR="00DA416F" w:rsidRPr="00BC76FE" w:rsidRDefault="00DA416F" w:rsidP="00146780">
            <w:pPr>
              <w:rPr>
                <w:rFonts w:ascii="Palatino Linotype" w:hAnsi="Palatino Linotype"/>
                <w:b/>
                <w:sz w:val="22"/>
              </w:rPr>
            </w:pPr>
            <w:r w:rsidRPr="00BC76FE">
              <w:rPr>
                <w:rFonts w:ascii="Palatino Linotype" w:hAnsi="Palatino Linotype"/>
                <w:b/>
                <w:sz w:val="22"/>
                <w:szCs w:val="22"/>
              </w:rPr>
              <w:t xml:space="preserve">Number of Responses per Respondent </w:t>
            </w:r>
          </w:p>
        </w:tc>
        <w:tc>
          <w:tcPr>
            <w:tcW w:w="1550" w:type="dxa"/>
          </w:tcPr>
          <w:p w:rsidR="00DA416F" w:rsidRPr="00BC76FE" w:rsidRDefault="00DA416F" w:rsidP="00146780">
            <w:pPr>
              <w:rPr>
                <w:rFonts w:ascii="Palatino Linotype" w:hAnsi="Palatino Linotype"/>
                <w:b/>
                <w:sz w:val="22"/>
              </w:rPr>
            </w:pPr>
            <w:r w:rsidRPr="00BC76FE">
              <w:rPr>
                <w:rFonts w:ascii="Palatino Linotype" w:hAnsi="Palatino Linotype"/>
                <w:b/>
                <w:sz w:val="22"/>
                <w:szCs w:val="22"/>
              </w:rPr>
              <w:t xml:space="preserve">Average Burden hours per Response </w:t>
            </w:r>
          </w:p>
        </w:tc>
        <w:tc>
          <w:tcPr>
            <w:tcW w:w="1412" w:type="dxa"/>
          </w:tcPr>
          <w:p w:rsidR="00DA416F" w:rsidRPr="00BC76FE" w:rsidRDefault="00DA416F" w:rsidP="00146780">
            <w:pPr>
              <w:rPr>
                <w:rFonts w:ascii="Palatino Linotype" w:hAnsi="Palatino Linotype"/>
                <w:b/>
                <w:sz w:val="22"/>
              </w:rPr>
            </w:pPr>
            <w:r w:rsidRPr="00BC76FE">
              <w:rPr>
                <w:rFonts w:ascii="Palatino Linotype" w:hAnsi="Palatino Linotype"/>
                <w:b/>
                <w:sz w:val="22"/>
                <w:szCs w:val="22"/>
              </w:rPr>
              <w:t xml:space="preserve">Total Burden Hours </w:t>
            </w:r>
          </w:p>
        </w:tc>
      </w:tr>
      <w:tr w:rsidR="00DA416F" w:rsidRPr="00BC76FE" w:rsidTr="00360E08">
        <w:trPr>
          <w:trHeight w:val="285"/>
        </w:trPr>
        <w:tc>
          <w:tcPr>
            <w:tcW w:w="1724" w:type="dxa"/>
          </w:tcPr>
          <w:p w:rsidR="00DA416F" w:rsidRPr="00BC76FE" w:rsidRDefault="00DA416F" w:rsidP="00750C00">
            <w:pPr>
              <w:rPr>
                <w:rFonts w:ascii="Palatino Linotype" w:hAnsi="Palatino Linotype"/>
                <w:sz w:val="22"/>
              </w:rPr>
            </w:pPr>
            <w:r w:rsidRPr="00BC76FE">
              <w:rPr>
                <w:rFonts w:ascii="Palatino Linotype" w:hAnsi="Palatino Linotype"/>
                <w:sz w:val="22"/>
                <w:szCs w:val="22"/>
              </w:rPr>
              <w:t>Grant Application</w:t>
            </w:r>
          </w:p>
        </w:tc>
        <w:tc>
          <w:tcPr>
            <w:tcW w:w="1578" w:type="dxa"/>
          </w:tcPr>
          <w:p w:rsidR="00DA416F" w:rsidRPr="00BC76FE" w:rsidRDefault="00DA416F" w:rsidP="00750C00">
            <w:pPr>
              <w:rPr>
                <w:rFonts w:ascii="Palatino Linotype" w:hAnsi="Palatino Linotype"/>
                <w:sz w:val="22"/>
              </w:rPr>
            </w:pPr>
            <w:r>
              <w:rPr>
                <w:rFonts w:ascii="Palatino Linotype" w:hAnsi="Palatino Linotype"/>
                <w:sz w:val="22"/>
                <w:szCs w:val="22"/>
              </w:rPr>
              <w:t xml:space="preserve">Territory or </w:t>
            </w:r>
            <w:r w:rsidRPr="00BC76FE">
              <w:rPr>
                <w:rFonts w:ascii="Palatino Linotype" w:hAnsi="Palatino Linotype"/>
                <w:sz w:val="22"/>
                <w:szCs w:val="22"/>
              </w:rPr>
              <w:t>State Government</w:t>
            </w:r>
          </w:p>
        </w:tc>
        <w:tc>
          <w:tcPr>
            <w:tcW w:w="1523" w:type="dxa"/>
          </w:tcPr>
          <w:p w:rsidR="00DA416F" w:rsidRPr="00BC76FE" w:rsidRDefault="00DA416F" w:rsidP="00750C00">
            <w:pPr>
              <w:rPr>
                <w:rFonts w:ascii="Palatino Linotype" w:hAnsi="Palatino Linotype"/>
                <w:sz w:val="22"/>
              </w:rPr>
            </w:pPr>
            <w:r>
              <w:rPr>
                <w:rFonts w:ascii="Palatino Linotype" w:hAnsi="Palatino Linotype"/>
                <w:sz w:val="22"/>
                <w:szCs w:val="22"/>
              </w:rPr>
              <w:t>56</w:t>
            </w:r>
          </w:p>
        </w:tc>
        <w:tc>
          <w:tcPr>
            <w:tcW w:w="1681" w:type="dxa"/>
          </w:tcPr>
          <w:p w:rsidR="00DA416F" w:rsidRPr="00BC76FE" w:rsidRDefault="00DA416F" w:rsidP="00750C00">
            <w:pPr>
              <w:rPr>
                <w:rFonts w:ascii="Palatino Linotype" w:hAnsi="Palatino Linotype"/>
                <w:sz w:val="22"/>
              </w:rPr>
            </w:pPr>
            <w:r w:rsidRPr="00BC76FE">
              <w:rPr>
                <w:rFonts w:ascii="Palatino Linotype" w:hAnsi="Palatino Linotype"/>
                <w:sz w:val="22"/>
                <w:szCs w:val="22"/>
              </w:rPr>
              <w:t>1</w:t>
            </w:r>
          </w:p>
        </w:tc>
        <w:tc>
          <w:tcPr>
            <w:tcW w:w="1550" w:type="dxa"/>
          </w:tcPr>
          <w:p w:rsidR="00DA416F" w:rsidRPr="00BC76FE" w:rsidRDefault="00DA416F" w:rsidP="00750C00">
            <w:pPr>
              <w:rPr>
                <w:rFonts w:ascii="Palatino Linotype" w:hAnsi="Palatino Linotype"/>
                <w:sz w:val="22"/>
              </w:rPr>
            </w:pPr>
            <w:r>
              <w:rPr>
                <w:rFonts w:ascii="Palatino Linotype" w:hAnsi="Palatino Linotype"/>
                <w:sz w:val="22"/>
                <w:szCs w:val="22"/>
              </w:rPr>
              <w:t>160</w:t>
            </w:r>
          </w:p>
        </w:tc>
        <w:tc>
          <w:tcPr>
            <w:tcW w:w="1412" w:type="dxa"/>
          </w:tcPr>
          <w:p w:rsidR="00DA416F" w:rsidRPr="00BC76FE" w:rsidRDefault="00DA416F" w:rsidP="00750C00">
            <w:pPr>
              <w:rPr>
                <w:rFonts w:ascii="Palatino Linotype" w:hAnsi="Palatino Linotype"/>
                <w:sz w:val="22"/>
              </w:rPr>
            </w:pPr>
            <w:r>
              <w:rPr>
                <w:rFonts w:ascii="Palatino Linotype" w:hAnsi="Palatino Linotype"/>
                <w:sz w:val="22"/>
                <w:szCs w:val="22"/>
              </w:rPr>
              <w:t>8,960</w:t>
            </w:r>
          </w:p>
        </w:tc>
      </w:tr>
      <w:tr w:rsidR="00DA416F" w:rsidRPr="00BC76FE" w:rsidTr="00360E08">
        <w:trPr>
          <w:trHeight w:val="285"/>
        </w:trPr>
        <w:tc>
          <w:tcPr>
            <w:tcW w:w="1724" w:type="dxa"/>
          </w:tcPr>
          <w:p w:rsidR="00DA416F" w:rsidRPr="00DA416F" w:rsidRDefault="00024208" w:rsidP="00750C00">
            <w:pPr>
              <w:rPr>
                <w:rFonts w:ascii="Palatino Linotype" w:hAnsi="Palatino Linotype"/>
                <w:b/>
                <w:sz w:val="22"/>
              </w:rPr>
            </w:pPr>
            <w:r w:rsidRPr="00024208">
              <w:rPr>
                <w:rFonts w:ascii="Palatino Linotype" w:hAnsi="Palatino Linotype"/>
                <w:b/>
                <w:sz w:val="22"/>
                <w:szCs w:val="22"/>
              </w:rPr>
              <w:t>Total</w:t>
            </w:r>
          </w:p>
        </w:tc>
        <w:tc>
          <w:tcPr>
            <w:tcW w:w="1578" w:type="dxa"/>
          </w:tcPr>
          <w:p w:rsidR="00DA416F" w:rsidRPr="00DA416F" w:rsidRDefault="00DA416F" w:rsidP="00750C00">
            <w:pPr>
              <w:rPr>
                <w:rFonts w:ascii="Palatino Linotype" w:hAnsi="Palatino Linotype"/>
                <w:b/>
                <w:sz w:val="22"/>
              </w:rPr>
            </w:pPr>
          </w:p>
        </w:tc>
        <w:tc>
          <w:tcPr>
            <w:tcW w:w="1523" w:type="dxa"/>
          </w:tcPr>
          <w:p w:rsidR="00DA416F" w:rsidRPr="00DA416F" w:rsidRDefault="00DA416F" w:rsidP="00750C00">
            <w:pPr>
              <w:rPr>
                <w:rFonts w:ascii="Palatino Linotype" w:hAnsi="Palatino Linotype"/>
                <w:b/>
                <w:sz w:val="22"/>
              </w:rPr>
            </w:pPr>
          </w:p>
        </w:tc>
        <w:tc>
          <w:tcPr>
            <w:tcW w:w="1681" w:type="dxa"/>
          </w:tcPr>
          <w:p w:rsidR="00DA416F" w:rsidRPr="00DA416F" w:rsidRDefault="00DA416F" w:rsidP="00750C00">
            <w:pPr>
              <w:rPr>
                <w:rFonts w:ascii="Palatino Linotype" w:hAnsi="Palatino Linotype"/>
                <w:b/>
                <w:sz w:val="22"/>
              </w:rPr>
            </w:pPr>
          </w:p>
        </w:tc>
        <w:tc>
          <w:tcPr>
            <w:tcW w:w="1550" w:type="dxa"/>
          </w:tcPr>
          <w:p w:rsidR="00DA416F" w:rsidRPr="00DA416F" w:rsidRDefault="00024208" w:rsidP="0076423E">
            <w:pPr>
              <w:rPr>
                <w:rFonts w:ascii="Palatino Linotype" w:hAnsi="Palatino Linotype"/>
                <w:b/>
                <w:sz w:val="22"/>
              </w:rPr>
            </w:pPr>
            <w:r w:rsidRPr="00024208">
              <w:rPr>
                <w:rFonts w:ascii="Palatino Linotype" w:hAnsi="Palatino Linotype"/>
                <w:b/>
                <w:sz w:val="22"/>
                <w:szCs w:val="22"/>
              </w:rPr>
              <w:t>160</w:t>
            </w:r>
          </w:p>
        </w:tc>
        <w:tc>
          <w:tcPr>
            <w:tcW w:w="1412" w:type="dxa"/>
          </w:tcPr>
          <w:p w:rsidR="00DA416F" w:rsidRPr="00DA416F" w:rsidRDefault="00024208" w:rsidP="0076423E">
            <w:pPr>
              <w:rPr>
                <w:rFonts w:ascii="Palatino Linotype" w:hAnsi="Palatino Linotype"/>
                <w:b/>
                <w:sz w:val="22"/>
              </w:rPr>
            </w:pPr>
            <w:r w:rsidRPr="00024208">
              <w:rPr>
                <w:rFonts w:ascii="Palatino Linotype" w:hAnsi="Palatino Linotype"/>
                <w:b/>
                <w:sz w:val="22"/>
                <w:szCs w:val="22"/>
              </w:rPr>
              <w:t>8,960</w:t>
            </w:r>
          </w:p>
        </w:tc>
      </w:tr>
    </w:tbl>
    <w:p w:rsidR="00DA416F" w:rsidRPr="00BC76FE" w:rsidRDefault="00DA416F" w:rsidP="00066F0E">
      <w:pPr>
        <w:widowControl/>
        <w:rPr>
          <w:rFonts w:ascii="Palatino Linotype" w:hAnsi="Palatino Linotype"/>
          <w:sz w:val="22"/>
          <w:szCs w:val="22"/>
        </w:rPr>
      </w:pPr>
    </w:p>
    <w:p w:rsidR="00DA416F" w:rsidRPr="00BC76FE" w:rsidRDefault="00DA416F" w:rsidP="00D03F08">
      <w:pPr>
        <w:rPr>
          <w:rFonts w:ascii="Palatino Linotype" w:hAnsi="Palatino Linotype"/>
          <w:b/>
          <w:sz w:val="22"/>
          <w:szCs w:val="22"/>
        </w:rPr>
      </w:pPr>
      <w:r w:rsidRPr="00BC76FE">
        <w:rPr>
          <w:rFonts w:ascii="Palatino Linotype" w:hAnsi="Palatino Linotype"/>
          <w:b/>
          <w:sz w:val="22"/>
          <w:szCs w:val="22"/>
        </w:rPr>
        <w:t xml:space="preserve">Estimated </w:t>
      </w:r>
      <w:r w:rsidRPr="00BC76FE">
        <w:rPr>
          <w:rFonts w:ascii="Palatino Linotype" w:hAnsi="Palatino Linotype"/>
          <w:b/>
          <w:bCs/>
          <w:sz w:val="22"/>
          <w:szCs w:val="22"/>
        </w:rPr>
        <w:t>Annualized Burden Table – Reporting by Awardees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4"/>
        <w:gridCol w:w="1578"/>
        <w:gridCol w:w="1523"/>
        <w:gridCol w:w="1681"/>
        <w:gridCol w:w="1550"/>
        <w:gridCol w:w="1412"/>
      </w:tblGrid>
      <w:tr w:rsidR="00DA416F" w:rsidRPr="00BC76FE" w:rsidTr="00B43C5B">
        <w:trPr>
          <w:trHeight w:val="285"/>
        </w:trPr>
        <w:tc>
          <w:tcPr>
            <w:tcW w:w="1724" w:type="dxa"/>
          </w:tcPr>
          <w:p w:rsidR="00DA416F" w:rsidRPr="00BC76FE" w:rsidRDefault="00DA416F" w:rsidP="00B43C5B">
            <w:pPr>
              <w:rPr>
                <w:rFonts w:ascii="Palatino Linotype" w:hAnsi="Palatino Linotype"/>
                <w:b/>
                <w:sz w:val="22"/>
              </w:rPr>
            </w:pPr>
            <w:r w:rsidRPr="00BC76FE">
              <w:rPr>
                <w:rFonts w:ascii="Palatino Linotype" w:hAnsi="Palatino Linotype"/>
                <w:b/>
                <w:sz w:val="22"/>
                <w:szCs w:val="22"/>
              </w:rPr>
              <w:t xml:space="preserve">Forms </w:t>
            </w:r>
          </w:p>
          <w:p w:rsidR="00DA416F" w:rsidRPr="00BC76FE" w:rsidRDefault="00DA416F" w:rsidP="00B43C5B">
            <w:pPr>
              <w:rPr>
                <w:rFonts w:ascii="Palatino Linotype" w:hAnsi="Palatino Linotype"/>
                <w:b/>
                <w:sz w:val="22"/>
              </w:rPr>
            </w:pPr>
            <w:r w:rsidRPr="00BC76FE">
              <w:rPr>
                <w:rFonts w:ascii="Palatino Linotype" w:hAnsi="Palatino Linotype"/>
                <w:b/>
                <w:sz w:val="22"/>
                <w:szCs w:val="22"/>
              </w:rPr>
              <w:t xml:space="preserve">(If necessary) </w:t>
            </w:r>
          </w:p>
        </w:tc>
        <w:tc>
          <w:tcPr>
            <w:tcW w:w="1578" w:type="dxa"/>
          </w:tcPr>
          <w:p w:rsidR="00DA416F" w:rsidRPr="00BC76FE" w:rsidRDefault="00DA416F" w:rsidP="00B43C5B">
            <w:pPr>
              <w:rPr>
                <w:rFonts w:ascii="Palatino Linotype" w:hAnsi="Palatino Linotype"/>
                <w:b/>
                <w:sz w:val="22"/>
              </w:rPr>
            </w:pPr>
            <w:r w:rsidRPr="00BC76FE">
              <w:rPr>
                <w:rFonts w:ascii="Palatino Linotype" w:hAnsi="Palatino Linotype"/>
                <w:b/>
                <w:sz w:val="22"/>
                <w:szCs w:val="22"/>
              </w:rPr>
              <w:t>Type of Respondent</w:t>
            </w:r>
          </w:p>
          <w:p w:rsidR="00DA416F" w:rsidRPr="00BC76FE" w:rsidRDefault="00DA416F" w:rsidP="00B43C5B">
            <w:pPr>
              <w:rPr>
                <w:rFonts w:ascii="Palatino Linotype" w:hAnsi="Palatino Linotype"/>
                <w:b/>
                <w:sz w:val="22"/>
              </w:rPr>
            </w:pPr>
          </w:p>
        </w:tc>
        <w:tc>
          <w:tcPr>
            <w:tcW w:w="1523" w:type="dxa"/>
          </w:tcPr>
          <w:p w:rsidR="00DA416F" w:rsidRPr="00BC76FE" w:rsidRDefault="00DA416F" w:rsidP="00B43C5B">
            <w:pPr>
              <w:rPr>
                <w:rFonts w:ascii="Palatino Linotype" w:hAnsi="Palatino Linotype"/>
                <w:b/>
                <w:sz w:val="22"/>
              </w:rPr>
            </w:pPr>
            <w:r w:rsidRPr="00BC76FE">
              <w:rPr>
                <w:rFonts w:ascii="Palatino Linotype" w:hAnsi="Palatino Linotype"/>
                <w:b/>
                <w:sz w:val="22"/>
                <w:szCs w:val="22"/>
              </w:rPr>
              <w:t xml:space="preserve">Number of  Respondents   </w:t>
            </w:r>
          </w:p>
        </w:tc>
        <w:tc>
          <w:tcPr>
            <w:tcW w:w="1681" w:type="dxa"/>
          </w:tcPr>
          <w:p w:rsidR="00DA416F" w:rsidRPr="00BC76FE" w:rsidRDefault="00DA416F" w:rsidP="00B43C5B">
            <w:pPr>
              <w:rPr>
                <w:rFonts w:ascii="Palatino Linotype" w:hAnsi="Palatino Linotype"/>
                <w:b/>
                <w:sz w:val="22"/>
              </w:rPr>
            </w:pPr>
            <w:r w:rsidRPr="00BC76FE">
              <w:rPr>
                <w:rFonts w:ascii="Palatino Linotype" w:hAnsi="Palatino Linotype"/>
                <w:b/>
                <w:sz w:val="22"/>
                <w:szCs w:val="22"/>
              </w:rPr>
              <w:t xml:space="preserve">Number of Responses per Respondent </w:t>
            </w:r>
          </w:p>
        </w:tc>
        <w:tc>
          <w:tcPr>
            <w:tcW w:w="1550" w:type="dxa"/>
          </w:tcPr>
          <w:p w:rsidR="00DA416F" w:rsidRPr="00BC76FE" w:rsidRDefault="00DA416F" w:rsidP="00B43C5B">
            <w:pPr>
              <w:rPr>
                <w:rFonts w:ascii="Palatino Linotype" w:hAnsi="Palatino Linotype"/>
                <w:b/>
                <w:sz w:val="22"/>
              </w:rPr>
            </w:pPr>
            <w:r w:rsidRPr="00BC76FE">
              <w:rPr>
                <w:rFonts w:ascii="Palatino Linotype" w:hAnsi="Palatino Linotype"/>
                <w:b/>
                <w:sz w:val="22"/>
                <w:szCs w:val="22"/>
              </w:rPr>
              <w:t xml:space="preserve">Estimated Burden hours per Response </w:t>
            </w:r>
          </w:p>
        </w:tc>
        <w:tc>
          <w:tcPr>
            <w:tcW w:w="1412" w:type="dxa"/>
          </w:tcPr>
          <w:p w:rsidR="00DA416F" w:rsidRPr="00BC76FE" w:rsidRDefault="00DA416F" w:rsidP="00B43C5B">
            <w:pPr>
              <w:rPr>
                <w:rFonts w:ascii="Palatino Linotype" w:hAnsi="Palatino Linotype"/>
                <w:b/>
                <w:sz w:val="22"/>
              </w:rPr>
            </w:pPr>
            <w:r w:rsidRPr="00BC76FE">
              <w:rPr>
                <w:rFonts w:ascii="Palatino Linotype" w:hAnsi="Palatino Linotype"/>
                <w:b/>
                <w:sz w:val="22"/>
                <w:szCs w:val="22"/>
              </w:rPr>
              <w:t xml:space="preserve">Total Estimated Burden Hours </w:t>
            </w:r>
          </w:p>
        </w:tc>
      </w:tr>
      <w:tr w:rsidR="00DA416F" w:rsidRPr="00BC76FE" w:rsidTr="00B43C5B">
        <w:trPr>
          <w:trHeight w:val="285"/>
        </w:trPr>
        <w:tc>
          <w:tcPr>
            <w:tcW w:w="1724" w:type="dxa"/>
          </w:tcPr>
          <w:p w:rsidR="00DA416F" w:rsidRPr="00BC76FE" w:rsidRDefault="00DA416F" w:rsidP="00B43C5B">
            <w:pPr>
              <w:rPr>
                <w:rFonts w:ascii="Palatino Linotype" w:hAnsi="Palatino Linotype"/>
                <w:sz w:val="22"/>
              </w:rPr>
            </w:pPr>
            <w:r w:rsidRPr="00BC76FE">
              <w:rPr>
                <w:rFonts w:ascii="Palatino Linotype" w:hAnsi="Palatino Linotype"/>
                <w:sz w:val="22"/>
                <w:szCs w:val="22"/>
              </w:rPr>
              <w:t>Quarterly Report</w:t>
            </w:r>
          </w:p>
        </w:tc>
        <w:tc>
          <w:tcPr>
            <w:tcW w:w="1578" w:type="dxa"/>
          </w:tcPr>
          <w:p w:rsidR="00DA416F" w:rsidRPr="00BC76FE" w:rsidRDefault="00DA416F" w:rsidP="00B43C5B">
            <w:pPr>
              <w:rPr>
                <w:rFonts w:ascii="Palatino Linotype" w:hAnsi="Palatino Linotype"/>
                <w:sz w:val="22"/>
              </w:rPr>
            </w:pPr>
            <w:r>
              <w:rPr>
                <w:rFonts w:ascii="Palatino Linotype" w:hAnsi="Palatino Linotype"/>
                <w:sz w:val="22"/>
                <w:szCs w:val="22"/>
              </w:rPr>
              <w:t xml:space="preserve">Territory or </w:t>
            </w:r>
            <w:r w:rsidRPr="00BC76FE">
              <w:rPr>
                <w:rFonts w:ascii="Palatino Linotype" w:hAnsi="Palatino Linotype"/>
                <w:sz w:val="22"/>
                <w:szCs w:val="22"/>
              </w:rPr>
              <w:t>State Government</w:t>
            </w:r>
          </w:p>
        </w:tc>
        <w:tc>
          <w:tcPr>
            <w:tcW w:w="1523" w:type="dxa"/>
          </w:tcPr>
          <w:p w:rsidR="00DA416F" w:rsidRPr="00BC76FE" w:rsidRDefault="00DA416F" w:rsidP="00B43C5B">
            <w:pPr>
              <w:rPr>
                <w:rFonts w:ascii="Palatino Linotype" w:hAnsi="Palatino Linotype"/>
                <w:sz w:val="22"/>
              </w:rPr>
            </w:pPr>
            <w:r>
              <w:rPr>
                <w:rFonts w:ascii="Palatino Linotype" w:hAnsi="Palatino Linotype"/>
                <w:sz w:val="22"/>
                <w:szCs w:val="22"/>
              </w:rPr>
              <w:t>56</w:t>
            </w:r>
          </w:p>
        </w:tc>
        <w:tc>
          <w:tcPr>
            <w:tcW w:w="1681" w:type="dxa"/>
          </w:tcPr>
          <w:p w:rsidR="00DA416F" w:rsidRPr="00BC76FE" w:rsidRDefault="00DA416F" w:rsidP="00B43C5B">
            <w:pPr>
              <w:rPr>
                <w:rFonts w:ascii="Palatino Linotype" w:hAnsi="Palatino Linotype"/>
                <w:sz w:val="22"/>
              </w:rPr>
            </w:pPr>
            <w:r w:rsidRPr="00BC76FE">
              <w:rPr>
                <w:rFonts w:ascii="Palatino Linotype" w:hAnsi="Palatino Linotype"/>
                <w:sz w:val="22"/>
                <w:szCs w:val="22"/>
              </w:rPr>
              <w:t>4</w:t>
            </w:r>
          </w:p>
        </w:tc>
        <w:tc>
          <w:tcPr>
            <w:tcW w:w="1550" w:type="dxa"/>
          </w:tcPr>
          <w:p w:rsidR="00DA416F" w:rsidRPr="00BC76FE" w:rsidRDefault="00DA416F" w:rsidP="00B43C5B">
            <w:pPr>
              <w:rPr>
                <w:rFonts w:ascii="Palatino Linotype" w:hAnsi="Palatino Linotype"/>
                <w:sz w:val="22"/>
              </w:rPr>
            </w:pPr>
            <w:r w:rsidRPr="00BC76FE">
              <w:rPr>
                <w:rFonts w:ascii="Palatino Linotype" w:hAnsi="Palatino Linotype"/>
                <w:sz w:val="22"/>
                <w:szCs w:val="22"/>
              </w:rPr>
              <w:t>24</w:t>
            </w:r>
          </w:p>
        </w:tc>
        <w:tc>
          <w:tcPr>
            <w:tcW w:w="1412" w:type="dxa"/>
          </w:tcPr>
          <w:p w:rsidR="00DA416F" w:rsidRPr="00BC76FE" w:rsidRDefault="00DA416F" w:rsidP="00B43C5B">
            <w:pPr>
              <w:rPr>
                <w:rFonts w:ascii="Palatino Linotype" w:hAnsi="Palatino Linotype"/>
                <w:sz w:val="22"/>
              </w:rPr>
            </w:pPr>
            <w:r>
              <w:rPr>
                <w:rFonts w:ascii="Palatino Linotype" w:hAnsi="Palatino Linotype"/>
                <w:sz w:val="22"/>
              </w:rPr>
              <w:t>5,376</w:t>
            </w:r>
          </w:p>
        </w:tc>
      </w:tr>
      <w:tr w:rsidR="00DA416F" w:rsidRPr="00BC76FE" w:rsidTr="00B43C5B">
        <w:trPr>
          <w:trHeight w:val="285"/>
        </w:trPr>
        <w:tc>
          <w:tcPr>
            <w:tcW w:w="1724" w:type="dxa"/>
          </w:tcPr>
          <w:p w:rsidR="00DA416F" w:rsidRPr="00BC76FE" w:rsidRDefault="00DA416F" w:rsidP="00B43C5B">
            <w:pPr>
              <w:rPr>
                <w:rFonts w:ascii="Palatino Linotype" w:hAnsi="Palatino Linotype"/>
                <w:sz w:val="22"/>
              </w:rPr>
            </w:pPr>
            <w:r w:rsidRPr="00BC76FE">
              <w:rPr>
                <w:rFonts w:ascii="Palatino Linotype" w:hAnsi="Palatino Linotype"/>
                <w:sz w:val="22"/>
                <w:szCs w:val="22"/>
              </w:rPr>
              <w:t>Transaction Data Collection</w:t>
            </w:r>
          </w:p>
        </w:tc>
        <w:tc>
          <w:tcPr>
            <w:tcW w:w="1578" w:type="dxa"/>
          </w:tcPr>
          <w:p w:rsidR="00DA416F" w:rsidRPr="00BC76FE" w:rsidRDefault="00DA416F" w:rsidP="00B43C5B">
            <w:pPr>
              <w:rPr>
                <w:rFonts w:ascii="Palatino Linotype" w:hAnsi="Palatino Linotype"/>
                <w:sz w:val="22"/>
              </w:rPr>
            </w:pPr>
            <w:r>
              <w:rPr>
                <w:rFonts w:ascii="Palatino Linotype" w:hAnsi="Palatino Linotype"/>
                <w:sz w:val="22"/>
                <w:szCs w:val="22"/>
              </w:rPr>
              <w:t xml:space="preserve">Territory or </w:t>
            </w:r>
            <w:r w:rsidRPr="00BC76FE">
              <w:rPr>
                <w:rFonts w:ascii="Palatino Linotype" w:hAnsi="Palatino Linotype"/>
                <w:sz w:val="22"/>
                <w:szCs w:val="22"/>
              </w:rPr>
              <w:t>State Government</w:t>
            </w:r>
          </w:p>
        </w:tc>
        <w:tc>
          <w:tcPr>
            <w:tcW w:w="1523" w:type="dxa"/>
          </w:tcPr>
          <w:p w:rsidR="00DA416F" w:rsidRPr="00BC76FE" w:rsidRDefault="00DA416F" w:rsidP="00B43C5B">
            <w:pPr>
              <w:rPr>
                <w:rFonts w:ascii="Palatino Linotype" w:hAnsi="Palatino Linotype"/>
                <w:sz w:val="22"/>
              </w:rPr>
            </w:pPr>
            <w:r>
              <w:rPr>
                <w:rFonts w:ascii="Palatino Linotype" w:hAnsi="Palatino Linotype"/>
                <w:sz w:val="22"/>
                <w:szCs w:val="22"/>
              </w:rPr>
              <w:t>56</w:t>
            </w:r>
          </w:p>
        </w:tc>
        <w:tc>
          <w:tcPr>
            <w:tcW w:w="1681" w:type="dxa"/>
          </w:tcPr>
          <w:p w:rsidR="00DA416F" w:rsidRPr="00BC76FE" w:rsidRDefault="00DA416F" w:rsidP="00B43C5B">
            <w:pPr>
              <w:rPr>
                <w:rFonts w:ascii="Palatino Linotype" w:hAnsi="Palatino Linotype"/>
                <w:sz w:val="22"/>
              </w:rPr>
            </w:pPr>
            <w:r w:rsidRPr="00BC76FE">
              <w:rPr>
                <w:rFonts w:ascii="Palatino Linotype" w:hAnsi="Palatino Linotype"/>
                <w:sz w:val="22"/>
                <w:szCs w:val="22"/>
              </w:rPr>
              <w:t>4</w:t>
            </w:r>
          </w:p>
        </w:tc>
        <w:tc>
          <w:tcPr>
            <w:tcW w:w="1550" w:type="dxa"/>
          </w:tcPr>
          <w:p w:rsidR="00DA416F" w:rsidRPr="00BC76FE" w:rsidRDefault="00DA416F" w:rsidP="00B43C5B">
            <w:pPr>
              <w:rPr>
                <w:rFonts w:ascii="Palatino Linotype" w:hAnsi="Palatino Linotype"/>
                <w:sz w:val="22"/>
              </w:rPr>
            </w:pPr>
            <w:r>
              <w:rPr>
                <w:rFonts w:ascii="Palatino Linotype" w:hAnsi="Palatino Linotype"/>
                <w:sz w:val="22"/>
                <w:szCs w:val="22"/>
              </w:rPr>
              <w:t>40</w:t>
            </w:r>
          </w:p>
        </w:tc>
        <w:tc>
          <w:tcPr>
            <w:tcW w:w="1412" w:type="dxa"/>
          </w:tcPr>
          <w:p w:rsidR="00DA416F" w:rsidRPr="00BC76FE" w:rsidRDefault="00DA416F" w:rsidP="00B43C5B">
            <w:pPr>
              <w:rPr>
                <w:rFonts w:ascii="Palatino Linotype" w:hAnsi="Palatino Linotype"/>
                <w:sz w:val="22"/>
              </w:rPr>
            </w:pPr>
            <w:r>
              <w:rPr>
                <w:rFonts w:ascii="Palatino Linotype" w:hAnsi="Palatino Linotype"/>
                <w:sz w:val="22"/>
              </w:rPr>
              <w:t>8,960</w:t>
            </w:r>
          </w:p>
        </w:tc>
      </w:tr>
      <w:tr w:rsidR="00DA416F" w:rsidRPr="00BC76FE" w:rsidTr="00B43C5B">
        <w:trPr>
          <w:trHeight w:val="285"/>
        </w:trPr>
        <w:tc>
          <w:tcPr>
            <w:tcW w:w="1724" w:type="dxa"/>
          </w:tcPr>
          <w:p w:rsidR="00DA416F" w:rsidRPr="00BC76FE" w:rsidRDefault="00DA416F" w:rsidP="00B43C5B">
            <w:pPr>
              <w:rPr>
                <w:rFonts w:ascii="Palatino Linotype" w:hAnsi="Palatino Linotype"/>
                <w:sz w:val="22"/>
              </w:rPr>
            </w:pPr>
            <w:r>
              <w:rPr>
                <w:rFonts w:ascii="Palatino Linotype" w:hAnsi="Palatino Linotype"/>
                <w:sz w:val="22"/>
                <w:szCs w:val="22"/>
              </w:rPr>
              <w:t>Annual Report</w:t>
            </w:r>
          </w:p>
        </w:tc>
        <w:tc>
          <w:tcPr>
            <w:tcW w:w="1578" w:type="dxa"/>
          </w:tcPr>
          <w:p w:rsidR="00DA416F" w:rsidRPr="00BC76FE" w:rsidRDefault="00DA416F" w:rsidP="00B43C5B">
            <w:pPr>
              <w:rPr>
                <w:rFonts w:ascii="Palatino Linotype" w:hAnsi="Palatino Linotype"/>
                <w:sz w:val="22"/>
              </w:rPr>
            </w:pPr>
            <w:r>
              <w:rPr>
                <w:rFonts w:ascii="Palatino Linotype" w:hAnsi="Palatino Linotype"/>
                <w:sz w:val="22"/>
                <w:szCs w:val="22"/>
              </w:rPr>
              <w:t xml:space="preserve">Territory or </w:t>
            </w:r>
            <w:r w:rsidRPr="00BC76FE">
              <w:rPr>
                <w:rFonts w:ascii="Palatino Linotype" w:hAnsi="Palatino Linotype"/>
                <w:sz w:val="22"/>
                <w:szCs w:val="22"/>
              </w:rPr>
              <w:t>State Government</w:t>
            </w:r>
          </w:p>
        </w:tc>
        <w:tc>
          <w:tcPr>
            <w:tcW w:w="1523" w:type="dxa"/>
          </w:tcPr>
          <w:p w:rsidR="00DA416F" w:rsidRPr="00BC76FE" w:rsidRDefault="00DA416F" w:rsidP="00B43C5B">
            <w:pPr>
              <w:rPr>
                <w:rFonts w:ascii="Palatino Linotype" w:hAnsi="Palatino Linotype"/>
                <w:sz w:val="22"/>
              </w:rPr>
            </w:pPr>
            <w:r>
              <w:rPr>
                <w:rFonts w:ascii="Palatino Linotype" w:hAnsi="Palatino Linotype"/>
                <w:sz w:val="22"/>
                <w:szCs w:val="22"/>
              </w:rPr>
              <w:t>56</w:t>
            </w:r>
          </w:p>
        </w:tc>
        <w:tc>
          <w:tcPr>
            <w:tcW w:w="1681" w:type="dxa"/>
          </w:tcPr>
          <w:p w:rsidR="00DA416F" w:rsidRPr="00BC76FE" w:rsidRDefault="00DA416F" w:rsidP="00B43C5B">
            <w:pPr>
              <w:rPr>
                <w:rFonts w:ascii="Palatino Linotype" w:hAnsi="Palatino Linotype"/>
                <w:sz w:val="22"/>
              </w:rPr>
            </w:pPr>
            <w:r>
              <w:rPr>
                <w:rFonts w:ascii="Palatino Linotype" w:hAnsi="Palatino Linotype"/>
                <w:sz w:val="22"/>
                <w:szCs w:val="22"/>
              </w:rPr>
              <w:t>1</w:t>
            </w:r>
          </w:p>
        </w:tc>
        <w:tc>
          <w:tcPr>
            <w:tcW w:w="1550" w:type="dxa"/>
          </w:tcPr>
          <w:p w:rsidR="00DA416F" w:rsidRPr="00BC76FE" w:rsidRDefault="00DA416F" w:rsidP="00B43C5B">
            <w:pPr>
              <w:rPr>
                <w:rFonts w:ascii="Palatino Linotype" w:hAnsi="Palatino Linotype"/>
                <w:sz w:val="22"/>
              </w:rPr>
            </w:pPr>
            <w:r>
              <w:rPr>
                <w:rFonts w:ascii="Palatino Linotype" w:hAnsi="Palatino Linotype"/>
                <w:sz w:val="22"/>
                <w:szCs w:val="22"/>
              </w:rPr>
              <w:t>40</w:t>
            </w:r>
          </w:p>
        </w:tc>
        <w:tc>
          <w:tcPr>
            <w:tcW w:w="1412" w:type="dxa"/>
          </w:tcPr>
          <w:p w:rsidR="00DA416F" w:rsidRPr="00BC76FE" w:rsidRDefault="00DA416F" w:rsidP="00B43C5B">
            <w:pPr>
              <w:rPr>
                <w:rFonts w:ascii="Palatino Linotype" w:hAnsi="Palatino Linotype"/>
                <w:sz w:val="22"/>
              </w:rPr>
            </w:pPr>
            <w:r>
              <w:rPr>
                <w:rFonts w:ascii="Palatino Linotype" w:hAnsi="Palatino Linotype"/>
                <w:sz w:val="22"/>
              </w:rPr>
              <w:t>2,240</w:t>
            </w:r>
          </w:p>
        </w:tc>
      </w:tr>
      <w:tr w:rsidR="00DA416F" w:rsidRPr="00BC76FE" w:rsidTr="00B3446C">
        <w:trPr>
          <w:trHeight w:val="285"/>
        </w:trPr>
        <w:tc>
          <w:tcPr>
            <w:tcW w:w="1724" w:type="dxa"/>
          </w:tcPr>
          <w:p w:rsidR="00DA416F" w:rsidRPr="00BC76FE" w:rsidRDefault="00DA416F" w:rsidP="00442BD5">
            <w:pPr>
              <w:rPr>
                <w:rFonts w:ascii="Palatino Linotype" w:hAnsi="Palatino Linotype"/>
                <w:sz w:val="22"/>
              </w:rPr>
            </w:pPr>
            <w:r>
              <w:rPr>
                <w:rFonts w:ascii="Palatino Linotype" w:hAnsi="Palatino Linotype"/>
                <w:sz w:val="22"/>
              </w:rPr>
              <w:t>Final Report</w:t>
            </w:r>
          </w:p>
        </w:tc>
        <w:tc>
          <w:tcPr>
            <w:tcW w:w="1578" w:type="dxa"/>
          </w:tcPr>
          <w:p w:rsidR="00DA416F" w:rsidRPr="00BC76FE" w:rsidRDefault="00DA416F" w:rsidP="00442BD5">
            <w:pPr>
              <w:rPr>
                <w:rFonts w:ascii="Palatino Linotype" w:hAnsi="Palatino Linotype"/>
                <w:sz w:val="22"/>
              </w:rPr>
            </w:pPr>
            <w:r>
              <w:rPr>
                <w:rFonts w:ascii="Palatino Linotype" w:hAnsi="Palatino Linotype"/>
                <w:sz w:val="22"/>
              </w:rPr>
              <w:t>Territory or State Government</w:t>
            </w:r>
          </w:p>
        </w:tc>
        <w:tc>
          <w:tcPr>
            <w:tcW w:w="1523" w:type="dxa"/>
          </w:tcPr>
          <w:p w:rsidR="00DA416F" w:rsidRPr="00BC76FE" w:rsidRDefault="00DA416F" w:rsidP="00442BD5">
            <w:pPr>
              <w:rPr>
                <w:rFonts w:ascii="Palatino Linotype" w:hAnsi="Palatino Linotype"/>
                <w:sz w:val="22"/>
              </w:rPr>
            </w:pPr>
            <w:r>
              <w:rPr>
                <w:rFonts w:ascii="Palatino Linotype" w:hAnsi="Palatino Linotype"/>
                <w:sz w:val="22"/>
                <w:szCs w:val="22"/>
              </w:rPr>
              <w:t>56</w:t>
            </w:r>
          </w:p>
        </w:tc>
        <w:tc>
          <w:tcPr>
            <w:tcW w:w="1681" w:type="dxa"/>
          </w:tcPr>
          <w:p w:rsidR="00DA416F" w:rsidRPr="00BC76FE" w:rsidRDefault="00DA416F" w:rsidP="00442BD5">
            <w:pPr>
              <w:rPr>
                <w:rFonts w:ascii="Palatino Linotype" w:hAnsi="Palatino Linotype"/>
                <w:sz w:val="22"/>
              </w:rPr>
            </w:pPr>
            <w:r>
              <w:rPr>
                <w:rFonts w:ascii="Palatino Linotype" w:hAnsi="Palatino Linotype"/>
                <w:sz w:val="22"/>
                <w:szCs w:val="22"/>
              </w:rPr>
              <w:t>1 (not annual; end of grant)</w:t>
            </w:r>
          </w:p>
        </w:tc>
        <w:tc>
          <w:tcPr>
            <w:tcW w:w="1550" w:type="dxa"/>
          </w:tcPr>
          <w:p w:rsidR="00DA416F" w:rsidRPr="00BC76FE" w:rsidRDefault="00DA416F" w:rsidP="00442BD5">
            <w:pPr>
              <w:rPr>
                <w:rFonts w:ascii="Palatino Linotype" w:hAnsi="Palatino Linotype"/>
                <w:sz w:val="22"/>
              </w:rPr>
            </w:pPr>
            <w:r>
              <w:rPr>
                <w:rFonts w:ascii="Palatino Linotype" w:hAnsi="Palatino Linotype"/>
                <w:sz w:val="22"/>
              </w:rPr>
              <w:t>40</w:t>
            </w:r>
          </w:p>
        </w:tc>
        <w:tc>
          <w:tcPr>
            <w:tcW w:w="1412" w:type="dxa"/>
          </w:tcPr>
          <w:p w:rsidR="00DA416F" w:rsidRPr="00BC76FE" w:rsidRDefault="00DA416F" w:rsidP="00442BD5">
            <w:pPr>
              <w:rPr>
                <w:rFonts w:ascii="Palatino Linotype" w:hAnsi="Palatino Linotype"/>
                <w:sz w:val="22"/>
              </w:rPr>
            </w:pPr>
            <w:r>
              <w:rPr>
                <w:rFonts w:ascii="Palatino Linotype" w:hAnsi="Palatino Linotype"/>
                <w:sz w:val="22"/>
              </w:rPr>
              <w:t>2,240</w:t>
            </w:r>
          </w:p>
        </w:tc>
      </w:tr>
      <w:tr w:rsidR="00DA416F" w:rsidRPr="00BC76FE" w:rsidTr="00B75253">
        <w:trPr>
          <w:trHeight w:val="285"/>
        </w:trPr>
        <w:tc>
          <w:tcPr>
            <w:tcW w:w="1724" w:type="dxa"/>
          </w:tcPr>
          <w:p w:rsidR="00DA416F" w:rsidRPr="00C2723A" w:rsidRDefault="00DA416F" w:rsidP="00A0783B">
            <w:pPr>
              <w:rPr>
                <w:rFonts w:ascii="Palatino Linotype" w:hAnsi="Palatino Linotype"/>
                <w:b/>
                <w:sz w:val="22"/>
              </w:rPr>
            </w:pPr>
            <w:r w:rsidRPr="00C2723A">
              <w:rPr>
                <w:rFonts w:ascii="Palatino Linotype" w:hAnsi="Palatino Linotype"/>
                <w:b/>
                <w:sz w:val="22"/>
                <w:szCs w:val="22"/>
              </w:rPr>
              <w:t>Total</w:t>
            </w:r>
          </w:p>
        </w:tc>
        <w:tc>
          <w:tcPr>
            <w:tcW w:w="1578" w:type="dxa"/>
          </w:tcPr>
          <w:p w:rsidR="00DA416F" w:rsidRPr="00C2723A" w:rsidRDefault="00DA416F" w:rsidP="00A0783B">
            <w:pPr>
              <w:rPr>
                <w:rFonts w:ascii="Palatino Linotype" w:hAnsi="Palatino Linotype"/>
                <w:b/>
                <w:sz w:val="22"/>
              </w:rPr>
            </w:pPr>
          </w:p>
        </w:tc>
        <w:tc>
          <w:tcPr>
            <w:tcW w:w="1523" w:type="dxa"/>
          </w:tcPr>
          <w:p w:rsidR="00DA416F" w:rsidRPr="00C2723A" w:rsidRDefault="00DA416F" w:rsidP="00A0783B">
            <w:pPr>
              <w:rPr>
                <w:rFonts w:ascii="Palatino Linotype" w:hAnsi="Palatino Linotype"/>
                <w:b/>
                <w:sz w:val="22"/>
              </w:rPr>
            </w:pPr>
          </w:p>
        </w:tc>
        <w:tc>
          <w:tcPr>
            <w:tcW w:w="1681" w:type="dxa"/>
          </w:tcPr>
          <w:p w:rsidR="00DA416F" w:rsidRDefault="00DA416F" w:rsidP="00A0783B">
            <w:pPr>
              <w:rPr>
                <w:rFonts w:ascii="Palatino Linotype" w:hAnsi="Palatino Linotype"/>
                <w:b/>
                <w:sz w:val="22"/>
              </w:rPr>
            </w:pPr>
            <w:r w:rsidRPr="00C2723A">
              <w:rPr>
                <w:rFonts w:ascii="Palatino Linotype" w:hAnsi="Palatino Linotype"/>
                <w:sz w:val="22"/>
                <w:szCs w:val="22"/>
              </w:rPr>
              <w:t>9 per year (4 quarterly reports, 4 data submissions; 1 annual), 1 final report.</w:t>
            </w:r>
            <w:r>
              <w:rPr>
                <w:rFonts w:ascii="Palatino Linotype" w:hAnsi="Palatino Linotype"/>
                <w:b/>
                <w:sz w:val="22"/>
                <w:szCs w:val="22"/>
              </w:rPr>
              <w:t xml:space="preserve"> </w:t>
            </w:r>
            <w:r w:rsidRPr="00C2723A">
              <w:rPr>
                <w:rFonts w:ascii="Palatino Linotype" w:hAnsi="Palatino Linotype"/>
                <w:b/>
                <w:sz w:val="22"/>
                <w:szCs w:val="22"/>
              </w:rPr>
              <w:t xml:space="preserve"> </w:t>
            </w:r>
          </w:p>
          <w:p w:rsidR="00DA416F" w:rsidRPr="00C2723A" w:rsidRDefault="00DA416F" w:rsidP="00A0783B">
            <w:pPr>
              <w:rPr>
                <w:rFonts w:ascii="Palatino Linotype" w:hAnsi="Palatino Linotype"/>
                <w:b/>
                <w:sz w:val="22"/>
              </w:rPr>
            </w:pPr>
            <w:r w:rsidRPr="00C2723A">
              <w:rPr>
                <w:rFonts w:ascii="Palatino Linotype" w:hAnsi="Palatino Linotype"/>
                <w:b/>
                <w:sz w:val="22"/>
                <w:szCs w:val="22"/>
              </w:rPr>
              <w:t>10 total responses</w:t>
            </w:r>
          </w:p>
        </w:tc>
        <w:tc>
          <w:tcPr>
            <w:tcW w:w="1550" w:type="dxa"/>
          </w:tcPr>
          <w:p w:rsidR="00DA416F" w:rsidRPr="00C2723A" w:rsidRDefault="00DA416F" w:rsidP="00A0783B">
            <w:pPr>
              <w:rPr>
                <w:rFonts w:ascii="Palatino Linotype" w:hAnsi="Palatino Linotype"/>
                <w:b/>
                <w:sz w:val="22"/>
              </w:rPr>
            </w:pPr>
          </w:p>
        </w:tc>
        <w:tc>
          <w:tcPr>
            <w:tcW w:w="1412" w:type="dxa"/>
          </w:tcPr>
          <w:p w:rsidR="00DA416F" w:rsidRPr="00C2723A" w:rsidRDefault="00DA416F" w:rsidP="00A0783B">
            <w:pPr>
              <w:rPr>
                <w:rFonts w:ascii="Palatino Linotype" w:hAnsi="Palatino Linotype"/>
                <w:b/>
                <w:sz w:val="22"/>
              </w:rPr>
            </w:pPr>
            <w:r>
              <w:rPr>
                <w:rFonts w:ascii="Palatino Linotype" w:hAnsi="Palatino Linotype"/>
                <w:b/>
                <w:sz w:val="22"/>
              </w:rPr>
              <w:t>18,816</w:t>
            </w:r>
          </w:p>
        </w:tc>
      </w:tr>
    </w:tbl>
    <w:p w:rsidR="00DA416F" w:rsidRDefault="00DA416F" w:rsidP="00021DF2">
      <w:pPr>
        <w:rPr>
          <w:rFonts w:ascii="Palatino Linotype" w:hAnsi="Palatino Linotype"/>
          <w:b/>
          <w:sz w:val="22"/>
          <w:szCs w:val="22"/>
        </w:rPr>
      </w:pPr>
    </w:p>
    <w:p w:rsidR="00DA416F" w:rsidRDefault="00DA416F" w:rsidP="00021DF2">
      <w:pPr>
        <w:rPr>
          <w:rFonts w:ascii="Palatino Linotype" w:hAnsi="Palatino Linotype"/>
          <w:b/>
          <w:sz w:val="22"/>
          <w:szCs w:val="22"/>
        </w:rPr>
      </w:pPr>
      <w:r>
        <w:rPr>
          <w:rFonts w:ascii="Palatino Linotype" w:hAnsi="Palatino Linotype"/>
          <w:b/>
          <w:sz w:val="22"/>
          <w:szCs w:val="22"/>
        </w:rPr>
        <w:lastRenderedPageBreak/>
        <w:t>12D</w:t>
      </w:r>
      <w:r w:rsidRPr="00021DF2">
        <w:rPr>
          <w:rFonts w:ascii="Palatino Linotype" w:hAnsi="Palatino Linotype"/>
          <w:b/>
          <w:sz w:val="22"/>
          <w:szCs w:val="22"/>
        </w:rPr>
        <w:t xml:space="preserve">. Cost Estimate for All Respondents </w:t>
      </w:r>
    </w:p>
    <w:p w:rsidR="00DA416F" w:rsidRDefault="00DA416F" w:rsidP="00021DF2">
      <w:pPr>
        <w:rPr>
          <w:rFonts w:ascii="Palatino Linotype" w:hAnsi="Palatino Linotype"/>
          <w:b/>
          <w:sz w:val="22"/>
          <w:szCs w:val="22"/>
        </w:rPr>
      </w:pPr>
    </w:p>
    <w:p w:rsidR="00DA416F" w:rsidRDefault="00DA416F" w:rsidP="009F6C5C">
      <w:pPr>
        <w:rPr>
          <w:rFonts w:ascii="Palatino Linotype" w:hAnsi="Palatino Linotype"/>
          <w:b/>
          <w:sz w:val="22"/>
          <w:szCs w:val="22"/>
        </w:rPr>
      </w:pPr>
      <w:r>
        <w:rPr>
          <w:rFonts w:ascii="Palatino Linotype" w:hAnsi="Palatino Linotype"/>
          <w:b/>
          <w:sz w:val="22"/>
          <w:szCs w:val="22"/>
        </w:rPr>
        <w:t>Cost Estimate for All Respondents Completing the Grant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4"/>
        <w:gridCol w:w="1578"/>
        <w:gridCol w:w="1523"/>
        <w:gridCol w:w="1681"/>
        <w:gridCol w:w="1432"/>
        <w:gridCol w:w="1530"/>
      </w:tblGrid>
      <w:tr w:rsidR="00DA416F" w:rsidRPr="00021DF2" w:rsidTr="00B30038">
        <w:trPr>
          <w:trHeight w:val="285"/>
        </w:trPr>
        <w:tc>
          <w:tcPr>
            <w:tcW w:w="1724" w:type="dxa"/>
          </w:tcPr>
          <w:p w:rsidR="00DA416F" w:rsidRPr="00C2723A" w:rsidRDefault="00DA416F" w:rsidP="00442BD5">
            <w:pPr>
              <w:rPr>
                <w:rFonts w:ascii="Palatino Linotype" w:hAnsi="Palatino Linotype"/>
                <w:b/>
                <w:sz w:val="22"/>
              </w:rPr>
            </w:pPr>
            <w:r w:rsidRPr="00C2723A">
              <w:rPr>
                <w:rFonts w:ascii="Palatino Linotype" w:hAnsi="Palatino Linotype"/>
                <w:b/>
                <w:sz w:val="22"/>
                <w:szCs w:val="22"/>
              </w:rPr>
              <w:t>Type of respondent</w:t>
            </w:r>
          </w:p>
        </w:tc>
        <w:tc>
          <w:tcPr>
            <w:tcW w:w="1578" w:type="dxa"/>
          </w:tcPr>
          <w:p w:rsidR="00DA416F" w:rsidRPr="00C2723A" w:rsidRDefault="00DA416F" w:rsidP="00442BD5">
            <w:pPr>
              <w:rPr>
                <w:rFonts w:ascii="Palatino Linotype" w:hAnsi="Palatino Linotype"/>
                <w:b/>
                <w:sz w:val="22"/>
              </w:rPr>
            </w:pPr>
            <w:r w:rsidRPr="00C2723A">
              <w:rPr>
                <w:rFonts w:ascii="Palatino Linotype" w:hAnsi="Palatino Linotype"/>
                <w:b/>
                <w:sz w:val="22"/>
                <w:szCs w:val="22"/>
              </w:rPr>
              <w:t xml:space="preserve">Number of Respondents </w:t>
            </w:r>
          </w:p>
        </w:tc>
        <w:tc>
          <w:tcPr>
            <w:tcW w:w="1523" w:type="dxa"/>
          </w:tcPr>
          <w:p w:rsidR="00DA416F" w:rsidRPr="00C2723A" w:rsidRDefault="00DA416F" w:rsidP="00442BD5">
            <w:pPr>
              <w:rPr>
                <w:rFonts w:ascii="Palatino Linotype" w:hAnsi="Palatino Linotype"/>
                <w:b/>
                <w:sz w:val="22"/>
              </w:rPr>
            </w:pPr>
            <w:r w:rsidRPr="00C2723A">
              <w:rPr>
                <w:rFonts w:ascii="Palatino Linotype" w:hAnsi="Palatino Linotype"/>
                <w:b/>
                <w:sz w:val="22"/>
                <w:szCs w:val="22"/>
              </w:rPr>
              <w:t xml:space="preserve">Number of Responses per Respondent </w:t>
            </w:r>
          </w:p>
        </w:tc>
        <w:tc>
          <w:tcPr>
            <w:tcW w:w="1681" w:type="dxa"/>
          </w:tcPr>
          <w:p w:rsidR="00DA416F" w:rsidRPr="00C2723A" w:rsidRDefault="00DA416F" w:rsidP="00442BD5">
            <w:pPr>
              <w:rPr>
                <w:rFonts w:ascii="Palatino Linotype" w:hAnsi="Palatino Linotype"/>
                <w:b/>
                <w:sz w:val="22"/>
              </w:rPr>
            </w:pPr>
            <w:r w:rsidRPr="00C2723A">
              <w:rPr>
                <w:rFonts w:ascii="Palatino Linotype" w:hAnsi="Palatino Linotype"/>
                <w:b/>
                <w:sz w:val="22"/>
                <w:szCs w:val="22"/>
              </w:rPr>
              <w:t xml:space="preserve">Total Burden Hours </w:t>
            </w:r>
          </w:p>
        </w:tc>
        <w:tc>
          <w:tcPr>
            <w:tcW w:w="1432" w:type="dxa"/>
          </w:tcPr>
          <w:p w:rsidR="00DA416F" w:rsidRPr="00C2723A" w:rsidRDefault="00DA416F" w:rsidP="00442BD5">
            <w:pPr>
              <w:rPr>
                <w:rFonts w:ascii="Palatino Linotype" w:hAnsi="Palatino Linotype"/>
                <w:b/>
                <w:sz w:val="22"/>
              </w:rPr>
            </w:pPr>
            <w:r w:rsidRPr="00C2723A">
              <w:rPr>
                <w:rFonts w:ascii="Palatino Linotype" w:hAnsi="Palatino Linotype"/>
                <w:b/>
                <w:sz w:val="22"/>
                <w:szCs w:val="22"/>
              </w:rPr>
              <w:t>Wage per Hour (</w:t>
            </w:r>
            <w:r w:rsidRPr="00C2723A">
              <w:rPr>
                <w:rStyle w:val="FootnoteReference"/>
                <w:rFonts w:ascii="Palatino Linotype" w:hAnsi="Palatino Linotype"/>
                <w:b/>
                <w:sz w:val="22"/>
                <w:szCs w:val="22"/>
              </w:rPr>
              <w:footnoteReference w:id="1"/>
            </w:r>
            <w:r w:rsidRPr="00C2723A">
              <w:rPr>
                <w:rFonts w:ascii="Palatino Linotype" w:hAnsi="Palatino Linotype"/>
                <w:b/>
                <w:sz w:val="22"/>
                <w:szCs w:val="22"/>
              </w:rPr>
              <w:t>)</w:t>
            </w:r>
          </w:p>
        </w:tc>
        <w:tc>
          <w:tcPr>
            <w:tcW w:w="1530" w:type="dxa"/>
          </w:tcPr>
          <w:p w:rsidR="00DA416F" w:rsidRPr="00C2723A" w:rsidRDefault="00DA416F" w:rsidP="00442BD5">
            <w:pPr>
              <w:rPr>
                <w:rFonts w:ascii="Palatino Linotype" w:hAnsi="Palatino Linotype"/>
                <w:b/>
                <w:sz w:val="22"/>
              </w:rPr>
            </w:pPr>
            <w:r w:rsidRPr="00C2723A">
              <w:rPr>
                <w:rFonts w:ascii="Palatino Linotype" w:hAnsi="Palatino Linotype"/>
                <w:b/>
                <w:sz w:val="22"/>
                <w:szCs w:val="22"/>
              </w:rPr>
              <w:t>Burden Costs</w:t>
            </w:r>
          </w:p>
          <w:p w:rsidR="00DA416F" w:rsidRPr="00C2723A" w:rsidRDefault="00DA416F" w:rsidP="00442BD5">
            <w:pPr>
              <w:rPr>
                <w:rFonts w:ascii="Palatino Linotype" w:hAnsi="Palatino Linotype"/>
                <w:b/>
                <w:sz w:val="22"/>
              </w:rPr>
            </w:pPr>
            <w:r w:rsidRPr="00C2723A">
              <w:rPr>
                <w:rFonts w:ascii="Palatino Linotype" w:hAnsi="Palatino Linotype"/>
                <w:b/>
                <w:sz w:val="22"/>
                <w:szCs w:val="22"/>
              </w:rPr>
              <w:t>Annualized For All Responses</w:t>
            </w:r>
          </w:p>
        </w:tc>
      </w:tr>
      <w:tr w:rsidR="00DA416F" w:rsidRPr="00BC76FE" w:rsidTr="00B30038">
        <w:trPr>
          <w:trHeight w:val="285"/>
        </w:trPr>
        <w:tc>
          <w:tcPr>
            <w:tcW w:w="1724" w:type="dxa"/>
          </w:tcPr>
          <w:p w:rsidR="00DA416F" w:rsidRPr="00021DF2" w:rsidRDefault="00DA416F" w:rsidP="00442BD5">
            <w:pPr>
              <w:rPr>
                <w:rFonts w:ascii="Palatino Linotype" w:hAnsi="Palatino Linotype"/>
                <w:sz w:val="22"/>
              </w:rPr>
            </w:pPr>
            <w:r w:rsidRPr="00021DF2">
              <w:rPr>
                <w:rFonts w:ascii="Palatino Linotype" w:hAnsi="Palatino Linotype"/>
                <w:sz w:val="22"/>
                <w:szCs w:val="22"/>
              </w:rPr>
              <w:t>Supervisor DOI Staff Review –GS 14, Step 1</w:t>
            </w:r>
          </w:p>
        </w:tc>
        <w:tc>
          <w:tcPr>
            <w:tcW w:w="1578" w:type="dxa"/>
          </w:tcPr>
          <w:p w:rsidR="00DA416F" w:rsidRPr="00021DF2" w:rsidRDefault="00DA416F" w:rsidP="00442BD5">
            <w:pPr>
              <w:rPr>
                <w:rFonts w:ascii="Palatino Linotype" w:hAnsi="Palatino Linotype"/>
                <w:sz w:val="22"/>
              </w:rPr>
            </w:pPr>
            <w:r>
              <w:rPr>
                <w:rFonts w:ascii="Palatino Linotype" w:hAnsi="Palatino Linotype"/>
                <w:sz w:val="22"/>
                <w:szCs w:val="22"/>
              </w:rPr>
              <w:t>56</w:t>
            </w:r>
          </w:p>
        </w:tc>
        <w:tc>
          <w:tcPr>
            <w:tcW w:w="1523" w:type="dxa"/>
          </w:tcPr>
          <w:p w:rsidR="00DA416F" w:rsidRPr="00021DF2" w:rsidRDefault="00DA416F" w:rsidP="00442BD5">
            <w:pPr>
              <w:rPr>
                <w:rFonts w:ascii="Palatino Linotype" w:hAnsi="Palatino Linotype"/>
                <w:sz w:val="22"/>
              </w:rPr>
            </w:pPr>
            <w:r w:rsidRPr="00021DF2">
              <w:rPr>
                <w:rFonts w:ascii="Palatino Linotype" w:hAnsi="Palatino Linotype"/>
                <w:sz w:val="22"/>
                <w:szCs w:val="22"/>
              </w:rPr>
              <w:t>1</w:t>
            </w:r>
          </w:p>
        </w:tc>
        <w:tc>
          <w:tcPr>
            <w:tcW w:w="1681" w:type="dxa"/>
          </w:tcPr>
          <w:p w:rsidR="00DA416F" w:rsidRPr="00021DF2" w:rsidRDefault="00DA416F" w:rsidP="00442BD5">
            <w:pPr>
              <w:rPr>
                <w:rFonts w:ascii="Palatino Linotype" w:hAnsi="Palatino Linotype"/>
                <w:sz w:val="22"/>
              </w:rPr>
            </w:pPr>
            <w:r>
              <w:rPr>
                <w:rFonts w:ascii="Palatino Linotype" w:hAnsi="Palatino Linotype"/>
                <w:sz w:val="22"/>
              </w:rPr>
              <w:t>2,240</w:t>
            </w:r>
          </w:p>
        </w:tc>
        <w:tc>
          <w:tcPr>
            <w:tcW w:w="1432" w:type="dxa"/>
          </w:tcPr>
          <w:p w:rsidR="00DA416F" w:rsidRPr="00021DF2" w:rsidRDefault="00DA416F" w:rsidP="00442BD5">
            <w:pPr>
              <w:rPr>
                <w:rFonts w:ascii="Palatino Linotype" w:hAnsi="Palatino Linotype"/>
                <w:sz w:val="22"/>
              </w:rPr>
            </w:pPr>
            <w:r w:rsidRPr="00021DF2">
              <w:rPr>
                <w:rFonts w:ascii="Palatino Linotype" w:hAnsi="Palatino Linotype"/>
                <w:sz w:val="22"/>
                <w:szCs w:val="22"/>
              </w:rPr>
              <w:t>$50.41</w:t>
            </w:r>
          </w:p>
        </w:tc>
        <w:tc>
          <w:tcPr>
            <w:tcW w:w="1530" w:type="dxa"/>
          </w:tcPr>
          <w:p w:rsidR="00DA416F" w:rsidRPr="00021DF2" w:rsidRDefault="00DA416F" w:rsidP="00F45BA5">
            <w:pPr>
              <w:rPr>
                <w:rFonts w:ascii="Palatino Linotype" w:hAnsi="Palatino Linotype"/>
                <w:sz w:val="22"/>
              </w:rPr>
            </w:pPr>
            <w:r>
              <w:rPr>
                <w:rFonts w:ascii="Palatino Linotype" w:hAnsi="Palatino Linotype"/>
                <w:sz w:val="22"/>
              </w:rPr>
              <w:t>$112,918</w:t>
            </w:r>
          </w:p>
        </w:tc>
      </w:tr>
      <w:tr w:rsidR="00DA416F" w:rsidRPr="00BC76FE" w:rsidTr="00F45BA5">
        <w:trPr>
          <w:trHeight w:val="1277"/>
        </w:trPr>
        <w:tc>
          <w:tcPr>
            <w:tcW w:w="1724" w:type="dxa"/>
          </w:tcPr>
          <w:p w:rsidR="00DA416F" w:rsidRPr="00021DF2" w:rsidRDefault="00DA416F" w:rsidP="00442BD5">
            <w:pPr>
              <w:rPr>
                <w:rFonts w:ascii="Palatino Linotype" w:hAnsi="Palatino Linotype"/>
                <w:sz w:val="22"/>
              </w:rPr>
            </w:pPr>
            <w:r w:rsidRPr="00021DF2">
              <w:rPr>
                <w:rFonts w:ascii="Palatino Linotype" w:hAnsi="Palatino Linotype"/>
                <w:sz w:val="22"/>
                <w:szCs w:val="22"/>
              </w:rPr>
              <w:t>DOI Staff Report Writing—GS 13, Step 4</w:t>
            </w:r>
          </w:p>
        </w:tc>
        <w:tc>
          <w:tcPr>
            <w:tcW w:w="1578" w:type="dxa"/>
          </w:tcPr>
          <w:p w:rsidR="00DA416F" w:rsidRPr="00021DF2" w:rsidRDefault="00DA416F" w:rsidP="00442BD5">
            <w:pPr>
              <w:rPr>
                <w:rFonts w:ascii="Palatino Linotype" w:hAnsi="Palatino Linotype"/>
                <w:sz w:val="22"/>
              </w:rPr>
            </w:pPr>
            <w:r>
              <w:rPr>
                <w:rFonts w:ascii="Palatino Linotype" w:hAnsi="Palatino Linotype"/>
                <w:sz w:val="22"/>
                <w:szCs w:val="22"/>
              </w:rPr>
              <w:t>56</w:t>
            </w:r>
          </w:p>
        </w:tc>
        <w:tc>
          <w:tcPr>
            <w:tcW w:w="1523" w:type="dxa"/>
          </w:tcPr>
          <w:p w:rsidR="00DA416F" w:rsidRPr="00021DF2" w:rsidRDefault="00DA416F" w:rsidP="00442BD5">
            <w:pPr>
              <w:rPr>
                <w:rFonts w:ascii="Palatino Linotype" w:hAnsi="Palatino Linotype"/>
                <w:sz w:val="22"/>
              </w:rPr>
            </w:pPr>
            <w:r w:rsidRPr="00021DF2">
              <w:rPr>
                <w:rFonts w:ascii="Palatino Linotype" w:hAnsi="Palatino Linotype"/>
                <w:sz w:val="22"/>
                <w:szCs w:val="22"/>
              </w:rPr>
              <w:t>1</w:t>
            </w:r>
          </w:p>
        </w:tc>
        <w:tc>
          <w:tcPr>
            <w:tcW w:w="1681" w:type="dxa"/>
          </w:tcPr>
          <w:p w:rsidR="00DA416F" w:rsidRPr="00021DF2" w:rsidRDefault="00DA416F" w:rsidP="00442BD5">
            <w:pPr>
              <w:rPr>
                <w:rFonts w:ascii="Palatino Linotype" w:hAnsi="Palatino Linotype"/>
                <w:sz w:val="22"/>
              </w:rPr>
            </w:pPr>
            <w:r>
              <w:rPr>
                <w:rFonts w:ascii="Palatino Linotype" w:hAnsi="Palatino Linotype"/>
                <w:sz w:val="22"/>
              </w:rPr>
              <w:t>6,720</w:t>
            </w:r>
          </w:p>
        </w:tc>
        <w:tc>
          <w:tcPr>
            <w:tcW w:w="1432" w:type="dxa"/>
          </w:tcPr>
          <w:p w:rsidR="00DA416F" w:rsidRPr="00021DF2" w:rsidRDefault="00DA416F" w:rsidP="00442BD5">
            <w:pPr>
              <w:rPr>
                <w:rFonts w:ascii="Palatino Linotype" w:hAnsi="Palatino Linotype"/>
                <w:sz w:val="22"/>
              </w:rPr>
            </w:pPr>
            <w:r w:rsidRPr="00021DF2">
              <w:rPr>
                <w:rFonts w:ascii="Palatino Linotype" w:hAnsi="Palatino Linotype"/>
                <w:sz w:val="22"/>
                <w:szCs w:val="22"/>
              </w:rPr>
              <w:t>$46.93</w:t>
            </w:r>
          </w:p>
        </w:tc>
        <w:tc>
          <w:tcPr>
            <w:tcW w:w="1530" w:type="dxa"/>
          </w:tcPr>
          <w:p w:rsidR="00DA416F" w:rsidRPr="00021DF2" w:rsidRDefault="00DA416F" w:rsidP="00F45BA5">
            <w:pPr>
              <w:rPr>
                <w:rFonts w:ascii="Palatino Linotype" w:hAnsi="Palatino Linotype"/>
                <w:sz w:val="22"/>
              </w:rPr>
            </w:pPr>
            <w:r>
              <w:rPr>
                <w:rFonts w:ascii="Palatino Linotype" w:hAnsi="Palatino Linotype"/>
                <w:sz w:val="22"/>
              </w:rPr>
              <w:t>$315,370</w:t>
            </w:r>
          </w:p>
        </w:tc>
      </w:tr>
      <w:tr w:rsidR="00DA416F" w:rsidRPr="00BC76FE" w:rsidTr="00B30038">
        <w:trPr>
          <w:trHeight w:val="285"/>
        </w:trPr>
        <w:tc>
          <w:tcPr>
            <w:tcW w:w="1724" w:type="dxa"/>
          </w:tcPr>
          <w:p w:rsidR="00DA416F" w:rsidRPr="00C2723A" w:rsidRDefault="00DA416F" w:rsidP="00442BD5">
            <w:pPr>
              <w:rPr>
                <w:rFonts w:ascii="Palatino Linotype" w:hAnsi="Palatino Linotype"/>
                <w:b/>
                <w:sz w:val="22"/>
              </w:rPr>
            </w:pPr>
            <w:r w:rsidRPr="00C2723A">
              <w:rPr>
                <w:rFonts w:ascii="Palatino Linotype" w:hAnsi="Palatino Linotype"/>
                <w:b/>
                <w:sz w:val="22"/>
                <w:szCs w:val="22"/>
              </w:rPr>
              <w:t xml:space="preserve">Total  </w:t>
            </w:r>
          </w:p>
        </w:tc>
        <w:tc>
          <w:tcPr>
            <w:tcW w:w="1578" w:type="dxa"/>
          </w:tcPr>
          <w:p w:rsidR="00DA416F" w:rsidRPr="00C2723A" w:rsidRDefault="00DA416F" w:rsidP="00442BD5">
            <w:pPr>
              <w:rPr>
                <w:rFonts w:ascii="Palatino Linotype" w:hAnsi="Palatino Linotype"/>
                <w:b/>
                <w:sz w:val="22"/>
              </w:rPr>
            </w:pPr>
          </w:p>
        </w:tc>
        <w:tc>
          <w:tcPr>
            <w:tcW w:w="1523" w:type="dxa"/>
          </w:tcPr>
          <w:p w:rsidR="00DA416F" w:rsidRPr="00C2723A" w:rsidRDefault="00DA416F" w:rsidP="00442BD5">
            <w:pPr>
              <w:rPr>
                <w:rFonts w:ascii="Palatino Linotype" w:hAnsi="Palatino Linotype"/>
                <w:b/>
                <w:sz w:val="22"/>
              </w:rPr>
            </w:pPr>
          </w:p>
        </w:tc>
        <w:tc>
          <w:tcPr>
            <w:tcW w:w="1681" w:type="dxa"/>
          </w:tcPr>
          <w:p w:rsidR="00DA416F" w:rsidRPr="00AE5E98" w:rsidRDefault="00024208" w:rsidP="00442BD5">
            <w:pPr>
              <w:rPr>
                <w:rFonts w:ascii="Palatino Linotype" w:hAnsi="Palatino Linotype"/>
                <w:b/>
                <w:sz w:val="22"/>
              </w:rPr>
            </w:pPr>
            <w:r w:rsidRPr="00024208">
              <w:rPr>
                <w:rFonts w:ascii="Palatino Linotype" w:hAnsi="Palatino Linotype"/>
                <w:b/>
                <w:sz w:val="22"/>
                <w:szCs w:val="22"/>
              </w:rPr>
              <w:t>8,960</w:t>
            </w:r>
          </w:p>
        </w:tc>
        <w:tc>
          <w:tcPr>
            <w:tcW w:w="1432" w:type="dxa"/>
          </w:tcPr>
          <w:p w:rsidR="00DA416F" w:rsidRPr="00C2723A" w:rsidRDefault="00DA416F" w:rsidP="00442BD5">
            <w:pPr>
              <w:rPr>
                <w:rFonts w:ascii="Palatino Linotype" w:hAnsi="Palatino Linotype"/>
                <w:b/>
                <w:sz w:val="22"/>
              </w:rPr>
            </w:pPr>
          </w:p>
        </w:tc>
        <w:tc>
          <w:tcPr>
            <w:tcW w:w="1530" w:type="dxa"/>
          </w:tcPr>
          <w:p w:rsidR="00DA416F" w:rsidRPr="00C2723A" w:rsidRDefault="00024208" w:rsidP="00F45BA5">
            <w:pPr>
              <w:rPr>
                <w:rFonts w:ascii="Palatino Linotype" w:hAnsi="Palatino Linotype"/>
                <w:b/>
                <w:sz w:val="22"/>
              </w:rPr>
            </w:pPr>
            <w:r w:rsidRPr="00024208">
              <w:rPr>
                <w:rFonts w:ascii="Palatino Linotype" w:hAnsi="Palatino Linotype"/>
                <w:b/>
                <w:sz w:val="22"/>
              </w:rPr>
              <w:t>$428,288</w:t>
            </w:r>
          </w:p>
        </w:tc>
      </w:tr>
    </w:tbl>
    <w:p w:rsidR="00DA416F" w:rsidRDefault="00DA416F" w:rsidP="00021DF2">
      <w:pPr>
        <w:rPr>
          <w:rFonts w:ascii="Palatino Linotype" w:hAnsi="Palatino Linotype"/>
          <w:b/>
          <w:sz w:val="22"/>
          <w:szCs w:val="22"/>
        </w:rPr>
      </w:pPr>
    </w:p>
    <w:p w:rsidR="00DA416F" w:rsidRDefault="00DA416F" w:rsidP="00021DF2">
      <w:pPr>
        <w:rPr>
          <w:rFonts w:ascii="Palatino Linotype" w:hAnsi="Palatino Linotype"/>
          <w:b/>
          <w:sz w:val="22"/>
          <w:szCs w:val="22"/>
        </w:rPr>
      </w:pPr>
      <w:r>
        <w:rPr>
          <w:rFonts w:ascii="Palatino Linotype" w:hAnsi="Palatino Linotype"/>
          <w:b/>
          <w:sz w:val="22"/>
          <w:szCs w:val="22"/>
        </w:rPr>
        <w:t>Per Applicant burden cost = $5,726</w:t>
      </w:r>
    </w:p>
    <w:p w:rsidR="00DA416F" w:rsidRDefault="00DA416F" w:rsidP="00021DF2">
      <w:pPr>
        <w:rPr>
          <w:rFonts w:ascii="Palatino Linotype" w:hAnsi="Palatino Linotype"/>
          <w:b/>
          <w:sz w:val="22"/>
          <w:szCs w:val="22"/>
        </w:rPr>
      </w:pPr>
      <w:r>
        <w:rPr>
          <w:rFonts w:ascii="Palatino Linotype" w:hAnsi="Palatino Linotype"/>
          <w:b/>
          <w:sz w:val="22"/>
          <w:szCs w:val="22"/>
        </w:rPr>
        <w:t>Per Applicant burden hours = 120</w:t>
      </w:r>
    </w:p>
    <w:p w:rsidR="00DA416F" w:rsidRDefault="00DA416F" w:rsidP="00021DF2">
      <w:pPr>
        <w:rPr>
          <w:rFonts w:ascii="Palatino Linotype" w:hAnsi="Palatino Linotype"/>
          <w:b/>
          <w:sz w:val="22"/>
          <w:szCs w:val="22"/>
        </w:rPr>
      </w:pPr>
    </w:p>
    <w:p w:rsidR="00DA416F" w:rsidRPr="007810FC" w:rsidRDefault="00DA416F" w:rsidP="00021DF2">
      <w:pPr>
        <w:rPr>
          <w:rFonts w:ascii="Palatino Linotype" w:hAnsi="Palatino Linotype"/>
          <w:b/>
          <w:sz w:val="22"/>
          <w:szCs w:val="22"/>
        </w:rPr>
      </w:pPr>
      <w:r w:rsidRPr="007810FC">
        <w:rPr>
          <w:rFonts w:ascii="Palatino Linotype" w:hAnsi="Palatino Linotype"/>
          <w:b/>
          <w:sz w:val="22"/>
          <w:szCs w:val="22"/>
        </w:rPr>
        <w:t>Cost Estimate for All Respondents Completing the Quarterly Report and</w:t>
      </w:r>
      <w:r>
        <w:rPr>
          <w:rFonts w:ascii="Palatino Linotype" w:hAnsi="Palatino Linotype"/>
          <w:b/>
          <w:sz w:val="22"/>
          <w:szCs w:val="22"/>
        </w:rPr>
        <w:t xml:space="preserve"> corresponding data collection combined (Annualized)</w:t>
      </w: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8"/>
        <w:gridCol w:w="1547"/>
        <w:gridCol w:w="1430"/>
        <w:gridCol w:w="1069"/>
        <w:gridCol w:w="1381"/>
        <w:gridCol w:w="1980"/>
      </w:tblGrid>
      <w:tr w:rsidR="00DA416F" w:rsidRPr="00021DF2" w:rsidTr="00442BD5">
        <w:trPr>
          <w:trHeight w:val="645"/>
        </w:trPr>
        <w:tc>
          <w:tcPr>
            <w:tcW w:w="1968" w:type="dxa"/>
          </w:tcPr>
          <w:p w:rsidR="00DA416F" w:rsidRPr="00C2723A" w:rsidRDefault="00DA416F" w:rsidP="00021DF2">
            <w:pPr>
              <w:rPr>
                <w:rFonts w:ascii="Palatino Linotype" w:hAnsi="Palatino Linotype"/>
                <w:b/>
                <w:sz w:val="22"/>
              </w:rPr>
            </w:pPr>
            <w:r w:rsidRPr="00C2723A">
              <w:rPr>
                <w:rFonts w:ascii="Palatino Linotype" w:hAnsi="Palatino Linotype"/>
                <w:b/>
                <w:sz w:val="22"/>
                <w:szCs w:val="22"/>
              </w:rPr>
              <w:t>Type of respondent</w:t>
            </w:r>
          </w:p>
        </w:tc>
        <w:tc>
          <w:tcPr>
            <w:tcW w:w="1547" w:type="dxa"/>
          </w:tcPr>
          <w:p w:rsidR="00DA416F" w:rsidRPr="00C2723A" w:rsidRDefault="00DA416F" w:rsidP="00021DF2">
            <w:pPr>
              <w:rPr>
                <w:rFonts w:ascii="Palatino Linotype" w:hAnsi="Palatino Linotype"/>
                <w:b/>
                <w:sz w:val="22"/>
              </w:rPr>
            </w:pPr>
            <w:r w:rsidRPr="00C2723A">
              <w:rPr>
                <w:rFonts w:ascii="Palatino Linotype" w:hAnsi="Palatino Linotype"/>
                <w:b/>
                <w:sz w:val="22"/>
                <w:szCs w:val="22"/>
              </w:rPr>
              <w:t xml:space="preserve">Number of Respondents </w:t>
            </w:r>
          </w:p>
        </w:tc>
        <w:tc>
          <w:tcPr>
            <w:tcW w:w="1430" w:type="dxa"/>
          </w:tcPr>
          <w:p w:rsidR="00DA416F" w:rsidRPr="00C2723A" w:rsidRDefault="00DA416F" w:rsidP="00021DF2">
            <w:pPr>
              <w:rPr>
                <w:rFonts w:ascii="Palatino Linotype" w:hAnsi="Palatino Linotype"/>
                <w:b/>
                <w:sz w:val="22"/>
              </w:rPr>
            </w:pPr>
            <w:r w:rsidRPr="00C2723A">
              <w:rPr>
                <w:rFonts w:ascii="Palatino Linotype" w:hAnsi="Palatino Linotype"/>
                <w:b/>
                <w:sz w:val="22"/>
                <w:szCs w:val="22"/>
              </w:rPr>
              <w:t xml:space="preserve">Number of Responses per Respondent </w:t>
            </w:r>
          </w:p>
        </w:tc>
        <w:tc>
          <w:tcPr>
            <w:tcW w:w="1069" w:type="dxa"/>
          </w:tcPr>
          <w:p w:rsidR="00DA416F" w:rsidRPr="00C2723A" w:rsidRDefault="00DA416F" w:rsidP="00021DF2">
            <w:pPr>
              <w:rPr>
                <w:rFonts w:ascii="Palatino Linotype" w:hAnsi="Palatino Linotype"/>
                <w:b/>
                <w:sz w:val="22"/>
              </w:rPr>
            </w:pPr>
            <w:r w:rsidRPr="00C2723A">
              <w:rPr>
                <w:rFonts w:ascii="Palatino Linotype" w:hAnsi="Palatino Linotype"/>
                <w:b/>
                <w:sz w:val="22"/>
                <w:szCs w:val="22"/>
              </w:rPr>
              <w:t xml:space="preserve">Average Burden Hours </w:t>
            </w:r>
          </w:p>
        </w:tc>
        <w:tc>
          <w:tcPr>
            <w:tcW w:w="1381" w:type="dxa"/>
          </w:tcPr>
          <w:p w:rsidR="00DA416F" w:rsidRPr="00C2723A" w:rsidRDefault="00DA416F" w:rsidP="00021DF2">
            <w:pPr>
              <w:rPr>
                <w:rFonts w:ascii="Palatino Linotype" w:hAnsi="Palatino Linotype"/>
                <w:b/>
                <w:sz w:val="22"/>
              </w:rPr>
            </w:pPr>
            <w:r w:rsidRPr="00C2723A">
              <w:rPr>
                <w:rFonts w:ascii="Palatino Linotype" w:hAnsi="Palatino Linotype"/>
                <w:b/>
                <w:sz w:val="22"/>
                <w:szCs w:val="22"/>
              </w:rPr>
              <w:t>Wage per Hour</w:t>
            </w:r>
          </w:p>
        </w:tc>
        <w:tc>
          <w:tcPr>
            <w:tcW w:w="1980" w:type="dxa"/>
          </w:tcPr>
          <w:p w:rsidR="00DA416F" w:rsidRPr="00C2723A" w:rsidRDefault="00DA416F" w:rsidP="00021DF2">
            <w:pPr>
              <w:rPr>
                <w:rFonts w:ascii="Palatino Linotype" w:hAnsi="Palatino Linotype"/>
                <w:b/>
                <w:sz w:val="22"/>
              </w:rPr>
            </w:pPr>
            <w:r w:rsidRPr="00C2723A">
              <w:rPr>
                <w:rFonts w:ascii="Palatino Linotype" w:hAnsi="Palatino Linotype"/>
                <w:b/>
                <w:sz w:val="22"/>
                <w:szCs w:val="22"/>
              </w:rPr>
              <w:t>Burden Costs</w:t>
            </w:r>
          </w:p>
          <w:p w:rsidR="00DA416F" w:rsidRPr="00C2723A" w:rsidRDefault="00DA416F" w:rsidP="00021DF2">
            <w:pPr>
              <w:rPr>
                <w:rFonts w:ascii="Palatino Linotype" w:hAnsi="Palatino Linotype"/>
                <w:b/>
                <w:sz w:val="22"/>
              </w:rPr>
            </w:pPr>
            <w:r w:rsidRPr="00C2723A">
              <w:rPr>
                <w:rFonts w:ascii="Palatino Linotype" w:hAnsi="Palatino Linotype"/>
                <w:b/>
                <w:sz w:val="22"/>
                <w:szCs w:val="22"/>
              </w:rPr>
              <w:t xml:space="preserve"> Per Annualized Response</w:t>
            </w:r>
          </w:p>
        </w:tc>
      </w:tr>
      <w:tr w:rsidR="00DA416F" w:rsidRPr="00021DF2" w:rsidTr="00442BD5">
        <w:trPr>
          <w:trHeight w:val="330"/>
        </w:trPr>
        <w:tc>
          <w:tcPr>
            <w:tcW w:w="1968" w:type="dxa"/>
          </w:tcPr>
          <w:p w:rsidR="00DA416F" w:rsidRPr="00021DF2" w:rsidRDefault="00DA416F" w:rsidP="00021DF2">
            <w:pPr>
              <w:rPr>
                <w:rFonts w:ascii="Palatino Linotype" w:hAnsi="Palatino Linotype"/>
                <w:sz w:val="22"/>
              </w:rPr>
            </w:pPr>
            <w:r>
              <w:rPr>
                <w:rFonts w:ascii="Palatino Linotype" w:hAnsi="Palatino Linotype"/>
                <w:sz w:val="22"/>
                <w:szCs w:val="22"/>
              </w:rPr>
              <w:t xml:space="preserve">Program </w:t>
            </w:r>
            <w:r w:rsidRPr="00021DF2">
              <w:rPr>
                <w:rFonts w:ascii="Palatino Linotype" w:hAnsi="Palatino Linotype"/>
                <w:sz w:val="22"/>
                <w:szCs w:val="22"/>
              </w:rPr>
              <w:t>Analyst—GS 12, Step 1</w:t>
            </w:r>
          </w:p>
        </w:tc>
        <w:tc>
          <w:tcPr>
            <w:tcW w:w="1547" w:type="dxa"/>
          </w:tcPr>
          <w:p w:rsidR="00DA416F" w:rsidRPr="00021DF2" w:rsidRDefault="00DA416F" w:rsidP="00021DF2">
            <w:pPr>
              <w:rPr>
                <w:rFonts w:ascii="Palatino Linotype" w:hAnsi="Palatino Linotype"/>
                <w:sz w:val="22"/>
              </w:rPr>
            </w:pPr>
            <w:r>
              <w:rPr>
                <w:rFonts w:ascii="Palatino Linotype" w:hAnsi="Palatino Linotype"/>
                <w:sz w:val="22"/>
                <w:szCs w:val="22"/>
              </w:rPr>
              <w:t>56</w:t>
            </w:r>
          </w:p>
        </w:tc>
        <w:tc>
          <w:tcPr>
            <w:tcW w:w="1430" w:type="dxa"/>
          </w:tcPr>
          <w:p w:rsidR="00DA416F" w:rsidRPr="00021DF2" w:rsidRDefault="00DA416F" w:rsidP="00021DF2">
            <w:pPr>
              <w:rPr>
                <w:rFonts w:ascii="Palatino Linotype" w:hAnsi="Palatino Linotype"/>
                <w:sz w:val="22"/>
              </w:rPr>
            </w:pPr>
            <w:r>
              <w:rPr>
                <w:rFonts w:ascii="Palatino Linotype" w:hAnsi="Palatino Linotype"/>
                <w:sz w:val="22"/>
                <w:szCs w:val="22"/>
              </w:rPr>
              <w:t>8</w:t>
            </w:r>
          </w:p>
        </w:tc>
        <w:tc>
          <w:tcPr>
            <w:tcW w:w="1069" w:type="dxa"/>
          </w:tcPr>
          <w:p w:rsidR="00DA416F" w:rsidRPr="00021DF2" w:rsidRDefault="00DA416F" w:rsidP="00021DF2">
            <w:pPr>
              <w:rPr>
                <w:rFonts w:ascii="Palatino Linotype" w:hAnsi="Palatino Linotype"/>
                <w:sz w:val="22"/>
              </w:rPr>
            </w:pPr>
            <w:r>
              <w:rPr>
                <w:rFonts w:ascii="Palatino Linotype" w:hAnsi="Palatino Linotype"/>
                <w:sz w:val="22"/>
                <w:szCs w:val="22"/>
              </w:rPr>
              <w:t>5,734</w:t>
            </w:r>
          </w:p>
        </w:tc>
        <w:tc>
          <w:tcPr>
            <w:tcW w:w="1381" w:type="dxa"/>
          </w:tcPr>
          <w:p w:rsidR="00DA416F" w:rsidRPr="00021DF2" w:rsidRDefault="00DA416F" w:rsidP="00021DF2">
            <w:pPr>
              <w:rPr>
                <w:rFonts w:ascii="Palatino Linotype" w:hAnsi="Palatino Linotype"/>
                <w:sz w:val="22"/>
              </w:rPr>
            </w:pPr>
            <w:r w:rsidRPr="00021DF2">
              <w:rPr>
                <w:rFonts w:ascii="Palatino Linotype" w:hAnsi="Palatino Linotype"/>
                <w:sz w:val="22"/>
                <w:szCs w:val="22"/>
              </w:rPr>
              <w:t>$35.88</w:t>
            </w:r>
          </w:p>
        </w:tc>
        <w:tc>
          <w:tcPr>
            <w:tcW w:w="1980" w:type="dxa"/>
          </w:tcPr>
          <w:p w:rsidR="00DA416F" w:rsidRPr="00021DF2" w:rsidRDefault="00DA416F" w:rsidP="00021DF2">
            <w:pPr>
              <w:rPr>
                <w:rFonts w:ascii="Palatino Linotype" w:hAnsi="Palatino Linotype"/>
                <w:sz w:val="22"/>
              </w:rPr>
            </w:pPr>
            <w:r>
              <w:rPr>
                <w:rFonts w:ascii="Palatino Linotype" w:hAnsi="Palatino Linotype"/>
                <w:sz w:val="22"/>
              </w:rPr>
              <w:t>$205,736</w:t>
            </w:r>
          </w:p>
        </w:tc>
      </w:tr>
      <w:tr w:rsidR="00DA416F" w:rsidRPr="00021DF2" w:rsidTr="00803BB7">
        <w:trPr>
          <w:trHeight w:val="330"/>
        </w:trPr>
        <w:tc>
          <w:tcPr>
            <w:tcW w:w="1968" w:type="dxa"/>
            <w:tcBorders>
              <w:bottom w:val="single" w:sz="4" w:space="0" w:color="auto"/>
            </w:tcBorders>
          </w:tcPr>
          <w:p w:rsidR="00DA416F" w:rsidRPr="00021DF2" w:rsidRDefault="00DA416F" w:rsidP="00021DF2">
            <w:pPr>
              <w:rPr>
                <w:rFonts w:ascii="Palatino Linotype" w:hAnsi="Palatino Linotype"/>
                <w:sz w:val="22"/>
              </w:rPr>
            </w:pPr>
            <w:r w:rsidRPr="00021DF2">
              <w:rPr>
                <w:rFonts w:ascii="Palatino Linotype" w:hAnsi="Palatino Linotype"/>
                <w:sz w:val="22"/>
                <w:szCs w:val="22"/>
              </w:rPr>
              <w:t xml:space="preserve">Supervisor DOI Staff Review –GS 14, Step 1 </w:t>
            </w:r>
          </w:p>
        </w:tc>
        <w:tc>
          <w:tcPr>
            <w:tcW w:w="1547" w:type="dxa"/>
            <w:tcBorders>
              <w:bottom w:val="single" w:sz="4" w:space="0" w:color="auto"/>
            </w:tcBorders>
          </w:tcPr>
          <w:p w:rsidR="00DA416F" w:rsidRPr="00021DF2" w:rsidRDefault="00DA416F" w:rsidP="00021DF2">
            <w:pPr>
              <w:rPr>
                <w:rFonts w:ascii="Palatino Linotype" w:hAnsi="Palatino Linotype"/>
                <w:sz w:val="22"/>
              </w:rPr>
            </w:pPr>
            <w:r>
              <w:rPr>
                <w:rFonts w:ascii="Palatino Linotype" w:hAnsi="Palatino Linotype"/>
                <w:sz w:val="22"/>
                <w:szCs w:val="22"/>
              </w:rPr>
              <w:t>56</w:t>
            </w:r>
          </w:p>
        </w:tc>
        <w:tc>
          <w:tcPr>
            <w:tcW w:w="1430" w:type="dxa"/>
            <w:tcBorders>
              <w:bottom w:val="single" w:sz="4" w:space="0" w:color="auto"/>
            </w:tcBorders>
          </w:tcPr>
          <w:p w:rsidR="00DA416F" w:rsidRPr="00021DF2" w:rsidRDefault="00DA416F" w:rsidP="00021DF2">
            <w:pPr>
              <w:rPr>
                <w:rFonts w:ascii="Palatino Linotype" w:hAnsi="Palatino Linotype"/>
                <w:sz w:val="22"/>
              </w:rPr>
            </w:pPr>
            <w:r>
              <w:rPr>
                <w:rFonts w:ascii="Palatino Linotype" w:hAnsi="Palatino Linotype"/>
                <w:sz w:val="22"/>
                <w:szCs w:val="22"/>
              </w:rPr>
              <w:t>8</w:t>
            </w:r>
          </w:p>
        </w:tc>
        <w:tc>
          <w:tcPr>
            <w:tcW w:w="1069" w:type="dxa"/>
            <w:tcBorders>
              <w:bottom w:val="single" w:sz="4" w:space="0" w:color="auto"/>
            </w:tcBorders>
          </w:tcPr>
          <w:p w:rsidR="00DA416F" w:rsidRPr="00021DF2" w:rsidRDefault="00DA416F" w:rsidP="00021DF2">
            <w:pPr>
              <w:rPr>
                <w:rFonts w:ascii="Palatino Linotype" w:hAnsi="Palatino Linotype"/>
                <w:sz w:val="22"/>
              </w:rPr>
            </w:pPr>
            <w:r>
              <w:rPr>
                <w:rFonts w:ascii="Palatino Linotype" w:hAnsi="Palatino Linotype"/>
                <w:sz w:val="22"/>
                <w:szCs w:val="22"/>
              </w:rPr>
              <w:t>2,868</w:t>
            </w:r>
          </w:p>
        </w:tc>
        <w:tc>
          <w:tcPr>
            <w:tcW w:w="1381" w:type="dxa"/>
            <w:tcBorders>
              <w:bottom w:val="single" w:sz="4" w:space="0" w:color="auto"/>
            </w:tcBorders>
          </w:tcPr>
          <w:p w:rsidR="00DA416F" w:rsidRPr="00021DF2" w:rsidRDefault="00DA416F" w:rsidP="00021DF2">
            <w:pPr>
              <w:rPr>
                <w:rFonts w:ascii="Palatino Linotype" w:hAnsi="Palatino Linotype"/>
                <w:sz w:val="22"/>
              </w:rPr>
            </w:pPr>
            <w:r w:rsidRPr="00021DF2">
              <w:rPr>
                <w:rFonts w:ascii="Palatino Linotype" w:hAnsi="Palatino Linotype"/>
                <w:sz w:val="22"/>
                <w:szCs w:val="22"/>
              </w:rPr>
              <w:t>$50.41</w:t>
            </w:r>
          </w:p>
        </w:tc>
        <w:tc>
          <w:tcPr>
            <w:tcW w:w="1980" w:type="dxa"/>
            <w:tcBorders>
              <w:bottom w:val="single" w:sz="4" w:space="0" w:color="auto"/>
            </w:tcBorders>
          </w:tcPr>
          <w:p w:rsidR="00DA416F" w:rsidRPr="00021DF2" w:rsidRDefault="00DA416F" w:rsidP="00021DF2">
            <w:pPr>
              <w:rPr>
                <w:rFonts w:ascii="Palatino Linotype" w:hAnsi="Palatino Linotype"/>
                <w:sz w:val="22"/>
              </w:rPr>
            </w:pPr>
            <w:r>
              <w:rPr>
                <w:rFonts w:ascii="Palatino Linotype" w:hAnsi="Palatino Linotype"/>
                <w:sz w:val="22"/>
              </w:rPr>
              <w:t>$144,576</w:t>
            </w:r>
          </w:p>
        </w:tc>
      </w:tr>
      <w:tr w:rsidR="00DA416F" w:rsidRPr="00021DF2" w:rsidTr="0080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968" w:type="dxa"/>
            <w:tcBorders>
              <w:top w:val="single" w:sz="4" w:space="0" w:color="auto"/>
              <w:left w:val="single" w:sz="4" w:space="0" w:color="auto"/>
              <w:bottom w:val="single" w:sz="4" w:space="0" w:color="auto"/>
              <w:right w:val="single" w:sz="4" w:space="0" w:color="auto"/>
            </w:tcBorders>
          </w:tcPr>
          <w:p w:rsidR="00DA416F" w:rsidRPr="00021DF2" w:rsidRDefault="00DA416F" w:rsidP="00021DF2">
            <w:pPr>
              <w:rPr>
                <w:rFonts w:ascii="Palatino Linotype" w:hAnsi="Palatino Linotype"/>
                <w:sz w:val="22"/>
              </w:rPr>
            </w:pPr>
            <w:r w:rsidRPr="00021DF2">
              <w:rPr>
                <w:rFonts w:ascii="Palatino Linotype" w:hAnsi="Palatino Linotype"/>
                <w:sz w:val="22"/>
                <w:szCs w:val="22"/>
              </w:rPr>
              <w:t>DOI Staff Report Writing—GS 13, Step 4</w:t>
            </w:r>
          </w:p>
        </w:tc>
        <w:tc>
          <w:tcPr>
            <w:tcW w:w="1547" w:type="dxa"/>
            <w:tcBorders>
              <w:top w:val="single" w:sz="4" w:space="0" w:color="auto"/>
              <w:left w:val="single" w:sz="4" w:space="0" w:color="auto"/>
              <w:bottom w:val="single" w:sz="4" w:space="0" w:color="auto"/>
              <w:right w:val="single" w:sz="4" w:space="0" w:color="auto"/>
            </w:tcBorders>
          </w:tcPr>
          <w:p w:rsidR="005C18D6" w:rsidRDefault="00DA416F">
            <w:pPr>
              <w:jc w:val="center"/>
              <w:rPr>
                <w:rFonts w:ascii="Palatino Linotype" w:hAnsi="Palatino Linotype"/>
                <w:sz w:val="22"/>
              </w:rPr>
            </w:pPr>
            <w:r>
              <w:rPr>
                <w:rFonts w:ascii="Palatino Linotype" w:hAnsi="Palatino Linotype"/>
                <w:sz w:val="22"/>
                <w:szCs w:val="22"/>
              </w:rPr>
              <w:t>56</w:t>
            </w:r>
          </w:p>
        </w:tc>
        <w:tc>
          <w:tcPr>
            <w:tcW w:w="1430" w:type="dxa"/>
            <w:tcBorders>
              <w:top w:val="single" w:sz="4" w:space="0" w:color="auto"/>
              <w:left w:val="single" w:sz="4" w:space="0" w:color="auto"/>
              <w:bottom w:val="single" w:sz="4" w:space="0" w:color="auto"/>
              <w:right w:val="single" w:sz="4" w:space="0" w:color="auto"/>
            </w:tcBorders>
          </w:tcPr>
          <w:p w:rsidR="005C18D6" w:rsidRDefault="00DA416F">
            <w:pPr>
              <w:jc w:val="center"/>
              <w:rPr>
                <w:rFonts w:ascii="Palatino Linotype" w:hAnsi="Palatino Linotype"/>
                <w:sz w:val="22"/>
              </w:rPr>
            </w:pPr>
            <w:r>
              <w:rPr>
                <w:rFonts w:ascii="Palatino Linotype" w:hAnsi="Palatino Linotype"/>
                <w:sz w:val="22"/>
              </w:rPr>
              <w:t>8</w:t>
            </w:r>
          </w:p>
        </w:tc>
        <w:tc>
          <w:tcPr>
            <w:tcW w:w="1069" w:type="dxa"/>
            <w:tcBorders>
              <w:top w:val="single" w:sz="4" w:space="0" w:color="auto"/>
              <w:left w:val="single" w:sz="4" w:space="0" w:color="auto"/>
              <w:bottom w:val="single" w:sz="4" w:space="0" w:color="auto"/>
              <w:right w:val="single" w:sz="4" w:space="0" w:color="auto"/>
            </w:tcBorders>
          </w:tcPr>
          <w:p w:rsidR="005C18D6" w:rsidRDefault="00DA416F">
            <w:pPr>
              <w:jc w:val="center"/>
              <w:rPr>
                <w:rFonts w:ascii="Palatino Linotype" w:hAnsi="Palatino Linotype"/>
                <w:sz w:val="22"/>
              </w:rPr>
            </w:pPr>
            <w:r>
              <w:rPr>
                <w:rFonts w:ascii="Palatino Linotype" w:hAnsi="Palatino Linotype"/>
                <w:sz w:val="22"/>
                <w:szCs w:val="22"/>
              </w:rPr>
              <w:t>5,734</w:t>
            </w:r>
          </w:p>
        </w:tc>
        <w:tc>
          <w:tcPr>
            <w:tcW w:w="1381" w:type="dxa"/>
            <w:tcBorders>
              <w:top w:val="single" w:sz="4" w:space="0" w:color="auto"/>
              <w:left w:val="single" w:sz="4" w:space="0" w:color="auto"/>
              <w:bottom w:val="single" w:sz="4" w:space="0" w:color="auto"/>
              <w:right w:val="single" w:sz="4" w:space="0" w:color="auto"/>
            </w:tcBorders>
          </w:tcPr>
          <w:p w:rsidR="005C18D6" w:rsidRDefault="00DA416F">
            <w:pPr>
              <w:jc w:val="center"/>
              <w:rPr>
                <w:rFonts w:ascii="Palatino Linotype" w:hAnsi="Palatino Linotype"/>
                <w:sz w:val="22"/>
              </w:rPr>
            </w:pPr>
            <w:r w:rsidRPr="00021DF2">
              <w:rPr>
                <w:rFonts w:ascii="Palatino Linotype" w:hAnsi="Palatino Linotype"/>
                <w:sz w:val="22"/>
                <w:szCs w:val="22"/>
              </w:rPr>
              <w:t>$46.93</w:t>
            </w:r>
          </w:p>
        </w:tc>
        <w:tc>
          <w:tcPr>
            <w:tcW w:w="1980" w:type="dxa"/>
            <w:tcBorders>
              <w:top w:val="single" w:sz="4" w:space="0" w:color="auto"/>
              <w:left w:val="single" w:sz="4" w:space="0" w:color="auto"/>
              <w:bottom w:val="single" w:sz="4" w:space="0" w:color="auto"/>
              <w:right w:val="single" w:sz="4" w:space="0" w:color="auto"/>
            </w:tcBorders>
          </w:tcPr>
          <w:p w:rsidR="005C18D6" w:rsidRDefault="00DA416F">
            <w:pPr>
              <w:jc w:val="center"/>
              <w:rPr>
                <w:rFonts w:ascii="Palatino Linotype" w:hAnsi="Palatino Linotype"/>
                <w:sz w:val="22"/>
              </w:rPr>
            </w:pPr>
            <w:r>
              <w:rPr>
                <w:rFonts w:ascii="Palatino Linotype" w:hAnsi="Palatino Linotype"/>
                <w:sz w:val="22"/>
              </w:rPr>
              <w:t>$269,115</w:t>
            </w:r>
          </w:p>
        </w:tc>
      </w:tr>
      <w:tr w:rsidR="00DA416F" w:rsidRPr="00021DF2" w:rsidTr="00803BB7">
        <w:trPr>
          <w:trHeight w:val="330"/>
        </w:trPr>
        <w:tc>
          <w:tcPr>
            <w:tcW w:w="1968" w:type="dxa"/>
            <w:tcBorders>
              <w:top w:val="single" w:sz="4" w:space="0" w:color="auto"/>
            </w:tcBorders>
          </w:tcPr>
          <w:p w:rsidR="00DA416F" w:rsidRPr="00C2723A" w:rsidRDefault="00DA416F" w:rsidP="00021DF2">
            <w:pPr>
              <w:rPr>
                <w:rFonts w:ascii="Palatino Linotype" w:hAnsi="Palatino Linotype"/>
                <w:b/>
                <w:sz w:val="22"/>
              </w:rPr>
            </w:pPr>
            <w:r w:rsidRPr="00C2723A">
              <w:rPr>
                <w:rFonts w:ascii="Palatino Linotype" w:hAnsi="Palatino Linotype"/>
                <w:b/>
                <w:sz w:val="22"/>
                <w:szCs w:val="22"/>
              </w:rPr>
              <w:t>Total</w:t>
            </w:r>
          </w:p>
        </w:tc>
        <w:tc>
          <w:tcPr>
            <w:tcW w:w="1547" w:type="dxa"/>
            <w:tcBorders>
              <w:top w:val="single" w:sz="4" w:space="0" w:color="auto"/>
            </w:tcBorders>
          </w:tcPr>
          <w:p w:rsidR="00DA416F" w:rsidRPr="00C2723A" w:rsidRDefault="00DA416F" w:rsidP="00021DF2">
            <w:pPr>
              <w:rPr>
                <w:rFonts w:ascii="Palatino Linotype" w:hAnsi="Palatino Linotype"/>
                <w:b/>
                <w:sz w:val="22"/>
              </w:rPr>
            </w:pPr>
          </w:p>
        </w:tc>
        <w:tc>
          <w:tcPr>
            <w:tcW w:w="1430" w:type="dxa"/>
            <w:tcBorders>
              <w:top w:val="single" w:sz="4" w:space="0" w:color="auto"/>
            </w:tcBorders>
          </w:tcPr>
          <w:p w:rsidR="00DA416F" w:rsidRPr="00C2723A" w:rsidRDefault="00DA416F" w:rsidP="00021DF2">
            <w:pPr>
              <w:rPr>
                <w:rFonts w:ascii="Palatino Linotype" w:hAnsi="Palatino Linotype"/>
                <w:b/>
                <w:sz w:val="22"/>
              </w:rPr>
            </w:pPr>
          </w:p>
        </w:tc>
        <w:tc>
          <w:tcPr>
            <w:tcW w:w="1069" w:type="dxa"/>
            <w:tcBorders>
              <w:top w:val="single" w:sz="4" w:space="0" w:color="auto"/>
            </w:tcBorders>
          </w:tcPr>
          <w:p w:rsidR="00DA416F" w:rsidRPr="00C2723A" w:rsidRDefault="00DA416F" w:rsidP="00021DF2">
            <w:pPr>
              <w:rPr>
                <w:rFonts w:ascii="Palatino Linotype" w:hAnsi="Palatino Linotype"/>
                <w:b/>
                <w:sz w:val="22"/>
              </w:rPr>
            </w:pPr>
            <w:r>
              <w:rPr>
                <w:rFonts w:ascii="Palatino Linotype" w:hAnsi="Palatino Linotype"/>
                <w:b/>
                <w:sz w:val="22"/>
                <w:szCs w:val="22"/>
              </w:rPr>
              <w:t>14,336</w:t>
            </w:r>
          </w:p>
        </w:tc>
        <w:tc>
          <w:tcPr>
            <w:tcW w:w="1381" w:type="dxa"/>
            <w:tcBorders>
              <w:top w:val="single" w:sz="4" w:space="0" w:color="auto"/>
            </w:tcBorders>
          </w:tcPr>
          <w:p w:rsidR="00DA416F" w:rsidRPr="00C2723A" w:rsidRDefault="00DA416F" w:rsidP="00021DF2">
            <w:pPr>
              <w:rPr>
                <w:rFonts w:ascii="Palatino Linotype" w:hAnsi="Palatino Linotype"/>
                <w:b/>
                <w:sz w:val="22"/>
              </w:rPr>
            </w:pPr>
            <w:r w:rsidRPr="00C2723A">
              <w:rPr>
                <w:rFonts w:ascii="Palatino Linotype" w:hAnsi="Palatino Linotype"/>
                <w:b/>
                <w:sz w:val="22"/>
                <w:szCs w:val="22"/>
              </w:rPr>
              <w:t> </w:t>
            </w:r>
          </w:p>
        </w:tc>
        <w:tc>
          <w:tcPr>
            <w:tcW w:w="1980" w:type="dxa"/>
            <w:tcBorders>
              <w:top w:val="single" w:sz="4" w:space="0" w:color="auto"/>
            </w:tcBorders>
          </w:tcPr>
          <w:p w:rsidR="00DA416F" w:rsidRPr="00C2723A" w:rsidRDefault="00024208" w:rsidP="006A3774">
            <w:pPr>
              <w:rPr>
                <w:rFonts w:ascii="Palatino Linotype" w:hAnsi="Palatino Linotype"/>
                <w:b/>
                <w:sz w:val="22"/>
              </w:rPr>
            </w:pPr>
            <w:r w:rsidRPr="00024208">
              <w:rPr>
                <w:rFonts w:ascii="Palatino Linotype" w:hAnsi="Palatino Linotype"/>
                <w:b/>
                <w:sz w:val="22"/>
              </w:rPr>
              <w:t>$619,427</w:t>
            </w:r>
          </w:p>
        </w:tc>
      </w:tr>
    </w:tbl>
    <w:p w:rsidR="00DA416F" w:rsidRPr="00021DF2" w:rsidRDefault="00DA416F" w:rsidP="00021DF2">
      <w:pPr>
        <w:rPr>
          <w:rFonts w:ascii="Palatino Linotype" w:hAnsi="Palatino Linotype"/>
          <w:sz w:val="22"/>
          <w:szCs w:val="22"/>
        </w:rPr>
      </w:pPr>
    </w:p>
    <w:p w:rsidR="00DA416F" w:rsidRPr="007810FC" w:rsidRDefault="00DA416F" w:rsidP="00021DF2">
      <w:pPr>
        <w:rPr>
          <w:rFonts w:ascii="Palatino Linotype" w:hAnsi="Palatino Linotype"/>
          <w:b/>
          <w:sz w:val="22"/>
          <w:szCs w:val="22"/>
        </w:rPr>
      </w:pPr>
      <w:r w:rsidRPr="007810FC">
        <w:rPr>
          <w:rFonts w:ascii="Palatino Linotype" w:hAnsi="Palatino Linotype"/>
          <w:b/>
          <w:sz w:val="22"/>
          <w:szCs w:val="22"/>
        </w:rPr>
        <w:t>Cost Estimate for All Respondents Completin</w:t>
      </w:r>
      <w:r>
        <w:rPr>
          <w:rFonts w:ascii="Palatino Linotype" w:hAnsi="Palatino Linotype"/>
          <w:b/>
          <w:sz w:val="22"/>
          <w:szCs w:val="22"/>
        </w:rPr>
        <w:t>g the Annual Report (Annualized)</w:t>
      </w: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8"/>
        <w:gridCol w:w="1547"/>
        <w:gridCol w:w="1430"/>
        <w:gridCol w:w="1069"/>
        <w:gridCol w:w="1381"/>
        <w:gridCol w:w="1980"/>
      </w:tblGrid>
      <w:tr w:rsidR="00DA416F" w:rsidRPr="00021DF2" w:rsidTr="00442BD5">
        <w:trPr>
          <w:trHeight w:val="645"/>
        </w:trPr>
        <w:tc>
          <w:tcPr>
            <w:tcW w:w="1968" w:type="dxa"/>
          </w:tcPr>
          <w:p w:rsidR="00DA416F" w:rsidRPr="00C2723A" w:rsidRDefault="00DA416F" w:rsidP="00021DF2">
            <w:pPr>
              <w:rPr>
                <w:rFonts w:ascii="Palatino Linotype" w:hAnsi="Palatino Linotype"/>
                <w:b/>
                <w:sz w:val="22"/>
              </w:rPr>
            </w:pPr>
            <w:r w:rsidRPr="00C2723A">
              <w:rPr>
                <w:rFonts w:ascii="Palatino Linotype" w:hAnsi="Palatino Linotype"/>
                <w:b/>
                <w:sz w:val="22"/>
                <w:szCs w:val="22"/>
              </w:rPr>
              <w:t>Type of respondent</w:t>
            </w:r>
          </w:p>
        </w:tc>
        <w:tc>
          <w:tcPr>
            <w:tcW w:w="1547" w:type="dxa"/>
          </w:tcPr>
          <w:p w:rsidR="00DA416F" w:rsidRPr="00C2723A" w:rsidRDefault="00DA416F" w:rsidP="00021DF2">
            <w:pPr>
              <w:rPr>
                <w:rFonts w:ascii="Palatino Linotype" w:hAnsi="Palatino Linotype"/>
                <w:b/>
                <w:sz w:val="22"/>
              </w:rPr>
            </w:pPr>
            <w:r w:rsidRPr="00C2723A">
              <w:rPr>
                <w:rFonts w:ascii="Palatino Linotype" w:hAnsi="Palatino Linotype"/>
                <w:b/>
                <w:sz w:val="22"/>
                <w:szCs w:val="22"/>
              </w:rPr>
              <w:t xml:space="preserve">Number of Respondents </w:t>
            </w:r>
          </w:p>
        </w:tc>
        <w:tc>
          <w:tcPr>
            <w:tcW w:w="1430" w:type="dxa"/>
          </w:tcPr>
          <w:p w:rsidR="00DA416F" w:rsidRPr="00C2723A" w:rsidRDefault="00DA416F" w:rsidP="00021DF2">
            <w:pPr>
              <w:rPr>
                <w:rFonts w:ascii="Palatino Linotype" w:hAnsi="Palatino Linotype"/>
                <w:b/>
                <w:sz w:val="22"/>
              </w:rPr>
            </w:pPr>
            <w:r w:rsidRPr="00C2723A">
              <w:rPr>
                <w:rFonts w:ascii="Palatino Linotype" w:hAnsi="Palatino Linotype"/>
                <w:b/>
                <w:sz w:val="22"/>
                <w:szCs w:val="22"/>
              </w:rPr>
              <w:t xml:space="preserve">Number of Responses per Respondent </w:t>
            </w:r>
          </w:p>
        </w:tc>
        <w:tc>
          <w:tcPr>
            <w:tcW w:w="1069" w:type="dxa"/>
          </w:tcPr>
          <w:p w:rsidR="00DA416F" w:rsidRPr="00C2723A" w:rsidRDefault="00DA416F" w:rsidP="00021DF2">
            <w:pPr>
              <w:rPr>
                <w:rFonts w:ascii="Palatino Linotype" w:hAnsi="Palatino Linotype"/>
                <w:b/>
                <w:sz w:val="22"/>
              </w:rPr>
            </w:pPr>
            <w:r w:rsidRPr="00C2723A">
              <w:rPr>
                <w:rFonts w:ascii="Palatino Linotype" w:hAnsi="Palatino Linotype"/>
                <w:b/>
                <w:sz w:val="22"/>
                <w:szCs w:val="22"/>
              </w:rPr>
              <w:t xml:space="preserve">Average Burden Hours </w:t>
            </w:r>
          </w:p>
        </w:tc>
        <w:tc>
          <w:tcPr>
            <w:tcW w:w="1381" w:type="dxa"/>
          </w:tcPr>
          <w:p w:rsidR="00DA416F" w:rsidRPr="00C2723A" w:rsidRDefault="00DA416F" w:rsidP="00021DF2">
            <w:pPr>
              <w:rPr>
                <w:rFonts w:ascii="Palatino Linotype" w:hAnsi="Palatino Linotype"/>
                <w:b/>
                <w:sz w:val="22"/>
              </w:rPr>
            </w:pPr>
            <w:r w:rsidRPr="00C2723A">
              <w:rPr>
                <w:rFonts w:ascii="Palatino Linotype" w:hAnsi="Palatino Linotype"/>
                <w:b/>
                <w:sz w:val="22"/>
                <w:szCs w:val="22"/>
              </w:rPr>
              <w:t>Wage per Hour*</w:t>
            </w:r>
          </w:p>
        </w:tc>
        <w:tc>
          <w:tcPr>
            <w:tcW w:w="1980" w:type="dxa"/>
          </w:tcPr>
          <w:p w:rsidR="00DA416F" w:rsidRPr="00C2723A" w:rsidRDefault="00DA416F" w:rsidP="00021DF2">
            <w:pPr>
              <w:rPr>
                <w:rFonts w:ascii="Palatino Linotype" w:hAnsi="Palatino Linotype"/>
                <w:b/>
                <w:sz w:val="22"/>
              </w:rPr>
            </w:pPr>
            <w:r w:rsidRPr="00C2723A">
              <w:rPr>
                <w:rFonts w:ascii="Palatino Linotype" w:hAnsi="Palatino Linotype"/>
                <w:b/>
                <w:sz w:val="22"/>
                <w:szCs w:val="22"/>
              </w:rPr>
              <w:t>Burden Costs</w:t>
            </w:r>
          </w:p>
          <w:p w:rsidR="00DA416F" w:rsidRPr="00C2723A" w:rsidRDefault="00DA416F" w:rsidP="00021DF2">
            <w:pPr>
              <w:rPr>
                <w:rFonts w:ascii="Palatino Linotype" w:hAnsi="Palatino Linotype"/>
                <w:b/>
                <w:sz w:val="22"/>
              </w:rPr>
            </w:pPr>
            <w:r w:rsidRPr="00C2723A">
              <w:rPr>
                <w:rFonts w:ascii="Palatino Linotype" w:hAnsi="Palatino Linotype"/>
                <w:b/>
                <w:sz w:val="22"/>
                <w:szCs w:val="22"/>
              </w:rPr>
              <w:t xml:space="preserve"> Per Annualized Response</w:t>
            </w:r>
          </w:p>
        </w:tc>
      </w:tr>
      <w:tr w:rsidR="00DA416F" w:rsidRPr="00021DF2" w:rsidTr="00442BD5">
        <w:trPr>
          <w:trHeight w:val="330"/>
        </w:trPr>
        <w:tc>
          <w:tcPr>
            <w:tcW w:w="1968" w:type="dxa"/>
          </w:tcPr>
          <w:p w:rsidR="00DA416F" w:rsidRPr="00021DF2" w:rsidRDefault="00DA416F" w:rsidP="00021DF2">
            <w:pPr>
              <w:rPr>
                <w:rFonts w:ascii="Palatino Linotype" w:hAnsi="Palatino Linotype"/>
                <w:sz w:val="22"/>
              </w:rPr>
            </w:pPr>
            <w:r w:rsidRPr="00021DF2">
              <w:rPr>
                <w:rFonts w:ascii="Palatino Linotype" w:hAnsi="Palatino Linotype"/>
                <w:sz w:val="22"/>
                <w:szCs w:val="22"/>
              </w:rPr>
              <w:t>Supervisor DOI Staff Review –GS 14, Step 1</w:t>
            </w:r>
          </w:p>
        </w:tc>
        <w:tc>
          <w:tcPr>
            <w:tcW w:w="1547" w:type="dxa"/>
          </w:tcPr>
          <w:p w:rsidR="00DA416F" w:rsidRPr="00021DF2" w:rsidRDefault="00DA416F" w:rsidP="00021DF2">
            <w:pPr>
              <w:rPr>
                <w:rFonts w:ascii="Palatino Linotype" w:hAnsi="Palatino Linotype"/>
                <w:sz w:val="22"/>
              </w:rPr>
            </w:pPr>
            <w:r>
              <w:rPr>
                <w:rFonts w:ascii="Palatino Linotype" w:hAnsi="Palatino Linotype"/>
                <w:sz w:val="22"/>
                <w:szCs w:val="22"/>
              </w:rPr>
              <w:t>56</w:t>
            </w:r>
          </w:p>
        </w:tc>
        <w:tc>
          <w:tcPr>
            <w:tcW w:w="1430" w:type="dxa"/>
          </w:tcPr>
          <w:p w:rsidR="00DA416F" w:rsidRPr="00021DF2" w:rsidRDefault="00DA416F" w:rsidP="00021DF2">
            <w:pPr>
              <w:rPr>
                <w:rFonts w:ascii="Palatino Linotype" w:hAnsi="Palatino Linotype"/>
                <w:sz w:val="22"/>
              </w:rPr>
            </w:pPr>
            <w:r w:rsidRPr="00021DF2">
              <w:rPr>
                <w:rFonts w:ascii="Palatino Linotype" w:hAnsi="Palatino Linotype"/>
                <w:sz w:val="22"/>
                <w:szCs w:val="22"/>
              </w:rPr>
              <w:t>1</w:t>
            </w:r>
          </w:p>
        </w:tc>
        <w:tc>
          <w:tcPr>
            <w:tcW w:w="1069" w:type="dxa"/>
          </w:tcPr>
          <w:p w:rsidR="00DA416F" w:rsidRPr="00021DF2" w:rsidRDefault="00DA416F" w:rsidP="00021DF2">
            <w:pPr>
              <w:rPr>
                <w:rFonts w:ascii="Palatino Linotype" w:hAnsi="Palatino Linotype"/>
                <w:sz w:val="22"/>
              </w:rPr>
            </w:pPr>
            <w:r>
              <w:rPr>
                <w:rFonts w:ascii="Palatino Linotype" w:hAnsi="Palatino Linotype"/>
                <w:sz w:val="22"/>
                <w:szCs w:val="22"/>
              </w:rPr>
              <w:t>240</w:t>
            </w:r>
          </w:p>
        </w:tc>
        <w:tc>
          <w:tcPr>
            <w:tcW w:w="1381" w:type="dxa"/>
          </w:tcPr>
          <w:p w:rsidR="00DA416F" w:rsidRPr="00021DF2" w:rsidRDefault="00DA416F" w:rsidP="00021DF2">
            <w:pPr>
              <w:rPr>
                <w:rFonts w:ascii="Palatino Linotype" w:hAnsi="Palatino Linotype"/>
                <w:sz w:val="22"/>
              </w:rPr>
            </w:pPr>
            <w:r w:rsidRPr="00021DF2">
              <w:rPr>
                <w:rFonts w:ascii="Palatino Linotype" w:hAnsi="Palatino Linotype"/>
                <w:sz w:val="22"/>
                <w:szCs w:val="22"/>
              </w:rPr>
              <w:t>$50.41</w:t>
            </w:r>
          </w:p>
        </w:tc>
        <w:tc>
          <w:tcPr>
            <w:tcW w:w="1980" w:type="dxa"/>
          </w:tcPr>
          <w:p w:rsidR="00DA416F" w:rsidRDefault="00DA416F" w:rsidP="00021DF2">
            <w:pPr>
              <w:rPr>
                <w:rFonts w:ascii="Palatino Linotype" w:hAnsi="Palatino Linotype"/>
                <w:sz w:val="22"/>
              </w:rPr>
            </w:pPr>
          </w:p>
          <w:p w:rsidR="00DA416F" w:rsidRPr="00021DF2" w:rsidRDefault="00DA416F" w:rsidP="00146E7F">
            <w:pPr>
              <w:rPr>
                <w:rFonts w:ascii="Palatino Linotype" w:hAnsi="Palatino Linotype"/>
                <w:sz w:val="22"/>
              </w:rPr>
            </w:pPr>
            <w:r>
              <w:rPr>
                <w:rFonts w:ascii="Palatino Linotype" w:hAnsi="Palatino Linotype"/>
                <w:sz w:val="22"/>
                <w:szCs w:val="22"/>
              </w:rPr>
              <w:t>$12,098</w:t>
            </w:r>
          </w:p>
        </w:tc>
      </w:tr>
      <w:tr w:rsidR="00DA416F" w:rsidRPr="00021DF2" w:rsidTr="00442BD5">
        <w:trPr>
          <w:trHeight w:val="330"/>
        </w:trPr>
        <w:tc>
          <w:tcPr>
            <w:tcW w:w="1968" w:type="dxa"/>
          </w:tcPr>
          <w:p w:rsidR="00DA416F" w:rsidRPr="00021DF2" w:rsidRDefault="00DA416F" w:rsidP="00021DF2">
            <w:pPr>
              <w:rPr>
                <w:rFonts w:ascii="Palatino Linotype" w:hAnsi="Palatino Linotype"/>
                <w:sz w:val="22"/>
              </w:rPr>
            </w:pPr>
            <w:r w:rsidRPr="00021DF2">
              <w:rPr>
                <w:rFonts w:ascii="Palatino Linotype" w:hAnsi="Palatino Linotype"/>
                <w:sz w:val="22"/>
                <w:szCs w:val="22"/>
              </w:rPr>
              <w:t>DOI Staff Report Writing—GS 13, Step 4</w:t>
            </w:r>
          </w:p>
        </w:tc>
        <w:tc>
          <w:tcPr>
            <w:tcW w:w="1547" w:type="dxa"/>
          </w:tcPr>
          <w:p w:rsidR="00DA416F" w:rsidRPr="00021DF2" w:rsidRDefault="00DA416F" w:rsidP="00021DF2">
            <w:pPr>
              <w:rPr>
                <w:rFonts w:ascii="Palatino Linotype" w:hAnsi="Palatino Linotype"/>
                <w:sz w:val="22"/>
              </w:rPr>
            </w:pPr>
            <w:r>
              <w:rPr>
                <w:rFonts w:ascii="Palatino Linotype" w:hAnsi="Palatino Linotype"/>
                <w:sz w:val="22"/>
                <w:szCs w:val="22"/>
              </w:rPr>
              <w:t>56</w:t>
            </w:r>
          </w:p>
        </w:tc>
        <w:tc>
          <w:tcPr>
            <w:tcW w:w="1430" w:type="dxa"/>
          </w:tcPr>
          <w:p w:rsidR="00DA416F" w:rsidRPr="00021DF2" w:rsidRDefault="00DA416F" w:rsidP="00021DF2">
            <w:pPr>
              <w:rPr>
                <w:rFonts w:ascii="Palatino Linotype" w:hAnsi="Palatino Linotype"/>
                <w:sz w:val="22"/>
              </w:rPr>
            </w:pPr>
            <w:r w:rsidRPr="00021DF2">
              <w:rPr>
                <w:rFonts w:ascii="Palatino Linotype" w:hAnsi="Palatino Linotype"/>
                <w:sz w:val="22"/>
                <w:szCs w:val="22"/>
              </w:rPr>
              <w:t>1</w:t>
            </w:r>
          </w:p>
        </w:tc>
        <w:tc>
          <w:tcPr>
            <w:tcW w:w="1069" w:type="dxa"/>
          </w:tcPr>
          <w:p w:rsidR="00DA416F" w:rsidRDefault="00DA416F" w:rsidP="00021DF2">
            <w:pPr>
              <w:rPr>
                <w:rFonts w:ascii="Palatino Linotype" w:hAnsi="Palatino Linotype"/>
                <w:sz w:val="22"/>
              </w:rPr>
            </w:pPr>
          </w:p>
          <w:p w:rsidR="00DA416F" w:rsidRPr="00021DF2" w:rsidRDefault="00DA416F" w:rsidP="00021DF2">
            <w:pPr>
              <w:rPr>
                <w:rFonts w:ascii="Palatino Linotype" w:hAnsi="Palatino Linotype"/>
                <w:sz w:val="22"/>
              </w:rPr>
            </w:pPr>
            <w:r>
              <w:rPr>
                <w:rFonts w:ascii="Palatino Linotype" w:hAnsi="Palatino Linotype"/>
                <w:sz w:val="22"/>
              </w:rPr>
              <w:t>2,000</w:t>
            </w:r>
          </w:p>
        </w:tc>
        <w:tc>
          <w:tcPr>
            <w:tcW w:w="1381" w:type="dxa"/>
          </w:tcPr>
          <w:p w:rsidR="00DA416F" w:rsidRPr="00021DF2" w:rsidRDefault="00DA416F" w:rsidP="00021DF2">
            <w:pPr>
              <w:rPr>
                <w:rFonts w:ascii="Palatino Linotype" w:hAnsi="Palatino Linotype"/>
                <w:sz w:val="22"/>
              </w:rPr>
            </w:pPr>
            <w:r w:rsidRPr="00021DF2">
              <w:rPr>
                <w:rFonts w:ascii="Palatino Linotype" w:hAnsi="Palatino Linotype"/>
                <w:sz w:val="22"/>
                <w:szCs w:val="22"/>
              </w:rPr>
              <w:t>$46.93</w:t>
            </w:r>
          </w:p>
        </w:tc>
        <w:tc>
          <w:tcPr>
            <w:tcW w:w="1980" w:type="dxa"/>
          </w:tcPr>
          <w:p w:rsidR="00DA416F" w:rsidRDefault="00DA416F" w:rsidP="00021DF2">
            <w:pPr>
              <w:rPr>
                <w:rFonts w:ascii="Palatino Linotype" w:hAnsi="Palatino Linotype"/>
                <w:sz w:val="22"/>
              </w:rPr>
            </w:pPr>
          </w:p>
          <w:p w:rsidR="00DA416F" w:rsidRPr="00021DF2" w:rsidRDefault="00DA416F" w:rsidP="00146E7F">
            <w:pPr>
              <w:rPr>
                <w:rFonts w:ascii="Palatino Linotype" w:hAnsi="Palatino Linotype"/>
                <w:sz w:val="22"/>
              </w:rPr>
            </w:pPr>
            <w:r>
              <w:rPr>
                <w:rFonts w:ascii="Palatino Linotype" w:hAnsi="Palatino Linotype"/>
                <w:sz w:val="22"/>
                <w:szCs w:val="22"/>
              </w:rPr>
              <w:t>$93,860</w:t>
            </w:r>
          </w:p>
        </w:tc>
      </w:tr>
      <w:tr w:rsidR="00DA416F" w:rsidRPr="00021DF2" w:rsidTr="00442BD5">
        <w:trPr>
          <w:trHeight w:val="330"/>
        </w:trPr>
        <w:tc>
          <w:tcPr>
            <w:tcW w:w="1968" w:type="dxa"/>
          </w:tcPr>
          <w:p w:rsidR="00DA416F" w:rsidRPr="00234DE0" w:rsidRDefault="00DA416F" w:rsidP="00021DF2">
            <w:pPr>
              <w:rPr>
                <w:rFonts w:ascii="Palatino Linotype" w:hAnsi="Palatino Linotype"/>
                <w:b/>
                <w:sz w:val="22"/>
              </w:rPr>
            </w:pPr>
            <w:r w:rsidRPr="00234DE0">
              <w:rPr>
                <w:rFonts w:ascii="Palatino Linotype" w:hAnsi="Palatino Linotype"/>
                <w:b/>
                <w:sz w:val="22"/>
                <w:szCs w:val="22"/>
              </w:rPr>
              <w:t xml:space="preserve">Total  </w:t>
            </w:r>
          </w:p>
        </w:tc>
        <w:tc>
          <w:tcPr>
            <w:tcW w:w="1547" w:type="dxa"/>
          </w:tcPr>
          <w:p w:rsidR="00DA416F" w:rsidRPr="00234DE0" w:rsidRDefault="00DA416F" w:rsidP="00021DF2">
            <w:pPr>
              <w:rPr>
                <w:rFonts w:ascii="Palatino Linotype" w:hAnsi="Palatino Linotype"/>
                <w:b/>
                <w:sz w:val="22"/>
              </w:rPr>
            </w:pPr>
          </w:p>
        </w:tc>
        <w:tc>
          <w:tcPr>
            <w:tcW w:w="1430" w:type="dxa"/>
          </w:tcPr>
          <w:p w:rsidR="00DA416F" w:rsidRPr="00234DE0" w:rsidRDefault="00DA416F" w:rsidP="00021DF2">
            <w:pPr>
              <w:rPr>
                <w:rFonts w:ascii="Palatino Linotype" w:hAnsi="Palatino Linotype"/>
                <w:b/>
                <w:sz w:val="22"/>
              </w:rPr>
            </w:pPr>
          </w:p>
        </w:tc>
        <w:tc>
          <w:tcPr>
            <w:tcW w:w="1069" w:type="dxa"/>
          </w:tcPr>
          <w:p w:rsidR="00DA416F" w:rsidRPr="00234DE0" w:rsidRDefault="00DA416F" w:rsidP="00021DF2">
            <w:pPr>
              <w:rPr>
                <w:rFonts w:ascii="Palatino Linotype" w:hAnsi="Palatino Linotype"/>
                <w:b/>
                <w:sz w:val="22"/>
              </w:rPr>
            </w:pPr>
            <w:r>
              <w:rPr>
                <w:rFonts w:ascii="Palatino Linotype" w:hAnsi="Palatino Linotype"/>
                <w:b/>
                <w:sz w:val="22"/>
                <w:szCs w:val="22"/>
              </w:rPr>
              <w:t>2,240</w:t>
            </w:r>
          </w:p>
        </w:tc>
        <w:tc>
          <w:tcPr>
            <w:tcW w:w="1381" w:type="dxa"/>
          </w:tcPr>
          <w:p w:rsidR="00DA416F" w:rsidRPr="00234DE0" w:rsidRDefault="00DA416F" w:rsidP="00021DF2">
            <w:pPr>
              <w:rPr>
                <w:rFonts w:ascii="Palatino Linotype" w:hAnsi="Palatino Linotype"/>
                <w:b/>
                <w:sz w:val="22"/>
              </w:rPr>
            </w:pPr>
          </w:p>
        </w:tc>
        <w:tc>
          <w:tcPr>
            <w:tcW w:w="1980" w:type="dxa"/>
          </w:tcPr>
          <w:p w:rsidR="00DA416F" w:rsidRPr="00234DE0" w:rsidRDefault="00024208" w:rsidP="00146E7F">
            <w:pPr>
              <w:rPr>
                <w:rFonts w:ascii="Palatino Linotype" w:hAnsi="Palatino Linotype"/>
                <w:b/>
                <w:sz w:val="22"/>
              </w:rPr>
            </w:pPr>
            <w:r w:rsidRPr="00024208">
              <w:rPr>
                <w:rFonts w:ascii="Palatino Linotype" w:hAnsi="Palatino Linotype"/>
                <w:b/>
                <w:sz w:val="22"/>
                <w:szCs w:val="22"/>
              </w:rPr>
              <w:t>$105,958</w:t>
            </w:r>
          </w:p>
        </w:tc>
      </w:tr>
    </w:tbl>
    <w:p w:rsidR="00DA416F" w:rsidRPr="00021DF2" w:rsidRDefault="00DA416F" w:rsidP="00021DF2">
      <w:pPr>
        <w:rPr>
          <w:rFonts w:ascii="Palatino Linotype" w:hAnsi="Palatino Linotype"/>
          <w:sz w:val="22"/>
          <w:szCs w:val="22"/>
        </w:rPr>
      </w:pPr>
    </w:p>
    <w:p w:rsidR="00DA416F" w:rsidRPr="007810FC" w:rsidRDefault="00DA416F" w:rsidP="00A71E6A">
      <w:pPr>
        <w:rPr>
          <w:rFonts w:ascii="Palatino Linotype" w:hAnsi="Palatino Linotype"/>
          <w:b/>
          <w:sz w:val="22"/>
          <w:szCs w:val="22"/>
        </w:rPr>
      </w:pPr>
      <w:r w:rsidRPr="007810FC">
        <w:rPr>
          <w:rFonts w:ascii="Palatino Linotype" w:hAnsi="Palatino Linotype"/>
          <w:b/>
          <w:sz w:val="22"/>
          <w:szCs w:val="22"/>
        </w:rPr>
        <w:t>Cost Estimate for All Respondents Completin</w:t>
      </w:r>
      <w:r>
        <w:rPr>
          <w:rFonts w:ascii="Palatino Linotype" w:hAnsi="Palatino Linotype"/>
          <w:b/>
          <w:sz w:val="22"/>
          <w:szCs w:val="22"/>
        </w:rPr>
        <w:t>g the Final Report (Annualized)</w:t>
      </w: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8"/>
        <w:gridCol w:w="1547"/>
        <w:gridCol w:w="1430"/>
        <w:gridCol w:w="1069"/>
        <w:gridCol w:w="1381"/>
        <w:gridCol w:w="1980"/>
      </w:tblGrid>
      <w:tr w:rsidR="00DA416F" w:rsidRPr="00021DF2" w:rsidTr="00A0783B">
        <w:trPr>
          <w:trHeight w:val="645"/>
        </w:trPr>
        <w:tc>
          <w:tcPr>
            <w:tcW w:w="1968" w:type="dxa"/>
          </w:tcPr>
          <w:p w:rsidR="00DA416F" w:rsidRPr="00234DE0" w:rsidRDefault="00DA416F" w:rsidP="00A0783B">
            <w:pPr>
              <w:rPr>
                <w:rFonts w:ascii="Palatino Linotype" w:hAnsi="Palatino Linotype"/>
                <w:b/>
                <w:sz w:val="22"/>
              </w:rPr>
            </w:pPr>
            <w:r w:rsidRPr="00234DE0">
              <w:rPr>
                <w:rFonts w:ascii="Palatino Linotype" w:hAnsi="Palatino Linotype"/>
                <w:b/>
                <w:sz w:val="22"/>
                <w:szCs w:val="22"/>
              </w:rPr>
              <w:t>Type of respondent</w:t>
            </w:r>
          </w:p>
        </w:tc>
        <w:tc>
          <w:tcPr>
            <w:tcW w:w="1547" w:type="dxa"/>
          </w:tcPr>
          <w:p w:rsidR="00DA416F" w:rsidRPr="00234DE0" w:rsidRDefault="00DA416F" w:rsidP="00A0783B">
            <w:pPr>
              <w:rPr>
                <w:rFonts w:ascii="Palatino Linotype" w:hAnsi="Palatino Linotype"/>
                <w:b/>
                <w:sz w:val="22"/>
              </w:rPr>
            </w:pPr>
            <w:r w:rsidRPr="00234DE0">
              <w:rPr>
                <w:rFonts w:ascii="Palatino Linotype" w:hAnsi="Palatino Linotype"/>
                <w:b/>
                <w:sz w:val="22"/>
                <w:szCs w:val="22"/>
              </w:rPr>
              <w:t xml:space="preserve">Number of Respondents </w:t>
            </w:r>
          </w:p>
        </w:tc>
        <w:tc>
          <w:tcPr>
            <w:tcW w:w="1430" w:type="dxa"/>
          </w:tcPr>
          <w:p w:rsidR="00DA416F" w:rsidRPr="00234DE0" w:rsidRDefault="00DA416F" w:rsidP="00A0783B">
            <w:pPr>
              <w:rPr>
                <w:rFonts w:ascii="Palatino Linotype" w:hAnsi="Palatino Linotype"/>
                <w:b/>
                <w:sz w:val="22"/>
              </w:rPr>
            </w:pPr>
            <w:r w:rsidRPr="00234DE0">
              <w:rPr>
                <w:rFonts w:ascii="Palatino Linotype" w:hAnsi="Palatino Linotype"/>
                <w:b/>
                <w:sz w:val="22"/>
                <w:szCs w:val="22"/>
              </w:rPr>
              <w:t xml:space="preserve">Number of Responses per Respondent </w:t>
            </w:r>
          </w:p>
        </w:tc>
        <w:tc>
          <w:tcPr>
            <w:tcW w:w="1069" w:type="dxa"/>
          </w:tcPr>
          <w:p w:rsidR="00DA416F" w:rsidRPr="00234DE0" w:rsidRDefault="00DA416F" w:rsidP="00A0783B">
            <w:pPr>
              <w:rPr>
                <w:rFonts w:ascii="Palatino Linotype" w:hAnsi="Palatino Linotype"/>
                <w:b/>
                <w:sz w:val="22"/>
              </w:rPr>
            </w:pPr>
            <w:r w:rsidRPr="00234DE0">
              <w:rPr>
                <w:rFonts w:ascii="Palatino Linotype" w:hAnsi="Palatino Linotype"/>
                <w:b/>
                <w:sz w:val="22"/>
                <w:szCs w:val="22"/>
              </w:rPr>
              <w:t xml:space="preserve">Average Burden Hours </w:t>
            </w:r>
          </w:p>
        </w:tc>
        <w:tc>
          <w:tcPr>
            <w:tcW w:w="1381" w:type="dxa"/>
          </w:tcPr>
          <w:p w:rsidR="00DA416F" w:rsidRPr="00234DE0" w:rsidRDefault="00DA416F" w:rsidP="00A0783B">
            <w:pPr>
              <w:rPr>
                <w:rFonts w:ascii="Palatino Linotype" w:hAnsi="Palatino Linotype"/>
                <w:b/>
                <w:sz w:val="22"/>
              </w:rPr>
            </w:pPr>
            <w:r w:rsidRPr="00234DE0">
              <w:rPr>
                <w:rFonts w:ascii="Palatino Linotype" w:hAnsi="Palatino Linotype"/>
                <w:b/>
                <w:sz w:val="22"/>
                <w:szCs w:val="22"/>
              </w:rPr>
              <w:t>Wage per Hour*</w:t>
            </w:r>
          </w:p>
        </w:tc>
        <w:tc>
          <w:tcPr>
            <w:tcW w:w="1980" w:type="dxa"/>
          </w:tcPr>
          <w:p w:rsidR="00DA416F" w:rsidRPr="00234DE0" w:rsidRDefault="00DA416F" w:rsidP="00A0783B">
            <w:pPr>
              <w:rPr>
                <w:rFonts w:ascii="Palatino Linotype" w:hAnsi="Palatino Linotype"/>
                <w:b/>
                <w:sz w:val="22"/>
              </w:rPr>
            </w:pPr>
            <w:r w:rsidRPr="00234DE0">
              <w:rPr>
                <w:rFonts w:ascii="Palatino Linotype" w:hAnsi="Palatino Linotype"/>
                <w:b/>
                <w:sz w:val="22"/>
                <w:szCs w:val="22"/>
              </w:rPr>
              <w:t>Burden Costs</w:t>
            </w:r>
          </w:p>
          <w:p w:rsidR="00DA416F" w:rsidRPr="00234DE0" w:rsidRDefault="00DA416F" w:rsidP="00A0783B">
            <w:pPr>
              <w:rPr>
                <w:rFonts w:ascii="Palatino Linotype" w:hAnsi="Palatino Linotype"/>
                <w:b/>
                <w:sz w:val="22"/>
              </w:rPr>
            </w:pPr>
            <w:r w:rsidRPr="00234DE0">
              <w:rPr>
                <w:rFonts w:ascii="Palatino Linotype" w:hAnsi="Palatino Linotype"/>
                <w:b/>
                <w:sz w:val="22"/>
                <w:szCs w:val="22"/>
              </w:rPr>
              <w:t xml:space="preserve"> Per Annualized Response</w:t>
            </w:r>
          </w:p>
        </w:tc>
      </w:tr>
      <w:tr w:rsidR="00DA416F" w:rsidRPr="00021DF2" w:rsidTr="00A0783B">
        <w:trPr>
          <w:trHeight w:val="330"/>
        </w:trPr>
        <w:tc>
          <w:tcPr>
            <w:tcW w:w="1968" w:type="dxa"/>
          </w:tcPr>
          <w:p w:rsidR="00DA416F" w:rsidRPr="00021DF2" w:rsidRDefault="00DA416F" w:rsidP="00A0783B">
            <w:pPr>
              <w:rPr>
                <w:rFonts w:ascii="Palatino Linotype" w:hAnsi="Palatino Linotype"/>
                <w:sz w:val="22"/>
              </w:rPr>
            </w:pPr>
            <w:r w:rsidRPr="00021DF2">
              <w:rPr>
                <w:rFonts w:ascii="Palatino Linotype" w:hAnsi="Palatino Linotype"/>
                <w:sz w:val="22"/>
                <w:szCs w:val="22"/>
              </w:rPr>
              <w:t>Supervisor DOI Staff Review –GS 14, Step 1</w:t>
            </w:r>
          </w:p>
        </w:tc>
        <w:tc>
          <w:tcPr>
            <w:tcW w:w="1547" w:type="dxa"/>
          </w:tcPr>
          <w:p w:rsidR="00DA416F" w:rsidRPr="00021DF2" w:rsidRDefault="00DA416F" w:rsidP="00A0783B">
            <w:pPr>
              <w:rPr>
                <w:rFonts w:ascii="Palatino Linotype" w:hAnsi="Palatino Linotype"/>
                <w:sz w:val="22"/>
              </w:rPr>
            </w:pPr>
            <w:r>
              <w:rPr>
                <w:rFonts w:ascii="Palatino Linotype" w:hAnsi="Palatino Linotype"/>
                <w:sz w:val="22"/>
                <w:szCs w:val="22"/>
              </w:rPr>
              <w:t>56</w:t>
            </w:r>
          </w:p>
        </w:tc>
        <w:tc>
          <w:tcPr>
            <w:tcW w:w="1430" w:type="dxa"/>
          </w:tcPr>
          <w:p w:rsidR="00DA416F" w:rsidRPr="00021DF2" w:rsidRDefault="00DA416F" w:rsidP="00A0783B">
            <w:pPr>
              <w:rPr>
                <w:rFonts w:ascii="Palatino Linotype" w:hAnsi="Palatino Linotype"/>
                <w:sz w:val="22"/>
              </w:rPr>
            </w:pPr>
            <w:r w:rsidRPr="00021DF2">
              <w:rPr>
                <w:rFonts w:ascii="Palatino Linotype" w:hAnsi="Palatino Linotype"/>
                <w:sz w:val="22"/>
                <w:szCs w:val="22"/>
              </w:rPr>
              <w:t>1</w:t>
            </w:r>
          </w:p>
        </w:tc>
        <w:tc>
          <w:tcPr>
            <w:tcW w:w="1069" w:type="dxa"/>
          </w:tcPr>
          <w:p w:rsidR="00DA416F" w:rsidRDefault="00DA416F" w:rsidP="00A0783B">
            <w:pPr>
              <w:rPr>
                <w:rFonts w:ascii="Palatino Linotype" w:hAnsi="Palatino Linotype"/>
                <w:sz w:val="22"/>
              </w:rPr>
            </w:pPr>
          </w:p>
          <w:p w:rsidR="00DA416F" w:rsidRPr="00021DF2" w:rsidRDefault="00DA416F" w:rsidP="00A0783B">
            <w:pPr>
              <w:rPr>
                <w:rFonts w:ascii="Palatino Linotype" w:hAnsi="Palatino Linotype"/>
                <w:sz w:val="22"/>
              </w:rPr>
            </w:pPr>
            <w:r>
              <w:rPr>
                <w:rFonts w:ascii="Palatino Linotype" w:hAnsi="Palatino Linotype"/>
                <w:sz w:val="22"/>
                <w:szCs w:val="22"/>
              </w:rPr>
              <w:t>240</w:t>
            </w:r>
          </w:p>
        </w:tc>
        <w:tc>
          <w:tcPr>
            <w:tcW w:w="1381" w:type="dxa"/>
          </w:tcPr>
          <w:p w:rsidR="00DA416F" w:rsidRPr="00021DF2" w:rsidRDefault="00DA416F" w:rsidP="00A0783B">
            <w:pPr>
              <w:rPr>
                <w:rFonts w:ascii="Palatino Linotype" w:hAnsi="Palatino Linotype"/>
                <w:sz w:val="22"/>
              </w:rPr>
            </w:pPr>
            <w:r w:rsidRPr="00021DF2">
              <w:rPr>
                <w:rFonts w:ascii="Palatino Linotype" w:hAnsi="Palatino Linotype"/>
                <w:sz w:val="22"/>
                <w:szCs w:val="22"/>
              </w:rPr>
              <w:t>$50.41</w:t>
            </w:r>
          </w:p>
        </w:tc>
        <w:tc>
          <w:tcPr>
            <w:tcW w:w="1980" w:type="dxa"/>
          </w:tcPr>
          <w:p w:rsidR="00DA416F" w:rsidRPr="00021DF2" w:rsidRDefault="00DA416F" w:rsidP="00A0783B">
            <w:pPr>
              <w:rPr>
                <w:rFonts w:ascii="Palatino Linotype" w:hAnsi="Palatino Linotype"/>
                <w:sz w:val="22"/>
              </w:rPr>
            </w:pPr>
            <w:r>
              <w:rPr>
                <w:rFonts w:ascii="Palatino Linotype" w:hAnsi="Palatino Linotype"/>
                <w:sz w:val="22"/>
                <w:szCs w:val="22"/>
              </w:rPr>
              <w:t>$12,098</w:t>
            </w:r>
          </w:p>
        </w:tc>
      </w:tr>
      <w:tr w:rsidR="00DA416F" w:rsidRPr="00021DF2" w:rsidTr="00A0783B">
        <w:trPr>
          <w:trHeight w:val="330"/>
        </w:trPr>
        <w:tc>
          <w:tcPr>
            <w:tcW w:w="1968" w:type="dxa"/>
          </w:tcPr>
          <w:p w:rsidR="00DA416F" w:rsidRPr="00021DF2" w:rsidRDefault="00DA416F" w:rsidP="00A0783B">
            <w:pPr>
              <w:rPr>
                <w:rFonts w:ascii="Palatino Linotype" w:hAnsi="Palatino Linotype"/>
                <w:sz w:val="22"/>
              </w:rPr>
            </w:pPr>
            <w:r w:rsidRPr="00021DF2">
              <w:rPr>
                <w:rFonts w:ascii="Palatino Linotype" w:hAnsi="Palatino Linotype"/>
                <w:sz w:val="22"/>
                <w:szCs w:val="22"/>
              </w:rPr>
              <w:t>DOI Staff Report Writing—GS 13, Step 4</w:t>
            </w:r>
          </w:p>
        </w:tc>
        <w:tc>
          <w:tcPr>
            <w:tcW w:w="1547" w:type="dxa"/>
          </w:tcPr>
          <w:p w:rsidR="00DA416F" w:rsidRPr="00021DF2" w:rsidRDefault="00DA416F" w:rsidP="00A0783B">
            <w:pPr>
              <w:rPr>
                <w:rFonts w:ascii="Palatino Linotype" w:hAnsi="Palatino Linotype"/>
                <w:sz w:val="22"/>
              </w:rPr>
            </w:pPr>
            <w:r>
              <w:rPr>
                <w:rFonts w:ascii="Palatino Linotype" w:hAnsi="Palatino Linotype"/>
                <w:sz w:val="22"/>
                <w:szCs w:val="22"/>
              </w:rPr>
              <w:t>56</w:t>
            </w:r>
          </w:p>
        </w:tc>
        <w:tc>
          <w:tcPr>
            <w:tcW w:w="1430" w:type="dxa"/>
          </w:tcPr>
          <w:p w:rsidR="00DA416F" w:rsidRPr="00021DF2" w:rsidRDefault="00DA416F" w:rsidP="00A0783B">
            <w:pPr>
              <w:rPr>
                <w:rFonts w:ascii="Palatino Linotype" w:hAnsi="Palatino Linotype"/>
                <w:sz w:val="22"/>
              </w:rPr>
            </w:pPr>
            <w:r w:rsidRPr="00021DF2">
              <w:rPr>
                <w:rFonts w:ascii="Palatino Linotype" w:hAnsi="Palatino Linotype"/>
                <w:sz w:val="22"/>
                <w:szCs w:val="22"/>
              </w:rPr>
              <w:t>1</w:t>
            </w:r>
          </w:p>
        </w:tc>
        <w:tc>
          <w:tcPr>
            <w:tcW w:w="1069" w:type="dxa"/>
          </w:tcPr>
          <w:p w:rsidR="00DA416F" w:rsidRDefault="00DA416F" w:rsidP="00A0783B">
            <w:pPr>
              <w:rPr>
                <w:rFonts w:ascii="Palatino Linotype" w:hAnsi="Palatino Linotype"/>
                <w:sz w:val="22"/>
              </w:rPr>
            </w:pPr>
          </w:p>
          <w:p w:rsidR="00DA416F" w:rsidRPr="00021DF2" w:rsidRDefault="00DA416F" w:rsidP="00A0783B">
            <w:pPr>
              <w:rPr>
                <w:rFonts w:ascii="Palatino Linotype" w:hAnsi="Palatino Linotype"/>
                <w:sz w:val="22"/>
              </w:rPr>
            </w:pPr>
            <w:r>
              <w:rPr>
                <w:rFonts w:ascii="Palatino Linotype" w:hAnsi="Palatino Linotype"/>
                <w:sz w:val="22"/>
                <w:szCs w:val="22"/>
              </w:rPr>
              <w:t>2,000</w:t>
            </w:r>
          </w:p>
        </w:tc>
        <w:tc>
          <w:tcPr>
            <w:tcW w:w="1381" w:type="dxa"/>
          </w:tcPr>
          <w:p w:rsidR="00DA416F" w:rsidRPr="00021DF2" w:rsidRDefault="00DA416F" w:rsidP="00A0783B">
            <w:pPr>
              <w:rPr>
                <w:rFonts w:ascii="Palatino Linotype" w:hAnsi="Palatino Linotype"/>
                <w:sz w:val="22"/>
              </w:rPr>
            </w:pPr>
            <w:r w:rsidRPr="00021DF2">
              <w:rPr>
                <w:rFonts w:ascii="Palatino Linotype" w:hAnsi="Palatino Linotype"/>
                <w:sz w:val="22"/>
                <w:szCs w:val="22"/>
              </w:rPr>
              <w:t>$46.93</w:t>
            </w:r>
          </w:p>
        </w:tc>
        <w:tc>
          <w:tcPr>
            <w:tcW w:w="1980" w:type="dxa"/>
          </w:tcPr>
          <w:p w:rsidR="00DA416F" w:rsidRDefault="00DA416F" w:rsidP="00A0783B">
            <w:pPr>
              <w:rPr>
                <w:rFonts w:ascii="Palatino Linotype" w:hAnsi="Palatino Linotype"/>
                <w:sz w:val="22"/>
              </w:rPr>
            </w:pPr>
          </w:p>
          <w:p w:rsidR="00DA416F" w:rsidRPr="00021DF2" w:rsidRDefault="00DA416F" w:rsidP="00A0783B">
            <w:pPr>
              <w:rPr>
                <w:rFonts w:ascii="Palatino Linotype" w:hAnsi="Palatino Linotype"/>
                <w:sz w:val="22"/>
              </w:rPr>
            </w:pPr>
            <w:r>
              <w:rPr>
                <w:rFonts w:ascii="Palatino Linotype" w:hAnsi="Palatino Linotype"/>
                <w:sz w:val="22"/>
                <w:szCs w:val="22"/>
              </w:rPr>
              <w:t>$93,860</w:t>
            </w:r>
          </w:p>
        </w:tc>
      </w:tr>
      <w:tr w:rsidR="00DA416F" w:rsidRPr="00021DF2" w:rsidTr="00A0783B">
        <w:trPr>
          <w:trHeight w:val="330"/>
        </w:trPr>
        <w:tc>
          <w:tcPr>
            <w:tcW w:w="1968" w:type="dxa"/>
          </w:tcPr>
          <w:p w:rsidR="00DA416F" w:rsidRPr="00234DE0" w:rsidRDefault="00DA416F" w:rsidP="00A0783B">
            <w:pPr>
              <w:rPr>
                <w:rFonts w:ascii="Palatino Linotype" w:hAnsi="Palatino Linotype"/>
                <w:b/>
                <w:sz w:val="22"/>
              </w:rPr>
            </w:pPr>
            <w:r w:rsidRPr="00234DE0">
              <w:rPr>
                <w:rFonts w:ascii="Palatino Linotype" w:hAnsi="Palatino Linotype"/>
                <w:b/>
                <w:sz w:val="22"/>
                <w:szCs w:val="22"/>
              </w:rPr>
              <w:t xml:space="preserve">Total  </w:t>
            </w:r>
          </w:p>
        </w:tc>
        <w:tc>
          <w:tcPr>
            <w:tcW w:w="1547" w:type="dxa"/>
          </w:tcPr>
          <w:p w:rsidR="00DA416F" w:rsidRPr="00234DE0" w:rsidRDefault="00DA416F" w:rsidP="00A0783B">
            <w:pPr>
              <w:rPr>
                <w:rFonts w:ascii="Palatino Linotype" w:hAnsi="Palatino Linotype"/>
                <w:b/>
                <w:sz w:val="22"/>
              </w:rPr>
            </w:pPr>
          </w:p>
        </w:tc>
        <w:tc>
          <w:tcPr>
            <w:tcW w:w="1430" w:type="dxa"/>
          </w:tcPr>
          <w:p w:rsidR="00DA416F" w:rsidRPr="00234DE0" w:rsidRDefault="00DA416F" w:rsidP="00A0783B">
            <w:pPr>
              <w:rPr>
                <w:rFonts w:ascii="Palatino Linotype" w:hAnsi="Palatino Linotype"/>
                <w:b/>
                <w:sz w:val="22"/>
              </w:rPr>
            </w:pPr>
          </w:p>
        </w:tc>
        <w:tc>
          <w:tcPr>
            <w:tcW w:w="1069" w:type="dxa"/>
          </w:tcPr>
          <w:p w:rsidR="00DA416F" w:rsidRDefault="00DA416F" w:rsidP="00A0783B">
            <w:pPr>
              <w:rPr>
                <w:rFonts w:ascii="Palatino Linotype" w:hAnsi="Palatino Linotype"/>
                <w:b/>
                <w:sz w:val="22"/>
              </w:rPr>
            </w:pPr>
          </w:p>
          <w:p w:rsidR="00DA416F" w:rsidRPr="00234DE0" w:rsidRDefault="00DA1FC3" w:rsidP="00A0783B">
            <w:pPr>
              <w:rPr>
                <w:rFonts w:ascii="Palatino Linotype" w:hAnsi="Palatino Linotype"/>
                <w:b/>
                <w:sz w:val="22"/>
              </w:rPr>
            </w:pPr>
            <w:r>
              <w:rPr>
                <w:rFonts w:ascii="Palatino Linotype" w:hAnsi="Palatino Linotype"/>
                <w:b/>
                <w:sz w:val="22"/>
              </w:rPr>
              <w:t>2,240</w:t>
            </w:r>
          </w:p>
        </w:tc>
        <w:tc>
          <w:tcPr>
            <w:tcW w:w="1381" w:type="dxa"/>
          </w:tcPr>
          <w:p w:rsidR="00DA416F" w:rsidRPr="00234DE0" w:rsidRDefault="00DA416F" w:rsidP="00A0783B">
            <w:pPr>
              <w:rPr>
                <w:rFonts w:ascii="Palatino Linotype" w:hAnsi="Palatino Linotype"/>
                <w:b/>
                <w:sz w:val="22"/>
              </w:rPr>
            </w:pPr>
          </w:p>
        </w:tc>
        <w:tc>
          <w:tcPr>
            <w:tcW w:w="1980" w:type="dxa"/>
          </w:tcPr>
          <w:p w:rsidR="00DA416F" w:rsidRDefault="00DA416F" w:rsidP="00A0783B">
            <w:pPr>
              <w:rPr>
                <w:rFonts w:ascii="Palatino Linotype" w:hAnsi="Palatino Linotype"/>
                <w:b/>
                <w:sz w:val="22"/>
              </w:rPr>
            </w:pPr>
          </w:p>
          <w:p w:rsidR="00DA416F" w:rsidRPr="00234DE0" w:rsidRDefault="00024208" w:rsidP="00A0783B">
            <w:pPr>
              <w:rPr>
                <w:rFonts w:ascii="Palatino Linotype" w:hAnsi="Palatino Linotype"/>
                <w:b/>
                <w:sz w:val="22"/>
              </w:rPr>
            </w:pPr>
            <w:r w:rsidRPr="00024208">
              <w:rPr>
                <w:rFonts w:ascii="Palatino Linotype" w:hAnsi="Palatino Linotype"/>
                <w:b/>
                <w:sz w:val="22"/>
                <w:szCs w:val="22"/>
              </w:rPr>
              <w:t>$105,958</w:t>
            </w:r>
          </w:p>
        </w:tc>
      </w:tr>
    </w:tbl>
    <w:p w:rsidR="00DA416F" w:rsidRDefault="00DA416F" w:rsidP="00C909DA">
      <w:pPr>
        <w:rPr>
          <w:rFonts w:ascii="Palatino Linotype" w:hAnsi="Palatino Linotype"/>
          <w:sz w:val="22"/>
          <w:szCs w:val="22"/>
        </w:rPr>
      </w:pPr>
    </w:p>
    <w:p w:rsidR="00DA416F" w:rsidRDefault="00DA416F" w:rsidP="00C909DA">
      <w:pPr>
        <w:rPr>
          <w:rFonts w:ascii="Palatino Linotype" w:hAnsi="Palatino Linotype"/>
          <w:sz w:val="22"/>
          <w:szCs w:val="22"/>
        </w:rPr>
      </w:pPr>
      <w:r>
        <w:rPr>
          <w:rFonts w:ascii="Palatino Linotype" w:hAnsi="Palatino Linotype"/>
          <w:sz w:val="22"/>
          <w:szCs w:val="22"/>
        </w:rPr>
        <w:t xml:space="preserve">For Cycle II, the total burden hour estimate is </w:t>
      </w:r>
      <w:r w:rsidR="00DA1FC3">
        <w:rPr>
          <w:rFonts w:ascii="Palatino Linotype" w:hAnsi="Palatino Linotype"/>
          <w:b/>
          <w:sz w:val="22"/>
        </w:rPr>
        <w:t>27,776</w:t>
      </w:r>
      <w:r>
        <w:rPr>
          <w:rFonts w:ascii="Palatino Linotype" w:hAnsi="Palatino Linotype"/>
          <w:b/>
          <w:sz w:val="22"/>
        </w:rPr>
        <w:t xml:space="preserve"> </w:t>
      </w:r>
      <w:r>
        <w:rPr>
          <w:rFonts w:ascii="Palatino Linotype" w:hAnsi="Palatino Linotype"/>
          <w:sz w:val="22"/>
          <w:szCs w:val="22"/>
        </w:rPr>
        <w:t xml:space="preserve">which includes application and reporting.  The total cost associated with that estimate is </w:t>
      </w:r>
      <w:r w:rsidR="00024208" w:rsidRPr="00024208">
        <w:rPr>
          <w:rFonts w:ascii="Palatino Linotype" w:hAnsi="Palatino Linotype"/>
          <w:b/>
          <w:sz w:val="22"/>
          <w:szCs w:val="22"/>
        </w:rPr>
        <w:t>$1,259,631.</w:t>
      </w:r>
    </w:p>
    <w:p w:rsidR="00DA416F" w:rsidRPr="00BC76FE" w:rsidRDefault="00DA416F" w:rsidP="00C909DA">
      <w:pPr>
        <w:rPr>
          <w:rFonts w:ascii="Palatino Linotype" w:hAnsi="Palatino Linotype"/>
          <w:b/>
          <w:sz w:val="22"/>
          <w:szCs w:val="22"/>
        </w:rPr>
      </w:pPr>
    </w:p>
    <w:p w:rsidR="00DA416F" w:rsidRPr="00BC76FE" w:rsidRDefault="00DA416F" w:rsidP="009816F9">
      <w:pPr>
        <w:rPr>
          <w:rFonts w:ascii="Palatino Linotype" w:hAnsi="Palatino Linotype"/>
          <w:b/>
          <w:sz w:val="22"/>
          <w:szCs w:val="22"/>
        </w:rPr>
      </w:pPr>
      <w:r w:rsidRPr="00BC76FE">
        <w:rPr>
          <w:rFonts w:ascii="Palatino Linotype" w:hAnsi="Palatino Linotype"/>
          <w:b/>
          <w:sz w:val="22"/>
          <w:szCs w:val="22"/>
        </w:rPr>
        <w:t>Application Process</w:t>
      </w:r>
    </w:p>
    <w:p w:rsidR="00DA416F" w:rsidRPr="00BC76FE" w:rsidRDefault="00DA416F" w:rsidP="000924AF">
      <w:pPr>
        <w:rPr>
          <w:rFonts w:ascii="Palatino Linotype" w:hAnsi="Palatino Linotype"/>
          <w:sz w:val="22"/>
          <w:szCs w:val="22"/>
        </w:rPr>
      </w:pPr>
      <w:r w:rsidRPr="00BC76FE">
        <w:rPr>
          <w:rFonts w:ascii="Palatino Linotype" w:hAnsi="Palatino Linotype"/>
          <w:sz w:val="22"/>
          <w:szCs w:val="22"/>
        </w:rPr>
        <w:t>In order to complete the application, each applicant will need to read the application requirements, assemble, review, finalize and submit an application package to HHS. This burden estimate encompasses the entire application process which includes assembly of all required application content (technical approach, cost proposal, application format, extraction and summarization of current activities if applicable), certification of the application package by a senior official at the State or Delegated Entity, application submission to HHS and any subsequent application amendments or corrections that may be necessary for application approval.  The final application must be submitted electronically via grants.gov using the directions furnished in the application by HHS.</w:t>
      </w:r>
    </w:p>
    <w:p w:rsidR="00DA416F" w:rsidRPr="00BC76FE" w:rsidRDefault="00DA416F" w:rsidP="000924AF">
      <w:pPr>
        <w:rPr>
          <w:rFonts w:ascii="Palatino Linotype" w:hAnsi="Palatino Linotype"/>
          <w:b/>
          <w:bCs/>
          <w:sz w:val="22"/>
          <w:szCs w:val="22"/>
        </w:rPr>
      </w:pPr>
    </w:p>
    <w:p w:rsidR="00DA416F" w:rsidRDefault="00DA416F" w:rsidP="000924AF">
      <w:pPr>
        <w:rPr>
          <w:rFonts w:ascii="Palatino Linotype" w:hAnsi="Palatino Linotype"/>
          <w:sz w:val="22"/>
          <w:szCs w:val="22"/>
        </w:rPr>
      </w:pPr>
      <w:r w:rsidRPr="00BC76FE">
        <w:rPr>
          <w:rFonts w:ascii="Palatino Linotype" w:hAnsi="Palatino Linotype"/>
          <w:sz w:val="22"/>
          <w:szCs w:val="22"/>
        </w:rPr>
        <w:t xml:space="preserve">We estimate that it will take approximately </w:t>
      </w:r>
      <w:r w:rsidR="00F308C7">
        <w:rPr>
          <w:rFonts w:ascii="Palatino Linotype" w:hAnsi="Palatino Linotype"/>
          <w:sz w:val="22"/>
          <w:szCs w:val="22"/>
        </w:rPr>
        <w:t>160</w:t>
      </w:r>
      <w:r w:rsidRPr="00BC76FE">
        <w:rPr>
          <w:rFonts w:ascii="Palatino Linotype" w:hAnsi="Palatino Linotype"/>
          <w:sz w:val="22"/>
          <w:szCs w:val="22"/>
        </w:rPr>
        <w:t xml:space="preserve"> hours per applicant to read, assemble, review, finalize and submit their application proposal package to HHS.</w:t>
      </w:r>
    </w:p>
    <w:p w:rsidR="00DA416F" w:rsidRPr="00BC76FE" w:rsidRDefault="00DA416F" w:rsidP="000924AF">
      <w:pPr>
        <w:rPr>
          <w:rFonts w:ascii="Palatino Linotype" w:hAnsi="Palatino Linotype"/>
          <w:sz w:val="22"/>
          <w:szCs w:val="22"/>
        </w:rPr>
      </w:pPr>
    </w:p>
    <w:p w:rsidR="00DA416F" w:rsidRPr="00BC76FE" w:rsidRDefault="00DA416F" w:rsidP="000924AF">
      <w:pPr>
        <w:rPr>
          <w:rFonts w:ascii="Palatino Linotype" w:hAnsi="Palatino Linotype"/>
          <w:sz w:val="22"/>
          <w:szCs w:val="22"/>
        </w:rPr>
      </w:pPr>
      <w:r w:rsidRPr="00BC76FE">
        <w:rPr>
          <w:rFonts w:ascii="Palatino Linotype" w:hAnsi="Palatino Linotype"/>
          <w:sz w:val="22"/>
          <w:szCs w:val="22"/>
        </w:rPr>
        <w:t xml:space="preserve">It is estimated that up to </w:t>
      </w:r>
      <w:r>
        <w:rPr>
          <w:rFonts w:ascii="Palatino Linotype" w:hAnsi="Palatino Linotype"/>
          <w:sz w:val="22"/>
          <w:szCs w:val="22"/>
        </w:rPr>
        <w:t>56</w:t>
      </w:r>
      <w:r w:rsidRPr="00BC76FE">
        <w:rPr>
          <w:rFonts w:ascii="Palatino Linotype" w:hAnsi="Palatino Linotype"/>
          <w:sz w:val="22"/>
          <w:szCs w:val="22"/>
        </w:rPr>
        <w:t xml:space="preserve"> responde</w:t>
      </w:r>
      <w:r>
        <w:rPr>
          <w:rFonts w:ascii="Palatino Linotype" w:hAnsi="Palatino Linotype"/>
          <w:sz w:val="22"/>
          <w:szCs w:val="22"/>
        </w:rPr>
        <w:t>nts will submit an application which is slightly higher than the number of respondents from Cycle I (51).</w:t>
      </w:r>
    </w:p>
    <w:p w:rsidR="00DA416F" w:rsidRPr="00BC76FE" w:rsidRDefault="00DA416F" w:rsidP="007713DB">
      <w:pPr>
        <w:rPr>
          <w:rFonts w:ascii="Palatino Linotype" w:hAnsi="Palatino Linotype"/>
          <w:b/>
          <w:sz w:val="22"/>
          <w:szCs w:val="22"/>
        </w:rPr>
      </w:pPr>
    </w:p>
    <w:p w:rsidR="00DA416F" w:rsidRPr="00BC76FE" w:rsidRDefault="00DA416F">
      <w:pPr>
        <w:numPr>
          <w:ilvl w:val="0"/>
          <w:numId w:val="1"/>
        </w:numPr>
        <w:rPr>
          <w:rFonts w:ascii="Palatino Linotype" w:hAnsi="Palatino Linotype"/>
          <w:b/>
          <w:sz w:val="22"/>
          <w:szCs w:val="22"/>
        </w:rPr>
      </w:pPr>
      <w:r w:rsidRPr="00BC76FE">
        <w:rPr>
          <w:rFonts w:ascii="Palatino Linotype" w:hAnsi="Palatino Linotype"/>
          <w:b/>
          <w:sz w:val="22"/>
          <w:szCs w:val="22"/>
          <w:u w:val="single"/>
        </w:rPr>
        <w:t>Estimates of other Total Annual Cost Burden to Respondents or Record Keepers /Capital Costs</w:t>
      </w:r>
    </w:p>
    <w:p w:rsidR="00DA416F" w:rsidRPr="00BC76FE" w:rsidRDefault="00DA416F" w:rsidP="001C6FFB">
      <w:pPr>
        <w:rPr>
          <w:rFonts w:ascii="Palatino Linotype" w:hAnsi="Palatino Linotype"/>
          <w:b/>
          <w:sz w:val="22"/>
          <w:szCs w:val="22"/>
        </w:rPr>
      </w:pPr>
    </w:p>
    <w:p w:rsidR="00DA416F" w:rsidRPr="00BC76FE" w:rsidRDefault="00DA416F" w:rsidP="00B1089D">
      <w:pPr>
        <w:ind w:left="360"/>
        <w:rPr>
          <w:rFonts w:ascii="Palatino Linotype" w:hAnsi="Palatino Linotype"/>
          <w:sz w:val="22"/>
          <w:szCs w:val="22"/>
        </w:rPr>
      </w:pPr>
      <w:r w:rsidRPr="00BC76FE">
        <w:rPr>
          <w:rFonts w:ascii="Palatino Linotype" w:hAnsi="Palatino Linotype"/>
          <w:sz w:val="22"/>
          <w:szCs w:val="22"/>
        </w:rPr>
        <w:t xml:space="preserve">There are no additional record keeping/capital costs. </w:t>
      </w:r>
    </w:p>
    <w:p w:rsidR="00DA416F" w:rsidRPr="00BC76FE" w:rsidRDefault="00DA416F">
      <w:pPr>
        <w:ind w:left="360"/>
        <w:rPr>
          <w:rFonts w:ascii="Palatino Linotype" w:hAnsi="Palatino Linotype"/>
          <w:sz w:val="22"/>
          <w:szCs w:val="22"/>
        </w:rPr>
      </w:pPr>
    </w:p>
    <w:p w:rsidR="00DA416F" w:rsidRPr="00BC76FE" w:rsidRDefault="00DA416F">
      <w:pPr>
        <w:numPr>
          <w:ilvl w:val="0"/>
          <w:numId w:val="1"/>
        </w:numPr>
        <w:rPr>
          <w:rFonts w:ascii="Palatino Linotype" w:hAnsi="Palatino Linotype"/>
          <w:b/>
          <w:sz w:val="22"/>
          <w:szCs w:val="22"/>
        </w:rPr>
      </w:pPr>
      <w:r w:rsidRPr="00BC76FE">
        <w:rPr>
          <w:rFonts w:ascii="Palatino Linotype" w:hAnsi="Palatino Linotype"/>
          <w:b/>
          <w:sz w:val="22"/>
          <w:szCs w:val="22"/>
          <w:u w:val="single"/>
        </w:rPr>
        <w:t>Annualized Cost to Federal Government</w:t>
      </w:r>
    </w:p>
    <w:p w:rsidR="00DA416F" w:rsidRDefault="00DA416F">
      <w:pPr>
        <w:ind w:left="720"/>
        <w:rPr>
          <w:rFonts w:ascii="Palatino Linotype" w:hAnsi="Palatino Linotype"/>
          <w:sz w:val="22"/>
          <w:szCs w:val="22"/>
        </w:rPr>
      </w:pPr>
    </w:p>
    <w:p w:rsidR="00DA416F" w:rsidRDefault="00DA416F">
      <w:pPr>
        <w:ind w:left="360"/>
        <w:rPr>
          <w:rFonts w:ascii="Palatino Linotype" w:hAnsi="Palatino Linotype"/>
          <w:sz w:val="22"/>
          <w:szCs w:val="22"/>
        </w:rPr>
      </w:pPr>
      <w:r>
        <w:rPr>
          <w:rFonts w:ascii="Palatino Linotype" w:hAnsi="Palatino Linotype"/>
          <w:sz w:val="22"/>
          <w:szCs w:val="22"/>
        </w:rPr>
        <w:t xml:space="preserve">Annual grant awards for Cycle I awardees total $51 million </w:t>
      </w:r>
    </w:p>
    <w:p w:rsidR="00DA416F" w:rsidRDefault="00DA416F">
      <w:pPr>
        <w:ind w:left="360"/>
        <w:rPr>
          <w:rFonts w:ascii="Palatino Linotype" w:hAnsi="Palatino Linotype"/>
          <w:sz w:val="22"/>
          <w:szCs w:val="22"/>
        </w:rPr>
      </w:pPr>
      <w:r>
        <w:rPr>
          <w:rFonts w:ascii="Palatino Linotype" w:hAnsi="Palatino Linotype"/>
          <w:sz w:val="22"/>
          <w:szCs w:val="22"/>
        </w:rPr>
        <w:t xml:space="preserve">Annual grant awards for Cycle II awardees are estimated to be $149 million </w:t>
      </w:r>
    </w:p>
    <w:p w:rsidR="00DA416F" w:rsidRDefault="00DA416F">
      <w:pPr>
        <w:ind w:left="360"/>
        <w:rPr>
          <w:rFonts w:ascii="Palatino Linotype" w:hAnsi="Palatino Linotype"/>
          <w:sz w:val="22"/>
          <w:szCs w:val="22"/>
        </w:rPr>
      </w:pPr>
    </w:p>
    <w:p w:rsidR="00DA416F" w:rsidRDefault="00DA416F">
      <w:pPr>
        <w:ind w:left="360"/>
        <w:rPr>
          <w:rFonts w:ascii="Palatino Linotype" w:hAnsi="Palatino Linotype"/>
          <w:sz w:val="22"/>
          <w:szCs w:val="22"/>
        </w:rPr>
      </w:pPr>
      <w:r>
        <w:rPr>
          <w:rFonts w:ascii="Palatino Linotype" w:hAnsi="Palatino Linotype"/>
          <w:sz w:val="22"/>
          <w:szCs w:val="22"/>
        </w:rPr>
        <w:t>Total government program staffing costs include two GS-13s and two GS-9 with a break down as follows to intake and track applications, provide technical assistance with applicants, review and process applications, intake and review quarterly, annual and final reports  and data analysis for 107 awardees.</w:t>
      </w:r>
    </w:p>
    <w:p w:rsidR="00DA416F" w:rsidRDefault="00DA416F" w:rsidP="00151B67">
      <w:pPr>
        <w:rPr>
          <w:rFonts w:ascii="Palatino Linotype" w:hAnsi="Palatino Linotype"/>
          <w:sz w:val="22"/>
          <w:szCs w:val="22"/>
        </w:rPr>
      </w:pPr>
    </w:p>
    <w:p w:rsidR="00DA416F" w:rsidRDefault="00DA416F" w:rsidP="00366DA1">
      <w:pPr>
        <w:pStyle w:val="BodyTextIndent"/>
        <w:ind w:left="0" w:firstLine="360"/>
        <w:rPr>
          <w:rFonts w:ascii="Palatino Linotype" w:hAnsi="Palatino Linotype"/>
          <w:sz w:val="22"/>
          <w:szCs w:val="22"/>
        </w:rPr>
      </w:pPr>
      <w:r>
        <w:rPr>
          <w:rFonts w:ascii="Palatino Linotype" w:hAnsi="Palatino Linotype"/>
          <w:sz w:val="22"/>
          <w:szCs w:val="22"/>
        </w:rPr>
        <w:t xml:space="preserve">GS-13 data analyst:  hourly rate $42.66 at 15 hours a week:  </w:t>
      </w:r>
      <w:r>
        <w:rPr>
          <w:rFonts w:ascii="Palatino Linotype" w:hAnsi="Palatino Linotype"/>
          <w:sz w:val="22"/>
          <w:szCs w:val="22"/>
        </w:rPr>
        <w:tab/>
        <w:t xml:space="preserve">Annual cost:  $33,275 </w:t>
      </w:r>
    </w:p>
    <w:p w:rsidR="00DA416F" w:rsidRDefault="00DA416F" w:rsidP="00366DA1">
      <w:pPr>
        <w:pStyle w:val="BodyTextIndent"/>
        <w:ind w:left="0" w:firstLine="360"/>
        <w:rPr>
          <w:rFonts w:ascii="Palatino Linotype" w:hAnsi="Palatino Linotype"/>
          <w:sz w:val="22"/>
          <w:szCs w:val="22"/>
        </w:rPr>
      </w:pPr>
      <w:r>
        <w:rPr>
          <w:rFonts w:ascii="Palatino Linotype" w:hAnsi="Palatino Linotype"/>
          <w:sz w:val="22"/>
          <w:szCs w:val="22"/>
        </w:rPr>
        <w:t>GS-13: hourly rate $44.08 at 35 hours a week:</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Annual cost:  $80,225</w:t>
      </w:r>
    </w:p>
    <w:p w:rsidR="00DA416F" w:rsidRDefault="00DA416F" w:rsidP="00366DA1">
      <w:pPr>
        <w:pStyle w:val="BodyTextIndent"/>
        <w:ind w:left="0" w:firstLine="360"/>
        <w:rPr>
          <w:rFonts w:ascii="Palatino Linotype" w:hAnsi="Palatino Linotype"/>
          <w:sz w:val="22"/>
          <w:szCs w:val="22"/>
        </w:rPr>
      </w:pPr>
      <w:r>
        <w:rPr>
          <w:rFonts w:ascii="Palatino Linotype" w:hAnsi="Palatino Linotype"/>
          <w:sz w:val="22"/>
          <w:szCs w:val="22"/>
        </w:rPr>
        <w:t>GS -9:  hourly rate $24.74 at 35 hours a week:</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Annual cost:  $45,027</w:t>
      </w:r>
    </w:p>
    <w:p w:rsidR="00DA416F" w:rsidRDefault="00DA416F" w:rsidP="00366DA1">
      <w:pPr>
        <w:pStyle w:val="BodyTextIndent"/>
        <w:ind w:left="0" w:firstLine="360"/>
        <w:rPr>
          <w:rFonts w:ascii="Palatino Linotype" w:hAnsi="Palatino Linotype"/>
          <w:sz w:val="22"/>
          <w:szCs w:val="22"/>
        </w:rPr>
      </w:pPr>
      <w:r>
        <w:rPr>
          <w:rFonts w:ascii="Palatino Linotype" w:hAnsi="Palatino Linotype"/>
          <w:sz w:val="22"/>
          <w:szCs w:val="22"/>
        </w:rPr>
        <w:t>GS-9:   hourly rate $24.74 at 35 hours a week:</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Annual cost:  $45,027</w:t>
      </w:r>
    </w:p>
    <w:p w:rsidR="00DA416F" w:rsidRDefault="00DA416F" w:rsidP="00366DA1">
      <w:pPr>
        <w:pStyle w:val="BodyTextIndent"/>
        <w:ind w:left="0" w:firstLine="360"/>
        <w:rPr>
          <w:rFonts w:ascii="Palatino Linotype" w:hAnsi="Palatino Linotype"/>
          <w:sz w:val="22"/>
          <w:szCs w:val="22"/>
        </w:rPr>
      </w:pPr>
    </w:p>
    <w:p w:rsidR="00DA416F" w:rsidRPr="007450D1" w:rsidRDefault="00DA416F" w:rsidP="00366DA1">
      <w:pPr>
        <w:pStyle w:val="BodyTextIndent"/>
        <w:ind w:left="0" w:firstLine="360"/>
        <w:rPr>
          <w:rFonts w:ascii="Palatino Linotype" w:hAnsi="Palatino Linotype"/>
          <w:b/>
          <w:sz w:val="22"/>
          <w:szCs w:val="22"/>
        </w:rPr>
      </w:pP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Pr="007450D1">
        <w:rPr>
          <w:rFonts w:ascii="Palatino Linotype" w:hAnsi="Palatino Linotype"/>
          <w:b/>
          <w:sz w:val="22"/>
          <w:szCs w:val="22"/>
        </w:rPr>
        <w:t>Total:</w:t>
      </w:r>
      <w:r w:rsidRPr="007450D1">
        <w:rPr>
          <w:rFonts w:ascii="Palatino Linotype" w:hAnsi="Palatino Linotype"/>
          <w:b/>
          <w:sz w:val="22"/>
          <w:szCs w:val="22"/>
        </w:rPr>
        <w:tab/>
        <w:t>$203,554</w:t>
      </w:r>
    </w:p>
    <w:p w:rsidR="00DA416F" w:rsidRPr="00BC76FE" w:rsidRDefault="00DA416F" w:rsidP="003E3F6F">
      <w:pPr>
        <w:pStyle w:val="BodyTextIndent"/>
        <w:ind w:left="0" w:firstLine="360"/>
        <w:rPr>
          <w:rFonts w:ascii="Palatino Linotype" w:hAnsi="Palatino Linotype"/>
          <w:sz w:val="22"/>
          <w:szCs w:val="22"/>
        </w:rPr>
      </w:pPr>
    </w:p>
    <w:p w:rsidR="00DA416F" w:rsidRPr="00BC76FE" w:rsidRDefault="00DA416F" w:rsidP="002E5FF1">
      <w:pPr>
        <w:numPr>
          <w:ilvl w:val="0"/>
          <w:numId w:val="1"/>
        </w:numPr>
        <w:rPr>
          <w:rFonts w:ascii="Palatino Linotype" w:hAnsi="Palatino Linotype"/>
          <w:b/>
          <w:sz w:val="22"/>
          <w:szCs w:val="22"/>
        </w:rPr>
      </w:pPr>
      <w:r w:rsidRPr="00BC76FE">
        <w:rPr>
          <w:rFonts w:ascii="Palatino Linotype" w:hAnsi="Palatino Linotype"/>
          <w:b/>
          <w:sz w:val="22"/>
          <w:szCs w:val="22"/>
          <w:u w:val="single"/>
        </w:rPr>
        <w:t>Explanation for Program Changes or Adjustments</w:t>
      </w:r>
    </w:p>
    <w:p w:rsidR="00DA416F" w:rsidRDefault="00DA416F">
      <w:pPr>
        <w:rPr>
          <w:rFonts w:ascii="Palatino Linotype" w:hAnsi="Palatino Linotype"/>
          <w:b/>
          <w:sz w:val="22"/>
          <w:szCs w:val="22"/>
        </w:rPr>
      </w:pPr>
    </w:p>
    <w:p w:rsidR="00DA416F" w:rsidRDefault="00DA416F" w:rsidP="000D118E">
      <w:pPr>
        <w:rPr>
          <w:rFonts w:ascii="Palatino Linotype" w:hAnsi="Palatino Linotype"/>
          <w:sz w:val="22"/>
          <w:szCs w:val="22"/>
        </w:rPr>
      </w:pPr>
      <w:r>
        <w:rPr>
          <w:rFonts w:ascii="Palatino Linotype" w:hAnsi="Palatino Linotype"/>
          <w:sz w:val="22"/>
          <w:szCs w:val="22"/>
        </w:rPr>
        <w:t xml:space="preserve">The reason for the Program Changes or adjustments are due to the data collection needs for Cycle I grant awardees, including an update to the number of Cycle I applicants to correspond with the actual number of States and territories that applied and received grant awards and the associated burden for those 51 Cycle I participating States and territories in preparing and submitting quarterly reports and final reports.  Similarly, we are revising the estimated burden for Cycle II applicants and potential grantees to correspond with the total possible number of applicants and their associated burden of applying, and preparing and submitting quarterly reports and final reports.  </w:t>
      </w:r>
    </w:p>
    <w:p w:rsidR="00DA416F" w:rsidRPr="00BC76FE" w:rsidRDefault="00DA416F" w:rsidP="000D118E">
      <w:pPr>
        <w:rPr>
          <w:rFonts w:ascii="Palatino Linotype" w:hAnsi="Palatino Linotype"/>
          <w:sz w:val="22"/>
          <w:szCs w:val="22"/>
        </w:rPr>
      </w:pPr>
    </w:p>
    <w:p w:rsidR="00DA416F" w:rsidRPr="00BC76FE" w:rsidRDefault="00DA416F">
      <w:pPr>
        <w:numPr>
          <w:ilvl w:val="0"/>
          <w:numId w:val="1"/>
        </w:numPr>
        <w:rPr>
          <w:rFonts w:ascii="Palatino Linotype" w:hAnsi="Palatino Linotype"/>
          <w:b/>
          <w:sz w:val="22"/>
          <w:szCs w:val="22"/>
        </w:rPr>
      </w:pPr>
      <w:r w:rsidRPr="00BC76FE">
        <w:rPr>
          <w:rFonts w:ascii="Palatino Linotype" w:hAnsi="Palatino Linotype"/>
          <w:b/>
          <w:sz w:val="22"/>
          <w:szCs w:val="22"/>
          <w:u w:val="single"/>
        </w:rPr>
        <w:t>Plans for Tabulation and Publication and Project Time Schedule</w:t>
      </w:r>
    </w:p>
    <w:p w:rsidR="00DA416F" w:rsidRPr="00BC76FE" w:rsidRDefault="00DA416F" w:rsidP="00066F0E">
      <w:pPr>
        <w:rPr>
          <w:rFonts w:ascii="Palatino Linotype" w:hAnsi="Palatino Linotype"/>
          <w:b/>
          <w:sz w:val="22"/>
          <w:szCs w:val="22"/>
        </w:rPr>
      </w:pPr>
    </w:p>
    <w:p w:rsidR="00DA416F" w:rsidRPr="00BC76FE" w:rsidRDefault="00DA416F" w:rsidP="00B1089D">
      <w:pPr>
        <w:ind w:left="360"/>
        <w:rPr>
          <w:rFonts w:ascii="Palatino Linotype" w:hAnsi="Palatino Linotype"/>
          <w:sz w:val="22"/>
          <w:szCs w:val="22"/>
        </w:rPr>
      </w:pPr>
      <w:r w:rsidRPr="00BC76FE">
        <w:rPr>
          <w:rFonts w:ascii="Palatino Linotype" w:hAnsi="Palatino Linotype"/>
          <w:sz w:val="22"/>
          <w:szCs w:val="22"/>
        </w:rPr>
        <w:t xml:space="preserve">The grant applications will be received by HHS no later than </w:t>
      </w:r>
      <w:r>
        <w:rPr>
          <w:rFonts w:ascii="Palatino Linotype" w:hAnsi="Palatino Linotype"/>
          <w:sz w:val="22"/>
          <w:szCs w:val="22"/>
        </w:rPr>
        <w:t>August, 2011</w:t>
      </w:r>
      <w:r w:rsidRPr="00BC76FE">
        <w:rPr>
          <w:rFonts w:ascii="Palatino Linotype" w:hAnsi="Palatino Linotype"/>
          <w:sz w:val="22"/>
          <w:szCs w:val="22"/>
        </w:rPr>
        <w:t xml:space="preserve">.  Grant awards will be made </w:t>
      </w:r>
      <w:r>
        <w:rPr>
          <w:rFonts w:ascii="Palatino Linotype" w:hAnsi="Palatino Linotype"/>
          <w:sz w:val="22"/>
          <w:szCs w:val="22"/>
        </w:rPr>
        <w:t>45 days after the applications are due.</w:t>
      </w:r>
    </w:p>
    <w:p w:rsidR="00DA416F" w:rsidRPr="00BC76FE" w:rsidRDefault="00DA416F" w:rsidP="000C637D">
      <w:pPr>
        <w:rPr>
          <w:rFonts w:ascii="Palatino Linotype" w:hAnsi="Palatino Linotype"/>
          <w:sz w:val="22"/>
          <w:szCs w:val="22"/>
        </w:rPr>
      </w:pPr>
    </w:p>
    <w:p w:rsidR="00DA416F" w:rsidRPr="00BC76FE" w:rsidRDefault="00DA416F">
      <w:pPr>
        <w:numPr>
          <w:ilvl w:val="0"/>
          <w:numId w:val="1"/>
        </w:numPr>
        <w:rPr>
          <w:rFonts w:ascii="Palatino Linotype" w:hAnsi="Palatino Linotype"/>
          <w:b/>
          <w:sz w:val="22"/>
          <w:szCs w:val="22"/>
        </w:rPr>
      </w:pPr>
      <w:r w:rsidRPr="00BC76FE">
        <w:rPr>
          <w:rFonts w:ascii="Palatino Linotype" w:hAnsi="Palatino Linotype"/>
          <w:b/>
          <w:sz w:val="22"/>
          <w:szCs w:val="22"/>
          <w:u w:val="single"/>
        </w:rPr>
        <w:t>Reason(s) Display of OMB Expiration Date is Inappropriate</w:t>
      </w:r>
    </w:p>
    <w:p w:rsidR="00DA416F" w:rsidRPr="00BC76FE" w:rsidRDefault="00DA416F" w:rsidP="001C6FFB">
      <w:pPr>
        <w:pStyle w:val="BodyTextIndent"/>
        <w:rPr>
          <w:rFonts w:ascii="Palatino Linotype" w:hAnsi="Palatino Linotype"/>
          <w:sz w:val="22"/>
          <w:szCs w:val="22"/>
        </w:rPr>
      </w:pPr>
    </w:p>
    <w:p w:rsidR="00DA416F" w:rsidRPr="00BC76FE" w:rsidRDefault="00DA416F" w:rsidP="00B1089D">
      <w:pPr>
        <w:pStyle w:val="BodyTextIndent"/>
        <w:ind w:left="360"/>
        <w:rPr>
          <w:rFonts w:ascii="Palatino Linotype" w:hAnsi="Palatino Linotype"/>
          <w:sz w:val="22"/>
          <w:szCs w:val="22"/>
        </w:rPr>
      </w:pPr>
      <w:r w:rsidRPr="00BC76FE">
        <w:rPr>
          <w:rFonts w:ascii="Palatino Linotype" w:hAnsi="Palatino Linotype"/>
          <w:sz w:val="22"/>
          <w:szCs w:val="22"/>
        </w:rPr>
        <w:t xml:space="preserve">Not applicable. </w:t>
      </w:r>
      <w:r>
        <w:rPr>
          <w:rFonts w:ascii="Palatino Linotype" w:hAnsi="Palatino Linotype"/>
          <w:sz w:val="22"/>
          <w:szCs w:val="22"/>
        </w:rPr>
        <w:t xml:space="preserve"> </w:t>
      </w:r>
      <w:r w:rsidRPr="00BC76FE">
        <w:rPr>
          <w:rFonts w:ascii="Palatino Linotype" w:hAnsi="Palatino Linotype"/>
          <w:sz w:val="22"/>
          <w:szCs w:val="22"/>
        </w:rPr>
        <w:t>We plan to include an expiration date once assigned an OMB number.</w:t>
      </w:r>
    </w:p>
    <w:p w:rsidR="00DA416F" w:rsidRPr="00BC76FE" w:rsidRDefault="00DA416F">
      <w:pPr>
        <w:ind w:left="360"/>
        <w:rPr>
          <w:rFonts w:ascii="Palatino Linotype" w:hAnsi="Palatino Linotype"/>
          <w:sz w:val="22"/>
          <w:szCs w:val="22"/>
        </w:rPr>
      </w:pPr>
    </w:p>
    <w:p w:rsidR="00DA416F" w:rsidRPr="00BC76FE" w:rsidRDefault="00DA416F">
      <w:pPr>
        <w:numPr>
          <w:ilvl w:val="0"/>
          <w:numId w:val="1"/>
        </w:numPr>
        <w:rPr>
          <w:rFonts w:ascii="Palatino Linotype" w:hAnsi="Palatino Linotype"/>
          <w:b/>
          <w:sz w:val="22"/>
          <w:szCs w:val="22"/>
        </w:rPr>
      </w:pPr>
      <w:r w:rsidRPr="00BC76FE">
        <w:rPr>
          <w:rFonts w:ascii="Palatino Linotype" w:hAnsi="Palatino Linotype"/>
          <w:b/>
          <w:sz w:val="22"/>
          <w:szCs w:val="22"/>
          <w:u w:val="single"/>
        </w:rPr>
        <w:t>Exceptions to Certification for Paperwork Reduction Act Submissions</w:t>
      </w:r>
    </w:p>
    <w:p w:rsidR="00DA416F" w:rsidRPr="00BC76FE" w:rsidRDefault="00DA416F" w:rsidP="001C6FFB">
      <w:pPr>
        <w:pStyle w:val="BodyTextIndent"/>
        <w:rPr>
          <w:rFonts w:ascii="Palatino Linotype" w:hAnsi="Palatino Linotype"/>
          <w:sz w:val="22"/>
          <w:szCs w:val="22"/>
        </w:rPr>
      </w:pPr>
    </w:p>
    <w:p w:rsidR="00DA416F" w:rsidRPr="00BC76FE" w:rsidRDefault="00DA416F" w:rsidP="00B1089D">
      <w:pPr>
        <w:pStyle w:val="BodyTextIndent"/>
        <w:ind w:left="360"/>
        <w:rPr>
          <w:rFonts w:ascii="Palatino Linotype" w:hAnsi="Palatino Linotype"/>
          <w:sz w:val="22"/>
          <w:szCs w:val="22"/>
        </w:rPr>
      </w:pPr>
      <w:r w:rsidRPr="00BC76FE">
        <w:rPr>
          <w:rFonts w:ascii="Palatino Linotype" w:hAnsi="Palatino Linotype"/>
          <w:sz w:val="22"/>
          <w:szCs w:val="22"/>
        </w:rPr>
        <w:t>There are no exceptions to the certification.</w:t>
      </w:r>
    </w:p>
    <w:p w:rsidR="00DA416F" w:rsidRPr="00BC76FE" w:rsidRDefault="00DA416F">
      <w:pPr>
        <w:rPr>
          <w:rFonts w:ascii="Palatino Linotype" w:hAnsi="Palatino Linotype"/>
          <w:sz w:val="22"/>
          <w:szCs w:val="22"/>
        </w:rPr>
      </w:pPr>
    </w:p>
    <w:p w:rsidR="00DA416F" w:rsidRPr="00BC76FE" w:rsidRDefault="00DA416F" w:rsidP="00BE6542">
      <w:pPr>
        <w:pStyle w:val="Heading1"/>
        <w:rPr>
          <w:rFonts w:ascii="Palatino Linotype" w:hAnsi="Palatino Linotype"/>
          <w:sz w:val="22"/>
          <w:szCs w:val="22"/>
        </w:rPr>
      </w:pPr>
      <w:r w:rsidRPr="00BC76FE">
        <w:rPr>
          <w:rFonts w:ascii="Palatino Linotype" w:hAnsi="Palatino Linotype"/>
          <w:sz w:val="22"/>
          <w:szCs w:val="22"/>
        </w:rPr>
        <w:t xml:space="preserve">B.  </w:t>
      </w:r>
      <w:r w:rsidRPr="00BC76FE">
        <w:rPr>
          <w:rFonts w:ascii="Palatino Linotype" w:hAnsi="Palatino Linotype"/>
          <w:sz w:val="22"/>
          <w:szCs w:val="22"/>
          <w:u w:val="single"/>
        </w:rPr>
        <w:t>Collection of Information Employing Statistical Methods</w:t>
      </w:r>
      <w:r w:rsidRPr="00BC76FE">
        <w:rPr>
          <w:rFonts w:ascii="Palatino Linotype" w:hAnsi="Palatino Linotype"/>
          <w:sz w:val="22"/>
          <w:szCs w:val="22"/>
        </w:rPr>
        <w:t xml:space="preserve"> </w:t>
      </w:r>
    </w:p>
    <w:p w:rsidR="00DA416F" w:rsidRPr="00BC76FE" w:rsidRDefault="00DA416F" w:rsidP="00CF1620">
      <w:pPr>
        <w:pStyle w:val="Heading1"/>
        <w:rPr>
          <w:rFonts w:ascii="Palatino Linotype" w:hAnsi="Palatino Linotype"/>
          <w:sz w:val="22"/>
          <w:szCs w:val="22"/>
        </w:rPr>
      </w:pPr>
    </w:p>
    <w:p w:rsidR="00DA416F" w:rsidRPr="00BC76FE" w:rsidRDefault="00DA416F" w:rsidP="0016014D">
      <w:pPr>
        <w:rPr>
          <w:rFonts w:ascii="Palatino Linotype" w:hAnsi="Palatino Linotype"/>
          <w:sz w:val="22"/>
          <w:szCs w:val="22"/>
        </w:rPr>
      </w:pPr>
      <w:r w:rsidRPr="00BC76FE">
        <w:rPr>
          <w:rFonts w:ascii="Palatino Linotype" w:hAnsi="Palatino Linotype"/>
          <w:sz w:val="22"/>
          <w:szCs w:val="22"/>
        </w:rPr>
        <w:t xml:space="preserve">      Not applicable.  The information collection does not employ statistical methods. </w:t>
      </w:r>
    </w:p>
    <w:p w:rsidR="00DA416F" w:rsidRPr="00BC76FE" w:rsidRDefault="00DA416F" w:rsidP="00204D46">
      <w:pPr>
        <w:pStyle w:val="TOCHeading2"/>
        <w:rPr>
          <w:rFonts w:ascii="Palatino Linotype" w:hAnsi="Palatino Linotype"/>
          <w:sz w:val="22"/>
          <w:szCs w:val="22"/>
        </w:rPr>
      </w:pPr>
    </w:p>
    <w:sectPr w:rsidR="00DA416F" w:rsidRPr="00BC76FE" w:rsidSect="00B67178">
      <w:footerReference w:type="default" r:id="rId8"/>
      <w:endnotePr>
        <w:numFmt w:val="decimal"/>
      </w:endnotePr>
      <w:type w:val="continuous"/>
      <w:pgSz w:w="12240" w:h="15840"/>
      <w:pgMar w:top="1440" w:right="1440" w:bottom="144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16F" w:rsidRDefault="00DA416F">
      <w:r>
        <w:separator/>
      </w:r>
    </w:p>
  </w:endnote>
  <w:endnote w:type="continuationSeparator" w:id="0">
    <w:p w:rsidR="00DA416F" w:rsidRDefault="00DA416F">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skerville Old Face">
    <w:altName w:val="Times New Roman"/>
    <w:panose1 w:val="02020602080505020303"/>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16F" w:rsidRDefault="00DA416F">
    <w:pPr>
      <w:spacing w:line="240" w:lineRule="exact"/>
    </w:pPr>
  </w:p>
  <w:p w:rsidR="00DA416F" w:rsidRDefault="0091745F">
    <w:pPr>
      <w:framePr w:w="9361" w:wrap="notBeside" w:vAnchor="text" w:hAnchor="text" w:x="1" w:y="1"/>
      <w:jc w:val="center"/>
      <w:rPr>
        <w:sz w:val="24"/>
      </w:rPr>
    </w:pPr>
    <w:r>
      <w:rPr>
        <w:sz w:val="24"/>
      </w:rPr>
      <w:fldChar w:fldCharType="begin"/>
    </w:r>
    <w:r w:rsidR="00DA416F">
      <w:rPr>
        <w:sz w:val="24"/>
      </w:rPr>
      <w:instrText xml:space="preserve">PAGE </w:instrText>
    </w:r>
    <w:r>
      <w:rPr>
        <w:sz w:val="24"/>
      </w:rPr>
      <w:fldChar w:fldCharType="separate"/>
    </w:r>
    <w:r w:rsidR="008E0599">
      <w:rPr>
        <w:noProof/>
        <w:sz w:val="24"/>
      </w:rPr>
      <w:t>10</w:t>
    </w:r>
    <w:r>
      <w:rPr>
        <w:sz w:val="24"/>
      </w:rPr>
      <w:fldChar w:fldCharType="end"/>
    </w:r>
  </w:p>
  <w:p w:rsidR="00DA416F" w:rsidRDefault="00DA416F">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16F" w:rsidRDefault="00DA416F">
      <w:r>
        <w:separator/>
      </w:r>
    </w:p>
  </w:footnote>
  <w:footnote w:type="continuationSeparator" w:id="0">
    <w:p w:rsidR="00DA416F" w:rsidRDefault="00DA416F">
      <w:r>
        <w:continuationSeparator/>
      </w:r>
    </w:p>
  </w:footnote>
  <w:footnote w:id="1">
    <w:p w:rsidR="00DA416F" w:rsidRDefault="00DA416F">
      <w:pPr>
        <w:pStyle w:val="FootnoteText"/>
      </w:pPr>
      <w:r w:rsidRPr="00C2723A">
        <w:t>(</w:t>
      </w:r>
      <w:r w:rsidRPr="00C2723A">
        <w:rPr>
          <w:rStyle w:val="FootnoteReference"/>
        </w:rPr>
        <w:footnoteRef/>
      </w:r>
      <w:r w:rsidRPr="00C2723A">
        <w:t xml:space="preserve">) </w:t>
      </w:r>
      <w:r w:rsidRPr="00C2723A">
        <w:rPr>
          <w:rFonts w:ascii="Calibri" w:hAnsi="Calibri"/>
        </w:rPr>
        <w:t xml:space="preserve">Source Wages: NAIC 2009 Resource Guide provided range for State employees.  The wage per hour is taken from the </w:t>
      </w:r>
      <w:hyperlink r:id="rId1" w:history="1">
        <w:r w:rsidRPr="00C2723A">
          <w:rPr>
            <w:rStyle w:val="Hyperlink"/>
            <w:rFonts w:ascii="Calibri" w:hAnsi="Calibri"/>
          </w:rPr>
          <w:t>OPM Washington, DC GS</w:t>
        </w:r>
      </w:hyperlink>
      <w:r w:rsidRPr="00C2723A">
        <w:rPr>
          <w:rFonts w:ascii="Calibri" w:hAnsi="Calibri"/>
        </w:rPr>
        <w:t xml:space="preserve"> scale for (1) GS 14-Step 1 (Supervisor); (1) GS 12- Step 1 (Programmer) and (1) GS 13-Step 4 (Writer).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lowerLetter"/>
      <w:pStyle w:val="Level1"/>
      <w:lvlText w:val="%1."/>
      <w:lvlJc w:val="left"/>
      <w:pPr>
        <w:tabs>
          <w:tab w:val="num" w:pos="720"/>
        </w:tabs>
        <w:ind w:left="720" w:hanging="720"/>
      </w:pPr>
      <w:rPr>
        <w:rFonts w:ascii="CG Times" w:hAnsi="CG Times" w:cs="Times New Roman"/>
        <w:sz w:val="26"/>
        <w:szCs w:val="26"/>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175209F"/>
    <w:multiLevelType w:val="hybridMultilevel"/>
    <w:tmpl w:val="6D4EC28C"/>
    <w:lvl w:ilvl="0" w:tplc="39A49706">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1D565DE"/>
    <w:multiLevelType w:val="hybridMultilevel"/>
    <w:tmpl w:val="7ED073A2"/>
    <w:lvl w:ilvl="0" w:tplc="39A49706">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7255431"/>
    <w:multiLevelType w:val="hybridMultilevel"/>
    <w:tmpl w:val="2B12A1CA"/>
    <w:lvl w:ilvl="0" w:tplc="39A49706">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8542150"/>
    <w:multiLevelType w:val="hybridMultilevel"/>
    <w:tmpl w:val="4C62AD7C"/>
    <w:lvl w:ilvl="0" w:tplc="39A49706">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AD0028C"/>
    <w:multiLevelType w:val="hybridMultilevel"/>
    <w:tmpl w:val="AA96EE4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1761249"/>
    <w:multiLevelType w:val="hybridMultilevel"/>
    <w:tmpl w:val="5882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B04010"/>
    <w:multiLevelType w:val="hybridMultilevel"/>
    <w:tmpl w:val="F064C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9033C5"/>
    <w:multiLevelType w:val="hybridMultilevel"/>
    <w:tmpl w:val="AED24044"/>
    <w:lvl w:ilvl="0" w:tplc="39A49706">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B107287"/>
    <w:multiLevelType w:val="hybridMultilevel"/>
    <w:tmpl w:val="01B2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FD344C"/>
    <w:multiLevelType w:val="hybridMultilevel"/>
    <w:tmpl w:val="091CEB36"/>
    <w:lvl w:ilvl="0" w:tplc="39A49706">
      <w:start w:val="1"/>
      <w:numFmt w:val="bullet"/>
      <w:lvlText w:val=""/>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2EAC3668"/>
    <w:multiLevelType w:val="hybridMultilevel"/>
    <w:tmpl w:val="E8A4725A"/>
    <w:lvl w:ilvl="0" w:tplc="39A49706">
      <w:start w:val="1"/>
      <w:numFmt w:val="bullet"/>
      <w:lvlText w:val=""/>
      <w:lvlJc w:val="left"/>
      <w:pPr>
        <w:tabs>
          <w:tab w:val="num" w:pos="1800"/>
        </w:tabs>
        <w:ind w:left="1800" w:hanging="360"/>
      </w:pPr>
      <w:rPr>
        <w:rFonts w:ascii="Symbol" w:hAnsi="Symbol" w:hint="default"/>
        <w:color w:val="auto"/>
        <w:sz w:val="22"/>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2">
    <w:nsid w:val="31775AFC"/>
    <w:multiLevelType w:val="multilevel"/>
    <w:tmpl w:val="7976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18153FD"/>
    <w:multiLevelType w:val="hybridMultilevel"/>
    <w:tmpl w:val="BA26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E7272"/>
    <w:multiLevelType w:val="hybridMultilevel"/>
    <w:tmpl w:val="92DA48D4"/>
    <w:lvl w:ilvl="0" w:tplc="39A49706">
      <w:start w:val="1"/>
      <w:numFmt w:val="bullet"/>
      <w:lvlText w:val=""/>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46A663F"/>
    <w:multiLevelType w:val="multilevel"/>
    <w:tmpl w:val="8ED87E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494D6475"/>
    <w:multiLevelType w:val="multilevel"/>
    <w:tmpl w:val="3D985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A1D7109"/>
    <w:multiLevelType w:val="hybridMultilevel"/>
    <w:tmpl w:val="22162BC6"/>
    <w:lvl w:ilvl="0" w:tplc="0BF2B5AE">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cs="Times New Roman" w:hint="default"/>
      </w:rPr>
    </w:lvl>
    <w:lvl w:ilvl="5" w:tplc="0409001B">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8">
    <w:nsid w:val="5E0B17C2"/>
    <w:multiLevelType w:val="hybridMultilevel"/>
    <w:tmpl w:val="9F18CCA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5E231E93"/>
    <w:multiLevelType w:val="multilevel"/>
    <w:tmpl w:val="26E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01542D6"/>
    <w:multiLevelType w:val="hybridMultilevel"/>
    <w:tmpl w:val="B994EBC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nsid w:val="628A0C83"/>
    <w:multiLevelType w:val="hybridMultilevel"/>
    <w:tmpl w:val="5FC44000"/>
    <w:lvl w:ilvl="0" w:tplc="0409000F">
      <w:start w:val="1"/>
      <w:numFmt w:val="decimal"/>
      <w:lvlText w:val="%1."/>
      <w:lvlJc w:val="left"/>
      <w:pPr>
        <w:tabs>
          <w:tab w:val="num" w:pos="720"/>
        </w:tabs>
        <w:ind w:left="72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6D005E66"/>
    <w:multiLevelType w:val="multilevel"/>
    <w:tmpl w:val="547C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E020CC7"/>
    <w:multiLevelType w:val="hybridMultilevel"/>
    <w:tmpl w:val="B2D2B590"/>
    <w:lvl w:ilvl="0" w:tplc="39A49706">
      <w:start w:val="1"/>
      <w:numFmt w:val="bullet"/>
      <w:lvlText w:val=""/>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765903BE"/>
    <w:multiLevelType w:val="hybridMultilevel"/>
    <w:tmpl w:val="84B49134"/>
    <w:lvl w:ilvl="0" w:tplc="1310D460">
      <w:start w:val="1"/>
      <w:numFmt w:val="bullet"/>
      <w:pStyle w:val="BodyBulletA"/>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F6E0B3A2">
      <w:start w:val="1"/>
      <w:numFmt w:val="bullet"/>
      <w:pStyle w:val="BodyBulletB"/>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68F2BE3"/>
    <w:multiLevelType w:val="hybridMultilevel"/>
    <w:tmpl w:val="9EF80CF2"/>
    <w:lvl w:ilvl="0" w:tplc="39A49706">
      <w:start w:val="1"/>
      <w:numFmt w:val="bullet"/>
      <w:lvlText w:val=""/>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77C75FED"/>
    <w:multiLevelType w:val="hybridMultilevel"/>
    <w:tmpl w:val="935E01A2"/>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4"/>
  </w:num>
  <w:num w:numId="3">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3"/>
  </w:num>
  <w:num w:numId="6">
    <w:abstractNumId w:val="2"/>
  </w:num>
  <w:num w:numId="7">
    <w:abstractNumId w:val="8"/>
  </w:num>
  <w:num w:numId="8">
    <w:abstractNumId w:val="5"/>
  </w:num>
  <w:num w:numId="9">
    <w:abstractNumId w:val="1"/>
  </w:num>
  <w:num w:numId="10">
    <w:abstractNumId w:val="11"/>
  </w:num>
  <w:num w:numId="11">
    <w:abstractNumId w:val="26"/>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5"/>
  </w:num>
  <w:num w:numId="15">
    <w:abstractNumId w:val="14"/>
  </w:num>
  <w:num w:numId="16">
    <w:abstractNumId w:val="23"/>
  </w:num>
  <w:num w:numId="17">
    <w:abstractNumId w:val="10"/>
  </w:num>
  <w:num w:numId="18">
    <w:abstractNumId w:val="4"/>
  </w:num>
  <w:num w:numId="19">
    <w:abstractNumId w:val="9"/>
  </w:num>
  <w:num w:numId="20">
    <w:abstractNumId w:val="0"/>
    <w:lvlOverride w:ilvl="0">
      <w:startOverride w:val="2"/>
      <w:lvl w:ilvl="0">
        <w:start w:val="2"/>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1">
    <w:abstractNumId w:val="7"/>
  </w:num>
  <w:num w:numId="22">
    <w:abstractNumId w:val="13"/>
  </w:num>
  <w:num w:numId="23">
    <w:abstractNumId w:val="22"/>
  </w:num>
  <w:num w:numId="24">
    <w:abstractNumId w:val="19"/>
  </w:num>
  <w:num w:numId="25">
    <w:abstractNumId w:val="12"/>
  </w:num>
  <w:num w:numId="26">
    <w:abstractNumId w:val="16"/>
  </w:num>
  <w:num w:numId="27">
    <w:abstractNumId w:val="15"/>
  </w:num>
  <w:num w:numId="28">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CF1620"/>
    <w:rsid w:val="00000822"/>
    <w:rsid w:val="00004129"/>
    <w:rsid w:val="00006371"/>
    <w:rsid w:val="00006687"/>
    <w:rsid w:val="000135AF"/>
    <w:rsid w:val="00013767"/>
    <w:rsid w:val="00021DF2"/>
    <w:rsid w:val="00024208"/>
    <w:rsid w:val="000251DD"/>
    <w:rsid w:val="000252B6"/>
    <w:rsid w:val="000256AE"/>
    <w:rsid w:val="00025ECB"/>
    <w:rsid w:val="00066F0E"/>
    <w:rsid w:val="00073D3B"/>
    <w:rsid w:val="000741F5"/>
    <w:rsid w:val="000777A3"/>
    <w:rsid w:val="0008742D"/>
    <w:rsid w:val="000878E2"/>
    <w:rsid w:val="000909D5"/>
    <w:rsid w:val="000924AF"/>
    <w:rsid w:val="00093D8D"/>
    <w:rsid w:val="00095FD5"/>
    <w:rsid w:val="000A4797"/>
    <w:rsid w:val="000C637D"/>
    <w:rsid w:val="000D118E"/>
    <w:rsid w:val="000E28E9"/>
    <w:rsid w:val="000F06B1"/>
    <w:rsid w:val="000F1521"/>
    <w:rsid w:val="000F23D5"/>
    <w:rsid w:val="000F784E"/>
    <w:rsid w:val="0010027F"/>
    <w:rsid w:val="00106A1E"/>
    <w:rsid w:val="0011519C"/>
    <w:rsid w:val="00122041"/>
    <w:rsid w:val="00131E66"/>
    <w:rsid w:val="00142E8F"/>
    <w:rsid w:val="00146780"/>
    <w:rsid w:val="0014682A"/>
    <w:rsid w:val="00146E7F"/>
    <w:rsid w:val="001506E4"/>
    <w:rsid w:val="00151B67"/>
    <w:rsid w:val="0015300E"/>
    <w:rsid w:val="001565A7"/>
    <w:rsid w:val="0016014D"/>
    <w:rsid w:val="0016270B"/>
    <w:rsid w:val="00167B93"/>
    <w:rsid w:val="0017410F"/>
    <w:rsid w:val="00185A55"/>
    <w:rsid w:val="00191377"/>
    <w:rsid w:val="0019521C"/>
    <w:rsid w:val="001A4C8B"/>
    <w:rsid w:val="001A58CB"/>
    <w:rsid w:val="001A786A"/>
    <w:rsid w:val="001A7FE3"/>
    <w:rsid w:val="001B4A9E"/>
    <w:rsid w:val="001B6BFE"/>
    <w:rsid w:val="001C05AB"/>
    <w:rsid w:val="001C1A17"/>
    <w:rsid w:val="001C3109"/>
    <w:rsid w:val="001C6FFB"/>
    <w:rsid w:val="001D00D7"/>
    <w:rsid w:val="001D02E4"/>
    <w:rsid w:val="001E1971"/>
    <w:rsid w:val="001E2912"/>
    <w:rsid w:val="001F0FE1"/>
    <w:rsid w:val="00203B58"/>
    <w:rsid w:val="00204D46"/>
    <w:rsid w:val="00212915"/>
    <w:rsid w:val="0021364D"/>
    <w:rsid w:val="002169A4"/>
    <w:rsid w:val="002217C5"/>
    <w:rsid w:val="00223DC3"/>
    <w:rsid w:val="002270D9"/>
    <w:rsid w:val="00234DE0"/>
    <w:rsid w:val="0023669E"/>
    <w:rsid w:val="00241287"/>
    <w:rsid w:val="00254EA8"/>
    <w:rsid w:val="0025638F"/>
    <w:rsid w:val="0026492D"/>
    <w:rsid w:val="002675F2"/>
    <w:rsid w:val="00275D0F"/>
    <w:rsid w:val="00281315"/>
    <w:rsid w:val="0029454A"/>
    <w:rsid w:val="002B1A95"/>
    <w:rsid w:val="002C29D9"/>
    <w:rsid w:val="002D36EA"/>
    <w:rsid w:val="002D723F"/>
    <w:rsid w:val="002E0E7E"/>
    <w:rsid w:val="002E5FF1"/>
    <w:rsid w:val="002E7B0C"/>
    <w:rsid w:val="002E7CEA"/>
    <w:rsid w:val="002F1E8D"/>
    <w:rsid w:val="00302D6D"/>
    <w:rsid w:val="0031212C"/>
    <w:rsid w:val="0031277E"/>
    <w:rsid w:val="00321E3F"/>
    <w:rsid w:val="00325EBF"/>
    <w:rsid w:val="0032718C"/>
    <w:rsid w:val="00330D13"/>
    <w:rsid w:val="00332B1E"/>
    <w:rsid w:val="003350F1"/>
    <w:rsid w:val="00342FBF"/>
    <w:rsid w:val="00343D37"/>
    <w:rsid w:val="00344E0B"/>
    <w:rsid w:val="0035097F"/>
    <w:rsid w:val="00357439"/>
    <w:rsid w:val="00360E08"/>
    <w:rsid w:val="003621CE"/>
    <w:rsid w:val="003652F0"/>
    <w:rsid w:val="00366DA1"/>
    <w:rsid w:val="00370839"/>
    <w:rsid w:val="0037519B"/>
    <w:rsid w:val="0038001A"/>
    <w:rsid w:val="00382191"/>
    <w:rsid w:val="00385622"/>
    <w:rsid w:val="00386091"/>
    <w:rsid w:val="00386CC3"/>
    <w:rsid w:val="00394D71"/>
    <w:rsid w:val="003A2003"/>
    <w:rsid w:val="003A57CA"/>
    <w:rsid w:val="003B7B9A"/>
    <w:rsid w:val="003C6EED"/>
    <w:rsid w:val="003D14AB"/>
    <w:rsid w:val="003D3A11"/>
    <w:rsid w:val="003D69F5"/>
    <w:rsid w:val="003E3F6F"/>
    <w:rsid w:val="003E4140"/>
    <w:rsid w:val="003E7EDD"/>
    <w:rsid w:val="003F43CB"/>
    <w:rsid w:val="003F7516"/>
    <w:rsid w:val="004045DD"/>
    <w:rsid w:val="00405C07"/>
    <w:rsid w:val="00431070"/>
    <w:rsid w:val="00432CE9"/>
    <w:rsid w:val="00442BD5"/>
    <w:rsid w:val="0044440A"/>
    <w:rsid w:val="00461967"/>
    <w:rsid w:val="004636C9"/>
    <w:rsid w:val="00490ECF"/>
    <w:rsid w:val="0049141E"/>
    <w:rsid w:val="00491ABC"/>
    <w:rsid w:val="00496D00"/>
    <w:rsid w:val="004A5A5F"/>
    <w:rsid w:val="004B01F7"/>
    <w:rsid w:val="004B125A"/>
    <w:rsid w:val="004B30AC"/>
    <w:rsid w:val="004B5AB9"/>
    <w:rsid w:val="004B7DEB"/>
    <w:rsid w:val="004C2DD3"/>
    <w:rsid w:val="004C33C1"/>
    <w:rsid w:val="004C5262"/>
    <w:rsid w:val="004C5351"/>
    <w:rsid w:val="004D467D"/>
    <w:rsid w:val="004D4F93"/>
    <w:rsid w:val="004D55B5"/>
    <w:rsid w:val="004F26FA"/>
    <w:rsid w:val="004F4A06"/>
    <w:rsid w:val="004F4F93"/>
    <w:rsid w:val="00517087"/>
    <w:rsid w:val="00525F0E"/>
    <w:rsid w:val="00526C59"/>
    <w:rsid w:val="0053612D"/>
    <w:rsid w:val="00553BAE"/>
    <w:rsid w:val="0055595B"/>
    <w:rsid w:val="00564727"/>
    <w:rsid w:val="00575060"/>
    <w:rsid w:val="0058766F"/>
    <w:rsid w:val="005C18D6"/>
    <w:rsid w:val="005C54DE"/>
    <w:rsid w:val="005D0A24"/>
    <w:rsid w:val="005D7076"/>
    <w:rsid w:val="005E1F84"/>
    <w:rsid w:val="005E7291"/>
    <w:rsid w:val="005F0BD6"/>
    <w:rsid w:val="005F1B86"/>
    <w:rsid w:val="005F33B2"/>
    <w:rsid w:val="005F42C5"/>
    <w:rsid w:val="005F669E"/>
    <w:rsid w:val="0060067A"/>
    <w:rsid w:val="00601FFE"/>
    <w:rsid w:val="0060312A"/>
    <w:rsid w:val="00603A18"/>
    <w:rsid w:val="00604D73"/>
    <w:rsid w:val="00611814"/>
    <w:rsid w:val="0061331E"/>
    <w:rsid w:val="00613D24"/>
    <w:rsid w:val="00614549"/>
    <w:rsid w:val="006146E5"/>
    <w:rsid w:val="0061477C"/>
    <w:rsid w:val="00622699"/>
    <w:rsid w:val="00625F25"/>
    <w:rsid w:val="00630363"/>
    <w:rsid w:val="0064292E"/>
    <w:rsid w:val="00661FFF"/>
    <w:rsid w:val="006655FC"/>
    <w:rsid w:val="0067040D"/>
    <w:rsid w:val="00673468"/>
    <w:rsid w:val="00674EB4"/>
    <w:rsid w:val="00677D8B"/>
    <w:rsid w:val="0068372A"/>
    <w:rsid w:val="006906EB"/>
    <w:rsid w:val="00691CDF"/>
    <w:rsid w:val="00693350"/>
    <w:rsid w:val="006A125A"/>
    <w:rsid w:val="006A2F7C"/>
    <w:rsid w:val="006A3774"/>
    <w:rsid w:val="006B268C"/>
    <w:rsid w:val="006B3476"/>
    <w:rsid w:val="006B71BE"/>
    <w:rsid w:val="006C4E6C"/>
    <w:rsid w:val="006C5127"/>
    <w:rsid w:val="006C6B85"/>
    <w:rsid w:val="006C729F"/>
    <w:rsid w:val="006D02FB"/>
    <w:rsid w:val="006D0A93"/>
    <w:rsid w:val="006D2FDE"/>
    <w:rsid w:val="006D3D75"/>
    <w:rsid w:val="006E1743"/>
    <w:rsid w:val="00700AB9"/>
    <w:rsid w:val="0070165B"/>
    <w:rsid w:val="007054FA"/>
    <w:rsid w:val="0071393E"/>
    <w:rsid w:val="00715C97"/>
    <w:rsid w:val="00720815"/>
    <w:rsid w:val="0072606A"/>
    <w:rsid w:val="00733735"/>
    <w:rsid w:val="007349BC"/>
    <w:rsid w:val="007450D1"/>
    <w:rsid w:val="00747D3D"/>
    <w:rsid w:val="00750C00"/>
    <w:rsid w:val="00753089"/>
    <w:rsid w:val="00753AA9"/>
    <w:rsid w:val="00754162"/>
    <w:rsid w:val="00762CCB"/>
    <w:rsid w:val="0076423E"/>
    <w:rsid w:val="00767D80"/>
    <w:rsid w:val="007713DB"/>
    <w:rsid w:val="007755D7"/>
    <w:rsid w:val="007810FC"/>
    <w:rsid w:val="00791FFB"/>
    <w:rsid w:val="00794027"/>
    <w:rsid w:val="007A2F00"/>
    <w:rsid w:val="007B2235"/>
    <w:rsid w:val="007B7432"/>
    <w:rsid w:val="007C1CB3"/>
    <w:rsid w:val="007C2915"/>
    <w:rsid w:val="007C4698"/>
    <w:rsid w:val="007C4EA5"/>
    <w:rsid w:val="007C5F75"/>
    <w:rsid w:val="007D2AED"/>
    <w:rsid w:val="007D5F9D"/>
    <w:rsid w:val="007D6761"/>
    <w:rsid w:val="007E29CB"/>
    <w:rsid w:val="007E51AB"/>
    <w:rsid w:val="00803BB7"/>
    <w:rsid w:val="008101F4"/>
    <w:rsid w:val="00811AA7"/>
    <w:rsid w:val="008131B3"/>
    <w:rsid w:val="00832788"/>
    <w:rsid w:val="0083350C"/>
    <w:rsid w:val="00836D1D"/>
    <w:rsid w:val="008429A4"/>
    <w:rsid w:val="00847F5D"/>
    <w:rsid w:val="00850BA6"/>
    <w:rsid w:val="008522E5"/>
    <w:rsid w:val="0086109F"/>
    <w:rsid w:val="00864BED"/>
    <w:rsid w:val="00866D8C"/>
    <w:rsid w:val="008729C9"/>
    <w:rsid w:val="008759B3"/>
    <w:rsid w:val="00881C8B"/>
    <w:rsid w:val="0088334C"/>
    <w:rsid w:val="008900C7"/>
    <w:rsid w:val="00890534"/>
    <w:rsid w:val="00895C5A"/>
    <w:rsid w:val="00897569"/>
    <w:rsid w:val="008A27A7"/>
    <w:rsid w:val="008A637A"/>
    <w:rsid w:val="008B0E95"/>
    <w:rsid w:val="008B19B2"/>
    <w:rsid w:val="008C1EAD"/>
    <w:rsid w:val="008C4DF1"/>
    <w:rsid w:val="008C53B9"/>
    <w:rsid w:val="008E0599"/>
    <w:rsid w:val="008F53BD"/>
    <w:rsid w:val="009008AA"/>
    <w:rsid w:val="00906EF0"/>
    <w:rsid w:val="00912026"/>
    <w:rsid w:val="00916969"/>
    <w:rsid w:val="0091745F"/>
    <w:rsid w:val="009218A9"/>
    <w:rsid w:val="009306DC"/>
    <w:rsid w:val="00932AB1"/>
    <w:rsid w:val="00963702"/>
    <w:rsid w:val="00970572"/>
    <w:rsid w:val="00971ACC"/>
    <w:rsid w:val="00972244"/>
    <w:rsid w:val="0097469C"/>
    <w:rsid w:val="00974730"/>
    <w:rsid w:val="009816F9"/>
    <w:rsid w:val="0098263C"/>
    <w:rsid w:val="009835FB"/>
    <w:rsid w:val="00985EA6"/>
    <w:rsid w:val="0099067B"/>
    <w:rsid w:val="00992540"/>
    <w:rsid w:val="00992DF5"/>
    <w:rsid w:val="009A6801"/>
    <w:rsid w:val="009B1EF6"/>
    <w:rsid w:val="009B35DB"/>
    <w:rsid w:val="009B7FF2"/>
    <w:rsid w:val="009D34CA"/>
    <w:rsid w:val="009D649A"/>
    <w:rsid w:val="009E207E"/>
    <w:rsid w:val="009F3B40"/>
    <w:rsid w:val="009F61A9"/>
    <w:rsid w:val="009F6C5C"/>
    <w:rsid w:val="00A00683"/>
    <w:rsid w:val="00A05226"/>
    <w:rsid w:val="00A06BCC"/>
    <w:rsid w:val="00A0783B"/>
    <w:rsid w:val="00A13AB9"/>
    <w:rsid w:val="00A15A92"/>
    <w:rsid w:val="00A220A3"/>
    <w:rsid w:val="00A23E40"/>
    <w:rsid w:val="00A30374"/>
    <w:rsid w:val="00A326D1"/>
    <w:rsid w:val="00A44FEB"/>
    <w:rsid w:val="00A52DE8"/>
    <w:rsid w:val="00A551ED"/>
    <w:rsid w:val="00A56566"/>
    <w:rsid w:val="00A60D44"/>
    <w:rsid w:val="00A61BFB"/>
    <w:rsid w:val="00A71E6A"/>
    <w:rsid w:val="00A73630"/>
    <w:rsid w:val="00A74720"/>
    <w:rsid w:val="00A74B8B"/>
    <w:rsid w:val="00A84D7D"/>
    <w:rsid w:val="00AB17BC"/>
    <w:rsid w:val="00AB2F03"/>
    <w:rsid w:val="00AC146C"/>
    <w:rsid w:val="00AC2A51"/>
    <w:rsid w:val="00AC7787"/>
    <w:rsid w:val="00AE5E98"/>
    <w:rsid w:val="00AF4988"/>
    <w:rsid w:val="00B1089D"/>
    <w:rsid w:val="00B113D2"/>
    <w:rsid w:val="00B16AB2"/>
    <w:rsid w:val="00B21F56"/>
    <w:rsid w:val="00B22B2A"/>
    <w:rsid w:val="00B27045"/>
    <w:rsid w:val="00B30038"/>
    <w:rsid w:val="00B3069A"/>
    <w:rsid w:val="00B3446C"/>
    <w:rsid w:val="00B37FB0"/>
    <w:rsid w:val="00B41761"/>
    <w:rsid w:val="00B4263F"/>
    <w:rsid w:val="00B43C5B"/>
    <w:rsid w:val="00B525D0"/>
    <w:rsid w:val="00B5619E"/>
    <w:rsid w:val="00B57A72"/>
    <w:rsid w:val="00B635E5"/>
    <w:rsid w:val="00B64BE6"/>
    <w:rsid w:val="00B67178"/>
    <w:rsid w:val="00B75253"/>
    <w:rsid w:val="00B84471"/>
    <w:rsid w:val="00B87323"/>
    <w:rsid w:val="00B87C07"/>
    <w:rsid w:val="00B90380"/>
    <w:rsid w:val="00B90463"/>
    <w:rsid w:val="00B96323"/>
    <w:rsid w:val="00B97471"/>
    <w:rsid w:val="00BA151A"/>
    <w:rsid w:val="00BA331B"/>
    <w:rsid w:val="00BA55EC"/>
    <w:rsid w:val="00BA65A7"/>
    <w:rsid w:val="00BA6868"/>
    <w:rsid w:val="00BA78B4"/>
    <w:rsid w:val="00BC76FE"/>
    <w:rsid w:val="00BE2F99"/>
    <w:rsid w:val="00BE6542"/>
    <w:rsid w:val="00BF0EE6"/>
    <w:rsid w:val="00BF21B7"/>
    <w:rsid w:val="00BF2B72"/>
    <w:rsid w:val="00C068E7"/>
    <w:rsid w:val="00C11995"/>
    <w:rsid w:val="00C22563"/>
    <w:rsid w:val="00C2723A"/>
    <w:rsid w:val="00C27F58"/>
    <w:rsid w:val="00C31A0F"/>
    <w:rsid w:val="00C31B3D"/>
    <w:rsid w:val="00C33172"/>
    <w:rsid w:val="00C45E01"/>
    <w:rsid w:val="00C56CB7"/>
    <w:rsid w:val="00C6081C"/>
    <w:rsid w:val="00C60EB3"/>
    <w:rsid w:val="00C67156"/>
    <w:rsid w:val="00C67EF5"/>
    <w:rsid w:val="00C7139B"/>
    <w:rsid w:val="00C71B4B"/>
    <w:rsid w:val="00C744AB"/>
    <w:rsid w:val="00C774DC"/>
    <w:rsid w:val="00C87106"/>
    <w:rsid w:val="00C909DA"/>
    <w:rsid w:val="00C92012"/>
    <w:rsid w:val="00C93D2D"/>
    <w:rsid w:val="00C977DE"/>
    <w:rsid w:val="00CC65F9"/>
    <w:rsid w:val="00CD1C22"/>
    <w:rsid w:val="00CD590B"/>
    <w:rsid w:val="00CD5E00"/>
    <w:rsid w:val="00CE18E9"/>
    <w:rsid w:val="00CE2FB5"/>
    <w:rsid w:val="00CE4058"/>
    <w:rsid w:val="00CF1620"/>
    <w:rsid w:val="00D01D33"/>
    <w:rsid w:val="00D03F08"/>
    <w:rsid w:val="00D04AC1"/>
    <w:rsid w:val="00D17C70"/>
    <w:rsid w:val="00D267F0"/>
    <w:rsid w:val="00D2792A"/>
    <w:rsid w:val="00D525C0"/>
    <w:rsid w:val="00D545C1"/>
    <w:rsid w:val="00D57722"/>
    <w:rsid w:val="00D6714F"/>
    <w:rsid w:val="00D67F58"/>
    <w:rsid w:val="00D73478"/>
    <w:rsid w:val="00D87533"/>
    <w:rsid w:val="00D937C3"/>
    <w:rsid w:val="00D97E29"/>
    <w:rsid w:val="00DA0909"/>
    <w:rsid w:val="00DA1FC3"/>
    <w:rsid w:val="00DA27C6"/>
    <w:rsid w:val="00DA2A19"/>
    <w:rsid w:val="00DA416F"/>
    <w:rsid w:val="00DA6ECA"/>
    <w:rsid w:val="00DA7E14"/>
    <w:rsid w:val="00DB5887"/>
    <w:rsid w:val="00DC6B86"/>
    <w:rsid w:val="00DE0DEA"/>
    <w:rsid w:val="00DE368D"/>
    <w:rsid w:val="00DE39D8"/>
    <w:rsid w:val="00DE648B"/>
    <w:rsid w:val="00DE6D93"/>
    <w:rsid w:val="00DF0F08"/>
    <w:rsid w:val="00DF3B40"/>
    <w:rsid w:val="00DF6D9B"/>
    <w:rsid w:val="00E05325"/>
    <w:rsid w:val="00E07C02"/>
    <w:rsid w:val="00E17414"/>
    <w:rsid w:val="00E22EBA"/>
    <w:rsid w:val="00E306E0"/>
    <w:rsid w:val="00E40229"/>
    <w:rsid w:val="00E40AE5"/>
    <w:rsid w:val="00E439C7"/>
    <w:rsid w:val="00E45624"/>
    <w:rsid w:val="00E45F39"/>
    <w:rsid w:val="00E56EA0"/>
    <w:rsid w:val="00E60151"/>
    <w:rsid w:val="00E6229D"/>
    <w:rsid w:val="00E62421"/>
    <w:rsid w:val="00E70EB2"/>
    <w:rsid w:val="00E919F6"/>
    <w:rsid w:val="00EA0B60"/>
    <w:rsid w:val="00EB1EBE"/>
    <w:rsid w:val="00EB7557"/>
    <w:rsid w:val="00EC157E"/>
    <w:rsid w:val="00EC4932"/>
    <w:rsid w:val="00ED3CD1"/>
    <w:rsid w:val="00ED72D2"/>
    <w:rsid w:val="00EF2F3F"/>
    <w:rsid w:val="00EF4FFE"/>
    <w:rsid w:val="00F063AE"/>
    <w:rsid w:val="00F10D85"/>
    <w:rsid w:val="00F159A3"/>
    <w:rsid w:val="00F159EA"/>
    <w:rsid w:val="00F24211"/>
    <w:rsid w:val="00F308C7"/>
    <w:rsid w:val="00F35723"/>
    <w:rsid w:val="00F44060"/>
    <w:rsid w:val="00F45BA5"/>
    <w:rsid w:val="00F61BC0"/>
    <w:rsid w:val="00F7119A"/>
    <w:rsid w:val="00F73EBA"/>
    <w:rsid w:val="00F75D30"/>
    <w:rsid w:val="00F76999"/>
    <w:rsid w:val="00F92CAA"/>
    <w:rsid w:val="00F95442"/>
    <w:rsid w:val="00FA07AD"/>
    <w:rsid w:val="00FA7403"/>
    <w:rsid w:val="00FB2202"/>
    <w:rsid w:val="00FC058B"/>
    <w:rsid w:val="00FC4FDB"/>
    <w:rsid w:val="00FD301A"/>
    <w:rsid w:val="00FD6A7E"/>
    <w:rsid w:val="00FE3C3A"/>
    <w:rsid w:val="00FE52DF"/>
    <w:rsid w:val="00FE6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E6A"/>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B67178"/>
    <w:pPr>
      <w:keepNext/>
      <w:outlineLvl w:val="0"/>
    </w:pPr>
    <w:rPr>
      <w:b/>
      <w:bCs/>
      <w:sz w:val="24"/>
    </w:rPr>
  </w:style>
  <w:style w:type="paragraph" w:styleId="Heading2">
    <w:name w:val="heading 2"/>
    <w:basedOn w:val="Normal"/>
    <w:next w:val="Normal"/>
    <w:link w:val="Heading2Char"/>
    <w:uiPriority w:val="99"/>
    <w:qFormat/>
    <w:rsid w:val="007016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016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70165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753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8753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8753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87533"/>
    <w:rPr>
      <w:rFonts w:ascii="Calibri" w:hAnsi="Calibri" w:cs="Times New Roman"/>
      <w:b/>
      <w:bCs/>
      <w:sz w:val="28"/>
      <w:szCs w:val="28"/>
    </w:rPr>
  </w:style>
  <w:style w:type="paragraph" w:styleId="BalloonText">
    <w:name w:val="Balloon Text"/>
    <w:basedOn w:val="Normal"/>
    <w:link w:val="BalloonTextChar"/>
    <w:uiPriority w:val="99"/>
    <w:semiHidden/>
    <w:rsid w:val="00C909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7533"/>
    <w:rPr>
      <w:rFonts w:cs="Times New Roman"/>
      <w:sz w:val="2"/>
    </w:rPr>
  </w:style>
  <w:style w:type="character" w:styleId="FootnoteReference">
    <w:name w:val="footnote reference"/>
    <w:basedOn w:val="DefaultParagraphFont"/>
    <w:uiPriority w:val="99"/>
    <w:semiHidden/>
    <w:rsid w:val="00B67178"/>
    <w:rPr>
      <w:rFonts w:cs="Times New Roman"/>
    </w:rPr>
  </w:style>
  <w:style w:type="paragraph" w:styleId="BodyTextIndent">
    <w:name w:val="Body Text Indent"/>
    <w:basedOn w:val="Normal"/>
    <w:link w:val="BodyTextIndentChar"/>
    <w:uiPriority w:val="99"/>
    <w:rsid w:val="00B67178"/>
    <w:pPr>
      <w:ind w:left="720"/>
    </w:pPr>
    <w:rPr>
      <w:rFonts w:ascii="Baskerville Old Face" w:hAnsi="Baskerville Old Face"/>
      <w:sz w:val="24"/>
    </w:rPr>
  </w:style>
  <w:style w:type="character" w:customStyle="1" w:styleId="BodyTextIndentChar">
    <w:name w:val="Body Text Indent Char"/>
    <w:basedOn w:val="DefaultParagraphFont"/>
    <w:link w:val="BodyTextIndent"/>
    <w:uiPriority w:val="99"/>
    <w:semiHidden/>
    <w:locked/>
    <w:rsid w:val="00D87533"/>
    <w:rPr>
      <w:rFonts w:cs="Times New Roman"/>
      <w:sz w:val="24"/>
      <w:szCs w:val="24"/>
    </w:rPr>
  </w:style>
  <w:style w:type="table" w:styleId="TableGrid">
    <w:name w:val="Table Grid"/>
    <w:basedOn w:val="TableNormal"/>
    <w:uiPriority w:val="99"/>
    <w:rsid w:val="00B67178"/>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0165B"/>
    <w:rPr>
      <w:rFonts w:cs="Times New Roman"/>
      <w:color w:val="0000FF"/>
      <w:u w:val="single"/>
    </w:rPr>
  </w:style>
  <w:style w:type="paragraph" w:customStyle="1" w:styleId="Body">
    <w:name w:val="Body"/>
    <w:basedOn w:val="Normal"/>
    <w:uiPriority w:val="99"/>
    <w:rsid w:val="0070165B"/>
    <w:pPr>
      <w:widowControl/>
      <w:adjustRightInd/>
      <w:spacing w:after="120"/>
      <w:ind w:left="720"/>
    </w:pPr>
    <w:rPr>
      <w:sz w:val="24"/>
    </w:rPr>
  </w:style>
  <w:style w:type="paragraph" w:customStyle="1" w:styleId="BodyBulletA">
    <w:name w:val="Body Bullet A"/>
    <w:basedOn w:val="Normal"/>
    <w:link w:val="BodyBulletAChar"/>
    <w:uiPriority w:val="99"/>
    <w:rsid w:val="0070165B"/>
    <w:pPr>
      <w:widowControl/>
      <w:numPr>
        <w:numId w:val="2"/>
      </w:numPr>
      <w:autoSpaceDE/>
      <w:autoSpaceDN/>
      <w:adjustRightInd/>
      <w:spacing w:after="120"/>
      <w:ind w:left="1440"/>
    </w:pPr>
    <w:rPr>
      <w:sz w:val="24"/>
    </w:rPr>
  </w:style>
  <w:style w:type="paragraph" w:customStyle="1" w:styleId="BodyBulletB">
    <w:name w:val="Body Bullet B"/>
    <w:basedOn w:val="BodyBulletA"/>
    <w:link w:val="BodyBulletBChar"/>
    <w:uiPriority w:val="99"/>
    <w:rsid w:val="0070165B"/>
    <w:pPr>
      <w:numPr>
        <w:ilvl w:val="2"/>
      </w:numPr>
    </w:pPr>
  </w:style>
  <w:style w:type="character" w:styleId="CommentReference">
    <w:name w:val="annotation reference"/>
    <w:basedOn w:val="DefaultParagraphFont"/>
    <w:uiPriority w:val="99"/>
    <w:semiHidden/>
    <w:rsid w:val="00C909DA"/>
    <w:rPr>
      <w:rFonts w:cs="Times New Roman"/>
      <w:sz w:val="16"/>
      <w:szCs w:val="16"/>
    </w:rPr>
  </w:style>
  <w:style w:type="paragraph" w:styleId="CommentText">
    <w:name w:val="annotation text"/>
    <w:basedOn w:val="Normal"/>
    <w:link w:val="CommentTextChar"/>
    <w:uiPriority w:val="99"/>
    <w:rsid w:val="00C909DA"/>
    <w:pPr>
      <w:widowControl/>
      <w:autoSpaceDE/>
      <w:autoSpaceDN/>
      <w:adjustRightInd/>
      <w:spacing w:after="200"/>
    </w:pPr>
    <w:rPr>
      <w:rFonts w:ascii="Calibri" w:hAnsi="Calibri"/>
      <w:szCs w:val="20"/>
    </w:rPr>
  </w:style>
  <w:style w:type="character" w:customStyle="1" w:styleId="CommentTextChar">
    <w:name w:val="Comment Text Char"/>
    <w:basedOn w:val="DefaultParagraphFont"/>
    <w:link w:val="CommentText"/>
    <w:uiPriority w:val="99"/>
    <w:locked/>
    <w:rsid w:val="00C909DA"/>
    <w:rPr>
      <w:rFonts w:ascii="Calibri" w:hAnsi="Calibri" w:cs="Times New Roman"/>
      <w:lang w:val="en-US" w:eastAsia="en-US" w:bidi="ar-SA"/>
    </w:rPr>
  </w:style>
  <w:style w:type="paragraph" w:styleId="NormalIndent">
    <w:name w:val="Normal Indent"/>
    <w:basedOn w:val="Normal"/>
    <w:link w:val="NormalIndentChar"/>
    <w:uiPriority w:val="99"/>
    <w:rsid w:val="00C909DA"/>
    <w:pPr>
      <w:widowControl/>
      <w:autoSpaceDE/>
      <w:autoSpaceDN/>
      <w:adjustRightInd/>
      <w:ind w:left="720"/>
    </w:pPr>
    <w:rPr>
      <w:szCs w:val="20"/>
    </w:rPr>
  </w:style>
  <w:style w:type="paragraph" w:customStyle="1" w:styleId="level10">
    <w:name w:val="level1"/>
    <w:basedOn w:val="Normal"/>
    <w:link w:val="level1Char"/>
    <w:uiPriority w:val="99"/>
    <w:rsid w:val="00C909DA"/>
    <w:pPr>
      <w:widowControl/>
      <w:adjustRightInd/>
      <w:ind w:left="720"/>
    </w:pPr>
    <w:rPr>
      <w:sz w:val="24"/>
    </w:rPr>
  </w:style>
  <w:style w:type="character" w:customStyle="1" w:styleId="level1Char">
    <w:name w:val="level1 Char"/>
    <w:basedOn w:val="DefaultParagraphFont"/>
    <w:link w:val="level10"/>
    <w:uiPriority w:val="99"/>
    <w:locked/>
    <w:rsid w:val="00C909DA"/>
    <w:rPr>
      <w:rFonts w:eastAsia="Times New Roman" w:cs="Times New Roman"/>
      <w:sz w:val="24"/>
      <w:szCs w:val="24"/>
      <w:lang w:val="en-US" w:eastAsia="en-US" w:bidi="ar-SA"/>
    </w:rPr>
  </w:style>
  <w:style w:type="character" w:customStyle="1" w:styleId="BodyBulletAChar">
    <w:name w:val="Body Bullet A Char"/>
    <w:basedOn w:val="DefaultParagraphFont"/>
    <w:link w:val="BodyBulletA"/>
    <w:uiPriority w:val="99"/>
    <w:locked/>
    <w:rsid w:val="00C909DA"/>
    <w:rPr>
      <w:rFonts w:cs="Times New Roman"/>
      <w:sz w:val="24"/>
      <w:szCs w:val="24"/>
      <w:lang w:val="en-US" w:eastAsia="en-US" w:bidi="ar-SA"/>
    </w:rPr>
  </w:style>
  <w:style w:type="character" w:customStyle="1" w:styleId="BodyBulletBChar">
    <w:name w:val="Body Bullet B Char"/>
    <w:basedOn w:val="BodyBulletAChar"/>
    <w:link w:val="BodyBulletB"/>
    <w:uiPriority w:val="99"/>
    <w:locked/>
    <w:rsid w:val="00C909DA"/>
  </w:style>
  <w:style w:type="paragraph" w:customStyle="1" w:styleId="default">
    <w:name w:val="default"/>
    <w:basedOn w:val="Normal"/>
    <w:link w:val="defaultChar"/>
    <w:uiPriority w:val="99"/>
    <w:rsid w:val="00C909DA"/>
    <w:pPr>
      <w:widowControl/>
      <w:adjustRightInd/>
      <w:spacing w:after="120"/>
    </w:pPr>
    <w:rPr>
      <w:color w:val="000000"/>
      <w:sz w:val="24"/>
    </w:rPr>
  </w:style>
  <w:style w:type="character" w:customStyle="1" w:styleId="defaultChar">
    <w:name w:val="default Char"/>
    <w:basedOn w:val="DefaultParagraphFont"/>
    <w:link w:val="default"/>
    <w:uiPriority w:val="99"/>
    <w:locked/>
    <w:rsid w:val="00C909DA"/>
    <w:rPr>
      <w:rFonts w:cs="Times New Roman"/>
      <w:color w:val="000000"/>
      <w:sz w:val="24"/>
      <w:szCs w:val="24"/>
      <w:lang w:val="en-US" w:eastAsia="en-US" w:bidi="ar-SA"/>
    </w:rPr>
  </w:style>
  <w:style w:type="character" w:customStyle="1" w:styleId="NormalIndentChar">
    <w:name w:val="Normal Indent Char"/>
    <w:basedOn w:val="DefaultParagraphFont"/>
    <w:link w:val="NormalIndent"/>
    <w:uiPriority w:val="99"/>
    <w:locked/>
    <w:rsid w:val="00C909DA"/>
    <w:rPr>
      <w:rFonts w:eastAsia="Times New Roman" w:cs="Times New Roman"/>
      <w:lang w:val="en-US" w:eastAsia="en-US" w:bidi="ar-SA"/>
    </w:rPr>
  </w:style>
  <w:style w:type="paragraph" w:customStyle="1" w:styleId="Default0">
    <w:name w:val="Default"/>
    <w:uiPriority w:val="99"/>
    <w:rsid w:val="00C909DA"/>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semiHidden/>
    <w:rsid w:val="00630363"/>
    <w:pPr>
      <w:widowControl/>
      <w:autoSpaceDE/>
      <w:autoSpaceDN/>
      <w:adjustRightInd/>
    </w:pPr>
    <w:rPr>
      <w:szCs w:val="20"/>
    </w:rPr>
  </w:style>
  <w:style w:type="character" w:customStyle="1" w:styleId="EndnoteTextChar">
    <w:name w:val="Endnote Text Char"/>
    <w:basedOn w:val="DefaultParagraphFont"/>
    <w:link w:val="EndnoteText"/>
    <w:uiPriority w:val="99"/>
    <w:semiHidden/>
    <w:locked/>
    <w:rsid w:val="00D87533"/>
    <w:rPr>
      <w:rFonts w:cs="Times New Roman"/>
      <w:sz w:val="20"/>
      <w:szCs w:val="20"/>
    </w:rPr>
  </w:style>
  <w:style w:type="paragraph" w:styleId="Header">
    <w:name w:val="header"/>
    <w:basedOn w:val="Normal"/>
    <w:link w:val="HeaderChar"/>
    <w:uiPriority w:val="99"/>
    <w:rsid w:val="00750C00"/>
    <w:pPr>
      <w:widowControl/>
      <w:tabs>
        <w:tab w:val="center" w:pos="4320"/>
        <w:tab w:val="right" w:pos="8640"/>
      </w:tabs>
      <w:autoSpaceDE/>
      <w:autoSpaceDN/>
      <w:adjustRightInd/>
    </w:pPr>
    <w:rPr>
      <w:sz w:val="24"/>
    </w:rPr>
  </w:style>
  <w:style w:type="character" w:customStyle="1" w:styleId="HeaderChar">
    <w:name w:val="Header Char"/>
    <w:basedOn w:val="DefaultParagraphFont"/>
    <w:link w:val="Header"/>
    <w:uiPriority w:val="99"/>
    <w:semiHidden/>
    <w:locked/>
    <w:rsid w:val="00D87533"/>
    <w:rPr>
      <w:rFonts w:cs="Times New Roman"/>
      <w:sz w:val="24"/>
      <w:szCs w:val="24"/>
    </w:rPr>
  </w:style>
  <w:style w:type="paragraph" w:customStyle="1" w:styleId="TOCHeading3">
    <w:name w:val="TOC Heading 3"/>
    <w:basedOn w:val="Normal"/>
    <w:link w:val="TOCHeading3Char"/>
    <w:uiPriority w:val="99"/>
    <w:rsid w:val="00750C00"/>
    <w:pPr>
      <w:widowControl/>
      <w:autoSpaceDE/>
      <w:autoSpaceDN/>
      <w:adjustRightInd/>
      <w:ind w:left="720"/>
    </w:pPr>
    <w:rPr>
      <w:b/>
      <w:sz w:val="24"/>
    </w:rPr>
  </w:style>
  <w:style w:type="paragraph" w:customStyle="1" w:styleId="Quick1">
    <w:name w:val="Quick 1)"/>
    <w:uiPriority w:val="99"/>
    <w:rsid w:val="009835FB"/>
    <w:pPr>
      <w:autoSpaceDE w:val="0"/>
      <w:autoSpaceDN w:val="0"/>
      <w:adjustRightInd w:val="0"/>
      <w:ind w:left="-1440"/>
    </w:pPr>
    <w:rPr>
      <w:sz w:val="24"/>
      <w:szCs w:val="24"/>
    </w:rPr>
  </w:style>
  <w:style w:type="character" w:customStyle="1" w:styleId="CharChar">
    <w:name w:val="Char Char"/>
    <w:basedOn w:val="DefaultParagraphFont"/>
    <w:uiPriority w:val="99"/>
    <w:semiHidden/>
    <w:locked/>
    <w:rsid w:val="00BA151A"/>
    <w:rPr>
      <w:rFonts w:cs="Times New Roman"/>
      <w:lang w:val="en-US" w:eastAsia="en-US" w:bidi="ar-SA"/>
    </w:rPr>
  </w:style>
  <w:style w:type="character" w:customStyle="1" w:styleId="EmailStyle481">
    <w:name w:val="EmailStyle48"/>
    <w:aliases w:val="EmailStyle48"/>
    <w:basedOn w:val="DefaultParagraphFont"/>
    <w:uiPriority w:val="99"/>
    <w:semiHidden/>
    <w:personal/>
    <w:rsid w:val="00241287"/>
    <w:rPr>
      <w:rFonts w:ascii="Arial" w:hAnsi="Arial" w:cs="Arial"/>
      <w:color w:val="auto"/>
      <w:sz w:val="20"/>
      <w:szCs w:val="20"/>
    </w:rPr>
  </w:style>
  <w:style w:type="paragraph" w:customStyle="1" w:styleId="TOCHeading2">
    <w:name w:val="TOC Heading 2"/>
    <w:basedOn w:val="Normal"/>
    <w:link w:val="TOCHeading2Char"/>
    <w:uiPriority w:val="99"/>
    <w:rsid w:val="00185A55"/>
    <w:pPr>
      <w:widowControl/>
      <w:autoSpaceDE/>
      <w:autoSpaceDN/>
      <w:adjustRightInd/>
    </w:pPr>
    <w:rPr>
      <w:b/>
      <w:color w:val="000000"/>
      <w:sz w:val="24"/>
    </w:rPr>
  </w:style>
  <w:style w:type="character" w:customStyle="1" w:styleId="TOCHeading2Char">
    <w:name w:val="TOC Heading 2 Char"/>
    <w:basedOn w:val="DefaultParagraphFont"/>
    <w:link w:val="TOCHeading2"/>
    <w:uiPriority w:val="99"/>
    <w:locked/>
    <w:rsid w:val="00185A55"/>
    <w:rPr>
      <w:rFonts w:cs="Times New Roman"/>
      <w:b/>
      <w:color w:val="000000"/>
      <w:sz w:val="24"/>
      <w:szCs w:val="24"/>
      <w:lang w:val="en-US" w:eastAsia="en-US" w:bidi="ar-SA"/>
    </w:rPr>
  </w:style>
  <w:style w:type="paragraph" w:customStyle="1" w:styleId="Level1">
    <w:name w:val="Level 1"/>
    <w:basedOn w:val="Normal"/>
    <w:uiPriority w:val="99"/>
    <w:rsid w:val="00DA0909"/>
    <w:pPr>
      <w:numPr>
        <w:numId w:val="20"/>
      </w:numPr>
      <w:ind w:left="720" w:hanging="720"/>
      <w:outlineLvl w:val="0"/>
    </w:pPr>
    <w:rPr>
      <w:sz w:val="24"/>
    </w:rPr>
  </w:style>
  <w:style w:type="paragraph" w:styleId="FootnoteText">
    <w:name w:val="footnote text"/>
    <w:basedOn w:val="Normal"/>
    <w:link w:val="FootnoteTextChar"/>
    <w:uiPriority w:val="99"/>
    <w:semiHidden/>
    <w:rsid w:val="00DA0909"/>
    <w:pPr>
      <w:widowControl/>
      <w:autoSpaceDE/>
      <w:autoSpaceDN/>
      <w:adjustRightInd/>
    </w:pPr>
    <w:rPr>
      <w:szCs w:val="20"/>
    </w:rPr>
  </w:style>
  <w:style w:type="character" w:customStyle="1" w:styleId="FootnoteTextChar">
    <w:name w:val="Footnote Text Char"/>
    <w:basedOn w:val="DefaultParagraphFont"/>
    <w:link w:val="FootnoteText"/>
    <w:uiPriority w:val="99"/>
    <w:semiHidden/>
    <w:locked/>
    <w:rsid w:val="00D87533"/>
    <w:rPr>
      <w:rFonts w:cs="Times New Roman"/>
      <w:sz w:val="20"/>
      <w:szCs w:val="20"/>
    </w:rPr>
  </w:style>
  <w:style w:type="character" w:customStyle="1" w:styleId="TOCHeading3Char">
    <w:name w:val="TOC Heading 3 Char"/>
    <w:basedOn w:val="DefaultParagraphFont"/>
    <w:link w:val="TOCHeading3"/>
    <w:uiPriority w:val="99"/>
    <w:locked/>
    <w:rsid w:val="00DA0909"/>
    <w:rPr>
      <w:rFonts w:cs="Times New Roman"/>
      <w:b/>
      <w:sz w:val="24"/>
      <w:szCs w:val="24"/>
      <w:lang w:val="en-US" w:eastAsia="en-US" w:bidi="ar-SA"/>
    </w:rPr>
  </w:style>
  <w:style w:type="paragraph" w:styleId="CommentSubject">
    <w:name w:val="annotation subject"/>
    <w:basedOn w:val="CommentText"/>
    <w:next w:val="CommentText"/>
    <w:link w:val="CommentSubjectChar"/>
    <w:uiPriority w:val="99"/>
    <w:rsid w:val="00D01D33"/>
    <w:pPr>
      <w:widowControl w:val="0"/>
      <w:autoSpaceDE w:val="0"/>
      <w:autoSpaceDN w:val="0"/>
      <w:adjustRightInd w:val="0"/>
      <w:spacing w:after="0"/>
    </w:pPr>
    <w:rPr>
      <w:rFonts w:ascii="Times New Roman" w:hAnsi="Times New Roman"/>
      <w:b/>
      <w:bCs/>
    </w:rPr>
  </w:style>
  <w:style w:type="character" w:customStyle="1" w:styleId="CommentSubjectChar">
    <w:name w:val="Comment Subject Char"/>
    <w:basedOn w:val="CommentTextChar"/>
    <w:link w:val="CommentSubject"/>
    <w:uiPriority w:val="99"/>
    <w:locked/>
    <w:rsid w:val="00D01D33"/>
    <w:rPr>
      <w:b/>
      <w:bCs/>
    </w:rPr>
  </w:style>
  <w:style w:type="paragraph" w:styleId="Revision">
    <w:name w:val="Revision"/>
    <w:hidden/>
    <w:uiPriority w:val="99"/>
    <w:semiHidden/>
    <w:rsid w:val="00C67EF5"/>
    <w:rPr>
      <w:sz w:val="20"/>
      <w:szCs w:val="24"/>
    </w:rPr>
  </w:style>
  <w:style w:type="paragraph" w:styleId="Footer">
    <w:name w:val="footer"/>
    <w:basedOn w:val="Normal"/>
    <w:link w:val="FooterChar"/>
    <w:uiPriority w:val="99"/>
    <w:semiHidden/>
    <w:rsid w:val="00006687"/>
    <w:pPr>
      <w:tabs>
        <w:tab w:val="center" w:pos="4680"/>
        <w:tab w:val="right" w:pos="9360"/>
      </w:tabs>
    </w:pPr>
  </w:style>
  <w:style w:type="character" w:customStyle="1" w:styleId="FooterChar">
    <w:name w:val="Footer Char"/>
    <w:basedOn w:val="DefaultParagraphFont"/>
    <w:link w:val="Footer"/>
    <w:uiPriority w:val="99"/>
    <w:semiHidden/>
    <w:locked/>
    <w:rsid w:val="00006687"/>
    <w:rPr>
      <w:rFonts w:cs="Times New Roman"/>
      <w:sz w:val="24"/>
      <w:szCs w:val="24"/>
    </w:rPr>
  </w:style>
  <w:style w:type="character" w:customStyle="1" w:styleId="volumefirstchild">
    <w:name w:val="volume firstchild"/>
    <w:basedOn w:val="DefaultParagraphFont"/>
    <w:uiPriority w:val="99"/>
    <w:rsid w:val="00461967"/>
    <w:rPr>
      <w:rFonts w:cs="Times New Roman"/>
    </w:rPr>
  </w:style>
  <w:style w:type="character" w:customStyle="1" w:styleId="pagelastchild">
    <w:name w:val="page lastchild"/>
    <w:basedOn w:val="DefaultParagraphFont"/>
    <w:uiPriority w:val="99"/>
    <w:rsid w:val="00461967"/>
    <w:rPr>
      <w:rFonts w:cs="Times New Roman"/>
    </w:rPr>
  </w:style>
</w:styles>
</file>

<file path=word/webSettings.xml><?xml version="1.0" encoding="utf-8"?>
<w:webSettings xmlns:r="http://schemas.openxmlformats.org/officeDocument/2006/relationships" xmlns:w="http://schemas.openxmlformats.org/wordprocessingml/2006/main">
  <w:divs>
    <w:div w:id="154150555">
      <w:marLeft w:val="0"/>
      <w:marRight w:val="0"/>
      <w:marTop w:val="0"/>
      <w:marBottom w:val="0"/>
      <w:divBdr>
        <w:top w:val="none" w:sz="0" w:space="0" w:color="auto"/>
        <w:left w:val="none" w:sz="0" w:space="0" w:color="auto"/>
        <w:bottom w:val="none" w:sz="0" w:space="0" w:color="auto"/>
        <w:right w:val="none" w:sz="0" w:space="0" w:color="auto"/>
      </w:divBdr>
    </w:div>
    <w:div w:id="154150557">
      <w:marLeft w:val="0"/>
      <w:marRight w:val="0"/>
      <w:marTop w:val="0"/>
      <w:marBottom w:val="0"/>
      <w:divBdr>
        <w:top w:val="none" w:sz="0" w:space="0" w:color="auto"/>
        <w:left w:val="none" w:sz="0" w:space="0" w:color="auto"/>
        <w:bottom w:val="none" w:sz="0" w:space="0" w:color="auto"/>
        <w:right w:val="none" w:sz="0" w:space="0" w:color="auto"/>
      </w:divBdr>
    </w:div>
    <w:div w:id="154150559">
      <w:marLeft w:val="0"/>
      <w:marRight w:val="0"/>
      <w:marTop w:val="0"/>
      <w:marBottom w:val="0"/>
      <w:divBdr>
        <w:top w:val="none" w:sz="0" w:space="0" w:color="auto"/>
        <w:left w:val="none" w:sz="0" w:space="0" w:color="auto"/>
        <w:bottom w:val="none" w:sz="0" w:space="0" w:color="auto"/>
        <w:right w:val="none" w:sz="0" w:space="0" w:color="auto"/>
      </w:divBdr>
      <w:divsChild>
        <w:div w:id="154150556">
          <w:marLeft w:val="0"/>
          <w:marRight w:val="0"/>
          <w:marTop w:val="0"/>
          <w:marBottom w:val="0"/>
          <w:divBdr>
            <w:top w:val="none" w:sz="0" w:space="0" w:color="auto"/>
            <w:left w:val="none" w:sz="0" w:space="0" w:color="auto"/>
            <w:bottom w:val="none" w:sz="0" w:space="0" w:color="auto"/>
            <w:right w:val="none" w:sz="0" w:space="0" w:color="auto"/>
          </w:divBdr>
          <w:divsChild>
            <w:div w:id="154150554">
              <w:marLeft w:val="0"/>
              <w:marRight w:val="0"/>
              <w:marTop w:val="0"/>
              <w:marBottom w:val="0"/>
              <w:divBdr>
                <w:top w:val="none" w:sz="0" w:space="0" w:color="auto"/>
                <w:left w:val="none" w:sz="0" w:space="0" w:color="auto"/>
                <w:bottom w:val="none" w:sz="0" w:space="0" w:color="auto"/>
                <w:right w:val="none" w:sz="0" w:space="0" w:color="auto"/>
              </w:divBdr>
            </w:div>
            <w:div w:id="154150558">
              <w:marLeft w:val="0"/>
              <w:marRight w:val="0"/>
              <w:marTop w:val="0"/>
              <w:marBottom w:val="0"/>
              <w:divBdr>
                <w:top w:val="none" w:sz="0" w:space="0" w:color="auto"/>
                <w:left w:val="none" w:sz="0" w:space="0" w:color="auto"/>
                <w:bottom w:val="none" w:sz="0" w:space="0" w:color="auto"/>
                <w:right w:val="none" w:sz="0" w:space="0" w:color="auto"/>
              </w:divBdr>
            </w:div>
            <w:div w:id="154150560">
              <w:marLeft w:val="0"/>
              <w:marRight w:val="0"/>
              <w:marTop w:val="0"/>
              <w:marBottom w:val="0"/>
              <w:divBdr>
                <w:top w:val="none" w:sz="0" w:space="0" w:color="auto"/>
                <w:left w:val="none" w:sz="0" w:space="0" w:color="auto"/>
                <w:bottom w:val="none" w:sz="0" w:space="0" w:color="auto"/>
                <w:right w:val="none" w:sz="0" w:space="0" w:color="auto"/>
              </w:divBdr>
            </w:div>
            <w:div w:id="154150561">
              <w:marLeft w:val="0"/>
              <w:marRight w:val="0"/>
              <w:marTop w:val="0"/>
              <w:marBottom w:val="0"/>
              <w:divBdr>
                <w:top w:val="none" w:sz="0" w:space="0" w:color="auto"/>
                <w:left w:val="none" w:sz="0" w:space="0" w:color="auto"/>
                <w:bottom w:val="none" w:sz="0" w:space="0" w:color="auto"/>
                <w:right w:val="none" w:sz="0" w:space="0" w:color="auto"/>
              </w:divBdr>
            </w:div>
            <w:div w:id="15415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0562">
      <w:marLeft w:val="0"/>
      <w:marRight w:val="0"/>
      <w:marTop w:val="0"/>
      <w:marBottom w:val="0"/>
      <w:divBdr>
        <w:top w:val="none" w:sz="0" w:space="0" w:color="auto"/>
        <w:left w:val="none" w:sz="0" w:space="0" w:color="auto"/>
        <w:bottom w:val="none" w:sz="0" w:space="0" w:color="auto"/>
        <w:right w:val="none" w:sz="0" w:space="0" w:color="auto"/>
      </w:divBdr>
    </w:div>
    <w:div w:id="1541505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pm.gov/oca/10tables/html/dcb_h.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pm.gov/oca/10tables/html/dcb_h.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2944</Words>
  <Characters>16784</Characters>
  <Application>Microsoft Office Word</Application>
  <DocSecurity>0</DocSecurity>
  <Lines>139</Lines>
  <Paragraphs>39</Paragraphs>
  <ScaleCrop>false</ScaleCrop>
  <Company/>
  <LinksUpToDate>false</LinksUpToDate>
  <CharactersWithSpaces>19689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Grants to States for Heath Insurance Premium Review Cycle II</dc:title>
  <dc:subject/>
  <dc:creator/>
  <cp:keywords/>
  <dc:description/>
  <cp:lastModifiedBy/>
  <cp:revision>1</cp:revision>
  <cp:lastPrinted>2011-03-23T13:09:00Z</cp:lastPrinted>
  <dcterms:created xsi:type="dcterms:W3CDTF">2011-07-26T13:21:00Z</dcterms:created>
  <dcterms:modified xsi:type="dcterms:W3CDTF">2011-07-26T13:21:00Z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