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F11" w:rsidRDefault="004A5F11" w:rsidP="004A5F11">
      <w:pPr>
        <w:pStyle w:val="Heading1"/>
        <w:numPr>
          <w:ilvl w:val="0"/>
          <w:numId w:val="0"/>
        </w:numPr>
        <w:jc w:val="center"/>
      </w:pPr>
      <w:bookmarkStart w:id="0" w:name="_Toc305424280"/>
      <w:r>
        <w:t>Supporting Statement Part B</w:t>
      </w:r>
    </w:p>
    <w:p w:rsidR="003D39F7" w:rsidRDefault="00CD666C" w:rsidP="004A5F11">
      <w:pPr>
        <w:pStyle w:val="Heading1"/>
        <w:numPr>
          <w:ilvl w:val="0"/>
          <w:numId w:val="0"/>
        </w:numPr>
        <w:jc w:val="center"/>
      </w:pPr>
      <w:r>
        <w:t>Collection of I</w:t>
      </w:r>
      <w:r w:rsidR="003D39F7">
        <w:t>nformation Employing Statistical Methods</w:t>
      </w:r>
      <w:bookmarkEnd w:id="0"/>
    </w:p>
    <w:p w:rsidR="003D39F7" w:rsidRDefault="003D39F7" w:rsidP="00046C89">
      <w:pPr>
        <w:pStyle w:val="Heading2"/>
        <w:numPr>
          <w:ilvl w:val="0"/>
          <w:numId w:val="13"/>
        </w:numPr>
      </w:pPr>
      <w:bookmarkStart w:id="1" w:name="_Toc305424281"/>
      <w:r>
        <w:t>Respondent Universe and Sampling Methods</w:t>
      </w:r>
      <w:bookmarkEnd w:id="1"/>
    </w:p>
    <w:p w:rsidR="00046C89" w:rsidRPr="00046C89" w:rsidRDefault="00046C89" w:rsidP="00046C89">
      <w:pPr>
        <w:pStyle w:val="Heading3"/>
      </w:pPr>
      <w:bookmarkStart w:id="2" w:name="_Toc305424282"/>
      <w:r w:rsidRPr="00046C89">
        <w:t>Respondent Universe</w:t>
      </w:r>
      <w:bookmarkEnd w:id="2"/>
    </w:p>
    <w:p w:rsidR="00CE0376" w:rsidRDefault="00046C89" w:rsidP="00046C89">
      <w:r>
        <w:t>The respondent universe includes</w:t>
      </w:r>
      <w:r w:rsidR="00B10DB1">
        <w:t xml:space="preserve"> individuals at health care payers (health insurance companies, managed care organizations, and pharmacy benefits providers), health care providers (hospitals and </w:t>
      </w:r>
      <w:r w:rsidR="007C2FDF">
        <w:t xml:space="preserve">large and small physician </w:t>
      </w:r>
      <w:r w:rsidR="00B10DB1" w:rsidRPr="007C2FDF">
        <w:t>practices</w:t>
      </w:r>
      <w:r w:rsidR="00B10DB1">
        <w:t xml:space="preserve"> for this study) and vendors (health IT developers, clearinghouses, and third-party billers)  who are responsible for</w:t>
      </w:r>
      <w:r>
        <w:t xml:space="preserve"> </w:t>
      </w:r>
      <w:r w:rsidR="00B10DB1" w:rsidRPr="00B10DB1">
        <w:t xml:space="preserve">managing the planning and implementation of their organization’s </w:t>
      </w:r>
      <w:r w:rsidR="00B10DB1">
        <w:t>V</w:t>
      </w:r>
      <w:r w:rsidR="00B10DB1" w:rsidRPr="00B10DB1">
        <w:t xml:space="preserve">ersion 5010 and </w:t>
      </w:r>
      <w:r w:rsidR="00B10DB1">
        <w:t>ICD</w:t>
      </w:r>
      <w:r w:rsidR="00B10DB1" w:rsidRPr="00B10DB1">
        <w:t>-10 transitions</w:t>
      </w:r>
      <w:r w:rsidR="00B10DB1">
        <w:t xml:space="preserve">. The total universe is unknown; estimates </w:t>
      </w:r>
      <w:r w:rsidR="007C2FDF">
        <w:t xml:space="preserve">of the larger universes containing individuals responsible for planning and implementation of Version 5010 and ICD-10 transitions </w:t>
      </w:r>
      <w:r w:rsidR="00B10DB1">
        <w:t xml:space="preserve">are </w:t>
      </w:r>
      <w:r w:rsidR="00CE0376">
        <w:t>show</w:t>
      </w:r>
      <w:r w:rsidR="00B57B9D">
        <w:t>n in Table B.1</w:t>
      </w:r>
      <w:r w:rsidR="00CE0376">
        <w:t>.</w:t>
      </w:r>
    </w:p>
    <w:p w:rsidR="00CE0376" w:rsidRPr="00B57B9D" w:rsidRDefault="00B57B9D" w:rsidP="00B57B9D">
      <w:pPr>
        <w:pStyle w:val="NoSpacing"/>
        <w:rPr>
          <w:b/>
        </w:rPr>
      </w:pPr>
      <w:r w:rsidRPr="00B57B9D">
        <w:rPr>
          <w:b/>
        </w:rPr>
        <w:t xml:space="preserve">Table B.1: </w:t>
      </w:r>
      <w:r w:rsidR="004D3265">
        <w:rPr>
          <w:b/>
        </w:rPr>
        <w:t xml:space="preserve">Estimated </w:t>
      </w:r>
      <w:r w:rsidRPr="00B57B9D">
        <w:rPr>
          <w:b/>
        </w:rPr>
        <w:t>Universe and Sample Sizes</w:t>
      </w:r>
    </w:p>
    <w:tbl>
      <w:tblPr>
        <w:tblStyle w:val="TableGrid"/>
        <w:tblW w:w="0" w:type="auto"/>
        <w:tblInd w:w="108" w:type="dxa"/>
        <w:tblLook w:val="04A0"/>
      </w:tblPr>
      <w:tblGrid>
        <w:gridCol w:w="3690"/>
        <w:gridCol w:w="1107"/>
        <w:gridCol w:w="1323"/>
      </w:tblGrid>
      <w:tr w:rsidR="004D3265" w:rsidTr="00B57B9D">
        <w:tc>
          <w:tcPr>
            <w:tcW w:w="3690" w:type="dxa"/>
          </w:tcPr>
          <w:p w:rsidR="004D3265" w:rsidRPr="00B57B9D" w:rsidRDefault="004D3265" w:rsidP="00B57B9D">
            <w:pPr>
              <w:pStyle w:val="NoSpacing"/>
              <w:rPr>
                <w:b/>
              </w:rPr>
            </w:pPr>
            <w:r w:rsidRPr="00B57B9D">
              <w:rPr>
                <w:b/>
              </w:rPr>
              <w:t>Population</w:t>
            </w:r>
          </w:p>
        </w:tc>
        <w:tc>
          <w:tcPr>
            <w:tcW w:w="1107" w:type="dxa"/>
          </w:tcPr>
          <w:p w:rsidR="004D3265" w:rsidRPr="00B57B9D" w:rsidRDefault="004D3265" w:rsidP="00B57B9D">
            <w:pPr>
              <w:pStyle w:val="NoSpacing"/>
              <w:rPr>
                <w:b/>
              </w:rPr>
            </w:pPr>
            <w:r w:rsidRPr="00B57B9D">
              <w:rPr>
                <w:b/>
              </w:rPr>
              <w:t>Size</w:t>
            </w:r>
          </w:p>
        </w:tc>
        <w:tc>
          <w:tcPr>
            <w:tcW w:w="1323" w:type="dxa"/>
          </w:tcPr>
          <w:p w:rsidR="004D3265" w:rsidRPr="00B57B9D" w:rsidRDefault="004D3265" w:rsidP="00B57B9D">
            <w:pPr>
              <w:pStyle w:val="NoSpacing"/>
              <w:rPr>
                <w:b/>
              </w:rPr>
            </w:pPr>
            <w:r w:rsidRPr="00B57B9D">
              <w:rPr>
                <w:b/>
              </w:rPr>
              <w:t>Sample size</w:t>
            </w:r>
          </w:p>
        </w:tc>
      </w:tr>
      <w:tr w:rsidR="004D3265" w:rsidTr="00B57B9D">
        <w:tc>
          <w:tcPr>
            <w:tcW w:w="3690" w:type="dxa"/>
          </w:tcPr>
          <w:p w:rsidR="004D3265" w:rsidRDefault="004D3265" w:rsidP="00B57B9D">
            <w:pPr>
              <w:pStyle w:val="NoSpacing"/>
            </w:pPr>
            <w:r>
              <w:t>Providers</w:t>
            </w:r>
          </w:p>
        </w:tc>
        <w:tc>
          <w:tcPr>
            <w:tcW w:w="1107" w:type="dxa"/>
            <w:vAlign w:val="center"/>
          </w:tcPr>
          <w:p w:rsidR="004D3265" w:rsidRDefault="004D3265" w:rsidP="00B57B9D">
            <w:pPr>
              <w:pStyle w:val="NoSpacing"/>
              <w:jc w:val="right"/>
            </w:pPr>
            <w:r>
              <w:t>4,000,000</w:t>
            </w:r>
          </w:p>
        </w:tc>
        <w:tc>
          <w:tcPr>
            <w:tcW w:w="1323" w:type="dxa"/>
            <w:vAlign w:val="center"/>
          </w:tcPr>
          <w:p w:rsidR="004D3265" w:rsidRDefault="004D3265" w:rsidP="00B57B9D">
            <w:pPr>
              <w:pStyle w:val="NoSpacing"/>
              <w:jc w:val="center"/>
            </w:pPr>
            <w:r>
              <w:t>400</w:t>
            </w:r>
          </w:p>
        </w:tc>
      </w:tr>
      <w:tr w:rsidR="004D3265" w:rsidTr="00B57B9D">
        <w:tc>
          <w:tcPr>
            <w:tcW w:w="3690" w:type="dxa"/>
          </w:tcPr>
          <w:p w:rsidR="004D3265" w:rsidRDefault="004D3265" w:rsidP="00B57B9D">
            <w:pPr>
              <w:pStyle w:val="NoSpacing"/>
            </w:pPr>
            <w:r>
              <w:t>Payers</w:t>
            </w:r>
          </w:p>
        </w:tc>
        <w:tc>
          <w:tcPr>
            <w:tcW w:w="1107" w:type="dxa"/>
            <w:vAlign w:val="center"/>
          </w:tcPr>
          <w:p w:rsidR="004D3265" w:rsidRDefault="004D3265" w:rsidP="00B57B9D">
            <w:pPr>
              <w:pStyle w:val="NoSpacing"/>
              <w:jc w:val="right"/>
            </w:pPr>
            <w:r>
              <w:t>57,000</w:t>
            </w:r>
          </w:p>
        </w:tc>
        <w:tc>
          <w:tcPr>
            <w:tcW w:w="1323" w:type="dxa"/>
            <w:vAlign w:val="center"/>
          </w:tcPr>
          <w:p w:rsidR="004D3265" w:rsidRDefault="004D3265" w:rsidP="00B57B9D">
            <w:pPr>
              <w:pStyle w:val="NoSpacing"/>
              <w:jc w:val="center"/>
            </w:pPr>
            <w:r>
              <w:t>100</w:t>
            </w:r>
          </w:p>
        </w:tc>
      </w:tr>
      <w:tr w:rsidR="004D3265" w:rsidTr="00B57B9D">
        <w:tc>
          <w:tcPr>
            <w:tcW w:w="3690" w:type="dxa"/>
          </w:tcPr>
          <w:p w:rsidR="004D3265" w:rsidRDefault="004D3265" w:rsidP="00B57B9D">
            <w:pPr>
              <w:pStyle w:val="NoSpacing"/>
            </w:pPr>
            <w:r>
              <w:t>Vendors (HIT developers, clearinghouses, third-party billers)</w:t>
            </w:r>
          </w:p>
        </w:tc>
        <w:tc>
          <w:tcPr>
            <w:tcW w:w="1107" w:type="dxa"/>
            <w:vAlign w:val="center"/>
          </w:tcPr>
          <w:p w:rsidR="004D3265" w:rsidRDefault="004D3265" w:rsidP="00B57B9D">
            <w:pPr>
              <w:pStyle w:val="NoSpacing"/>
              <w:jc w:val="right"/>
            </w:pPr>
            <w:r>
              <w:t>6,900</w:t>
            </w:r>
          </w:p>
        </w:tc>
        <w:tc>
          <w:tcPr>
            <w:tcW w:w="1323" w:type="dxa"/>
            <w:vAlign w:val="center"/>
          </w:tcPr>
          <w:p w:rsidR="004D3265" w:rsidRDefault="004D3265" w:rsidP="00B57B9D">
            <w:pPr>
              <w:pStyle w:val="NoSpacing"/>
              <w:jc w:val="center"/>
            </w:pPr>
            <w:r>
              <w:t>100</w:t>
            </w:r>
          </w:p>
        </w:tc>
      </w:tr>
    </w:tbl>
    <w:p w:rsidR="00046C89" w:rsidRDefault="00CE0376" w:rsidP="00046C89">
      <w:r>
        <w:t xml:space="preserve"> </w:t>
      </w:r>
    </w:p>
    <w:p w:rsidR="00046C89" w:rsidRDefault="00046C89" w:rsidP="00046C89">
      <w:pPr>
        <w:pStyle w:val="Heading3"/>
      </w:pPr>
      <w:bookmarkStart w:id="3" w:name="_Toc305424283"/>
      <w:r>
        <w:t>Sampling Methods</w:t>
      </w:r>
      <w:bookmarkEnd w:id="3"/>
    </w:p>
    <w:p w:rsidR="00BE65AC" w:rsidRDefault="002F18E1" w:rsidP="00046C89">
      <w:r>
        <w:t xml:space="preserve">To ensure that information is obtained from all sectors needing to address the Version 5010 and ICD-10 transitions, the sample will be stratified based on the role of the respondent’s organization: </w:t>
      </w:r>
      <w:r w:rsidR="00D75871">
        <w:t xml:space="preserve">healthcare </w:t>
      </w:r>
      <w:r>
        <w:t xml:space="preserve">payer, </w:t>
      </w:r>
      <w:r w:rsidR="00D75871">
        <w:t xml:space="preserve">healthcare </w:t>
      </w:r>
      <w:r>
        <w:t>provider, or vendor</w:t>
      </w:r>
      <w:r w:rsidR="00D75871">
        <w:t>s to payers or providers</w:t>
      </w:r>
      <w:r>
        <w:t>.</w:t>
      </w:r>
      <w:r w:rsidR="00D75871">
        <w:t xml:space="preserve"> The goal is to obtain 400 completed surveys with representatives of healthcare providers (the largest and most diverse group) and 100 each with payers and vendors.</w:t>
      </w:r>
      <w:r>
        <w:t xml:space="preserve"> </w:t>
      </w:r>
    </w:p>
    <w:p w:rsidR="00046C89" w:rsidRPr="00C601D4" w:rsidRDefault="00BE65AC" w:rsidP="00046C89">
      <w:r>
        <w:lastRenderedPageBreak/>
        <w:t xml:space="preserve">All samples will be convenience samples from established panels that have been constructed using association, state licensing, and publication data on the populations of interest. It would be cost-prohibitive to construct probability samples of such low-incidence populations. </w:t>
      </w:r>
      <w:r w:rsidRPr="004A4182">
        <w:t>Every nth eligible panel member will be selected to achieve desired sample sizes</w:t>
      </w:r>
      <w:r w:rsidR="00571568" w:rsidRPr="00C601D4">
        <w:t>.</w:t>
      </w:r>
      <w:r w:rsidRPr="00C601D4">
        <w:t xml:space="preserve"> </w:t>
      </w:r>
      <w:r w:rsidR="00571568" w:rsidRPr="00C601D4">
        <w:t xml:space="preserve"> </w:t>
      </w:r>
      <w:r w:rsidR="008B07DF" w:rsidRPr="00C601D4">
        <w:t xml:space="preserve">Given that the purpose of the survey is for directional guidance in education and communication efforts, we believe a convenience sample is appropriate. </w:t>
      </w:r>
    </w:p>
    <w:p w:rsidR="00F4609C" w:rsidRPr="00C601D4" w:rsidRDefault="00F4609C" w:rsidP="00F4609C">
      <w:pPr>
        <w:spacing w:line="360" w:lineRule="auto"/>
      </w:pPr>
      <w:r w:rsidRPr="00C601D4">
        <w:t>More information about the panels to be used for this project is as follows:</w:t>
      </w:r>
    </w:p>
    <w:p w:rsidR="00F4609C" w:rsidRPr="00C601D4" w:rsidRDefault="00F4609C" w:rsidP="00F4609C">
      <w:pPr>
        <w:pStyle w:val="ListParagraph"/>
        <w:numPr>
          <w:ilvl w:val="0"/>
          <w:numId w:val="16"/>
        </w:numPr>
        <w:spacing w:line="360" w:lineRule="auto"/>
      </w:pPr>
      <w:r w:rsidRPr="00C601D4">
        <w:t xml:space="preserve">This project will utilize multi-mode healthcare panels. The Ipsos Healthcare Professional panel is comprised of hard-to-reach targets (such as hospital executives and administrators, nurses, and pharmacists), and includes more than 250 sub-specialties. Individuals can be reached </w:t>
      </w:r>
      <w:r w:rsidR="00822106" w:rsidRPr="00C601D4">
        <w:t xml:space="preserve">via different approaches, such as </w:t>
      </w:r>
      <w:r w:rsidRPr="00C601D4">
        <w:t>email, fax, direct mail, and phone. By using a multi-mode approach</w:t>
      </w:r>
      <w:r w:rsidR="00822106" w:rsidRPr="00C601D4">
        <w:t xml:space="preserve"> for this project</w:t>
      </w:r>
      <w:r w:rsidRPr="00C601D4">
        <w:t>, we combine postal mail and email to recruit the right individuals to participate in this research.</w:t>
      </w:r>
    </w:p>
    <w:p w:rsidR="00F4609C" w:rsidRPr="00C601D4" w:rsidRDefault="00F4609C" w:rsidP="00F4609C">
      <w:pPr>
        <w:pStyle w:val="ListParagraph"/>
        <w:numPr>
          <w:ilvl w:val="0"/>
          <w:numId w:val="16"/>
        </w:numPr>
        <w:spacing w:after="0" w:line="360" w:lineRule="auto"/>
        <w:contextualSpacing w:val="0"/>
      </w:pPr>
      <w:r w:rsidRPr="00C601D4">
        <w:t xml:space="preserve">The panels that will be used have purchased and licensed key association and governmental databases that verify essentials like a physician’s practicing status. These verification resources include DEA number and AMA ME number to help to ensure validity. </w:t>
      </w:r>
    </w:p>
    <w:p w:rsidR="001B0C61" w:rsidRPr="00C601D4" w:rsidRDefault="00F4609C" w:rsidP="001B0C61">
      <w:pPr>
        <w:pStyle w:val="ListParagraph"/>
        <w:numPr>
          <w:ilvl w:val="0"/>
          <w:numId w:val="16"/>
        </w:numPr>
        <w:spacing w:after="0" w:line="360" w:lineRule="auto"/>
        <w:contextualSpacing w:val="0"/>
      </w:pPr>
      <w:r w:rsidRPr="00C601D4">
        <w:t xml:space="preserve">Recruitment to these panels is also done by a range of techniques: email invitation, affiliate networks, online recruitment, router assignment, and others. We use Captcha software to eliminate automatic registration (bots) of surveys, and also check for suspicious IP addresses to prevent them </w:t>
      </w:r>
      <w:r w:rsidR="001B0C61" w:rsidRPr="00C601D4">
        <w:t xml:space="preserve">from </w:t>
      </w:r>
      <w:r w:rsidRPr="00C601D4">
        <w:t>joining the panels.</w:t>
      </w:r>
    </w:p>
    <w:p w:rsidR="00F4609C" w:rsidRPr="00C601D4" w:rsidRDefault="001B0C61" w:rsidP="001B0C61">
      <w:pPr>
        <w:pStyle w:val="ListParagraph"/>
        <w:numPr>
          <w:ilvl w:val="0"/>
          <w:numId w:val="16"/>
        </w:numPr>
        <w:spacing w:after="0" w:line="360" w:lineRule="auto"/>
        <w:contextualSpacing w:val="0"/>
      </w:pPr>
      <w:r w:rsidRPr="00C601D4">
        <w:t>Ipsos</w:t>
      </w:r>
      <w:r w:rsidR="00F4609C" w:rsidRPr="00C601D4">
        <w:t xml:space="preserve"> panel management protocols include a series of legitimacy checks as well</w:t>
      </w:r>
      <w:r w:rsidRPr="00C601D4">
        <w:t>, including</w:t>
      </w:r>
      <w:r w:rsidR="00F4609C" w:rsidRPr="00C601D4">
        <w:t xml:space="preserve"> name/address matching using external databases, digital fingerprinting, and TrueSample. </w:t>
      </w:r>
      <w:r w:rsidRPr="00C601D4">
        <w:t xml:space="preserve"> Ipsos</w:t>
      </w:r>
      <w:r w:rsidR="00F4609C" w:rsidRPr="00C601D4">
        <w:t xml:space="preserve"> utilize</w:t>
      </w:r>
      <w:r w:rsidRPr="00C601D4">
        <w:t>s</w:t>
      </w:r>
      <w:r w:rsidR="00F4609C" w:rsidRPr="00C601D4">
        <w:t xml:space="preserve"> inbuilt criteria such as the exclusion of individuals who repeatedly fail to respond to survey invitations, as well as those who exhibit undesirable survey behavior (</w:t>
      </w:r>
      <w:r w:rsidR="00B32372" w:rsidRPr="00C601D4">
        <w:t xml:space="preserve">e.g., </w:t>
      </w:r>
      <w:r w:rsidR="00F4609C" w:rsidRPr="00C601D4">
        <w:t>inconsistent response, straightlining, speeding through, etc).</w:t>
      </w:r>
    </w:p>
    <w:p w:rsidR="00CB1222" w:rsidRPr="00C601D4" w:rsidRDefault="00CB1222" w:rsidP="00CB1222">
      <w:pPr>
        <w:spacing w:after="0" w:line="360" w:lineRule="auto"/>
      </w:pPr>
    </w:p>
    <w:p w:rsidR="00CB1222" w:rsidRPr="00C601D4" w:rsidRDefault="00CB1222" w:rsidP="00CB1222">
      <w:pPr>
        <w:ind w:firstLine="0"/>
      </w:pPr>
      <w:r w:rsidRPr="00C601D4">
        <w:t>More information about likely sources of samples per audience segment is described as follows:</w:t>
      </w:r>
    </w:p>
    <w:p w:rsidR="00CB1222" w:rsidRPr="00C601D4" w:rsidRDefault="00CB1222" w:rsidP="00CB1222">
      <w:pPr>
        <w:pStyle w:val="ListParagraph"/>
        <w:numPr>
          <w:ilvl w:val="0"/>
          <w:numId w:val="18"/>
        </w:numPr>
        <w:spacing w:after="0" w:line="240" w:lineRule="auto"/>
        <w:contextualSpacing w:val="0"/>
      </w:pPr>
      <w:r w:rsidRPr="00C601D4">
        <w:lastRenderedPageBreak/>
        <w:t>The majority or all completes for group 1 (Provider community) will likely come from the Ipsos online e-mail panel;</w:t>
      </w:r>
    </w:p>
    <w:p w:rsidR="00CB1222" w:rsidRPr="00C601D4" w:rsidRDefault="00CB1222" w:rsidP="00CB1222">
      <w:pPr>
        <w:pStyle w:val="ListParagraph"/>
        <w:numPr>
          <w:ilvl w:val="0"/>
          <w:numId w:val="18"/>
        </w:numPr>
        <w:spacing w:after="0" w:line="240" w:lineRule="auto"/>
        <w:contextualSpacing w:val="0"/>
      </w:pPr>
      <w:r w:rsidRPr="00C601D4">
        <w:t>The majority or all completes for group 2 (Payer community) to come from direct mail-to-web; and</w:t>
      </w:r>
    </w:p>
    <w:p w:rsidR="00CB1222" w:rsidRPr="00C601D4" w:rsidRDefault="00CB1222" w:rsidP="00CB1222">
      <w:pPr>
        <w:pStyle w:val="ListParagraph"/>
        <w:numPr>
          <w:ilvl w:val="0"/>
          <w:numId w:val="18"/>
        </w:numPr>
        <w:spacing w:after="0" w:line="240" w:lineRule="auto"/>
        <w:contextualSpacing w:val="0"/>
      </w:pPr>
      <w:r w:rsidRPr="00C601D4">
        <w:t>The majority or all completes for group 3 (HIT developers, clearinghouses, and third-party billers) to come from direct mail-to-web.</w:t>
      </w:r>
    </w:p>
    <w:p w:rsidR="003D39F7" w:rsidRPr="00C601D4" w:rsidRDefault="003D39F7" w:rsidP="00E551A6">
      <w:pPr>
        <w:pStyle w:val="Heading2"/>
      </w:pPr>
      <w:bookmarkStart w:id="4" w:name="_Toc305424284"/>
      <w:r w:rsidRPr="00C601D4">
        <w:t>Procedures for the Collection of Information</w:t>
      </w:r>
      <w:bookmarkEnd w:id="4"/>
    </w:p>
    <w:p w:rsidR="008A2370" w:rsidRDefault="00A63646" w:rsidP="00A63646">
      <w:r w:rsidRPr="00F02455">
        <w:t xml:space="preserve">Upon OMB approval, </w:t>
      </w:r>
      <w:r>
        <w:t>the survey instrument will be programmed into the survey vendor’s web hosting servers</w:t>
      </w:r>
      <w:r w:rsidR="008A2370">
        <w:t xml:space="preserve">. </w:t>
      </w:r>
      <w:r w:rsidR="00C247D8">
        <w:t>The s</w:t>
      </w:r>
      <w:r>
        <w:t>urvey vendor</w:t>
      </w:r>
      <w:r w:rsidR="00C247D8">
        <w:t xml:space="preserve">, </w:t>
      </w:r>
      <w:r w:rsidR="00C247D8" w:rsidRPr="00655BF7">
        <w:t>Ipsos, a leading market research firm,</w:t>
      </w:r>
      <w:r>
        <w:t xml:space="preserve"> and contractor staff will then review the online version for accuracy and test it to ensure all skip patterns function as intended, items permit all valid responses and exclude invalid ones, items intended to accept multiple responses do so, etc. </w:t>
      </w:r>
    </w:p>
    <w:p w:rsidR="008A2370" w:rsidRDefault="00A63646" w:rsidP="008A2370">
      <w:r>
        <w:t xml:space="preserve">The survey vendor </w:t>
      </w:r>
      <w:r w:rsidRPr="00F02455">
        <w:t xml:space="preserve">will </w:t>
      </w:r>
      <w:r>
        <w:t xml:space="preserve">then </w:t>
      </w:r>
      <w:r w:rsidRPr="00F02455">
        <w:t>commence data collection</w:t>
      </w:r>
      <w:r w:rsidR="008A2370">
        <w:t xml:space="preserve"> </w:t>
      </w:r>
      <w:r>
        <w:t xml:space="preserve">by sending mail and email invitations to sample members. </w:t>
      </w:r>
      <w:r w:rsidR="008A2370">
        <w:t>The mail samples will be sent</w:t>
      </w:r>
      <w:r w:rsidR="008A2370" w:rsidRPr="00B10DB1">
        <w:t xml:space="preserve"> </w:t>
      </w:r>
      <w:r w:rsidR="008A2370">
        <w:t xml:space="preserve">survey invitations </w:t>
      </w:r>
      <w:r w:rsidR="008A2370" w:rsidRPr="00B10DB1">
        <w:t xml:space="preserve">via traditional mail </w:t>
      </w:r>
      <w:r w:rsidR="008A2370">
        <w:t>that ask</w:t>
      </w:r>
      <w:r w:rsidR="008A2370" w:rsidRPr="00B10DB1">
        <w:t xml:space="preserve"> potential </w:t>
      </w:r>
      <w:r w:rsidR="008A2370">
        <w:t xml:space="preserve">respondents to </w:t>
      </w:r>
      <w:r w:rsidR="008A2370" w:rsidRPr="00B10DB1">
        <w:t>go to the specific website and enter a code to complete the survey.  </w:t>
      </w:r>
      <w:r w:rsidR="008A2370">
        <w:t xml:space="preserve">Email samples will be emailed a survey invitation containing a link to the survey. </w:t>
      </w:r>
      <w:r w:rsidR="00191F1B">
        <w:t xml:space="preserve"> (See Appendix C.)</w:t>
      </w:r>
    </w:p>
    <w:p w:rsidR="00635332" w:rsidRPr="00635332" w:rsidRDefault="00635332" w:rsidP="008A2370">
      <w:r w:rsidRPr="005A280A">
        <w:t xml:space="preserve">The in-panel survey completion rates for projects of this type range from </w:t>
      </w:r>
      <w:r w:rsidR="006C7252" w:rsidRPr="005A280A">
        <w:t>6</w:t>
      </w:r>
      <w:r w:rsidRPr="005A280A">
        <w:t xml:space="preserve">0%-80%, depending to some extent on the particular subpopulation groups being included in the survey as well as the incentive structure and reminder mechanisms. While </w:t>
      </w:r>
      <w:r w:rsidR="008B5029">
        <w:t>this</w:t>
      </w:r>
      <w:r w:rsidR="00A01763" w:rsidRPr="005A280A">
        <w:t xml:space="preserve"> </w:t>
      </w:r>
      <w:r w:rsidRPr="005A280A">
        <w:t xml:space="preserve">rate cannot be guaranteed, we </w:t>
      </w:r>
      <w:r w:rsidR="001F52DD" w:rsidRPr="005A280A">
        <w:t>are aiming for</w:t>
      </w:r>
      <w:r w:rsidRPr="005A280A">
        <w:t xml:space="preserve"> approximately 80%.</w:t>
      </w:r>
      <w:r w:rsidR="001F52DD">
        <w:t xml:space="preserve">  </w:t>
      </w:r>
    </w:p>
    <w:p w:rsidR="00A63646" w:rsidRPr="00C601D4" w:rsidRDefault="008A2370" w:rsidP="00A63646">
      <w:r>
        <w:t xml:space="preserve">The survey vendor </w:t>
      </w:r>
      <w:r w:rsidR="00A63646" w:rsidRPr="00F02455">
        <w:t xml:space="preserve">will track responses on a daily basis and provide </w:t>
      </w:r>
      <w:r>
        <w:t xml:space="preserve">the contractor and CMS with </w:t>
      </w:r>
      <w:r w:rsidR="00A63646" w:rsidRPr="00F02455">
        <w:t>periodic updates.</w:t>
      </w:r>
      <w:r w:rsidR="00906012">
        <w:t xml:space="preserve"> Up to two f</w:t>
      </w:r>
      <w:r>
        <w:t xml:space="preserve">ollow-up </w:t>
      </w:r>
      <w:r w:rsidR="00691E4D">
        <w:t>e</w:t>
      </w:r>
      <w:r w:rsidR="00906012">
        <w:t xml:space="preserve">mails </w:t>
      </w:r>
      <w:r>
        <w:t>will be sent</w:t>
      </w:r>
      <w:r w:rsidR="00906012">
        <w:t xml:space="preserve">; the first, approximately five days after the initial invitation is </w:t>
      </w:r>
      <w:r w:rsidR="00691E4D">
        <w:t>e</w:t>
      </w:r>
      <w:r w:rsidR="00906012">
        <w:t>mailed; the second, approximately five days after that. No follow-up mailings will be sent to sample members initially contacted by postal mail</w:t>
      </w:r>
      <w:r w:rsidR="00FD2984" w:rsidRPr="00C601D4">
        <w:t xml:space="preserve">, as the fieldwork period is fairly short. There is </w:t>
      </w:r>
      <w:r w:rsidR="00FD2984" w:rsidRPr="00C601D4">
        <w:lastRenderedPageBreak/>
        <w:t xml:space="preserve">not sufficient time to send out a postal reminder without essentially sending it a day or two after the first invitation, which some potential participants would view negatively as overly aggressive. </w:t>
      </w:r>
    </w:p>
    <w:p w:rsidR="003D39F7" w:rsidRPr="00C601D4" w:rsidRDefault="003D39F7" w:rsidP="00E551A6">
      <w:pPr>
        <w:pStyle w:val="Heading2"/>
      </w:pPr>
      <w:bookmarkStart w:id="5" w:name="_Toc305424285"/>
      <w:r w:rsidRPr="00C601D4">
        <w:t>Methods to Maximize Response Rates and Deal with Nonresponse</w:t>
      </w:r>
      <w:bookmarkEnd w:id="5"/>
    </w:p>
    <w:p w:rsidR="00851919" w:rsidRDefault="00822106" w:rsidP="00851919">
      <w:pPr>
        <w:rPr>
          <w:szCs w:val="24"/>
        </w:rPr>
      </w:pPr>
      <w:r w:rsidRPr="00C601D4">
        <w:t xml:space="preserve">As this is a convenience sample, </w:t>
      </w:r>
      <w:r w:rsidR="00A01763" w:rsidRPr="00C601D4">
        <w:t>there is no</w:t>
      </w:r>
      <w:r w:rsidRPr="00C601D4">
        <w:t xml:space="preserve"> response rate</w:t>
      </w:r>
      <w:r w:rsidR="00F05A17" w:rsidRPr="00C601D4">
        <w:t xml:space="preserve"> for this research. Instead, we will provide a participation rate</w:t>
      </w:r>
      <w:r w:rsidR="00486985" w:rsidRPr="00C601D4">
        <w:t>,</w:t>
      </w:r>
      <w:r w:rsidR="00F05A17" w:rsidRPr="00C601D4">
        <w:t xml:space="preserve"> per recommendations from the AAPOR Task Force (2010) and ISO 26362 (2009).</w:t>
      </w:r>
      <w:r w:rsidRPr="00C601D4">
        <w:t xml:space="preserve"> Regardless of this, a</w:t>
      </w:r>
      <w:r w:rsidR="003435F9" w:rsidRPr="00C601D4">
        <w:t xml:space="preserve"> number of</w:t>
      </w:r>
      <w:r w:rsidR="00962CDA" w:rsidRPr="00C601D4">
        <w:t xml:space="preserve"> methods of maximizing response will be employed</w:t>
      </w:r>
      <w:r w:rsidRPr="00C601D4">
        <w:t xml:space="preserve"> in line with industry standards of best practice</w:t>
      </w:r>
      <w:r w:rsidR="00962CDA" w:rsidRPr="00C601D4">
        <w:t xml:space="preserve">. </w:t>
      </w:r>
      <w:r w:rsidR="003435F9" w:rsidRPr="00C601D4">
        <w:t>T</w:t>
      </w:r>
      <w:r w:rsidR="001756A1" w:rsidRPr="00C601D4">
        <w:t>he e-mail and mail invitations to participate in the survey, the introductory survey language, and the su</w:t>
      </w:r>
      <w:r w:rsidR="003435F9" w:rsidRPr="00C601D4">
        <w:t>rvey itself are designed to facilitate</w:t>
      </w:r>
      <w:r w:rsidR="001756A1" w:rsidRPr="00C601D4">
        <w:t xml:space="preserve"> rapid understan</w:t>
      </w:r>
      <w:r w:rsidR="003435F9" w:rsidRPr="00C601D4">
        <w:t>ding and promote</w:t>
      </w:r>
      <w:r w:rsidR="001756A1" w:rsidRPr="00C601D4">
        <w:t xml:space="preserve"> compliance with and completion of the survey. </w:t>
      </w:r>
      <w:r w:rsidR="00A73EDB" w:rsidRPr="00C601D4">
        <w:t xml:space="preserve">The survey vendor </w:t>
      </w:r>
      <w:r w:rsidR="00962CDA" w:rsidRPr="00C601D4">
        <w:t>utilize</w:t>
      </w:r>
      <w:r w:rsidR="00A73EDB" w:rsidRPr="00C601D4">
        <w:t>s</w:t>
      </w:r>
      <w:r w:rsidR="00962CDA" w:rsidRPr="00C601D4">
        <w:t xml:space="preserve"> best practices derived from mail and online surveys in </w:t>
      </w:r>
      <w:r w:rsidR="00A73EDB" w:rsidRPr="00C601D4">
        <w:t xml:space="preserve">its </w:t>
      </w:r>
      <w:r w:rsidR="00962CDA" w:rsidRPr="00C601D4">
        <w:t xml:space="preserve">approach to initial contacts and all follow-on email reminders. </w:t>
      </w:r>
      <w:r w:rsidR="001756A1" w:rsidRPr="00C601D4">
        <w:t xml:space="preserve"> The importance of the survey and the reasons each individual should participate will be emphasized in all contacts with sample members; the body of research around response has demonstrated that respondent understanding of the reasons for and importance of a survey are</w:t>
      </w:r>
      <w:r w:rsidR="001756A1" w:rsidRPr="00B10DB1">
        <w:t xml:space="preserve"> important factors in their likelihood of completing the survey.</w:t>
      </w:r>
      <w:r w:rsidR="001756A1" w:rsidRPr="001756A1">
        <w:rPr>
          <w:szCs w:val="24"/>
        </w:rPr>
        <w:t xml:space="preserve"> </w:t>
      </w:r>
    </w:p>
    <w:p w:rsidR="00A73EDB" w:rsidRDefault="00851919" w:rsidP="00C25B74">
      <w:r w:rsidRPr="00F02455">
        <w:t xml:space="preserve">The estimated time involved </w:t>
      </w:r>
      <w:r>
        <w:t>to complete the</w:t>
      </w:r>
      <w:r w:rsidRPr="00F02455">
        <w:t xml:space="preserve"> survey is stated in the invitation so that respondents will realize that </w:t>
      </w:r>
      <w:r>
        <w:t>it</w:t>
      </w:r>
      <w:r w:rsidRPr="00F02455">
        <w:t xml:space="preserve"> will take only a small amount of time. </w:t>
      </w:r>
      <w:r w:rsidR="001756A1">
        <w:rPr>
          <w:szCs w:val="24"/>
        </w:rPr>
        <w:t>Invitations also succinctly describe</w:t>
      </w:r>
      <w:r w:rsidR="001756A1" w:rsidRPr="00594A32">
        <w:rPr>
          <w:szCs w:val="24"/>
        </w:rPr>
        <w:t xml:space="preserve"> procedures for maintaining the </w:t>
      </w:r>
      <w:r w:rsidR="001756A1">
        <w:rPr>
          <w:szCs w:val="24"/>
        </w:rPr>
        <w:t>privacy</w:t>
      </w:r>
      <w:r w:rsidR="001756A1" w:rsidRPr="00594A32">
        <w:rPr>
          <w:szCs w:val="24"/>
        </w:rPr>
        <w:t xml:space="preserve"> of respondents (</w:t>
      </w:r>
      <w:r w:rsidR="001756A1" w:rsidRPr="00020AA6">
        <w:rPr>
          <w:szCs w:val="24"/>
        </w:rPr>
        <w:t>i.e.,</w:t>
      </w:r>
      <w:r w:rsidR="001756A1">
        <w:rPr>
          <w:szCs w:val="24"/>
        </w:rPr>
        <w:t xml:space="preserve"> identities of individuals </w:t>
      </w:r>
      <w:r w:rsidR="001756A1" w:rsidRPr="00594A32">
        <w:rPr>
          <w:szCs w:val="24"/>
        </w:rPr>
        <w:t>will not be released, identifying information will be stored separately from the survey responses, and all information collected will be analyzed in the aggregate).</w:t>
      </w:r>
      <w:r w:rsidR="003435F9">
        <w:rPr>
          <w:szCs w:val="24"/>
        </w:rPr>
        <w:t xml:space="preserve"> </w:t>
      </w:r>
      <w:r w:rsidR="00962CDA" w:rsidRPr="00B10DB1">
        <w:t xml:space="preserve">Reminders for survey completion </w:t>
      </w:r>
      <w:r w:rsidR="00962CDA" w:rsidRPr="003435F9">
        <w:t xml:space="preserve">will be </w:t>
      </w:r>
      <w:r w:rsidR="001756A1" w:rsidRPr="003435F9">
        <w:t>sent only to those who have not completed it</w:t>
      </w:r>
      <w:r w:rsidR="00962CDA" w:rsidRPr="00B10DB1">
        <w:t xml:space="preserve"> and will be worded in such a way that potential participants do not feel </w:t>
      </w:r>
      <w:r w:rsidR="00A73EDB">
        <w:t>“</w:t>
      </w:r>
      <w:r w:rsidR="00962CDA" w:rsidRPr="00B10DB1">
        <w:t>hounded</w:t>
      </w:r>
      <w:r w:rsidR="001756A1">
        <w:t xml:space="preserve">.” </w:t>
      </w:r>
    </w:p>
    <w:p w:rsidR="00A80585" w:rsidRPr="00594A32" w:rsidRDefault="001756A1" w:rsidP="00F05A17">
      <w:r w:rsidRPr="00C601D4">
        <w:t xml:space="preserve">Consistent with the calculations approved by the American Association for Public Opinion Research (AAPOR), </w:t>
      </w:r>
      <w:r w:rsidR="00F13759" w:rsidRPr="00C601D4">
        <w:t>participation</w:t>
      </w:r>
      <w:r w:rsidR="00822106" w:rsidRPr="00C601D4">
        <w:t xml:space="preserve"> </w:t>
      </w:r>
      <w:r w:rsidRPr="00C601D4">
        <w:t>rates for this study will be calculated as:</w:t>
      </w:r>
      <w:r w:rsidR="00F05A17" w:rsidRPr="00C601D4">
        <w:t xml:space="preserve"> “the number of respondents who have </w:t>
      </w:r>
      <w:r w:rsidR="00F05A17" w:rsidRPr="00C601D4">
        <w:lastRenderedPageBreak/>
        <w:t>provided a usable response divided by the total number of initial personal invitations requesting participation” (per AAPOR guidelines on Non-Probability Internet Panels).</w:t>
      </w:r>
    </w:p>
    <w:p w:rsidR="003D39F7" w:rsidRDefault="003D39F7" w:rsidP="00E551A6">
      <w:pPr>
        <w:pStyle w:val="Heading2"/>
      </w:pPr>
      <w:bookmarkStart w:id="6" w:name="_Toc305424286"/>
      <w:r>
        <w:t>Tests of Procedures or Methods to be Undertaken</w:t>
      </w:r>
      <w:bookmarkEnd w:id="6"/>
    </w:p>
    <w:p w:rsidR="009424B3" w:rsidRPr="00962CDA" w:rsidRDefault="009424B3" w:rsidP="00962CDA">
      <w:r>
        <w:t>The sampling and data collection procedures are used on an ongoing basis by the survey vendor and are refined and improved as needed.</w:t>
      </w:r>
      <w:r w:rsidR="000451E7">
        <w:t xml:space="preserve"> </w:t>
      </w:r>
      <w:r w:rsidR="000451E7" w:rsidRPr="005A280A">
        <w:t xml:space="preserve">The survey questionnaire will be pretested </w:t>
      </w:r>
      <w:r w:rsidR="002F3B7F" w:rsidRPr="005A280A">
        <w:t>by several member organizations that represent the three audiences (providers, vendors, and payers). The organizations are planning to field the questionnaire among their members during a March-April 2011 time frame. They will report any fielding difficulties or questions from participants to CMS.</w:t>
      </w:r>
    </w:p>
    <w:p w:rsidR="003D39F7" w:rsidRDefault="003D39F7" w:rsidP="00E551A6">
      <w:pPr>
        <w:pStyle w:val="Heading2"/>
      </w:pPr>
      <w:bookmarkStart w:id="7" w:name="_Toc305424287"/>
      <w:r>
        <w:t>Individuals Consulted on Statistical Aspects and Individuals Collecting and/or Analyzing Data</w:t>
      </w:r>
      <w:bookmarkEnd w:id="7"/>
    </w:p>
    <w:p w:rsidR="00B955E4" w:rsidRPr="00F02455" w:rsidRDefault="00B955E4" w:rsidP="00B955E4">
      <w:r>
        <w:t xml:space="preserve">CMS’ prime contractor, Ketchum, </w:t>
      </w:r>
      <w:r w:rsidR="00E919F5">
        <w:t>will contract</w:t>
      </w:r>
      <w:r w:rsidRPr="00F02455">
        <w:t xml:space="preserve"> with </w:t>
      </w:r>
      <w:r>
        <w:t xml:space="preserve">Ipsos to conduct the sampling, data collection and analysis for this study. Ipsos’ efforts will be overseen by Dr. </w:t>
      </w:r>
      <w:r w:rsidRPr="00B10DB1">
        <w:t>Clifford Young, Managing Director, Public Sector, Ipsos Public Affairs, USA</w:t>
      </w:r>
      <w:r>
        <w:t xml:space="preserve">. </w:t>
      </w:r>
      <w:r w:rsidRPr="00B10DB1">
        <w:t>Dr. Young is a survey statistician and methodologist</w:t>
      </w:r>
      <w:r>
        <w:t xml:space="preserve">, trained in </w:t>
      </w:r>
      <w:r w:rsidRPr="00B10DB1">
        <w:t xml:space="preserve">Statistics and Survey Methods (MA and PhD) at the University of Chicago, and in survey sampling at the University of Michigan. He is expert in sampling and methodological design, and has led on </w:t>
      </w:r>
      <w:r w:rsidR="00691E4D">
        <w:t>more than</w:t>
      </w:r>
      <w:r w:rsidRPr="00B10DB1">
        <w:t xml:space="preserve"> 30 full sample</w:t>
      </w:r>
      <w:r w:rsidR="004A4182">
        <w:t>s</w:t>
      </w:r>
      <w:r w:rsidRPr="00B10DB1">
        <w:t xml:space="preserve"> </w:t>
      </w:r>
      <w:r w:rsidR="00E919F5">
        <w:t>and</w:t>
      </w:r>
      <w:r w:rsidRPr="00B10DB1">
        <w:t xml:space="preserve"> worked as lead survey methodologist on </w:t>
      </w:r>
      <w:r w:rsidR="00691E4D">
        <w:t>more than</w:t>
      </w:r>
      <w:r w:rsidRPr="00B10DB1">
        <w:t xml:space="preserve"> 50.</w:t>
      </w:r>
      <w:r>
        <w:t xml:space="preserve">  Ipsos’ </w:t>
      </w:r>
      <w:r w:rsidR="00756919">
        <w:t xml:space="preserve">Meghann Jones, Senior Research Manager, and Neale El-Dash, Director, </w:t>
      </w:r>
      <w:r w:rsidR="00E919F5">
        <w:t xml:space="preserve">will </w:t>
      </w:r>
      <w:r w:rsidR="00756919">
        <w:t>also lead this project.</w:t>
      </w:r>
      <w:r>
        <w:t xml:space="preserve"> Ketchum’s </w:t>
      </w:r>
      <w:r w:rsidR="00B7543B">
        <w:t>Christina Nicols, Vice President and Director of Research,</w:t>
      </w:r>
      <w:r>
        <w:t xml:space="preserve"> will </w:t>
      </w:r>
      <w:r w:rsidR="00B7543B">
        <w:t xml:space="preserve">prepare a report of findings based on Ipsos’ data tables. </w:t>
      </w:r>
      <w:r w:rsidRPr="00F02455">
        <w:t xml:space="preserve"> Several </w:t>
      </w:r>
      <w:r w:rsidR="009A3FB2">
        <w:t>Ipsos st</w:t>
      </w:r>
      <w:r w:rsidRPr="00F02455">
        <w:t xml:space="preserve">aff with </w:t>
      </w:r>
      <w:r w:rsidR="009A3FB2">
        <w:t>appropriate</w:t>
      </w:r>
      <w:r w:rsidRPr="00F02455">
        <w:t xml:space="preserve"> training are also available as needed to </w:t>
      </w:r>
      <w:r w:rsidR="009A3FB2">
        <w:t xml:space="preserve">program the questionnaire, </w:t>
      </w:r>
      <w:r w:rsidRPr="00F02455">
        <w:t xml:space="preserve">perform statistical programming, prepare tables and summary statistics for reports, and </w:t>
      </w:r>
      <w:r w:rsidRPr="00756919">
        <w:t xml:space="preserve">assist in interpretation of the results </w:t>
      </w:r>
      <w:r w:rsidR="00756919">
        <w:t>of</w:t>
      </w:r>
      <w:r w:rsidRPr="00756919">
        <w:t xml:space="preserve"> the quantitative analysis.</w:t>
      </w:r>
      <w:r w:rsidRPr="00F02455">
        <w:t xml:space="preserve">  </w:t>
      </w:r>
      <w:r w:rsidR="003C310F">
        <w:t xml:space="preserve"> </w:t>
      </w:r>
    </w:p>
    <w:p w:rsidR="002131CE" w:rsidRPr="002131CE" w:rsidRDefault="00811773" w:rsidP="002131CE">
      <w:r w:rsidRPr="005212C1">
        <w:lastRenderedPageBreak/>
        <w:t>Rosali</w:t>
      </w:r>
      <w:r w:rsidR="00C555A5" w:rsidRPr="005212C1">
        <w:t xml:space="preserve"> Topper</w:t>
      </w:r>
      <w:r w:rsidR="005212C1">
        <w:t>, Health Insurance Specialist,</w:t>
      </w:r>
      <w:r w:rsidR="003C310F" w:rsidRPr="005212C1">
        <w:t xml:space="preserve"> of CMS</w:t>
      </w:r>
      <w:r w:rsidR="00B955E4" w:rsidRPr="005212C1">
        <w:t xml:space="preserve"> will serve as the Technical Monitor and the federal agency personnel responsible for receiving and approving all contract deliverables.  Ms. </w:t>
      </w:r>
      <w:r w:rsidR="00C555A5" w:rsidRPr="005212C1">
        <w:t>Topper</w:t>
      </w:r>
      <w:r w:rsidR="00B955E4" w:rsidRPr="005212C1">
        <w:t xml:space="preserve">’s phone number is </w:t>
      </w:r>
      <w:r w:rsidR="005212C1" w:rsidRPr="005212C1">
        <w:rPr>
          <w:color w:val="000000"/>
        </w:rPr>
        <w:t>(410) 786-7260</w:t>
      </w:r>
      <w:r w:rsidR="00323FD0" w:rsidRPr="005212C1">
        <w:t>.</w:t>
      </w:r>
    </w:p>
    <w:sectPr w:rsidR="002131CE" w:rsidRPr="002131CE" w:rsidSect="002C11E2">
      <w:headerReference w:type="default" r:id="rId8"/>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51A8" w:rsidRDefault="005951A8" w:rsidP="00624549">
      <w:r>
        <w:separator/>
      </w:r>
    </w:p>
  </w:endnote>
  <w:endnote w:type="continuationSeparator" w:id="0">
    <w:p w:rsidR="005951A8" w:rsidRDefault="005951A8" w:rsidP="006245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5969481"/>
      <w:docPartObj>
        <w:docPartGallery w:val="Page Numbers (Bottom of Page)"/>
        <w:docPartUnique/>
      </w:docPartObj>
    </w:sdtPr>
    <w:sdtEndPr>
      <w:rPr>
        <w:noProof/>
      </w:rPr>
    </w:sdtEndPr>
    <w:sdtContent>
      <w:p w:rsidR="00822106" w:rsidRDefault="00E1137E" w:rsidP="00046C89">
        <w:pPr>
          <w:pStyle w:val="Footer"/>
          <w:jc w:val="center"/>
        </w:pPr>
        <w:fldSimple w:instr=" PAGE   \* MERGEFORMAT ">
          <w:r w:rsidR="00266867">
            <w:rPr>
              <w:noProof/>
            </w:rPr>
            <w:t>6</w:t>
          </w:r>
        </w:fldSimple>
      </w:p>
    </w:sdtContent>
  </w:sdt>
  <w:p w:rsidR="00822106" w:rsidRDefault="00822106" w:rsidP="006245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51A8" w:rsidRDefault="005951A8" w:rsidP="00624549">
      <w:r>
        <w:separator/>
      </w:r>
    </w:p>
  </w:footnote>
  <w:footnote w:type="continuationSeparator" w:id="0">
    <w:p w:rsidR="005951A8" w:rsidRDefault="005951A8" w:rsidP="006245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106" w:rsidRPr="00307A35" w:rsidRDefault="00822106" w:rsidP="00307A35">
    <w:pPr>
      <w:pStyle w:val="Header"/>
      <w:ind w:firstLine="0"/>
      <w:rPr>
        <w:i/>
      </w:rPr>
    </w:pPr>
    <w:r>
      <w:rPr>
        <w:i/>
      </w:rPr>
      <w:t>Revised</w:t>
    </w:r>
    <w:r w:rsidRPr="00307A35">
      <w:rPr>
        <w:i/>
      </w:rPr>
      <w:t xml:space="preserve"> – </w:t>
    </w:r>
    <w:r>
      <w:rPr>
        <w:i/>
      </w:rPr>
      <w:t>9</w:t>
    </w:r>
    <w:r w:rsidRPr="00307A35">
      <w:rPr>
        <w:i/>
      </w:rPr>
      <w:t>/</w:t>
    </w:r>
    <w:r>
      <w:rPr>
        <w:i/>
      </w:rPr>
      <w:t>30</w:t>
    </w:r>
    <w:r w:rsidRPr="00307A35">
      <w:rPr>
        <w:i/>
      </w:rPr>
      <w:t>/2011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D2E49"/>
    <w:multiLevelType w:val="hybridMultilevel"/>
    <w:tmpl w:val="C12C3702"/>
    <w:lvl w:ilvl="0" w:tplc="65328D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4A256C"/>
    <w:multiLevelType w:val="hybridMultilevel"/>
    <w:tmpl w:val="94DEA592"/>
    <w:lvl w:ilvl="0" w:tplc="53BCD344">
      <w:start w:val="1"/>
      <w:numFmt w:val="lowerLetter"/>
      <w:pStyle w:val="Heading3"/>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D466D2C"/>
    <w:multiLevelType w:val="hybridMultilevel"/>
    <w:tmpl w:val="F64EC3F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0DD0FAE"/>
    <w:multiLevelType w:val="hybridMultilevel"/>
    <w:tmpl w:val="52F87EB0"/>
    <w:lvl w:ilvl="0" w:tplc="AB5ED936">
      <w:start w:val="1"/>
      <w:numFmt w:val="bullet"/>
      <w:lvlText w:val=""/>
      <w:lvlJc w:val="left"/>
      <w:pPr>
        <w:ind w:left="1080" w:hanging="360"/>
      </w:pPr>
      <w:rPr>
        <w:rFonts w:ascii="Wingdings" w:hAnsi="Wingding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1C6464D3"/>
    <w:multiLevelType w:val="hybridMultilevel"/>
    <w:tmpl w:val="7E8EA64E"/>
    <w:lvl w:ilvl="0" w:tplc="AB5ED936">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4DE07D5"/>
    <w:multiLevelType w:val="hybridMultilevel"/>
    <w:tmpl w:val="FA4E077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258D5A88"/>
    <w:multiLevelType w:val="hybridMultilevel"/>
    <w:tmpl w:val="A382447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281E51AB"/>
    <w:multiLevelType w:val="hybridMultilevel"/>
    <w:tmpl w:val="5F7EC064"/>
    <w:lvl w:ilvl="0" w:tplc="59D0E170">
      <w:start w:val="1"/>
      <w:numFmt w:val="upperLetter"/>
      <w:pStyle w:val="Heading1"/>
      <w:lvlText w:val="%1."/>
      <w:lvlJc w:val="left"/>
      <w:pPr>
        <w:ind w:left="45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16527E3"/>
    <w:multiLevelType w:val="hybridMultilevel"/>
    <w:tmpl w:val="EB50EA10"/>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38705443"/>
    <w:multiLevelType w:val="hybridMultilevel"/>
    <w:tmpl w:val="9C66A0C4"/>
    <w:lvl w:ilvl="0" w:tplc="AB5ED936">
      <w:start w:val="1"/>
      <w:numFmt w:val="bullet"/>
      <w:lvlText w:val=""/>
      <w:lvlJc w:val="left"/>
      <w:pPr>
        <w:ind w:left="1080" w:hanging="360"/>
      </w:pPr>
      <w:rPr>
        <w:rFonts w:ascii="Wingdings" w:hAnsi="Wingding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nsid w:val="3CB34D1D"/>
    <w:multiLevelType w:val="hybridMultilevel"/>
    <w:tmpl w:val="E02480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3F991544"/>
    <w:multiLevelType w:val="hybridMultilevel"/>
    <w:tmpl w:val="D4A2DDD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7E52F9"/>
    <w:multiLevelType w:val="hybridMultilevel"/>
    <w:tmpl w:val="9C829886"/>
    <w:lvl w:ilvl="0" w:tplc="0F08115E">
      <w:start w:val="1"/>
      <w:numFmt w:val="decimal"/>
      <w:pStyle w:val="Heading2"/>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9033331"/>
    <w:multiLevelType w:val="hybridMultilevel"/>
    <w:tmpl w:val="2F9CDBC8"/>
    <w:lvl w:ilvl="0" w:tplc="AB5ED936">
      <w:start w:val="1"/>
      <w:numFmt w:val="bullet"/>
      <w:lvlText w:val=""/>
      <w:lvlJc w:val="left"/>
      <w:pPr>
        <w:ind w:left="1080" w:hanging="360"/>
      </w:pPr>
      <w:rPr>
        <w:rFonts w:ascii="Wingdings" w:hAnsi="Wingding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nsid w:val="673F1E35"/>
    <w:multiLevelType w:val="hybridMultilevel"/>
    <w:tmpl w:val="1F4608BC"/>
    <w:lvl w:ilvl="0" w:tplc="AB5ED936">
      <w:start w:val="1"/>
      <w:numFmt w:val="bullet"/>
      <w:lvlText w:val=""/>
      <w:lvlJc w:val="left"/>
      <w:pPr>
        <w:ind w:left="1080" w:hanging="360"/>
      </w:pPr>
      <w:rPr>
        <w:rFonts w:ascii="Wingdings" w:hAnsi="Wingding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nsid w:val="747205A6"/>
    <w:multiLevelType w:val="hybridMultilevel"/>
    <w:tmpl w:val="6DC0F6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7D7E1CFC"/>
    <w:multiLevelType w:val="hybridMultilevel"/>
    <w:tmpl w:val="01F6AED4"/>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2"/>
  </w:num>
  <w:num w:numId="3">
    <w:abstractNumId w:val="0"/>
  </w:num>
  <w:num w:numId="4">
    <w:abstractNumId w:val="7"/>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2"/>
    <w:lvlOverride w:ilvl="0">
      <w:startOverride w:val="1"/>
    </w:lvlOverride>
  </w:num>
  <w:num w:numId="14">
    <w:abstractNumId w:val="1"/>
  </w:num>
  <w:num w:numId="15">
    <w:abstractNumId w:val="8"/>
  </w:num>
  <w:num w:numId="16">
    <w:abstractNumId w:val="6"/>
  </w:num>
  <w:num w:numId="17">
    <w:abstractNumId w:val="6"/>
  </w:num>
  <w:num w:numId="1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20"/>
  <w:characterSpacingControl w:val="doNotCompress"/>
  <w:hdrShapeDefaults>
    <o:shapedefaults v:ext="edit" spidmax="45058"/>
  </w:hdrShapeDefaults>
  <w:footnotePr>
    <w:footnote w:id="-1"/>
    <w:footnote w:id="0"/>
  </w:footnotePr>
  <w:endnotePr>
    <w:endnote w:id="-1"/>
    <w:endnote w:id="0"/>
  </w:endnotePr>
  <w:compat/>
  <w:rsids>
    <w:rsidRoot w:val="004A3F7F"/>
    <w:rsid w:val="00002FB3"/>
    <w:rsid w:val="0000684F"/>
    <w:rsid w:val="000210A5"/>
    <w:rsid w:val="00023EB4"/>
    <w:rsid w:val="0003784E"/>
    <w:rsid w:val="00044B25"/>
    <w:rsid w:val="000451E7"/>
    <w:rsid w:val="00046C89"/>
    <w:rsid w:val="000A43BF"/>
    <w:rsid w:val="000B00CB"/>
    <w:rsid w:val="000B156E"/>
    <w:rsid w:val="000C1369"/>
    <w:rsid w:val="000C4072"/>
    <w:rsid w:val="000F4972"/>
    <w:rsid w:val="00121B3E"/>
    <w:rsid w:val="00132E0F"/>
    <w:rsid w:val="00140A1C"/>
    <w:rsid w:val="00143FC1"/>
    <w:rsid w:val="00145135"/>
    <w:rsid w:val="00173396"/>
    <w:rsid w:val="001756A1"/>
    <w:rsid w:val="001758B5"/>
    <w:rsid w:val="00182E69"/>
    <w:rsid w:val="00191F1B"/>
    <w:rsid w:val="00194AF9"/>
    <w:rsid w:val="001A1859"/>
    <w:rsid w:val="001A25B3"/>
    <w:rsid w:val="001B0C61"/>
    <w:rsid w:val="001B1AA9"/>
    <w:rsid w:val="001B259B"/>
    <w:rsid w:val="001B424F"/>
    <w:rsid w:val="001C1CB7"/>
    <w:rsid w:val="001C4667"/>
    <w:rsid w:val="001D25AB"/>
    <w:rsid w:val="001E1C18"/>
    <w:rsid w:val="001F36E1"/>
    <w:rsid w:val="001F52DD"/>
    <w:rsid w:val="001F6127"/>
    <w:rsid w:val="00201031"/>
    <w:rsid w:val="00212278"/>
    <w:rsid w:val="002131CE"/>
    <w:rsid w:val="00213CFF"/>
    <w:rsid w:val="00251BAF"/>
    <w:rsid w:val="0026360E"/>
    <w:rsid w:val="00266867"/>
    <w:rsid w:val="002678A2"/>
    <w:rsid w:val="00275620"/>
    <w:rsid w:val="00282365"/>
    <w:rsid w:val="0028591E"/>
    <w:rsid w:val="002944F9"/>
    <w:rsid w:val="002A01BD"/>
    <w:rsid w:val="002A7FC5"/>
    <w:rsid w:val="002B1863"/>
    <w:rsid w:val="002B36E1"/>
    <w:rsid w:val="002B7153"/>
    <w:rsid w:val="002B76C7"/>
    <w:rsid w:val="002C11E2"/>
    <w:rsid w:val="002D10FD"/>
    <w:rsid w:val="002D2C70"/>
    <w:rsid w:val="002F18E1"/>
    <w:rsid w:val="002F3B7F"/>
    <w:rsid w:val="002F60CC"/>
    <w:rsid w:val="003043A4"/>
    <w:rsid w:val="00305287"/>
    <w:rsid w:val="00307A35"/>
    <w:rsid w:val="00317E67"/>
    <w:rsid w:val="00323FD0"/>
    <w:rsid w:val="00341D9F"/>
    <w:rsid w:val="003435F9"/>
    <w:rsid w:val="00344F83"/>
    <w:rsid w:val="003558D5"/>
    <w:rsid w:val="003606A9"/>
    <w:rsid w:val="00371E0D"/>
    <w:rsid w:val="003867DC"/>
    <w:rsid w:val="00390B2B"/>
    <w:rsid w:val="003A35E7"/>
    <w:rsid w:val="003A6BDA"/>
    <w:rsid w:val="003B0EF8"/>
    <w:rsid w:val="003C310F"/>
    <w:rsid w:val="003C46FC"/>
    <w:rsid w:val="003C58A3"/>
    <w:rsid w:val="003D0CE4"/>
    <w:rsid w:val="003D26FC"/>
    <w:rsid w:val="003D39F7"/>
    <w:rsid w:val="003F696B"/>
    <w:rsid w:val="00400601"/>
    <w:rsid w:val="00405506"/>
    <w:rsid w:val="00406D50"/>
    <w:rsid w:val="00440B0D"/>
    <w:rsid w:val="00442DAA"/>
    <w:rsid w:val="004470D5"/>
    <w:rsid w:val="00447ACB"/>
    <w:rsid w:val="00461999"/>
    <w:rsid w:val="004658BC"/>
    <w:rsid w:val="00486985"/>
    <w:rsid w:val="00486E58"/>
    <w:rsid w:val="00495677"/>
    <w:rsid w:val="004A3E58"/>
    <w:rsid w:val="004A3F7F"/>
    <w:rsid w:val="004A4182"/>
    <w:rsid w:val="004A5F11"/>
    <w:rsid w:val="004A5FE6"/>
    <w:rsid w:val="004B303C"/>
    <w:rsid w:val="004B549B"/>
    <w:rsid w:val="004B5F03"/>
    <w:rsid w:val="004B7CB2"/>
    <w:rsid w:val="004C5F45"/>
    <w:rsid w:val="004D0D5F"/>
    <w:rsid w:val="004D3265"/>
    <w:rsid w:val="004D73CA"/>
    <w:rsid w:val="004D73F2"/>
    <w:rsid w:val="004F0199"/>
    <w:rsid w:val="004F471E"/>
    <w:rsid w:val="00506032"/>
    <w:rsid w:val="005128EE"/>
    <w:rsid w:val="0051339F"/>
    <w:rsid w:val="0051528E"/>
    <w:rsid w:val="00516F8A"/>
    <w:rsid w:val="005212C1"/>
    <w:rsid w:val="00523E9D"/>
    <w:rsid w:val="00524EBC"/>
    <w:rsid w:val="00527F7F"/>
    <w:rsid w:val="005327BD"/>
    <w:rsid w:val="00547B4D"/>
    <w:rsid w:val="005501EE"/>
    <w:rsid w:val="00563B98"/>
    <w:rsid w:val="00564D8E"/>
    <w:rsid w:val="00571568"/>
    <w:rsid w:val="00571665"/>
    <w:rsid w:val="00582137"/>
    <w:rsid w:val="0058423F"/>
    <w:rsid w:val="0058506C"/>
    <w:rsid w:val="00590587"/>
    <w:rsid w:val="00592E97"/>
    <w:rsid w:val="005951A8"/>
    <w:rsid w:val="0059533F"/>
    <w:rsid w:val="005A280A"/>
    <w:rsid w:val="005A4119"/>
    <w:rsid w:val="005B51B1"/>
    <w:rsid w:val="005B578B"/>
    <w:rsid w:val="005D721F"/>
    <w:rsid w:val="00612FDF"/>
    <w:rsid w:val="00624549"/>
    <w:rsid w:val="00635332"/>
    <w:rsid w:val="00646D9B"/>
    <w:rsid w:val="00655BF7"/>
    <w:rsid w:val="00661566"/>
    <w:rsid w:val="00667A0A"/>
    <w:rsid w:val="006732F1"/>
    <w:rsid w:val="00691E4D"/>
    <w:rsid w:val="006937D7"/>
    <w:rsid w:val="006A7308"/>
    <w:rsid w:val="006C5DC2"/>
    <w:rsid w:val="006C7252"/>
    <w:rsid w:val="006E3F3E"/>
    <w:rsid w:val="006F4FC0"/>
    <w:rsid w:val="007132E7"/>
    <w:rsid w:val="00717117"/>
    <w:rsid w:val="00723DAD"/>
    <w:rsid w:val="00730F89"/>
    <w:rsid w:val="007422FD"/>
    <w:rsid w:val="0075529D"/>
    <w:rsid w:val="00756919"/>
    <w:rsid w:val="0079431D"/>
    <w:rsid w:val="007955B4"/>
    <w:rsid w:val="007B57BC"/>
    <w:rsid w:val="007C0A30"/>
    <w:rsid w:val="007C2FDF"/>
    <w:rsid w:val="007E7100"/>
    <w:rsid w:val="007F588B"/>
    <w:rsid w:val="00802FE2"/>
    <w:rsid w:val="00806B8E"/>
    <w:rsid w:val="00807632"/>
    <w:rsid w:val="00807F77"/>
    <w:rsid w:val="00811773"/>
    <w:rsid w:val="00815B22"/>
    <w:rsid w:val="00822106"/>
    <w:rsid w:val="008404DF"/>
    <w:rsid w:val="00845793"/>
    <w:rsid w:val="00851919"/>
    <w:rsid w:val="0086174C"/>
    <w:rsid w:val="008720CB"/>
    <w:rsid w:val="008754EE"/>
    <w:rsid w:val="008777F1"/>
    <w:rsid w:val="00877E8D"/>
    <w:rsid w:val="0088274A"/>
    <w:rsid w:val="00885D6C"/>
    <w:rsid w:val="008934B2"/>
    <w:rsid w:val="008942C0"/>
    <w:rsid w:val="008A2370"/>
    <w:rsid w:val="008A3083"/>
    <w:rsid w:val="008B07DF"/>
    <w:rsid w:val="008B5029"/>
    <w:rsid w:val="008B6177"/>
    <w:rsid w:val="008D6046"/>
    <w:rsid w:val="008D6160"/>
    <w:rsid w:val="00906012"/>
    <w:rsid w:val="00914776"/>
    <w:rsid w:val="00932896"/>
    <w:rsid w:val="0094219C"/>
    <w:rsid w:val="009424B3"/>
    <w:rsid w:val="00944AFF"/>
    <w:rsid w:val="00950E38"/>
    <w:rsid w:val="00962CDA"/>
    <w:rsid w:val="00982B92"/>
    <w:rsid w:val="0099167E"/>
    <w:rsid w:val="00992B14"/>
    <w:rsid w:val="009A3FB2"/>
    <w:rsid w:val="009A434A"/>
    <w:rsid w:val="009C4BCE"/>
    <w:rsid w:val="009D4913"/>
    <w:rsid w:val="009D545C"/>
    <w:rsid w:val="009D5794"/>
    <w:rsid w:val="009E6A18"/>
    <w:rsid w:val="009F2824"/>
    <w:rsid w:val="00A01763"/>
    <w:rsid w:val="00A04D22"/>
    <w:rsid w:val="00A139C9"/>
    <w:rsid w:val="00A25503"/>
    <w:rsid w:val="00A3381D"/>
    <w:rsid w:val="00A63646"/>
    <w:rsid w:val="00A704E8"/>
    <w:rsid w:val="00A73EDB"/>
    <w:rsid w:val="00A7427C"/>
    <w:rsid w:val="00A746FA"/>
    <w:rsid w:val="00A80585"/>
    <w:rsid w:val="00A86C57"/>
    <w:rsid w:val="00A926D1"/>
    <w:rsid w:val="00A946A7"/>
    <w:rsid w:val="00AA55DF"/>
    <w:rsid w:val="00AB6E09"/>
    <w:rsid w:val="00AC5242"/>
    <w:rsid w:val="00AD73DE"/>
    <w:rsid w:val="00AF51C9"/>
    <w:rsid w:val="00B01390"/>
    <w:rsid w:val="00B07BA0"/>
    <w:rsid w:val="00B10DB1"/>
    <w:rsid w:val="00B32372"/>
    <w:rsid w:val="00B33C82"/>
    <w:rsid w:val="00B456C4"/>
    <w:rsid w:val="00B57B9D"/>
    <w:rsid w:val="00B61F52"/>
    <w:rsid w:val="00B7543B"/>
    <w:rsid w:val="00B839B5"/>
    <w:rsid w:val="00B91BFB"/>
    <w:rsid w:val="00B955E4"/>
    <w:rsid w:val="00B96A9F"/>
    <w:rsid w:val="00BA0EE4"/>
    <w:rsid w:val="00BC5763"/>
    <w:rsid w:val="00BE20B1"/>
    <w:rsid w:val="00BE2D3D"/>
    <w:rsid w:val="00BE65AC"/>
    <w:rsid w:val="00C013EA"/>
    <w:rsid w:val="00C07764"/>
    <w:rsid w:val="00C247D8"/>
    <w:rsid w:val="00C25B74"/>
    <w:rsid w:val="00C364CC"/>
    <w:rsid w:val="00C51CD6"/>
    <w:rsid w:val="00C555A5"/>
    <w:rsid w:val="00C56495"/>
    <w:rsid w:val="00C601D4"/>
    <w:rsid w:val="00C6120B"/>
    <w:rsid w:val="00C66604"/>
    <w:rsid w:val="00CA0165"/>
    <w:rsid w:val="00CA4E4F"/>
    <w:rsid w:val="00CB1222"/>
    <w:rsid w:val="00CB7903"/>
    <w:rsid w:val="00CC70E1"/>
    <w:rsid w:val="00CC7748"/>
    <w:rsid w:val="00CD666C"/>
    <w:rsid w:val="00CE0376"/>
    <w:rsid w:val="00CE4338"/>
    <w:rsid w:val="00CE785D"/>
    <w:rsid w:val="00CF1967"/>
    <w:rsid w:val="00CF2817"/>
    <w:rsid w:val="00D21B37"/>
    <w:rsid w:val="00D23A91"/>
    <w:rsid w:val="00D46E03"/>
    <w:rsid w:val="00D541FC"/>
    <w:rsid w:val="00D61DFB"/>
    <w:rsid w:val="00D75871"/>
    <w:rsid w:val="00D8073C"/>
    <w:rsid w:val="00D82479"/>
    <w:rsid w:val="00D829B4"/>
    <w:rsid w:val="00DE34C8"/>
    <w:rsid w:val="00DF0AAA"/>
    <w:rsid w:val="00DF4C18"/>
    <w:rsid w:val="00E02BA1"/>
    <w:rsid w:val="00E02BC0"/>
    <w:rsid w:val="00E1137E"/>
    <w:rsid w:val="00E17195"/>
    <w:rsid w:val="00E205C7"/>
    <w:rsid w:val="00E20B1B"/>
    <w:rsid w:val="00E2144C"/>
    <w:rsid w:val="00E22874"/>
    <w:rsid w:val="00E26326"/>
    <w:rsid w:val="00E37CC8"/>
    <w:rsid w:val="00E551A6"/>
    <w:rsid w:val="00E738C1"/>
    <w:rsid w:val="00E919F5"/>
    <w:rsid w:val="00EA6EA4"/>
    <w:rsid w:val="00EB000C"/>
    <w:rsid w:val="00EB6049"/>
    <w:rsid w:val="00ED4A9E"/>
    <w:rsid w:val="00EE7A1A"/>
    <w:rsid w:val="00EE7E49"/>
    <w:rsid w:val="00EF1F20"/>
    <w:rsid w:val="00EF2BDC"/>
    <w:rsid w:val="00EF41FB"/>
    <w:rsid w:val="00F00EFC"/>
    <w:rsid w:val="00F05A17"/>
    <w:rsid w:val="00F13759"/>
    <w:rsid w:val="00F14E5F"/>
    <w:rsid w:val="00F152B6"/>
    <w:rsid w:val="00F21F86"/>
    <w:rsid w:val="00F23A11"/>
    <w:rsid w:val="00F344E8"/>
    <w:rsid w:val="00F346DD"/>
    <w:rsid w:val="00F3785F"/>
    <w:rsid w:val="00F4609C"/>
    <w:rsid w:val="00F52709"/>
    <w:rsid w:val="00F5715E"/>
    <w:rsid w:val="00F957D5"/>
    <w:rsid w:val="00F9693C"/>
    <w:rsid w:val="00FC03EA"/>
    <w:rsid w:val="00FC1015"/>
    <w:rsid w:val="00FC65C7"/>
    <w:rsid w:val="00FC6BDB"/>
    <w:rsid w:val="00FD2984"/>
    <w:rsid w:val="00FF4EA5"/>
    <w:rsid w:val="00FF76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549"/>
    <w:pPr>
      <w:spacing w:line="480" w:lineRule="auto"/>
      <w:ind w:firstLine="432"/>
    </w:pPr>
  </w:style>
  <w:style w:type="paragraph" w:styleId="Heading1">
    <w:name w:val="heading 1"/>
    <w:basedOn w:val="Normal"/>
    <w:next w:val="Normal"/>
    <w:link w:val="Heading1Char"/>
    <w:uiPriority w:val="9"/>
    <w:qFormat/>
    <w:rsid w:val="002A7FC5"/>
    <w:pPr>
      <w:keepNext/>
      <w:keepLines/>
      <w:numPr>
        <w:numId w:val="4"/>
      </w:numPr>
      <w:spacing w:before="480" w:after="0"/>
      <w:ind w:left="360"/>
      <w:outlineLvl w:val="0"/>
    </w:pPr>
    <w:rPr>
      <w:rFonts w:asciiTheme="majorHAnsi" w:eastAsiaTheme="majorEastAsia" w:hAnsiTheme="majorHAnsi" w:cstheme="majorBidi"/>
      <w:b/>
      <w:bCs/>
      <w:sz w:val="24"/>
      <w:szCs w:val="24"/>
    </w:rPr>
  </w:style>
  <w:style w:type="paragraph" w:styleId="Heading2">
    <w:name w:val="heading 2"/>
    <w:basedOn w:val="Normal"/>
    <w:next w:val="Normal"/>
    <w:link w:val="Heading2Char"/>
    <w:uiPriority w:val="9"/>
    <w:unhideWhenUsed/>
    <w:qFormat/>
    <w:rsid w:val="00A3381D"/>
    <w:pPr>
      <w:keepNext/>
      <w:keepLines/>
      <w:numPr>
        <w:numId w:val="2"/>
      </w:numPr>
      <w:spacing w:before="200"/>
      <w:outlineLvl w:val="1"/>
    </w:pPr>
    <w:rPr>
      <w:rFonts w:asciiTheme="majorHAnsi" w:eastAsiaTheme="majorEastAsia" w:hAnsiTheme="majorHAnsi" w:cstheme="majorBidi"/>
      <w:b/>
      <w:bCs/>
      <w:sz w:val="24"/>
      <w:szCs w:val="24"/>
    </w:rPr>
  </w:style>
  <w:style w:type="paragraph" w:styleId="Heading3">
    <w:name w:val="heading 3"/>
    <w:basedOn w:val="Normal"/>
    <w:next w:val="Normal"/>
    <w:link w:val="Heading3Char"/>
    <w:uiPriority w:val="9"/>
    <w:unhideWhenUsed/>
    <w:qFormat/>
    <w:rsid w:val="00046C89"/>
    <w:pPr>
      <w:keepNext/>
      <w:keepLines/>
      <w:numPr>
        <w:numId w:val="14"/>
      </w:numPr>
      <w:spacing w:before="200" w:after="0"/>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0601"/>
    <w:pPr>
      <w:spacing w:after="0" w:line="240" w:lineRule="auto"/>
    </w:pPr>
  </w:style>
  <w:style w:type="character" w:customStyle="1" w:styleId="Heading1Char">
    <w:name w:val="Heading 1 Char"/>
    <w:basedOn w:val="DefaultParagraphFont"/>
    <w:link w:val="Heading1"/>
    <w:uiPriority w:val="9"/>
    <w:rsid w:val="002A7FC5"/>
    <w:rPr>
      <w:rFonts w:asciiTheme="majorHAnsi" w:eastAsiaTheme="majorEastAsia" w:hAnsiTheme="majorHAnsi" w:cstheme="majorBidi"/>
      <w:b/>
      <w:bCs/>
      <w:sz w:val="24"/>
      <w:szCs w:val="24"/>
    </w:rPr>
  </w:style>
  <w:style w:type="paragraph" w:styleId="NormalWeb">
    <w:name w:val="Normal (Web)"/>
    <w:basedOn w:val="Normal"/>
    <w:unhideWhenUsed/>
    <w:rsid w:val="003A35E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A35E7"/>
    <w:pPr>
      <w:ind w:left="720"/>
      <w:contextualSpacing/>
    </w:pPr>
    <w:rPr>
      <w:rFonts w:ascii="Calibri" w:eastAsia="Calibri" w:hAnsi="Calibri" w:cs="Times New Roman"/>
    </w:rPr>
  </w:style>
  <w:style w:type="paragraph" w:styleId="TOCHeading">
    <w:name w:val="TOC Heading"/>
    <w:basedOn w:val="Heading1"/>
    <w:next w:val="Normal"/>
    <w:uiPriority w:val="39"/>
    <w:unhideWhenUsed/>
    <w:qFormat/>
    <w:rsid w:val="00E2144C"/>
    <w:pPr>
      <w:outlineLvl w:val="9"/>
    </w:pPr>
    <w:rPr>
      <w:lang w:eastAsia="ja-JP"/>
    </w:rPr>
  </w:style>
  <w:style w:type="paragraph" w:styleId="TOC1">
    <w:name w:val="toc 1"/>
    <w:basedOn w:val="Normal"/>
    <w:next w:val="Normal"/>
    <w:autoRedefine/>
    <w:uiPriority w:val="39"/>
    <w:unhideWhenUsed/>
    <w:rsid w:val="002D10FD"/>
    <w:pPr>
      <w:tabs>
        <w:tab w:val="left" w:pos="880"/>
        <w:tab w:val="right" w:leader="dot" w:pos="9350"/>
      </w:tabs>
      <w:spacing w:after="0"/>
    </w:pPr>
  </w:style>
  <w:style w:type="character" w:styleId="Hyperlink">
    <w:name w:val="Hyperlink"/>
    <w:basedOn w:val="DefaultParagraphFont"/>
    <w:uiPriority w:val="99"/>
    <w:unhideWhenUsed/>
    <w:rsid w:val="00E2144C"/>
    <w:rPr>
      <w:color w:val="0000FF" w:themeColor="hyperlink"/>
      <w:u w:val="single"/>
    </w:rPr>
  </w:style>
  <w:style w:type="paragraph" w:styleId="BalloonText">
    <w:name w:val="Balloon Text"/>
    <w:basedOn w:val="Normal"/>
    <w:link w:val="BalloonTextChar"/>
    <w:uiPriority w:val="99"/>
    <w:semiHidden/>
    <w:unhideWhenUsed/>
    <w:rsid w:val="00E214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44C"/>
    <w:rPr>
      <w:rFonts w:ascii="Tahoma" w:hAnsi="Tahoma" w:cs="Tahoma"/>
      <w:sz w:val="16"/>
      <w:szCs w:val="16"/>
    </w:rPr>
  </w:style>
  <w:style w:type="paragraph" w:styleId="Header">
    <w:name w:val="header"/>
    <w:basedOn w:val="Normal"/>
    <w:link w:val="HeaderChar"/>
    <w:uiPriority w:val="99"/>
    <w:unhideWhenUsed/>
    <w:rsid w:val="00DE34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4C8"/>
  </w:style>
  <w:style w:type="paragraph" w:styleId="Footer">
    <w:name w:val="footer"/>
    <w:basedOn w:val="Normal"/>
    <w:link w:val="FooterChar"/>
    <w:uiPriority w:val="99"/>
    <w:unhideWhenUsed/>
    <w:rsid w:val="00DE34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4C8"/>
  </w:style>
  <w:style w:type="character" w:customStyle="1" w:styleId="Heading2Char">
    <w:name w:val="Heading 2 Char"/>
    <w:basedOn w:val="DefaultParagraphFont"/>
    <w:link w:val="Heading2"/>
    <w:uiPriority w:val="9"/>
    <w:rsid w:val="00A3381D"/>
    <w:rPr>
      <w:rFonts w:asciiTheme="majorHAnsi" w:eastAsiaTheme="majorEastAsia" w:hAnsiTheme="majorHAnsi" w:cstheme="majorBidi"/>
      <w:b/>
      <w:bCs/>
      <w:sz w:val="24"/>
      <w:szCs w:val="24"/>
    </w:rPr>
  </w:style>
  <w:style w:type="paragraph" w:styleId="TOC2">
    <w:name w:val="toc 2"/>
    <w:basedOn w:val="Normal"/>
    <w:next w:val="Normal"/>
    <w:autoRedefine/>
    <w:uiPriority w:val="39"/>
    <w:unhideWhenUsed/>
    <w:rsid w:val="00A946A7"/>
    <w:pPr>
      <w:spacing w:after="100"/>
      <w:ind w:left="220"/>
    </w:pPr>
  </w:style>
  <w:style w:type="table" w:styleId="TableGrid">
    <w:name w:val="Table Grid"/>
    <w:basedOn w:val="TableNormal"/>
    <w:uiPriority w:val="59"/>
    <w:rsid w:val="004B54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1">
    <w:name w:val="Light List1"/>
    <w:basedOn w:val="TableNormal"/>
    <w:uiPriority w:val="61"/>
    <w:rsid w:val="004B549B"/>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9D545C"/>
    <w:rPr>
      <w:sz w:val="16"/>
      <w:szCs w:val="16"/>
    </w:rPr>
  </w:style>
  <w:style w:type="paragraph" w:styleId="CommentText">
    <w:name w:val="annotation text"/>
    <w:basedOn w:val="Normal"/>
    <w:link w:val="CommentTextChar"/>
    <w:uiPriority w:val="99"/>
    <w:unhideWhenUsed/>
    <w:rsid w:val="009D545C"/>
    <w:pPr>
      <w:spacing w:line="240" w:lineRule="auto"/>
    </w:pPr>
    <w:rPr>
      <w:sz w:val="20"/>
      <w:szCs w:val="20"/>
    </w:rPr>
  </w:style>
  <w:style w:type="character" w:customStyle="1" w:styleId="CommentTextChar">
    <w:name w:val="Comment Text Char"/>
    <w:basedOn w:val="DefaultParagraphFont"/>
    <w:link w:val="CommentText"/>
    <w:uiPriority w:val="99"/>
    <w:rsid w:val="009D545C"/>
    <w:rPr>
      <w:sz w:val="20"/>
      <w:szCs w:val="20"/>
    </w:rPr>
  </w:style>
  <w:style w:type="paragraph" w:styleId="CommentSubject">
    <w:name w:val="annotation subject"/>
    <w:basedOn w:val="CommentText"/>
    <w:next w:val="CommentText"/>
    <w:link w:val="CommentSubjectChar"/>
    <w:uiPriority w:val="99"/>
    <w:semiHidden/>
    <w:unhideWhenUsed/>
    <w:rsid w:val="009D545C"/>
    <w:rPr>
      <w:b/>
      <w:bCs/>
    </w:rPr>
  </w:style>
  <w:style w:type="character" w:customStyle="1" w:styleId="CommentSubjectChar">
    <w:name w:val="Comment Subject Char"/>
    <w:basedOn w:val="CommentTextChar"/>
    <w:link w:val="CommentSubject"/>
    <w:uiPriority w:val="99"/>
    <w:semiHidden/>
    <w:rsid w:val="009D545C"/>
    <w:rPr>
      <w:b/>
      <w:bCs/>
      <w:sz w:val="20"/>
      <w:szCs w:val="20"/>
    </w:rPr>
  </w:style>
  <w:style w:type="character" w:customStyle="1" w:styleId="apple-style-span">
    <w:name w:val="apple-style-span"/>
    <w:basedOn w:val="DefaultParagraphFont"/>
    <w:rsid w:val="00FF764A"/>
  </w:style>
  <w:style w:type="character" w:customStyle="1" w:styleId="apple-converted-space">
    <w:name w:val="apple-converted-space"/>
    <w:basedOn w:val="DefaultParagraphFont"/>
    <w:rsid w:val="00FF764A"/>
  </w:style>
  <w:style w:type="paragraph" w:styleId="FootnoteText">
    <w:name w:val="footnote text"/>
    <w:basedOn w:val="Normal"/>
    <w:link w:val="FootnoteTextChar"/>
    <w:uiPriority w:val="99"/>
    <w:unhideWhenUsed/>
    <w:rsid w:val="002B1863"/>
    <w:pPr>
      <w:spacing w:after="0" w:line="240" w:lineRule="auto"/>
    </w:pPr>
    <w:rPr>
      <w:sz w:val="20"/>
      <w:szCs w:val="20"/>
    </w:rPr>
  </w:style>
  <w:style w:type="character" w:customStyle="1" w:styleId="FootnoteTextChar">
    <w:name w:val="Footnote Text Char"/>
    <w:basedOn w:val="DefaultParagraphFont"/>
    <w:link w:val="FootnoteText"/>
    <w:uiPriority w:val="99"/>
    <w:rsid w:val="002B1863"/>
    <w:rPr>
      <w:sz w:val="20"/>
      <w:szCs w:val="20"/>
    </w:rPr>
  </w:style>
  <w:style w:type="character" w:styleId="FootnoteReference">
    <w:name w:val="footnote reference"/>
    <w:basedOn w:val="DefaultParagraphFont"/>
    <w:uiPriority w:val="99"/>
    <w:semiHidden/>
    <w:unhideWhenUsed/>
    <w:rsid w:val="002B1863"/>
    <w:rPr>
      <w:vertAlign w:val="superscript"/>
    </w:rPr>
  </w:style>
  <w:style w:type="character" w:customStyle="1" w:styleId="Heading3Char">
    <w:name w:val="Heading 3 Char"/>
    <w:basedOn w:val="DefaultParagraphFont"/>
    <w:link w:val="Heading3"/>
    <w:uiPriority w:val="9"/>
    <w:rsid w:val="00046C89"/>
    <w:rPr>
      <w:rFonts w:asciiTheme="majorHAnsi" w:eastAsiaTheme="majorEastAsia" w:hAnsiTheme="majorHAnsi" w:cstheme="majorBidi"/>
      <w:b/>
      <w:bCs/>
    </w:rPr>
  </w:style>
  <w:style w:type="paragraph" w:customStyle="1" w:styleId="proposalbodytext">
    <w:name w:val="proposalbodytext"/>
    <w:basedOn w:val="Normal"/>
    <w:rsid w:val="00B10DB1"/>
    <w:pPr>
      <w:spacing w:before="100" w:beforeAutospacing="1" w:after="100" w:afterAutospacing="1" w:line="240" w:lineRule="auto"/>
      <w:ind w:firstLine="0"/>
    </w:pPr>
    <w:rPr>
      <w:rFonts w:ascii="Times New Roman" w:eastAsia="Times New Roman" w:hAnsi="Times New Roman" w:cs="Times New Roman"/>
      <w:sz w:val="24"/>
      <w:szCs w:val="24"/>
    </w:rPr>
  </w:style>
  <w:style w:type="paragraph" w:customStyle="1" w:styleId="P1-StandPara">
    <w:name w:val="P1-Stand Para"/>
    <w:rsid w:val="001756A1"/>
    <w:pPr>
      <w:spacing w:after="0" w:line="360" w:lineRule="atLeast"/>
      <w:ind w:firstLine="1152"/>
      <w:jc w:val="both"/>
    </w:pPr>
    <w:rPr>
      <w:rFonts w:ascii="Times New Roman" w:eastAsia="Times New Roman" w:hAnsi="Times New Roman" w:cs="Times New Roman"/>
      <w:sz w:val="24"/>
      <w:szCs w:val="20"/>
    </w:rPr>
  </w:style>
  <w:style w:type="paragraph" w:styleId="TOC3">
    <w:name w:val="toc 3"/>
    <w:basedOn w:val="Normal"/>
    <w:next w:val="Normal"/>
    <w:autoRedefine/>
    <w:uiPriority w:val="39"/>
    <w:unhideWhenUsed/>
    <w:rsid w:val="003B0EF8"/>
    <w:pPr>
      <w:spacing w:after="100"/>
      <w:ind w:left="440"/>
    </w:pPr>
  </w:style>
  <w:style w:type="paragraph" w:customStyle="1" w:styleId="citable">
    <w:name w:val="citable"/>
    <w:basedOn w:val="Normal"/>
    <w:rsid w:val="001B1AA9"/>
    <w:pPr>
      <w:spacing w:before="100" w:beforeAutospacing="1" w:after="100" w:afterAutospacing="1" w:line="240" w:lineRule="auto"/>
      <w:ind w:firstLine="0"/>
    </w:pPr>
    <w:rPr>
      <w:rFonts w:ascii="Times New Roman" w:eastAsia="Times New Roman" w:hAnsi="Times New Roman" w:cs="Times New Roman"/>
      <w:sz w:val="24"/>
      <w:szCs w:val="24"/>
    </w:rPr>
  </w:style>
  <w:style w:type="character" w:customStyle="1" w:styleId="trigger">
    <w:name w:val="trigger"/>
    <w:basedOn w:val="DefaultParagraphFont"/>
    <w:rsid w:val="001B1AA9"/>
  </w:style>
  <w:style w:type="character" w:customStyle="1" w:styleId="e-03">
    <w:name w:val="e-03"/>
    <w:basedOn w:val="DefaultParagraphFont"/>
    <w:rsid w:val="001B1AA9"/>
  </w:style>
  <w:style w:type="paragraph" w:customStyle="1" w:styleId="signaturedate">
    <w:name w:val="signature_date"/>
    <w:basedOn w:val="Normal"/>
    <w:rsid w:val="001B1AA9"/>
    <w:pPr>
      <w:spacing w:before="100" w:beforeAutospacing="1" w:after="100" w:afterAutospacing="1" w:line="240" w:lineRule="auto"/>
      <w:ind w:firstLine="0"/>
    </w:pPr>
    <w:rPr>
      <w:rFonts w:ascii="Times New Roman" w:eastAsia="Times New Roman" w:hAnsi="Times New Roman" w:cs="Times New Roman"/>
      <w:sz w:val="24"/>
      <w:szCs w:val="24"/>
    </w:rPr>
  </w:style>
  <w:style w:type="paragraph" w:customStyle="1" w:styleId="name">
    <w:name w:val="name"/>
    <w:basedOn w:val="Normal"/>
    <w:rsid w:val="001B1AA9"/>
    <w:pPr>
      <w:spacing w:before="100" w:beforeAutospacing="1" w:after="100" w:afterAutospacing="1" w:line="240" w:lineRule="auto"/>
      <w:ind w:firstLine="0"/>
    </w:pPr>
    <w:rPr>
      <w:rFonts w:ascii="Times New Roman" w:eastAsia="Times New Roman" w:hAnsi="Times New Roman" w:cs="Times New Roman"/>
      <w:sz w:val="24"/>
      <w:szCs w:val="24"/>
    </w:rPr>
  </w:style>
  <w:style w:type="paragraph" w:customStyle="1" w:styleId="Title1">
    <w:name w:val="Title1"/>
    <w:basedOn w:val="Normal"/>
    <w:rsid w:val="001B1AA9"/>
    <w:pPr>
      <w:spacing w:before="100" w:beforeAutospacing="1" w:after="100" w:afterAutospacing="1" w:line="240" w:lineRule="auto"/>
      <w:ind w:firstLine="0"/>
    </w:pPr>
    <w:rPr>
      <w:rFonts w:ascii="Times New Roman" w:eastAsia="Times New Roman" w:hAnsi="Times New Roman" w:cs="Times New Roman"/>
      <w:sz w:val="24"/>
      <w:szCs w:val="24"/>
    </w:rPr>
  </w:style>
  <w:style w:type="paragraph" w:customStyle="1" w:styleId="p1-standpara0">
    <w:name w:val="p1-standpara"/>
    <w:basedOn w:val="Normal"/>
    <w:rsid w:val="009C4BCE"/>
    <w:pPr>
      <w:spacing w:before="100" w:beforeAutospacing="1" w:after="100" w:afterAutospacing="1" w:line="240" w:lineRule="auto"/>
      <w:ind w:firstLine="0"/>
    </w:pPr>
    <w:rPr>
      <w:rFonts w:ascii="Times New Roman" w:eastAsia="Times New Roman" w:hAnsi="Times New Roman" w:cs="Times New Roman"/>
      <w:sz w:val="24"/>
      <w:szCs w:val="24"/>
    </w:rPr>
  </w:style>
  <w:style w:type="character" w:styleId="Emphasis">
    <w:name w:val="Emphasis"/>
    <w:basedOn w:val="DefaultParagraphFont"/>
    <w:qFormat/>
    <w:rsid w:val="00667A0A"/>
    <w:rPr>
      <w:i/>
      <w:iCs/>
    </w:rPr>
  </w:style>
  <w:style w:type="character" w:styleId="Strong">
    <w:name w:val="Strong"/>
    <w:basedOn w:val="DefaultParagraphFont"/>
    <w:qFormat/>
    <w:rsid w:val="00667A0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549"/>
    <w:pPr>
      <w:spacing w:line="480" w:lineRule="auto"/>
      <w:ind w:firstLine="432"/>
    </w:pPr>
  </w:style>
  <w:style w:type="paragraph" w:styleId="Heading1">
    <w:name w:val="heading 1"/>
    <w:basedOn w:val="Normal"/>
    <w:next w:val="Normal"/>
    <w:link w:val="Heading1Char"/>
    <w:uiPriority w:val="9"/>
    <w:qFormat/>
    <w:rsid w:val="002A7FC5"/>
    <w:pPr>
      <w:keepNext/>
      <w:keepLines/>
      <w:numPr>
        <w:numId w:val="4"/>
      </w:numPr>
      <w:spacing w:before="480" w:after="0"/>
      <w:ind w:left="360"/>
      <w:outlineLvl w:val="0"/>
    </w:pPr>
    <w:rPr>
      <w:rFonts w:asciiTheme="majorHAnsi" w:eastAsiaTheme="majorEastAsia" w:hAnsiTheme="majorHAnsi" w:cstheme="majorBidi"/>
      <w:b/>
      <w:bCs/>
      <w:sz w:val="24"/>
      <w:szCs w:val="24"/>
    </w:rPr>
  </w:style>
  <w:style w:type="paragraph" w:styleId="Heading2">
    <w:name w:val="heading 2"/>
    <w:basedOn w:val="Normal"/>
    <w:next w:val="Normal"/>
    <w:link w:val="Heading2Char"/>
    <w:uiPriority w:val="9"/>
    <w:unhideWhenUsed/>
    <w:qFormat/>
    <w:rsid w:val="00A3381D"/>
    <w:pPr>
      <w:keepNext/>
      <w:keepLines/>
      <w:numPr>
        <w:numId w:val="2"/>
      </w:numPr>
      <w:spacing w:before="200"/>
      <w:outlineLvl w:val="1"/>
    </w:pPr>
    <w:rPr>
      <w:rFonts w:asciiTheme="majorHAnsi" w:eastAsiaTheme="majorEastAsia" w:hAnsiTheme="majorHAnsi" w:cstheme="majorBidi"/>
      <w:b/>
      <w:bCs/>
      <w:sz w:val="24"/>
      <w:szCs w:val="24"/>
    </w:rPr>
  </w:style>
  <w:style w:type="paragraph" w:styleId="Heading3">
    <w:name w:val="heading 3"/>
    <w:basedOn w:val="Normal"/>
    <w:next w:val="Normal"/>
    <w:link w:val="Heading3Char"/>
    <w:uiPriority w:val="9"/>
    <w:unhideWhenUsed/>
    <w:qFormat/>
    <w:rsid w:val="00046C89"/>
    <w:pPr>
      <w:keepNext/>
      <w:keepLines/>
      <w:numPr>
        <w:numId w:val="14"/>
      </w:numPr>
      <w:spacing w:before="200" w:after="0"/>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0601"/>
    <w:pPr>
      <w:spacing w:after="0" w:line="240" w:lineRule="auto"/>
    </w:pPr>
  </w:style>
  <w:style w:type="character" w:customStyle="1" w:styleId="Heading1Char">
    <w:name w:val="Heading 1 Char"/>
    <w:basedOn w:val="DefaultParagraphFont"/>
    <w:link w:val="Heading1"/>
    <w:uiPriority w:val="9"/>
    <w:rsid w:val="002A7FC5"/>
    <w:rPr>
      <w:rFonts w:asciiTheme="majorHAnsi" w:eastAsiaTheme="majorEastAsia" w:hAnsiTheme="majorHAnsi" w:cstheme="majorBidi"/>
      <w:b/>
      <w:bCs/>
      <w:sz w:val="24"/>
      <w:szCs w:val="24"/>
    </w:rPr>
  </w:style>
  <w:style w:type="paragraph" w:styleId="NormalWeb">
    <w:name w:val="Normal (Web)"/>
    <w:basedOn w:val="Normal"/>
    <w:unhideWhenUsed/>
    <w:rsid w:val="003A35E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A35E7"/>
    <w:pPr>
      <w:ind w:left="720"/>
      <w:contextualSpacing/>
    </w:pPr>
    <w:rPr>
      <w:rFonts w:ascii="Calibri" w:eastAsia="Calibri" w:hAnsi="Calibri" w:cs="Times New Roman"/>
    </w:rPr>
  </w:style>
  <w:style w:type="paragraph" w:styleId="TOCHeading">
    <w:name w:val="TOC Heading"/>
    <w:basedOn w:val="Heading1"/>
    <w:next w:val="Normal"/>
    <w:uiPriority w:val="39"/>
    <w:unhideWhenUsed/>
    <w:qFormat/>
    <w:rsid w:val="00E2144C"/>
    <w:pPr>
      <w:outlineLvl w:val="9"/>
    </w:pPr>
    <w:rPr>
      <w:lang w:eastAsia="ja-JP"/>
    </w:rPr>
  </w:style>
  <w:style w:type="paragraph" w:styleId="TOC1">
    <w:name w:val="toc 1"/>
    <w:basedOn w:val="Normal"/>
    <w:next w:val="Normal"/>
    <w:autoRedefine/>
    <w:uiPriority w:val="39"/>
    <w:unhideWhenUsed/>
    <w:rsid w:val="002D10FD"/>
    <w:pPr>
      <w:tabs>
        <w:tab w:val="left" w:pos="880"/>
        <w:tab w:val="right" w:leader="dot" w:pos="9350"/>
      </w:tabs>
      <w:spacing w:after="0"/>
    </w:pPr>
  </w:style>
  <w:style w:type="character" w:styleId="Hyperlink">
    <w:name w:val="Hyperlink"/>
    <w:basedOn w:val="DefaultParagraphFont"/>
    <w:uiPriority w:val="99"/>
    <w:unhideWhenUsed/>
    <w:rsid w:val="00E2144C"/>
    <w:rPr>
      <w:color w:val="0000FF" w:themeColor="hyperlink"/>
      <w:u w:val="single"/>
    </w:rPr>
  </w:style>
  <w:style w:type="paragraph" w:styleId="BalloonText">
    <w:name w:val="Balloon Text"/>
    <w:basedOn w:val="Normal"/>
    <w:link w:val="BalloonTextChar"/>
    <w:uiPriority w:val="99"/>
    <w:semiHidden/>
    <w:unhideWhenUsed/>
    <w:rsid w:val="00E214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44C"/>
    <w:rPr>
      <w:rFonts w:ascii="Tahoma" w:hAnsi="Tahoma" w:cs="Tahoma"/>
      <w:sz w:val="16"/>
      <w:szCs w:val="16"/>
    </w:rPr>
  </w:style>
  <w:style w:type="paragraph" w:styleId="Header">
    <w:name w:val="header"/>
    <w:basedOn w:val="Normal"/>
    <w:link w:val="HeaderChar"/>
    <w:uiPriority w:val="99"/>
    <w:unhideWhenUsed/>
    <w:rsid w:val="00DE34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4C8"/>
  </w:style>
  <w:style w:type="paragraph" w:styleId="Footer">
    <w:name w:val="footer"/>
    <w:basedOn w:val="Normal"/>
    <w:link w:val="FooterChar"/>
    <w:uiPriority w:val="99"/>
    <w:unhideWhenUsed/>
    <w:rsid w:val="00DE34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4C8"/>
  </w:style>
  <w:style w:type="character" w:customStyle="1" w:styleId="Heading2Char">
    <w:name w:val="Heading 2 Char"/>
    <w:basedOn w:val="DefaultParagraphFont"/>
    <w:link w:val="Heading2"/>
    <w:uiPriority w:val="9"/>
    <w:rsid w:val="00A3381D"/>
    <w:rPr>
      <w:rFonts w:asciiTheme="majorHAnsi" w:eastAsiaTheme="majorEastAsia" w:hAnsiTheme="majorHAnsi" w:cstheme="majorBidi"/>
      <w:b/>
      <w:bCs/>
      <w:sz w:val="24"/>
      <w:szCs w:val="24"/>
    </w:rPr>
  </w:style>
  <w:style w:type="paragraph" w:styleId="TOC2">
    <w:name w:val="toc 2"/>
    <w:basedOn w:val="Normal"/>
    <w:next w:val="Normal"/>
    <w:autoRedefine/>
    <w:uiPriority w:val="39"/>
    <w:unhideWhenUsed/>
    <w:rsid w:val="00A946A7"/>
    <w:pPr>
      <w:spacing w:after="100"/>
      <w:ind w:left="220"/>
    </w:pPr>
  </w:style>
  <w:style w:type="table" w:styleId="TableGrid">
    <w:name w:val="Table Grid"/>
    <w:basedOn w:val="TableNormal"/>
    <w:uiPriority w:val="59"/>
    <w:rsid w:val="004B54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
    <w:name w:val="Light List"/>
    <w:basedOn w:val="TableNormal"/>
    <w:uiPriority w:val="61"/>
    <w:rsid w:val="004B549B"/>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9D545C"/>
    <w:rPr>
      <w:sz w:val="16"/>
      <w:szCs w:val="16"/>
    </w:rPr>
  </w:style>
  <w:style w:type="paragraph" w:styleId="CommentText">
    <w:name w:val="annotation text"/>
    <w:basedOn w:val="Normal"/>
    <w:link w:val="CommentTextChar"/>
    <w:uiPriority w:val="99"/>
    <w:unhideWhenUsed/>
    <w:rsid w:val="009D545C"/>
    <w:pPr>
      <w:spacing w:line="240" w:lineRule="auto"/>
    </w:pPr>
    <w:rPr>
      <w:sz w:val="20"/>
      <w:szCs w:val="20"/>
    </w:rPr>
  </w:style>
  <w:style w:type="character" w:customStyle="1" w:styleId="CommentTextChar">
    <w:name w:val="Comment Text Char"/>
    <w:basedOn w:val="DefaultParagraphFont"/>
    <w:link w:val="CommentText"/>
    <w:uiPriority w:val="99"/>
    <w:rsid w:val="009D545C"/>
    <w:rPr>
      <w:sz w:val="20"/>
      <w:szCs w:val="20"/>
    </w:rPr>
  </w:style>
  <w:style w:type="paragraph" w:styleId="CommentSubject">
    <w:name w:val="annotation subject"/>
    <w:basedOn w:val="CommentText"/>
    <w:next w:val="CommentText"/>
    <w:link w:val="CommentSubjectChar"/>
    <w:uiPriority w:val="99"/>
    <w:semiHidden/>
    <w:unhideWhenUsed/>
    <w:rsid w:val="009D545C"/>
    <w:rPr>
      <w:b/>
      <w:bCs/>
    </w:rPr>
  </w:style>
  <w:style w:type="character" w:customStyle="1" w:styleId="CommentSubjectChar">
    <w:name w:val="Comment Subject Char"/>
    <w:basedOn w:val="CommentTextChar"/>
    <w:link w:val="CommentSubject"/>
    <w:uiPriority w:val="99"/>
    <w:semiHidden/>
    <w:rsid w:val="009D545C"/>
    <w:rPr>
      <w:b/>
      <w:bCs/>
      <w:sz w:val="20"/>
      <w:szCs w:val="20"/>
    </w:rPr>
  </w:style>
  <w:style w:type="character" w:customStyle="1" w:styleId="apple-style-span">
    <w:name w:val="apple-style-span"/>
    <w:basedOn w:val="DefaultParagraphFont"/>
    <w:rsid w:val="00FF764A"/>
  </w:style>
  <w:style w:type="character" w:customStyle="1" w:styleId="apple-converted-space">
    <w:name w:val="apple-converted-space"/>
    <w:basedOn w:val="DefaultParagraphFont"/>
    <w:rsid w:val="00FF764A"/>
  </w:style>
  <w:style w:type="paragraph" w:styleId="FootnoteText">
    <w:name w:val="footnote text"/>
    <w:basedOn w:val="Normal"/>
    <w:link w:val="FootnoteTextChar"/>
    <w:uiPriority w:val="99"/>
    <w:unhideWhenUsed/>
    <w:rsid w:val="002B1863"/>
    <w:pPr>
      <w:spacing w:after="0" w:line="240" w:lineRule="auto"/>
    </w:pPr>
    <w:rPr>
      <w:sz w:val="20"/>
      <w:szCs w:val="20"/>
    </w:rPr>
  </w:style>
  <w:style w:type="character" w:customStyle="1" w:styleId="FootnoteTextChar">
    <w:name w:val="Footnote Text Char"/>
    <w:basedOn w:val="DefaultParagraphFont"/>
    <w:link w:val="FootnoteText"/>
    <w:uiPriority w:val="99"/>
    <w:rsid w:val="002B1863"/>
    <w:rPr>
      <w:sz w:val="20"/>
      <w:szCs w:val="20"/>
    </w:rPr>
  </w:style>
  <w:style w:type="character" w:styleId="FootnoteReference">
    <w:name w:val="footnote reference"/>
    <w:basedOn w:val="DefaultParagraphFont"/>
    <w:uiPriority w:val="99"/>
    <w:semiHidden/>
    <w:unhideWhenUsed/>
    <w:rsid w:val="002B1863"/>
    <w:rPr>
      <w:vertAlign w:val="superscript"/>
    </w:rPr>
  </w:style>
  <w:style w:type="character" w:customStyle="1" w:styleId="Heading3Char">
    <w:name w:val="Heading 3 Char"/>
    <w:basedOn w:val="DefaultParagraphFont"/>
    <w:link w:val="Heading3"/>
    <w:uiPriority w:val="9"/>
    <w:rsid w:val="00046C89"/>
    <w:rPr>
      <w:rFonts w:asciiTheme="majorHAnsi" w:eastAsiaTheme="majorEastAsia" w:hAnsiTheme="majorHAnsi" w:cstheme="majorBidi"/>
      <w:b/>
      <w:bCs/>
    </w:rPr>
  </w:style>
  <w:style w:type="paragraph" w:customStyle="1" w:styleId="proposalbodytext">
    <w:name w:val="proposalbodytext"/>
    <w:basedOn w:val="Normal"/>
    <w:rsid w:val="00B10DB1"/>
    <w:pPr>
      <w:spacing w:before="100" w:beforeAutospacing="1" w:after="100" w:afterAutospacing="1" w:line="240" w:lineRule="auto"/>
      <w:ind w:firstLine="0"/>
    </w:pPr>
    <w:rPr>
      <w:rFonts w:ascii="Times New Roman" w:eastAsia="Times New Roman" w:hAnsi="Times New Roman" w:cs="Times New Roman"/>
      <w:sz w:val="24"/>
      <w:szCs w:val="24"/>
    </w:rPr>
  </w:style>
  <w:style w:type="paragraph" w:customStyle="1" w:styleId="P1-StandPara">
    <w:name w:val="P1-Stand Para"/>
    <w:rsid w:val="001756A1"/>
    <w:pPr>
      <w:spacing w:after="0" w:line="360" w:lineRule="atLeast"/>
      <w:ind w:firstLine="1152"/>
      <w:jc w:val="both"/>
    </w:pPr>
    <w:rPr>
      <w:rFonts w:ascii="Times New Roman" w:eastAsia="Times New Roman" w:hAnsi="Times New Roman" w:cs="Times New Roman"/>
      <w:sz w:val="24"/>
      <w:szCs w:val="20"/>
    </w:rPr>
  </w:style>
  <w:style w:type="paragraph" w:styleId="TOC3">
    <w:name w:val="toc 3"/>
    <w:basedOn w:val="Normal"/>
    <w:next w:val="Normal"/>
    <w:autoRedefine/>
    <w:uiPriority w:val="39"/>
    <w:unhideWhenUsed/>
    <w:rsid w:val="003B0EF8"/>
    <w:pPr>
      <w:spacing w:after="100"/>
      <w:ind w:left="440"/>
    </w:pPr>
  </w:style>
  <w:style w:type="paragraph" w:customStyle="1" w:styleId="citable">
    <w:name w:val="citable"/>
    <w:basedOn w:val="Normal"/>
    <w:rsid w:val="001B1AA9"/>
    <w:pPr>
      <w:spacing w:before="100" w:beforeAutospacing="1" w:after="100" w:afterAutospacing="1" w:line="240" w:lineRule="auto"/>
      <w:ind w:firstLine="0"/>
    </w:pPr>
    <w:rPr>
      <w:rFonts w:ascii="Times New Roman" w:eastAsia="Times New Roman" w:hAnsi="Times New Roman" w:cs="Times New Roman"/>
      <w:sz w:val="24"/>
      <w:szCs w:val="24"/>
    </w:rPr>
  </w:style>
  <w:style w:type="character" w:customStyle="1" w:styleId="trigger">
    <w:name w:val="trigger"/>
    <w:basedOn w:val="DefaultParagraphFont"/>
    <w:rsid w:val="001B1AA9"/>
  </w:style>
  <w:style w:type="character" w:customStyle="1" w:styleId="e-03">
    <w:name w:val="e-03"/>
    <w:basedOn w:val="DefaultParagraphFont"/>
    <w:rsid w:val="001B1AA9"/>
  </w:style>
  <w:style w:type="paragraph" w:customStyle="1" w:styleId="signaturedate">
    <w:name w:val="signature_date"/>
    <w:basedOn w:val="Normal"/>
    <w:rsid w:val="001B1AA9"/>
    <w:pPr>
      <w:spacing w:before="100" w:beforeAutospacing="1" w:after="100" w:afterAutospacing="1" w:line="240" w:lineRule="auto"/>
      <w:ind w:firstLine="0"/>
    </w:pPr>
    <w:rPr>
      <w:rFonts w:ascii="Times New Roman" w:eastAsia="Times New Roman" w:hAnsi="Times New Roman" w:cs="Times New Roman"/>
      <w:sz w:val="24"/>
      <w:szCs w:val="24"/>
    </w:rPr>
  </w:style>
  <w:style w:type="paragraph" w:customStyle="1" w:styleId="name">
    <w:name w:val="name"/>
    <w:basedOn w:val="Normal"/>
    <w:rsid w:val="001B1AA9"/>
    <w:pPr>
      <w:spacing w:before="100" w:beforeAutospacing="1" w:after="100" w:afterAutospacing="1" w:line="240" w:lineRule="auto"/>
      <w:ind w:firstLine="0"/>
    </w:pPr>
    <w:rPr>
      <w:rFonts w:ascii="Times New Roman" w:eastAsia="Times New Roman" w:hAnsi="Times New Roman" w:cs="Times New Roman"/>
      <w:sz w:val="24"/>
      <w:szCs w:val="24"/>
    </w:rPr>
  </w:style>
  <w:style w:type="paragraph" w:customStyle="1" w:styleId="Title1">
    <w:name w:val="Title1"/>
    <w:basedOn w:val="Normal"/>
    <w:rsid w:val="001B1AA9"/>
    <w:pPr>
      <w:spacing w:before="100" w:beforeAutospacing="1" w:after="100" w:afterAutospacing="1" w:line="240" w:lineRule="auto"/>
      <w:ind w:firstLine="0"/>
    </w:pPr>
    <w:rPr>
      <w:rFonts w:ascii="Times New Roman" w:eastAsia="Times New Roman" w:hAnsi="Times New Roman" w:cs="Times New Roman"/>
      <w:sz w:val="24"/>
      <w:szCs w:val="24"/>
    </w:rPr>
  </w:style>
  <w:style w:type="paragraph" w:customStyle="1" w:styleId="p1-standpara0">
    <w:name w:val="p1-standpara"/>
    <w:basedOn w:val="Normal"/>
    <w:rsid w:val="009C4BCE"/>
    <w:pPr>
      <w:spacing w:before="100" w:beforeAutospacing="1" w:after="100" w:afterAutospacing="1" w:line="240" w:lineRule="auto"/>
      <w:ind w:firstLine="0"/>
    </w:pPr>
    <w:rPr>
      <w:rFonts w:ascii="Times New Roman" w:eastAsia="Times New Roman" w:hAnsi="Times New Roman" w:cs="Times New Roman"/>
      <w:sz w:val="24"/>
      <w:szCs w:val="24"/>
    </w:rPr>
  </w:style>
  <w:style w:type="character" w:styleId="Emphasis">
    <w:name w:val="Emphasis"/>
    <w:basedOn w:val="DefaultParagraphFont"/>
    <w:qFormat/>
    <w:rsid w:val="00667A0A"/>
    <w:rPr>
      <w:i/>
      <w:iCs/>
    </w:rPr>
  </w:style>
  <w:style w:type="character" w:styleId="Strong">
    <w:name w:val="Strong"/>
    <w:basedOn w:val="DefaultParagraphFont"/>
    <w:qFormat/>
    <w:rsid w:val="00667A0A"/>
    <w:rPr>
      <w:b/>
      <w:bCs/>
    </w:rPr>
  </w:style>
</w:styles>
</file>

<file path=word/webSettings.xml><?xml version="1.0" encoding="utf-8"?>
<w:webSettings xmlns:r="http://schemas.openxmlformats.org/officeDocument/2006/relationships" xmlns:w="http://schemas.openxmlformats.org/wordprocessingml/2006/main">
  <w:divs>
    <w:div w:id="42758207">
      <w:bodyDiv w:val="1"/>
      <w:marLeft w:val="0"/>
      <w:marRight w:val="0"/>
      <w:marTop w:val="0"/>
      <w:marBottom w:val="0"/>
      <w:divBdr>
        <w:top w:val="none" w:sz="0" w:space="0" w:color="auto"/>
        <w:left w:val="none" w:sz="0" w:space="0" w:color="auto"/>
        <w:bottom w:val="none" w:sz="0" w:space="0" w:color="auto"/>
        <w:right w:val="none" w:sz="0" w:space="0" w:color="auto"/>
      </w:divBdr>
    </w:div>
    <w:div w:id="179901664">
      <w:bodyDiv w:val="1"/>
      <w:marLeft w:val="0"/>
      <w:marRight w:val="0"/>
      <w:marTop w:val="0"/>
      <w:marBottom w:val="0"/>
      <w:divBdr>
        <w:top w:val="none" w:sz="0" w:space="0" w:color="auto"/>
        <w:left w:val="none" w:sz="0" w:space="0" w:color="auto"/>
        <w:bottom w:val="none" w:sz="0" w:space="0" w:color="auto"/>
        <w:right w:val="none" w:sz="0" w:space="0" w:color="auto"/>
      </w:divBdr>
    </w:div>
    <w:div w:id="180167989">
      <w:bodyDiv w:val="1"/>
      <w:marLeft w:val="0"/>
      <w:marRight w:val="0"/>
      <w:marTop w:val="0"/>
      <w:marBottom w:val="0"/>
      <w:divBdr>
        <w:top w:val="none" w:sz="0" w:space="0" w:color="auto"/>
        <w:left w:val="none" w:sz="0" w:space="0" w:color="auto"/>
        <w:bottom w:val="none" w:sz="0" w:space="0" w:color="auto"/>
        <w:right w:val="none" w:sz="0" w:space="0" w:color="auto"/>
      </w:divBdr>
    </w:div>
    <w:div w:id="300811528">
      <w:bodyDiv w:val="1"/>
      <w:marLeft w:val="0"/>
      <w:marRight w:val="0"/>
      <w:marTop w:val="0"/>
      <w:marBottom w:val="0"/>
      <w:divBdr>
        <w:top w:val="none" w:sz="0" w:space="0" w:color="auto"/>
        <w:left w:val="none" w:sz="0" w:space="0" w:color="auto"/>
        <w:bottom w:val="none" w:sz="0" w:space="0" w:color="auto"/>
        <w:right w:val="none" w:sz="0" w:space="0" w:color="auto"/>
      </w:divBdr>
      <w:divsChild>
        <w:div w:id="1807120796">
          <w:marLeft w:val="0"/>
          <w:marRight w:val="0"/>
          <w:marTop w:val="0"/>
          <w:marBottom w:val="0"/>
          <w:divBdr>
            <w:top w:val="none" w:sz="0" w:space="0" w:color="auto"/>
            <w:left w:val="none" w:sz="0" w:space="0" w:color="auto"/>
            <w:bottom w:val="none" w:sz="0" w:space="0" w:color="auto"/>
            <w:right w:val="none" w:sz="0" w:space="0" w:color="auto"/>
          </w:divBdr>
        </w:div>
      </w:divsChild>
    </w:div>
    <w:div w:id="314844599">
      <w:bodyDiv w:val="1"/>
      <w:marLeft w:val="0"/>
      <w:marRight w:val="0"/>
      <w:marTop w:val="0"/>
      <w:marBottom w:val="0"/>
      <w:divBdr>
        <w:top w:val="none" w:sz="0" w:space="0" w:color="auto"/>
        <w:left w:val="none" w:sz="0" w:space="0" w:color="auto"/>
        <w:bottom w:val="none" w:sz="0" w:space="0" w:color="auto"/>
        <w:right w:val="none" w:sz="0" w:space="0" w:color="auto"/>
      </w:divBdr>
    </w:div>
    <w:div w:id="331304065">
      <w:bodyDiv w:val="1"/>
      <w:marLeft w:val="0"/>
      <w:marRight w:val="0"/>
      <w:marTop w:val="0"/>
      <w:marBottom w:val="0"/>
      <w:divBdr>
        <w:top w:val="none" w:sz="0" w:space="0" w:color="auto"/>
        <w:left w:val="none" w:sz="0" w:space="0" w:color="auto"/>
        <w:bottom w:val="none" w:sz="0" w:space="0" w:color="auto"/>
        <w:right w:val="none" w:sz="0" w:space="0" w:color="auto"/>
      </w:divBdr>
    </w:div>
    <w:div w:id="338846934">
      <w:bodyDiv w:val="1"/>
      <w:marLeft w:val="0"/>
      <w:marRight w:val="0"/>
      <w:marTop w:val="0"/>
      <w:marBottom w:val="0"/>
      <w:divBdr>
        <w:top w:val="none" w:sz="0" w:space="0" w:color="auto"/>
        <w:left w:val="none" w:sz="0" w:space="0" w:color="auto"/>
        <w:bottom w:val="none" w:sz="0" w:space="0" w:color="auto"/>
        <w:right w:val="none" w:sz="0" w:space="0" w:color="auto"/>
      </w:divBdr>
    </w:div>
    <w:div w:id="339158375">
      <w:bodyDiv w:val="1"/>
      <w:marLeft w:val="0"/>
      <w:marRight w:val="0"/>
      <w:marTop w:val="0"/>
      <w:marBottom w:val="0"/>
      <w:divBdr>
        <w:top w:val="none" w:sz="0" w:space="0" w:color="auto"/>
        <w:left w:val="none" w:sz="0" w:space="0" w:color="auto"/>
        <w:bottom w:val="none" w:sz="0" w:space="0" w:color="auto"/>
        <w:right w:val="none" w:sz="0" w:space="0" w:color="auto"/>
      </w:divBdr>
    </w:div>
    <w:div w:id="365180502">
      <w:bodyDiv w:val="1"/>
      <w:marLeft w:val="0"/>
      <w:marRight w:val="0"/>
      <w:marTop w:val="0"/>
      <w:marBottom w:val="0"/>
      <w:divBdr>
        <w:top w:val="none" w:sz="0" w:space="0" w:color="auto"/>
        <w:left w:val="none" w:sz="0" w:space="0" w:color="auto"/>
        <w:bottom w:val="none" w:sz="0" w:space="0" w:color="auto"/>
        <w:right w:val="none" w:sz="0" w:space="0" w:color="auto"/>
      </w:divBdr>
    </w:div>
    <w:div w:id="455951029">
      <w:bodyDiv w:val="1"/>
      <w:marLeft w:val="0"/>
      <w:marRight w:val="0"/>
      <w:marTop w:val="0"/>
      <w:marBottom w:val="0"/>
      <w:divBdr>
        <w:top w:val="none" w:sz="0" w:space="0" w:color="auto"/>
        <w:left w:val="none" w:sz="0" w:space="0" w:color="auto"/>
        <w:bottom w:val="none" w:sz="0" w:space="0" w:color="auto"/>
        <w:right w:val="none" w:sz="0" w:space="0" w:color="auto"/>
      </w:divBdr>
    </w:div>
    <w:div w:id="797456381">
      <w:bodyDiv w:val="1"/>
      <w:marLeft w:val="0"/>
      <w:marRight w:val="0"/>
      <w:marTop w:val="0"/>
      <w:marBottom w:val="0"/>
      <w:divBdr>
        <w:top w:val="none" w:sz="0" w:space="0" w:color="auto"/>
        <w:left w:val="none" w:sz="0" w:space="0" w:color="auto"/>
        <w:bottom w:val="none" w:sz="0" w:space="0" w:color="auto"/>
        <w:right w:val="none" w:sz="0" w:space="0" w:color="auto"/>
      </w:divBdr>
    </w:div>
    <w:div w:id="1094278058">
      <w:bodyDiv w:val="1"/>
      <w:marLeft w:val="0"/>
      <w:marRight w:val="0"/>
      <w:marTop w:val="0"/>
      <w:marBottom w:val="0"/>
      <w:divBdr>
        <w:top w:val="none" w:sz="0" w:space="0" w:color="auto"/>
        <w:left w:val="none" w:sz="0" w:space="0" w:color="auto"/>
        <w:bottom w:val="none" w:sz="0" w:space="0" w:color="auto"/>
        <w:right w:val="none" w:sz="0" w:space="0" w:color="auto"/>
      </w:divBdr>
    </w:div>
    <w:div w:id="1278489440">
      <w:bodyDiv w:val="1"/>
      <w:marLeft w:val="0"/>
      <w:marRight w:val="0"/>
      <w:marTop w:val="0"/>
      <w:marBottom w:val="0"/>
      <w:divBdr>
        <w:top w:val="none" w:sz="0" w:space="0" w:color="auto"/>
        <w:left w:val="none" w:sz="0" w:space="0" w:color="auto"/>
        <w:bottom w:val="none" w:sz="0" w:space="0" w:color="auto"/>
        <w:right w:val="none" w:sz="0" w:space="0" w:color="auto"/>
      </w:divBdr>
    </w:div>
    <w:div w:id="1395008870">
      <w:bodyDiv w:val="1"/>
      <w:marLeft w:val="0"/>
      <w:marRight w:val="0"/>
      <w:marTop w:val="0"/>
      <w:marBottom w:val="0"/>
      <w:divBdr>
        <w:top w:val="none" w:sz="0" w:space="0" w:color="auto"/>
        <w:left w:val="none" w:sz="0" w:space="0" w:color="auto"/>
        <w:bottom w:val="none" w:sz="0" w:space="0" w:color="auto"/>
        <w:right w:val="none" w:sz="0" w:space="0" w:color="auto"/>
      </w:divBdr>
    </w:div>
    <w:div w:id="1402026414">
      <w:bodyDiv w:val="1"/>
      <w:marLeft w:val="0"/>
      <w:marRight w:val="0"/>
      <w:marTop w:val="0"/>
      <w:marBottom w:val="0"/>
      <w:divBdr>
        <w:top w:val="none" w:sz="0" w:space="0" w:color="auto"/>
        <w:left w:val="none" w:sz="0" w:space="0" w:color="auto"/>
        <w:bottom w:val="none" w:sz="0" w:space="0" w:color="auto"/>
        <w:right w:val="none" w:sz="0" w:space="0" w:color="auto"/>
      </w:divBdr>
    </w:div>
    <w:div w:id="1526750876">
      <w:bodyDiv w:val="1"/>
      <w:marLeft w:val="0"/>
      <w:marRight w:val="0"/>
      <w:marTop w:val="0"/>
      <w:marBottom w:val="0"/>
      <w:divBdr>
        <w:top w:val="none" w:sz="0" w:space="0" w:color="auto"/>
        <w:left w:val="none" w:sz="0" w:space="0" w:color="auto"/>
        <w:bottom w:val="none" w:sz="0" w:space="0" w:color="auto"/>
        <w:right w:val="none" w:sz="0" w:space="0" w:color="auto"/>
      </w:divBdr>
    </w:div>
    <w:div w:id="1745301697">
      <w:bodyDiv w:val="1"/>
      <w:marLeft w:val="0"/>
      <w:marRight w:val="0"/>
      <w:marTop w:val="0"/>
      <w:marBottom w:val="0"/>
      <w:divBdr>
        <w:top w:val="none" w:sz="0" w:space="0" w:color="auto"/>
        <w:left w:val="none" w:sz="0" w:space="0" w:color="auto"/>
        <w:bottom w:val="none" w:sz="0" w:space="0" w:color="auto"/>
        <w:right w:val="none" w:sz="0" w:space="0" w:color="auto"/>
      </w:divBdr>
    </w:div>
    <w:div w:id="1901287690">
      <w:bodyDiv w:val="1"/>
      <w:marLeft w:val="0"/>
      <w:marRight w:val="0"/>
      <w:marTop w:val="0"/>
      <w:marBottom w:val="0"/>
      <w:divBdr>
        <w:top w:val="none" w:sz="0" w:space="0" w:color="auto"/>
        <w:left w:val="none" w:sz="0" w:space="0" w:color="auto"/>
        <w:bottom w:val="none" w:sz="0" w:space="0" w:color="auto"/>
        <w:right w:val="none" w:sz="0" w:space="0" w:color="auto"/>
      </w:divBdr>
    </w:div>
    <w:div w:id="1920287785">
      <w:bodyDiv w:val="1"/>
      <w:marLeft w:val="0"/>
      <w:marRight w:val="0"/>
      <w:marTop w:val="0"/>
      <w:marBottom w:val="0"/>
      <w:divBdr>
        <w:top w:val="none" w:sz="0" w:space="0" w:color="auto"/>
        <w:left w:val="none" w:sz="0" w:space="0" w:color="auto"/>
        <w:bottom w:val="none" w:sz="0" w:space="0" w:color="auto"/>
        <w:right w:val="none" w:sz="0" w:space="0" w:color="auto"/>
      </w:divBdr>
    </w:div>
    <w:div w:id="195166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30"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A1FDC-EAF1-4CF4-BCB3-3EA27A504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1459</Words>
  <Characters>8321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Lynne Doner Lotenberg</dc:creator>
  <cp:lastModifiedBy>bbarker</cp:lastModifiedBy>
  <cp:revision>2</cp:revision>
  <cp:lastPrinted>2011-02-04T22:25:00Z</cp:lastPrinted>
  <dcterms:created xsi:type="dcterms:W3CDTF">2011-10-13T15:23:00Z</dcterms:created>
  <dcterms:modified xsi:type="dcterms:W3CDTF">2011-10-13T15:23:00Z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-204737647</vt:i4>
  </property>
  <property fmtid="{D5CDD505-2E9C-101B-9397-08002B2CF9AE}" pid="4" name="_EmailSubject">
    <vt:lpwstr>ROCIS Uploads for ICR Reference Number # 201107-0938-001</vt:lpwstr>
  </property>
  <property fmtid="{D5CDD505-2E9C-101B-9397-08002B2CF9AE}" pid="5" name="_AuthorEmail">
    <vt:lpwstr>WILLIAM.PARHAM@cms.hhs.gov</vt:lpwstr>
  </property>
  <property fmtid="{D5CDD505-2E9C-101B-9397-08002B2CF9AE}" pid="6" name="_AuthorEmailDisplayName">
    <vt:lpwstr>Parham, William N. (CMS/OSORA)</vt:lpwstr>
  </property>
  <property fmtid="{D5CDD505-2E9C-101B-9397-08002B2CF9AE}" pid="7" name="_PreviousAdHocReviewCycleID">
    <vt:i4>136644922</vt:i4>
  </property>
  <property fmtid="{D5CDD505-2E9C-101B-9397-08002B2CF9AE}" pid="8" name="_ReviewingToolsShownOnce">
    <vt:lpwstr/>
  </property>
</Properties>
</file>