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SUPPORTING STATEMENT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2008 Panel of the Survey of Income &amp; Program Participation,</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 xml:space="preserve">Wave </w:t>
      </w:r>
      <w:r w:rsidR="007F6FDB">
        <w:rPr>
          <w:rFonts w:ascii="Helv" w:hAnsi="Helv" w:cs="Helv"/>
          <w:b/>
          <w:bCs/>
          <w:sz w:val="20"/>
          <w:szCs w:val="20"/>
        </w:rPr>
        <w:t>11</w:t>
      </w:r>
      <w:r w:rsidR="00F10816">
        <w:rPr>
          <w:rFonts w:ascii="Helv" w:hAnsi="Helv" w:cs="Helv"/>
          <w:b/>
          <w:bCs/>
          <w:sz w:val="20"/>
          <w:szCs w:val="20"/>
        </w:rPr>
        <w:t xml:space="preserve"> Topical Module</w:t>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outlineLvl w:val="0"/>
        <w:rPr>
          <w:rFonts w:ascii="Helv" w:hAnsi="Helv" w:cs="Helv"/>
          <w:b/>
          <w:bCs/>
          <w:sz w:val="20"/>
          <w:szCs w:val="20"/>
        </w:rPr>
      </w:pPr>
      <w:r>
        <w:rPr>
          <w:rFonts w:ascii="Helv" w:hAnsi="Helv" w:cs="Helv"/>
          <w:b/>
          <w:bCs/>
          <w:sz w:val="20"/>
          <w:szCs w:val="20"/>
        </w:rPr>
        <w:t>OMB Control No. 0607-0944</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Wave </w:t>
      </w:r>
      <w:r w:rsidR="007F6FDB">
        <w:rPr>
          <w:rFonts w:ascii="Times New Roman" w:hAnsi="Times New Roman"/>
        </w:rPr>
        <w:t>11</w:t>
      </w:r>
      <w:r w:rsidR="002D35A7">
        <w:rPr>
          <w:rFonts w:ascii="Times New Roman" w:hAnsi="Times New Roman"/>
        </w:rPr>
        <w:t xml:space="preserve"> </w:t>
      </w:r>
      <w:r>
        <w:rPr>
          <w:rFonts w:ascii="Times New Roman" w:hAnsi="Times New Roman"/>
        </w:rPr>
        <w:t>interview for the 2008 Panel of the Survey of Income and Program Participation (SIPP).  The core SIPP and re</w:t>
      </w:r>
      <w:r w:rsidR="002D35A7">
        <w:rPr>
          <w:rFonts w:ascii="Times New Roman" w:hAnsi="Times New Roman"/>
        </w:rPr>
        <w:t>-</w:t>
      </w:r>
      <w:r>
        <w:rPr>
          <w:rFonts w:ascii="Times New Roman" w:hAnsi="Times New Roman"/>
        </w:rPr>
        <w:t>interview instruments were cleared under Authorization No. 0607-0944.</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represents a source of information for a wide variety of separate topics to be integrated to form a single and unified database in order to examine the interaction between tax, transfer, and other government and private policies.  Government domestic policy formulators depend heavily upon the SIPP information to determine the effect of tax and transfer programs on the distribution of income received directly as money or indirectly as in-kind benefits.  They also need improved and expanded data on the income and general economic and financial situation of the U.S. population.  The SIPP has provided these kinds of data on a continuing basis since 1983, by measuring levels of economic</w:t>
      </w:r>
      <w:r w:rsidR="002D35A7">
        <w:rPr>
          <w:rFonts w:ascii="Times New Roman" w:hAnsi="Times New Roman"/>
        </w:rPr>
        <w:t xml:space="preserve"> </w:t>
      </w:r>
      <w:r>
        <w:rPr>
          <w:rFonts w:ascii="Times New Roman" w:hAnsi="Times New Roman"/>
        </w:rPr>
        <w:t xml:space="preserve">well-being and changes in these levels over time.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survey is molded around a central "core" of labor force and income questions that remain fixed throughout the life of a panel.  The core is supplemented with questions designed to answer specific needs such as estimating eligibility for government programs, examining pension and health care coverage, and analyzing individual net worth.  These supplemental questions are included with the core and are referred to as "topical modules."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6177"/>
        <w:rPr>
          <w:rFonts w:ascii="Times New Roman" w:hAnsi="Times New Roman"/>
        </w:rPr>
      </w:pPr>
    </w:p>
    <w:p w:rsidR="000C691B" w:rsidRDefault="007F6FDB" w:rsidP="006956CB">
      <w:pPr>
        <w:ind w:left="950"/>
        <w:rPr>
          <w:rFonts w:ascii="Times New Roman" w:hAnsi="Times New Roman"/>
        </w:rPr>
      </w:pPr>
      <w:r>
        <w:rPr>
          <w:rFonts w:ascii="Times New Roman" w:hAnsi="Times New Roman"/>
        </w:rPr>
        <w:t xml:space="preserve">The topical module </w:t>
      </w:r>
      <w:r w:rsidR="000C691B">
        <w:rPr>
          <w:rFonts w:ascii="Times New Roman" w:hAnsi="Times New Roman"/>
        </w:rPr>
        <w:t xml:space="preserve">for the 2008 Panel Wave </w:t>
      </w:r>
      <w:r w:rsidR="002D35A7">
        <w:rPr>
          <w:rFonts w:ascii="Times New Roman" w:hAnsi="Times New Roman"/>
        </w:rPr>
        <w:t>1</w:t>
      </w:r>
      <w:r>
        <w:rPr>
          <w:rFonts w:ascii="Times New Roman" w:hAnsi="Times New Roman"/>
        </w:rPr>
        <w:t>1</w:t>
      </w:r>
      <w:r w:rsidR="000C691B">
        <w:rPr>
          <w:rFonts w:ascii="Times New Roman" w:hAnsi="Times New Roman"/>
        </w:rPr>
        <w:t xml:space="preserve"> </w:t>
      </w:r>
      <w:r>
        <w:rPr>
          <w:rFonts w:ascii="Times New Roman" w:hAnsi="Times New Roman"/>
        </w:rPr>
        <w:t>is: Retirement and Pension Plan Coverage</w:t>
      </w:r>
      <w:r w:rsidR="006D5159">
        <w:rPr>
          <w:rFonts w:ascii="Times New Roman" w:hAnsi="Times New Roman"/>
        </w:rPr>
        <w:t xml:space="preserve"> </w:t>
      </w:r>
      <w:r>
        <w:rPr>
          <w:rFonts w:ascii="Times New Roman" w:hAnsi="Times New Roman"/>
        </w:rPr>
        <w:t>(Atta</w:t>
      </w:r>
      <w:r w:rsidR="006D5159">
        <w:rPr>
          <w:rFonts w:ascii="Times New Roman" w:hAnsi="Times New Roman"/>
        </w:rPr>
        <w:t>chment A).  This topical module</w:t>
      </w:r>
      <w:r>
        <w:rPr>
          <w:rFonts w:ascii="Times New Roman" w:hAnsi="Times New Roman"/>
        </w:rPr>
        <w:t xml:space="preserve"> was</w:t>
      </w:r>
      <w:r w:rsidR="002D35A7" w:rsidRPr="001F50CE">
        <w:rPr>
          <w:rFonts w:ascii="Times New Roman" w:hAnsi="Times New Roman"/>
        </w:rPr>
        <w:t xml:space="preserve"> previously</w:t>
      </w:r>
      <w:r w:rsidR="006D5159">
        <w:rPr>
          <w:rFonts w:ascii="Times New Roman" w:hAnsi="Times New Roman"/>
        </w:rPr>
        <w:t xml:space="preserve"> </w:t>
      </w:r>
      <w:r w:rsidR="002D35A7" w:rsidRPr="001F50CE">
        <w:rPr>
          <w:rFonts w:ascii="Times New Roman" w:hAnsi="Times New Roman"/>
        </w:rPr>
        <w:t xml:space="preserve">conducted in the SIPP 2004 Panel Wave </w:t>
      </w:r>
      <w:r w:rsidR="00BA5689">
        <w:rPr>
          <w:rFonts w:ascii="Times New Roman" w:hAnsi="Times New Roman"/>
        </w:rPr>
        <w:t>7</w:t>
      </w:r>
      <w:r w:rsidR="002D35A7" w:rsidRPr="001F50CE">
        <w:rPr>
          <w:rFonts w:ascii="Times New Roman" w:hAnsi="Times New Roman"/>
        </w:rPr>
        <w:t xml:space="preserve"> </w:t>
      </w:r>
      <w:r w:rsidR="0057521E" w:rsidRPr="001F50CE">
        <w:rPr>
          <w:rFonts w:ascii="Times New Roman" w:hAnsi="Times New Roman"/>
        </w:rPr>
        <w:t xml:space="preserve">and </w:t>
      </w:r>
      <w:r w:rsidR="00755095" w:rsidRPr="001F50CE">
        <w:rPr>
          <w:rFonts w:ascii="Times New Roman" w:hAnsi="Times New Roman"/>
        </w:rPr>
        <w:t xml:space="preserve">the SIPP 2008 Panel Wave </w:t>
      </w:r>
      <w:r w:rsidR="000418B2">
        <w:rPr>
          <w:rFonts w:ascii="Times New Roman" w:hAnsi="Times New Roman"/>
        </w:rPr>
        <w:t>3</w:t>
      </w:r>
      <w:r w:rsidR="006E004C">
        <w:rPr>
          <w:rFonts w:ascii="Times New Roman" w:hAnsi="Times New Roman"/>
        </w:rPr>
        <w:t xml:space="preserve"> </w:t>
      </w:r>
      <w:r w:rsidR="006E004C" w:rsidRPr="001F50CE">
        <w:rPr>
          <w:rFonts w:ascii="Times New Roman" w:hAnsi="Times New Roman"/>
        </w:rPr>
        <w:t>instrument</w:t>
      </w:r>
      <w:r w:rsidR="006E004C">
        <w:rPr>
          <w:rFonts w:ascii="Times New Roman" w:hAnsi="Times New Roman"/>
        </w:rPr>
        <w:t>s</w:t>
      </w:r>
      <w:r w:rsidR="000418B2">
        <w:rPr>
          <w:rFonts w:ascii="Times New Roman" w:hAnsi="Times New Roman"/>
        </w:rPr>
        <w:t xml:space="preserve">. </w:t>
      </w:r>
      <w:r w:rsidR="002D35A7" w:rsidRPr="001F50CE">
        <w:rPr>
          <w:rFonts w:ascii="Times New Roman" w:hAnsi="Times New Roman"/>
        </w:rPr>
        <w:t xml:space="preserve"> </w:t>
      </w:r>
      <w:r w:rsidR="000C691B">
        <w:rPr>
          <w:rFonts w:ascii="Times New Roman" w:hAnsi="Times New Roman"/>
        </w:rPr>
        <w:t xml:space="preserve">Wave </w:t>
      </w:r>
      <w:r w:rsidR="00755095">
        <w:rPr>
          <w:rFonts w:ascii="Times New Roman" w:hAnsi="Times New Roman"/>
        </w:rPr>
        <w:t>1</w:t>
      </w:r>
      <w:r>
        <w:rPr>
          <w:rFonts w:ascii="Times New Roman" w:hAnsi="Times New Roman"/>
        </w:rPr>
        <w:t>1</w:t>
      </w:r>
      <w:r w:rsidR="000C691B">
        <w:rPr>
          <w:rFonts w:ascii="Times New Roman" w:hAnsi="Times New Roman"/>
        </w:rPr>
        <w:t xml:space="preserve"> interviews will be conducted from </w:t>
      </w:r>
      <w:r w:rsidR="000418B2">
        <w:rPr>
          <w:rFonts w:ascii="Times New Roman" w:hAnsi="Times New Roman"/>
        </w:rPr>
        <w:t xml:space="preserve">January 1, 2012 </w:t>
      </w:r>
      <w:r w:rsidR="000C691B">
        <w:rPr>
          <w:rFonts w:ascii="Times New Roman" w:hAnsi="Times New Roman"/>
        </w:rPr>
        <w:t xml:space="preserve">through </w:t>
      </w:r>
      <w:r w:rsidR="000418B2">
        <w:rPr>
          <w:rFonts w:ascii="Times New Roman" w:hAnsi="Times New Roman"/>
        </w:rPr>
        <w:t>April 30, 2012.</w:t>
      </w:r>
    </w:p>
    <w:p w:rsidR="00E3209B" w:rsidRDefault="00E3209B" w:rsidP="006956CB">
      <w:pPr>
        <w:ind w:left="950"/>
        <w:rPr>
          <w:rFonts w:ascii="Times New Roman" w:hAnsi="Times New Roman"/>
        </w:rPr>
      </w:pPr>
    </w:p>
    <w:p w:rsidR="00E3209B" w:rsidRDefault="00E3209B" w:rsidP="006956CB">
      <w:pPr>
        <w:ind w:left="950"/>
        <w:rPr>
          <w:rFonts w:ascii="Times New Roman" w:hAnsi="Times New Roman"/>
        </w:rPr>
      </w:pPr>
      <w:r>
        <w:rPr>
          <w:rFonts w:ascii="Times New Roman" w:hAnsi="Times New Roman"/>
        </w:rPr>
        <w:t>No topical modules are planned for Waves 12 through 17 of the 2008 Panel.  We plan to continue fielding the core and reinterview instruments through April 2014, which is the last rotation of Wave 17.  Consequently, we do not anticipate any future OMB submissions for the 2008 Panel.</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pgSz w:w="12240" w:h="15840"/>
          <w:pgMar w:top="1440" w:right="1440" w:bottom="1440" w:left="1440" w:header="1440" w:footer="1440" w:gutter="0"/>
          <w:cols w:space="720"/>
          <w:noEndnote/>
        </w:sectPr>
      </w:pPr>
    </w:p>
    <w:p w:rsidR="006D5159"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The SIPP is designed as a continuing series of national panels of interviewed households that are introduced every few years with each panel having durations of approximately 3 to 6 years.  The 2008 Panel is schedule</w:t>
      </w:r>
      <w:r w:rsidR="002B66B1">
        <w:rPr>
          <w:rFonts w:ascii="Times New Roman" w:hAnsi="Times New Roman"/>
        </w:rPr>
        <w:t>d for approximately 6 years and</w:t>
      </w:r>
      <w:r>
        <w:rPr>
          <w:rFonts w:ascii="Times New Roman" w:hAnsi="Times New Roman"/>
        </w:rPr>
        <w:t xml:space="preserve"> includes seventeen waves which began September 1, 2008.  </w:t>
      </w:r>
      <w:r w:rsidR="00C82214">
        <w:rPr>
          <w:rFonts w:ascii="Times New Roman" w:hAnsi="Times New Roman"/>
        </w:rPr>
        <w:t>At the present time, W</w:t>
      </w:r>
      <w:r w:rsidR="006E004C">
        <w:rPr>
          <w:rFonts w:ascii="Times New Roman" w:hAnsi="Times New Roman"/>
        </w:rPr>
        <w:t xml:space="preserve">aves 12 and </w:t>
      </w:r>
      <w:r w:rsidR="006E004C">
        <w:rPr>
          <w:rFonts w:ascii="Times New Roman" w:hAnsi="Times New Roman"/>
        </w:rPr>
        <w:lastRenderedPageBreak/>
        <w:t xml:space="preserve">13 may not include topical modules which would require specific OMB clearance.  Our current clearance does, however, allow us to conduct the “core” interviews in the field for 17 waves.  The current OMB </w:t>
      </w:r>
      <w:r w:rsidR="00C82214">
        <w:rPr>
          <w:rFonts w:ascii="Times New Roman" w:hAnsi="Times New Roman"/>
        </w:rPr>
        <w:t>clearance expiration date from W</w:t>
      </w:r>
      <w:r w:rsidR="006E004C">
        <w:rPr>
          <w:rFonts w:ascii="Times New Roman" w:hAnsi="Times New Roman"/>
        </w:rPr>
        <w:t xml:space="preserve">ave 10 is June 30, 2014.  </w:t>
      </w:r>
      <w:r>
        <w:rPr>
          <w:rFonts w:ascii="Times New Roman" w:hAnsi="Times New Roman"/>
        </w:rPr>
        <w:t xml:space="preserve">All household members 15 years old or over are interviewed using regular proxy-respondent rules.  They are interviewed a total of seventeen times or waves, at 4-month intervals, making the SIPP a longitudinal survey.  All household members present at the time of the first interview who move within the country and reasonably close to a SIPP primary sampling unit (PSU) will be followed and interviewed at their new address.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Individuals 15 years old or over who enter the household after Wave 1 will be interviewed; however, if these people move, they are not followed unless they happen to move along with a Wave 1 sample individual.</w:t>
      </w:r>
    </w:p>
    <w:p w:rsidR="00DA0A92" w:rsidRDefault="00DA0A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OMB has established an Interagency Advisory Committee to provide guidance for the content and procedures for the SIPP.  Interagency subcommittees were set up to recommend specific areas of inquiries for supplemental questions.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Census Bureau developed the 2008 Panel Wave </w:t>
      </w:r>
      <w:r w:rsidR="00DA0A92">
        <w:rPr>
          <w:rFonts w:ascii="Times New Roman" w:hAnsi="Times New Roman"/>
        </w:rPr>
        <w:t>1</w:t>
      </w:r>
      <w:r w:rsidR="00E52415">
        <w:rPr>
          <w:rFonts w:ascii="Times New Roman" w:hAnsi="Times New Roman"/>
        </w:rPr>
        <w:t>1 topical module</w:t>
      </w:r>
      <w:r>
        <w:rPr>
          <w:rFonts w:ascii="Times New Roman" w:hAnsi="Times New Roman"/>
        </w:rPr>
        <w:t xml:space="preserve"> through consultation with the SIPP OMB Interagency Subcommittee.  The q</w:t>
      </w:r>
      <w:r w:rsidR="00E52415">
        <w:rPr>
          <w:rFonts w:ascii="Times New Roman" w:hAnsi="Times New Roman"/>
        </w:rPr>
        <w:t>uestions for the topical module</w:t>
      </w:r>
      <w:r>
        <w:rPr>
          <w:rFonts w:ascii="Times New Roman" w:hAnsi="Times New Roman"/>
        </w:rPr>
        <w:t xml:space="preserve"> address major policy and program concerns as stated by this subcommittee and the SIPP Interagency Advisory Committee.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outlineLvl w:val="0"/>
        <w:rPr>
          <w:rFonts w:ascii="Times New Roman" w:hAnsi="Times New Roman"/>
        </w:rPr>
      </w:pPr>
      <w:r>
        <w:rPr>
          <w:rFonts w:ascii="Times New Roman" w:hAnsi="Times New Roman"/>
        </w:rPr>
        <w:t>The SIPP is authorized by Title 13, United States Code, Section 182.</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Information quality, as described by the Census Bureau</w:t>
      </w:r>
      <w:r>
        <w:rPr>
          <w:rFonts w:ascii="Times New Roman" w:hAnsi="Times New Roman"/>
        </w:rPr>
        <w:sym w:font="WP TypographicSymbols" w:char="003D"/>
      </w:r>
      <w:r>
        <w:rPr>
          <w:rFonts w:ascii="Times New Roman" w:hAnsi="Times New Roman"/>
        </w:rPr>
        <w:t>s Information Quality Guidelines, is an integral part of the pre-dissemination review of information disseminated by the Census Bureau.  Information quality is integral to information collections conducted by the Census Bureau and is incorporated into the clearance process required by the Paperwork Reduction Act.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Data provided by the SIPP are being used by economic policymakers, Congress, state and local governments, and federal agencies that administer social welfare or transfer payment programs such as the Department of Health and Human Services and the Department of Agriculture.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following is a description and uses of the Wave </w:t>
      </w:r>
      <w:r w:rsidR="00DA0A92">
        <w:rPr>
          <w:rFonts w:ascii="Times New Roman" w:hAnsi="Times New Roman"/>
        </w:rPr>
        <w:t>1</w:t>
      </w:r>
      <w:r w:rsidR="00975A90">
        <w:rPr>
          <w:rFonts w:ascii="Times New Roman" w:hAnsi="Times New Roman"/>
        </w:rPr>
        <w:t>1</w:t>
      </w:r>
      <w:r>
        <w:rPr>
          <w:rFonts w:ascii="Times New Roman" w:hAnsi="Times New Roman"/>
        </w:rPr>
        <w:t xml:space="preserve"> topical module data:</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DA0A92" w:rsidRPr="001A3154" w:rsidRDefault="00DA0A92" w:rsidP="00975A90">
      <w:pPr>
        <w:outlineLvl w:val="0"/>
        <w:rPr>
          <w:rFonts w:ascii="Times New Roman" w:hAnsi="Times New Roman"/>
          <w:u w:val="single"/>
        </w:rPr>
      </w:pPr>
      <w:r w:rsidRPr="001A3154">
        <w:rPr>
          <w:rFonts w:ascii="Times New Roman" w:hAnsi="Times New Roman"/>
        </w:rPr>
        <w:tab/>
      </w:r>
      <w:r w:rsidR="00C06434">
        <w:rPr>
          <w:rFonts w:ascii="Times New Roman" w:hAnsi="Times New Roman"/>
        </w:rPr>
        <w:t xml:space="preserve">  </w:t>
      </w:r>
      <w:r w:rsidR="00975A90">
        <w:rPr>
          <w:rFonts w:ascii="Times New Roman" w:hAnsi="Times New Roman"/>
          <w:u w:val="single"/>
        </w:rPr>
        <w:t>Retirement and Pension Plan Coverage</w:t>
      </w:r>
    </w:p>
    <w:p w:rsidR="00DA0A92" w:rsidRDefault="00DA0A9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6E004C" w:rsidRPr="00E52415" w:rsidRDefault="004B3D28" w:rsidP="00361431">
      <w:pPr>
        <w:ind w:left="915"/>
        <w:rPr>
          <w:rFonts w:ascii="Times New Roman" w:hAnsi="Times New Roman"/>
        </w:rPr>
      </w:pPr>
      <w:r w:rsidRPr="00E52415">
        <w:rPr>
          <w:rFonts w:ascii="Times New Roman" w:hAnsi="Times New Roman"/>
          <w:lang w:val="en-CA"/>
        </w:rPr>
        <w:fldChar w:fldCharType="begin"/>
      </w:r>
      <w:r w:rsidR="00E52415" w:rsidRPr="00E52415">
        <w:rPr>
          <w:rFonts w:ascii="Times New Roman" w:hAnsi="Times New Roman"/>
          <w:lang w:val="en-CA"/>
        </w:rPr>
        <w:instrText xml:space="preserve"> SEQ CHAPTER \h \r 1</w:instrText>
      </w:r>
      <w:r w:rsidRPr="00E52415">
        <w:rPr>
          <w:rFonts w:ascii="Times New Roman" w:hAnsi="Times New Roman"/>
          <w:lang w:val="en-CA"/>
        </w:rPr>
        <w:fldChar w:fldCharType="end"/>
      </w:r>
      <w:r w:rsidR="00E52415" w:rsidRPr="00E52415">
        <w:rPr>
          <w:rFonts w:ascii="Times New Roman" w:hAnsi="Times New Roman"/>
        </w:rPr>
        <w:t xml:space="preserve">The Retirement and Pension Plan Coverage topical module contains questions on coverage and vested rights in retirement or pension plans.  This information will aid the analysis of retirement decisions as well as a comparison of the Social Security System with private retirement plans.  This topical module also will provide information on </w:t>
      </w:r>
      <w:r w:rsidR="00E52415" w:rsidRPr="00E52415">
        <w:rPr>
          <w:rFonts w:ascii="Times New Roman" w:hAnsi="Times New Roman"/>
        </w:rPr>
        <w:lastRenderedPageBreak/>
        <w:t>how net worth may be related to retirement decisions.</w:t>
      </w:r>
    </w:p>
    <w:p w:rsidR="00975A90" w:rsidRDefault="00975A9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Use of Information Technology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headerReference w:type="default" r:id="rId8"/>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The survey is administered using computer-assisted personal interviewing (CAPI) methodologies.  The Census Bureau field representatives (FR) collect the data from respondents using laptop computers and the data are transmitted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can be minimized by incorporating design features that make it easier to collect and record respondent information.  Appropriate screening and lead in questions, which serve to skip respondents out of sections of the questionnaire that are not relevant or applicable, are built into the automated instrument.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Preliminary analysis from an Internet field test conducted by the SIPP Methods Panel in August and September 2000 indicated that using the Internet as a mode of collection for a complex demographic survey such as SIPP is not feasible.  The conclusions of the test indicated that Internet survey technology is not currently sophisticated enough to handle the complexity of the SIPP survey and the complicated skip pattern and rostering requirements.  A low response rate combined with technological challenges and limitations indicate that the costs of converting a complex questionnaire to an online survey far outweigh the benefits even in a multimode environment.  The final report is available upon request. </w:t>
      </w:r>
      <w:r>
        <w:rPr>
          <w:rFonts w:ascii="Times New Roman" w:hAnsi="Times New Roman"/>
        </w:rPr>
        <w:tab/>
      </w:r>
      <w:r>
        <w:rPr>
          <w:rFonts w:ascii="Times New Roman" w:hAnsi="Times New Roman"/>
        </w:rPr>
        <w:tab/>
      </w:r>
    </w:p>
    <w:p w:rsidR="00E52415" w:rsidRDefault="00E524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To ascertain whether duplication exists between the SIPP and ongoing or previously approved Census Bureau information collections, we examined the following surveys: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Supplements to the Current Population Survey (CPS).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The American Housing Survey.</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The National Crime Victimization Survey.</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The Consumer Expenditure Survey.</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The National Health Interview Survey.</w:t>
      </w:r>
    </w:p>
    <w:p w:rsidR="000C691B" w:rsidRDefault="000C691B" w:rsidP="00CB03FC">
      <w:pPr>
        <w:pStyle w:val="Level1"/>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The American Community Survey (ACS).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 review of information collections conducted outside the Census Bureau indicated that no past or current national survey duplicates the SIPP with respect to its longitudinal component or its scope and coverage.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Census Bureau tries to avoid unnecessary duplication in all of its surveys and will continue to do so.  Our views on the duplication problem were stated in a letter from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William P. Butz to James B. MacRae, Jr., OMB, on July 29, 1988.  In that letter, we proposed three conditions under which duplication is warranted as follows: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t>a.</w:t>
      </w:r>
      <w:r>
        <w:rPr>
          <w:rFonts w:ascii="Times New Roman" w:hAnsi="Times New Roman"/>
        </w:rPr>
        <w:tab/>
        <w:t>When the duplication supplies necessary classifying variables for data analysis.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rPr>
          <w:rFonts w:ascii="Times New Roman" w:hAnsi="Times New Roman"/>
        </w:rPr>
      </w:pPr>
      <w:r>
        <w:rPr>
          <w:rFonts w:ascii="Times New Roman" w:hAnsi="Times New Roman"/>
        </w:rPr>
        <w:t>b.</w:t>
      </w:r>
      <w:r>
        <w:rPr>
          <w:rFonts w:ascii="Times New Roman" w:hAnsi="Times New Roman"/>
        </w:rPr>
        <w:tab/>
        <w:t xml:space="preserve">When the duplication prevents more extensive duplication.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t>c.</w:t>
      </w:r>
      <w:r>
        <w:rPr>
          <w:rFonts w:ascii="Times New Roman" w:hAnsi="Times New Roman"/>
        </w:rPr>
        <w:tab/>
        <w:t>When the users' analyses requir</w:t>
      </w:r>
      <w:r w:rsidR="002B66B1">
        <w:rPr>
          <w:rFonts w:ascii="Times New Roman" w:hAnsi="Times New Roman"/>
        </w:rPr>
        <w:t xml:space="preserve">e the duplicate questions on a </w:t>
      </w:r>
      <w:r>
        <w:rPr>
          <w:rFonts w:ascii="Times New Roman" w:hAnsi="Times New Roman"/>
        </w:rPr>
        <w:t xml:space="preserve">particular survey.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Outside these areas of justified duplication, we think that duplication is unwarranted.  The Census Bureau has always attempted to avoid such situations in its own surveys and will continue to do so.  We are continuing to examine the content of the SIPP topical modules and recurring CPS supplements to determine whether these contain inappropriate duplication and we will take steps to eliminate any that we find from future collection efforts.  To the best of our ability we also try to make sponsors of other surveys aware of existing sources of data on subjects about which they propose to collect information.  However, if upon such notification of potential duplication the sponsor wishes to proceed with collection, we will go forward with a new or existing data collection effort.  This clearance request points out the duplication and the need for it from our perspective as well as that of the Interagency Advisory Committee.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Minimizing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uses appropriate technology to keep respondent burden to a minimum.  Examples of technology used to minimize respondent burden include:  use of appropriate screening and lead in questions that serve to skip respondents out of sections of the CAPI instrument that are not relevant or applicable to them; use of flash cards to aid respondents with multiple response categories; and arrangement of</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questions and sections of the CAPI instrument that facilitate the flow of administration from one topic area to another.</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is designed as a continuing series of national panels of interviewed households that are introduced every few years, with each panel having durations typically of 3 to </w:t>
      </w:r>
      <w:r w:rsidR="00CC0A4D">
        <w:rPr>
          <w:rFonts w:ascii="Times New Roman" w:hAnsi="Times New Roman"/>
        </w:rPr>
        <w:t>6</w:t>
      </w:r>
      <w:r>
        <w:rPr>
          <w:rFonts w:ascii="Times New Roman" w:hAnsi="Times New Roman"/>
        </w:rPr>
        <w:t xml:space="preserve"> years.  The 2008 Panel is scheduled for </w:t>
      </w:r>
      <w:r w:rsidR="007024FA">
        <w:rPr>
          <w:rFonts w:ascii="Times New Roman" w:hAnsi="Times New Roman"/>
        </w:rPr>
        <w:t>approximately</w:t>
      </w:r>
      <w:r w:rsidR="00CC0A4D">
        <w:rPr>
          <w:rFonts w:ascii="Times New Roman" w:hAnsi="Times New Roman"/>
        </w:rPr>
        <w:t xml:space="preserve"> 6 </w:t>
      </w:r>
      <w:r>
        <w:rPr>
          <w:rFonts w:ascii="Times New Roman" w:hAnsi="Times New Roman"/>
        </w:rPr>
        <w:t>years and includes seventeen waves which began September 1, 2008.  The survey uses a 4 month recall period with approximately one</w:t>
      </w:r>
      <w:r>
        <w:rPr>
          <w:rFonts w:ascii="Times New Roman" w:hAnsi="Times New Roman"/>
        </w:rPr>
        <w:noBreakHyphen/>
        <w:t>fourth of the sample households being interviewed each month.  A less frequent data collection schedule could cause a severe reduction in the accuracy of reporting due to memory decay.  Also, a major feature of the SIPP is that it produces a time series of data as described above.  Breaks in the series arising from cessation of the interviewing would severely limit the data's usability.</w:t>
      </w:r>
    </w:p>
    <w:p w:rsidR="00361431" w:rsidRDefault="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361431" w:rsidRDefault="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lastRenderedPageBreak/>
        <w:t>7.</w:t>
      </w:r>
      <w:r>
        <w:rPr>
          <w:rFonts w:ascii="Times New Roman" w:hAnsi="Times New Roman"/>
        </w:rPr>
        <w:tab/>
      </w:r>
      <w:r>
        <w:rPr>
          <w:rFonts w:ascii="Times New Roman" w:hAnsi="Times New Roman"/>
          <w:u w:val="single"/>
        </w:rPr>
        <w:t>Special Circumstances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6E004C">
      <w:pPr>
        <w:widowControl/>
        <w:tabs>
          <w:tab w:val="right" w:pos="9360"/>
        </w:tabs>
        <w:ind w:left="950"/>
        <w:outlineLvl w:val="0"/>
        <w:rPr>
          <w:rFonts w:ascii="Times New Roman" w:hAnsi="Times New Roman"/>
        </w:rPr>
      </w:pPr>
      <w:r>
        <w:rPr>
          <w:rFonts w:ascii="Times New Roman" w:hAnsi="Times New Roman"/>
        </w:rPr>
        <w:t xml:space="preserve">There are no special circumstances associated with this clearance request. </w:t>
      </w:r>
      <w:r>
        <w:rPr>
          <w:rFonts w:ascii="Times New Roman" w:hAnsi="Times New Roman"/>
        </w:rPr>
        <w:tab/>
      </w: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outlineLvl w:val="0"/>
        <w:rPr>
          <w:rFonts w:ascii="Times New Roman" w:hAnsi="Times New Roman"/>
        </w:rPr>
      </w:pPr>
      <w:r>
        <w:rPr>
          <w:rFonts w:ascii="Times New Roman" w:hAnsi="Times New Roman"/>
        </w:rPr>
        <w:t xml:space="preserve"> </w:t>
      </w:r>
      <w:r>
        <w:rPr>
          <w:rFonts w:ascii="Times New Roman" w:hAnsi="Times New Roman"/>
        </w:rPr>
        <w:tab/>
        <w:t>8.</w:t>
      </w:r>
      <w:r>
        <w:rPr>
          <w:rFonts w:ascii="Times New Roman" w:hAnsi="Times New Roman"/>
        </w:rPr>
        <w:tab/>
      </w:r>
      <w:r>
        <w:rPr>
          <w:rFonts w:ascii="Times New Roman" w:hAnsi="Times New Roman"/>
          <w:u w:val="single"/>
        </w:rPr>
        <w:t>Consultations Outside the Agency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OMB established an Interagency Advisory Committee to provide guidance for the content and procedures for the SIPP.  That committee along with the subcommittee on the topical modules has worked actively with the Census Bureau to assure that the SIPP content and procedures collect the appropriate data and that duplications between surveys are minimized to the extent possible.</w:t>
      </w:r>
    </w:p>
    <w:p w:rsidR="004A39B6" w:rsidRDefault="004A39B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0C691B">
          <w:type w:val="continuous"/>
          <w:pgSz w:w="12240" w:h="15840"/>
          <w:pgMar w:top="1440" w:right="1440" w:bottom="1440" w:left="1440" w:header="1440" w:footer="1440" w:gutter="0"/>
          <w:cols w:space="720"/>
          <w:noEndnote/>
        </w:sectPr>
      </w:pPr>
    </w:p>
    <w:p w:rsidR="000C691B" w:rsidRPr="007024FA"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color w:val="0070C0"/>
        </w:rPr>
      </w:pPr>
      <w:r>
        <w:rPr>
          <w:rFonts w:ascii="Times New Roman" w:hAnsi="Times New Roman"/>
        </w:rPr>
        <w:lastRenderedPageBreak/>
        <w:t xml:space="preserve">We published a notice in the </w:t>
      </w:r>
      <w:r>
        <w:rPr>
          <w:rFonts w:ascii="Times New Roman" w:hAnsi="Times New Roman"/>
          <w:i/>
          <w:iCs/>
        </w:rPr>
        <w:t>Federal Register</w:t>
      </w:r>
      <w:r>
        <w:rPr>
          <w:rFonts w:ascii="Times New Roman" w:hAnsi="Times New Roman"/>
        </w:rPr>
        <w:t xml:space="preserve"> on</w:t>
      </w:r>
      <w:r w:rsidR="004A39B6">
        <w:rPr>
          <w:rFonts w:ascii="Times New Roman" w:hAnsi="Times New Roman"/>
        </w:rPr>
        <w:t xml:space="preserve"> </w:t>
      </w:r>
      <w:r w:rsidR="006D5159">
        <w:rPr>
          <w:rFonts w:ascii="Times New Roman" w:hAnsi="Times New Roman"/>
        </w:rPr>
        <w:t xml:space="preserve">May 2, </w:t>
      </w:r>
      <w:r w:rsidR="004A39B6">
        <w:rPr>
          <w:rFonts w:ascii="Times New Roman" w:hAnsi="Times New Roman"/>
        </w:rPr>
        <w:t>201</w:t>
      </w:r>
      <w:r w:rsidR="006D5159">
        <w:rPr>
          <w:rFonts w:ascii="Times New Roman" w:hAnsi="Times New Roman"/>
        </w:rPr>
        <w:t>1</w:t>
      </w:r>
      <w:r w:rsidR="004A39B6">
        <w:rPr>
          <w:rFonts w:ascii="Times New Roman" w:hAnsi="Times New Roman"/>
        </w:rPr>
        <w:t>, Vol. 7</w:t>
      </w:r>
      <w:r w:rsidR="006D5159">
        <w:rPr>
          <w:rFonts w:ascii="Times New Roman" w:hAnsi="Times New Roman"/>
        </w:rPr>
        <w:t>6</w:t>
      </w:r>
      <w:r w:rsidR="004A39B6">
        <w:rPr>
          <w:rFonts w:ascii="Times New Roman" w:hAnsi="Times New Roman"/>
        </w:rPr>
        <w:t xml:space="preserve">, </w:t>
      </w:r>
      <w:r>
        <w:rPr>
          <w:rFonts w:ascii="Times New Roman" w:hAnsi="Times New Roman"/>
        </w:rPr>
        <w:t>No.</w:t>
      </w:r>
      <w:r w:rsidR="006D5159">
        <w:rPr>
          <w:rFonts w:ascii="Times New Roman" w:hAnsi="Times New Roman"/>
        </w:rPr>
        <w:t xml:space="preserve"> 84</w:t>
      </w:r>
      <w:r>
        <w:rPr>
          <w:rFonts w:ascii="Times New Roman" w:hAnsi="Times New Roman"/>
        </w:rPr>
        <w:t xml:space="preserve">, page </w:t>
      </w:r>
      <w:r w:rsidR="006D5159">
        <w:rPr>
          <w:rFonts w:ascii="Times New Roman" w:hAnsi="Times New Roman"/>
        </w:rPr>
        <w:t>24457</w:t>
      </w:r>
      <w:r>
        <w:rPr>
          <w:rFonts w:ascii="Times New Roman" w:hAnsi="Times New Roman"/>
        </w:rPr>
        <w:t xml:space="preserve">, inviting public comment on our plans to submit this request. </w:t>
      </w:r>
      <w:r w:rsidR="007024FA">
        <w:rPr>
          <w:rFonts w:ascii="Times New Roman" w:hAnsi="Times New Roman"/>
        </w:rPr>
        <w:t xml:space="preserve"> </w:t>
      </w:r>
      <w:r w:rsidRPr="007024FA">
        <w:rPr>
          <w:rFonts w:ascii="Times New Roman" w:hAnsi="Times New Roman"/>
        </w:rPr>
        <w:t xml:space="preserve">We received </w:t>
      </w:r>
      <w:r w:rsidR="006D5159">
        <w:rPr>
          <w:rFonts w:ascii="Times New Roman" w:hAnsi="Times New Roman"/>
        </w:rPr>
        <w:t>one comment generally opposing collection</w:t>
      </w:r>
      <w:r w:rsidR="007024FA" w:rsidRPr="007024FA">
        <w:rPr>
          <w:rFonts w:ascii="Times New Roman" w:hAnsi="Times New Roman"/>
        </w:rPr>
        <w:t>.</w:t>
      </w:r>
      <w:r w:rsidRPr="007024FA">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w:t>
      </w:r>
      <w:r>
        <w:rPr>
          <w:rFonts w:ascii="Times New Roman" w:hAnsi="Times New Roman"/>
        </w:rPr>
        <w:sym w:font="WP TypographicSymbols" w:char="003D"/>
      </w:r>
      <w:r>
        <w:rPr>
          <w:rFonts w:ascii="Times New Roman" w:hAnsi="Times New Roman"/>
        </w:rPr>
        <w:t xml:space="preserve">s plans are to continue the Incentive Test during the remaining waves of the 2008 Panel as described in the Memorandum from Ruth Ann Killion to Brian Harris-Kojetin dated July 2, 2008, with the subject </w:t>
      </w:r>
      <w:r>
        <w:rPr>
          <w:rFonts w:ascii="Times New Roman" w:hAnsi="Times New Roman"/>
        </w:rPr>
        <w:sym w:font="WP TypographicSymbols" w:char="0041"/>
      </w:r>
      <w:r>
        <w:rPr>
          <w:rFonts w:ascii="Times New Roman" w:hAnsi="Times New Roman"/>
        </w:rPr>
        <w:t>SIPP 2008: Incentive Test (ALYS-4).</w:t>
      </w:r>
      <w:r>
        <w:rPr>
          <w:rFonts w:ascii="Times New Roman" w:hAnsi="Times New Roman"/>
        </w:rPr>
        <w:sym w:font="WP TypographicSymbols" w:char="0040"/>
      </w:r>
      <w:r>
        <w:rPr>
          <w:rFonts w:ascii="Times New Roman" w:hAnsi="Times New Roman"/>
        </w:rPr>
        <w:t xml:space="preserve">  During Wave 1, 25 percent of the respondents were sent a $20 incentive with the Advance Letter, 25 percent were eligible for a $40 discretionary incentive, and 50 percent were assigned to the control group and not eligible for an incentive.  In Wave 2+ the same 25 percent of respondents continue to be eligible for the $40 discretionary incentives at each wave.  The incentive is in the form of a debit card with a unique PIN number which can be cashed at any ATM machine.  The discretionary incentive is offered by the FR at the point the respondent is clearly planning to leave the survey and is used to persuade them to respond.  The FR makes clear at the time the incentive is offered that a complete interview is required before the debit card and unique PIN number is given.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5702"/>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We are conducting this survey under the authority of Title 13, United States Code, Section 182.  Section 9 of this law requires us to keep all information strictly confidential.  Each wave, a letter from the Director of the Census Bureau is sent to each household. This letter informs respondents of the confidentiality of their responses and the voluntary nature of the survey. (Attachment</w:t>
      </w:r>
      <w:r w:rsidR="00146203">
        <w:rPr>
          <w:rFonts w:ascii="Times New Roman" w:hAnsi="Times New Roman"/>
        </w:rPr>
        <w:t>s</w:t>
      </w:r>
      <w:r>
        <w:rPr>
          <w:rFonts w:ascii="Times New Roman" w:hAnsi="Times New Roman"/>
        </w:rPr>
        <w:t xml:space="preserve"> B</w:t>
      </w:r>
      <w:r w:rsidR="00146203">
        <w:rPr>
          <w:rFonts w:ascii="Times New Roman" w:hAnsi="Times New Roman"/>
        </w:rPr>
        <w:t xml:space="preserve"> and C</w:t>
      </w:r>
      <w:r w:rsidR="00F3294F">
        <w:rPr>
          <w:rFonts w:ascii="Times New Roman" w:hAnsi="Times New Roman"/>
        </w:rPr>
        <w:t>)</w:t>
      </w:r>
      <w:r>
        <w:rPr>
          <w:rFonts w:ascii="Times New Roman" w:hAnsi="Times New Roman"/>
        </w:rPr>
        <w:t xml:space="preserve">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36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sources of income and assets are among the kinds of data collected and may be considered to be of a sensitive nature.  The Census Bureau takes the position that the collection of these types of data is necessary for the analysis of important policy and program issues and has structured the questions to lessen their sensitivity.  </w:t>
      </w:r>
    </w:p>
    <w:p w:rsidR="006E004C" w:rsidRDefault="006E004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B74F3" w:rsidRDefault="000C691B" w:rsidP="006E004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Based on our experience with the 1996, 2001, and 2004 SIPP panels and in-house testing, the burden estimates for FY 201</w:t>
      </w:r>
      <w:r w:rsidR="00BA7CD6">
        <w:rPr>
          <w:rFonts w:ascii="Times New Roman" w:hAnsi="Times New Roman"/>
        </w:rPr>
        <w:t>2</w:t>
      </w:r>
      <w:r>
        <w:rPr>
          <w:rFonts w:ascii="Times New Roman" w:hAnsi="Times New Roman"/>
        </w:rPr>
        <w:t xml:space="preserve"> are as follows:</w:t>
      </w:r>
      <w:r>
        <w:rPr>
          <w:rFonts w:ascii="Times New Roman" w:hAnsi="Times New Roman"/>
        </w:rPr>
        <w:tab/>
      </w:r>
    </w:p>
    <w:p w:rsidR="00890ECE" w:rsidRDefault="00890E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890ECE"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b/>
          <w:bCs/>
        </w:rPr>
      </w:pPr>
      <w:r>
        <w:rPr>
          <w:rFonts w:ascii="Times New Roman" w:hAnsi="Times New Roman"/>
        </w:rPr>
        <w:tab/>
      </w:r>
      <w:r w:rsidR="000C691B">
        <w:rPr>
          <w:rFonts w:ascii="Times New Roman" w:hAnsi="Times New Roman"/>
          <w:b/>
          <w:bCs/>
        </w:rPr>
        <w:t>2008 SIPP PANEL</w:t>
      </w:r>
    </w:p>
    <w:p w:rsidR="000C691B" w:rsidRDefault="000C691B" w:rsidP="001F0CBA">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outlineLvl w:val="0"/>
        <w:rPr>
          <w:rFonts w:ascii="Times New Roman" w:hAnsi="Times New Roman"/>
        </w:rPr>
      </w:pPr>
      <w:r>
        <w:rPr>
          <w:rFonts w:ascii="Times New Roman" w:hAnsi="Times New Roman"/>
          <w:b/>
          <w:bCs/>
        </w:rPr>
        <w:tab/>
        <w:t>FY 201</w:t>
      </w:r>
      <w:r w:rsidR="00BA7CD6">
        <w:rPr>
          <w:rFonts w:ascii="Times New Roman" w:hAnsi="Times New Roman"/>
          <w:b/>
          <w:bCs/>
        </w:rPr>
        <w:t>2</w:t>
      </w:r>
      <w:r>
        <w:rPr>
          <w:rFonts w:ascii="Times New Roman" w:hAnsi="Times New Roman"/>
          <w:b/>
          <w:bCs/>
        </w:rPr>
        <w:t xml:space="preserve"> BURDEN HOUR SUMMARY</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tbl>
      <w:tblPr>
        <w:tblW w:w="0" w:type="auto"/>
        <w:tblInd w:w="1102" w:type="dxa"/>
        <w:tblLayout w:type="fixed"/>
        <w:tblCellMar>
          <w:left w:w="112" w:type="dxa"/>
          <w:right w:w="112" w:type="dxa"/>
        </w:tblCellMar>
        <w:tblLook w:val="0000"/>
      </w:tblPr>
      <w:tblGrid>
        <w:gridCol w:w="1530"/>
        <w:gridCol w:w="1530"/>
        <w:gridCol w:w="990"/>
        <w:gridCol w:w="1620"/>
        <w:gridCol w:w="1350"/>
        <w:gridCol w:w="1170"/>
      </w:tblGrid>
      <w:tr w:rsidR="000C691B" w:rsidTr="00D166DE">
        <w:tc>
          <w:tcPr>
            <w:tcW w:w="1530" w:type="dxa"/>
            <w:tcBorders>
              <w:top w:val="double" w:sz="7" w:space="0" w:color="000000"/>
              <w:left w:val="double" w:sz="7" w:space="0" w:color="000000"/>
              <w:bottom w:val="single" w:sz="6" w:space="0" w:color="FFFFFF"/>
              <w:right w:val="single" w:sz="6" w:space="0" w:color="FFFFFF"/>
            </w:tcBorders>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 xml:space="preserve">      </w:t>
            </w:r>
          </w:p>
        </w:tc>
        <w:tc>
          <w:tcPr>
            <w:tcW w:w="1530" w:type="dxa"/>
            <w:tcBorders>
              <w:top w:val="double" w:sz="7" w:space="0" w:color="000000"/>
              <w:left w:val="single" w:sz="7" w:space="0" w:color="000000"/>
              <w:bottom w:val="single" w:sz="6" w:space="0" w:color="FFFFFF"/>
              <w:right w:val="single" w:sz="6" w:space="0" w:color="FFFFFF"/>
            </w:tcBorders>
            <w:vAlign w:val="bottom"/>
          </w:tcPr>
          <w:p w:rsidR="000C691B" w:rsidRDefault="000C691B" w:rsidP="00D166DE">
            <w:pPr>
              <w:spacing w:line="201"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Respondents</w:t>
            </w:r>
          </w:p>
        </w:tc>
        <w:tc>
          <w:tcPr>
            <w:tcW w:w="990" w:type="dxa"/>
            <w:tcBorders>
              <w:top w:val="double" w:sz="7" w:space="0" w:color="000000"/>
              <w:left w:val="single" w:sz="7" w:space="0" w:color="000000"/>
              <w:bottom w:val="single" w:sz="6" w:space="0" w:color="FFFFFF"/>
              <w:right w:val="single" w:sz="6" w:space="0" w:color="FFFFFF"/>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Waves</w:t>
            </w:r>
          </w:p>
        </w:tc>
        <w:tc>
          <w:tcPr>
            <w:tcW w:w="1620" w:type="dxa"/>
            <w:tcBorders>
              <w:top w:val="double" w:sz="7" w:space="0" w:color="000000"/>
              <w:left w:val="single" w:sz="7" w:space="0" w:color="000000"/>
              <w:bottom w:val="single" w:sz="6" w:space="0" w:color="FFFFFF"/>
              <w:right w:val="single" w:sz="6" w:space="0" w:color="FFFFFF"/>
            </w:tcBorders>
            <w:vAlign w:val="bottom"/>
          </w:tcPr>
          <w:p w:rsidR="000C691B" w:rsidRDefault="000C691B" w:rsidP="00D166DE">
            <w:pPr>
              <w:spacing w:line="201"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Responses</w:t>
            </w:r>
          </w:p>
        </w:tc>
        <w:tc>
          <w:tcPr>
            <w:tcW w:w="1350" w:type="dxa"/>
            <w:tcBorders>
              <w:top w:val="double" w:sz="7" w:space="0" w:color="000000"/>
              <w:left w:val="single" w:sz="7" w:space="0" w:color="000000"/>
              <w:bottom w:val="single" w:sz="6" w:space="0" w:color="FFFFFF"/>
              <w:right w:val="single" w:sz="6" w:space="0" w:color="FFFFFF"/>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Hours Per Response</w:t>
            </w:r>
          </w:p>
        </w:tc>
        <w:tc>
          <w:tcPr>
            <w:tcW w:w="1170" w:type="dxa"/>
            <w:tcBorders>
              <w:top w:val="double" w:sz="7" w:space="0" w:color="000000"/>
              <w:left w:val="single" w:sz="7" w:space="0" w:color="000000"/>
              <w:bottom w:val="single" w:sz="6" w:space="0" w:color="FFFFFF"/>
              <w:right w:val="double" w:sz="7" w:space="0" w:color="000000"/>
            </w:tcBorders>
            <w:vAlign w:val="bottom"/>
          </w:tcPr>
          <w:p w:rsidR="000C691B" w:rsidRDefault="000C691B">
            <w:pPr>
              <w:spacing w:line="201"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Total</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Hours</w:t>
            </w:r>
          </w:p>
        </w:tc>
      </w:tr>
      <w:tr w:rsidR="000C691B" w:rsidTr="00D166DE">
        <w:tc>
          <w:tcPr>
            <w:tcW w:w="1530" w:type="dxa"/>
            <w:tcBorders>
              <w:top w:val="single" w:sz="7" w:space="0" w:color="000000"/>
              <w:left w:val="double" w:sz="7" w:space="0" w:color="000000"/>
              <w:bottom w:val="single" w:sz="6" w:space="0" w:color="FFFFFF"/>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rPr>
            </w:pPr>
            <w:r>
              <w:rPr>
                <w:rFonts w:ascii="Times New Roman" w:hAnsi="Times New Roman"/>
              </w:rPr>
              <w:t>Interview</w:t>
            </w:r>
          </w:p>
        </w:tc>
        <w:tc>
          <w:tcPr>
            <w:tcW w:w="153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94,500</w:t>
            </w:r>
          </w:p>
        </w:tc>
        <w:tc>
          <w:tcPr>
            <w:tcW w:w="990" w:type="dxa"/>
            <w:tcBorders>
              <w:top w:val="single" w:sz="7" w:space="0" w:color="000000"/>
              <w:left w:val="single" w:sz="7" w:space="0" w:color="000000"/>
              <w:bottom w:val="single" w:sz="6" w:space="0" w:color="FFFFFF"/>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w:t>
            </w:r>
          </w:p>
        </w:tc>
        <w:tc>
          <w:tcPr>
            <w:tcW w:w="162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283,500</w:t>
            </w:r>
          </w:p>
        </w:tc>
        <w:tc>
          <w:tcPr>
            <w:tcW w:w="135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.50</w:t>
            </w:r>
          </w:p>
        </w:tc>
        <w:tc>
          <w:tcPr>
            <w:tcW w:w="1170" w:type="dxa"/>
            <w:tcBorders>
              <w:top w:val="single" w:sz="7" w:space="0" w:color="000000"/>
              <w:left w:val="single" w:sz="7" w:space="0" w:color="000000"/>
              <w:bottom w:val="single" w:sz="6" w:space="0" w:color="FFFFFF"/>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141,750</w:t>
            </w:r>
          </w:p>
        </w:tc>
      </w:tr>
      <w:tr w:rsidR="000C691B" w:rsidTr="00D166DE">
        <w:tc>
          <w:tcPr>
            <w:tcW w:w="1530" w:type="dxa"/>
            <w:tcBorders>
              <w:top w:val="single" w:sz="7" w:space="0" w:color="000000"/>
              <w:left w:val="double" w:sz="7" w:space="0" w:color="000000"/>
              <w:bottom w:val="single" w:sz="6" w:space="0" w:color="FFFFFF"/>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rPr>
            </w:pPr>
            <w:r>
              <w:rPr>
                <w:rFonts w:ascii="Times New Roman" w:hAnsi="Times New Roman"/>
              </w:rPr>
              <w:t>Re</w:t>
            </w:r>
            <w:r w:rsidR="00D166DE">
              <w:rPr>
                <w:rFonts w:ascii="Times New Roman" w:hAnsi="Times New Roman"/>
              </w:rPr>
              <w:t>-</w:t>
            </w:r>
            <w:r>
              <w:rPr>
                <w:rFonts w:ascii="Times New Roman" w:hAnsi="Times New Roman"/>
              </w:rPr>
              <w:t>interview</w:t>
            </w:r>
          </w:p>
        </w:tc>
        <w:tc>
          <w:tcPr>
            <w:tcW w:w="153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3,100</w:t>
            </w:r>
          </w:p>
        </w:tc>
        <w:tc>
          <w:tcPr>
            <w:tcW w:w="990" w:type="dxa"/>
            <w:tcBorders>
              <w:top w:val="single" w:sz="7" w:space="0" w:color="000000"/>
              <w:left w:val="single" w:sz="7" w:space="0" w:color="000000"/>
              <w:bottom w:val="single" w:sz="6" w:space="0" w:color="FFFFFF"/>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3</w:t>
            </w:r>
          </w:p>
        </w:tc>
        <w:tc>
          <w:tcPr>
            <w:tcW w:w="162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 xml:space="preserve">9,300 </w:t>
            </w:r>
            <w:r>
              <w:rPr>
                <w:rStyle w:val="FootnoteReference"/>
                <w:rFonts w:ascii="Times New Roman" w:hAnsi="Times New Roman"/>
                <w:vertAlign w:val="superscript"/>
              </w:rPr>
              <w:footnoteReference w:id="1"/>
            </w:r>
          </w:p>
        </w:tc>
        <w:tc>
          <w:tcPr>
            <w:tcW w:w="1350" w:type="dxa"/>
            <w:tcBorders>
              <w:top w:val="single" w:sz="7" w:space="0" w:color="000000"/>
              <w:left w:val="single" w:sz="7" w:space="0" w:color="000000"/>
              <w:bottom w:val="single" w:sz="6" w:space="0" w:color="FFFFFF"/>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.167</w:t>
            </w:r>
          </w:p>
        </w:tc>
        <w:tc>
          <w:tcPr>
            <w:tcW w:w="1170" w:type="dxa"/>
            <w:tcBorders>
              <w:top w:val="single" w:sz="7" w:space="0" w:color="000000"/>
              <w:left w:val="single" w:sz="7" w:space="0" w:color="000000"/>
              <w:bottom w:val="single" w:sz="6" w:space="0" w:color="FFFFFF"/>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rPr>
              <w:t>1,553</w:t>
            </w:r>
          </w:p>
        </w:tc>
      </w:tr>
      <w:tr w:rsidR="000C691B" w:rsidTr="00D166DE">
        <w:trPr>
          <w:trHeight w:val="586"/>
        </w:trPr>
        <w:tc>
          <w:tcPr>
            <w:tcW w:w="1530" w:type="dxa"/>
            <w:tcBorders>
              <w:top w:val="single" w:sz="7" w:space="0" w:color="000000"/>
              <w:left w:val="double" w:sz="7" w:space="0" w:color="000000"/>
              <w:bottom w:val="double" w:sz="7" w:space="0" w:color="000000"/>
              <w:right w:val="single" w:sz="6" w:space="0" w:color="FFFFFF"/>
            </w:tcBorders>
          </w:tcPr>
          <w:p w:rsidR="000C691B" w:rsidRDefault="000C691B" w:rsidP="00D166DE">
            <w:pPr>
              <w:spacing w:line="163" w:lineRule="exact"/>
              <w:jc w:val="right"/>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right"/>
              <w:rPr>
                <w:rFonts w:ascii="Times New Roman" w:hAnsi="Times New Roman"/>
              </w:rPr>
            </w:pPr>
            <w:r>
              <w:rPr>
                <w:rFonts w:ascii="Times New Roman" w:hAnsi="Times New Roman"/>
              </w:rPr>
              <w:t xml:space="preserve">      Totals       </w:t>
            </w:r>
          </w:p>
        </w:tc>
        <w:tc>
          <w:tcPr>
            <w:tcW w:w="153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94,500</w:t>
            </w:r>
          </w:p>
        </w:tc>
        <w:tc>
          <w:tcPr>
            <w:tcW w:w="990" w:type="dxa"/>
            <w:tcBorders>
              <w:top w:val="single" w:sz="7" w:space="0" w:color="000000"/>
              <w:left w:val="single" w:sz="7" w:space="0" w:color="000000"/>
              <w:bottom w:val="double" w:sz="7" w:space="0" w:color="000000"/>
              <w:right w:val="single" w:sz="6" w:space="0" w:color="FFFFFF"/>
            </w:tcBorders>
          </w:tcPr>
          <w:p w:rsidR="000C691B" w:rsidRDefault="000C691B">
            <w:pPr>
              <w:spacing w:line="163" w:lineRule="exact"/>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 xml:space="preserve">3.09 </w:t>
            </w:r>
            <w:r>
              <w:rPr>
                <w:rStyle w:val="FootnoteReference"/>
                <w:rFonts w:ascii="Times New Roman" w:hAnsi="Times New Roman"/>
                <w:vertAlign w:val="superscript"/>
              </w:rPr>
              <w:footnoteReference w:id="2"/>
            </w:r>
          </w:p>
        </w:tc>
        <w:tc>
          <w:tcPr>
            <w:tcW w:w="162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292,800</w:t>
            </w:r>
          </w:p>
        </w:tc>
        <w:tc>
          <w:tcPr>
            <w:tcW w:w="1350" w:type="dxa"/>
            <w:tcBorders>
              <w:top w:val="single" w:sz="7" w:space="0" w:color="000000"/>
              <w:left w:val="single" w:sz="7" w:space="0" w:color="000000"/>
              <w:bottom w:val="double" w:sz="7" w:space="0" w:color="000000"/>
              <w:right w:val="single" w:sz="6" w:space="0" w:color="FFFFFF"/>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 xml:space="preserve">.49 </w:t>
            </w:r>
            <w:r>
              <w:rPr>
                <w:rStyle w:val="FootnoteReference"/>
                <w:rFonts w:ascii="Times New Roman" w:hAnsi="Times New Roman"/>
                <w:vertAlign w:val="superscript"/>
              </w:rPr>
              <w:footnoteReference w:id="3"/>
            </w:r>
          </w:p>
        </w:tc>
        <w:tc>
          <w:tcPr>
            <w:tcW w:w="1170" w:type="dxa"/>
            <w:tcBorders>
              <w:top w:val="single" w:sz="7" w:space="0" w:color="000000"/>
              <w:left w:val="single" w:sz="7" w:space="0" w:color="000000"/>
              <w:bottom w:val="double" w:sz="7" w:space="0" w:color="000000"/>
              <w:right w:val="double" w:sz="7" w:space="0" w:color="000000"/>
            </w:tcBorders>
          </w:tcPr>
          <w:p w:rsidR="000C691B" w:rsidRDefault="000C691B" w:rsidP="00D166DE">
            <w:pPr>
              <w:spacing w:line="163" w:lineRule="exact"/>
              <w:jc w:val="center"/>
              <w:rPr>
                <w:rFonts w:ascii="Times New Roman" w:hAnsi="Times New Roman"/>
              </w:rPr>
            </w:pPr>
          </w:p>
          <w:p w:rsidR="000C691B" w:rsidRDefault="000C691B" w:rsidP="00D166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center"/>
              <w:rPr>
                <w:rFonts w:ascii="Times New Roman" w:hAnsi="Times New Roman"/>
              </w:rPr>
            </w:pPr>
            <w:r>
              <w:rPr>
                <w:rFonts w:ascii="Times New Roman" w:hAnsi="Times New Roman"/>
              </w:rPr>
              <w:t>143,303</w:t>
            </w:r>
          </w:p>
        </w:tc>
      </w:tr>
    </w:tbl>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We will obtain interviews from approximately 45,000 households, yielding about 94,500 individual interviews (2.1 individuals 15 years old or over per household).  The household interviews are conducted at 4 month intervals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total number of burden hours requested for Wave</w:t>
      </w:r>
      <w:r w:rsidR="00C66254">
        <w:rPr>
          <w:rFonts w:ascii="Times New Roman" w:hAnsi="Times New Roman"/>
        </w:rPr>
        <w:t xml:space="preserve"> 1</w:t>
      </w:r>
      <w:r w:rsidR="00BA7CD6">
        <w:rPr>
          <w:rFonts w:ascii="Times New Roman" w:hAnsi="Times New Roman"/>
        </w:rPr>
        <w:t>1</w:t>
      </w:r>
      <w:r>
        <w:rPr>
          <w:rFonts w:ascii="Times New Roman" w:hAnsi="Times New Roman"/>
        </w:rPr>
        <w:t>, inclusive of the core, topical module sections of the instrument and re</w:t>
      </w:r>
      <w:r w:rsidR="00E54C34">
        <w:rPr>
          <w:rFonts w:ascii="Times New Roman" w:hAnsi="Times New Roman"/>
        </w:rPr>
        <w:t>-</w:t>
      </w:r>
      <w:r>
        <w:rPr>
          <w:rFonts w:ascii="Times New Roman" w:hAnsi="Times New Roman"/>
        </w:rPr>
        <w:t>interview is 47,767.  The total number of burden hours for the 2008 SIPP Panel in FY 201</w:t>
      </w:r>
      <w:r w:rsidR="00BA7CD6">
        <w:rPr>
          <w:rFonts w:ascii="Times New Roman" w:hAnsi="Times New Roman"/>
        </w:rPr>
        <w:t>2</w:t>
      </w:r>
      <w:r>
        <w:rPr>
          <w:rFonts w:ascii="Times New Roman" w:hAnsi="Times New Roman"/>
        </w:rPr>
        <w:t xml:space="preserve"> is 143,303.</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rsidR="006E004C" w:rsidRDefault="006E004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6E004C" w:rsidRDefault="006E004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production costs of all parts of this survey are appr</w:t>
      </w:r>
      <w:r w:rsidR="006E004C">
        <w:rPr>
          <w:rFonts w:ascii="Times New Roman" w:hAnsi="Times New Roman"/>
        </w:rPr>
        <w:t>oximately $50,096,000 in FY 2012</w:t>
      </w:r>
      <w:r>
        <w:rPr>
          <w:rFonts w:ascii="Times New Roman" w:hAnsi="Times New Roman"/>
        </w:rPr>
        <w:t xml:space="preserve">.  That amount is included in the estimate of total costs to the federal government of the Census Bureau's current programs supplied to the OMB.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outlineLvl w:val="0"/>
        <w:rPr>
          <w:rFonts w:ascii="Times New Roman" w:hAnsi="Times New Roman"/>
        </w:rPr>
      </w:pPr>
      <w:r>
        <w:rPr>
          <w:rFonts w:ascii="Times New Roman" w:hAnsi="Times New Roman"/>
        </w:rPr>
        <w:lastRenderedPageBreak/>
        <w:t>15.</w:t>
      </w:r>
      <w:r>
        <w:rPr>
          <w:rFonts w:ascii="Times New Roman" w:hAnsi="Times New Roman"/>
        </w:rPr>
        <w:tab/>
      </w:r>
      <w:r>
        <w:rPr>
          <w:rFonts w:ascii="Times New Roman" w:hAnsi="Times New Roman"/>
          <w:u w:val="single"/>
        </w:rPr>
        <w:t>Reason for Change in Burden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outlineLvl w:val="0"/>
        <w:rPr>
          <w:rFonts w:ascii="Times New Roman" w:hAnsi="Times New Roman"/>
        </w:rPr>
      </w:pPr>
      <w:r>
        <w:rPr>
          <w:rFonts w:ascii="Times New Roman" w:hAnsi="Times New Roman"/>
        </w:rPr>
        <w:t xml:space="preserve">There is no change in burden.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outlineLvl w:val="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w:t>
      </w:r>
      <w:r w:rsidR="00E54C34">
        <w:rPr>
          <w:rFonts w:ascii="Times New Roman" w:hAnsi="Times New Roman"/>
        </w:rPr>
        <w:t xml:space="preserve"> will release a series of cross-</w:t>
      </w:r>
      <w:r>
        <w:rPr>
          <w:rFonts w:ascii="Times New Roman" w:hAnsi="Times New Roman"/>
        </w:rPr>
        <w:t>sectional and topical module reports from the 2008 Panel.  Edited cross-sectional core files as well as topical module file</w:t>
      </w:r>
      <w:r w:rsidR="001F0CBA">
        <w:rPr>
          <w:rFonts w:ascii="Times New Roman" w:hAnsi="Times New Roman"/>
        </w:rPr>
        <w:t>s will be released.</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Wave-based data can be used to create a basic set of statistics from the SIPP core.  These statistics can be used to evaluate the survey, to profile the participants in various</w:t>
      </w:r>
      <w:r w:rsidR="001F0CBA">
        <w:rPr>
          <w:rFonts w:ascii="Times New Roman" w:hAnsi="Times New Roman"/>
        </w:rPr>
        <w:t xml:space="preserve"> </w:t>
      </w:r>
      <w:r w:rsidR="00D446B2">
        <w:rPr>
          <w:rFonts w:ascii="Times New Roman" w:hAnsi="Times New Roman"/>
        </w:rPr>
        <w:t>programs,</w:t>
      </w:r>
      <w:r>
        <w:rPr>
          <w:rFonts w:ascii="Times New Roman" w:hAnsi="Times New Roman"/>
        </w:rPr>
        <w:t xml:space="preserve"> to examine the characteristics of the population in need, and to examine how the economy is changing.  Such statistics can include average monthly estimates of:</w:t>
      </w:r>
    </w:p>
    <w:p w:rsidR="000A41C8" w:rsidRDefault="000A41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Median household income.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Number of workers and their median earnings.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Number of people in poverty.</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227" w:hanging="3802"/>
        <w:rPr>
          <w:rFonts w:ascii="Times New Roman" w:hAnsi="Times New Roman"/>
        </w:rPr>
      </w:pPr>
      <w:r>
        <w:rPr>
          <w:rFonts w:ascii="Times New Roman" w:hAnsi="Times New Roman"/>
        </w:rPr>
        <w:sym w:font="WP TypographicSymbols" w:char="0021"/>
      </w:r>
      <w:r>
        <w:rPr>
          <w:rFonts w:ascii="Times New Roman" w:hAnsi="Times New Roman"/>
        </w:rPr>
        <w:tab/>
        <w:t>People with labor force activities.</w:t>
      </w:r>
      <w:r>
        <w:rPr>
          <w:rFonts w:ascii="Times New Roman" w:hAnsi="Times New Roman"/>
        </w:rPr>
        <w:tab/>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People who spent time looking for work or on layoff.</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Participants in government programs, such as: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sidR="00250F03">
        <w:rPr>
          <w:rFonts w:ascii="Times New Roman" w:hAnsi="Times New Roman"/>
        </w:rPr>
        <w:tab/>
        <w:t>Public A</w:t>
      </w:r>
      <w:r>
        <w:rPr>
          <w:rFonts w:ascii="Times New Roman" w:hAnsi="Times New Roman"/>
        </w:rPr>
        <w:t>ssistance.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sidR="00250F03">
        <w:rPr>
          <w:rFonts w:ascii="Times New Roman" w:hAnsi="Times New Roman"/>
        </w:rPr>
        <w:tab/>
        <w:t>Social Security and Supplemental Security I</w:t>
      </w:r>
      <w:r>
        <w:rPr>
          <w:rFonts w:ascii="Times New Roman" w:hAnsi="Times New Roman"/>
        </w:rPr>
        <w:t>ncome.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School lunches.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 xml:space="preserve">Food </w:t>
      </w:r>
      <w:r w:rsidR="00250F03">
        <w:rPr>
          <w:rFonts w:ascii="Times New Roman" w:hAnsi="Times New Roman"/>
        </w:rPr>
        <w:t>S</w:t>
      </w:r>
      <w:r>
        <w:rPr>
          <w:rFonts w:ascii="Times New Roman" w:hAnsi="Times New Roman"/>
        </w:rPr>
        <w:t>tamps.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sidR="00E54C34">
        <w:rPr>
          <w:rFonts w:ascii="Times New Roman" w:hAnsi="Times New Roman"/>
        </w:rPr>
        <w:tab/>
        <w:t>Medicare and M</w:t>
      </w:r>
      <w:r>
        <w:rPr>
          <w:rFonts w:ascii="Times New Roman" w:hAnsi="Times New Roman"/>
        </w:rPr>
        <w:t>edicaid.</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Public or subsidized housing.</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476"/>
        <w:rPr>
          <w:rFonts w:ascii="Times New Roman" w:hAnsi="Times New Roman"/>
        </w:rPr>
      </w:pPr>
      <w:r>
        <w:rPr>
          <w:rFonts w:ascii="Times New Roman" w:hAnsi="Times New Roman"/>
        </w:rPr>
        <w:sym w:font="WP TypographicSymbols" w:char="0021"/>
      </w:r>
      <w:r>
        <w:rPr>
          <w:rFonts w:ascii="Times New Roman" w:hAnsi="Times New Roman"/>
        </w:rPr>
        <w:tab/>
        <w:t>Unemployment and workers' compensation.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These statistics from each SIPP wave are crossed by race, age, and other characteristics and could be the basis for a report or fact sheet on the economic situation of Americans and their families.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r>
        <w:rPr>
          <w:rFonts w:ascii="Times New Roman" w:hAnsi="Times New Roman"/>
        </w:rPr>
        <w:tab/>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These data products will enable us to examine issues such as: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Annual income and poverty estimates based on different definitions of income.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lastRenderedPageBreak/>
        <w:sym w:font="WP TypographicSymbols" w:char="0021"/>
      </w:r>
      <w:r>
        <w:rPr>
          <w:rFonts w:ascii="Times New Roman" w:hAnsi="Times New Roman"/>
        </w:rPr>
        <w:tab/>
        <w:t>Estimates of people experiencing unemployment and median unemployment spells.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The characteristics of people ever participating in government programs and people who participated in each month.</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Median program participation spells.</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The characteristics of people with lapses in health insurance coverage.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Median spells without health insurance.</w:t>
      </w: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sym w:font="WP TypographicSymbols" w:char="0021"/>
      </w:r>
      <w:r>
        <w:rPr>
          <w:rFonts w:ascii="Times New Roman" w:hAnsi="Times New Roman"/>
        </w:rPr>
        <w:tab/>
        <w:t>Family and household transitions.</w:t>
      </w:r>
    </w:p>
    <w:p w:rsidR="00890ECE" w:rsidRDefault="00890ECE">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pStyle w:val="Style"/>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0C691B">
          <w:type w:val="continuous"/>
          <w:pgSz w:w="12240" w:h="15840"/>
          <w:pgMar w:top="1440" w:right="1440" w:bottom="1440" w:left="1440" w:header="1440" w:footer="1440" w:gutter="0"/>
          <w:cols w:space="720"/>
          <w:noEndnote/>
        </w:sect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 xml:space="preserve">In addition, as our observation length grows, we will be better able to examine issues such as long-term versus short-term poverty and program participation.  </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We request not to display the expiration date to avoid unnecessary respondent confusion arising from the fact that the OMB approval lasts for three years and respondent participation in the SIPP often lasts for longer periods.</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imes New Roman" w:hAnsi="Times New Roman"/>
        </w:rPr>
      </w:pPr>
    </w:p>
    <w:p w:rsidR="000C691B" w:rsidRDefault="000C691B" w:rsidP="001F0C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outlineLvl w:val="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2"/>
        <w:rPr>
          <w:rFonts w:ascii="Times New Roman" w:hAnsi="Times New Roman"/>
        </w:rPr>
      </w:pP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There are no exceptions to the certification.</w:t>
      </w:r>
    </w:p>
    <w:p w:rsidR="000C691B" w:rsidRDefault="000C691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sectPr w:rsidR="000C691B" w:rsidSect="000C691B">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431" w:rsidRDefault="00361431" w:rsidP="000C691B">
      <w:r>
        <w:separator/>
      </w:r>
    </w:p>
  </w:endnote>
  <w:endnote w:type="continuationSeparator" w:id="0">
    <w:p w:rsidR="00361431" w:rsidRDefault="00361431" w:rsidP="000C691B">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431" w:rsidRDefault="00361431" w:rsidP="000C691B">
      <w:r>
        <w:separator/>
      </w:r>
    </w:p>
  </w:footnote>
  <w:footnote w:type="continuationSeparator" w:id="0">
    <w:p w:rsidR="00361431" w:rsidRDefault="00361431" w:rsidP="000C691B">
      <w:r>
        <w:continuationSeparator/>
      </w:r>
    </w:p>
  </w:footnote>
  <w:footnote w:id="1">
    <w:p w:rsidR="00361431" w:rsidRDefault="00361431" w:rsidP="00C71D1D">
      <w:pPr>
        <w:tabs>
          <w:tab w:val="left" w:pos="-1440"/>
        </w:tabs>
        <w:ind w:left="1440" w:hanging="720"/>
        <w:rPr>
          <w:rFonts w:ascii="Times New Roman" w:hAnsi="Times New Roman"/>
          <w:sz w:val="18"/>
          <w:szCs w:val="18"/>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 xml:space="preserve">The 3,100 cases in re-interview will be contacted twice during the same wave.  Therefore, the total number of </w:t>
      </w:r>
      <w:r>
        <w:rPr>
          <w:rFonts w:ascii="Times New Roman" w:hAnsi="Times New Roman"/>
          <w:b/>
          <w:bCs/>
          <w:sz w:val="18"/>
          <w:szCs w:val="18"/>
        </w:rPr>
        <w:t>respondents</w:t>
      </w:r>
      <w:r>
        <w:rPr>
          <w:rFonts w:ascii="Times New Roman" w:hAnsi="Times New Roman"/>
          <w:sz w:val="18"/>
          <w:szCs w:val="18"/>
        </w:rPr>
        <w:t xml:space="preserve"> is 94,500 per wave (included in original interview sample).</w:t>
      </w:r>
    </w:p>
    <w:p w:rsidR="00361431" w:rsidRDefault="00361431" w:rsidP="002B66B1">
      <w:pPr>
        <w:tabs>
          <w:tab w:val="left" w:pos="-1440"/>
        </w:tabs>
        <w:ind w:left="1440" w:hanging="720"/>
        <w:rPr>
          <w:rFonts w:cs="Shruti"/>
          <w:sz w:val="22"/>
          <w:szCs w:val="22"/>
        </w:rPr>
      </w:pPr>
    </w:p>
  </w:footnote>
  <w:footnote w:id="2">
    <w:p w:rsidR="00361431" w:rsidRDefault="00361431">
      <w:pPr>
        <w:spacing w:after="240"/>
        <w:ind w:firstLine="720"/>
        <w:rPr>
          <w:rFonts w:cs="Shruti"/>
          <w:sz w:val="18"/>
          <w:szCs w:val="18"/>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 xml:space="preserve">The weighted average for waves is determined by taking the number of respondents interviewed once during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a wave (91,400 contacts) plus the number of households that will be interviewed twice during a wave due to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re-interview (6,200 contacts) and dividing this sum by the number of total respondents in the SIPP/CAPI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sample (94,500 respondents) times three waves; this comes out to 3.09 (weighted average).</w:t>
      </w:r>
      <w:r>
        <w:rPr>
          <w:rFonts w:ascii="Times New Roman" w:hAnsi="Times New Roman"/>
          <w:sz w:val="18"/>
          <w:szCs w:val="18"/>
        </w:rPr>
        <w:tab/>
      </w:r>
    </w:p>
  </w:footnote>
  <w:footnote w:id="3">
    <w:p w:rsidR="00361431" w:rsidRDefault="00361431">
      <w:pPr>
        <w:tabs>
          <w:tab w:val="left" w:pos="-1440"/>
        </w:tabs>
        <w:ind w:left="1440" w:hanging="720"/>
        <w:rPr>
          <w:rFonts w:ascii="Times New Roman" w:hAnsi="Times New Roman"/>
          <w:sz w:val="22"/>
          <w:szCs w:val="22"/>
        </w:rPr>
      </w:pPr>
      <w:r>
        <w:rPr>
          <w:rStyle w:val="FootnoteReference"/>
          <w:sz w:val="22"/>
          <w:szCs w:val="22"/>
          <w:vertAlign w:val="superscript"/>
        </w:rPr>
        <w:footnoteRef/>
      </w:r>
      <w:r>
        <w:rPr>
          <w:rFonts w:ascii="Times New Roman" w:hAnsi="Times New Roman"/>
          <w:sz w:val="18"/>
          <w:szCs w:val="18"/>
        </w:rPr>
        <w:tab/>
        <w:t>The weighted average for hours per response is determined by multiplying the number of interview responses by the response hours (283,500 * .50) plus the number of re-interview responses multiplied by the response hours (9,300 * .167) and dividing this sum by the total number of responses per fiscal year (292,800); this comes out to 0.49.</w:t>
      </w:r>
    </w:p>
    <w:p w:rsidR="00361431" w:rsidRDefault="00361431">
      <w:pPr>
        <w:tabs>
          <w:tab w:val="left" w:pos="0"/>
        </w:tabs>
        <w:spacing w:after="240"/>
        <w:ind w:left="1440"/>
        <w:rPr>
          <w:rFonts w:cs="Shruti"/>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31" w:rsidRDefault="00361431">
    <w:pPr>
      <w:framePr w:w="9361" w:wrap="notBeside" w:vAnchor="text" w:hAnchor="text" w:x="1" w:y="1"/>
      <w:jc w:val="right"/>
      <w:rPr>
        <w:sz w:val="22"/>
        <w:szCs w:val="22"/>
      </w:rPr>
    </w:pPr>
    <w:r>
      <w:rPr>
        <w:sz w:val="22"/>
        <w:szCs w:val="22"/>
      </w:rPr>
      <w:fldChar w:fldCharType="begin"/>
    </w:r>
    <w:r>
      <w:rPr>
        <w:sz w:val="22"/>
        <w:szCs w:val="22"/>
      </w:rPr>
      <w:instrText xml:space="preserve">PAGE </w:instrText>
    </w:r>
    <w:r>
      <w:rPr>
        <w:sz w:val="22"/>
        <w:szCs w:val="22"/>
      </w:rPr>
      <w:fldChar w:fldCharType="separate"/>
    </w:r>
    <w:r w:rsidR="007E2A62">
      <w:rPr>
        <w:noProof/>
        <w:sz w:val="22"/>
        <w:szCs w:val="22"/>
      </w:rPr>
      <w:t>7</w:t>
    </w:r>
    <w:r>
      <w:rPr>
        <w:sz w:val="22"/>
        <w:szCs w:val="22"/>
      </w:rPr>
      <w:fldChar w:fldCharType="end"/>
    </w:r>
  </w:p>
  <w:p w:rsidR="00361431" w:rsidRDefault="00361431">
    <w:pPr>
      <w:rPr>
        <w:sz w:val="22"/>
        <w:szCs w:val="22"/>
      </w:rPr>
    </w:pPr>
  </w:p>
  <w:p w:rsidR="00361431" w:rsidRDefault="00361431">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40A832"/>
    <w:lvl w:ilvl="0">
      <w:numFmt w:val="bullet"/>
      <w:lvlText w:val="*"/>
      <w:lvlJc w:val="left"/>
    </w:lvl>
  </w:abstractNum>
  <w:abstractNum w:abstractNumId="1">
    <w:nsid w:val="0000000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AMO_XmlVersion" w:val="Empty"/>
  </w:docVars>
  <w:rsids>
    <w:rsidRoot w:val="000C691B"/>
    <w:rsid w:val="00001E90"/>
    <w:rsid w:val="000418B2"/>
    <w:rsid w:val="0005501F"/>
    <w:rsid w:val="000A41C8"/>
    <w:rsid w:val="000B74F3"/>
    <w:rsid w:val="000C691B"/>
    <w:rsid w:val="000E339C"/>
    <w:rsid w:val="00134DFE"/>
    <w:rsid w:val="001457B2"/>
    <w:rsid w:val="00146203"/>
    <w:rsid w:val="00190C35"/>
    <w:rsid w:val="001A3154"/>
    <w:rsid w:val="001D66FB"/>
    <w:rsid w:val="001F0CBA"/>
    <w:rsid w:val="001F50CE"/>
    <w:rsid w:val="0021131A"/>
    <w:rsid w:val="00250F03"/>
    <w:rsid w:val="00276D80"/>
    <w:rsid w:val="002B4E93"/>
    <w:rsid w:val="002B66B1"/>
    <w:rsid w:val="002D35A7"/>
    <w:rsid w:val="00361431"/>
    <w:rsid w:val="00465EF2"/>
    <w:rsid w:val="00487E45"/>
    <w:rsid w:val="004A39B6"/>
    <w:rsid w:val="004B3D28"/>
    <w:rsid w:val="004F4997"/>
    <w:rsid w:val="00536476"/>
    <w:rsid w:val="0057093B"/>
    <w:rsid w:val="0057521E"/>
    <w:rsid w:val="005908F3"/>
    <w:rsid w:val="005D296F"/>
    <w:rsid w:val="006956CB"/>
    <w:rsid w:val="006C1CA7"/>
    <w:rsid w:val="006D5159"/>
    <w:rsid w:val="006E004C"/>
    <w:rsid w:val="007024FA"/>
    <w:rsid w:val="00755095"/>
    <w:rsid w:val="007B25BB"/>
    <w:rsid w:val="007E2A62"/>
    <w:rsid w:val="007F6FDB"/>
    <w:rsid w:val="00862617"/>
    <w:rsid w:val="00870DA3"/>
    <w:rsid w:val="00890ECE"/>
    <w:rsid w:val="008C7CC7"/>
    <w:rsid w:val="008D65C1"/>
    <w:rsid w:val="00973E46"/>
    <w:rsid w:val="00975A90"/>
    <w:rsid w:val="009C5E39"/>
    <w:rsid w:val="00A0322D"/>
    <w:rsid w:val="00A60164"/>
    <w:rsid w:val="00AA519A"/>
    <w:rsid w:val="00AC7DB4"/>
    <w:rsid w:val="00B404FA"/>
    <w:rsid w:val="00B43005"/>
    <w:rsid w:val="00B94B76"/>
    <w:rsid w:val="00BA5689"/>
    <w:rsid w:val="00BA7CD6"/>
    <w:rsid w:val="00C06434"/>
    <w:rsid w:val="00C10BC6"/>
    <w:rsid w:val="00C66254"/>
    <w:rsid w:val="00C71D1D"/>
    <w:rsid w:val="00C82214"/>
    <w:rsid w:val="00C85BBD"/>
    <w:rsid w:val="00CA170D"/>
    <w:rsid w:val="00CB03FC"/>
    <w:rsid w:val="00CB1D86"/>
    <w:rsid w:val="00CB47D3"/>
    <w:rsid w:val="00CC0088"/>
    <w:rsid w:val="00CC0A4D"/>
    <w:rsid w:val="00CF0F42"/>
    <w:rsid w:val="00D02229"/>
    <w:rsid w:val="00D166DE"/>
    <w:rsid w:val="00D42C62"/>
    <w:rsid w:val="00D446B2"/>
    <w:rsid w:val="00D54560"/>
    <w:rsid w:val="00DA0A92"/>
    <w:rsid w:val="00E20E02"/>
    <w:rsid w:val="00E3209B"/>
    <w:rsid w:val="00E52415"/>
    <w:rsid w:val="00E54C34"/>
    <w:rsid w:val="00E83D3F"/>
    <w:rsid w:val="00EC000D"/>
    <w:rsid w:val="00EC435B"/>
    <w:rsid w:val="00ED12C1"/>
    <w:rsid w:val="00EE1FCF"/>
    <w:rsid w:val="00F10816"/>
    <w:rsid w:val="00F3294F"/>
    <w:rsid w:val="00F8375D"/>
    <w:rsid w:val="00F83CD8"/>
    <w:rsid w:val="00F847F7"/>
    <w:rsid w:val="00F85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86"/>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B1D86"/>
  </w:style>
  <w:style w:type="paragraph" w:customStyle="1" w:styleId="Style">
    <w:name w:val="Style"/>
    <w:basedOn w:val="Normal"/>
    <w:uiPriority w:val="99"/>
    <w:rsid w:val="00CB1D86"/>
    <w:pPr>
      <w:ind w:left="1900" w:hanging="475"/>
    </w:pPr>
  </w:style>
  <w:style w:type="paragraph" w:customStyle="1" w:styleId="Level1">
    <w:name w:val="Level 1"/>
    <w:basedOn w:val="Normal"/>
    <w:uiPriority w:val="99"/>
    <w:rsid w:val="00CB1D86"/>
    <w:pPr>
      <w:ind w:left="2376" w:hanging="476"/>
    </w:pPr>
  </w:style>
  <w:style w:type="paragraph" w:styleId="DocumentMap">
    <w:name w:val="Document Map"/>
    <w:basedOn w:val="Normal"/>
    <w:link w:val="DocumentMapChar"/>
    <w:uiPriority w:val="99"/>
    <w:semiHidden/>
    <w:unhideWhenUsed/>
    <w:rsid w:val="001F0CBA"/>
    <w:rPr>
      <w:rFonts w:ascii="Tahoma" w:hAnsi="Tahoma" w:cs="Tahoma"/>
      <w:sz w:val="16"/>
      <w:szCs w:val="16"/>
    </w:rPr>
  </w:style>
  <w:style w:type="character" w:customStyle="1" w:styleId="DocumentMapChar">
    <w:name w:val="Document Map Char"/>
    <w:basedOn w:val="DefaultParagraphFont"/>
    <w:link w:val="DocumentMap"/>
    <w:uiPriority w:val="99"/>
    <w:semiHidden/>
    <w:rsid w:val="001F0CBA"/>
    <w:rPr>
      <w:rFonts w:ascii="Tahoma" w:hAnsi="Tahoma" w:cs="Tahoma"/>
      <w:sz w:val="16"/>
      <w:szCs w:val="16"/>
    </w:rPr>
  </w:style>
  <w:style w:type="paragraph" w:styleId="BalloonText">
    <w:name w:val="Balloon Text"/>
    <w:basedOn w:val="Normal"/>
    <w:link w:val="BalloonTextChar"/>
    <w:uiPriority w:val="99"/>
    <w:semiHidden/>
    <w:unhideWhenUsed/>
    <w:rsid w:val="001F50CE"/>
    <w:rPr>
      <w:rFonts w:ascii="Tahoma" w:hAnsi="Tahoma" w:cs="Tahoma"/>
      <w:sz w:val="16"/>
      <w:szCs w:val="16"/>
    </w:rPr>
  </w:style>
  <w:style w:type="character" w:customStyle="1" w:styleId="BalloonTextChar">
    <w:name w:val="Balloon Text Char"/>
    <w:basedOn w:val="DefaultParagraphFont"/>
    <w:link w:val="BalloonText"/>
    <w:uiPriority w:val="99"/>
    <w:semiHidden/>
    <w:rsid w:val="001F5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70F2B-D56A-4824-8871-A9FF5017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2607</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long0339</cp:lastModifiedBy>
  <cp:revision>9</cp:revision>
  <cp:lastPrinted>2011-07-18T14:13:00Z</cp:lastPrinted>
  <dcterms:created xsi:type="dcterms:W3CDTF">2011-05-04T14:11:00Z</dcterms:created>
  <dcterms:modified xsi:type="dcterms:W3CDTF">2011-07-18T14:32:00Z</dcterms:modified>
</cp:coreProperties>
</file>