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885" w:rsidRPr="00E37466" w:rsidRDefault="00653DC9">
      <w:pPr>
        <w:pStyle w:val="BodyText2"/>
        <w:rPr>
          <w:b/>
          <w:szCs w:val="24"/>
        </w:rPr>
      </w:pPr>
      <w:r w:rsidRPr="00E37466">
        <w:rPr>
          <w:b/>
          <w:szCs w:val="24"/>
        </w:rPr>
        <w:t xml:space="preserve">Supporting Statement for the </w:t>
      </w:r>
    </w:p>
    <w:p w:rsidR="00B13885" w:rsidRPr="00E37466" w:rsidRDefault="00653DC9">
      <w:pPr>
        <w:pStyle w:val="BodyText2"/>
        <w:rPr>
          <w:b/>
          <w:szCs w:val="24"/>
        </w:rPr>
      </w:pPr>
      <w:r w:rsidRPr="00E37466">
        <w:rPr>
          <w:b/>
          <w:szCs w:val="24"/>
        </w:rPr>
        <w:t xml:space="preserve">Federal Reserve Membership Application (FR 2083-2083C; OMB No. 7100-0046) </w:t>
      </w:r>
    </w:p>
    <w:p w:rsidR="00653DC9" w:rsidRPr="00E37466" w:rsidRDefault="00653DC9">
      <w:pPr>
        <w:pStyle w:val="BodyText2"/>
        <w:rPr>
          <w:b/>
          <w:szCs w:val="24"/>
        </w:rPr>
      </w:pPr>
      <w:proofErr w:type="gramStart"/>
      <w:r w:rsidRPr="00E37466">
        <w:rPr>
          <w:b/>
          <w:szCs w:val="24"/>
        </w:rPr>
        <w:t>and</w:t>
      </w:r>
      <w:proofErr w:type="gramEnd"/>
      <w:r w:rsidRPr="00E37466">
        <w:rPr>
          <w:b/>
          <w:szCs w:val="24"/>
        </w:rPr>
        <w:t xml:space="preserve"> the Federal Reserve Bank Stock Applications</w:t>
      </w:r>
    </w:p>
    <w:p w:rsidR="00653DC9" w:rsidRPr="00E37466" w:rsidRDefault="00653DC9">
      <w:pPr>
        <w:pStyle w:val="BodyText2"/>
        <w:rPr>
          <w:szCs w:val="24"/>
        </w:rPr>
      </w:pPr>
      <w:r w:rsidRPr="00E37466">
        <w:rPr>
          <w:b/>
          <w:szCs w:val="24"/>
        </w:rPr>
        <w:t>(FR 2030, FR 2030a, FR 2056, FR 2086, FR 2086a, and FR 2087; OMB No. 7100-0042)</w:t>
      </w:r>
    </w:p>
    <w:p w:rsidR="00653DC9" w:rsidRPr="00E37466" w:rsidRDefault="00653DC9">
      <w:pPr>
        <w:pStyle w:val="BodyText2"/>
        <w:rPr>
          <w:szCs w:val="24"/>
        </w:rPr>
      </w:pPr>
    </w:p>
    <w:p w:rsidR="00653DC9" w:rsidRPr="00E37466" w:rsidRDefault="00653DC9">
      <w:pPr>
        <w:widowControl/>
        <w:tabs>
          <w:tab w:val="left" w:pos="1080"/>
        </w:tabs>
        <w:rPr>
          <w:rFonts w:ascii="Times New Roman" w:hAnsi="Times New Roman"/>
          <w:szCs w:val="24"/>
        </w:rPr>
      </w:pPr>
      <w:r w:rsidRPr="00E37466">
        <w:rPr>
          <w:rFonts w:ascii="Times New Roman" w:hAnsi="Times New Roman"/>
          <w:b/>
          <w:szCs w:val="24"/>
        </w:rPr>
        <w:t>Summary</w:t>
      </w:r>
    </w:p>
    <w:p w:rsidR="00653DC9" w:rsidRPr="00E37466" w:rsidRDefault="00653DC9">
      <w:pPr>
        <w:widowControl/>
        <w:tabs>
          <w:tab w:val="left" w:pos="360"/>
          <w:tab w:val="left" w:pos="720"/>
        </w:tabs>
        <w:rPr>
          <w:rFonts w:ascii="Times New Roman" w:hAnsi="Times New Roman"/>
          <w:szCs w:val="24"/>
        </w:rPr>
      </w:pPr>
    </w:p>
    <w:p w:rsidR="008E5336" w:rsidRPr="008E5336" w:rsidRDefault="00C66600" w:rsidP="008E5336">
      <w:pPr>
        <w:tabs>
          <w:tab w:val="left" w:pos="720"/>
          <w:tab w:val="left" w:pos="1440"/>
        </w:tabs>
        <w:rPr>
          <w:rFonts w:ascii="Times New Roman" w:hAnsi="Times New Roman"/>
          <w:szCs w:val="24"/>
        </w:rPr>
      </w:pPr>
      <w:r w:rsidRPr="00E37466">
        <w:rPr>
          <w:rFonts w:ascii="Times New Roman" w:hAnsi="Times New Roman"/>
          <w:szCs w:val="24"/>
        </w:rPr>
        <w:tab/>
      </w:r>
      <w:r w:rsidR="00653DC9" w:rsidRPr="00E37466">
        <w:rPr>
          <w:rFonts w:ascii="Times New Roman" w:hAnsi="Times New Roman"/>
          <w:szCs w:val="24"/>
        </w:rPr>
        <w:t xml:space="preserve">The </w:t>
      </w:r>
      <w:r w:rsidRPr="00E37466">
        <w:rPr>
          <w:rFonts w:ascii="Times New Roman" w:hAnsi="Times New Roman"/>
          <w:szCs w:val="24"/>
        </w:rPr>
        <w:t xml:space="preserve">Board of Governors of the </w:t>
      </w:r>
      <w:r w:rsidR="00653DC9" w:rsidRPr="00E37466">
        <w:rPr>
          <w:rFonts w:ascii="Times New Roman" w:hAnsi="Times New Roman"/>
          <w:szCs w:val="24"/>
        </w:rPr>
        <w:t>Federal Reserve</w:t>
      </w:r>
      <w:r w:rsidRPr="00E37466">
        <w:rPr>
          <w:rFonts w:ascii="Times New Roman" w:hAnsi="Times New Roman"/>
          <w:szCs w:val="24"/>
        </w:rPr>
        <w:t xml:space="preserve"> System, under delegated authority from the Office of Management and Budget (OMB</w:t>
      </w:r>
      <w:r w:rsidRPr="008E5336">
        <w:rPr>
          <w:rFonts w:ascii="Times New Roman" w:hAnsi="Times New Roman"/>
          <w:szCs w:val="24"/>
        </w:rPr>
        <w:t>),</w:t>
      </w:r>
      <w:r w:rsidR="00653DC9" w:rsidRPr="008E5336">
        <w:rPr>
          <w:rFonts w:ascii="Times New Roman" w:hAnsi="Times New Roman"/>
          <w:szCs w:val="24"/>
        </w:rPr>
        <w:t xml:space="preserve"> </w:t>
      </w:r>
      <w:r w:rsidR="008E5336" w:rsidRPr="008E5336">
        <w:rPr>
          <w:rFonts w:ascii="Times New Roman" w:hAnsi="Times New Roman"/>
          <w:szCs w:val="24"/>
        </w:rPr>
        <w:t>proposes to extend for three years, without revision, the following application forms:</w:t>
      </w:r>
      <w:r w:rsidR="008E5336" w:rsidRPr="00BF0D62">
        <w:rPr>
          <w:rStyle w:val="FootnoteReference"/>
          <w:rFonts w:ascii="Times New Roman" w:hAnsi="Times New Roman"/>
          <w:szCs w:val="24"/>
          <w:vertAlign w:val="superscript"/>
        </w:rPr>
        <w:footnoteReference w:id="1"/>
      </w:r>
    </w:p>
    <w:p w:rsidR="008E5336" w:rsidRPr="008E5336" w:rsidRDefault="008E5336" w:rsidP="008E5336">
      <w:pPr>
        <w:tabs>
          <w:tab w:val="left" w:pos="360"/>
          <w:tab w:val="left" w:pos="720"/>
        </w:tabs>
        <w:rPr>
          <w:rFonts w:ascii="Times New Roman" w:hAnsi="Times New Roman"/>
          <w:szCs w:val="24"/>
        </w:rPr>
      </w:pPr>
    </w:p>
    <w:p w:rsidR="008E5336" w:rsidRPr="008E5336" w:rsidRDefault="008E5336" w:rsidP="008E5336">
      <w:pPr>
        <w:widowControl/>
        <w:numPr>
          <w:ilvl w:val="0"/>
          <w:numId w:val="9"/>
        </w:numPr>
        <w:rPr>
          <w:rFonts w:ascii="Times New Roman" w:hAnsi="Times New Roman"/>
          <w:szCs w:val="24"/>
        </w:rPr>
      </w:pPr>
      <w:r w:rsidRPr="008E5336">
        <w:rPr>
          <w:rFonts w:ascii="Times New Roman" w:hAnsi="Times New Roman"/>
          <w:szCs w:val="24"/>
        </w:rPr>
        <w:t>Application for Membership in the Federal Reserve System (FR 2083-2083C; OMB No. 7100-0046);</w:t>
      </w:r>
    </w:p>
    <w:p w:rsidR="008E5336" w:rsidRPr="008E5336" w:rsidRDefault="008E5336" w:rsidP="008E5336">
      <w:pPr>
        <w:tabs>
          <w:tab w:val="left" w:pos="360"/>
          <w:tab w:val="left" w:pos="720"/>
        </w:tabs>
        <w:spacing w:line="120" w:lineRule="exact"/>
        <w:rPr>
          <w:rFonts w:ascii="Times New Roman" w:hAnsi="Times New Roman"/>
          <w:szCs w:val="24"/>
        </w:rPr>
      </w:pPr>
    </w:p>
    <w:p w:rsidR="008E5336" w:rsidRPr="008E5336" w:rsidRDefault="008E5336" w:rsidP="008E5336">
      <w:pPr>
        <w:widowControl/>
        <w:numPr>
          <w:ilvl w:val="0"/>
          <w:numId w:val="2"/>
        </w:numPr>
        <w:rPr>
          <w:rFonts w:ascii="Times New Roman" w:hAnsi="Times New Roman"/>
          <w:szCs w:val="24"/>
        </w:rPr>
      </w:pPr>
      <w:r w:rsidRPr="008E5336">
        <w:rPr>
          <w:rFonts w:ascii="Times New Roman" w:hAnsi="Times New Roman"/>
          <w:szCs w:val="24"/>
        </w:rPr>
        <w:t>Federal Reserve Bank Stock Applications (OMB No. 7100-0042):</w:t>
      </w:r>
    </w:p>
    <w:p w:rsidR="008E5336" w:rsidRPr="008E5336" w:rsidRDefault="008E5336" w:rsidP="008E5336">
      <w:pPr>
        <w:widowControl/>
        <w:numPr>
          <w:ilvl w:val="0"/>
          <w:numId w:val="5"/>
        </w:numPr>
        <w:tabs>
          <w:tab w:val="left" w:pos="360"/>
        </w:tabs>
        <w:rPr>
          <w:rFonts w:ascii="Times New Roman" w:hAnsi="Times New Roman"/>
          <w:szCs w:val="24"/>
        </w:rPr>
      </w:pPr>
      <w:r w:rsidRPr="008E5336">
        <w:rPr>
          <w:rFonts w:ascii="Times New Roman" w:hAnsi="Times New Roman"/>
          <w:szCs w:val="24"/>
        </w:rPr>
        <w:t>Application for Adjustment in the Holding of Federal Reserve Bank Stock (FR 2056),</w:t>
      </w:r>
    </w:p>
    <w:p w:rsidR="008E5336" w:rsidRPr="008E5336" w:rsidRDefault="008E5336" w:rsidP="008E5336">
      <w:pPr>
        <w:pStyle w:val="a"/>
        <w:widowControl/>
        <w:numPr>
          <w:ilvl w:val="0"/>
          <w:numId w:val="7"/>
        </w:numPr>
        <w:tabs>
          <w:tab w:val="clear" w:pos="1080"/>
          <w:tab w:val="left" w:pos="360"/>
          <w:tab w:val="left" w:pos="720"/>
        </w:tabs>
        <w:ind w:left="720"/>
        <w:rPr>
          <w:rFonts w:ascii="Times New Roman" w:hAnsi="Times New Roman"/>
          <w:szCs w:val="24"/>
        </w:rPr>
      </w:pPr>
      <w:r w:rsidRPr="008E5336">
        <w:rPr>
          <w:rFonts w:ascii="Times New Roman" w:hAnsi="Times New Roman"/>
          <w:szCs w:val="24"/>
        </w:rPr>
        <w:t>Member Banks Converting into or Merging into Nonmember Banks (FR 2086a),</w:t>
      </w:r>
    </w:p>
    <w:p w:rsidR="008E5336" w:rsidRPr="008E5336" w:rsidRDefault="008E5336" w:rsidP="008E5336">
      <w:pPr>
        <w:pStyle w:val="a"/>
        <w:widowControl/>
        <w:numPr>
          <w:ilvl w:val="0"/>
          <w:numId w:val="3"/>
        </w:numPr>
        <w:tabs>
          <w:tab w:val="clear" w:pos="1080"/>
          <w:tab w:val="left" w:pos="360"/>
          <w:tab w:val="num" w:pos="720"/>
        </w:tabs>
        <w:ind w:left="720"/>
        <w:rPr>
          <w:rFonts w:ascii="Times New Roman" w:hAnsi="Times New Roman"/>
          <w:szCs w:val="24"/>
        </w:rPr>
      </w:pPr>
      <w:r w:rsidRPr="008E5336">
        <w:rPr>
          <w:rFonts w:ascii="Times New Roman" w:hAnsi="Times New Roman"/>
          <w:szCs w:val="24"/>
        </w:rPr>
        <w:t>De Novo National Banks (FR 2030),</w:t>
      </w:r>
    </w:p>
    <w:p w:rsidR="008E5336" w:rsidRPr="008E5336" w:rsidRDefault="008E5336" w:rsidP="008E5336">
      <w:pPr>
        <w:pStyle w:val="a"/>
        <w:widowControl/>
        <w:numPr>
          <w:ilvl w:val="0"/>
          <w:numId w:val="4"/>
        </w:numPr>
        <w:tabs>
          <w:tab w:val="clear" w:pos="1080"/>
          <w:tab w:val="left" w:pos="360"/>
          <w:tab w:val="left" w:pos="720"/>
        </w:tabs>
        <w:ind w:left="720"/>
        <w:rPr>
          <w:rFonts w:ascii="Times New Roman" w:hAnsi="Times New Roman"/>
          <w:szCs w:val="24"/>
        </w:rPr>
      </w:pPr>
      <w:r w:rsidRPr="008E5336">
        <w:rPr>
          <w:rFonts w:ascii="Times New Roman" w:hAnsi="Times New Roman"/>
          <w:szCs w:val="24"/>
        </w:rPr>
        <w:t>Nonmember State Banks Converting into National Banks (FR 2030a),</w:t>
      </w:r>
    </w:p>
    <w:p w:rsidR="008E5336" w:rsidRPr="008E5336" w:rsidRDefault="008E5336" w:rsidP="008E5336">
      <w:pPr>
        <w:pStyle w:val="a"/>
        <w:widowControl/>
        <w:numPr>
          <w:ilvl w:val="0"/>
          <w:numId w:val="6"/>
        </w:numPr>
        <w:tabs>
          <w:tab w:val="clear" w:pos="1080"/>
          <w:tab w:val="left" w:pos="360"/>
          <w:tab w:val="left" w:pos="720"/>
        </w:tabs>
        <w:ind w:left="720"/>
        <w:rPr>
          <w:rFonts w:ascii="Times New Roman" w:hAnsi="Times New Roman"/>
          <w:szCs w:val="24"/>
        </w:rPr>
      </w:pPr>
      <w:r w:rsidRPr="008E5336">
        <w:rPr>
          <w:rFonts w:ascii="Times New Roman" w:hAnsi="Times New Roman"/>
          <w:szCs w:val="24"/>
        </w:rPr>
        <w:t>Member Banks in Voluntary Liquidation (FR 2086), and</w:t>
      </w:r>
    </w:p>
    <w:p w:rsidR="008E5336" w:rsidRPr="008E5336" w:rsidRDefault="008E5336" w:rsidP="008E5336">
      <w:pPr>
        <w:pStyle w:val="a"/>
        <w:widowControl/>
        <w:numPr>
          <w:ilvl w:val="0"/>
          <w:numId w:val="8"/>
        </w:numPr>
        <w:tabs>
          <w:tab w:val="clear" w:pos="1080"/>
          <w:tab w:val="left" w:pos="360"/>
          <w:tab w:val="num" w:pos="720"/>
        </w:tabs>
        <w:ind w:left="720"/>
        <w:rPr>
          <w:rFonts w:ascii="Times New Roman" w:hAnsi="Times New Roman"/>
          <w:szCs w:val="24"/>
        </w:rPr>
      </w:pPr>
      <w:r w:rsidRPr="008E5336">
        <w:rPr>
          <w:rFonts w:ascii="Times New Roman" w:hAnsi="Times New Roman"/>
          <w:szCs w:val="24"/>
        </w:rPr>
        <w:t>Insolvent Member Banks (FR 2087).</w:t>
      </w:r>
    </w:p>
    <w:p w:rsidR="008E5336" w:rsidRPr="008E5336" w:rsidRDefault="008E5336" w:rsidP="008E5336">
      <w:pPr>
        <w:tabs>
          <w:tab w:val="left" w:pos="360"/>
          <w:tab w:val="left" w:pos="720"/>
        </w:tabs>
        <w:rPr>
          <w:rFonts w:ascii="Times New Roman" w:hAnsi="Times New Roman"/>
          <w:szCs w:val="24"/>
        </w:rPr>
      </w:pPr>
    </w:p>
    <w:p w:rsidR="008E5336" w:rsidRPr="008E5336" w:rsidRDefault="008E5336" w:rsidP="008E5336">
      <w:pPr>
        <w:tabs>
          <w:tab w:val="left" w:pos="720"/>
          <w:tab w:val="left" w:pos="1440"/>
        </w:tabs>
        <w:rPr>
          <w:rFonts w:ascii="Times New Roman" w:hAnsi="Times New Roman"/>
          <w:szCs w:val="24"/>
        </w:rPr>
      </w:pPr>
      <w:r w:rsidRPr="008E5336">
        <w:rPr>
          <w:rFonts w:ascii="Times New Roman" w:hAnsi="Times New Roman"/>
          <w:szCs w:val="24"/>
        </w:rPr>
        <w:tab/>
        <w:t>The application for membership (FR 2083) is a required one-time submission that collects the information necessary for the Federal Reserve to evaluate the statutory criteria, outlined in section 9 of the Federal Reserve Act, for admission of a new or existing state bank into membership in the Federal Reserve System.  The total annual reporting burden for the membership application form is estimated to be 168 hours.</w:t>
      </w:r>
    </w:p>
    <w:p w:rsidR="008E5336" w:rsidRPr="008E5336" w:rsidRDefault="008E5336" w:rsidP="008E5336">
      <w:pPr>
        <w:tabs>
          <w:tab w:val="left" w:pos="720"/>
          <w:tab w:val="left" w:pos="1440"/>
        </w:tabs>
        <w:rPr>
          <w:rFonts w:ascii="Times New Roman" w:hAnsi="Times New Roman"/>
          <w:szCs w:val="24"/>
        </w:rPr>
      </w:pPr>
    </w:p>
    <w:p w:rsidR="008E5336" w:rsidRPr="008E5336" w:rsidRDefault="008E5336" w:rsidP="008E5336">
      <w:pPr>
        <w:tabs>
          <w:tab w:val="left" w:pos="720"/>
          <w:tab w:val="left" w:pos="1440"/>
        </w:tabs>
        <w:rPr>
          <w:rFonts w:ascii="Times New Roman" w:hAnsi="Times New Roman"/>
          <w:szCs w:val="24"/>
        </w:rPr>
      </w:pPr>
      <w:r w:rsidRPr="008E5336">
        <w:rPr>
          <w:rFonts w:ascii="Times New Roman" w:hAnsi="Times New Roman"/>
          <w:szCs w:val="24"/>
        </w:rPr>
        <w:tab/>
        <w:t xml:space="preserve">The FR 2030, FR 2030a, FR 2056, FR 2086, FR 2086a, and FR 2087 stock application forms are required by the Federal Reserve Act and Regulation I.  These application forms must be used by a new or existing member bank (including a national bank) to request the issuance, adjustment in, or cancellation of Federal Reserve Bank stock.  The application forms must contain certain certifications by the Applicant as well as certain other financial and shareholder data that is needed by a Reserve Bank to process the request.  The total annual reporting burden for the stock application forms is estimated to be 556 hours.  </w:t>
      </w:r>
    </w:p>
    <w:p w:rsidR="008E5336" w:rsidRPr="008E5336" w:rsidRDefault="008E5336" w:rsidP="008E5336">
      <w:pPr>
        <w:rPr>
          <w:rFonts w:ascii="Times New Roman" w:hAnsi="Times New Roman"/>
          <w:b/>
          <w:bCs/>
          <w:szCs w:val="24"/>
        </w:rPr>
      </w:pPr>
    </w:p>
    <w:p w:rsidR="008E5336" w:rsidRPr="008E5336" w:rsidRDefault="008E5336" w:rsidP="00BF0D62">
      <w:pPr>
        <w:pStyle w:val="Heading2"/>
        <w:tabs>
          <w:tab w:val="left" w:pos="720"/>
          <w:tab w:val="left" w:pos="1440"/>
        </w:tabs>
        <w:jc w:val="left"/>
        <w:rPr>
          <w:rFonts w:ascii="Times New Roman" w:hAnsi="Times New Roman"/>
          <w:bCs/>
          <w:sz w:val="24"/>
          <w:szCs w:val="24"/>
        </w:rPr>
      </w:pPr>
      <w:r w:rsidRPr="008E5336">
        <w:rPr>
          <w:rFonts w:ascii="Times New Roman" w:hAnsi="Times New Roman"/>
          <w:bCs/>
          <w:sz w:val="24"/>
          <w:szCs w:val="24"/>
        </w:rPr>
        <w:t>Background and Justification</w:t>
      </w:r>
    </w:p>
    <w:p w:rsidR="008E5336" w:rsidRPr="008E5336" w:rsidRDefault="008E5336" w:rsidP="008E5336">
      <w:pPr>
        <w:pStyle w:val="Header"/>
        <w:tabs>
          <w:tab w:val="clear" w:pos="4320"/>
          <w:tab w:val="clear" w:pos="8640"/>
        </w:tabs>
        <w:rPr>
          <w:rFonts w:ascii="Times New Roman" w:hAnsi="Times New Roman"/>
          <w:szCs w:val="24"/>
        </w:rPr>
      </w:pPr>
    </w:p>
    <w:p w:rsidR="008E5336" w:rsidRPr="008E5336" w:rsidRDefault="008E5336" w:rsidP="008E5336">
      <w:pPr>
        <w:tabs>
          <w:tab w:val="left" w:pos="720"/>
          <w:tab w:val="left" w:pos="1440"/>
        </w:tabs>
        <w:rPr>
          <w:rFonts w:ascii="Times New Roman" w:hAnsi="Times New Roman"/>
          <w:szCs w:val="24"/>
        </w:rPr>
      </w:pPr>
      <w:r w:rsidRPr="008E5336">
        <w:rPr>
          <w:rFonts w:ascii="Times New Roman" w:hAnsi="Times New Roman"/>
          <w:szCs w:val="24"/>
        </w:rPr>
        <w:tab/>
        <w:t>A state-chartered bank may become a member of the Federal Reserve System by filing an application and having the Board of Governors determine that the bank meets the statutory standards for membership.  National banks automatically become members of the Federal Reserve System upon being chartered by the Office of the Comptroller of the Currency.</w:t>
      </w:r>
    </w:p>
    <w:p w:rsidR="008E5336" w:rsidRPr="008E5336" w:rsidRDefault="008E5336" w:rsidP="008E5336">
      <w:pPr>
        <w:tabs>
          <w:tab w:val="left" w:pos="720"/>
          <w:tab w:val="left" w:pos="1440"/>
        </w:tabs>
        <w:rPr>
          <w:rFonts w:ascii="Times New Roman" w:hAnsi="Times New Roman"/>
          <w:szCs w:val="24"/>
        </w:rPr>
      </w:pPr>
    </w:p>
    <w:p w:rsidR="008E5336" w:rsidRPr="008E5336" w:rsidRDefault="008E5336" w:rsidP="0095316C">
      <w:pPr>
        <w:widowControl/>
        <w:tabs>
          <w:tab w:val="left" w:pos="720"/>
          <w:tab w:val="left" w:pos="1440"/>
        </w:tabs>
        <w:rPr>
          <w:rFonts w:ascii="Times New Roman" w:hAnsi="Times New Roman"/>
          <w:szCs w:val="24"/>
        </w:rPr>
      </w:pPr>
      <w:r w:rsidRPr="008E5336">
        <w:rPr>
          <w:rFonts w:ascii="Times New Roman" w:hAnsi="Times New Roman"/>
          <w:szCs w:val="24"/>
        </w:rPr>
        <w:lastRenderedPageBreak/>
        <w:tab/>
        <w:t>When acting upon a membership application filed by a state-chartered bank, the Federal Reserve is required under Section 9 of the Federal Reserve Act to consider the financial condition of the applying bank, the general character of its management, and whether or not the corporate powers to be exercised are consistent with the Federal Reserve Act.  The other relevant criteria established by the statute (as well as by Regulation H) include the adequacy of capital, financial history and condition, future earnings prospects, and the convenience and needs of the community(</w:t>
      </w:r>
      <w:proofErr w:type="spellStart"/>
      <w:r w:rsidRPr="008E5336">
        <w:rPr>
          <w:rFonts w:ascii="Times New Roman" w:hAnsi="Times New Roman"/>
          <w:szCs w:val="24"/>
        </w:rPr>
        <w:t>ies</w:t>
      </w:r>
      <w:proofErr w:type="spellEnd"/>
      <w:r w:rsidRPr="008E5336">
        <w:rPr>
          <w:rFonts w:ascii="Times New Roman" w:hAnsi="Times New Roman"/>
          <w:szCs w:val="24"/>
        </w:rPr>
        <w:t>) to be served.  Information requested of a new bank (such as deposits and earnings projections, proposed premises, and the background of proposed bank officials) is not available from any source but the Applicant, and certain information regarding the operation of an existing bank is also not available from any other source.  The information requested in the FR 2083 application is necessary for the Federal Reserve to be able to fulfill its responsibilities with respect to admitting a bank into membership.  The Federal Reserve uses the information collected through the application form, along with other Federal Reserve System-generated data, to determine whether the Applicant bank meets the standards for approval.</w:t>
      </w:r>
    </w:p>
    <w:p w:rsidR="008E5336" w:rsidRPr="008E5336" w:rsidRDefault="008E5336" w:rsidP="008E5336">
      <w:pPr>
        <w:tabs>
          <w:tab w:val="left" w:pos="720"/>
          <w:tab w:val="left" w:pos="1440"/>
        </w:tabs>
        <w:rPr>
          <w:rFonts w:ascii="Times New Roman" w:hAnsi="Times New Roman"/>
          <w:szCs w:val="24"/>
        </w:rPr>
      </w:pPr>
    </w:p>
    <w:p w:rsidR="008E5336" w:rsidRPr="008E5336" w:rsidRDefault="008E5336" w:rsidP="008E5336">
      <w:pPr>
        <w:tabs>
          <w:tab w:val="left" w:pos="720"/>
          <w:tab w:val="left" w:pos="1440"/>
        </w:tabs>
        <w:rPr>
          <w:rFonts w:ascii="Times New Roman" w:hAnsi="Times New Roman"/>
          <w:szCs w:val="24"/>
        </w:rPr>
      </w:pPr>
      <w:r w:rsidRPr="008E5336">
        <w:rPr>
          <w:rFonts w:ascii="Times New Roman" w:hAnsi="Times New Roman"/>
          <w:szCs w:val="24"/>
        </w:rPr>
        <w:tab/>
        <w:t>When a bank receives approval for membership in the Federal Reserve System, the bank agrees to certain conditions of membership that are contained in the approval letter.  At the same time, the bank is advised that, under Section 5 of the Federal Reserve Act (as well as Regulation I), the bank must subscribe to the capital stock of the Federal Reserve Bank in whose district the head office of the member bank is located.  The Federal Reserve Bank stock application forms are necessary to obtain current information on the member bank’s capital and surplus and to document the bank’s request for an increase or decrease in its holdings of Federal Reserve Bank stock.  This information is also used to verify that a request has been duly authorized and to prevent unauthorized requests for issuance or cancellation of Federal Reserve Bank stock.  The application forms are used exclusively by the applying banks and the Federal Reserve Banks.  The information collected on these application forms is not available from any other source.</w:t>
      </w:r>
    </w:p>
    <w:p w:rsidR="008E5336" w:rsidRPr="008E5336" w:rsidRDefault="008E5336" w:rsidP="008E5336">
      <w:pPr>
        <w:pStyle w:val="FootnoteText"/>
        <w:tabs>
          <w:tab w:val="left" w:pos="720"/>
          <w:tab w:val="left" w:pos="1440"/>
        </w:tabs>
        <w:rPr>
          <w:rFonts w:ascii="Times New Roman" w:hAnsi="Times New Roman"/>
          <w:sz w:val="24"/>
          <w:szCs w:val="24"/>
        </w:rPr>
      </w:pPr>
    </w:p>
    <w:p w:rsidR="008E5336" w:rsidRPr="008E5336" w:rsidRDefault="008E5336" w:rsidP="00BF0D62">
      <w:pPr>
        <w:pStyle w:val="Heading2"/>
        <w:tabs>
          <w:tab w:val="left" w:pos="720"/>
          <w:tab w:val="left" w:pos="1440"/>
        </w:tabs>
        <w:jc w:val="left"/>
        <w:rPr>
          <w:rFonts w:ascii="Times New Roman" w:hAnsi="Times New Roman"/>
          <w:bCs/>
          <w:sz w:val="24"/>
          <w:szCs w:val="24"/>
        </w:rPr>
      </w:pPr>
      <w:r w:rsidRPr="008E5336">
        <w:rPr>
          <w:rFonts w:ascii="Times New Roman" w:hAnsi="Times New Roman"/>
          <w:bCs/>
          <w:sz w:val="24"/>
          <w:szCs w:val="24"/>
        </w:rPr>
        <w:t>Description of Information Collection</w:t>
      </w:r>
    </w:p>
    <w:p w:rsidR="008E5336" w:rsidRPr="008E5336" w:rsidRDefault="008E5336" w:rsidP="008E5336">
      <w:pPr>
        <w:tabs>
          <w:tab w:val="left" w:pos="360"/>
        </w:tabs>
        <w:rPr>
          <w:rFonts w:ascii="Times New Roman" w:hAnsi="Times New Roman"/>
          <w:szCs w:val="24"/>
        </w:rPr>
      </w:pPr>
    </w:p>
    <w:p w:rsidR="008E5336" w:rsidRPr="008E5336" w:rsidRDefault="008E5336" w:rsidP="008E5336">
      <w:pPr>
        <w:tabs>
          <w:tab w:val="left" w:pos="360"/>
          <w:tab w:val="left" w:pos="720"/>
        </w:tabs>
        <w:jc w:val="center"/>
        <w:rPr>
          <w:rFonts w:ascii="Times New Roman" w:hAnsi="Times New Roman"/>
          <w:szCs w:val="24"/>
        </w:rPr>
      </w:pPr>
      <w:r w:rsidRPr="008E5336">
        <w:rPr>
          <w:rFonts w:ascii="Times New Roman" w:hAnsi="Times New Roman"/>
          <w:i/>
          <w:szCs w:val="24"/>
        </w:rPr>
        <w:t>Federal Reserve Membership Application</w:t>
      </w:r>
    </w:p>
    <w:p w:rsidR="008E5336" w:rsidRPr="008E5336" w:rsidRDefault="008E5336" w:rsidP="008E5336">
      <w:pPr>
        <w:tabs>
          <w:tab w:val="left" w:pos="360"/>
          <w:tab w:val="left" w:pos="720"/>
        </w:tabs>
        <w:rPr>
          <w:rFonts w:ascii="Times New Roman" w:hAnsi="Times New Roman"/>
          <w:szCs w:val="24"/>
        </w:rPr>
      </w:pPr>
    </w:p>
    <w:p w:rsidR="008E5336" w:rsidRPr="008E5336" w:rsidRDefault="008E5336" w:rsidP="008E5336">
      <w:pPr>
        <w:pStyle w:val="BodyTextIndent2"/>
        <w:tabs>
          <w:tab w:val="clear" w:pos="360"/>
          <w:tab w:val="left" w:pos="1440"/>
        </w:tabs>
        <w:ind w:firstLine="0"/>
        <w:rPr>
          <w:rFonts w:ascii="Times New Roman" w:hAnsi="Times New Roman"/>
          <w:szCs w:val="24"/>
        </w:rPr>
      </w:pPr>
      <w:r w:rsidRPr="008E5336">
        <w:rPr>
          <w:rFonts w:ascii="Times New Roman" w:hAnsi="Times New Roman"/>
          <w:szCs w:val="24"/>
        </w:rPr>
        <w:tab/>
        <w:t>The four individual application forms in the FR 2083 series (membership application and relevant attachments) are all one-time submissions that are used by organizing (de novo) or existing state-chartered banks to apply for membership in the Federal Reserve System:</w:t>
      </w:r>
    </w:p>
    <w:p w:rsidR="008E5336" w:rsidRPr="008E5336" w:rsidRDefault="008E5336" w:rsidP="008E5336">
      <w:pPr>
        <w:tabs>
          <w:tab w:val="left" w:pos="360"/>
          <w:tab w:val="left" w:pos="720"/>
        </w:tabs>
        <w:ind w:firstLine="360"/>
        <w:rPr>
          <w:rFonts w:ascii="Times New Roman" w:hAnsi="Times New Roman"/>
          <w:szCs w:val="24"/>
        </w:rPr>
      </w:pPr>
      <w:r w:rsidRPr="008E5336">
        <w:rPr>
          <w:rFonts w:ascii="Times New Roman" w:hAnsi="Times New Roman"/>
          <w:szCs w:val="24"/>
        </w:rPr>
        <w:t xml:space="preserve"> </w:t>
      </w:r>
    </w:p>
    <w:tbl>
      <w:tblPr>
        <w:tblW w:w="0" w:type="auto"/>
        <w:tblInd w:w="120" w:type="dxa"/>
        <w:tblLayout w:type="fixed"/>
        <w:tblCellMar>
          <w:left w:w="120" w:type="dxa"/>
          <w:right w:w="120" w:type="dxa"/>
        </w:tblCellMar>
        <w:tblLook w:val="0000"/>
      </w:tblPr>
      <w:tblGrid>
        <w:gridCol w:w="1368"/>
        <w:gridCol w:w="7992"/>
      </w:tblGrid>
      <w:tr w:rsidR="008E5336" w:rsidRPr="008E5336" w:rsidTr="008E5336">
        <w:tc>
          <w:tcPr>
            <w:tcW w:w="1368" w:type="dxa"/>
          </w:tcPr>
          <w:p w:rsidR="008E5336" w:rsidRPr="008E5336" w:rsidRDefault="008E5336" w:rsidP="008E5336">
            <w:pPr>
              <w:spacing w:line="120" w:lineRule="exact"/>
              <w:rPr>
                <w:rFonts w:ascii="Times New Roman" w:hAnsi="Times New Roman"/>
                <w:szCs w:val="24"/>
              </w:rPr>
            </w:pPr>
          </w:p>
          <w:p w:rsidR="008E5336" w:rsidRPr="008E5336" w:rsidRDefault="008E5336" w:rsidP="008E5336">
            <w:pPr>
              <w:tabs>
                <w:tab w:val="left" w:pos="360"/>
                <w:tab w:val="left" w:pos="720"/>
              </w:tabs>
              <w:spacing w:after="58"/>
              <w:rPr>
                <w:rFonts w:ascii="Times New Roman" w:hAnsi="Times New Roman"/>
                <w:szCs w:val="24"/>
              </w:rPr>
            </w:pPr>
            <w:r w:rsidRPr="008E5336">
              <w:rPr>
                <w:rFonts w:ascii="Times New Roman" w:hAnsi="Times New Roman"/>
                <w:szCs w:val="24"/>
              </w:rPr>
              <w:t>FR 2083</w:t>
            </w:r>
          </w:p>
        </w:tc>
        <w:tc>
          <w:tcPr>
            <w:tcW w:w="7992" w:type="dxa"/>
          </w:tcPr>
          <w:p w:rsidR="008E5336" w:rsidRPr="008E5336" w:rsidRDefault="008E5336" w:rsidP="008E5336">
            <w:pPr>
              <w:spacing w:line="120" w:lineRule="exact"/>
              <w:rPr>
                <w:rFonts w:ascii="Times New Roman" w:hAnsi="Times New Roman"/>
                <w:szCs w:val="24"/>
              </w:rPr>
            </w:pPr>
          </w:p>
          <w:p w:rsidR="008E5336" w:rsidRPr="008E5336" w:rsidRDefault="008E5336" w:rsidP="008E5336">
            <w:pPr>
              <w:tabs>
                <w:tab w:val="left" w:pos="360"/>
                <w:tab w:val="left" w:pos="720"/>
              </w:tabs>
              <w:spacing w:after="58"/>
              <w:rPr>
                <w:rFonts w:ascii="Times New Roman" w:hAnsi="Times New Roman"/>
                <w:szCs w:val="24"/>
              </w:rPr>
            </w:pPr>
            <w:r w:rsidRPr="008E5336">
              <w:rPr>
                <w:rFonts w:ascii="Times New Roman" w:hAnsi="Times New Roman"/>
                <w:szCs w:val="24"/>
              </w:rPr>
              <w:t>Cover sheet, with general information and instructions detailing the information to be submitted according to the type of applicant bank.</w:t>
            </w:r>
          </w:p>
        </w:tc>
      </w:tr>
      <w:tr w:rsidR="008E5336" w:rsidRPr="008E5336" w:rsidTr="008E5336">
        <w:tc>
          <w:tcPr>
            <w:tcW w:w="1368" w:type="dxa"/>
          </w:tcPr>
          <w:p w:rsidR="008E5336" w:rsidRPr="008E5336" w:rsidRDefault="008E5336" w:rsidP="008E5336">
            <w:pPr>
              <w:spacing w:line="120" w:lineRule="exact"/>
              <w:rPr>
                <w:rFonts w:ascii="Times New Roman" w:hAnsi="Times New Roman"/>
                <w:b/>
                <w:szCs w:val="24"/>
              </w:rPr>
            </w:pPr>
          </w:p>
          <w:p w:rsidR="008E5336" w:rsidRPr="008E5336" w:rsidRDefault="008E5336" w:rsidP="008E5336">
            <w:pPr>
              <w:spacing w:after="58"/>
              <w:rPr>
                <w:rFonts w:ascii="Times New Roman" w:hAnsi="Times New Roman"/>
                <w:szCs w:val="24"/>
              </w:rPr>
            </w:pPr>
            <w:r w:rsidRPr="008E5336">
              <w:rPr>
                <w:rFonts w:ascii="Times New Roman" w:hAnsi="Times New Roman"/>
                <w:szCs w:val="24"/>
              </w:rPr>
              <w:t>FR 2083A</w:t>
            </w:r>
          </w:p>
        </w:tc>
        <w:tc>
          <w:tcPr>
            <w:tcW w:w="7992" w:type="dxa"/>
          </w:tcPr>
          <w:p w:rsidR="008E5336" w:rsidRPr="008E5336" w:rsidRDefault="008E5336" w:rsidP="008E5336">
            <w:pPr>
              <w:spacing w:line="120" w:lineRule="exact"/>
              <w:rPr>
                <w:rFonts w:ascii="Times New Roman" w:hAnsi="Times New Roman"/>
                <w:b/>
                <w:szCs w:val="24"/>
              </w:rPr>
            </w:pPr>
          </w:p>
          <w:p w:rsidR="008E5336" w:rsidRPr="008E5336" w:rsidRDefault="008E5336" w:rsidP="008E5336">
            <w:pPr>
              <w:tabs>
                <w:tab w:val="left" w:pos="360"/>
                <w:tab w:val="left" w:pos="720"/>
              </w:tabs>
              <w:spacing w:after="58"/>
              <w:rPr>
                <w:rFonts w:ascii="Times New Roman" w:hAnsi="Times New Roman"/>
                <w:szCs w:val="24"/>
              </w:rPr>
            </w:pPr>
            <w:r w:rsidRPr="008E5336">
              <w:rPr>
                <w:rFonts w:ascii="Times New Roman" w:hAnsi="Times New Roman"/>
                <w:szCs w:val="24"/>
              </w:rPr>
              <w:t>Application form for the purchase of Federal Reserve Bank stock by state banks (except mutual savings banks) and by national banks converting into state member banks.</w:t>
            </w:r>
          </w:p>
        </w:tc>
      </w:tr>
      <w:tr w:rsidR="008E5336" w:rsidRPr="008E5336" w:rsidTr="008E5336">
        <w:tc>
          <w:tcPr>
            <w:tcW w:w="1368" w:type="dxa"/>
          </w:tcPr>
          <w:p w:rsidR="008E5336" w:rsidRPr="008E5336" w:rsidRDefault="008E5336" w:rsidP="008E5336">
            <w:pPr>
              <w:spacing w:line="120" w:lineRule="exact"/>
              <w:rPr>
                <w:rFonts w:ascii="Times New Roman" w:hAnsi="Times New Roman"/>
                <w:b/>
                <w:szCs w:val="24"/>
              </w:rPr>
            </w:pPr>
          </w:p>
          <w:p w:rsidR="008E5336" w:rsidRPr="008E5336" w:rsidRDefault="008E5336" w:rsidP="008E5336">
            <w:pPr>
              <w:tabs>
                <w:tab w:val="left" w:pos="360"/>
                <w:tab w:val="left" w:pos="720"/>
              </w:tabs>
              <w:spacing w:after="58"/>
              <w:rPr>
                <w:rFonts w:ascii="Times New Roman" w:hAnsi="Times New Roman"/>
                <w:szCs w:val="24"/>
              </w:rPr>
            </w:pPr>
            <w:r w:rsidRPr="008E5336">
              <w:rPr>
                <w:rFonts w:ascii="Times New Roman" w:hAnsi="Times New Roman"/>
                <w:szCs w:val="24"/>
              </w:rPr>
              <w:t>FR 2083B</w:t>
            </w:r>
          </w:p>
        </w:tc>
        <w:tc>
          <w:tcPr>
            <w:tcW w:w="7992" w:type="dxa"/>
          </w:tcPr>
          <w:p w:rsidR="008E5336" w:rsidRPr="008E5336" w:rsidRDefault="008E5336" w:rsidP="008E5336">
            <w:pPr>
              <w:spacing w:line="120" w:lineRule="exact"/>
              <w:rPr>
                <w:rFonts w:ascii="Times New Roman" w:hAnsi="Times New Roman"/>
                <w:b/>
                <w:szCs w:val="24"/>
              </w:rPr>
            </w:pPr>
          </w:p>
          <w:p w:rsidR="008E5336" w:rsidRPr="008E5336" w:rsidRDefault="008E5336" w:rsidP="008E5336">
            <w:pPr>
              <w:tabs>
                <w:tab w:val="left" w:pos="360"/>
                <w:tab w:val="left" w:pos="720"/>
              </w:tabs>
              <w:spacing w:after="58"/>
              <w:rPr>
                <w:rFonts w:ascii="Times New Roman" w:hAnsi="Times New Roman"/>
                <w:szCs w:val="24"/>
              </w:rPr>
            </w:pPr>
            <w:r w:rsidRPr="008E5336">
              <w:rPr>
                <w:rFonts w:ascii="Times New Roman" w:hAnsi="Times New Roman"/>
                <w:szCs w:val="24"/>
              </w:rPr>
              <w:t>Application form for the purchase of Federal Reserve Bank stock by mutual savings banks.</w:t>
            </w:r>
          </w:p>
        </w:tc>
      </w:tr>
      <w:tr w:rsidR="008E5336" w:rsidRPr="008E5336" w:rsidTr="008E5336">
        <w:tc>
          <w:tcPr>
            <w:tcW w:w="1368" w:type="dxa"/>
          </w:tcPr>
          <w:p w:rsidR="008E5336" w:rsidRPr="008E5336" w:rsidRDefault="008E5336" w:rsidP="008E5336">
            <w:pPr>
              <w:spacing w:line="120" w:lineRule="exact"/>
              <w:rPr>
                <w:rFonts w:ascii="Times New Roman" w:hAnsi="Times New Roman"/>
                <w:b/>
                <w:szCs w:val="24"/>
              </w:rPr>
            </w:pPr>
          </w:p>
          <w:p w:rsidR="008E5336" w:rsidRPr="008E5336" w:rsidRDefault="008E5336" w:rsidP="008E5336">
            <w:pPr>
              <w:spacing w:after="58"/>
              <w:rPr>
                <w:rFonts w:ascii="Times New Roman" w:hAnsi="Times New Roman"/>
                <w:szCs w:val="24"/>
              </w:rPr>
            </w:pPr>
            <w:r w:rsidRPr="008E5336">
              <w:rPr>
                <w:rFonts w:ascii="Times New Roman" w:hAnsi="Times New Roman"/>
                <w:szCs w:val="24"/>
              </w:rPr>
              <w:lastRenderedPageBreak/>
              <w:t xml:space="preserve">FR 2083C </w:t>
            </w:r>
          </w:p>
        </w:tc>
        <w:tc>
          <w:tcPr>
            <w:tcW w:w="7992" w:type="dxa"/>
          </w:tcPr>
          <w:p w:rsidR="008E5336" w:rsidRPr="008E5336" w:rsidRDefault="008E5336" w:rsidP="008E5336">
            <w:pPr>
              <w:spacing w:line="120" w:lineRule="exact"/>
              <w:rPr>
                <w:rFonts w:ascii="Times New Roman" w:hAnsi="Times New Roman"/>
                <w:b/>
                <w:szCs w:val="24"/>
              </w:rPr>
            </w:pPr>
          </w:p>
          <w:p w:rsidR="008E5336" w:rsidRPr="008E5336" w:rsidRDefault="008E5336" w:rsidP="008E5336">
            <w:pPr>
              <w:tabs>
                <w:tab w:val="left" w:pos="360"/>
                <w:tab w:val="left" w:pos="720"/>
              </w:tabs>
              <w:rPr>
                <w:rFonts w:ascii="Times New Roman" w:hAnsi="Times New Roman"/>
                <w:szCs w:val="24"/>
              </w:rPr>
            </w:pPr>
            <w:r w:rsidRPr="008E5336">
              <w:rPr>
                <w:rFonts w:ascii="Times New Roman" w:hAnsi="Times New Roman"/>
                <w:szCs w:val="24"/>
              </w:rPr>
              <w:lastRenderedPageBreak/>
              <w:t>Certificate of Organizers or Directors certifying that the information being submitted is true and complete, and the proposed capital is not impaired.</w:t>
            </w:r>
          </w:p>
        </w:tc>
      </w:tr>
    </w:tbl>
    <w:p w:rsidR="008E5336" w:rsidRPr="008E5336" w:rsidRDefault="008E5336" w:rsidP="008E5336">
      <w:pPr>
        <w:tabs>
          <w:tab w:val="left" w:pos="720"/>
          <w:tab w:val="left" w:pos="1440"/>
        </w:tabs>
        <w:rPr>
          <w:rFonts w:ascii="Times New Roman" w:hAnsi="Times New Roman"/>
          <w:b/>
          <w:szCs w:val="24"/>
        </w:rPr>
      </w:pPr>
    </w:p>
    <w:p w:rsidR="008E5336" w:rsidRPr="008E5336" w:rsidRDefault="008E5336" w:rsidP="008E5336">
      <w:pPr>
        <w:tabs>
          <w:tab w:val="left" w:pos="360"/>
          <w:tab w:val="left" w:pos="720"/>
        </w:tabs>
        <w:jc w:val="center"/>
        <w:rPr>
          <w:rFonts w:ascii="Times New Roman" w:hAnsi="Times New Roman"/>
          <w:szCs w:val="24"/>
        </w:rPr>
      </w:pPr>
      <w:r w:rsidRPr="008E5336">
        <w:rPr>
          <w:rFonts w:ascii="Times New Roman" w:hAnsi="Times New Roman"/>
          <w:i/>
          <w:szCs w:val="24"/>
        </w:rPr>
        <w:t>Federal Reserve Bank Stock Applications</w:t>
      </w:r>
    </w:p>
    <w:p w:rsidR="008E5336" w:rsidRPr="008E5336" w:rsidRDefault="008E5336" w:rsidP="008E5336">
      <w:pPr>
        <w:tabs>
          <w:tab w:val="left" w:pos="720"/>
          <w:tab w:val="left" w:pos="1440"/>
        </w:tabs>
        <w:rPr>
          <w:rFonts w:ascii="Times New Roman" w:hAnsi="Times New Roman"/>
          <w:b/>
          <w:szCs w:val="24"/>
        </w:rPr>
      </w:pPr>
    </w:p>
    <w:p w:rsidR="008E5336" w:rsidRPr="008E5336" w:rsidRDefault="008E5336" w:rsidP="008E5336">
      <w:pPr>
        <w:tabs>
          <w:tab w:val="left" w:pos="720"/>
          <w:tab w:val="left" w:pos="1440"/>
        </w:tabs>
        <w:rPr>
          <w:rFonts w:ascii="Times New Roman" w:hAnsi="Times New Roman"/>
          <w:szCs w:val="24"/>
        </w:rPr>
      </w:pPr>
      <w:r w:rsidRPr="008E5336">
        <w:rPr>
          <w:rFonts w:ascii="Times New Roman" w:hAnsi="Times New Roman"/>
          <w:szCs w:val="24"/>
        </w:rPr>
        <w:tab/>
        <w:t xml:space="preserve">Any national bank wanting to purchase stock in the Federal Reserve System, any member bank wanting to increase or decrease its Federal Reserve Bank stock </w:t>
      </w:r>
      <w:proofErr w:type="gramStart"/>
      <w:r w:rsidRPr="008E5336">
        <w:rPr>
          <w:rFonts w:ascii="Times New Roman" w:hAnsi="Times New Roman"/>
          <w:szCs w:val="24"/>
        </w:rPr>
        <w:t>holdings,</w:t>
      </w:r>
      <w:proofErr w:type="gramEnd"/>
      <w:r w:rsidRPr="008E5336">
        <w:rPr>
          <w:rFonts w:ascii="Times New Roman" w:hAnsi="Times New Roman"/>
          <w:szCs w:val="24"/>
        </w:rPr>
        <w:t xml:space="preserve"> or any bank wanting to cancel its stock holdings must file an application with the appropriate Federal Reserve Bank.  The application forms for the initial subscription of Federal Reserve Bank stock filed by organizing national banks and nonmember state banks converting to national banks (FR 2030 and 2030a, respectively) and the application forms for the cancellation of Federal Reserve Bank stock filed by liquidating member banks, member banks merging or consolidating with nonmember banks, and insolvent member banks (FR 2086, 2086a, and 2087, respectively) require one or more of the following:</w:t>
      </w:r>
    </w:p>
    <w:p w:rsidR="008E5336" w:rsidRPr="008E5336" w:rsidRDefault="008E5336" w:rsidP="008E5336">
      <w:pPr>
        <w:tabs>
          <w:tab w:val="left" w:pos="360"/>
          <w:tab w:val="left" w:pos="720"/>
        </w:tabs>
        <w:rPr>
          <w:rFonts w:ascii="Times New Roman" w:hAnsi="Times New Roman"/>
          <w:szCs w:val="24"/>
        </w:rPr>
      </w:pPr>
    </w:p>
    <w:p w:rsidR="008E5336" w:rsidRPr="008E5336" w:rsidRDefault="008E5336" w:rsidP="008E5336">
      <w:pPr>
        <w:pStyle w:val="a"/>
        <w:widowControl/>
        <w:numPr>
          <w:ilvl w:val="0"/>
          <w:numId w:val="11"/>
        </w:numPr>
        <w:tabs>
          <w:tab w:val="left" w:pos="360"/>
          <w:tab w:val="left" w:pos="720"/>
        </w:tabs>
        <w:ind w:left="360"/>
        <w:rPr>
          <w:rFonts w:ascii="Times New Roman" w:hAnsi="Times New Roman"/>
          <w:szCs w:val="24"/>
        </w:rPr>
      </w:pPr>
      <w:r w:rsidRPr="008E5336">
        <w:rPr>
          <w:rFonts w:ascii="Times New Roman" w:hAnsi="Times New Roman"/>
          <w:szCs w:val="24"/>
        </w:rPr>
        <w:t>a resolution by the applying bank’s board of directors authorizing the transaction,</w:t>
      </w:r>
    </w:p>
    <w:p w:rsidR="008E5336" w:rsidRPr="008E5336" w:rsidRDefault="008E5336" w:rsidP="008E5336">
      <w:pPr>
        <w:pStyle w:val="a"/>
        <w:widowControl/>
        <w:numPr>
          <w:ilvl w:val="0"/>
          <w:numId w:val="11"/>
        </w:numPr>
        <w:tabs>
          <w:tab w:val="left" w:pos="360"/>
          <w:tab w:val="left" w:pos="720"/>
        </w:tabs>
        <w:ind w:left="360"/>
        <w:rPr>
          <w:rFonts w:ascii="Times New Roman" w:hAnsi="Times New Roman"/>
          <w:szCs w:val="24"/>
        </w:rPr>
      </w:pPr>
      <w:r w:rsidRPr="008E5336">
        <w:rPr>
          <w:rFonts w:ascii="Times New Roman" w:hAnsi="Times New Roman"/>
          <w:szCs w:val="24"/>
        </w:rPr>
        <w:t>an indication of the capital and surplus of the bank as of the date of application,</w:t>
      </w:r>
    </w:p>
    <w:p w:rsidR="008E5336" w:rsidRPr="008E5336" w:rsidRDefault="008E5336" w:rsidP="008E5336">
      <w:pPr>
        <w:pStyle w:val="a"/>
        <w:widowControl/>
        <w:numPr>
          <w:ilvl w:val="0"/>
          <w:numId w:val="11"/>
        </w:numPr>
        <w:tabs>
          <w:tab w:val="left" w:pos="360"/>
          <w:tab w:val="left" w:pos="720"/>
        </w:tabs>
        <w:ind w:left="360"/>
        <w:rPr>
          <w:rFonts w:ascii="Times New Roman" w:hAnsi="Times New Roman"/>
          <w:szCs w:val="24"/>
        </w:rPr>
      </w:pPr>
      <w:r w:rsidRPr="008E5336">
        <w:rPr>
          <w:rFonts w:ascii="Times New Roman" w:hAnsi="Times New Roman"/>
          <w:szCs w:val="24"/>
        </w:rPr>
        <w:t>a certification (by official signatures) of the resolution, and</w:t>
      </w:r>
    </w:p>
    <w:p w:rsidR="008E5336" w:rsidRPr="008E5336" w:rsidRDefault="008E5336" w:rsidP="008E5336">
      <w:pPr>
        <w:pStyle w:val="a"/>
        <w:widowControl/>
        <w:numPr>
          <w:ilvl w:val="0"/>
          <w:numId w:val="11"/>
        </w:numPr>
        <w:tabs>
          <w:tab w:val="left" w:pos="360"/>
          <w:tab w:val="left" w:pos="720"/>
        </w:tabs>
        <w:ind w:left="360"/>
        <w:rPr>
          <w:rFonts w:ascii="Times New Roman" w:hAnsi="Times New Roman"/>
          <w:szCs w:val="24"/>
        </w:rPr>
      </w:pPr>
      <w:proofErr w:type="gramStart"/>
      <w:r w:rsidRPr="008E5336">
        <w:rPr>
          <w:rFonts w:ascii="Times New Roman" w:hAnsi="Times New Roman"/>
          <w:szCs w:val="24"/>
        </w:rPr>
        <w:t>an</w:t>
      </w:r>
      <w:proofErr w:type="gramEnd"/>
      <w:r w:rsidRPr="008E5336">
        <w:rPr>
          <w:rFonts w:ascii="Times New Roman" w:hAnsi="Times New Roman"/>
          <w:szCs w:val="24"/>
        </w:rPr>
        <w:t xml:space="preserve"> indication of the number of shares and dollar amount of the Federal Reserve Bank stock to be purchased or canceled.</w:t>
      </w:r>
    </w:p>
    <w:p w:rsidR="008E5336" w:rsidRPr="008E5336" w:rsidRDefault="008E5336" w:rsidP="008E5336">
      <w:pPr>
        <w:pStyle w:val="a"/>
        <w:widowControl/>
        <w:tabs>
          <w:tab w:val="left" w:pos="360"/>
          <w:tab w:val="left" w:pos="720"/>
        </w:tabs>
        <w:ind w:left="0" w:firstLine="0"/>
        <w:rPr>
          <w:rFonts w:ascii="Times New Roman" w:hAnsi="Times New Roman"/>
          <w:szCs w:val="24"/>
        </w:rPr>
      </w:pPr>
    </w:p>
    <w:p w:rsidR="008E5336" w:rsidRPr="008E5336" w:rsidRDefault="008E5336" w:rsidP="008E5336">
      <w:pPr>
        <w:pStyle w:val="a"/>
        <w:widowControl/>
        <w:tabs>
          <w:tab w:val="left" w:pos="360"/>
          <w:tab w:val="left" w:pos="720"/>
        </w:tabs>
        <w:ind w:left="0" w:firstLine="0"/>
        <w:rPr>
          <w:rFonts w:ascii="Times New Roman" w:hAnsi="Times New Roman"/>
          <w:szCs w:val="24"/>
        </w:rPr>
      </w:pPr>
      <w:r w:rsidRPr="008E5336">
        <w:rPr>
          <w:rFonts w:ascii="Times New Roman" w:hAnsi="Times New Roman"/>
          <w:szCs w:val="24"/>
        </w:rPr>
        <w:t>State-chartered banks and mutual savings banks do not use the FR 2030 or FR 2030a applications to purchase stock because the required information is collected on the FR 2083 application forms and received as part of the complete membership application.</w:t>
      </w:r>
    </w:p>
    <w:p w:rsidR="008E5336" w:rsidRPr="008E5336" w:rsidRDefault="008E5336" w:rsidP="008E5336">
      <w:pPr>
        <w:pStyle w:val="a"/>
        <w:widowControl/>
        <w:tabs>
          <w:tab w:val="left" w:pos="360"/>
          <w:tab w:val="left" w:pos="720"/>
        </w:tabs>
        <w:ind w:left="0" w:firstLine="0"/>
        <w:rPr>
          <w:rFonts w:ascii="Times New Roman" w:hAnsi="Times New Roman"/>
          <w:szCs w:val="24"/>
        </w:rPr>
      </w:pPr>
    </w:p>
    <w:p w:rsidR="008E5336" w:rsidRPr="008E5336" w:rsidRDefault="008E5336" w:rsidP="008E5336">
      <w:pPr>
        <w:tabs>
          <w:tab w:val="left" w:pos="720"/>
          <w:tab w:val="left" w:pos="1440"/>
        </w:tabs>
        <w:rPr>
          <w:rFonts w:ascii="Times New Roman" w:hAnsi="Times New Roman"/>
          <w:szCs w:val="24"/>
        </w:rPr>
      </w:pPr>
      <w:r w:rsidRPr="008E5336">
        <w:rPr>
          <w:rFonts w:ascii="Times New Roman" w:hAnsi="Times New Roman"/>
          <w:szCs w:val="24"/>
        </w:rPr>
        <w:tab/>
        <w:t>The application form for an interim adjustment in a member bank’s holdings of Federal Reserve Bank stock (FR 2056) requires:</w:t>
      </w:r>
    </w:p>
    <w:p w:rsidR="008E5336" w:rsidRPr="008E5336" w:rsidRDefault="008E5336" w:rsidP="008E5336">
      <w:pPr>
        <w:tabs>
          <w:tab w:val="left" w:pos="360"/>
          <w:tab w:val="left" w:pos="720"/>
        </w:tabs>
        <w:rPr>
          <w:rFonts w:ascii="Times New Roman" w:hAnsi="Times New Roman"/>
          <w:szCs w:val="24"/>
        </w:rPr>
      </w:pPr>
    </w:p>
    <w:p w:rsidR="008E5336" w:rsidRPr="008E5336" w:rsidRDefault="008E5336" w:rsidP="008E5336">
      <w:pPr>
        <w:pStyle w:val="a"/>
        <w:widowControl/>
        <w:numPr>
          <w:ilvl w:val="0"/>
          <w:numId w:val="11"/>
        </w:numPr>
        <w:tabs>
          <w:tab w:val="left" w:pos="360"/>
          <w:tab w:val="left" w:pos="720"/>
        </w:tabs>
        <w:ind w:left="360"/>
        <w:rPr>
          <w:rFonts w:ascii="Times New Roman" w:hAnsi="Times New Roman"/>
          <w:szCs w:val="24"/>
        </w:rPr>
      </w:pPr>
      <w:r w:rsidRPr="008E5336">
        <w:rPr>
          <w:rFonts w:ascii="Times New Roman" w:hAnsi="Times New Roman"/>
          <w:szCs w:val="24"/>
        </w:rPr>
        <w:t>an indication of the capital and surplus of the bank as of the date of application and</w:t>
      </w:r>
    </w:p>
    <w:p w:rsidR="008E5336" w:rsidRPr="008E5336" w:rsidRDefault="008E5336" w:rsidP="008E5336">
      <w:pPr>
        <w:pStyle w:val="a"/>
        <w:widowControl/>
        <w:numPr>
          <w:ilvl w:val="0"/>
          <w:numId w:val="11"/>
        </w:numPr>
        <w:tabs>
          <w:tab w:val="left" w:pos="360"/>
          <w:tab w:val="left" w:pos="720"/>
        </w:tabs>
        <w:ind w:left="360"/>
        <w:rPr>
          <w:rFonts w:ascii="Times New Roman" w:hAnsi="Times New Roman"/>
          <w:szCs w:val="24"/>
        </w:rPr>
      </w:pPr>
      <w:proofErr w:type="gramStart"/>
      <w:r w:rsidRPr="008E5336">
        <w:rPr>
          <w:rFonts w:ascii="Times New Roman" w:hAnsi="Times New Roman"/>
          <w:szCs w:val="24"/>
        </w:rPr>
        <w:t>an</w:t>
      </w:r>
      <w:proofErr w:type="gramEnd"/>
      <w:r w:rsidRPr="008E5336">
        <w:rPr>
          <w:rFonts w:ascii="Times New Roman" w:hAnsi="Times New Roman"/>
          <w:szCs w:val="24"/>
        </w:rPr>
        <w:t xml:space="preserve"> indication of the number of shares held and the number of shares to be acquired or canceled.</w:t>
      </w:r>
    </w:p>
    <w:p w:rsidR="008E5336" w:rsidRPr="008E5336" w:rsidRDefault="008E5336" w:rsidP="008E5336">
      <w:pPr>
        <w:tabs>
          <w:tab w:val="left" w:pos="360"/>
          <w:tab w:val="left" w:pos="720"/>
        </w:tabs>
        <w:rPr>
          <w:rFonts w:ascii="Times New Roman" w:hAnsi="Times New Roman"/>
          <w:szCs w:val="24"/>
        </w:rPr>
      </w:pPr>
    </w:p>
    <w:p w:rsidR="008E5336" w:rsidRPr="008E5336" w:rsidRDefault="008E5336" w:rsidP="008E5336">
      <w:pPr>
        <w:tabs>
          <w:tab w:val="left" w:pos="720"/>
          <w:tab w:val="left" w:pos="1440"/>
        </w:tabs>
        <w:rPr>
          <w:rFonts w:ascii="Times New Roman" w:hAnsi="Times New Roman"/>
          <w:szCs w:val="24"/>
        </w:rPr>
      </w:pPr>
      <w:r w:rsidRPr="008E5336">
        <w:rPr>
          <w:rFonts w:ascii="Times New Roman" w:hAnsi="Times New Roman"/>
          <w:szCs w:val="24"/>
        </w:rPr>
        <w:t>A completed application form must be submitted for each required adjustment.  Any member bank must use the FR 2056 to correct a discrepancy between the amount of Federal Reserve Bank stock required to be held and the amount actually held by the member bank.  The latter is determined by the Reserve Bank through its monitoring of the bank’s capital accounts reported quarterly on the Consolidated Reports of Condition and Income (Call Report) (FFIEC 031 and 041; OMB No. 7100-0036).  The Federal Reserve Bank stock applications are distributed by the Federal Reserve Banks and the information collected enables them to account for required subscription payments to the System and for dividends paid by the System on any outstanding stock.</w:t>
      </w:r>
    </w:p>
    <w:p w:rsidR="008E5336" w:rsidRPr="008E5336" w:rsidRDefault="008E5336" w:rsidP="008E5336">
      <w:pPr>
        <w:tabs>
          <w:tab w:val="left" w:pos="720"/>
          <w:tab w:val="left" w:pos="1440"/>
        </w:tabs>
        <w:rPr>
          <w:rFonts w:ascii="Times New Roman" w:hAnsi="Times New Roman"/>
          <w:szCs w:val="24"/>
        </w:rPr>
      </w:pPr>
    </w:p>
    <w:p w:rsidR="008E5336" w:rsidRPr="008E5336" w:rsidRDefault="00BF0D62" w:rsidP="008E5336">
      <w:pPr>
        <w:tabs>
          <w:tab w:val="left" w:pos="720"/>
          <w:tab w:val="left" w:pos="1440"/>
        </w:tabs>
        <w:rPr>
          <w:rFonts w:ascii="Times New Roman" w:hAnsi="Times New Roman"/>
          <w:b/>
          <w:szCs w:val="24"/>
        </w:rPr>
      </w:pPr>
      <w:r>
        <w:rPr>
          <w:rFonts w:ascii="Times New Roman" w:hAnsi="Times New Roman"/>
          <w:b/>
          <w:szCs w:val="24"/>
        </w:rPr>
        <w:br w:type="page"/>
      </w:r>
      <w:r w:rsidR="008E5336" w:rsidRPr="008E5336">
        <w:rPr>
          <w:rFonts w:ascii="Times New Roman" w:hAnsi="Times New Roman"/>
          <w:b/>
          <w:szCs w:val="24"/>
        </w:rPr>
        <w:lastRenderedPageBreak/>
        <w:t>Time Schedule for Information Collection</w:t>
      </w:r>
    </w:p>
    <w:p w:rsidR="008E5336" w:rsidRPr="008E5336" w:rsidRDefault="008E5336" w:rsidP="008E5336">
      <w:pPr>
        <w:tabs>
          <w:tab w:val="left" w:pos="360"/>
          <w:tab w:val="left" w:pos="720"/>
        </w:tabs>
        <w:rPr>
          <w:rFonts w:ascii="Times New Roman" w:hAnsi="Times New Roman"/>
          <w:szCs w:val="24"/>
        </w:rPr>
      </w:pPr>
    </w:p>
    <w:p w:rsidR="008E5336" w:rsidRPr="008E5336" w:rsidRDefault="008E5336" w:rsidP="008E5336">
      <w:pPr>
        <w:tabs>
          <w:tab w:val="left" w:pos="720"/>
          <w:tab w:val="left" w:pos="1440"/>
        </w:tabs>
        <w:rPr>
          <w:rFonts w:ascii="Times New Roman" w:hAnsi="Times New Roman"/>
          <w:szCs w:val="24"/>
        </w:rPr>
      </w:pPr>
      <w:r w:rsidRPr="008E5336">
        <w:rPr>
          <w:rFonts w:ascii="Times New Roman" w:hAnsi="Times New Roman"/>
          <w:szCs w:val="24"/>
        </w:rPr>
        <w:tab/>
        <w:t>Submission of these applications is event generated.  The FR 2083 is filed by a new or existing bank when it wishes to become a member of the Federal Reserve System.  Membership applications are usually acted upon within 60 days after filing.  Expedited membership applications are usually acted upon within 15 days after filing.  The FR 2086, 2086a, and 2087 are usually submitted 30 calendar days after the event triggering the need for cancellation of a bank’s Federal Reserve Bank stock.  The FR 2056 must be filed promptly after the first Call Report that reflects the increase or decrease or as necessitated by a merger or other consolidation. The FR 2030 must be submitted by a national bank while in the process of organizing and the FR 2030a must be submitted by a state nonmember bank while in the process of converting to a national bank.  These applications are usually acted upon under delegated authority by the Federal Reserve Banks within 2 to 4 days after filing.  The information in the applications is not published.</w:t>
      </w:r>
    </w:p>
    <w:p w:rsidR="008E5336" w:rsidRPr="008E5336" w:rsidRDefault="008E5336" w:rsidP="008E5336">
      <w:pPr>
        <w:tabs>
          <w:tab w:val="left" w:pos="720"/>
          <w:tab w:val="left" w:pos="1440"/>
        </w:tabs>
        <w:rPr>
          <w:rFonts w:ascii="Times New Roman" w:hAnsi="Times New Roman"/>
          <w:szCs w:val="24"/>
        </w:rPr>
      </w:pPr>
    </w:p>
    <w:p w:rsidR="008E5336" w:rsidRPr="008E5336" w:rsidRDefault="008E5336" w:rsidP="008E5336">
      <w:pPr>
        <w:tabs>
          <w:tab w:val="left" w:pos="720"/>
          <w:tab w:val="left" w:pos="1440"/>
        </w:tabs>
        <w:rPr>
          <w:rFonts w:ascii="Times New Roman" w:hAnsi="Times New Roman"/>
          <w:szCs w:val="24"/>
        </w:rPr>
      </w:pPr>
      <w:r w:rsidRPr="008E5336">
        <w:rPr>
          <w:rFonts w:ascii="Times New Roman" w:hAnsi="Times New Roman"/>
          <w:b/>
          <w:szCs w:val="24"/>
        </w:rPr>
        <w:t>Legal Status</w:t>
      </w:r>
    </w:p>
    <w:p w:rsidR="008E5336" w:rsidRPr="008E5336" w:rsidRDefault="008E5336" w:rsidP="008E5336">
      <w:pPr>
        <w:tabs>
          <w:tab w:val="left" w:pos="720"/>
          <w:tab w:val="left" w:pos="1440"/>
        </w:tabs>
        <w:rPr>
          <w:rFonts w:ascii="Times New Roman" w:hAnsi="Times New Roman"/>
          <w:szCs w:val="24"/>
        </w:rPr>
      </w:pPr>
    </w:p>
    <w:p w:rsidR="008E5336" w:rsidRPr="008E5336" w:rsidRDefault="008E5336" w:rsidP="008E5336">
      <w:pPr>
        <w:tabs>
          <w:tab w:val="left" w:pos="720"/>
          <w:tab w:val="left" w:pos="1440"/>
        </w:tabs>
        <w:rPr>
          <w:rFonts w:ascii="Times New Roman" w:hAnsi="Times New Roman"/>
          <w:szCs w:val="24"/>
        </w:rPr>
      </w:pPr>
      <w:r w:rsidRPr="008E5336">
        <w:rPr>
          <w:rFonts w:ascii="Times New Roman" w:hAnsi="Times New Roman"/>
          <w:szCs w:val="24"/>
        </w:rPr>
        <w:tab/>
        <w:t>The Board’s Legal Division has determined that the applications are authorized as follows:</w:t>
      </w:r>
    </w:p>
    <w:p w:rsidR="008E5336" w:rsidRPr="008E5336" w:rsidRDefault="008E5336" w:rsidP="008E5336">
      <w:pPr>
        <w:tabs>
          <w:tab w:val="left" w:pos="360"/>
          <w:tab w:val="left" w:pos="720"/>
        </w:tabs>
        <w:rPr>
          <w:rFonts w:ascii="Times New Roman" w:hAnsi="Times New Roman"/>
          <w:szCs w:val="24"/>
        </w:rPr>
      </w:pPr>
    </w:p>
    <w:p w:rsidR="008E5336" w:rsidRPr="008E5336" w:rsidRDefault="008E5336" w:rsidP="008E5336">
      <w:pPr>
        <w:pStyle w:val="a"/>
        <w:widowControl/>
        <w:numPr>
          <w:ilvl w:val="0"/>
          <w:numId w:val="11"/>
        </w:numPr>
        <w:tabs>
          <w:tab w:val="left" w:pos="360"/>
          <w:tab w:val="left" w:pos="720"/>
        </w:tabs>
        <w:ind w:left="360"/>
        <w:rPr>
          <w:rFonts w:ascii="Times New Roman" w:hAnsi="Times New Roman"/>
          <w:szCs w:val="24"/>
        </w:rPr>
      </w:pPr>
      <w:r w:rsidRPr="008E5336">
        <w:rPr>
          <w:rFonts w:ascii="Times New Roman" w:hAnsi="Times New Roman"/>
          <w:szCs w:val="24"/>
        </w:rPr>
        <w:t>FR 2030 and FR 2030a: Sectio</w:t>
      </w:r>
      <w:r w:rsidR="00E72C4F">
        <w:rPr>
          <w:rFonts w:ascii="Times New Roman" w:hAnsi="Times New Roman"/>
          <w:szCs w:val="24"/>
        </w:rPr>
        <w:t>n 2 of the Federal Reserve Act (</w:t>
      </w:r>
      <w:r w:rsidRPr="008E5336">
        <w:rPr>
          <w:rFonts w:ascii="Times New Roman" w:hAnsi="Times New Roman"/>
          <w:szCs w:val="24"/>
        </w:rPr>
        <w:t>12 U.S.C. §§ 222 and 282</w:t>
      </w:r>
      <w:r w:rsidR="00E72C4F">
        <w:rPr>
          <w:rFonts w:ascii="Times New Roman" w:hAnsi="Times New Roman"/>
          <w:szCs w:val="24"/>
        </w:rPr>
        <w:t>)</w:t>
      </w:r>
      <w:r w:rsidRPr="008E5336">
        <w:rPr>
          <w:rFonts w:ascii="Times New Roman" w:hAnsi="Times New Roman"/>
          <w:szCs w:val="24"/>
        </w:rPr>
        <w:t xml:space="preserve"> and Sections 9 and 11</w:t>
      </w:r>
      <w:r w:rsidR="00E72C4F">
        <w:rPr>
          <w:rFonts w:ascii="Times New Roman" w:hAnsi="Times New Roman"/>
          <w:szCs w:val="24"/>
        </w:rPr>
        <w:t>(a) of the Federal Reserve Act (</w:t>
      </w:r>
      <w:r w:rsidRPr="008E5336">
        <w:rPr>
          <w:rFonts w:ascii="Times New Roman" w:hAnsi="Times New Roman"/>
          <w:szCs w:val="24"/>
        </w:rPr>
        <w:t>12 U.S.C. §§ 248(a) and 321</w:t>
      </w:r>
      <w:r w:rsidR="00E72C4F">
        <w:rPr>
          <w:rFonts w:ascii="Times New Roman" w:hAnsi="Times New Roman"/>
          <w:szCs w:val="24"/>
        </w:rPr>
        <w:t>)</w:t>
      </w:r>
      <w:r w:rsidRPr="008E5336">
        <w:rPr>
          <w:rFonts w:ascii="Times New Roman" w:hAnsi="Times New Roman"/>
          <w:szCs w:val="24"/>
        </w:rPr>
        <w:t xml:space="preserve">;  </w:t>
      </w:r>
    </w:p>
    <w:p w:rsidR="008E5336" w:rsidRPr="008E5336" w:rsidRDefault="008E5336" w:rsidP="008E5336">
      <w:pPr>
        <w:pStyle w:val="a"/>
        <w:widowControl/>
        <w:numPr>
          <w:ilvl w:val="0"/>
          <w:numId w:val="11"/>
        </w:numPr>
        <w:tabs>
          <w:tab w:val="left" w:pos="360"/>
          <w:tab w:val="left" w:pos="720"/>
        </w:tabs>
        <w:ind w:left="360"/>
        <w:rPr>
          <w:rFonts w:ascii="Times New Roman" w:hAnsi="Times New Roman"/>
          <w:szCs w:val="24"/>
        </w:rPr>
      </w:pPr>
      <w:r w:rsidRPr="008E5336">
        <w:rPr>
          <w:rFonts w:ascii="Times New Roman" w:hAnsi="Times New Roman"/>
          <w:szCs w:val="24"/>
        </w:rPr>
        <w:t>FR 2056: Sectio</w:t>
      </w:r>
      <w:r w:rsidR="00E72C4F">
        <w:rPr>
          <w:rFonts w:ascii="Times New Roman" w:hAnsi="Times New Roman"/>
          <w:szCs w:val="24"/>
        </w:rPr>
        <w:t>n 5 of the Federal Reserve Act (</w:t>
      </w:r>
      <w:r w:rsidRPr="008E5336">
        <w:rPr>
          <w:rFonts w:ascii="Times New Roman" w:hAnsi="Times New Roman"/>
          <w:szCs w:val="24"/>
        </w:rPr>
        <w:t>12 U.S.C. § 287</w:t>
      </w:r>
      <w:r w:rsidR="00E72C4F">
        <w:rPr>
          <w:rFonts w:ascii="Times New Roman" w:hAnsi="Times New Roman"/>
          <w:szCs w:val="24"/>
        </w:rPr>
        <w:t>)</w:t>
      </w:r>
      <w:r w:rsidRPr="008E5336">
        <w:rPr>
          <w:rFonts w:ascii="Times New Roman" w:hAnsi="Times New Roman"/>
          <w:szCs w:val="24"/>
        </w:rPr>
        <w:t xml:space="preserve"> and Sections 11(a) and </w:t>
      </w:r>
      <w:r w:rsidR="00E72C4F">
        <w:rPr>
          <w:rFonts w:ascii="Times New Roman" w:hAnsi="Times New Roman"/>
          <w:szCs w:val="24"/>
        </w:rPr>
        <w:t>(</w:t>
      </w:r>
      <w:proofErr w:type="spellStart"/>
      <w:r w:rsidR="00E72C4F">
        <w:rPr>
          <w:rFonts w:ascii="Times New Roman" w:hAnsi="Times New Roman"/>
          <w:szCs w:val="24"/>
        </w:rPr>
        <w:t>i</w:t>
      </w:r>
      <w:proofErr w:type="spellEnd"/>
      <w:r w:rsidR="00E72C4F">
        <w:rPr>
          <w:rFonts w:ascii="Times New Roman" w:hAnsi="Times New Roman"/>
          <w:szCs w:val="24"/>
        </w:rPr>
        <w:t>) of the Federal Reserve Act (</w:t>
      </w:r>
      <w:r w:rsidRPr="008E5336">
        <w:rPr>
          <w:rFonts w:ascii="Times New Roman" w:hAnsi="Times New Roman"/>
          <w:szCs w:val="24"/>
        </w:rPr>
        <w:t>12 U.S.C. § 248(a) and (</w:t>
      </w:r>
      <w:proofErr w:type="spellStart"/>
      <w:r w:rsidRPr="008E5336">
        <w:rPr>
          <w:rFonts w:ascii="Times New Roman" w:hAnsi="Times New Roman"/>
          <w:szCs w:val="24"/>
        </w:rPr>
        <w:t>i</w:t>
      </w:r>
      <w:proofErr w:type="spellEnd"/>
      <w:r w:rsidRPr="008E5336">
        <w:rPr>
          <w:rFonts w:ascii="Times New Roman" w:hAnsi="Times New Roman"/>
          <w:szCs w:val="24"/>
        </w:rPr>
        <w:t>)</w:t>
      </w:r>
      <w:r w:rsidR="00E72C4F">
        <w:rPr>
          <w:rFonts w:ascii="Times New Roman" w:hAnsi="Times New Roman"/>
          <w:szCs w:val="24"/>
        </w:rPr>
        <w:t>)</w:t>
      </w:r>
      <w:r w:rsidRPr="008E5336">
        <w:rPr>
          <w:rFonts w:ascii="Times New Roman" w:hAnsi="Times New Roman"/>
          <w:szCs w:val="24"/>
        </w:rPr>
        <w:t>;</w:t>
      </w:r>
    </w:p>
    <w:p w:rsidR="008E5336" w:rsidRPr="008E5336" w:rsidRDefault="008E5336" w:rsidP="008E5336">
      <w:pPr>
        <w:pStyle w:val="a"/>
        <w:widowControl/>
        <w:numPr>
          <w:ilvl w:val="0"/>
          <w:numId w:val="11"/>
        </w:numPr>
        <w:tabs>
          <w:tab w:val="left" w:pos="360"/>
          <w:tab w:val="left" w:pos="720"/>
        </w:tabs>
        <w:ind w:left="360"/>
        <w:rPr>
          <w:rFonts w:ascii="Times New Roman" w:hAnsi="Times New Roman"/>
          <w:szCs w:val="24"/>
        </w:rPr>
      </w:pPr>
      <w:r w:rsidRPr="008E5336">
        <w:rPr>
          <w:rFonts w:ascii="Times New Roman" w:hAnsi="Times New Roman"/>
          <w:szCs w:val="24"/>
        </w:rPr>
        <w:t>FR 2083: Sectio</w:t>
      </w:r>
      <w:r w:rsidR="00E72C4F">
        <w:rPr>
          <w:rFonts w:ascii="Times New Roman" w:hAnsi="Times New Roman"/>
          <w:szCs w:val="24"/>
        </w:rPr>
        <w:t>n 9 of the Federal Reserve Act (</w:t>
      </w:r>
      <w:r w:rsidRPr="008E5336">
        <w:rPr>
          <w:rFonts w:ascii="Times New Roman" w:hAnsi="Times New Roman"/>
          <w:szCs w:val="24"/>
        </w:rPr>
        <w:t>12 U.S.C. §§ 321, 322, and 333</w:t>
      </w:r>
      <w:r w:rsidR="00E72C4F">
        <w:rPr>
          <w:rFonts w:ascii="Times New Roman" w:hAnsi="Times New Roman"/>
          <w:szCs w:val="24"/>
        </w:rPr>
        <w:t>)</w:t>
      </w:r>
      <w:r w:rsidRPr="008E5336">
        <w:rPr>
          <w:rFonts w:ascii="Times New Roman" w:hAnsi="Times New Roman"/>
          <w:szCs w:val="24"/>
        </w:rPr>
        <w:t xml:space="preserve">; </w:t>
      </w:r>
    </w:p>
    <w:p w:rsidR="008E5336" w:rsidRPr="008E5336" w:rsidRDefault="008E5336" w:rsidP="008E5336">
      <w:pPr>
        <w:pStyle w:val="a"/>
        <w:widowControl/>
        <w:numPr>
          <w:ilvl w:val="0"/>
          <w:numId w:val="11"/>
        </w:numPr>
        <w:tabs>
          <w:tab w:val="left" w:pos="360"/>
          <w:tab w:val="left" w:pos="720"/>
        </w:tabs>
        <w:ind w:left="360"/>
        <w:rPr>
          <w:rFonts w:ascii="Times New Roman" w:hAnsi="Times New Roman"/>
          <w:szCs w:val="24"/>
        </w:rPr>
      </w:pPr>
      <w:r w:rsidRPr="008E5336">
        <w:rPr>
          <w:rFonts w:ascii="Times New Roman" w:hAnsi="Times New Roman"/>
          <w:szCs w:val="24"/>
        </w:rPr>
        <w:t>FR 2086: Sectio</w:t>
      </w:r>
      <w:r w:rsidR="00E72C4F">
        <w:rPr>
          <w:rFonts w:ascii="Times New Roman" w:hAnsi="Times New Roman"/>
          <w:szCs w:val="24"/>
        </w:rPr>
        <w:t>n 5 of the Federal Reserve Act (12 U.S.C. § 287)</w:t>
      </w:r>
      <w:r w:rsidRPr="008E5336">
        <w:rPr>
          <w:rFonts w:ascii="Times New Roman" w:hAnsi="Times New Roman"/>
          <w:szCs w:val="24"/>
        </w:rPr>
        <w:t xml:space="preserve"> and Sections 11(a) and (</w:t>
      </w:r>
      <w:proofErr w:type="spellStart"/>
      <w:r w:rsidRPr="008E5336">
        <w:rPr>
          <w:rFonts w:ascii="Times New Roman" w:hAnsi="Times New Roman"/>
          <w:szCs w:val="24"/>
        </w:rPr>
        <w:t>i</w:t>
      </w:r>
      <w:proofErr w:type="spellEnd"/>
      <w:r w:rsidRPr="008E5336">
        <w:rPr>
          <w:rFonts w:ascii="Times New Roman" w:hAnsi="Times New Roman"/>
          <w:szCs w:val="24"/>
        </w:rPr>
        <w:t xml:space="preserve">) of the Federal Reserve Act </w:t>
      </w:r>
      <w:r w:rsidR="00E72C4F">
        <w:rPr>
          <w:rFonts w:ascii="Times New Roman" w:hAnsi="Times New Roman"/>
          <w:szCs w:val="24"/>
        </w:rPr>
        <w:t>(</w:t>
      </w:r>
      <w:r w:rsidRPr="008E5336">
        <w:rPr>
          <w:rFonts w:ascii="Times New Roman" w:hAnsi="Times New Roman"/>
          <w:szCs w:val="24"/>
        </w:rPr>
        <w:t>12 U.S.C. § 248(a) and (</w:t>
      </w:r>
      <w:proofErr w:type="spellStart"/>
      <w:r w:rsidRPr="008E5336">
        <w:rPr>
          <w:rFonts w:ascii="Times New Roman" w:hAnsi="Times New Roman"/>
          <w:szCs w:val="24"/>
        </w:rPr>
        <w:t>i</w:t>
      </w:r>
      <w:proofErr w:type="spellEnd"/>
      <w:r w:rsidRPr="008E5336">
        <w:rPr>
          <w:rFonts w:ascii="Times New Roman" w:hAnsi="Times New Roman"/>
          <w:szCs w:val="24"/>
        </w:rPr>
        <w:t>)</w:t>
      </w:r>
      <w:r w:rsidR="00E72C4F">
        <w:rPr>
          <w:rFonts w:ascii="Times New Roman" w:hAnsi="Times New Roman"/>
          <w:szCs w:val="24"/>
        </w:rPr>
        <w:t>)</w:t>
      </w:r>
      <w:r w:rsidRPr="008E5336">
        <w:rPr>
          <w:rFonts w:ascii="Times New Roman" w:hAnsi="Times New Roman"/>
          <w:szCs w:val="24"/>
        </w:rPr>
        <w:t>;</w:t>
      </w:r>
    </w:p>
    <w:p w:rsidR="008E5336" w:rsidRPr="008E5336" w:rsidRDefault="008E5336" w:rsidP="008E5336">
      <w:pPr>
        <w:pStyle w:val="a"/>
        <w:widowControl/>
        <w:numPr>
          <w:ilvl w:val="0"/>
          <w:numId w:val="11"/>
        </w:numPr>
        <w:tabs>
          <w:tab w:val="left" w:pos="360"/>
          <w:tab w:val="left" w:pos="720"/>
        </w:tabs>
        <w:ind w:left="360"/>
        <w:rPr>
          <w:rFonts w:ascii="Times New Roman" w:hAnsi="Times New Roman"/>
          <w:szCs w:val="24"/>
        </w:rPr>
      </w:pPr>
      <w:r w:rsidRPr="008E5336">
        <w:rPr>
          <w:rFonts w:ascii="Times New Roman" w:hAnsi="Times New Roman"/>
          <w:szCs w:val="24"/>
        </w:rPr>
        <w:t>FR 2086a: Sectio</w:t>
      </w:r>
      <w:r w:rsidR="00E72C4F">
        <w:rPr>
          <w:rFonts w:ascii="Times New Roman" w:hAnsi="Times New Roman"/>
          <w:szCs w:val="24"/>
        </w:rPr>
        <w:t>n 9 of the Federal Reserve Act (</w:t>
      </w:r>
      <w:r w:rsidRPr="008E5336">
        <w:rPr>
          <w:rFonts w:ascii="Times New Roman" w:hAnsi="Times New Roman"/>
          <w:szCs w:val="24"/>
        </w:rPr>
        <w:t>12 U.S.C. § 321</w:t>
      </w:r>
      <w:r w:rsidR="00E72C4F">
        <w:rPr>
          <w:rFonts w:ascii="Times New Roman" w:hAnsi="Times New Roman"/>
          <w:szCs w:val="24"/>
        </w:rPr>
        <w:t>)</w:t>
      </w:r>
      <w:r w:rsidRPr="008E5336">
        <w:rPr>
          <w:rFonts w:ascii="Times New Roman" w:hAnsi="Times New Roman"/>
          <w:szCs w:val="24"/>
        </w:rPr>
        <w:t>, Sectio</w:t>
      </w:r>
      <w:r w:rsidR="00E72C4F">
        <w:rPr>
          <w:rFonts w:ascii="Times New Roman" w:hAnsi="Times New Roman"/>
          <w:szCs w:val="24"/>
        </w:rPr>
        <w:t>n 5 of the Federal Reserve Act (</w:t>
      </w:r>
      <w:r w:rsidRPr="008E5336">
        <w:rPr>
          <w:rFonts w:ascii="Times New Roman" w:hAnsi="Times New Roman"/>
          <w:szCs w:val="24"/>
        </w:rPr>
        <w:t>12 U.S.C. § 287</w:t>
      </w:r>
      <w:r w:rsidR="00E72C4F">
        <w:rPr>
          <w:rFonts w:ascii="Times New Roman" w:hAnsi="Times New Roman"/>
          <w:szCs w:val="24"/>
        </w:rPr>
        <w:t>)</w:t>
      </w:r>
      <w:r w:rsidRPr="008E5336">
        <w:rPr>
          <w:rFonts w:ascii="Times New Roman" w:hAnsi="Times New Roman"/>
          <w:szCs w:val="24"/>
        </w:rPr>
        <w:t>, and Section 11</w:t>
      </w:r>
      <w:r w:rsidR="00E72C4F">
        <w:rPr>
          <w:rFonts w:ascii="Times New Roman" w:hAnsi="Times New Roman"/>
          <w:szCs w:val="24"/>
        </w:rPr>
        <w:t>(a) of the Federal Reserve Act (</w:t>
      </w:r>
      <w:r w:rsidRPr="008E5336">
        <w:rPr>
          <w:rFonts w:ascii="Times New Roman" w:hAnsi="Times New Roman"/>
          <w:szCs w:val="24"/>
        </w:rPr>
        <w:t>12 U.S.C. § 248(a)</w:t>
      </w:r>
      <w:r w:rsidR="00E72C4F">
        <w:rPr>
          <w:rFonts w:ascii="Times New Roman" w:hAnsi="Times New Roman"/>
          <w:szCs w:val="24"/>
        </w:rPr>
        <w:t>)</w:t>
      </w:r>
      <w:r w:rsidRPr="008E5336">
        <w:rPr>
          <w:rFonts w:ascii="Times New Roman" w:hAnsi="Times New Roman"/>
          <w:szCs w:val="24"/>
        </w:rPr>
        <w:t>; and</w:t>
      </w:r>
    </w:p>
    <w:p w:rsidR="008E5336" w:rsidRPr="008E5336" w:rsidRDefault="008E5336" w:rsidP="008E5336">
      <w:pPr>
        <w:widowControl/>
        <w:numPr>
          <w:ilvl w:val="0"/>
          <w:numId w:val="11"/>
        </w:numPr>
        <w:tabs>
          <w:tab w:val="left" w:pos="360"/>
          <w:tab w:val="left" w:pos="720"/>
        </w:tabs>
        <w:ind w:left="360"/>
        <w:rPr>
          <w:rFonts w:ascii="Times New Roman" w:hAnsi="Times New Roman"/>
          <w:szCs w:val="24"/>
        </w:rPr>
      </w:pPr>
      <w:r w:rsidRPr="008E5336">
        <w:rPr>
          <w:rFonts w:ascii="Times New Roman" w:hAnsi="Times New Roman"/>
          <w:szCs w:val="24"/>
        </w:rPr>
        <w:t xml:space="preserve">FR 2087: Section 6 of the Federal Reserve Act </w:t>
      </w:r>
      <w:r w:rsidR="00E72C4F">
        <w:rPr>
          <w:rFonts w:ascii="Times New Roman" w:hAnsi="Times New Roman"/>
          <w:szCs w:val="24"/>
        </w:rPr>
        <w:t>(</w:t>
      </w:r>
      <w:r w:rsidRPr="008E5336">
        <w:rPr>
          <w:rFonts w:ascii="Times New Roman" w:hAnsi="Times New Roman"/>
          <w:szCs w:val="24"/>
        </w:rPr>
        <w:t>12 U.S.C. § 288</w:t>
      </w:r>
      <w:r w:rsidR="00E72C4F">
        <w:rPr>
          <w:rFonts w:ascii="Times New Roman" w:hAnsi="Times New Roman"/>
          <w:szCs w:val="24"/>
        </w:rPr>
        <w:t>)</w:t>
      </w:r>
      <w:r w:rsidRPr="008E5336">
        <w:rPr>
          <w:rFonts w:ascii="Times New Roman" w:hAnsi="Times New Roman"/>
          <w:szCs w:val="24"/>
        </w:rPr>
        <w:t xml:space="preserve"> and Sections 11(a) and </w:t>
      </w:r>
      <w:r w:rsidR="00E72C4F">
        <w:rPr>
          <w:rFonts w:ascii="Times New Roman" w:hAnsi="Times New Roman"/>
          <w:szCs w:val="24"/>
        </w:rPr>
        <w:t>(</w:t>
      </w:r>
      <w:proofErr w:type="spellStart"/>
      <w:r w:rsidR="00E72C4F">
        <w:rPr>
          <w:rFonts w:ascii="Times New Roman" w:hAnsi="Times New Roman"/>
          <w:szCs w:val="24"/>
        </w:rPr>
        <w:t>i</w:t>
      </w:r>
      <w:proofErr w:type="spellEnd"/>
      <w:r w:rsidR="00E72C4F">
        <w:rPr>
          <w:rFonts w:ascii="Times New Roman" w:hAnsi="Times New Roman"/>
          <w:szCs w:val="24"/>
        </w:rPr>
        <w:t>) of the Federal Reserve Act (</w:t>
      </w:r>
      <w:r w:rsidRPr="008E5336">
        <w:rPr>
          <w:rFonts w:ascii="Times New Roman" w:hAnsi="Times New Roman"/>
          <w:szCs w:val="24"/>
        </w:rPr>
        <w:t>12 U.S.C. § 248 (a) and (</w:t>
      </w:r>
      <w:proofErr w:type="spellStart"/>
      <w:r w:rsidRPr="008E5336">
        <w:rPr>
          <w:rFonts w:ascii="Times New Roman" w:hAnsi="Times New Roman"/>
          <w:szCs w:val="24"/>
        </w:rPr>
        <w:t>i</w:t>
      </w:r>
      <w:proofErr w:type="spellEnd"/>
      <w:r w:rsidRPr="008E5336">
        <w:rPr>
          <w:rFonts w:ascii="Times New Roman" w:hAnsi="Times New Roman"/>
          <w:szCs w:val="24"/>
        </w:rPr>
        <w:t>)</w:t>
      </w:r>
      <w:r w:rsidR="00E72C4F">
        <w:rPr>
          <w:rFonts w:ascii="Times New Roman" w:hAnsi="Times New Roman"/>
          <w:szCs w:val="24"/>
        </w:rPr>
        <w:t>)</w:t>
      </w:r>
      <w:r w:rsidRPr="008E5336">
        <w:rPr>
          <w:rFonts w:ascii="Times New Roman" w:hAnsi="Times New Roman"/>
          <w:szCs w:val="24"/>
        </w:rPr>
        <w:t>.</w:t>
      </w:r>
    </w:p>
    <w:p w:rsidR="008E5336" w:rsidRPr="008E5336" w:rsidRDefault="008E5336" w:rsidP="008E5336">
      <w:pPr>
        <w:tabs>
          <w:tab w:val="left" w:pos="360"/>
          <w:tab w:val="left" w:pos="720"/>
        </w:tabs>
        <w:ind w:left="360"/>
        <w:rPr>
          <w:rFonts w:ascii="Times New Roman" w:hAnsi="Times New Roman"/>
          <w:szCs w:val="24"/>
        </w:rPr>
      </w:pPr>
    </w:p>
    <w:p w:rsidR="008E5336" w:rsidRPr="008E5336" w:rsidRDefault="008E5336" w:rsidP="008E5336">
      <w:pPr>
        <w:tabs>
          <w:tab w:val="left" w:pos="720"/>
          <w:tab w:val="left" w:pos="1440"/>
        </w:tabs>
        <w:rPr>
          <w:rFonts w:ascii="Times New Roman" w:hAnsi="Times New Roman"/>
          <w:szCs w:val="24"/>
        </w:rPr>
      </w:pPr>
      <w:r w:rsidRPr="008E5336">
        <w:rPr>
          <w:rFonts w:ascii="Times New Roman" w:hAnsi="Times New Roman"/>
          <w:szCs w:val="24"/>
        </w:rPr>
        <w:tab/>
        <w:t>Most of this information is not considered confidential.  Applicants may, however, request that parts of their membership applications be kept confidential, but in such cases the Applicant must justify its request by demonstrating how an exemption under the F</w:t>
      </w:r>
      <w:r w:rsidR="00720CC0">
        <w:rPr>
          <w:rFonts w:ascii="Times New Roman" w:hAnsi="Times New Roman"/>
          <w:szCs w:val="24"/>
        </w:rPr>
        <w:t xml:space="preserve">reedom of </w:t>
      </w:r>
      <w:r w:rsidRPr="008E5336">
        <w:rPr>
          <w:rFonts w:ascii="Times New Roman" w:hAnsi="Times New Roman"/>
          <w:szCs w:val="24"/>
        </w:rPr>
        <w:t>I</w:t>
      </w:r>
      <w:r w:rsidR="00720CC0">
        <w:rPr>
          <w:rFonts w:ascii="Times New Roman" w:hAnsi="Times New Roman"/>
          <w:szCs w:val="24"/>
        </w:rPr>
        <w:t xml:space="preserve">nformation </w:t>
      </w:r>
      <w:r w:rsidRPr="008E5336">
        <w:rPr>
          <w:rFonts w:ascii="Times New Roman" w:hAnsi="Times New Roman"/>
          <w:szCs w:val="24"/>
        </w:rPr>
        <w:t>A</w:t>
      </w:r>
      <w:r w:rsidR="00720CC0">
        <w:rPr>
          <w:rFonts w:ascii="Times New Roman" w:hAnsi="Times New Roman"/>
          <w:szCs w:val="24"/>
        </w:rPr>
        <w:t>ct</w:t>
      </w:r>
      <w:r w:rsidRPr="008E5336">
        <w:rPr>
          <w:rFonts w:ascii="Times New Roman" w:hAnsi="Times New Roman"/>
          <w:szCs w:val="24"/>
        </w:rPr>
        <w:t xml:space="preserve"> is satisfied.  The confidentiality status of the information submitted will be judged on a case-by-case basis.  </w:t>
      </w:r>
    </w:p>
    <w:p w:rsidR="008E5336" w:rsidRPr="008E5336" w:rsidRDefault="008E5336" w:rsidP="008E5336">
      <w:pPr>
        <w:tabs>
          <w:tab w:val="left" w:pos="360"/>
          <w:tab w:val="left" w:pos="720"/>
        </w:tabs>
        <w:rPr>
          <w:rFonts w:ascii="Times New Roman" w:hAnsi="Times New Roman"/>
          <w:b/>
          <w:szCs w:val="24"/>
        </w:rPr>
      </w:pPr>
    </w:p>
    <w:p w:rsidR="008E5336" w:rsidRPr="008E5336" w:rsidRDefault="008E5336" w:rsidP="008E5336">
      <w:pPr>
        <w:tabs>
          <w:tab w:val="left" w:pos="360"/>
          <w:tab w:val="left" w:pos="720"/>
        </w:tabs>
        <w:rPr>
          <w:rFonts w:ascii="Times New Roman" w:hAnsi="Times New Roman"/>
          <w:szCs w:val="24"/>
        </w:rPr>
      </w:pPr>
      <w:r w:rsidRPr="008E5336">
        <w:rPr>
          <w:rFonts w:ascii="Times New Roman" w:hAnsi="Times New Roman"/>
          <w:b/>
          <w:szCs w:val="24"/>
        </w:rPr>
        <w:t xml:space="preserve">Consultation </w:t>
      </w:r>
      <w:proofErr w:type="gramStart"/>
      <w:r w:rsidRPr="008E5336">
        <w:rPr>
          <w:rFonts w:ascii="Times New Roman" w:hAnsi="Times New Roman"/>
          <w:b/>
          <w:szCs w:val="24"/>
        </w:rPr>
        <w:t>Outside</w:t>
      </w:r>
      <w:proofErr w:type="gramEnd"/>
      <w:r w:rsidRPr="008E5336">
        <w:rPr>
          <w:rFonts w:ascii="Times New Roman" w:hAnsi="Times New Roman"/>
          <w:b/>
          <w:szCs w:val="24"/>
        </w:rPr>
        <w:t xml:space="preserve"> the Agency</w:t>
      </w:r>
    </w:p>
    <w:p w:rsidR="008E5336" w:rsidRPr="008E5336" w:rsidRDefault="008E5336" w:rsidP="008E5336">
      <w:pPr>
        <w:tabs>
          <w:tab w:val="left" w:pos="360"/>
          <w:tab w:val="left" w:pos="720"/>
        </w:tabs>
        <w:rPr>
          <w:rFonts w:ascii="Times New Roman" w:hAnsi="Times New Roman"/>
          <w:szCs w:val="24"/>
        </w:rPr>
      </w:pPr>
    </w:p>
    <w:p w:rsidR="008E5336" w:rsidRPr="00104E0D" w:rsidRDefault="00BF0D62" w:rsidP="00104E0D">
      <w:pPr>
        <w:widowControl/>
        <w:tabs>
          <w:tab w:val="left" w:pos="360"/>
          <w:tab w:val="left" w:pos="720"/>
        </w:tabs>
        <w:ind w:firstLine="720"/>
        <w:rPr>
          <w:rFonts w:ascii="Times New Roman" w:hAnsi="Times New Roman"/>
          <w:b/>
          <w:szCs w:val="24"/>
        </w:rPr>
      </w:pPr>
      <w:r w:rsidRPr="00104E0D">
        <w:rPr>
          <w:rFonts w:ascii="Times New Roman" w:hAnsi="Times New Roman"/>
        </w:rPr>
        <w:t xml:space="preserve">On </w:t>
      </w:r>
      <w:r w:rsidR="0095316C" w:rsidRPr="00104E0D">
        <w:rPr>
          <w:rFonts w:ascii="Times New Roman" w:hAnsi="Times New Roman"/>
        </w:rPr>
        <w:t>May 10</w:t>
      </w:r>
      <w:r w:rsidRPr="00104E0D">
        <w:rPr>
          <w:rFonts w:ascii="Times New Roman" w:hAnsi="Times New Roman"/>
        </w:rPr>
        <w:t xml:space="preserve">, 2011, the Federal Reserve published a notice in the </w:t>
      </w:r>
      <w:r w:rsidRPr="00104E0D">
        <w:rPr>
          <w:rFonts w:ascii="Times New Roman" w:hAnsi="Times New Roman"/>
          <w:i/>
        </w:rPr>
        <w:t>Federal Register</w:t>
      </w:r>
      <w:r w:rsidRPr="00104E0D">
        <w:rPr>
          <w:rFonts w:ascii="Times New Roman" w:hAnsi="Times New Roman"/>
        </w:rPr>
        <w:t xml:space="preserve"> (76 FR </w:t>
      </w:r>
      <w:r w:rsidR="0095316C" w:rsidRPr="00104E0D">
        <w:rPr>
          <w:rFonts w:ascii="Times New Roman" w:hAnsi="Times New Roman"/>
        </w:rPr>
        <w:t>27054</w:t>
      </w:r>
      <w:r w:rsidRPr="00104E0D">
        <w:rPr>
          <w:rFonts w:ascii="Times New Roman" w:hAnsi="Times New Roman"/>
        </w:rPr>
        <w:t xml:space="preserve">) requesting public comment for 60 days on the extension, without revision, of the </w:t>
      </w:r>
      <w:r w:rsidRPr="00104E0D">
        <w:rPr>
          <w:rFonts w:ascii="Times New Roman" w:hAnsi="Times New Roman"/>
          <w:szCs w:val="24"/>
        </w:rPr>
        <w:t>applications</w:t>
      </w:r>
      <w:r w:rsidRPr="00104E0D">
        <w:rPr>
          <w:rFonts w:ascii="Times New Roman" w:hAnsi="Times New Roman"/>
        </w:rPr>
        <w:t xml:space="preserve">.  The comment period for this notice expires on </w:t>
      </w:r>
      <w:r w:rsidR="0095316C" w:rsidRPr="00104E0D">
        <w:rPr>
          <w:rFonts w:ascii="Times New Roman" w:hAnsi="Times New Roman"/>
        </w:rPr>
        <w:t>July 11</w:t>
      </w:r>
      <w:r w:rsidRPr="00104E0D">
        <w:rPr>
          <w:rFonts w:ascii="Times New Roman" w:hAnsi="Times New Roman"/>
        </w:rPr>
        <w:t xml:space="preserve">, 2011.  </w:t>
      </w:r>
      <w:r w:rsidR="00104E0D" w:rsidRPr="00104E0D">
        <w:rPr>
          <w:rFonts w:ascii="Times New Roman" w:hAnsi="Times New Roman"/>
        </w:rPr>
        <w:t xml:space="preserve">The Federal Reserve </w:t>
      </w:r>
      <w:r w:rsidR="00104E0D" w:rsidRPr="00104E0D">
        <w:rPr>
          <w:rFonts w:ascii="Times New Roman" w:hAnsi="Times New Roman"/>
        </w:rPr>
        <w:lastRenderedPageBreak/>
        <w:t xml:space="preserve">did not receive any comments.  On </w:t>
      </w:r>
      <w:r w:rsidR="00E93E69">
        <w:rPr>
          <w:rFonts w:ascii="Times New Roman" w:hAnsi="Times New Roman"/>
        </w:rPr>
        <w:t>August 3</w:t>
      </w:r>
      <w:r w:rsidR="00104E0D" w:rsidRPr="00104E0D">
        <w:rPr>
          <w:rFonts w:ascii="Times New Roman" w:hAnsi="Times New Roman"/>
        </w:rPr>
        <w:t xml:space="preserve">, 2011, the Federal Reserve published a final notice in the </w:t>
      </w:r>
      <w:r w:rsidR="00104E0D" w:rsidRPr="00104E0D">
        <w:rPr>
          <w:rFonts w:ascii="Times New Roman" w:hAnsi="Times New Roman"/>
          <w:i/>
        </w:rPr>
        <w:t>Federal Register</w:t>
      </w:r>
      <w:r w:rsidR="00104E0D" w:rsidRPr="00104E0D">
        <w:rPr>
          <w:rFonts w:ascii="Times New Roman" w:hAnsi="Times New Roman"/>
        </w:rPr>
        <w:t xml:space="preserve"> (76 FR </w:t>
      </w:r>
      <w:r w:rsidR="00E93E69">
        <w:rPr>
          <w:rFonts w:ascii="Times New Roman" w:hAnsi="Times New Roman"/>
        </w:rPr>
        <w:t>46807</w:t>
      </w:r>
      <w:r w:rsidR="00104E0D" w:rsidRPr="00104E0D">
        <w:rPr>
          <w:rFonts w:ascii="Times New Roman" w:hAnsi="Times New Roman"/>
        </w:rPr>
        <w:t>).</w:t>
      </w:r>
    </w:p>
    <w:p w:rsidR="0095316C" w:rsidRDefault="0095316C" w:rsidP="008E5336">
      <w:pPr>
        <w:tabs>
          <w:tab w:val="left" w:pos="360"/>
          <w:tab w:val="left" w:pos="720"/>
        </w:tabs>
        <w:rPr>
          <w:rFonts w:ascii="Times New Roman" w:hAnsi="Times New Roman"/>
          <w:b/>
          <w:szCs w:val="24"/>
        </w:rPr>
      </w:pPr>
    </w:p>
    <w:p w:rsidR="008E5336" w:rsidRPr="008E5336" w:rsidRDefault="008E5336" w:rsidP="008E5336">
      <w:pPr>
        <w:tabs>
          <w:tab w:val="left" w:pos="360"/>
          <w:tab w:val="left" w:pos="720"/>
        </w:tabs>
        <w:rPr>
          <w:rFonts w:ascii="Times New Roman" w:hAnsi="Times New Roman"/>
          <w:szCs w:val="24"/>
        </w:rPr>
      </w:pPr>
      <w:r w:rsidRPr="008E5336">
        <w:rPr>
          <w:rFonts w:ascii="Times New Roman" w:hAnsi="Times New Roman"/>
          <w:b/>
          <w:szCs w:val="24"/>
        </w:rPr>
        <w:t>Estimate of Respondent Burden</w:t>
      </w:r>
    </w:p>
    <w:p w:rsidR="008E5336" w:rsidRPr="008E5336" w:rsidRDefault="008E5336" w:rsidP="008E5336">
      <w:pPr>
        <w:tabs>
          <w:tab w:val="left" w:pos="360"/>
          <w:tab w:val="left" w:pos="720"/>
        </w:tabs>
        <w:rPr>
          <w:rFonts w:ascii="Times New Roman" w:hAnsi="Times New Roman"/>
          <w:szCs w:val="24"/>
        </w:rPr>
      </w:pPr>
    </w:p>
    <w:p w:rsidR="008E5336" w:rsidRPr="008E5336" w:rsidRDefault="008E5336" w:rsidP="008E5336">
      <w:pPr>
        <w:tabs>
          <w:tab w:val="left" w:pos="720"/>
          <w:tab w:val="left" w:pos="1440"/>
        </w:tabs>
        <w:rPr>
          <w:rFonts w:ascii="Times New Roman" w:hAnsi="Times New Roman"/>
          <w:szCs w:val="24"/>
        </w:rPr>
      </w:pPr>
      <w:r w:rsidRPr="008E5336">
        <w:rPr>
          <w:rFonts w:ascii="Times New Roman" w:hAnsi="Times New Roman"/>
          <w:szCs w:val="24"/>
        </w:rPr>
        <w:tab/>
        <w:t xml:space="preserve">As shown in the following table, the annual reporting burden for the membership application is estimated to be 168 hours.  The annual reporting burden for the bank stock applications is estimated to be </w:t>
      </w:r>
      <w:r w:rsidRPr="008E5336">
        <w:rPr>
          <w:rFonts w:ascii="Times New Roman" w:hAnsi="Times New Roman"/>
          <w:bCs/>
          <w:szCs w:val="24"/>
        </w:rPr>
        <w:t>556</w:t>
      </w:r>
      <w:r w:rsidRPr="008E5336">
        <w:rPr>
          <w:rFonts w:ascii="Times New Roman" w:hAnsi="Times New Roman"/>
          <w:b/>
          <w:szCs w:val="24"/>
        </w:rPr>
        <w:t xml:space="preserve"> </w:t>
      </w:r>
      <w:r w:rsidRPr="008E5336">
        <w:rPr>
          <w:rFonts w:ascii="Times New Roman" w:hAnsi="Times New Roman"/>
          <w:szCs w:val="24"/>
        </w:rPr>
        <w:t xml:space="preserve">hours.  The reporting requirements for the membership and stock applications represents less than 1 percent of the total Federal Reserve System </w:t>
      </w:r>
      <w:r w:rsidR="00720CC0">
        <w:rPr>
          <w:rFonts w:ascii="Times New Roman" w:hAnsi="Times New Roman"/>
          <w:szCs w:val="24"/>
        </w:rPr>
        <w:t>paperwork</w:t>
      </w:r>
      <w:r w:rsidRPr="008E5336">
        <w:rPr>
          <w:rFonts w:ascii="Times New Roman" w:hAnsi="Times New Roman"/>
          <w:szCs w:val="24"/>
        </w:rPr>
        <w:t xml:space="preserve"> burden.</w:t>
      </w:r>
    </w:p>
    <w:p w:rsidR="008E5336" w:rsidRPr="008E5336" w:rsidRDefault="008E5336" w:rsidP="008E5336">
      <w:pPr>
        <w:tabs>
          <w:tab w:val="left" w:pos="720"/>
          <w:tab w:val="left" w:pos="1440"/>
        </w:tabs>
        <w:rPr>
          <w:rFonts w:ascii="Times New Roman" w:hAnsi="Times New Roman"/>
          <w:szCs w:val="24"/>
        </w:rPr>
      </w:pPr>
    </w:p>
    <w:tbl>
      <w:tblPr>
        <w:tblW w:w="0" w:type="auto"/>
        <w:jc w:val="center"/>
        <w:tblBorders>
          <w:top w:val="single" w:sz="4" w:space="0" w:color="auto"/>
          <w:bottom w:val="single" w:sz="4" w:space="0" w:color="auto"/>
        </w:tblBorders>
        <w:tblLayout w:type="fixed"/>
        <w:tblLook w:val="01E0"/>
      </w:tblPr>
      <w:tblGrid>
        <w:gridCol w:w="3240"/>
        <w:gridCol w:w="1440"/>
        <w:gridCol w:w="1440"/>
        <w:gridCol w:w="1627"/>
        <w:gridCol w:w="1627"/>
      </w:tblGrid>
      <w:tr w:rsidR="008E5336" w:rsidRPr="008E5336" w:rsidTr="008E5336">
        <w:trPr>
          <w:jc w:val="center"/>
        </w:trPr>
        <w:tc>
          <w:tcPr>
            <w:tcW w:w="3240" w:type="dxa"/>
          </w:tcPr>
          <w:p w:rsidR="008E5336" w:rsidRPr="008E5336" w:rsidRDefault="008E5336" w:rsidP="008E5336">
            <w:pPr>
              <w:tabs>
                <w:tab w:val="left" w:pos="720"/>
                <w:tab w:val="left" w:pos="1440"/>
              </w:tabs>
              <w:rPr>
                <w:rFonts w:ascii="Times New Roman" w:hAnsi="Times New Roman"/>
                <w:szCs w:val="24"/>
              </w:rPr>
            </w:pPr>
          </w:p>
        </w:tc>
        <w:tc>
          <w:tcPr>
            <w:tcW w:w="1440" w:type="dxa"/>
            <w:vAlign w:val="center"/>
          </w:tcPr>
          <w:p w:rsidR="008E5336" w:rsidRPr="008E5336" w:rsidRDefault="008E5336" w:rsidP="008E5336">
            <w:pPr>
              <w:spacing w:line="120" w:lineRule="exact"/>
              <w:jc w:val="center"/>
              <w:rPr>
                <w:rFonts w:ascii="Times New Roman" w:hAnsi="Times New Roman"/>
                <w:szCs w:val="24"/>
              </w:rPr>
            </w:pPr>
          </w:p>
          <w:p w:rsidR="008E5336" w:rsidRPr="008E5336" w:rsidRDefault="008E5336" w:rsidP="008E5336">
            <w:pPr>
              <w:tabs>
                <w:tab w:val="left" w:pos="360"/>
                <w:tab w:val="left" w:pos="720"/>
              </w:tabs>
              <w:jc w:val="center"/>
              <w:rPr>
                <w:rFonts w:ascii="Times New Roman" w:hAnsi="Times New Roman"/>
                <w:i/>
                <w:szCs w:val="24"/>
              </w:rPr>
            </w:pPr>
            <w:r w:rsidRPr="008E5336">
              <w:rPr>
                <w:rFonts w:ascii="Times New Roman" w:hAnsi="Times New Roman"/>
                <w:i/>
                <w:szCs w:val="24"/>
              </w:rPr>
              <w:t>Number</w:t>
            </w:r>
          </w:p>
          <w:p w:rsidR="008E5336" w:rsidRPr="008E5336" w:rsidRDefault="008E5336" w:rsidP="008E5336">
            <w:pPr>
              <w:tabs>
                <w:tab w:val="left" w:pos="360"/>
                <w:tab w:val="left" w:pos="720"/>
              </w:tabs>
              <w:jc w:val="center"/>
              <w:rPr>
                <w:rFonts w:ascii="Times New Roman" w:hAnsi="Times New Roman"/>
                <w:i/>
                <w:szCs w:val="24"/>
              </w:rPr>
            </w:pPr>
            <w:r w:rsidRPr="008E5336">
              <w:rPr>
                <w:rFonts w:ascii="Times New Roman" w:hAnsi="Times New Roman"/>
                <w:i/>
                <w:szCs w:val="24"/>
              </w:rPr>
              <w:t>of</w:t>
            </w:r>
          </w:p>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i/>
                <w:szCs w:val="24"/>
              </w:rPr>
              <w:t>respondents</w:t>
            </w:r>
          </w:p>
        </w:tc>
        <w:tc>
          <w:tcPr>
            <w:tcW w:w="1440" w:type="dxa"/>
            <w:vAlign w:val="center"/>
          </w:tcPr>
          <w:p w:rsidR="008E5336" w:rsidRPr="008E5336" w:rsidRDefault="008E5336" w:rsidP="008E5336">
            <w:pPr>
              <w:spacing w:line="120" w:lineRule="exact"/>
              <w:jc w:val="center"/>
              <w:rPr>
                <w:rFonts w:ascii="Times New Roman" w:hAnsi="Times New Roman"/>
                <w:szCs w:val="24"/>
              </w:rPr>
            </w:pPr>
          </w:p>
          <w:p w:rsidR="008E5336" w:rsidRPr="008E5336" w:rsidRDefault="008E5336" w:rsidP="008E5336">
            <w:pPr>
              <w:tabs>
                <w:tab w:val="left" w:pos="360"/>
                <w:tab w:val="left" w:pos="720"/>
              </w:tabs>
              <w:jc w:val="center"/>
              <w:rPr>
                <w:rFonts w:ascii="Times New Roman" w:hAnsi="Times New Roman"/>
                <w:i/>
                <w:szCs w:val="24"/>
              </w:rPr>
            </w:pPr>
            <w:r w:rsidRPr="008E5336">
              <w:rPr>
                <w:rFonts w:ascii="Times New Roman" w:hAnsi="Times New Roman"/>
                <w:i/>
                <w:szCs w:val="24"/>
              </w:rPr>
              <w:t>Annual</w:t>
            </w:r>
          </w:p>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i/>
                <w:szCs w:val="24"/>
              </w:rPr>
              <w:t>frequency</w:t>
            </w:r>
          </w:p>
        </w:tc>
        <w:tc>
          <w:tcPr>
            <w:tcW w:w="1627" w:type="dxa"/>
            <w:vAlign w:val="center"/>
          </w:tcPr>
          <w:p w:rsidR="008E5336" w:rsidRPr="008E5336" w:rsidRDefault="008E5336" w:rsidP="008E5336">
            <w:pPr>
              <w:spacing w:line="120" w:lineRule="exact"/>
              <w:jc w:val="center"/>
              <w:rPr>
                <w:rFonts w:ascii="Times New Roman" w:hAnsi="Times New Roman"/>
                <w:szCs w:val="24"/>
              </w:rPr>
            </w:pPr>
          </w:p>
          <w:p w:rsidR="008E5336" w:rsidRPr="008E5336" w:rsidRDefault="008E5336" w:rsidP="008E5336">
            <w:pPr>
              <w:tabs>
                <w:tab w:val="left" w:pos="360"/>
                <w:tab w:val="left" w:pos="720"/>
              </w:tabs>
              <w:jc w:val="center"/>
              <w:rPr>
                <w:rFonts w:ascii="Times New Roman" w:hAnsi="Times New Roman"/>
                <w:i/>
                <w:szCs w:val="24"/>
              </w:rPr>
            </w:pPr>
            <w:r w:rsidRPr="008E5336">
              <w:rPr>
                <w:rFonts w:ascii="Times New Roman" w:hAnsi="Times New Roman"/>
                <w:i/>
                <w:szCs w:val="24"/>
              </w:rPr>
              <w:t>Estimated</w:t>
            </w:r>
          </w:p>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i/>
                <w:szCs w:val="24"/>
              </w:rPr>
              <w:t>average hours per response</w:t>
            </w:r>
          </w:p>
        </w:tc>
        <w:tc>
          <w:tcPr>
            <w:tcW w:w="1627" w:type="dxa"/>
            <w:vAlign w:val="center"/>
          </w:tcPr>
          <w:p w:rsidR="008E5336" w:rsidRPr="008E5336" w:rsidRDefault="008E5336" w:rsidP="008E5336">
            <w:pPr>
              <w:spacing w:line="120" w:lineRule="exact"/>
              <w:jc w:val="center"/>
              <w:rPr>
                <w:rFonts w:ascii="Times New Roman" w:hAnsi="Times New Roman"/>
                <w:szCs w:val="24"/>
              </w:rPr>
            </w:pPr>
          </w:p>
          <w:p w:rsidR="008E5336" w:rsidRPr="008E5336" w:rsidRDefault="008E5336" w:rsidP="008E5336">
            <w:pPr>
              <w:tabs>
                <w:tab w:val="left" w:pos="360"/>
                <w:tab w:val="left" w:pos="720"/>
              </w:tabs>
              <w:jc w:val="center"/>
              <w:rPr>
                <w:rFonts w:ascii="Times New Roman" w:hAnsi="Times New Roman"/>
                <w:i/>
                <w:szCs w:val="24"/>
              </w:rPr>
            </w:pPr>
            <w:r w:rsidRPr="008E5336">
              <w:rPr>
                <w:rFonts w:ascii="Times New Roman" w:hAnsi="Times New Roman"/>
                <w:i/>
                <w:szCs w:val="24"/>
              </w:rPr>
              <w:t>Estimated</w:t>
            </w:r>
          </w:p>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i/>
                <w:szCs w:val="24"/>
              </w:rPr>
              <w:t>annual burden hours</w:t>
            </w:r>
          </w:p>
        </w:tc>
      </w:tr>
      <w:tr w:rsidR="008E5336" w:rsidRPr="008E5336" w:rsidTr="008E5336">
        <w:trPr>
          <w:jc w:val="center"/>
        </w:trPr>
        <w:tc>
          <w:tcPr>
            <w:tcW w:w="3240" w:type="dxa"/>
            <w:vAlign w:val="bottom"/>
          </w:tcPr>
          <w:p w:rsidR="008E5336" w:rsidRPr="008E5336" w:rsidRDefault="008E5336" w:rsidP="008E5336">
            <w:pPr>
              <w:tabs>
                <w:tab w:val="left" w:pos="360"/>
                <w:tab w:val="left" w:pos="720"/>
              </w:tabs>
              <w:rPr>
                <w:rFonts w:ascii="Times New Roman" w:hAnsi="Times New Roman"/>
                <w:szCs w:val="24"/>
              </w:rPr>
            </w:pPr>
            <w:r w:rsidRPr="008E5336">
              <w:rPr>
                <w:rFonts w:ascii="Times New Roman" w:hAnsi="Times New Roman"/>
                <w:i/>
                <w:szCs w:val="24"/>
              </w:rPr>
              <w:t>Membership Applications:</w:t>
            </w:r>
          </w:p>
          <w:p w:rsidR="008E5336" w:rsidRPr="008E5336" w:rsidRDefault="008E5336" w:rsidP="008E5336">
            <w:pPr>
              <w:tabs>
                <w:tab w:val="left" w:pos="360"/>
                <w:tab w:val="left" w:pos="720"/>
              </w:tabs>
              <w:rPr>
                <w:rFonts w:ascii="Times New Roman" w:hAnsi="Times New Roman"/>
                <w:szCs w:val="24"/>
              </w:rPr>
            </w:pPr>
            <w:r w:rsidRPr="008E5336">
              <w:rPr>
                <w:rFonts w:ascii="Times New Roman" w:hAnsi="Times New Roman"/>
                <w:szCs w:val="24"/>
              </w:rPr>
              <w:t>FR 2083, A, B, and C</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42</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1</w:t>
            </w: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4.0</w:t>
            </w: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168</w:t>
            </w:r>
          </w:p>
        </w:tc>
      </w:tr>
      <w:tr w:rsidR="008E5336" w:rsidRPr="008E5336" w:rsidTr="008E5336">
        <w:trPr>
          <w:jc w:val="center"/>
        </w:trPr>
        <w:tc>
          <w:tcPr>
            <w:tcW w:w="3240" w:type="dxa"/>
            <w:vAlign w:val="center"/>
          </w:tcPr>
          <w:p w:rsidR="008E5336" w:rsidRPr="008E5336" w:rsidRDefault="008E5336" w:rsidP="008E5336">
            <w:pPr>
              <w:tabs>
                <w:tab w:val="left" w:pos="360"/>
                <w:tab w:val="left" w:pos="720"/>
              </w:tabs>
              <w:jc w:val="center"/>
              <w:rPr>
                <w:rFonts w:ascii="Times New Roman" w:hAnsi="Times New Roman"/>
                <w:i/>
                <w:szCs w:val="24"/>
              </w:rPr>
            </w:pP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p>
        </w:tc>
      </w:tr>
      <w:tr w:rsidR="008E5336" w:rsidRPr="008E5336" w:rsidTr="008E5336">
        <w:trPr>
          <w:jc w:val="center"/>
        </w:trPr>
        <w:tc>
          <w:tcPr>
            <w:tcW w:w="3240" w:type="dxa"/>
            <w:vAlign w:val="bottom"/>
          </w:tcPr>
          <w:p w:rsidR="008E5336" w:rsidRPr="008E5336" w:rsidRDefault="008E5336" w:rsidP="008E5336">
            <w:pPr>
              <w:tabs>
                <w:tab w:val="left" w:pos="360"/>
                <w:tab w:val="left" w:pos="720"/>
              </w:tabs>
              <w:rPr>
                <w:rFonts w:ascii="Times New Roman" w:hAnsi="Times New Roman"/>
                <w:szCs w:val="24"/>
              </w:rPr>
            </w:pPr>
            <w:r w:rsidRPr="008E5336">
              <w:rPr>
                <w:rFonts w:ascii="Times New Roman" w:hAnsi="Times New Roman"/>
                <w:i/>
                <w:szCs w:val="24"/>
              </w:rPr>
              <w:t>Stock Applications:</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p>
        </w:tc>
      </w:tr>
      <w:tr w:rsidR="008E5336" w:rsidRPr="008E5336" w:rsidTr="008E5336">
        <w:trPr>
          <w:jc w:val="center"/>
        </w:trPr>
        <w:tc>
          <w:tcPr>
            <w:tcW w:w="3240" w:type="dxa"/>
            <w:vAlign w:val="bottom"/>
          </w:tcPr>
          <w:p w:rsidR="008E5336" w:rsidRPr="008E5336" w:rsidRDefault="008E5336" w:rsidP="008E5336">
            <w:pPr>
              <w:tabs>
                <w:tab w:val="left" w:pos="360"/>
                <w:tab w:val="left" w:pos="720"/>
              </w:tabs>
              <w:rPr>
                <w:rFonts w:ascii="Times New Roman" w:hAnsi="Times New Roman"/>
                <w:szCs w:val="24"/>
              </w:rPr>
            </w:pPr>
            <w:r w:rsidRPr="008E5336">
              <w:rPr>
                <w:rFonts w:ascii="Times New Roman" w:hAnsi="Times New Roman"/>
                <w:szCs w:val="24"/>
              </w:rPr>
              <w:t>FR 2030</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20</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1</w:t>
            </w: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0.5</w:t>
            </w: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10</w:t>
            </w:r>
          </w:p>
        </w:tc>
      </w:tr>
      <w:tr w:rsidR="008E5336" w:rsidRPr="008E5336" w:rsidTr="008E5336">
        <w:trPr>
          <w:jc w:val="center"/>
        </w:trPr>
        <w:tc>
          <w:tcPr>
            <w:tcW w:w="3240" w:type="dxa"/>
            <w:vAlign w:val="bottom"/>
          </w:tcPr>
          <w:p w:rsidR="008E5336" w:rsidRPr="008E5336" w:rsidRDefault="008E5336" w:rsidP="008E5336">
            <w:pPr>
              <w:tabs>
                <w:tab w:val="left" w:pos="360"/>
                <w:tab w:val="left" w:pos="720"/>
              </w:tabs>
              <w:rPr>
                <w:rFonts w:ascii="Times New Roman" w:hAnsi="Times New Roman"/>
                <w:szCs w:val="24"/>
              </w:rPr>
            </w:pPr>
            <w:r w:rsidRPr="008E5336">
              <w:rPr>
                <w:rFonts w:ascii="Times New Roman" w:hAnsi="Times New Roman"/>
                <w:szCs w:val="24"/>
              </w:rPr>
              <w:t>FR 2030a</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31</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1</w:t>
            </w: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0.5</w:t>
            </w: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16</w:t>
            </w:r>
          </w:p>
        </w:tc>
      </w:tr>
      <w:tr w:rsidR="008E5336" w:rsidRPr="008E5336" w:rsidTr="008E5336">
        <w:trPr>
          <w:jc w:val="center"/>
        </w:trPr>
        <w:tc>
          <w:tcPr>
            <w:tcW w:w="3240" w:type="dxa"/>
            <w:vAlign w:val="bottom"/>
          </w:tcPr>
          <w:p w:rsidR="008E5336" w:rsidRPr="008E5336" w:rsidRDefault="008E5336" w:rsidP="008E5336">
            <w:pPr>
              <w:tabs>
                <w:tab w:val="left" w:pos="360"/>
                <w:tab w:val="left" w:pos="720"/>
              </w:tabs>
              <w:rPr>
                <w:rFonts w:ascii="Times New Roman" w:hAnsi="Times New Roman"/>
                <w:szCs w:val="24"/>
              </w:rPr>
            </w:pPr>
            <w:r w:rsidRPr="008E5336">
              <w:rPr>
                <w:rFonts w:ascii="Times New Roman" w:hAnsi="Times New Roman"/>
                <w:szCs w:val="24"/>
              </w:rPr>
              <w:t>FR 2056</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1,034</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1</w:t>
            </w: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0.5</w:t>
            </w: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517</w:t>
            </w:r>
          </w:p>
        </w:tc>
      </w:tr>
      <w:tr w:rsidR="008E5336" w:rsidRPr="008E5336" w:rsidTr="008E5336">
        <w:trPr>
          <w:jc w:val="center"/>
        </w:trPr>
        <w:tc>
          <w:tcPr>
            <w:tcW w:w="3240" w:type="dxa"/>
            <w:vAlign w:val="bottom"/>
          </w:tcPr>
          <w:p w:rsidR="008E5336" w:rsidRPr="008E5336" w:rsidRDefault="008E5336" w:rsidP="008E5336">
            <w:pPr>
              <w:tabs>
                <w:tab w:val="left" w:pos="360"/>
                <w:tab w:val="left" w:pos="720"/>
              </w:tabs>
              <w:rPr>
                <w:rFonts w:ascii="Times New Roman" w:hAnsi="Times New Roman"/>
                <w:szCs w:val="24"/>
              </w:rPr>
            </w:pPr>
            <w:r w:rsidRPr="008E5336">
              <w:rPr>
                <w:rFonts w:ascii="Times New Roman" w:hAnsi="Times New Roman"/>
                <w:szCs w:val="24"/>
              </w:rPr>
              <w:t>FR 2086</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1</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1</w:t>
            </w: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0.5</w:t>
            </w: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1</w:t>
            </w:r>
          </w:p>
        </w:tc>
      </w:tr>
      <w:tr w:rsidR="008E5336" w:rsidRPr="008E5336" w:rsidTr="008E5336">
        <w:trPr>
          <w:jc w:val="center"/>
        </w:trPr>
        <w:tc>
          <w:tcPr>
            <w:tcW w:w="3240" w:type="dxa"/>
            <w:vAlign w:val="bottom"/>
          </w:tcPr>
          <w:p w:rsidR="008E5336" w:rsidRPr="008E5336" w:rsidRDefault="008E5336" w:rsidP="008E5336">
            <w:pPr>
              <w:tabs>
                <w:tab w:val="left" w:pos="360"/>
                <w:tab w:val="left" w:pos="720"/>
              </w:tabs>
              <w:rPr>
                <w:rFonts w:ascii="Times New Roman" w:hAnsi="Times New Roman"/>
                <w:szCs w:val="24"/>
              </w:rPr>
            </w:pPr>
            <w:r w:rsidRPr="008E5336">
              <w:rPr>
                <w:rFonts w:ascii="Times New Roman" w:hAnsi="Times New Roman"/>
                <w:szCs w:val="24"/>
              </w:rPr>
              <w:t>FR 2086a</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22</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1</w:t>
            </w: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0.5</w:t>
            </w: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11</w:t>
            </w:r>
          </w:p>
        </w:tc>
      </w:tr>
      <w:tr w:rsidR="008E5336" w:rsidRPr="008E5336" w:rsidTr="008E5336">
        <w:trPr>
          <w:jc w:val="center"/>
        </w:trPr>
        <w:tc>
          <w:tcPr>
            <w:tcW w:w="3240" w:type="dxa"/>
            <w:vAlign w:val="bottom"/>
          </w:tcPr>
          <w:p w:rsidR="008E5336" w:rsidRPr="008E5336" w:rsidRDefault="008E5336" w:rsidP="008E5336">
            <w:pPr>
              <w:tabs>
                <w:tab w:val="left" w:pos="360"/>
                <w:tab w:val="left" w:pos="720"/>
              </w:tabs>
              <w:rPr>
                <w:rFonts w:ascii="Times New Roman" w:hAnsi="Times New Roman"/>
                <w:szCs w:val="24"/>
              </w:rPr>
            </w:pPr>
            <w:r w:rsidRPr="008E5336">
              <w:rPr>
                <w:rFonts w:ascii="Times New Roman" w:hAnsi="Times New Roman"/>
                <w:szCs w:val="24"/>
              </w:rPr>
              <w:t>FR 2087</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2</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1</w:t>
            </w: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0.5</w:t>
            </w: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u w:val="single"/>
              </w:rPr>
            </w:pPr>
            <w:r w:rsidRPr="008E5336">
              <w:rPr>
                <w:rFonts w:ascii="Times New Roman" w:hAnsi="Times New Roman"/>
                <w:szCs w:val="24"/>
                <w:u w:val="single"/>
              </w:rPr>
              <w:t>1</w:t>
            </w:r>
          </w:p>
        </w:tc>
      </w:tr>
      <w:tr w:rsidR="008E5336" w:rsidRPr="008E5336" w:rsidTr="008E5336">
        <w:trPr>
          <w:jc w:val="center"/>
        </w:trPr>
        <w:tc>
          <w:tcPr>
            <w:tcW w:w="3240" w:type="dxa"/>
            <w:vAlign w:val="bottom"/>
          </w:tcPr>
          <w:p w:rsidR="008E5336" w:rsidRPr="008E5336" w:rsidRDefault="008E5336" w:rsidP="008E5336">
            <w:pPr>
              <w:tabs>
                <w:tab w:val="left" w:pos="360"/>
                <w:tab w:val="left" w:pos="720"/>
              </w:tabs>
              <w:jc w:val="right"/>
              <w:rPr>
                <w:rFonts w:ascii="Times New Roman" w:hAnsi="Times New Roman"/>
                <w:i/>
                <w:szCs w:val="24"/>
              </w:rPr>
            </w:pPr>
            <w:r w:rsidRPr="008E5336">
              <w:rPr>
                <w:rFonts w:ascii="Times New Roman" w:hAnsi="Times New Roman"/>
                <w:i/>
                <w:szCs w:val="24"/>
              </w:rPr>
              <w:t>Total Stock Applications</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556</w:t>
            </w:r>
          </w:p>
        </w:tc>
      </w:tr>
      <w:tr w:rsidR="008E5336" w:rsidRPr="008E5336" w:rsidTr="008E5336">
        <w:trPr>
          <w:jc w:val="center"/>
        </w:trPr>
        <w:tc>
          <w:tcPr>
            <w:tcW w:w="3240" w:type="dxa"/>
            <w:vAlign w:val="bottom"/>
          </w:tcPr>
          <w:p w:rsidR="008E5336" w:rsidRPr="008E5336" w:rsidRDefault="008E5336" w:rsidP="008E5336">
            <w:pPr>
              <w:tabs>
                <w:tab w:val="left" w:pos="360"/>
                <w:tab w:val="left" w:pos="720"/>
              </w:tabs>
              <w:jc w:val="right"/>
              <w:rPr>
                <w:rFonts w:ascii="Times New Roman" w:hAnsi="Times New Roman"/>
                <w:i/>
                <w:szCs w:val="24"/>
              </w:rPr>
            </w:pPr>
            <w:r w:rsidRPr="008E5336">
              <w:rPr>
                <w:rFonts w:ascii="Times New Roman" w:hAnsi="Times New Roman"/>
                <w:i/>
                <w:szCs w:val="24"/>
              </w:rPr>
              <w:t>Total</w:t>
            </w: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p>
        </w:tc>
        <w:tc>
          <w:tcPr>
            <w:tcW w:w="1440" w:type="dxa"/>
            <w:vAlign w:val="bottom"/>
          </w:tcPr>
          <w:p w:rsidR="008E5336" w:rsidRPr="008E5336" w:rsidRDefault="008E5336" w:rsidP="008E5336">
            <w:pPr>
              <w:tabs>
                <w:tab w:val="left" w:pos="720"/>
                <w:tab w:val="left" w:pos="1440"/>
              </w:tabs>
              <w:jc w:val="center"/>
              <w:rPr>
                <w:rFonts w:ascii="Times New Roman" w:hAnsi="Times New Roman"/>
                <w:szCs w:val="24"/>
              </w:rPr>
            </w:pP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p>
        </w:tc>
        <w:tc>
          <w:tcPr>
            <w:tcW w:w="1627" w:type="dxa"/>
            <w:vAlign w:val="bottom"/>
          </w:tcPr>
          <w:p w:rsidR="008E5336" w:rsidRPr="008E5336" w:rsidRDefault="008E5336" w:rsidP="008E5336">
            <w:pPr>
              <w:tabs>
                <w:tab w:val="left" w:pos="720"/>
                <w:tab w:val="left" w:pos="1440"/>
              </w:tabs>
              <w:jc w:val="center"/>
              <w:rPr>
                <w:rFonts w:ascii="Times New Roman" w:hAnsi="Times New Roman"/>
                <w:szCs w:val="24"/>
              </w:rPr>
            </w:pPr>
            <w:r w:rsidRPr="008E5336">
              <w:rPr>
                <w:rFonts w:ascii="Times New Roman" w:hAnsi="Times New Roman"/>
                <w:szCs w:val="24"/>
              </w:rPr>
              <w:t>724</w:t>
            </w:r>
          </w:p>
        </w:tc>
      </w:tr>
    </w:tbl>
    <w:p w:rsidR="008E5336" w:rsidRPr="008E5336" w:rsidRDefault="008E5336" w:rsidP="008E5336">
      <w:pPr>
        <w:tabs>
          <w:tab w:val="left" w:pos="720"/>
          <w:tab w:val="left" w:pos="1440"/>
        </w:tabs>
        <w:rPr>
          <w:rFonts w:ascii="Times New Roman" w:hAnsi="Times New Roman"/>
          <w:szCs w:val="24"/>
        </w:rPr>
      </w:pPr>
      <w:r w:rsidRPr="008E5336">
        <w:rPr>
          <w:rFonts w:ascii="Times New Roman" w:hAnsi="Times New Roman"/>
          <w:szCs w:val="24"/>
        </w:rPr>
        <w:tab/>
      </w:r>
      <w:r w:rsidRPr="008E5336">
        <w:rPr>
          <w:rFonts w:ascii="Times New Roman" w:hAnsi="Times New Roman"/>
          <w:szCs w:val="24"/>
        </w:rPr>
        <w:tab/>
      </w:r>
      <w:r w:rsidRPr="008E5336">
        <w:rPr>
          <w:rFonts w:ascii="Times New Roman" w:hAnsi="Times New Roman"/>
          <w:szCs w:val="24"/>
        </w:rPr>
        <w:tab/>
      </w:r>
      <w:r w:rsidRPr="008E5336">
        <w:rPr>
          <w:rFonts w:ascii="Times New Roman" w:hAnsi="Times New Roman"/>
          <w:szCs w:val="24"/>
        </w:rPr>
        <w:tab/>
      </w:r>
      <w:r w:rsidRPr="008E5336">
        <w:rPr>
          <w:rFonts w:ascii="Times New Roman" w:hAnsi="Times New Roman"/>
          <w:szCs w:val="24"/>
        </w:rPr>
        <w:tab/>
      </w:r>
      <w:r w:rsidRPr="008E5336">
        <w:rPr>
          <w:rFonts w:ascii="Times New Roman" w:hAnsi="Times New Roman"/>
          <w:szCs w:val="24"/>
        </w:rPr>
        <w:tab/>
      </w:r>
      <w:r w:rsidRPr="008E5336">
        <w:rPr>
          <w:rFonts w:ascii="Times New Roman" w:hAnsi="Times New Roman"/>
          <w:szCs w:val="24"/>
        </w:rPr>
        <w:tab/>
      </w:r>
      <w:r w:rsidRPr="008E5336">
        <w:rPr>
          <w:rFonts w:ascii="Times New Roman" w:hAnsi="Times New Roman"/>
          <w:szCs w:val="24"/>
        </w:rPr>
        <w:tab/>
      </w:r>
      <w:r w:rsidRPr="008E5336">
        <w:rPr>
          <w:rFonts w:ascii="Times New Roman" w:hAnsi="Times New Roman"/>
          <w:szCs w:val="24"/>
        </w:rPr>
        <w:tab/>
      </w:r>
      <w:r w:rsidRPr="008E5336">
        <w:rPr>
          <w:rFonts w:ascii="Times New Roman" w:hAnsi="Times New Roman"/>
          <w:szCs w:val="24"/>
        </w:rPr>
        <w:tab/>
      </w:r>
      <w:r w:rsidRPr="008E5336">
        <w:rPr>
          <w:rFonts w:ascii="Times New Roman" w:hAnsi="Times New Roman"/>
          <w:szCs w:val="24"/>
        </w:rPr>
        <w:tab/>
      </w:r>
      <w:r w:rsidRPr="008E5336">
        <w:rPr>
          <w:rFonts w:ascii="Times New Roman" w:hAnsi="Times New Roman"/>
          <w:szCs w:val="24"/>
        </w:rPr>
        <w:tab/>
      </w:r>
      <w:r w:rsidRPr="008E5336">
        <w:rPr>
          <w:rFonts w:ascii="Times New Roman" w:hAnsi="Times New Roman"/>
          <w:szCs w:val="24"/>
        </w:rPr>
        <w:tab/>
      </w:r>
    </w:p>
    <w:p w:rsidR="008E5336" w:rsidRPr="008E5336" w:rsidRDefault="008E5336" w:rsidP="008E5336">
      <w:pPr>
        <w:autoSpaceDE w:val="0"/>
        <w:autoSpaceDN w:val="0"/>
        <w:adjustRightInd w:val="0"/>
        <w:rPr>
          <w:rFonts w:ascii="Times New Roman" w:hAnsi="Times New Roman"/>
          <w:szCs w:val="24"/>
        </w:rPr>
      </w:pPr>
      <w:r w:rsidRPr="008E5336">
        <w:rPr>
          <w:rFonts w:ascii="Times New Roman" w:hAnsi="Times New Roman"/>
          <w:szCs w:val="24"/>
        </w:rPr>
        <w:t xml:space="preserve">The total annual cost to the public for the Federal Reserve membership and stock applications is </w:t>
      </w:r>
      <w:r w:rsidRPr="008E5336">
        <w:rPr>
          <w:rFonts w:ascii="Times New Roman" w:hAnsi="Times New Roman"/>
          <w:color w:val="000000"/>
          <w:szCs w:val="24"/>
        </w:rPr>
        <w:t xml:space="preserve">estimated to be </w:t>
      </w:r>
      <w:r w:rsidRPr="008E5336">
        <w:rPr>
          <w:rFonts w:ascii="Times New Roman" w:hAnsi="Times New Roman"/>
          <w:szCs w:val="24"/>
        </w:rPr>
        <w:t>$</w:t>
      </w:r>
      <w:r w:rsidRPr="008E5336">
        <w:rPr>
          <w:rFonts w:ascii="Times New Roman" w:hAnsi="Times New Roman"/>
          <w:bCs/>
          <w:szCs w:val="24"/>
        </w:rPr>
        <w:t>30,879.</w:t>
      </w:r>
      <w:r w:rsidRPr="00065BCD">
        <w:rPr>
          <w:rStyle w:val="FootnoteReference"/>
          <w:rFonts w:ascii="Times New Roman" w:hAnsi="Times New Roman"/>
          <w:bCs/>
          <w:szCs w:val="24"/>
          <w:vertAlign w:val="superscript"/>
        </w:rPr>
        <w:footnoteReference w:id="2"/>
      </w:r>
    </w:p>
    <w:p w:rsidR="008E5336" w:rsidRPr="008E5336" w:rsidRDefault="008E5336" w:rsidP="008E5336">
      <w:pPr>
        <w:tabs>
          <w:tab w:val="left" w:pos="360"/>
          <w:tab w:val="left" w:pos="720"/>
        </w:tabs>
        <w:rPr>
          <w:rFonts w:ascii="Times New Roman" w:hAnsi="Times New Roman"/>
          <w:b/>
          <w:szCs w:val="24"/>
        </w:rPr>
      </w:pPr>
    </w:p>
    <w:p w:rsidR="008E5336" w:rsidRPr="008E5336" w:rsidRDefault="008E5336" w:rsidP="008E5336">
      <w:pPr>
        <w:tabs>
          <w:tab w:val="left" w:pos="360"/>
          <w:tab w:val="left" w:pos="720"/>
        </w:tabs>
        <w:rPr>
          <w:rFonts w:ascii="Times New Roman" w:hAnsi="Times New Roman"/>
          <w:b/>
          <w:szCs w:val="24"/>
        </w:rPr>
      </w:pPr>
      <w:r w:rsidRPr="008E5336">
        <w:rPr>
          <w:rFonts w:ascii="Times New Roman" w:hAnsi="Times New Roman"/>
          <w:b/>
          <w:szCs w:val="24"/>
        </w:rPr>
        <w:t>Estimate of Cost to the Federal Reserve System</w:t>
      </w:r>
    </w:p>
    <w:p w:rsidR="008E5336" w:rsidRPr="008E5336" w:rsidRDefault="008E5336" w:rsidP="008E5336">
      <w:pPr>
        <w:tabs>
          <w:tab w:val="left" w:pos="360"/>
          <w:tab w:val="left" w:pos="720"/>
        </w:tabs>
        <w:rPr>
          <w:rFonts w:ascii="Times New Roman" w:hAnsi="Times New Roman"/>
          <w:szCs w:val="24"/>
        </w:rPr>
      </w:pPr>
    </w:p>
    <w:p w:rsidR="008E5336" w:rsidRPr="008E5336" w:rsidRDefault="008E5336" w:rsidP="008E5336">
      <w:pPr>
        <w:tabs>
          <w:tab w:val="left" w:pos="720"/>
          <w:tab w:val="left" w:pos="1440"/>
        </w:tabs>
        <w:rPr>
          <w:rFonts w:ascii="Times New Roman" w:hAnsi="Times New Roman"/>
          <w:szCs w:val="24"/>
        </w:rPr>
      </w:pPr>
      <w:r w:rsidRPr="008E5336">
        <w:rPr>
          <w:rFonts w:ascii="Times New Roman" w:hAnsi="Times New Roman"/>
          <w:szCs w:val="24"/>
        </w:rPr>
        <w:tab/>
        <w:t xml:space="preserve">The applications are not automated and there </w:t>
      </w:r>
      <w:proofErr w:type="gramStart"/>
      <w:r w:rsidRPr="008E5336">
        <w:rPr>
          <w:rFonts w:ascii="Times New Roman" w:hAnsi="Times New Roman"/>
          <w:szCs w:val="24"/>
        </w:rPr>
        <w:t>are</w:t>
      </w:r>
      <w:proofErr w:type="gramEnd"/>
      <w:r w:rsidRPr="008E5336">
        <w:rPr>
          <w:rFonts w:ascii="Times New Roman" w:hAnsi="Times New Roman"/>
          <w:szCs w:val="24"/>
        </w:rPr>
        <w:t xml:space="preserve"> no data processing costs associated with them.  Costs to print and mail the applications are minimal.</w:t>
      </w:r>
    </w:p>
    <w:p w:rsidR="008E5336" w:rsidRPr="008E5336" w:rsidRDefault="008E5336" w:rsidP="008E5336">
      <w:pPr>
        <w:tabs>
          <w:tab w:val="left" w:pos="720"/>
          <w:tab w:val="left" w:pos="1440"/>
        </w:tabs>
        <w:jc w:val="center"/>
        <w:rPr>
          <w:rFonts w:ascii="Times New Roman" w:hAnsi="Times New Roman"/>
          <w:szCs w:val="24"/>
        </w:rPr>
      </w:pPr>
    </w:p>
    <w:p w:rsidR="008E5336" w:rsidRPr="008E5336" w:rsidRDefault="008E5336" w:rsidP="008E5336">
      <w:pPr>
        <w:tabs>
          <w:tab w:val="left" w:pos="360"/>
          <w:tab w:val="left" w:pos="720"/>
        </w:tabs>
        <w:rPr>
          <w:rFonts w:ascii="Times New Roman" w:hAnsi="Times New Roman"/>
          <w:szCs w:val="24"/>
        </w:rPr>
      </w:pPr>
      <w:r w:rsidRPr="008E5336">
        <w:rPr>
          <w:rFonts w:ascii="Times New Roman" w:hAnsi="Times New Roman"/>
          <w:b/>
          <w:szCs w:val="24"/>
        </w:rPr>
        <w:t>Sensitive Questions</w:t>
      </w:r>
    </w:p>
    <w:p w:rsidR="008E5336" w:rsidRPr="008E5336" w:rsidRDefault="008E5336" w:rsidP="008E5336">
      <w:pPr>
        <w:tabs>
          <w:tab w:val="left" w:pos="360"/>
          <w:tab w:val="left" w:pos="720"/>
        </w:tabs>
        <w:rPr>
          <w:rFonts w:ascii="Times New Roman" w:hAnsi="Times New Roman"/>
          <w:szCs w:val="24"/>
        </w:rPr>
      </w:pPr>
    </w:p>
    <w:p w:rsidR="008E5336" w:rsidRPr="008E5336" w:rsidRDefault="008E5336" w:rsidP="008E5336">
      <w:pPr>
        <w:tabs>
          <w:tab w:val="left" w:pos="720"/>
          <w:tab w:val="left" w:pos="1440"/>
        </w:tabs>
        <w:rPr>
          <w:rFonts w:ascii="Times New Roman" w:hAnsi="Times New Roman"/>
          <w:szCs w:val="24"/>
        </w:rPr>
      </w:pPr>
      <w:r w:rsidRPr="008E5336">
        <w:rPr>
          <w:rFonts w:ascii="Times New Roman" w:hAnsi="Times New Roman"/>
          <w:szCs w:val="24"/>
        </w:rPr>
        <w:tab/>
        <w:t>These collections of information contain no questions of a sensitive nature, as defined by OMB guidelines.</w:t>
      </w:r>
    </w:p>
    <w:p w:rsidR="008E5336" w:rsidRPr="008E5336" w:rsidRDefault="008E5336" w:rsidP="008E5336">
      <w:pPr>
        <w:rPr>
          <w:rFonts w:ascii="Times New Roman" w:hAnsi="Times New Roman"/>
          <w:szCs w:val="24"/>
        </w:rPr>
      </w:pPr>
    </w:p>
    <w:p w:rsidR="00653DC9" w:rsidRPr="008E5336" w:rsidRDefault="00653DC9" w:rsidP="008E5336">
      <w:pPr>
        <w:tabs>
          <w:tab w:val="left" w:pos="720"/>
          <w:tab w:val="left" w:pos="1440"/>
        </w:tabs>
        <w:rPr>
          <w:rFonts w:ascii="Times New Roman" w:hAnsi="Times New Roman"/>
          <w:szCs w:val="24"/>
        </w:rPr>
      </w:pPr>
    </w:p>
    <w:sectPr w:rsidR="00653DC9" w:rsidRPr="008E5336" w:rsidSect="00C66600">
      <w:headerReference w:type="even" r:id="rId7"/>
      <w:headerReference w:type="default" r:id="rId8"/>
      <w:footerReference w:type="even" r:id="rId9"/>
      <w:footerReference w:type="default" r:id="rId10"/>
      <w:endnotePr>
        <w:numFmt w:val="decimal"/>
      </w:endnotePr>
      <w:pgSz w:w="12240" w:h="15840" w:code="1"/>
      <w:pgMar w:top="1440" w:right="1440" w:bottom="1440" w:left="1440" w:header="720" w:footer="144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869" w:rsidRDefault="00573869" w:rsidP="008E5336">
      <w:r>
        <w:separator/>
      </w:r>
    </w:p>
  </w:endnote>
  <w:endnote w:type="continuationSeparator" w:id="0">
    <w:p w:rsidR="00573869" w:rsidRDefault="00573869" w:rsidP="008E53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D62" w:rsidRDefault="00F2301B">
    <w:pPr>
      <w:pStyle w:val="Footer"/>
      <w:framePr w:wrap="around" w:vAnchor="text" w:hAnchor="margin" w:xAlign="center" w:y="1"/>
      <w:rPr>
        <w:rStyle w:val="PageNumber"/>
      </w:rPr>
    </w:pPr>
    <w:r>
      <w:rPr>
        <w:rStyle w:val="PageNumber"/>
      </w:rPr>
      <w:fldChar w:fldCharType="begin"/>
    </w:r>
    <w:r w:rsidR="00BF0D62">
      <w:rPr>
        <w:rStyle w:val="PageNumber"/>
      </w:rPr>
      <w:instrText xml:space="preserve">PAGE  </w:instrText>
    </w:r>
    <w:r>
      <w:rPr>
        <w:rStyle w:val="PageNumber"/>
      </w:rPr>
      <w:fldChar w:fldCharType="end"/>
    </w:r>
  </w:p>
  <w:p w:rsidR="00BF0D62" w:rsidRDefault="00BF0D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D62" w:rsidRDefault="00F2301B">
    <w:pPr>
      <w:pStyle w:val="Footer"/>
      <w:framePr w:wrap="around" w:vAnchor="text" w:hAnchor="margin" w:xAlign="center" w:y="1"/>
      <w:rPr>
        <w:rStyle w:val="PageNumber"/>
      </w:rPr>
    </w:pPr>
    <w:r>
      <w:rPr>
        <w:rStyle w:val="PageNumber"/>
      </w:rPr>
      <w:fldChar w:fldCharType="begin"/>
    </w:r>
    <w:r w:rsidR="00BF0D62">
      <w:rPr>
        <w:rStyle w:val="PageNumber"/>
      </w:rPr>
      <w:instrText xml:space="preserve">PAGE  </w:instrText>
    </w:r>
    <w:r>
      <w:rPr>
        <w:rStyle w:val="PageNumber"/>
      </w:rPr>
      <w:fldChar w:fldCharType="separate"/>
    </w:r>
    <w:r w:rsidR="00E93E69">
      <w:rPr>
        <w:rStyle w:val="PageNumber"/>
        <w:noProof/>
      </w:rPr>
      <w:t>5</w:t>
    </w:r>
    <w:r>
      <w:rPr>
        <w:rStyle w:val="PageNumber"/>
      </w:rPr>
      <w:fldChar w:fldCharType="end"/>
    </w:r>
  </w:p>
  <w:p w:rsidR="00BF0D62" w:rsidRDefault="00BF0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869" w:rsidRDefault="00573869" w:rsidP="008E5336">
      <w:r>
        <w:separator/>
      </w:r>
    </w:p>
  </w:footnote>
  <w:footnote w:type="continuationSeparator" w:id="0">
    <w:p w:rsidR="00573869" w:rsidRDefault="00573869" w:rsidP="008E5336">
      <w:r>
        <w:continuationSeparator/>
      </w:r>
    </w:p>
  </w:footnote>
  <w:footnote w:id="1">
    <w:p w:rsidR="00BF0D62" w:rsidRPr="00BF0D62" w:rsidRDefault="00BF0D62" w:rsidP="008E5336">
      <w:pPr>
        <w:pStyle w:val="FootnoteText"/>
        <w:rPr>
          <w:rFonts w:ascii="Times New Roman" w:hAnsi="Times New Roman"/>
        </w:rPr>
      </w:pPr>
      <w:r w:rsidRPr="00BF0D62">
        <w:rPr>
          <w:rStyle w:val="FootnoteReference"/>
          <w:rFonts w:ascii="Times New Roman" w:hAnsi="Times New Roman"/>
          <w:sz w:val="24"/>
          <w:szCs w:val="24"/>
          <w:vertAlign w:val="superscript"/>
        </w:rPr>
        <w:footnoteRef/>
      </w:r>
      <w:r>
        <w:t xml:space="preserve"> </w:t>
      </w:r>
      <w:r w:rsidRPr="00BF0D62">
        <w:rPr>
          <w:rFonts w:ascii="Times New Roman" w:hAnsi="Times New Roman"/>
        </w:rPr>
        <w:t>Available on the Board of Governors of the Fede</w:t>
      </w:r>
      <w:r w:rsidR="00720CC0">
        <w:rPr>
          <w:rFonts w:ascii="Times New Roman" w:hAnsi="Times New Roman"/>
        </w:rPr>
        <w:t>ral Reserve System’s public web</w:t>
      </w:r>
      <w:r w:rsidRPr="00BF0D62">
        <w:rPr>
          <w:rFonts w:ascii="Times New Roman" w:hAnsi="Times New Roman"/>
        </w:rPr>
        <w:t xml:space="preserve">site: </w:t>
      </w:r>
      <w:hyperlink r:id="rId1" w:history="1">
        <w:r w:rsidRPr="00BF0D62">
          <w:rPr>
            <w:rStyle w:val="Hyperlink"/>
            <w:rFonts w:ascii="Times New Roman" w:hAnsi="Times New Roman"/>
          </w:rPr>
          <w:t>http://www.federalreserve.gov/reportforms/CategoryIndex.cfm?WhichCategory=2</w:t>
        </w:r>
      </w:hyperlink>
    </w:p>
  </w:footnote>
  <w:footnote w:id="2">
    <w:p w:rsidR="00BF0D62" w:rsidRPr="00065BCD" w:rsidRDefault="00BF0D62" w:rsidP="008E5336">
      <w:pPr>
        <w:pStyle w:val="FootnoteText"/>
        <w:rPr>
          <w:rFonts w:ascii="Times New Roman" w:hAnsi="Times New Roman"/>
        </w:rPr>
      </w:pPr>
      <w:r w:rsidRPr="00065BCD">
        <w:rPr>
          <w:rStyle w:val="FootnoteReference"/>
          <w:rFonts w:ascii="Times New Roman" w:hAnsi="Times New Roman"/>
          <w:sz w:val="24"/>
          <w:szCs w:val="24"/>
          <w:vertAlign w:val="superscript"/>
        </w:rPr>
        <w:footnoteRef/>
      </w:r>
      <w:r w:rsidRPr="00065BCD">
        <w:rPr>
          <w:rFonts w:ascii="Times New Roman" w:hAnsi="Times New Roman"/>
        </w:rPr>
        <w:t xml:space="preserve"> Total cost to the public was estimated using the following formula: percent of staff time, multiplied by annual burden hours, multiplied by hourly rate (30% Office &amp; Administrative Support @ $16, 45% Financial Managers @ $49, 15% Legal Counsel @ $54, and 10% Chief Executives @ $77).  Hourly rate for each occupational group are the median hourly wages (rounded up) from the Bureau of Labor and Statistics (BLS), Occupational Employment and Wages 2009, www.bls.gov/news.release/ocwage.nr0.htm  Occupations are defined using the BLS Occupational Classification System,  www.bls.gov/soc/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D62" w:rsidRDefault="00F2301B">
    <w:pPr>
      <w:pStyle w:val="Header"/>
      <w:framePr w:wrap="around" w:vAnchor="text" w:hAnchor="margin" w:xAlign="center" w:y="1"/>
      <w:rPr>
        <w:rStyle w:val="PageNumber"/>
      </w:rPr>
    </w:pPr>
    <w:r>
      <w:rPr>
        <w:rStyle w:val="PageNumber"/>
      </w:rPr>
      <w:fldChar w:fldCharType="begin"/>
    </w:r>
    <w:r w:rsidR="00BF0D62">
      <w:rPr>
        <w:rStyle w:val="PageNumber"/>
      </w:rPr>
      <w:instrText xml:space="preserve">PAGE  </w:instrText>
    </w:r>
    <w:r>
      <w:rPr>
        <w:rStyle w:val="PageNumber"/>
      </w:rPr>
      <w:fldChar w:fldCharType="end"/>
    </w:r>
  </w:p>
  <w:p w:rsidR="00BF0D62" w:rsidRDefault="00BF0D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D62" w:rsidRDefault="00BF0D62">
    <w:pPr>
      <w:pStyle w:val="Header"/>
      <w:framePr w:wrap="around" w:vAnchor="text" w:hAnchor="margin" w:xAlign="center" w:y="1"/>
      <w:rPr>
        <w:rStyle w:val="PageNumber"/>
      </w:rPr>
    </w:pPr>
  </w:p>
  <w:p w:rsidR="00BF0D62" w:rsidRDefault="00BF0D62">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F6C5C24"/>
    <w:multiLevelType w:val="hybridMultilevel"/>
    <w:tmpl w:val="43C4145C"/>
    <w:lvl w:ilvl="0" w:tplc="D9066FA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3183F8D"/>
    <w:multiLevelType w:val="multilevel"/>
    <w:tmpl w:val="9544BCBE"/>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2925225A"/>
    <w:multiLevelType w:val="hybridMultilevel"/>
    <w:tmpl w:val="18C474C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36CD0BC0"/>
    <w:multiLevelType w:val="hybridMultilevel"/>
    <w:tmpl w:val="0A6C3526"/>
    <w:lvl w:ilvl="0" w:tplc="D9066FA4">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17158F6"/>
    <w:multiLevelType w:val="hybridMultilevel"/>
    <w:tmpl w:val="1FB0E9E4"/>
    <w:lvl w:ilvl="0" w:tplc="D9066FA4">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13F01CA"/>
    <w:multiLevelType w:val="hybridMultilevel"/>
    <w:tmpl w:val="9A7624EE"/>
    <w:lvl w:ilvl="0" w:tplc="D9066FA4">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3F85E3E"/>
    <w:multiLevelType w:val="hybridMultilevel"/>
    <w:tmpl w:val="7F623814"/>
    <w:lvl w:ilvl="0" w:tplc="D9066FA4">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4E91936"/>
    <w:multiLevelType w:val="hybridMultilevel"/>
    <w:tmpl w:val="D5A47EDE"/>
    <w:lvl w:ilvl="0" w:tplc="D9066FA4">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D5E0C15"/>
    <w:multiLevelType w:val="hybridMultilevel"/>
    <w:tmpl w:val="7EC0FE70"/>
    <w:lvl w:ilvl="0" w:tplc="D9066FA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7"/>
  </w:num>
  <w:num w:numId="4">
    <w:abstractNumId w:val="6"/>
  </w:num>
  <w:num w:numId="5">
    <w:abstractNumId w:val="9"/>
  </w:num>
  <w:num w:numId="6">
    <w:abstractNumId w:val="8"/>
  </w:num>
  <w:num w:numId="7">
    <w:abstractNumId w:val="5"/>
  </w:num>
  <w:num w:numId="8">
    <w:abstractNumId w:val="4"/>
  </w:num>
  <w:num w:numId="9">
    <w:abstractNumId w:val="2"/>
  </w:num>
  <w:num w:numId="10">
    <w:abstractNumId w:val="3"/>
  </w:num>
  <w:num w:numId="1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9E3D8E"/>
    <w:rsid w:val="000110A3"/>
    <w:rsid w:val="00065BCD"/>
    <w:rsid w:val="000A4818"/>
    <w:rsid w:val="00104E0D"/>
    <w:rsid w:val="00246354"/>
    <w:rsid w:val="002C670A"/>
    <w:rsid w:val="00321412"/>
    <w:rsid w:val="003448B6"/>
    <w:rsid w:val="00344B6D"/>
    <w:rsid w:val="00490395"/>
    <w:rsid w:val="004E2D66"/>
    <w:rsid w:val="0050175B"/>
    <w:rsid w:val="00573869"/>
    <w:rsid w:val="00653DC9"/>
    <w:rsid w:val="00705C3B"/>
    <w:rsid w:val="00720CC0"/>
    <w:rsid w:val="007E3CA4"/>
    <w:rsid w:val="008957D4"/>
    <w:rsid w:val="008E5336"/>
    <w:rsid w:val="00915B19"/>
    <w:rsid w:val="0095316C"/>
    <w:rsid w:val="00980EAE"/>
    <w:rsid w:val="009D6C55"/>
    <w:rsid w:val="009E3D8E"/>
    <w:rsid w:val="00AB75C4"/>
    <w:rsid w:val="00B13885"/>
    <w:rsid w:val="00BF0D62"/>
    <w:rsid w:val="00C33767"/>
    <w:rsid w:val="00C66600"/>
    <w:rsid w:val="00D6511D"/>
    <w:rsid w:val="00D75284"/>
    <w:rsid w:val="00D817E6"/>
    <w:rsid w:val="00DB7E1B"/>
    <w:rsid w:val="00E172DA"/>
    <w:rsid w:val="00E37466"/>
    <w:rsid w:val="00E72C4F"/>
    <w:rsid w:val="00E93E69"/>
    <w:rsid w:val="00E952BB"/>
    <w:rsid w:val="00EB0EA2"/>
    <w:rsid w:val="00F23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2DA"/>
    <w:pPr>
      <w:widowControl w:val="0"/>
    </w:pPr>
    <w:rPr>
      <w:rFonts w:ascii="Courier" w:hAnsi="Courier"/>
      <w:snapToGrid w:val="0"/>
      <w:sz w:val="24"/>
    </w:rPr>
  </w:style>
  <w:style w:type="paragraph" w:styleId="Heading1">
    <w:name w:val="heading 1"/>
    <w:basedOn w:val="Normal"/>
    <w:next w:val="Normal"/>
    <w:qFormat/>
    <w:rsid w:val="00E172DA"/>
    <w:pPr>
      <w:keepNext/>
      <w:widowControl/>
      <w:tabs>
        <w:tab w:val="left" w:pos="360"/>
        <w:tab w:val="left" w:pos="720"/>
      </w:tabs>
      <w:spacing w:after="58"/>
      <w:outlineLvl w:val="0"/>
    </w:pPr>
    <w:rPr>
      <w:rFonts w:ascii="Times" w:hAnsi="Times"/>
      <w:b/>
    </w:rPr>
  </w:style>
  <w:style w:type="paragraph" w:styleId="Heading2">
    <w:name w:val="heading 2"/>
    <w:basedOn w:val="Normal"/>
    <w:next w:val="Normal"/>
    <w:qFormat/>
    <w:rsid w:val="00E172DA"/>
    <w:pPr>
      <w:keepNext/>
      <w:widowControl/>
      <w:tabs>
        <w:tab w:val="center" w:pos="4680"/>
      </w:tabs>
      <w:jc w:val="center"/>
      <w:outlineLvl w:val="1"/>
    </w:pPr>
    <w:rPr>
      <w:rFonts w:ascii="Times" w:hAnsi="Times"/>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72DA"/>
  </w:style>
  <w:style w:type="paragraph" w:customStyle="1" w:styleId="a">
    <w:name w:val="_"/>
    <w:basedOn w:val="Normal"/>
    <w:rsid w:val="00E172DA"/>
    <w:pPr>
      <w:ind w:left="360" w:hanging="360"/>
    </w:pPr>
  </w:style>
  <w:style w:type="paragraph" w:styleId="FootnoteText">
    <w:name w:val="footnote text"/>
    <w:basedOn w:val="Normal"/>
    <w:semiHidden/>
    <w:rsid w:val="00E172DA"/>
    <w:rPr>
      <w:sz w:val="20"/>
    </w:rPr>
  </w:style>
  <w:style w:type="paragraph" w:styleId="BodyTextIndent">
    <w:name w:val="Body Text Indent"/>
    <w:basedOn w:val="Normal"/>
    <w:rsid w:val="00E172DA"/>
    <w:pPr>
      <w:widowControl/>
      <w:tabs>
        <w:tab w:val="left" w:pos="360"/>
        <w:tab w:val="left" w:pos="720"/>
      </w:tabs>
      <w:ind w:left="360"/>
    </w:pPr>
    <w:rPr>
      <w:rFonts w:ascii="Times" w:hAnsi="Times"/>
      <w:b/>
    </w:rPr>
  </w:style>
  <w:style w:type="paragraph" w:styleId="BodyTextIndent2">
    <w:name w:val="Body Text Indent 2"/>
    <w:basedOn w:val="Normal"/>
    <w:rsid w:val="00E172DA"/>
    <w:pPr>
      <w:widowControl/>
      <w:tabs>
        <w:tab w:val="left" w:pos="360"/>
        <w:tab w:val="left" w:pos="720"/>
      </w:tabs>
      <w:ind w:firstLine="360"/>
    </w:pPr>
    <w:rPr>
      <w:rFonts w:ascii="Times" w:hAnsi="Times"/>
    </w:rPr>
  </w:style>
  <w:style w:type="paragraph" w:styleId="Footer">
    <w:name w:val="footer"/>
    <w:basedOn w:val="Normal"/>
    <w:rsid w:val="00E172DA"/>
    <w:pPr>
      <w:tabs>
        <w:tab w:val="center" w:pos="4320"/>
        <w:tab w:val="right" w:pos="8640"/>
      </w:tabs>
    </w:pPr>
  </w:style>
  <w:style w:type="character" w:styleId="PageNumber">
    <w:name w:val="page number"/>
    <w:basedOn w:val="DefaultParagraphFont"/>
    <w:rsid w:val="00E172DA"/>
  </w:style>
  <w:style w:type="paragraph" w:styleId="Header">
    <w:name w:val="header"/>
    <w:basedOn w:val="Normal"/>
    <w:rsid w:val="00E172DA"/>
    <w:pPr>
      <w:tabs>
        <w:tab w:val="center" w:pos="4320"/>
        <w:tab w:val="right" w:pos="8640"/>
      </w:tabs>
    </w:pPr>
  </w:style>
  <w:style w:type="paragraph" w:styleId="BodyText2">
    <w:name w:val="Body Text 2"/>
    <w:basedOn w:val="Normal"/>
    <w:rsid w:val="00E172DA"/>
    <w:pPr>
      <w:widowControl/>
      <w:jc w:val="center"/>
    </w:pPr>
    <w:rPr>
      <w:rFonts w:ascii="Times New Roman" w:hAnsi="Times New Roman"/>
      <w:snapToGrid/>
    </w:rPr>
  </w:style>
  <w:style w:type="table" w:styleId="TableGrid">
    <w:name w:val="Table Grid"/>
    <w:basedOn w:val="TableNormal"/>
    <w:rsid w:val="00E374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6C55"/>
    <w:rPr>
      <w:rFonts w:ascii="Tahoma" w:hAnsi="Tahoma" w:cs="Tahoma"/>
      <w:sz w:val="16"/>
      <w:szCs w:val="16"/>
    </w:rPr>
  </w:style>
  <w:style w:type="character" w:styleId="Hyperlink">
    <w:name w:val="Hyperlink"/>
    <w:basedOn w:val="DefaultParagraphFont"/>
    <w:uiPriority w:val="99"/>
    <w:unhideWhenUsed/>
    <w:rsid w:val="008E53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ederalreserve.gov/reportforms/CategoryIndex.cfm?WhichCategor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the </vt:lpstr>
    </vt:vector>
  </TitlesOfParts>
  <Company>Federal Reserve Board</Company>
  <LinksUpToDate>false</LinksUpToDate>
  <CharactersWithSpaces>12276</CharactersWithSpaces>
  <SharedDoc>false</SharedDoc>
  <HLinks>
    <vt:vector size="6" baseType="variant">
      <vt:variant>
        <vt:i4>2490428</vt:i4>
      </vt:variant>
      <vt:variant>
        <vt:i4>0</vt:i4>
      </vt:variant>
      <vt:variant>
        <vt:i4>0</vt:i4>
      </vt:variant>
      <vt:variant>
        <vt:i4>5</vt:i4>
      </vt:variant>
      <vt:variant>
        <vt:lpwstr>http://www.federalreserve.gov/reportforms/CategoryIndex.cfm?WhichCategory=2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dc:title>
  <dc:subject/>
  <dc:creator>ITS</dc:creator>
  <cp:keywords/>
  <cp:lastModifiedBy>frbuser</cp:lastModifiedBy>
  <cp:revision>7</cp:revision>
  <cp:lastPrinted>2008-09-18T15:30:00Z</cp:lastPrinted>
  <dcterms:created xsi:type="dcterms:W3CDTF">2011-05-17T13:54:00Z</dcterms:created>
  <dcterms:modified xsi:type="dcterms:W3CDTF">2011-08-03T11:35:00Z</dcterms:modified>
</cp:coreProperties>
</file>