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C1" w:rsidRPr="001D5363" w:rsidRDefault="00AA79ED" w:rsidP="005061D4">
      <w:pPr>
        <w:pStyle w:val="Title"/>
        <w:rPr>
          <w:rFonts w:ascii="Times New Roman" w:hAnsi="Times New Roman"/>
        </w:rPr>
      </w:pPr>
      <w:r w:rsidRPr="001D5363">
        <w:rPr>
          <w:rFonts w:ascii="Times New Roman" w:hAnsi="Times New Roman"/>
          <w:szCs w:val="24"/>
        </w:rPr>
        <w:t>Supporting Statement for</w:t>
      </w:r>
      <w:r w:rsidR="003C3BC1" w:rsidRPr="001D5363">
        <w:rPr>
          <w:rFonts w:ascii="Times New Roman" w:hAnsi="Times New Roman"/>
          <w:szCs w:val="24"/>
        </w:rPr>
        <w:t xml:space="preserve"> </w:t>
      </w:r>
      <w:r w:rsidR="005061D4" w:rsidRPr="001D5363">
        <w:rPr>
          <w:rFonts w:ascii="Times New Roman" w:hAnsi="Times New Roman"/>
        </w:rPr>
        <w:t>t</w:t>
      </w:r>
      <w:r w:rsidRPr="001D5363">
        <w:rPr>
          <w:rFonts w:ascii="Times New Roman" w:hAnsi="Times New Roman"/>
        </w:rPr>
        <w:t>he</w:t>
      </w:r>
    </w:p>
    <w:p w:rsidR="003C6280" w:rsidRPr="001D5363" w:rsidRDefault="00AA79ED" w:rsidP="005061D4">
      <w:pPr>
        <w:pStyle w:val="Title"/>
        <w:rPr>
          <w:rFonts w:ascii="Times New Roman" w:hAnsi="Times New Roman"/>
        </w:rPr>
      </w:pPr>
      <w:r w:rsidRPr="001D5363">
        <w:rPr>
          <w:rFonts w:ascii="Times New Roman" w:hAnsi="Times New Roman"/>
        </w:rPr>
        <w:t>Report of Assets and Liabilities of</w:t>
      </w:r>
      <w:r w:rsidR="00FE534E" w:rsidRPr="001D5363">
        <w:rPr>
          <w:rFonts w:ascii="Times New Roman" w:hAnsi="Times New Roman"/>
        </w:rPr>
        <w:t xml:space="preserve"> </w:t>
      </w:r>
      <w:r w:rsidRPr="001D5363">
        <w:rPr>
          <w:rFonts w:ascii="Times New Roman" w:hAnsi="Times New Roman"/>
        </w:rPr>
        <w:t>U.S. Branches and Agencies of Foreign Banks</w:t>
      </w:r>
    </w:p>
    <w:p w:rsidR="005061D4" w:rsidRPr="001D5363" w:rsidRDefault="00AA79ED">
      <w:pPr>
        <w:widowControl/>
        <w:jc w:val="center"/>
        <w:rPr>
          <w:rFonts w:ascii="Times New Roman" w:hAnsi="Times New Roman"/>
          <w:b/>
          <w:bCs/>
          <w:szCs w:val="24"/>
        </w:rPr>
      </w:pPr>
      <w:r w:rsidRPr="001D5363">
        <w:rPr>
          <w:rFonts w:ascii="Times New Roman" w:hAnsi="Times New Roman"/>
          <w:b/>
          <w:bCs/>
          <w:szCs w:val="24"/>
        </w:rPr>
        <w:t>(FFIEC</w:t>
      </w:r>
      <w:r w:rsidR="00FE534E" w:rsidRPr="001D5363">
        <w:rPr>
          <w:rFonts w:ascii="Times New Roman" w:hAnsi="Times New Roman"/>
          <w:b/>
          <w:szCs w:val="24"/>
        </w:rPr>
        <w:t> </w:t>
      </w:r>
      <w:r w:rsidRPr="001D5363">
        <w:rPr>
          <w:rFonts w:ascii="Times New Roman" w:hAnsi="Times New Roman"/>
          <w:b/>
          <w:bCs/>
          <w:szCs w:val="24"/>
        </w:rPr>
        <w:t>002; OMB No. 7100</w:t>
      </w:r>
      <w:r w:rsidR="001D5363">
        <w:rPr>
          <w:rFonts w:ascii="Times New Roman" w:hAnsi="Times New Roman"/>
          <w:b/>
          <w:bCs/>
          <w:szCs w:val="24"/>
        </w:rPr>
        <w:t>-</w:t>
      </w:r>
      <w:r w:rsidRPr="001D5363">
        <w:rPr>
          <w:rFonts w:ascii="Times New Roman" w:hAnsi="Times New Roman"/>
          <w:b/>
          <w:bCs/>
          <w:szCs w:val="24"/>
        </w:rPr>
        <w:t>0032)</w:t>
      </w:r>
    </w:p>
    <w:p w:rsidR="005061D4" w:rsidRPr="001D5363" w:rsidRDefault="005061D4">
      <w:pPr>
        <w:widowControl/>
        <w:jc w:val="center"/>
        <w:rPr>
          <w:rFonts w:ascii="Times New Roman" w:hAnsi="Times New Roman"/>
          <w:b/>
          <w:bCs/>
        </w:rPr>
      </w:pPr>
      <w:r w:rsidRPr="001D5363">
        <w:rPr>
          <w:rFonts w:ascii="Times New Roman" w:hAnsi="Times New Roman"/>
          <w:b/>
          <w:bCs/>
          <w:szCs w:val="24"/>
        </w:rPr>
        <w:t xml:space="preserve">and the </w:t>
      </w:r>
      <w:r w:rsidRPr="001D5363">
        <w:rPr>
          <w:rFonts w:ascii="Times New Roman" w:hAnsi="Times New Roman"/>
          <w:b/>
          <w:bCs/>
        </w:rPr>
        <w:t>Report of Assets and Liabilities of a Non-U.S. Branch that is Managed or Controlled by a U.S. Branch or Agency of a Foreign (Non-U.S.) Bank</w:t>
      </w:r>
    </w:p>
    <w:p w:rsidR="00AA79ED" w:rsidRPr="001D5363" w:rsidRDefault="005061D4">
      <w:pPr>
        <w:widowControl/>
        <w:jc w:val="center"/>
        <w:rPr>
          <w:rFonts w:ascii="Times New Roman" w:hAnsi="Times New Roman"/>
          <w:szCs w:val="24"/>
        </w:rPr>
      </w:pPr>
      <w:r w:rsidRPr="001D5363">
        <w:rPr>
          <w:rFonts w:ascii="Times New Roman" w:hAnsi="Times New Roman"/>
          <w:b/>
          <w:bCs/>
        </w:rPr>
        <w:t>(FFIEC</w:t>
      </w:r>
      <w:r w:rsidRPr="001D5363">
        <w:rPr>
          <w:rFonts w:ascii="Times New Roman" w:hAnsi="Times New Roman"/>
          <w:b/>
        </w:rPr>
        <w:t> </w:t>
      </w:r>
      <w:r w:rsidRPr="001D5363">
        <w:rPr>
          <w:rFonts w:ascii="Times New Roman" w:hAnsi="Times New Roman"/>
          <w:b/>
          <w:bCs/>
        </w:rPr>
        <w:t>002S; OMB No. 7100-0</w:t>
      </w:r>
      <w:r w:rsidR="003F6A74" w:rsidRPr="001D5363">
        <w:rPr>
          <w:rFonts w:ascii="Times New Roman" w:hAnsi="Times New Roman"/>
          <w:b/>
          <w:bCs/>
        </w:rPr>
        <w:t>03</w:t>
      </w:r>
      <w:r w:rsidRPr="001D5363">
        <w:rPr>
          <w:rFonts w:ascii="Times New Roman" w:hAnsi="Times New Roman"/>
          <w:b/>
          <w:bCs/>
        </w:rPr>
        <w:t>2)</w:t>
      </w:r>
    </w:p>
    <w:p w:rsidR="00AA79ED" w:rsidRPr="001D5363" w:rsidRDefault="00AA79ED">
      <w:pPr>
        <w:widowControl/>
        <w:rPr>
          <w:rFonts w:ascii="Times New Roman" w:hAnsi="Times New Roman"/>
          <w:szCs w:val="24"/>
        </w:rPr>
      </w:pPr>
    </w:p>
    <w:p w:rsidR="00AA79ED" w:rsidRPr="001D5363" w:rsidRDefault="00AA79ED">
      <w:pPr>
        <w:widowControl/>
        <w:rPr>
          <w:rFonts w:ascii="Times New Roman" w:hAnsi="Times New Roman"/>
          <w:szCs w:val="24"/>
        </w:rPr>
      </w:pPr>
      <w:r w:rsidRPr="001D5363">
        <w:rPr>
          <w:rFonts w:ascii="Times New Roman" w:hAnsi="Times New Roman"/>
          <w:b/>
          <w:szCs w:val="24"/>
        </w:rPr>
        <w:t>Summary</w:t>
      </w:r>
    </w:p>
    <w:p w:rsidR="00AA79ED" w:rsidRPr="001D5363" w:rsidRDefault="00AA79ED" w:rsidP="007920C4">
      <w:pPr>
        <w:jc w:val="both"/>
        <w:rPr>
          <w:rFonts w:ascii="Times New Roman" w:hAnsi="Times New Roman"/>
          <w:szCs w:val="24"/>
        </w:rPr>
      </w:pPr>
    </w:p>
    <w:p w:rsidR="00E921C6" w:rsidRPr="001D5363" w:rsidRDefault="00AA79ED" w:rsidP="003F6A74">
      <w:pPr>
        <w:ind w:firstLine="720"/>
        <w:jc w:val="both"/>
        <w:rPr>
          <w:rFonts w:ascii="Times New Roman" w:hAnsi="Times New Roman"/>
          <w:szCs w:val="24"/>
        </w:rPr>
      </w:pPr>
      <w:r w:rsidRPr="001D5363">
        <w:rPr>
          <w:rFonts w:ascii="Times New Roman" w:hAnsi="Times New Roman"/>
          <w:szCs w:val="24"/>
        </w:rPr>
        <w:t xml:space="preserve">The Board of Governors of the Federal Reserve System (Board) requests approval from the Office of Management and Budget (OMB) to </w:t>
      </w:r>
      <w:r w:rsidR="00B770B7">
        <w:rPr>
          <w:rFonts w:ascii="Times New Roman" w:hAnsi="Times New Roman"/>
          <w:szCs w:val="24"/>
        </w:rPr>
        <w:t>revise</w:t>
      </w:r>
      <w:r w:rsidR="001B560B">
        <w:rPr>
          <w:rFonts w:ascii="Times New Roman" w:hAnsi="Times New Roman"/>
          <w:szCs w:val="24"/>
        </w:rPr>
        <w:t xml:space="preserve"> </w:t>
      </w:r>
      <w:r w:rsidRPr="001D5363">
        <w:rPr>
          <w:rFonts w:ascii="Times New Roman" w:hAnsi="Times New Roman"/>
          <w:szCs w:val="24"/>
        </w:rPr>
        <w:t>the Federal Financial Institutions Examination Council (FFIEC) Report of Assets and Liabilities of U.S. Branches and Agencies of Foreign Banks (FFIEC</w:t>
      </w:r>
      <w:r w:rsidR="007B0FAE" w:rsidRPr="001D5363">
        <w:rPr>
          <w:rFonts w:ascii="Times New Roman" w:hAnsi="Times New Roman"/>
          <w:szCs w:val="24"/>
        </w:rPr>
        <w:t> </w:t>
      </w:r>
      <w:r w:rsidRPr="001D5363">
        <w:rPr>
          <w:rFonts w:ascii="Times New Roman" w:hAnsi="Times New Roman"/>
          <w:szCs w:val="24"/>
        </w:rPr>
        <w:t>002; OMB No. 7100</w:t>
      </w:r>
      <w:r w:rsidR="00B25BE4" w:rsidRPr="001D5363">
        <w:rPr>
          <w:rFonts w:ascii="Times New Roman" w:hAnsi="Times New Roman"/>
          <w:szCs w:val="24"/>
        </w:rPr>
        <w:t>-</w:t>
      </w:r>
      <w:r w:rsidRPr="001D5363">
        <w:rPr>
          <w:rFonts w:ascii="Times New Roman" w:hAnsi="Times New Roman"/>
          <w:szCs w:val="24"/>
        </w:rPr>
        <w:t>0032)</w:t>
      </w:r>
      <w:r w:rsidR="005061D4" w:rsidRPr="001D5363">
        <w:rPr>
          <w:rFonts w:ascii="Times New Roman" w:hAnsi="Times New Roman"/>
          <w:szCs w:val="24"/>
        </w:rPr>
        <w:t xml:space="preserve"> and </w:t>
      </w:r>
      <w:r w:rsidR="002F48BA" w:rsidRPr="001D5363">
        <w:rPr>
          <w:rFonts w:ascii="Times New Roman" w:hAnsi="Times New Roman"/>
        </w:rPr>
        <w:t>Report of Assets and Liabilities of a Non-U.S. Branch that is Managed or Controlled by a U.S. Branch or Agency of a Foreign (Non-U.S.) Bank (FFIEC 002S; OMB No. 7100-0</w:t>
      </w:r>
      <w:r w:rsidR="003F6A74" w:rsidRPr="001D5363">
        <w:rPr>
          <w:rFonts w:ascii="Times New Roman" w:hAnsi="Times New Roman"/>
        </w:rPr>
        <w:t>03</w:t>
      </w:r>
      <w:r w:rsidR="002F48BA" w:rsidRPr="001D5363">
        <w:rPr>
          <w:rFonts w:ascii="Times New Roman" w:hAnsi="Times New Roman"/>
        </w:rPr>
        <w:t>2)</w:t>
      </w:r>
      <w:r w:rsidR="00BB4686">
        <w:rPr>
          <w:rFonts w:ascii="Times New Roman" w:hAnsi="Times New Roman"/>
        </w:rPr>
        <w:t xml:space="preserve"> under the emergency clearance provisions of OMB’s regulations</w:t>
      </w:r>
      <w:r w:rsidR="00ED6589" w:rsidRPr="001D5363">
        <w:rPr>
          <w:rFonts w:ascii="Times New Roman" w:hAnsi="Times New Roman"/>
        </w:rPr>
        <w:t>.</w:t>
      </w:r>
      <w:r w:rsidRPr="001D5363">
        <w:rPr>
          <w:rFonts w:ascii="Times New Roman" w:hAnsi="Times New Roman"/>
          <w:szCs w:val="24"/>
        </w:rPr>
        <w:t xml:space="preserve"> </w:t>
      </w:r>
      <w:r w:rsidR="00B25BE4" w:rsidRPr="001D5363">
        <w:rPr>
          <w:rFonts w:ascii="Times New Roman" w:hAnsi="Times New Roman"/>
          <w:szCs w:val="24"/>
        </w:rPr>
        <w:t xml:space="preserve"> The Board submits </w:t>
      </w:r>
      <w:r w:rsidR="007920C4" w:rsidRPr="001D5363">
        <w:rPr>
          <w:rFonts w:ascii="Times New Roman" w:hAnsi="Times New Roman"/>
          <w:szCs w:val="24"/>
        </w:rPr>
        <w:t xml:space="preserve">this request </w:t>
      </w:r>
      <w:r w:rsidR="00B25BE4" w:rsidRPr="001D5363">
        <w:rPr>
          <w:rFonts w:ascii="Times New Roman" w:hAnsi="Times New Roman"/>
          <w:szCs w:val="24"/>
        </w:rPr>
        <w:t>on behalf of the Federal Deposit Insurance Corporation (FDIC) and the Office of the Comptroller of the Currency (OCC)</w:t>
      </w:r>
      <w:r w:rsidR="007920C4" w:rsidRPr="001D5363">
        <w:rPr>
          <w:rFonts w:ascii="Times New Roman" w:hAnsi="Times New Roman"/>
          <w:szCs w:val="24"/>
        </w:rPr>
        <w:t xml:space="preserve">. </w:t>
      </w:r>
      <w:r w:rsidRPr="001D5363">
        <w:rPr>
          <w:rFonts w:ascii="Times New Roman" w:hAnsi="Times New Roman"/>
          <w:szCs w:val="24"/>
        </w:rPr>
        <w:t xml:space="preserve"> </w:t>
      </w:r>
      <w:r w:rsidR="007920C4" w:rsidRPr="001D5363">
        <w:rPr>
          <w:rFonts w:ascii="Times New Roman" w:hAnsi="Times New Roman"/>
          <w:szCs w:val="24"/>
        </w:rPr>
        <w:t xml:space="preserve">No separate submission will be made by </w:t>
      </w:r>
      <w:r w:rsidR="00B82A7E" w:rsidRPr="001D5363">
        <w:rPr>
          <w:rFonts w:ascii="Times New Roman" w:hAnsi="Times New Roman"/>
          <w:szCs w:val="24"/>
        </w:rPr>
        <w:t>either of those agencies.</w:t>
      </w:r>
    </w:p>
    <w:p w:rsidR="00E921C6" w:rsidRPr="001D5363" w:rsidRDefault="00E921C6" w:rsidP="00E921C6">
      <w:pPr>
        <w:jc w:val="both"/>
        <w:rPr>
          <w:rFonts w:ascii="Times New Roman" w:hAnsi="Times New Roman"/>
          <w:szCs w:val="24"/>
        </w:rPr>
      </w:pPr>
    </w:p>
    <w:p w:rsidR="00117948" w:rsidRPr="001D5363" w:rsidRDefault="0048423E" w:rsidP="005C3C84">
      <w:pPr>
        <w:widowControl/>
        <w:ind w:firstLine="720"/>
        <w:jc w:val="both"/>
        <w:rPr>
          <w:rFonts w:ascii="Times New Roman" w:hAnsi="Times New Roman"/>
          <w:szCs w:val="24"/>
        </w:rPr>
      </w:pPr>
      <w:r w:rsidRPr="001F3C86">
        <w:rPr>
          <w:rFonts w:ascii="Times New Roman" w:hAnsi="Times New Roman"/>
          <w:szCs w:val="24"/>
        </w:rPr>
        <w:t xml:space="preserve">The agencies propose </w:t>
      </w:r>
      <w:r>
        <w:rPr>
          <w:rFonts w:ascii="Times New Roman" w:hAnsi="Times New Roman"/>
          <w:szCs w:val="24"/>
        </w:rPr>
        <w:t xml:space="preserve">to </w:t>
      </w:r>
      <w:r w:rsidR="000A57AF" w:rsidRPr="000A57AF">
        <w:rPr>
          <w:rFonts w:ascii="Times New Roman" w:hAnsi="Times New Roman"/>
          <w:szCs w:val="24"/>
        </w:rPr>
        <w:t xml:space="preserve">(1) delete existing data items for the total daily averages of deposit liabilities before exclusions, allowable exclusions, and foreign deposits </w:t>
      </w:r>
      <w:r w:rsidR="000A57AF">
        <w:rPr>
          <w:rFonts w:ascii="Times New Roman" w:hAnsi="Times New Roman"/>
          <w:szCs w:val="24"/>
        </w:rPr>
        <w:t xml:space="preserve">and (2) </w:t>
      </w:r>
      <w:r w:rsidR="00BA5832" w:rsidRPr="00BA5832">
        <w:rPr>
          <w:rFonts w:ascii="Times New Roman" w:hAnsi="Times New Roman"/>
          <w:szCs w:val="24"/>
        </w:rPr>
        <w:t xml:space="preserve">add data items for reporting average consolidated total assets, average tangible equity, and </w:t>
      </w:r>
      <w:r w:rsidR="001B6CE5" w:rsidRPr="001B6CE5">
        <w:rPr>
          <w:rFonts w:ascii="Times New Roman" w:hAnsi="Times New Roman"/>
          <w:szCs w:val="24"/>
        </w:rPr>
        <w:t xml:space="preserve">the </w:t>
      </w:r>
      <w:r w:rsidR="00E24DE2" w:rsidRPr="00E24DE2">
        <w:rPr>
          <w:rFonts w:ascii="Times New Roman" w:hAnsi="Times New Roman"/>
          <w:szCs w:val="24"/>
        </w:rPr>
        <w:t>holdings of long-term unsecured debt issued by other FDIC-insured depository institutions</w:t>
      </w:r>
      <w:r w:rsidRPr="001F3C86">
        <w:rPr>
          <w:rFonts w:ascii="Times New Roman" w:hAnsi="Times New Roman"/>
          <w:szCs w:val="24"/>
        </w:rPr>
        <w:t xml:space="preserve">.  </w:t>
      </w:r>
      <w:r w:rsidR="00BA5832" w:rsidRPr="00BA5832">
        <w:rPr>
          <w:rFonts w:ascii="Times New Roman" w:hAnsi="Times New Roman"/>
          <w:szCs w:val="24"/>
        </w:rPr>
        <w:t>These revisions arise from a final rule approved by the FDIC Board of Directors on</w:t>
      </w:r>
      <w:r w:rsidRPr="001F3C86">
        <w:rPr>
          <w:rFonts w:ascii="Times New Roman" w:hAnsi="Times New Roman"/>
          <w:szCs w:val="24"/>
        </w:rPr>
        <w:t xml:space="preserve"> February 7, 2011, that implements the requirements of section 331(b) of the Dodd-Frank Act by amending part 327 of the FDIC’s regulations</w:t>
      </w:r>
      <w:r>
        <w:rPr>
          <w:rFonts w:ascii="Times New Roman" w:hAnsi="Times New Roman"/>
          <w:szCs w:val="24"/>
        </w:rPr>
        <w:t xml:space="preserve">, </w:t>
      </w:r>
      <w:r w:rsidRPr="001F3C86">
        <w:rPr>
          <w:rFonts w:ascii="Times New Roman" w:hAnsi="Times New Roman"/>
          <w:szCs w:val="24"/>
        </w:rPr>
        <w:t>effective April 1, 2011</w:t>
      </w:r>
      <w:r>
        <w:rPr>
          <w:rFonts w:ascii="Times New Roman" w:hAnsi="Times New Roman"/>
          <w:szCs w:val="24"/>
        </w:rPr>
        <w:t xml:space="preserve">.  </w:t>
      </w:r>
      <w:r w:rsidR="00BA5832" w:rsidRPr="00BA5832">
        <w:rPr>
          <w:rFonts w:ascii="Times New Roman" w:hAnsi="Times New Roman"/>
          <w:szCs w:val="24"/>
        </w:rPr>
        <w:t>Section 331(b) required the FDIC to amend its regulations to redefine the assessment base used for calculating deposit insurance assessments as average consolidated total assets minus average tangible equity.</w:t>
      </w:r>
      <w:r>
        <w:rPr>
          <w:rFonts w:ascii="Times New Roman" w:hAnsi="Times New Roman"/>
          <w:szCs w:val="24"/>
        </w:rPr>
        <w:t xml:space="preserve">  </w:t>
      </w:r>
      <w:r w:rsidR="006617D0" w:rsidRPr="001D5363">
        <w:rPr>
          <w:rFonts w:ascii="Times New Roman" w:hAnsi="Times New Roman"/>
        </w:rPr>
        <w:t>T</w:t>
      </w:r>
      <w:r w:rsidR="00B52E51" w:rsidRPr="001D5363">
        <w:rPr>
          <w:rFonts w:ascii="Times New Roman" w:hAnsi="Times New Roman"/>
        </w:rPr>
        <w:t xml:space="preserve">he agencies would implement the proposed changes for the </w:t>
      </w:r>
      <w:r w:rsidR="00BB4686">
        <w:rPr>
          <w:rFonts w:ascii="Times New Roman" w:hAnsi="Times New Roman"/>
        </w:rPr>
        <w:t>June</w:t>
      </w:r>
      <w:r w:rsidR="00B52E51" w:rsidRPr="001D5363">
        <w:rPr>
          <w:rFonts w:ascii="Times New Roman" w:hAnsi="Times New Roman"/>
        </w:rPr>
        <w:t xml:space="preserve"> 3</w:t>
      </w:r>
      <w:r w:rsidR="00BB4686">
        <w:rPr>
          <w:rFonts w:ascii="Times New Roman" w:hAnsi="Times New Roman"/>
        </w:rPr>
        <w:t>0</w:t>
      </w:r>
      <w:r w:rsidR="00B52E51" w:rsidRPr="001D5363">
        <w:rPr>
          <w:rFonts w:ascii="Times New Roman" w:hAnsi="Times New Roman"/>
        </w:rPr>
        <w:t>, 2011, reporting date.</w:t>
      </w:r>
      <w:r w:rsidR="005C3C84" w:rsidRPr="001D5363">
        <w:rPr>
          <w:rFonts w:ascii="Times New Roman" w:hAnsi="Times New Roman"/>
        </w:rPr>
        <w:t xml:space="preserve">  </w:t>
      </w:r>
      <w:r w:rsidR="00117948" w:rsidRPr="001D5363">
        <w:rPr>
          <w:rFonts w:ascii="Times New Roman" w:hAnsi="Times New Roman"/>
          <w:color w:val="000000"/>
        </w:rPr>
        <w:t xml:space="preserve">The </w:t>
      </w:r>
      <w:r w:rsidR="00FD59E4" w:rsidRPr="001D5363">
        <w:rPr>
          <w:rFonts w:ascii="Times New Roman" w:hAnsi="Times New Roman"/>
          <w:color w:val="000000"/>
        </w:rPr>
        <w:t xml:space="preserve">proposed </w:t>
      </w:r>
      <w:r w:rsidR="00117948" w:rsidRPr="001D5363">
        <w:rPr>
          <w:rFonts w:ascii="Times New Roman" w:hAnsi="Times New Roman"/>
          <w:color w:val="000000"/>
        </w:rPr>
        <w:t xml:space="preserve">annual burden for the FFIEC 002 is estimated to be </w:t>
      </w:r>
      <w:r w:rsidR="00C207F2">
        <w:rPr>
          <w:rFonts w:ascii="Times New Roman" w:hAnsi="Times New Roman"/>
        </w:rPr>
        <w:t>25</w:t>
      </w:r>
      <w:r w:rsidR="00BB5E8B" w:rsidRPr="001D5363">
        <w:rPr>
          <w:rFonts w:ascii="Times New Roman" w:hAnsi="Times New Roman"/>
        </w:rPr>
        <w:t>,</w:t>
      </w:r>
      <w:r w:rsidR="00C207F2">
        <w:rPr>
          <w:rFonts w:ascii="Times New Roman" w:hAnsi="Times New Roman"/>
        </w:rPr>
        <w:t>577</w:t>
      </w:r>
      <w:r w:rsidR="00BB5E8B" w:rsidRPr="001D5363">
        <w:rPr>
          <w:rFonts w:ascii="Times New Roman" w:hAnsi="Times New Roman"/>
        </w:rPr>
        <w:t xml:space="preserve"> </w:t>
      </w:r>
      <w:r w:rsidR="00117948" w:rsidRPr="001D5363">
        <w:rPr>
          <w:rFonts w:ascii="Times New Roman" w:hAnsi="Times New Roman"/>
          <w:color w:val="000000"/>
        </w:rPr>
        <w:t>hours</w:t>
      </w:r>
      <w:r w:rsidR="00FD59E4" w:rsidRPr="001D5363">
        <w:rPr>
          <w:rFonts w:ascii="Times New Roman" w:hAnsi="Times New Roman"/>
          <w:color w:val="000000"/>
        </w:rPr>
        <w:t>,</w:t>
      </w:r>
      <w:r w:rsidR="004B641C" w:rsidRPr="001D5363">
        <w:rPr>
          <w:rFonts w:ascii="Times New Roman" w:hAnsi="Times New Roman"/>
          <w:color w:val="000000"/>
        </w:rPr>
        <w:t xml:space="preserve"> </w:t>
      </w:r>
      <w:r w:rsidR="00B032FD" w:rsidRPr="001D5363">
        <w:rPr>
          <w:rFonts w:ascii="Times New Roman" w:hAnsi="Times New Roman"/>
          <w:color w:val="000000"/>
        </w:rPr>
        <w:t xml:space="preserve">an increase of </w:t>
      </w:r>
      <w:r w:rsidR="00C207F2">
        <w:rPr>
          <w:rFonts w:ascii="Times New Roman" w:hAnsi="Times New Roman"/>
          <w:color w:val="000000"/>
        </w:rPr>
        <w:t>9</w:t>
      </w:r>
      <w:r w:rsidR="00FD59E4" w:rsidRPr="001D5363">
        <w:rPr>
          <w:rFonts w:ascii="Times New Roman" w:hAnsi="Times New Roman"/>
          <w:color w:val="000000"/>
        </w:rPr>
        <w:t xml:space="preserve"> hours </w:t>
      </w:r>
      <w:r w:rsidR="00B032FD" w:rsidRPr="001D5363">
        <w:rPr>
          <w:rFonts w:ascii="Times New Roman" w:hAnsi="Times New Roman"/>
          <w:color w:val="000000"/>
        </w:rPr>
        <w:t xml:space="preserve">from the current burden of </w:t>
      </w:r>
      <w:r w:rsidR="00AB356D">
        <w:rPr>
          <w:rFonts w:ascii="Times New Roman" w:hAnsi="Times New Roman"/>
          <w:color w:val="000000"/>
        </w:rPr>
        <w:t>2</w:t>
      </w:r>
      <w:r w:rsidR="00C207F2">
        <w:rPr>
          <w:rFonts w:ascii="Times New Roman" w:hAnsi="Times New Roman"/>
          <w:color w:val="000000"/>
        </w:rPr>
        <w:t>5</w:t>
      </w:r>
      <w:r w:rsidR="00AB356D">
        <w:rPr>
          <w:rFonts w:ascii="Times New Roman" w:hAnsi="Times New Roman"/>
          <w:color w:val="000000"/>
        </w:rPr>
        <w:t>,</w:t>
      </w:r>
      <w:r w:rsidR="00C207F2">
        <w:rPr>
          <w:rFonts w:ascii="Times New Roman" w:hAnsi="Times New Roman"/>
          <w:color w:val="000000"/>
        </w:rPr>
        <w:t>568</w:t>
      </w:r>
      <w:r w:rsidR="00BB5E8B" w:rsidRPr="001D5363">
        <w:rPr>
          <w:rFonts w:ascii="Times New Roman" w:hAnsi="Times New Roman"/>
        </w:rPr>
        <w:t xml:space="preserve"> </w:t>
      </w:r>
      <w:r w:rsidR="00B032FD" w:rsidRPr="001D5363">
        <w:rPr>
          <w:rFonts w:ascii="Times New Roman" w:hAnsi="Times New Roman"/>
          <w:color w:val="000000"/>
        </w:rPr>
        <w:t>hours</w:t>
      </w:r>
      <w:r w:rsidR="00117948" w:rsidRPr="001D5363">
        <w:rPr>
          <w:rFonts w:ascii="Times New Roman" w:hAnsi="Times New Roman"/>
          <w:color w:val="000000"/>
        </w:rPr>
        <w:t>.</w:t>
      </w:r>
      <w:r w:rsidR="006621A4" w:rsidRPr="001D5363">
        <w:rPr>
          <w:rFonts w:ascii="Times New Roman" w:hAnsi="Times New Roman"/>
          <w:color w:val="000000"/>
        </w:rPr>
        <w:t xml:space="preserve">  The current annual burden for the FFIEC 002S is estimated to be 1,</w:t>
      </w:r>
      <w:r w:rsidR="00AB356D">
        <w:rPr>
          <w:rFonts w:ascii="Times New Roman" w:hAnsi="Times New Roman"/>
          <w:color w:val="000000"/>
        </w:rPr>
        <w:t>3</w:t>
      </w:r>
      <w:r w:rsidR="00BB5E8B" w:rsidRPr="001D5363">
        <w:rPr>
          <w:rFonts w:ascii="Times New Roman" w:hAnsi="Times New Roman"/>
          <w:color w:val="000000"/>
        </w:rPr>
        <w:t>6</w:t>
      </w:r>
      <w:r w:rsidR="00AB356D">
        <w:rPr>
          <w:rFonts w:ascii="Times New Roman" w:hAnsi="Times New Roman"/>
          <w:color w:val="000000"/>
        </w:rPr>
        <w:t>8</w:t>
      </w:r>
      <w:r w:rsidR="006621A4" w:rsidRPr="001D5363">
        <w:rPr>
          <w:rFonts w:ascii="Times New Roman" w:hAnsi="Times New Roman"/>
          <w:color w:val="000000"/>
        </w:rPr>
        <w:t xml:space="preserve"> hours</w:t>
      </w:r>
      <w:r w:rsidR="006621A4" w:rsidRPr="001D5363">
        <w:rPr>
          <w:rFonts w:ascii="Times New Roman" w:hAnsi="Times New Roman"/>
        </w:rPr>
        <w:t xml:space="preserve"> </w:t>
      </w:r>
      <w:r w:rsidR="006621A4" w:rsidRPr="001D5363">
        <w:rPr>
          <w:rFonts w:ascii="Times New Roman" w:hAnsi="Times New Roman"/>
          <w:szCs w:val="24"/>
        </w:rPr>
        <w:t>and would remain unchanged.</w:t>
      </w:r>
    </w:p>
    <w:p w:rsidR="00842C6E" w:rsidRPr="001D5363" w:rsidRDefault="00842C6E">
      <w:pPr>
        <w:widowControl/>
        <w:rPr>
          <w:rFonts w:ascii="Times New Roman" w:hAnsi="Times New Roman"/>
          <w:b/>
          <w:szCs w:val="24"/>
        </w:rPr>
      </w:pPr>
    </w:p>
    <w:p w:rsidR="00AA79ED" w:rsidRPr="001D5363" w:rsidRDefault="00AA79ED">
      <w:pPr>
        <w:widowControl/>
        <w:rPr>
          <w:rFonts w:ascii="Times New Roman" w:hAnsi="Times New Roman"/>
          <w:szCs w:val="24"/>
        </w:rPr>
      </w:pPr>
      <w:r w:rsidRPr="001D5363">
        <w:rPr>
          <w:rFonts w:ascii="Times New Roman" w:hAnsi="Times New Roman"/>
          <w:b/>
          <w:szCs w:val="24"/>
        </w:rPr>
        <w:t>Background and Justification</w:t>
      </w:r>
    </w:p>
    <w:p w:rsidR="00AA79ED" w:rsidRPr="001D5363" w:rsidRDefault="00AA79ED">
      <w:pPr>
        <w:widowControl/>
        <w:rPr>
          <w:rFonts w:ascii="Times New Roman" w:hAnsi="Times New Roman"/>
          <w:szCs w:val="24"/>
        </w:rPr>
      </w:pPr>
    </w:p>
    <w:p w:rsidR="00AA79ED" w:rsidRPr="001D5363" w:rsidRDefault="00AA79ED" w:rsidP="00FE534E">
      <w:pPr>
        <w:widowControl/>
        <w:ind w:firstLine="720"/>
        <w:jc w:val="both"/>
        <w:rPr>
          <w:rFonts w:ascii="Times New Roman" w:hAnsi="Times New Roman"/>
          <w:szCs w:val="24"/>
        </w:rPr>
      </w:pPr>
      <w:r w:rsidRPr="001D5363">
        <w:rPr>
          <w:rFonts w:ascii="Times New Roman" w:hAnsi="Times New Roman"/>
          <w:szCs w:val="24"/>
        </w:rPr>
        <w:t xml:space="preserve">The </w:t>
      </w:r>
      <w:r w:rsidR="00B25BE4" w:rsidRPr="001D5363">
        <w:rPr>
          <w:rFonts w:ascii="Times New Roman" w:hAnsi="Times New Roman"/>
          <w:szCs w:val="24"/>
        </w:rPr>
        <w:t>agencies</w:t>
      </w:r>
      <w:r w:rsidRPr="001D5363">
        <w:rPr>
          <w:rFonts w:ascii="Times New Roman" w:hAnsi="Times New Roman"/>
          <w:szCs w:val="24"/>
        </w:rPr>
        <w:t xml:space="preserve"> use the FFIEC</w:t>
      </w:r>
      <w:r w:rsidR="007B0FAE" w:rsidRPr="001D5363">
        <w:rPr>
          <w:rFonts w:ascii="Times New Roman" w:hAnsi="Times New Roman"/>
        </w:rPr>
        <w:t> </w:t>
      </w:r>
      <w:r w:rsidRPr="001D5363">
        <w:rPr>
          <w:rFonts w:ascii="Times New Roman" w:hAnsi="Times New Roman"/>
          <w:szCs w:val="24"/>
        </w:rPr>
        <w:t>002 report for supervisory and regulatory purposes.  The Board also uses the data for monetary policy purposes.  The report is similar to the</w:t>
      </w:r>
      <w:r w:rsidRPr="001D5363">
        <w:rPr>
          <w:rFonts w:ascii="Times New Roman" w:hAnsi="Times New Roman"/>
          <w:i/>
          <w:iCs/>
          <w:color w:val="000000"/>
          <w:szCs w:val="24"/>
        </w:rPr>
        <w:t xml:space="preserve"> </w:t>
      </w:r>
      <w:r w:rsidR="00AF2C30" w:rsidRPr="00AF2C30">
        <w:rPr>
          <w:rFonts w:ascii="Times New Roman" w:hAnsi="Times New Roman"/>
        </w:rPr>
        <w:t>Consolidated Reports of Condition and Income (Call Report) (FFIEC 031 and FFIEC 041</w:t>
      </w:r>
      <w:r w:rsidR="00811E0B">
        <w:rPr>
          <w:rFonts w:ascii="Times New Roman" w:hAnsi="Times New Roman"/>
        </w:rPr>
        <w:t>; OMB No. 7100-0036</w:t>
      </w:r>
      <w:r w:rsidR="00AF2C30" w:rsidRPr="00AF2C30">
        <w:rPr>
          <w:rFonts w:ascii="Times New Roman" w:hAnsi="Times New Roman"/>
        </w:rPr>
        <w:t>)</w:t>
      </w:r>
      <w:r w:rsidR="000F6998" w:rsidRPr="001D5363">
        <w:rPr>
          <w:rFonts w:ascii="Times New Roman" w:hAnsi="Times New Roman"/>
        </w:rPr>
        <w:t xml:space="preserve"> </w:t>
      </w:r>
      <w:r w:rsidRPr="001D5363">
        <w:rPr>
          <w:rFonts w:ascii="Times New Roman" w:hAnsi="Times New Roman"/>
          <w:szCs w:val="24"/>
        </w:rPr>
        <w:t>required of all U.S. commercial banks, although the FFIEC</w:t>
      </w:r>
      <w:r w:rsidR="007B0FAE" w:rsidRPr="001D5363">
        <w:rPr>
          <w:rFonts w:ascii="Times New Roman" w:hAnsi="Times New Roman"/>
        </w:rPr>
        <w:t> </w:t>
      </w:r>
      <w:r w:rsidRPr="001D5363">
        <w:rPr>
          <w:rFonts w:ascii="Times New Roman" w:hAnsi="Times New Roman"/>
          <w:szCs w:val="24"/>
        </w:rPr>
        <w:t xml:space="preserve">002 collects fewer </w:t>
      </w:r>
      <w:r w:rsidR="00E43F63" w:rsidRPr="001D5363">
        <w:rPr>
          <w:rFonts w:ascii="Times New Roman" w:hAnsi="Times New Roman"/>
          <w:szCs w:val="24"/>
        </w:rPr>
        <w:t xml:space="preserve">data </w:t>
      </w:r>
      <w:r w:rsidRPr="001D5363">
        <w:rPr>
          <w:rFonts w:ascii="Times New Roman" w:hAnsi="Times New Roman"/>
          <w:szCs w:val="24"/>
        </w:rPr>
        <w:t>items of information.</w:t>
      </w:r>
      <w:r w:rsidR="001E09A5" w:rsidRPr="001E09A5">
        <w:rPr>
          <w:rFonts w:ascii="Times New Roman" w:hAnsi="Times New Roman"/>
          <w:szCs w:val="24"/>
        </w:rPr>
        <w:t xml:space="preserve"> </w:t>
      </w:r>
      <w:r w:rsidR="001E09A5" w:rsidRPr="001D5363">
        <w:rPr>
          <w:rFonts w:ascii="Times New Roman" w:hAnsi="Times New Roman"/>
          <w:szCs w:val="24"/>
        </w:rPr>
        <w:t xml:space="preserve">This information is used to fulfill the supervisory and regulatory requirements of the International Banking Act of 1978 (IBA).  </w:t>
      </w:r>
    </w:p>
    <w:p w:rsidR="00755062" w:rsidRDefault="00755062">
      <w:pPr>
        <w:widowControl/>
        <w:jc w:val="both"/>
        <w:rPr>
          <w:rFonts w:ascii="Times New Roman" w:hAnsi="Times New Roman"/>
        </w:rPr>
      </w:pPr>
    </w:p>
    <w:p w:rsidR="00755062" w:rsidRPr="00755062" w:rsidRDefault="00755062" w:rsidP="00755062">
      <w:pPr>
        <w:ind w:firstLine="720"/>
        <w:jc w:val="both"/>
        <w:rPr>
          <w:rFonts w:ascii="Times New Roman" w:hAnsi="Times New Roman"/>
        </w:rPr>
      </w:pPr>
      <w:proofErr w:type="gramStart"/>
      <w:r w:rsidRPr="00755062">
        <w:rPr>
          <w:rFonts w:ascii="Times New Roman" w:hAnsi="Times New Roman"/>
        </w:rPr>
        <w:t>Section 331(b) of the Dodd-Frank Act, which was signed into law on July 21, 2010, required the FDIC to amend its regulations to redefine the assessment base used for calculating deposit insurance assessments as average consolidated total assets minus average tangible equity.</w:t>
      </w:r>
      <w:proofErr w:type="gramEnd"/>
      <w:r w:rsidRPr="00755062">
        <w:rPr>
          <w:rFonts w:ascii="Times New Roman" w:hAnsi="Times New Roman"/>
        </w:rPr>
        <w:t xml:space="preserve">  Under prior law, the assessment base has been defined as domestic deposits minus certain </w:t>
      </w:r>
      <w:r w:rsidRPr="00755062">
        <w:rPr>
          <w:rFonts w:ascii="Times New Roman" w:hAnsi="Times New Roman"/>
        </w:rPr>
        <w:lastRenderedPageBreak/>
        <w:t xml:space="preserve">allowable exclusions, such as pass-through reserve balances.  In general, the intent of Congress in changing the assessment base was to shift a greater percentage of overall total assessments away from community banks and toward the largest institutions, which rely less on domestic deposits for their funding than do smaller institutions.  </w:t>
      </w:r>
    </w:p>
    <w:p w:rsidR="00755062" w:rsidRPr="00755062" w:rsidRDefault="00755062" w:rsidP="00755062">
      <w:pPr>
        <w:jc w:val="both"/>
        <w:rPr>
          <w:rFonts w:ascii="Times New Roman" w:hAnsi="Times New Roman"/>
        </w:rPr>
      </w:pPr>
    </w:p>
    <w:p w:rsidR="00755062" w:rsidRPr="00755062" w:rsidRDefault="00755062" w:rsidP="00755062">
      <w:pPr>
        <w:ind w:firstLine="720"/>
        <w:jc w:val="both"/>
        <w:rPr>
          <w:rFonts w:ascii="Times New Roman" w:hAnsi="Times New Roman"/>
        </w:rPr>
      </w:pPr>
      <w:proofErr w:type="gramStart"/>
      <w:r w:rsidRPr="00755062">
        <w:rPr>
          <w:rFonts w:ascii="Times New Roman" w:hAnsi="Times New Roman"/>
        </w:rPr>
        <w:t>In May 2010, prior to the enactment of the Dodd-Frank Act, the FDIC published a Notice of Proposed Rulemaking (NPR) to revise the assessment system applicable to large insured depository institutions.</w:t>
      </w:r>
      <w:proofErr w:type="gramEnd"/>
      <w:r w:rsidRPr="00755062">
        <w:rPr>
          <w:rStyle w:val="FootnoteReference"/>
          <w:rFonts w:ascii="Times New Roman" w:hAnsi="Times New Roman"/>
          <w:vertAlign w:val="superscript"/>
        </w:rPr>
        <w:footnoteReference w:id="1"/>
      </w:r>
      <w:r w:rsidRPr="00755062">
        <w:rPr>
          <w:rFonts w:ascii="Times New Roman" w:hAnsi="Times New Roman"/>
          <w:vertAlign w:val="superscript"/>
        </w:rPr>
        <w:t xml:space="preserve"> </w:t>
      </w:r>
      <w:r w:rsidRPr="00755062">
        <w:rPr>
          <w:rFonts w:ascii="Times New Roman" w:hAnsi="Times New Roman"/>
        </w:rPr>
        <w:t xml:space="preserve"> The proposed amendments to the FDIC’s assessment regulations were designed to better differentiate large institutions by taking a more forward-looking view of risk and better take into account the losses that the FDIC will incur if an institution fails.  The comment period for the May 2010 NPR ended July 2, 2010, and most </w:t>
      </w:r>
      <w:proofErr w:type="spellStart"/>
      <w:r w:rsidRPr="00755062">
        <w:rPr>
          <w:rFonts w:ascii="Times New Roman" w:hAnsi="Times New Roman"/>
        </w:rPr>
        <w:t>commenters</w:t>
      </w:r>
      <w:proofErr w:type="spellEnd"/>
      <w:r w:rsidRPr="00755062">
        <w:rPr>
          <w:rFonts w:ascii="Times New Roman" w:hAnsi="Times New Roman"/>
        </w:rPr>
        <w:t xml:space="preserve"> requested that the FDIC delay the implementation of the rulemaking until the effects of the pending </w:t>
      </w:r>
      <w:proofErr w:type="spellStart"/>
      <w:r w:rsidRPr="00755062">
        <w:rPr>
          <w:rFonts w:ascii="Times New Roman" w:hAnsi="Times New Roman"/>
        </w:rPr>
        <w:t>Dodd</w:t>
      </w:r>
      <w:r w:rsidRPr="00755062">
        <w:rPr>
          <w:rFonts w:ascii="Times New Roman" w:hAnsi="Times New Roman"/>
        </w:rPr>
        <w:noBreakHyphen/>
        <w:t>Frank</w:t>
      </w:r>
      <w:proofErr w:type="spellEnd"/>
      <w:r w:rsidRPr="00755062">
        <w:rPr>
          <w:rFonts w:ascii="Times New Roman" w:hAnsi="Times New Roman"/>
        </w:rPr>
        <w:t xml:space="preserve"> legislation were known.</w:t>
      </w:r>
    </w:p>
    <w:p w:rsidR="00755062" w:rsidRPr="00755062" w:rsidRDefault="00755062" w:rsidP="00755062">
      <w:pPr>
        <w:jc w:val="both"/>
        <w:rPr>
          <w:rFonts w:ascii="Times New Roman" w:hAnsi="Times New Roman"/>
        </w:rPr>
      </w:pPr>
    </w:p>
    <w:p w:rsidR="00755062" w:rsidRPr="00755062" w:rsidRDefault="00755062" w:rsidP="00755062">
      <w:pPr>
        <w:ind w:firstLine="720"/>
        <w:jc w:val="both"/>
        <w:rPr>
          <w:rFonts w:ascii="Times New Roman" w:hAnsi="Times New Roman"/>
        </w:rPr>
      </w:pPr>
      <w:r w:rsidRPr="00755062">
        <w:rPr>
          <w:rFonts w:ascii="Times New Roman" w:hAnsi="Times New Roman"/>
        </w:rPr>
        <w:t>On November 9, 2010, the FDIC Board approved the publication of two NPRs, one that proposed to redefine the assessment base as prescribed by the Dodd-Frank Act</w:t>
      </w:r>
      <w:r w:rsidRPr="00755062">
        <w:rPr>
          <w:rStyle w:val="FootnoteReference"/>
          <w:rFonts w:ascii="Times New Roman" w:hAnsi="Times New Roman"/>
          <w:vertAlign w:val="superscript"/>
        </w:rPr>
        <w:footnoteReference w:id="2"/>
      </w:r>
      <w:r w:rsidRPr="00755062">
        <w:rPr>
          <w:rFonts w:ascii="Times New Roman" w:hAnsi="Times New Roman"/>
        </w:rPr>
        <w:t xml:space="preserve"> and another that proposed revisions to the large institution assessment system while also factoring in the proposed redefinition of the assessment base as well as comments received on the May 2010 NPR.</w:t>
      </w:r>
      <w:r w:rsidRPr="00755062">
        <w:rPr>
          <w:rStyle w:val="FootnoteReference"/>
          <w:rFonts w:ascii="Times New Roman" w:hAnsi="Times New Roman"/>
          <w:vertAlign w:val="superscript"/>
        </w:rPr>
        <w:footnoteReference w:id="3"/>
      </w:r>
      <w:r w:rsidRPr="00755062">
        <w:rPr>
          <w:rFonts w:ascii="Times New Roman" w:hAnsi="Times New Roman"/>
        </w:rPr>
        <w:t xml:space="preserve">  After revising the proposals where appropriate in response to the comments received on the two November 2010 NPRs, the FDIC Board adopted a final rule on February 7, 2011, amending the FDIC’s regulations to redefine the assessment base used for calculating deposit insurance assessments for all 7,500 insured depository institutions and revise the assessment system for approximately 110 large institutions.</w:t>
      </w:r>
      <w:r w:rsidRPr="00755062">
        <w:rPr>
          <w:rStyle w:val="FootnoteReference"/>
          <w:rFonts w:ascii="Times New Roman" w:hAnsi="Times New Roman"/>
          <w:vertAlign w:val="superscript"/>
        </w:rPr>
        <w:footnoteReference w:id="4"/>
      </w:r>
      <w:r w:rsidRPr="00755062">
        <w:rPr>
          <w:rFonts w:ascii="Times New Roman" w:hAnsi="Times New Roman"/>
        </w:rPr>
        <w:t xml:space="preserve">  The final rule took effect for the quarter beginning April 1, 2011, and will be reflected for the first time in the invoices for deposit insurance assessments due September 30, 2011, using data reported in the Call Reports, Thrift Financial Reports (TFR) (OMB No. 1550-0023), and FFIEC 002</w:t>
      </w:r>
      <w:r w:rsidR="00AF2C30">
        <w:rPr>
          <w:rFonts w:ascii="Times New Roman" w:hAnsi="Times New Roman"/>
        </w:rPr>
        <w:t xml:space="preserve"> and FFIEC </w:t>
      </w:r>
      <w:r w:rsidRPr="00755062">
        <w:rPr>
          <w:rFonts w:ascii="Times New Roman" w:hAnsi="Times New Roman"/>
        </w:rPr>
        <w:t xml:space="preserve">002S reports </w:t>
      </w:r>
      <w:r w:rsidR="00E20A70">
        <w:rPr>
          <w:rFonts w:ascii="Times New Roman" w:hAnsi="Times New Roman"/>
        </w:rPr>
        <w:t>for June 30, 2011.</w:t>
      </w:r>
    </w:p>
    <w:p w:rsidR="00755062" w:rsidRPr="00755062" w:rsidRDefault="00755062" w:rsidP="00755062">
      <w:pPr>
        <w:jc w:val="both"/>
        <w:rPr>
          <w:rFonts w:ascii="Times New Roman" w:hAnsi="Times New Roman"/>
        </w:rPr>
      </w:pPr>
    </w:p>
    <w:p w:rsidR="00755062" w:rsidRPr="00755062" w:rsidRDefault="00755062" w:rsidP="00755062">
      <w:pPr>
        <w:ind w:firstLine="720"/>
        <w:jc w:val="both"/>
        <w:rPr>
          <w:rFonts w:ascii="Times New Roman" w:hAnsi="Times New Roman"/>
        </w:rPr>
      </w:pPr>
      <w:r w:rsidRPr="00755062">
        <w:rPr>
          <w:rFonts w:ascii="Times New Roman" w:hAnsi="Times New Roman"/>
        </w:rPr>
        <w:t xml:space="preserve">On March 16, 2011, the agencies published an initial </w:t>
      </w:r>
      <w:r w:rsidRPr="00755062">
        <w:rPr>
          <w:rFonts w:ascii="Times New Roman" w:hAnsi="Times New Roman"/>
          <w:i/>
        </w:rPr>
        <w:t xml:space="preserve">Federal Register </w:t>
      </w:r>
      <w:r w:rsidRPr="00755062">
        <w:rPr>
          <w:rFonts w:ascii="Times New Roman" w:hAnsi="Times New Roman"/>
        </w:rPr>
        <w:t>notice in which they requested comment on proposed revisions to these regulatory reports that would provide the data needed by the FDIC to implement the provisions of the February 2011 final rule beginning with the June 30, 2011, report date.</w:t>
      </w:r>
      <w:r w:rsidRPr="00755062">
        <w:rPr>
          <w:rStyle w:val="FootnoteReference"/>
          <w:rFonts w:ascii="Times New Roman" w:hAnsi="Times New Roman"/>
          <w:vertAlign w:val="superscript"/>
        </w:rPr>
        <w:footnoteReference w:id="5"/>
      </w:r>
      <w:r w:rsidRPr="00755062">
        <w:rPr>
          <w:rFonts w:ascii="Times New Roman" w:hAnsi="Times New Roman"/>
          <w:vertAlign w:val="superscript"/>
        </w:rPr>
        <w:t xml:space="preserve"> </w:t>
      </w:r>
      <w:r w:rsidRPr="00755062">
        <w:rPr>
          <w:rFonts w:ascii="Times New Roman" w:hAnsi="Times New Roman"/>
        </w:rPr>
        <w:t xml:space="preserve"> The new data items proposed in the initial notice were linked to specific requirements in the FDIC’s amended assessment regulations.  The draft instructions for these proposed new items incorporated the definitions in and other provisions of these regulations.  Accordingly, the FDIC did not anticipate receiving material comments on the reporting changes proposed in the March 2011 initial notice because the FDIC’s February 2011 final rule on assessments had taken into account the comments received on the two November </w:t>
      </w:r>
      <w:r w:rsidRPr="00755062">
        <w:rPr>
          <w:rFonts w:ascii="Times New Roman" w:hAnsi="Times New Roman"/>
        </w:rPr>
        <w:lastRenderedPageBreak/>
        <w:t xml:space="preserve">2010 NPRs as well as the earlier May 2010 NPR.  Thus, the agencies expected to follow normal clearance procedures and publish a final </w:t>
      </w:r>
      <w:r w:rsidRPr="00755062">
        <w:rPr>
          <w:rFonts w:ascii="Times New Roman" w:hAnsi="Times New Roman"/>
          <w:i/>
        </w:rPr>
        <w:t>Federal Register</w:t>
      </w:r>
      <w:r w:rsidRPr="00755062">
        <w:rPr>
          <w:rFonts w:ascii="Times New Roman" w:hAnsi="Times New Roman"/>
        </w:rPr>
        <w:t xml:space="preserve"> notice for the proposed reporting changes and submit these changes to OMB for review soon after the May 16, 2011, close of the comment period for the initial notice.</w:t>
      </w:r>
    </w:p>
    <w:p w:rsidR="00755062" w:rsidRDefault="00755062" w:rsidP="00755062">
      <w:pPr>
        <w:widowControl/>
        <w:tabs>
          <w:tab w:val="left" w:pos="360"/>
        </w:tabs>
        <w:jc w:val="both"/>
        <w:rPr>
          <w:rFonts w:ascii="Times New Roman" w:hAnsi="Times New Roman"/>
        </w:rPr>
      </w:pPr>
    </w:p>
    <w:p w:rsidR="00755062" w:rsidRPr="00755062" w:rsidRDefault="00755062" w:rsidP="00090098">
      <w:pPr>
        <w:widowControl/>
        <w:ind w:firstLine="720"/>
        <w:jc w:val="both"/>
        <w:rPr>
          <w:rFonts w:ascii="Times New Roman" w:hAnsi="Times New Roman"/>
        </w:rPr>
      </w:pPr>
      <w:r w:rsidRPr="00755062">
        <w:rPr>
          <w:rFonts w:ascii="Times New Roman" w:hAnsi="Times New Roman"/>
        </w:rPr>
        <w:t>The agencies collectively received 19 comments on their initial notice; 17 addressed the new data items for subprime and leveraged loans that are inputs to the revised assessment system for large institutions.</w:t>
      </w:r>
      <w:r w:rsidRPr="00755062">
        <w:rPr>
          <w:rStyle w:val="FootnoteReference"/>
          <w:rFonts w:ascii="Times New Roman" w:hAnsi="Times New Roman"/>
          <w:vertAlign w:val="superscript"/>
        </w:rPr>
        <w:footnoteReference w:id="6"/>
      </w:r>
      <w:r w:rsidRPr="00755062">
        <w:rPr>
          <w:rFonts w:ascii="Times New Roman" w:hAnsi="Times New Roman"/>
          <w:vertAlign w:val="superscript"/>
        </w:rPr>
        <w:t xml:space="preserve"> </w:t>
      </w:r>
      <w:r w:rsidRPr="00755062">
        <w:rPr>
          <w:rFonts w:ascii="Times New Roman" w:hAnsi="Times New Roman"/>
        </w:rPr>
        <w:t xml:space="preserve"> More specifically, these </w:t>
      </w:r>
      <w:proofErr w:type="spellStart"/>
      <w:r w:rsidRPr="00755062">
        <w:rPr>
          <w:rFonts w:ascii="Times New Roman" w:hAnsi="Times New Roman"/>
        </w:rPr>
        <w:t>commenters</w:t>
      </w:r>
      <w:proofErr w:type="spellEnd"/>
      <w:r w:rsidRPr="00755062">
        <w:rPr>
          <w:rFonts w:ascii="Times New Roman" w:hAnsi="Times New Roman"/>
        </w:rPr>
        <w:t xml:space="preserve"> stated that institutions generally do not maintain data on these loans in the manner in which these two loan categories are defined for assessment purposes in the FDIC’s final rule or do not have the ability to capture the prescribed data to enable them to identify these loans in time to file their regulatory reports for the June 30, 2011, report date.  These data availability concerns, particularly as they relate to institutions’ existing loan portfolios, had not been raised as an issue during the rulemaking process for the revised large institution assessment system, which included the publication of two NPRs in 2010.</w:t>
      </w:r>
      <w:r w:rsidRPr="00755062">
        <w:rPr>
          <w:rStyle w:val="FootnoteReference"/>
          <w:rFonts w:ascii="Times New Roman" w:hAnsi="Times New Roman"/>
          <w:vertAlign w:val="superscript"/>
        </w:rPr>
        <w:footnoteReference w:id="7"/>
      </w:r>
      <w:r w:rsidRPr="00755062">
        <w:rPr>
          <w:rFonts w:ascii="Times New Roman" w:hAnsi="Times New Roman"/>
          <w:vertAlign w:val="superscript"/>
        </w:rPr>
        <w:t xml:space="preserve"> </w:t>
      </w:r>
      <w:r w:rsidRPr="00755062">
        <w:rPr>
          <w:rFonts w:ascii="Times New Roman" w:hAnsi="Times New Roman"/>
        </w:rPr>
        <w:t xml:space="preserve"> </w:t>
      </w:r>
    </w:p>
    <w:p w:rsidR="00755062" w:rsidRPr="00755062" w:rsidRDefault="00755062" w:rsidP="00755062">
      <w:pPr>
        <w:ind w:firstLine="720"/>
        <w:jc w:val="both"/>
        <w:rPr>
          <w:rFonts w:ascii="Times New Roman" w:hAnsi="Times New Roman"/>
        </w:rPr>
      </w:pPr>
    </w:p>
    <w:p w:rsidR="00755062" w:rsidRPr="00755062" w:rsidRDefault="00755062" w:rsidP="00755062">
      <w:pPr>
        <w:ind w:firstLine="720"/>
        <w:jc w:val="both"/>
        <w:rPr>
          <w:rFonts w:ascii="Times New Roman" w:hAnsi="Times New Roman"/>
        </w:rPr>
      </w:pPr>
      <w:r w:rsidRPr="00755062">
        <w:rPr>
          <w:rFonts w:ascii="Times New Roman" w:hAnsi="Times New Roman"/>
        </w:rPr>
        <w:t>This unanticipated outcome at the end of the public comment process for the agencies’ March 2011 initial notice required the FDIC to consider possible reporting approaches that would address institutions’ concerns about their ability to identify loans meeting the subprime and leveraged loan definitions in the FDIC’s assessments final rule while also meeting the objectives of the revised large institution assessment system.  However, the consequence of the unexpected need to develop and reach agreement on a workable transition approach for identifying loans that are to be reported as subprime or leveraged for assessment purposes</w:t>
      </w:r>
      <w:r w:rsidRPr="00755062">
        <w:rPr>
          <w:rStyle w:val="FootnoteReference"/>
          <w:rFonts w:ascii="Times New Roman" w:hAnsi="Times New Roman"/>
          <w:vertAlign w:val="superscript"/>
        </w:rPr>
        <w:footnoteReference w:id="8"/>
      </w:r>
      <w:r w:rsidRPr="00755062">
        <w:rPr>
          <w:rFonts w:ascii="Times New Roman" w:hAnsi="Times New Roman"/>
          <w:vertAlign w:val="superscript"/>
        </w:rPr>
        <w:t xml:space="preserve"> </w:t>
      </w:r>
      <w:r w:rsidRPr="00755062">
        <w:rPr>
          <w:rFonts w:ascii="Times New Roman" w:hAnsi="Times New Roman"/>
        </w:rPr>
        <w:t xml:space="preserve">is that the agencies’ use of normal clearance procedures for the assessment-related reporting changes to the Call Report, TFR, and FFIEC 002/002S reports is reasonably likely to prevent or disrupt the initial collection of these new assessment data as of the June 30, 2011, report date as called for under the FDIC’s final rule.  </w:t>
      </w:r>
      <w:r w:rsidRPr="00755062">
        <w:rPr>
          <w:rFonts w:ascii="Times New Roman" w:hAnsi="Times New Roman"/>
          <w:color w:val="000000"/>
        </w:rPr>
        <w:t>Absent OMB approval to implement these reporting changes as of June 30, 2011, community institutions will experience a delay in the shifting of a portion of the overall deposit insurance assessment burden away from them, which was the intent of Section 331(b) of the Dodd-Frank Act.</w:t>
      </w:r>
    </w:p>
    <w:p w:rsidR="00755062" w:rsidRDefault="00755062">
      <w:pPr>
        <w:widowControl/>
        <w:jc w:val="both"/>
        <w:rPr>
          <w:rFonts w:ascii="Times New Roman" w:hAnsi="Times New Roman"/>
        </w:rPr>
      </w:pPr>
    </w:p>
    <w:p w:rsidR="00AA79ED" w:rsidRPr="001D5363" w:rsidRDefault="00AA79ED" w:rsidP="006E73DC">
      <w:pPr>
        <w:jc w:val="both"/>
        <w:rPr>
          <w:rFonts w:ascii="Times New Roman" w:hAnsi="Times New Roman"/>
          <w:b/>
          <w:szCs w:val="24"/>
        </w:rPr>
      </w:pPr>
      <w:r w:rsidRPr="001D5363">
        <w:rPr>
          <w:rFonts w:ascii="Times New Roman" w:hAnsi="Times New Roman"/>
          <w:b/>
          <w:szCs w:val="24"/>
        </w:rPr>
        <w:t>Description of Information Collection</w:t>
      </w:r>
    </w:p>
    <w:p w:rsidR="00AA79ED" w:rsidRPr="001D5363" w:rsidRDefault="00AA79ED">
      <w:pPr>
        <w:widowControl/>
        <w:rPr>
          <w:rFonts w:ascii="Times New Roman" w:hAnsi="Times New Roman"/>
          <w:szCs w:val="24"/>
        </w:rPr>
      </w:pPr>
    </w:p>
    <w:p w:rsidR="00AA79ED" w:rsidRPr="001D5363" w:rsidRDefault="00AA79ED" w:rsidP="00811E0B">
      <w:pPr>
        <w:widowControl/>
        <w:jc w:val="both"/>
        <w:rPr>
          <w:rFonts w:ascii="Times New Roman" w:hAnsi="Times New Roman"/>
          <w:szCs w:val="24"/>
        </w:rPr>
      </w:pPr>
      <w:r w:rsidRPr="001D5363">
        <w:rPr>
          <w:rFonts w:ascii="Times New Roman" w:hAnsi="Times New Roman"/>
          <w:szCs w:val="24"/>
        </w:rPr>
        <w:t>The reporting panel for the FFIEC</w:t>
      </w:r>
      <w:r w:rsidR="007B0FAE" w:rsidRPr="001D5363">
        <w:rPr>
          <w:rFonts w:ascii="Times New Roman" w:hAnsi="Times New Roman"/>
        </w:rPr>
        <w:t> </w:t>
      </w:r>
      <w:r w:rsidRPr="001D5363">
        <w:rPr>
          <w:rFonts w:ascii="Times New Roman" w:hAnsi="Times New Roman"/>
          <w:szCs w:val="24"/>
        </w:rPr>
        <w:t>002 includes all U.S. branches and agencies (including their IBFs) of foreign banks, whether federally licensed or state chartered, insured or uninsured.  The FFIEC</w:t>
      </w:r>
      <w:r w:rsidR="007B0FAE" w:rsidRPr="001D5363">
        <w:rPr>
          <w:rFonts w:ascii="Times New Roman" w:hAnsi="Times New Roman"/>
        </w:rPr>
        <w:t> </w:t>
      </w:r>
      <w:r w:rsidRPr="001D5363">
        <w:rPr>
          <w:rFonts w:ascii="Times New Roman" w:hAnsi="Times New Roman"/>
          <w:szCs w:val="24"/>
        </w:rPr>
        <w:t xml:space="preserve">002 consists of a summary schedule of assets and liabilities (Schedule RAL) and several supporting schedules.  Information is required in each schedule on balances of the entire reporting </w:t>
      </w:r>
      <w:r w:rsidR="00DC46C3" w:rsidRPr="001D5363">
        <w:rPr>
          <w:rFonts w:ascii="Times New Roman" w:hAnsi="Times New Roman"/>
          <w:szCs w:val="24"/>
        </w:rPr>
        <w:t>branch or agency.</w:t>
      </w:r>
      <w:r w:rsidRPr="001D5363">
        <w:rPr>
          <w:rFonts w:ascii="Times New Roman" w:hAnsi="Times New Roman"/>
          <w:szCs w:val="24"/>
        </w:rPr>
        <w:t xml:space="preserve"> </w:t>
      </w:r>
      <w:r w:rsidR="00DC46C3" w:rsidRPr="001D5363">
        <w:rPr>
          <w:rFonts w:ascii="Times New Roman" w:hAnsi="Times New Roman"/>
          <w:szCs w:val="24"/>
        </w:rPr>
        <w:t xml:space="preserve"> O</w:t>
      </w:r>
      <w:r w:rsidRPr="001D5363">
        <w:rPr>
          <w:rFonts w:ascii="Times New Roman" w:hAnsi="Times New Roman"/>
          <w:szCs w:val="24"/>
        </w:rPr>
        <w:t xml:space="preserve">n the schedules for cash (Schedule A), loans (Schedule C), and deposits (Schedule E), separate detail </w:t>
      </w:r>
      <w:r w:rsidR="00DC46C3" w:rsidRPr="001D5363">
        <w:rPr>
          <w:rFonts w:ascii="Times New Roman" w:hAnsi="Times New Roman"/>
          <w:szCs w:val="24"/>
        </w:rPr>
        <w:t xml:space="preserve">is reported </w:t>
      </w:r>
      <w:r w:rsidRPr="001D5363">
        <w:rPr>
          <w:rFonts w:ascii="Times New Roman" w:hAnsi="Times New Roman"/>
          <w:szCs w:val="24"/>
        </w:rPr>
        <w:t>on balances of IBFs.  Unlike the Call Report for domestic banks, the FFIEC</w:t>
      </w:r>
      <w:r w:rsidR="007B0FAE" w:rsidRPr="001D5363">
        <w:rPr>
          <w:rFonts w:ascii="Times New Roman" w:hAnsi="Times New Roman"/>
        </w:rPr>
        <w:t> </w:t>
      </w:r>
      <w:r w:rsidRPr="001D5363">
        <w:rPr>
          <w:rFonts w:ascii="Times New Roman" w:hAnsi="Times New Roman"/>
          <w:szCs w:val="24"/>
        </w:rPr>
        <w:t>002 collects no income data.</w:t>
      </w:r>
    </w:p>
    <w:p w:rsidR="00AA79ED" w:rsidRPr="001D5363" w:rsidRDefault="00AA79ED">
      <w:pPr>
        <w:widowControl/>
        <w:rPr>
          <w:rFonts w:ascii="Times New Roman" w:hAnsi="Times New Roman"/>
          <w:szCs w:val="24"/>
        </w:rPr>
      </w:pPr>
    </w:p>
    <w:p w:rsidR="00F5794F" w:rsidRPr="001D5363" w:rsidRDefault="00F5794F" w:rsidP="00F5794F">
      <w:pPr>
        <w:widowControl/>
        <w:ind w:firstLine="720"/>
        <w:jc w:val="both"/>
        <w:rPr>
          <w:rFonts w:ascii="Times New Roman" w:hAnsi="Times New Roman"/>
        </w:rPr>
      </w:pPr>
      <w:r w:rsidRPr="001D5363">
        <w:rPr>
          <w:rFonts w:ascii="Times New Roman" w:hAnsi="Times New Roman"/>
        </w:rPr>
        <w:t>The FFIEC 002S covers all of the foreign branch</w:t>
      </w:r>
      <w:r w:rsidR="006374F5">
        <w:rPr>
          <w:rFonts w:ascii="Times New Roman" w:hAnsi="Times New Roman"/>
        </w:rPr>
        <w:t>’</w:t>
      </w:r>
      <w:r w:rsidRPr="001D5363">
        <w:rPr>
          <w:rFonts w:ascii="Times New Roman" w:hAnsi="Times New Roman"/>
        </w:rPr>
        <w:t xml:space="preserve">s assets and liabilities, regardless of the currency in which they are payable.  The supplement also covers transactions with all entities, both related and nonrelated, regardless of location.  All due from/due to relationships with related institutions, both depository and </w:t>
      </w:r>
      <w:proofErr w:type="spellStart"/>
      <w:r w:rsidRPr="001D5363">
        <w:rPr>
          <w:rFonts w:ascii="Times New Roman" w:hAnsi="Times New Roman"/>
        </w:rPr>
        <w:t>nondepository</w:t>
      </w:r>
      <w:proofErr w:type="spellEnd"/>
      <w:r w:rsidRPr="001D5363">
        <w:rPr>
          <w:rFonts w:ascii="Times New Roman" w:hAnsi="Times New Roman"/>
        </w:rPr>
        <w:t xml:space="preserve">, are reported on a gross basis, that is, without netting due from and due to </w:t>
      </w:r>
      <w:r w:rsidR="00E43F63" w:rsidRPr="001D5363">
        <w:rPr>
          <w:rFonts w:ascii="Times New Roman" w:hAnsi="Times New Roman"/>
        </w:rPr>
        <w:t xml:space="preserve">data </w:t>
      </w:r>
      <w:r w:rsidRPr="001D5363">
        <w:rPr>
          <w:rFonts w:ascii="Times New Roman" w:hAnsi="Times New Roman"/>
        </w:rPr>
        <w:t xml:space="preserve">items against each other.  </w:t>
      </w:r>
    </w:p>
    <w:p w:rsidR="00F5794F" w:rsidRPr="001D5363" w:rsidRDefault="00F5794F" w:rsidP="00F5794F">
      <w:pPr>
        <w:widowControl/>
        <w:rPr>
          <w:rFonts w:ascii="Times New Roman" w:hAnsi="Times New Roman"/>
        </w:rPr>
      </w:pPr>
    </w:p>
    <w:p w:rsidR="00636EE2" w:rsidRPr="001D5363" w:rsidRDefault="00636EE2" w:rsidP="00AD2499">
      <w:pPr>
        <w:widowControl/>
        <w:rPr>
          <w:rFonts w:ascii="Times New Roman" w:hAnsi="Times New Roman"/>
          <w:b/>
          <w:szCs w:val="24"/>
        </w:rPr>
      </w:pPr>
      <w:r w:rsidRPr="001D5363">
        <w:rPr>
          <w:rFonts w:ascii="Times New Roman" w:hAnsi="Times New Roman"/>
          <w:b/>
          <w:szCs w:val="24"/>
        </w:rPr>
        <w:t>Proposed Revisions</w:t>
      </w:r>
    </w:p>
    <w:p w:rsidR="00636EE2" w:rsidRPr="001D5363" w:rsidRDefault="00636EE2" w:rsidP="00636EE2">
      <w:pPr>
        <w:pStyle w:val="BodyTextIndent2"/>
        <w:ind w:left="0"/>
        <w:jc w:val="both"/>
        <w:rPr>
          <w:rFonts w:ascii="Times New Roman" w:hAnsi="Times New Roman"/>
          <w:szCs w:val="24"/>
        </w:rPr>
      </w:pPr>
    </w:p>
    <w:p w:rsidR="00090098" w:rsidRDefault="00755062">
      <w:pPr>
        <w:pStyle w:val="BodyTextIndent2"/>
        <w:ind w:left="0" w:firstLine="720"/>
        <w:jc w:val="both"/>
        <w:rPr>
          <w:rFonts w:ascii="Times New Roman" w:hAnsi="Times New Roman"/>
        </w:rPr>
      </w:pPr>
      <w:r w:rsidRPr="00755062">
        <w:rPr>
          <w:rFonts w:ascii="Times New Roman" w:hAnsi="Times New Roman"/>
        </w:rPr>
        <w:t xml:space="preserve">The proposed revisions discussed below would be effective June 30, 2011.  </w:t>
      </w:r>
      <w:r w:rsidRPr="00755062">
        <w:rPr>
          <w:rFonts w:ascii="Times New Roman" w:hAnsi="Times New Roman"/>
          <w:color w:val="000000"/>
        </w:rPr>
        <w:t>These revisions arise from a final rule approved by the FDIC Board of Directors on February 7, 2011, which implemented Section 331(b) of the Dodd-Frank Wall Street Reform and Consumer Protection Act (the Dodd-Frank Act).  Section 331(b) required the FDIC to amend its regulations to redefine the assessment base used for calculating deposit insurance assessments as average consolidated total assets minus average tangible equity.</w:t>
      </w:r>
    </w:p>
    <w:p w:rsidR="001B6CE5" w:rsidRPr="00336535" w:rsidRDefault="001B6CE5" w:rsidP="001B6CE5">
      <w:pPr>
        <w:pStyle w:val="BodyTextIndent2"/>
        <w:ind w:left="0"/>
        <w:jc w:val="both"/>
        <w:rPr>
          <w:rFonts w:ascii="Times New Roman" w:hAnsi="Times New Roman"/>
        </w:rPr>
      </w:pPr>
    </w:p>
    <w:p w:rsidR="00755062" w:rsidRDefault="00755062" w:rsidP="00755062">
      <w:pPr>
        <w:widowControl/>
        <w:numPr>
          <w:ilvl w:val="0"/>
          <w:numId w:val="48"/>
        </w:numPr>
        <w:jc w:val="both"/>
        <w:rPr>
          <w:rFonts w:ascii="Times New Roman" w:hAnsi="Times New Roman"/>
        </w:rPr>
      </w:pPr>
      <w:r w:rsidRPr="00755062">
        <w:rPr>
          <w:rFonts w:ascii="Times New Roman" w:hAnsi="Times New Roman"/>
        </w:rPr>
        <w:t>The proposed deletion of the existing data items for the total daily averages of deposit liabilities before exclusions, allowable exclusions, and foreign deposits.</w:t>
      </w:r>
      <w:r w:rsidRPr="00755062">
        <w:rPr>
          <w:rStyle w:val="FootnoteReference"/>
          <w:rFonts w:ascii="Times New Roman" w:hAnsi="Times New Roman"/>
          <w:vertAlign w:val="superscript"/>
        </w:rPr>
        <w:footnoteReference w:id="9"/>
      </w:r>
    </w:p>
    <w:p w:rsidR="00755062" w:rsidRPr="00755062" w:rsidRDefault="00755062" w:rsidP="00755062">
      <w:pPr>
        <w:widowControl/>
        <w:numPr>
          <w:ilvl w:val="0"/>
          <w:numId w:val="48"/>
        </w:numPr>
        <w:jc w:val="both"/>
        <w:rPr>
          <w:rFonts w:ascii="Times New Roman" w:hAnsi="Times New Roman"/>
        </w:rPr>
      </w:pPr>
      <w:r w:rsidRPr="00755062">
        <w:rPr>
          <w:rFonts w:ascii="Times New Roman" w:hAnsi="Times New Roman"/>
        </w:rPr>
        <w:t>The proposed addition of a new data item for reporting average consolidated total assets, which should be calculated using the institution’s total assets, as defined for Call Report balance sheet (Schedule RC) purposes, except that the calculation should incorporate all debt securities (not held for trading) at amortized cost, equity securities with readily determinable fair values at the lower of cost or fair value, and equity securities without readily determinable fair values at historical cost.</w:t>
      </w:r>
      <w:r w:rsidRPr="00755062">
        <w:rPr>
          <w:rStyle w:val="FootnoteReference"/>
          <w:rFonts w:ascii="Times New Roman" w:hAnsi="Times New Roman"/>
          <w:vertAlign w:val="superscript"/>
        </w:rPr>
        <w:footnoteReference w:id="10"/>
      </w:r>
      <w:r w:rsidRPr="00755062">
        <w:rPr>
          <w:rFonts w:ascii="Times New Roman" w:hAnsi="Times New Roman"/>
          <w:vertAlign w:val="superscript"/>
        </w:rPr>
        <w:t xml:space="preserve"> </w:t>
      </w:r>
    </w:p>
    <w:p w:rsidR="00755062" w:rsidRPr="00755062" w:rsidRDefault="00755062" w:rsidP="00755062">
      <w:pPr>
        <w:widowControl/>
        <w:numPr>
          <w:ilvl w:val="0"/>
          <w:numId w:val="48"/>
        </w:numPr>
        <w:jc w:val="both"/>
        <w:rPr>
          <w:rFonts w:ascii="Times New Roman" w:hAnsi="Times New Roman"/>
        </w:rPr>
      </w:pPr>
      <w:r w:rsidRPr="00755062">
        <w:rPr>
          <w:rFonts w:ascii="Times New Roman" w:hAnsi="Times New Roman"/>
        </w:rPr>
        <w:t>The proposed addition of a new data item for reporting average tangible equity, which is defined as Tier 1 capital.</w:t>
      </w:r>
      <w:r w:rsidRPr="00755062">
        <w:rPr>
          <w:rStyle w:val="FootnoteReference"/>
          <w:rFonts w:ascii="Times New Roman" w:hAnsi="Times New Roman"/>
          <w:vertAlign w:val="superscript"/>
        </w:rPr>
        <w:footnoteReference w:id="11"/>
      </w:r>
      <w:r w:rsidRPr="00755062">
        <w:rPr>
          <w:rFonts w:ascii="Times New Roman" w:hAnsi="Times New Roman"/>
          <w:vertAlign w:val="superscript"/>
        </w:rPr>
        <w:t xml:space="preserve"> </w:t>
      </w:r>
    </w:p>
    <w:p w:rsidR="00755062" w:rsidRDefault="00755062" w:rsidP="00755062">
      <w:pPr>
        <w:widowControl/>
        <w:numPr>
          <w:ilvl w:val="0"/>
          <w:numId w:val="48"/>
        </w:numPr>
        <w:jc w:val="both"/>
        <w:rPr>
          <w:rFonts w:ascii="Times New Roman" w:hAnsi="Times New Roman"/>
        </w:rPr>
      </w:pPr>
      <w:r w:rsidRPr="00755062">
        <w:rPr>
          <w:rFonts w:ascii="Times New Roman" w:hAnsi="Times New Roman"/>
        </w:rPr>
        <w:t xml:space="preserve">The proposed </w:t>
      </w:r>
      <w:r w:rsidR="00E24DE2">
        <w:rPr>
          <w:rFonts w:ascii="Times New Roman" w:hAnsi="Times New Roman"/>
        </w:rPr>
        <w:t xml:space="preserve">addition of a new data item for </w:t>
      </w:r>
      <w:r w:rsidR="00E24DE2" w:rsidRPr="00E24DE2">
        <w:rPr>
          <w:rFonts w:ascii="Times New Roman" w:hAnsi="Times New Roman"/>
        </w:rPr>
        <w:t>holdings of long-term unsecured debt issued by other FDIC-insured depository institutions</w:t>
      </w:r>
      <w:r w:rsidRPr="00755062">
        <w:rPr>
          <w:rFonts w:ascii="Times New Roman" w:hAnsi="Times New Roman"/>
        </w:rPr>
        <w:t>.</w:t>
      </w:r>
    </w:p>
    <w:p w:rsidR="00090098" w:rsidRDefault="00090098">
      <w:pPr>
        <w:widowControl/>
        <w:jc w:val="both"/>
        <w:rPr>
          <w:rFonts w:ascii="Times New Roman" w:hAnsi="Times New Roman"/>
        </w:rPr>
      </w:pPr>
    </w:p>
    <w:p w:rsidR="00AD2499" w:rsidRDefault="00AD2499">
      <w:pPr>
        <w:widowControl/>
        <w:rPr>
          <w:rFonts w:ascii="Times New Roman" w:hAnsi="Times New Roman"/>
          <w:b/>
        </w:rPr>
      </w:pPr>
      <w:r>
        <w:rPr>
          <w:rFonts w:ascii="Times New Roman" w:hAnsi="Times New Roman"/>
          <w:b/>
        </w:rPr>
        <w:br w:type="page"/>
      </w:r>
    </w:p>
    <w:p w:rsidR="00090098" w:rsidRDefault="003C6280">
      <w:pPr>
        <w:widowControl/>
        <w:rPr>
          <w:rFonts w:ascii="Times New Roman" w:hAnsi="Times New Roman"/>
          <w:b/>
        </w:rPr>
      </w:pPr>
      <w:r w:rsidRPr="001D5363">
        <w:rPr>
          <w:rFonts w:ascii="Times New Roman" w:hAnsi="Times New Roman"/>
          <w:b/>
        </w:rPr>
        <w:lastRenderedPageBreak/>
        <w:t>Time Schedule for Information Collection</w:t>
      </w:r>
    </w:p>
    <w:p w:rsidR="003C6280" w:rsidRPr="001D5363" w:rsidRDefault="003C6280" w:rsidP="003C6280">
      <w:pPr>
        <w:widowControl/>
        <w:rPr>
          <w:rFonts w:ascii="Times New Roman" w:hAnsi="Times New Roman"/>
        </w:rPr>
      </w:pPr>
    </w:p>
    <w:p w:rsidR="007B4F6D" w:rsidRPr="001D5363" w:rsidRDefault="00AA79ED" w:rsidP="007B4F6D">
      <w:pPr>
        <w:pStyle w:val="EndnoteText"/>
        <w:widowControl/>
        <w:ind w:firstLine="720"/>
        <w:jc w:val="both"/>
        <w:rPr>
          <w:rFonts w:ascii="Times New Roman" w:hAnsi="Times New Roman"/>
        </w:rPr>
      </w:pPr>
      <w:r w:rsidRPr="001D5363">
        <w:rPr>
          <w:rFonts w:ascii="Times New Roman" w:hAnsi="Times New Roman"/>
        </w:rPr>
        <w:t>The FFIEC</w:t>
      </w:r>
      <w:r w:rsidR="007B0FAE" w:rsidRPr="001D5363">
        <w:rPr>
          <w:rFonts w:ascii="Times New Roman" w:hAnsi="Times New Roman"/>
        </w:rPr>
        <w:t> </w:t>
      </w:r>
      <w:r w:rsidRPr="001D5363">
        <w:rPr>
          <w:rFonts w:ascii="Times New Roman" w:hAnsi="Times New Roman"/>
        </w:rPr>
        <w:t xml:space="preserve">002 </w:t>
      </w:r>
      <w:r w:rsidR="000A6431" w:rsidRPr="001D5363">
        <w:rPr>
          <w:rFonts w:ascii="Times New Roman" w:hAnsi="Times New Roman"/>
        </w:rPr>
        <w:t>and FFIEC 002S are</w:t>
      </w:r>
      <w:r w:rsidRPr="001D5363">
        <w:rPr>
          <w:rFonts w:ascii="Times New Roman" w:hAnsi="Times New Roman"/>
        </w:rPr>
        <w:t xml:space="preserve"> collected as of the end of </w:t>
      </w:r>
      <w:r w:rsidR="000A6431" w:rsidRPr="001D5363">
        <w:rPr>
          <w:rFonts w:ascii="Times New Roman" w:hAnsi="Times New Roman"/>
        </w:rPr>
        <w:t xml:space="preserve">the last </w:t>
      </w:r>
      <w:r w:rsidRPr="001D5363">
        <w:rPr>
          <w:rFonts w:ascii="Times New Roman" w:hAnsi="Times New Roman"/>
        </w:rPr>
        <w:t xml:space="preserve">calendar </w:t>
      </w:r>
      <w:r w:rsidR="000A6431" w:rsidRPr="001D5363">
        <w:rPr>
          <w:rFonts w:ascii="Times New Roman" w:hAnsi="Times New Roman"/>
        </w:rPr>
        <w:t xml:space="preserve">day of March, June, September, and December.  U.S. branches and agencies of foreign banks </w:t>
      </w:r>
      <w:r w:rsidRPr="001D5363">
        <w:rPr>
          <w:rFonts w:ascii="Times New Roman" w:hAnsi="Times New Roman"/>
        </w:rPr>
        <w:t>must submit</w:t>
      </w:r>
      <w:r w:rsidR="000A6431" w:rsidRPr="001D5363">
        <w:rPr>
          <w:rFonts w:ascii="Times New Roman" w:hAnsi="Times New Roman"/>
        </w:rPr>
        <w:t xml:space="preserve"> </w:t>
      </w:r>
      <w:r w:rsidRPr="001D5363">
        <w:rPr>
          <w:rFonts w:ascii="Times New Roman" w:hAnsi="Times New Roman"/>
        </w:rPr>
        <w:t xml:space="preserve">the </w:t>
      </w:r>
      <w:r w:rsidR="000A6431" w:rsidRPr="001D5363">
        <w:rPr>
          <w:rFonts w:ascii="Times New Roman" w:hAnsi="Times New Roman"/>
        </w:rPr>
        <w:t xml:space="preserve">FFIEC 002 and FFIEC 002S to the </w:t>
      </w:r>
      <w:r w:rsidRPr="001D5363">
        <w:rPr>
          <w:rFonts w:ascii="Times New Roman" w:hAnsi="Times New Roman"/>
        </w:rPr>
        <w:t xml:space="preserve">appropriate Federal Reserve Bank within </w:t>
      </w:r>
      <w:r w:rsidR="00CB1C7A" w:rsidRPr="001D5363">
        <w:rPr>
          <w:rFonts w:ascii="Times New Roman" w:hAnsi="Times New Roman"/>
        </w:rPr>
        <w:t>30</w:t>
      </w:r>
      <w:r w:rsidRPr="001D5363">
        <w:rPr>
          <w:rFonts w:ascii="Times New Roman" w:hAnsi="Times New Roman"/>
        </w:rPr>
        <w:t xml:space="preserve"> </w:t>
      </w:r>
      <w:r w:rsidR="000A6431" w:rsidRPr="001D5363">
        <w:rPr>
          <w:rFonts w:ascii="Times New Roman" w:hAnsi="Times New Roman"/>
        </w:rPr>
        <w:t xml:space="preserve">calendar </w:t>
      </w:r>
      <w:r w:rsidRPr="001D5363">
        <w:rPr>
          <w:rFonts w:ascii="Times New Roman" w:hAnsi="Times New Roman"/>
        </w:rPr>
        <w:t>days f</w:t>
      </w:r>
      <w:r w:rsidR="000A6431" w:rsidRPr="001D5363">
        <w:rPr>
          <w:rFonts w:ascii="Times New Roman" w:hAnsi="Times New Roman"/>
        </w:rPr>
        <w:t>ollowing</w:t>
      </w:r>
      <w:r w:rsidRPr="001D5363">
        <w:rPr>
          <w:rFonts w:ascii="Times New Roman" w:hAnsi="Times New Roman"/>
        </w:rPr>
        <w:t xml:space="preserve"> the report date.  After the processing and editing functions have been completed, the Board sends the data to the </w:t>
      </w:r>
      <w:r w:rsidR="00B9063A" w:rsidRPr="001D5363">
        <w:rPr>
          <w:rFonts w:ascii="Times New Roman" w:hAnsi="Times New Roman"/>
        </w:rPr>
        <w:t xml:space="preserve">FDIC </w:t>
      </w:r>
      <w:r w:rsidRPr="001D5363">
        <w:rPr>
          <w:rFonts w:ascii="Times New Roman" w:hAnsi="Times New Roman"/>
        </w:rPr>
        <w:t xml:space="preserve">and </w:t>
      </w:r>
      <w:r w:rsidR="00B9063A" w:rsidRPr="001D5363">
        <w:rPr>
          <w:rFonts w:ascii="Times New Roman" w:hAnsi="Times New Roman"/>
        </w:rPr>
        <w:t>OCC</w:t>
      </w:r>
      <w:r w:rsidRPr="001D5363">
        <w:rPr>
          <w:rFonts w:ascii="Times New Roman" w:hAnsi="Times New Roman"/>
        </w:rPr>
        <w:t xml:space="preserve"> for their use in monitoring the </w:t>
      </w:r>
      <w:smartTag w:uri="urn:schemas-microsoft-com:office:smarttags" w:element="country-region">
        <w:smartTag w:uri="urn:schemas-microsoft-com:office:smarttags" w:element="place">
          <w:r w:rsidRPr="001D5363">
            <w:rPr>
              <w:rFonts w:ascii="Times New Roman" w:hAnsi="Times New Roman"/>
            </w:rPr>
            <w:t>U.S.</w:t>
          </w:r>
        </w:smartTag>
      </w:smartTag>
      <w:r w:rsidRPr="001D5363">
        <w:rPr>
          <w:rFonts w:ascii="Times New Roman" w:hAnsi="Times New Roman"/>
        </w:rPr>
        <w:t xml:space="preserve"> activities of foreign banks under their supervision.  Aggregate data for all </w:t>
      </w:r>
      <w:smartTag w:uri="urn:schemas-microsoft-com:office:smarttags" w:element="country-region">
        <w:smartTag w:uri="urn:schemas-microsoft-com:office:smarttags" w:element="place">
          <w:r w:rsidRPr="001D5363">
            <w:rPr>
              <w:rFonts w:ascii="Times New Roman" w:hAnsi="Times New Roman"/>
            </w:rPr>
            <w:t>U.S.</w:t>
          </w:r>
        </w:smartTag>
      </w:smartTag>
      <w:r w:rsidRPr="001D5363">
        <w:rPr>
          <w:rFonts w:ascii="Times New Roman" w:hAnsi="Times New Roman"/>
        </w:rPr>
        <w:t xml:space="preserve"> branches and agencies </w:t>
      </w:r>
      <w:r w:rsidR="000A6431" w:rsidRPr="001D5363">
        <w:rPr>
          <w:rFonts w:ascii="Times New Roman" w:hAnsi="Times New Roman"/>
        </w:rPr>
        <w:t xml:space="preserve">that file the FFIEC 002 </w:t>
      </w:r>
      <w:r w:rsidRPr="001D5363">
        <w:rPr>
          <w:rFonts w:ascii="Times New Roman" w:hAnsi="Times New Roman"/>
        </w:rPr>
        <w:t xml:space="preserve">are published in the </w:t>
      </w:r>
      <w:r w:rsidRPr="001D5363">
        <w:rPr>
          <w:rFonts w:ascii="Times New Roman" w:hAnsi="Times New Roman"/>
          <w:i/>
        </w:rPr>
        <w:t>Federal Reserve Bulletin</w:t>
      </w:r>
      <w:r w:rsidRPr="001D5363">
        <w:rPr>
          <w:rFonts w:ascii="Times New Roman" w:hAnsi="Times New Roman"/>
        </w:rPr>
        <w:t xml:space="preserve"> and are also used in developing flow of funds estimates and the estimates published in t</w:t>
      </w:r>
      <w:r w:rsidR="00B9063A" w:rsidRPr="001D5363">
        <w:rPr>
          <w:rFonts w:ascii="Times New Roman" w:hAnsi="Times New Roman"/>
        </w:rPr>
        <w:t>he</w:t>
      </w:r>
      <w:r w:rsidRPr="001D5363">
        <w:rPr>
          <w:rFonts w:ascii="Times New Roman" w:hAnsi="Times New Roman"/>
        </w:rPr>
        <w:t xml:space="preserve"> Federal Reserve </w:t>
      </w:r>
      <w:r w:rsidR="009F173B" w:rsidRPr="001D5363">
        <w:rPr>
          <w:rFonts w:ascii="Times New Roman" w:hAnsi="Times New Roman"/>
        </w:rPr>
        <w:t xml:space="preserve">weekly H.8 </w:t>
      </w:r>
      <w:r w:rsidRPr="001D5363">
        <w:rPr>
          <w:rFonts w:ascii="Times New Roman" w:hAnsi="Times New Roman"/>
        </w:rPr>
        <w:t xml:space="preserve">statistical release, </w:t>
      </w:r>
      <w:r w:rsidRPr="001D5363">
        <w:rPr>
          <w:rFonts w:ascii="Times New Roman" w:hAnsi="Times New Roman"/>
          <w:i/>
        </w:rPr>
        <w:t>Assets and Liabilities of C</w:t>
      </w:r>
      <w:r w:rsidR="00B9063A" w:rsidRPr="001D5363">
        <w:rPr>
          <w:rFonts w:ascii="Times New Roman" w:hAnsi="Times New Roman"/>
          <w:i/>
        </w:rPr>
        <w:t>ommercial</w:t>
      </w:r>
      <w:r w:rsidRPr="001D5363">
        <w:rPr>
          <w:rFonts w:ascii="Times New Roman" w:hAnsi="Times New Roman"/>
          <w:i/>
        </w:rPr>
        <w:t xml:space="preserve"> Bank</w:t>
      </w:r>
      <w:r w:rsidR="00B9063A" w:rsidRPr="001D5363">
        <w:rPr>
          <w:rFonts w:ascii="Times New Roman" w:hAnsi="Times New Roman"/>
          <w:i/>
        </w:rPr>
        <w:t>s in the United States</w:t>
      </w:r>
      <w:r w:rsidRPr="001D5363">
        <w:rPr>
          <w:rFonts w:ascii="Times New Roman" w:hAnsi="Times New Roman"/>
        </w:rPr>
        <w:t>.</w:t>
      </w:r>
      <w:r w:rsidR="007B4F6D" w:rsidRPr="001D5363">
        <w:rPr>
          <w:rFonts w:ascii="Times New Roman" w:hAnsi="Times New Roman"/>
        </w:rPr>
        <w:t xml:space="preserve">  Aggregate data</w:t>
      </w:r>
      <w:r w:rsidR="000A6431" w:rsidRPr="001D5363">
        <w:rPr>
          <w:rFonts w:ascii="Times New Roman" w:hAnsi="Times New Roman"/>
        </w:rPr>
        <w:t xml:space="preserve"> for the FFIEC 002S</w:t>
      </w:r>
      <w:r w:rsidR="007B4F6D" w:rsidRPr="001D5363">
        <w:rPr>
          <w:rFonts w:ascii="Times New Roman" w:hAnsi="Times New Roman"/>
        </w:rPr>
        <w:t xml:space="preserve"> are available to the public upon request.</w:t>
      </w:r>
    </w:p>
    <w:p w:rsidR="00AA79ED" w:rsidRPr="001D5363" w:rsidRDefault="00AA79ED">
      <w:pPr>
        <w:widowControl/>
        <w:rPr>
          <w:rFonts w:ascii="Times New Roman" w:hAnsi="Times New Roman"/>
        </w:rPr>
      </w:pPr>
    </w:p>
    <w:p w:rsidR="00AA79ED" w:rsidRPr="001D5363" w:rsidRDefault="00AA79ED" w:rsidP="009C6F19">
      <w:pPr>
        <w:widowControl/>
        <w:ind w:firstLine="720"/>
        <w:jc w:val="both"/>
        <w:rPr>
          <w:rFonts w:ascii="Times New Roman" w:hAnsi="Times New Roman"/>
        </w:rPr>
      </w:pPr>
      <w:r w:rsidRPr="001D5363">
        <w:rPr>
          <w:rFonts w:ascii="Times New Roman" w:hAnsi="Times New Roman"/>
        </w:rPr>
        <w:t xml:space="preserve">Individual respondent data, excluding confidential information, are available to the public from the National Technical Information Service in </w:t>
      </w:r>
      <w:smartTag w:uri="urn:schemas-microsoft-com:office:smarttags" w:element="place">
        <w:smartTag w:uri="urn:schemas-microsoft-com:office:smarttags" w:element="City">
          <w:r w:rsidRPr="001D5363">
            <w:rPr>
              <w:rFonts w:ascii="Times New Roman" w:hAnsi="Times New Roman"/>
            </w:rPr>
            <w:t>Springfield</w:t>
          </w:r>
        </w:smartTag>
        <w:r w:rsidRPr="001D5363">
          <w:rPr>
            <w:rFonts w:ascii="Times New Roman" w:hAnsi="Times New Roman"/>
          </w:rPr>
          <w:t xml:space="preserve">, </w:t>
        </w:r>
        <w:smartTag w:uri="urn:schemas-microsoft-com:office:smarttags" w:element="State">
          <w:r w:rsidRPr="001D5363">
            <w:rPr>
              <w:rFonts w:ascii="Times New Roman" w:hAnsi="Times New Roman"/>
            </w:rPr>
            <w:t>Virginia</w:t>
          </w:r>
        </w:smartTag>
      </w:smartTag>
      <w:r w:rsidRPr="001D5363">
        <w:rPr>
          <w:rFonts w:ascii="Times New Roman" w:hAnsi="Times New Roman"/>
        </w:rPr>
        <w:t xml:space="preserve">, upon request.  The information </w:t>
      </w:r>
      <w:r w:rsidR="00DC46C3" w:rsidRPr="001D5363">
        <w:rPr>
          <w:rFonts w:ascii="Times New Roman" w:hAnsi="Times New Roman"/>
        </w:rPr>
        <w:t xml:space="preserve">on file </w:t>
      </w:r>
      <w:r w:rsidRPr="001D5363">
        <w:rPr>
          <w:rFonts w:ascii="Times New Roman" w:hAnsi="Times New Roman"/>
        </w:rPr>
        <w:t xml:space="preserve">is provided </w:t>
      </w:r>
      <w:r w:rsidR="00B159DB" w:rsidRPr="001D5363">
        <w:rPr>
          <w:rFonts w:ascii="Times New Roman" w:hAnsi="Times New Roman"/>
        </w:rPr>
        <w:t>o</w:t>
      </w:r>
      <w:r w:rsidRPr="001D5363">
        <w:rPr>
          <w:rFonts w:ascii="Times New Roman" w:hAnsi="Times New Roman"/>
        </w:rPr>
        <w:t xml:space="preserve">n </w:t>
      </w:r>
      <w:r w:rsidR="00B159DB" w:rsidRPr="001D5363">
        <w:rPr>
          <w:rFonts w:ascii="Times New Roman" w:hAnsi="Times New Roman"/>
        </w:rPr>
        <w:t>compact disc</w:t>
      </w:r>
      <w:r w:rsidRPr="001D5363">
        <w:rPr>
          <w:rFonts w:ascii="Times New Roman" w:hAnsi="Times New Roman"/>
        </w:rPr>
        <w:t>s.</w:t>
      </w:r>
      <w:r w:rsidR="00B159DB" w:rsidRPr="001D5363">
        <w:rPr>
          <w:rFonts w:ascii="Times New Roman" w:hAnsi="Times New Roman"/>
        </w:rPr>
        <w:t xml:space="preserve"> </w:t>
      </w:r>
      <w:r w:rsidRPr="001D5363">
        <w:rPr>
          <w:rFonts w:ascii="Times New Roman" w:hAnsi="Times New Roman"/>
        </w:rPr>
        <w:t xml:space="preserve"> In addition, individual respondent data are also available on</w:t>
      </w:r>
      <w:r w:rsidR="00B159DB" w:rsidRPr="001D5363">
        <w:rPr>
          <w:rFonts w:ascii="Times New Roman" w:hAnsi="Times New Roman"/>
        </w:rPr>
        <w:t xml:space="preserve"> the FFIEC public website at </w:t>
      </w:r>
      <w:hyperlink r:id="rId8" w:history="1">
        <w:r w:rsidR="00636EE2" w:rsidRPr="001D5363">
          <w:rPr>
            <w:rStyle w:val="Hyperlink"/>
            <w:rFonts w:ascii="Times New Roman" w:hAnsi="Times New Roman"/>
          </w:rPr>
          <w:t>www.ffiec.gov/nicpubweb/nicweb/nichome.aspx</w:t>
        </w:r>
      </w:hyperlink>
      <w:r w:rsidRPr="001D5363">
        <w:rPr>
          <w:rFonts w:ascii="Times New Roman" w:hAnsi="Times New Roman"/>
        </w:rPr>
        <w:t>.</w:t>
      </w:r>
      <w:r w:rsidR="00811E0B">
        <w:rPr>
          <w:rFonts w:ascii="Times New Roman" w:hAnsi="Times New Roman"/>
        </w:rPr>
        <w:t xml:space="preserve">  </w:t>
      </w:r>
    </w:p>
    <w:p w:rsidR="000F47E4" w:rsidRPr="001D5363" w:rsidRDefault="000F47E4" w:rsidP="000F47E4">
      <w:pPr>
        <w:pStyle w:val="EndnoteText"/>
        <w:widowControl/>
        <w:rPr>
          <w:rFonts w:ascii="Times New Roman" w:hAnsi="Times New Roman"/>
        </w:rPr>
      </w:pPr>
    </w:p>
    <w:p w:rsidR="00AA79ED" w:rsidRPr="001D5363" w:rsidRDefault="00AA79ED" w:rsidP="003C6280">
      <w:pPr>
        <w:rPr>
          <w:rFonts w:ascii="Times New Roman" w:hAnsi="Times New Roman"/>
          <w:b/>
        </w:rPr>
      </w:pPr>
      <w:r w:rsidRPr="001D5363">
        <w:rPr>
          <w:rFonts w:ascii="Times New Roman" w:hAnsi="Times New Roman"/>
          <w:b/>
        </w:rPr>
        <w:t>Legal Status</w:t>
      </w:r>
    </w:p>
    <w:p w:rsidR="00AA79ED" w:rsidRPr="001D5363" w:rsidRDefault="00AA79ED">
      <w:pPr>
        <w:widowControl/>
        <w:rPr>
          <w:rFonts w:ascii="Times New Roman" w:hAnsi="Times New Roman"/>
        </w:rPr>
      </w:pPr>
    </w:p>
    <w:p w:rsidR="00AA79ED" w:rsidRPr="001D5363" w:rsidRDefault="00E840D0" w:rsidP="00811E0B">
      <w:pPr>
        <w:pStyle w:val="BodyTextIndent3"/>
        <w:rPr>
          <w:rFonts w:ascii="Times New Roman" w:hAnsi="Times New Roman"/>
        </w:rPr>
      </w:pPr>
      <w:r w:rsidRPr="001D5363">
        <w:rPr>
          <w:rFonts w:ascii="Times New Roman" w:hAnsi="Times New Roman"/>
        </w:rPr>
        <w:t xml:space="preserve">The </w:t>
      </w:r>
      <w:r w:rsidR="00DF4E46" w:rsidRPr="001D5363">
        <w:rPr>
          <w:rFonts w:ascii="Times New Roman" w:hAnsi="Times New Roman"/>
        </w:rPr>
        <w:t>Board</w:t>
      </w:r>
      <w:r w:rsidR="006374F5">
        <w:rPr>
          <w:rFonts w:ascii="Times New Roman" w:hAnsi="Times New Roman"/>
        </w:rPr>
        <w:t>’</w:t>
      </w:r>
      <w:r w:rsidR="00DF4E46" w:rsidRPr="001D5363">
        <w:rPr>
          <w:rFonts w:ascii="Times New Roman" w:hAnsi="Times New Roman"/>
        </w:rPr>
        <w:t xml:space="preserve">s </w:t>
      </w:r>
      <w:r w:rsidRPr="001D5363">
        <w:rPr>
          <w:rFonts w:ascii="Times New Roman" w:hAnsi="Times New Roman"/>
        </w:rPr>
        <w:t xml:space="preserve">Legal Division has determined that </w:t>
      </w:r>
      <w:r w:rsidR="000D1A22" w:rsidRPr="001D5363">
        <w:rPr>
          <w:rFonts w:ascii="Times New Roman" w:hAnsi="Times New Roman"/>
        </w:rPr>
        <w:t>section</w:t>
      </w:r>
      <w:r w:rsidR="00DF4E46" w:rsidRPr="001D5363">
        <w:rPr>
          <w:rFonts w:ascii="Times New Roman" w:hAnsi="Times New Roman"/>
        </w:rPr>
        <w:t xml:space="preserve"> </w:t>
      </w:r>
      <w:r w:rsidR="000D1A22" w:rsidRPr="001D5363">
        <w:rPr>
          <w:rFonts w:ascii="Times New Roman" w:hAnsi="Times New Roman"/>
        </w:rPr>
        <w:t>7(c</w:t>
      </w:r>
      <w:proofErr w:type="gramStart"/>
      <w:r w:rsidR="000D1A22" w:rsidRPr="001D5363">
        <w:rPr>
          <w:rFonts w:ascii="Times New Roman" w:hAnsi="Times New Roman"/>
        </w:rPr>
        <w:t>)(</w:t>
      </w:r>
      <w:proofErr w:type="gramEnd"/>
      <w:r w:rsidR="000D1A22" w:rsidRPr="001D5363">
        <w:rPr>
          <w:rFonts w:ascii="Times New Roman" w:hAnsi="Times New Roman"/>
        </w:rPr>
        <w:t xml:space="preserve">2) of the IBA </w:t>
      </w:r>
      <w:r w:rsidR="004E5552" w:rsidRPr="001D5363">
        <w:rPr>
          <w:rFonts w:ascii="Times New Roman" w:hAnsi="Times New Roman"/>
        </w:rPr>
        <w:t>(</w:t>
      </w:r>
      <w:r w:rsidRPr="001D5363">
        <w:rPr>
          <w:rFonts w:ascii="Times New Roman" w:hAnsi="Times New Roman"/>
        </w:rPr>
        <w:t>12 U.S.C. § 3105(c)(2)</w:t>
      </w:r>
      <w:r w:rsidR="004E5552" w:rsidRPr="001D5363">
        <w:rPr>
          <w:rFonts w:ascii="Times New Roman" w:hAnsi="Times New Roman"/>
        </w:rPr>
        <w:t>)</w:t>
      </w:r>
      <w:r w:rsidRPr="001D5363">
        <w:rPr>
          <w:rFonts w:ascii="Times New Roman" w:hAnsi="Times New Roman"/>
        </w:rPr>
        <w:t xml:space="preserve"> authorize</w:t>
      </w:r>
      <w:r w:rsidR="00226C66" w:rsidRPr="001D5363">
        <w:rPr>
          <w:rFonts w:ascii="Times New Roman" w:hAnsi="Times New Roman"/>
        </w:rPr>
        <w:t>s</w:t>
      </w:r>
      <w:r w:rsidRPr="001D5363">
        <w:rPr>
          <w:rFonts w:ascii="Times New Roman" w:hAnsi="Times New Roman"/>
        </w:rPr>
        <w:t xml:space="preserve"> the agencies to require the </w:t>
      </w:r>
      <w:r w:rsidR="000F47E4" w:rsidRPr="001D5363">
        <w:rPr>
          <w:rFonts w:ascii="Times New Roman" w:hAnsi="Times New Roman"/>
        </w:rPr>
        <w:t>FFIEC 002 and FFIEC 002S</w:t>
      </w:r>
      <w:r w:rsidRPr="001D5363">
        <w:rPr>
          <w:rFonts w:ascii="Times New Roman" w:hAnsi="Times New Roman"/>
        </w:rPr>
        <w:t xml:space="preserve">.  </w:t>
      </w:r>
      <w:r w:rsidR="00DF4E46" w:rsidRPr="001D5363">
        <w:rPr>
          <w:rFonts w:ascii="Times New Roman" w:hAnsi="Times New Roman"/>
        </w:rPr>
        <w:t xml:space="preserve">In addition, section 4(b) of the IBA </w:t>
      </w:r>
      <w:r w:rsidR="004E5552" w:rsidRPr="001D5363">
        <w:rPr>
          <w:rFonts w:ascii="Times New Roman" w:hAnsi="Times New Roman"/>
        </w:rPr>
        <w:t>(</w:t>
      </w:r>
      <w:r w:rsidR="00DF4E46" w:rsidRPr="001D5363">
        <w:rPr>
          <w:rFonts w:ascii="Times New Roman" w:hAnsi="Times New Roman"/>
        </w:rPr>
        <w:t>12 U.S.C. § 3102(b)</w:t>
      </w:r>
      <w:r w:rsidR="004E5552" w:rsidRPr="001D5363">
        <w:rPr>
          <w:rFonts w:ascii="Times New Roman" w:hAnsi="Times New Roman"/>
        </w:rPr>
        <w:t>)</w:t>
      </w:r>
      <w:r w:rsidR="00DF4E46" w:rsidRPr="001D5363">
        <w:rPr>
          <w:rFonts w:ascii="Times New Roman" w:hAnsi="Times New Roman"/>
        </w:rPr>
        <w:t xml:space="preserve"> authorizes the OCC to collect the information from Federal branches and Federal agencies of foreign banks.  </w:t>
      </w:r>
      <w:r w:rsidR="00226C66" w:rsidRPr="001D5363">
        <w:rPr>
          <w:rFonts w:ascii="Times New Roman" w:hAnsi="Times New Roman"/>
        </w:rPr>
        <w:t xml:space="preserve">Further, section 7(a) of the Federal Deposit Insurance Act </w:t>
      </w:r>
      <w:r w:rsidR="004E5552" w:rsidRPr="001D5363">
        <w:rPr>
          <w:rFonts w:ascii="Times New Roman" w:hAnsi="Times New Roman"/>
        </w:rPr>
        <w:t>(</w:t>
      </w:r>
      <w:r w:rsidR="00DF4E46" w:rsidRPr="001D5363">
        <w:rPr>
          <w:rFonts w:ascii="Times New Roman" w:hAnsi="Times New Roman"/>
        </w:rPr>
        <w:t>12 U.S.C. § 1817(a)</w:t>
      </w:r>
      <w:r w:rsidR="004E5552" w:rsidRPr="001D5363">
        <w:rPr>
          <w:rFonts w:ascii="Times New Roman" w:hAnsi="Times New Roman"/>
        </w:rPr>
        <w:t>)</w:t>
      </w:r>
      <w:r w:rsidR="00226C66" w:rsidRPr="001D5363">
        <w:rPr>
          <w:rFonts w:ascii="Times New Roman" w:hAnsi="Times New Roman"/>
        </w:rPr>
        <w:t xml:space="preserve"> authorizes the agencies to collect the information from insured branches of foreign banks.  </w:t>
      </w:r>
      <w:r w:rsidR="00AA79ED" w:rsidRPr="001D5363">
        <w:rPr>
          <w:rFonts w:ascii="Times New Roman" w:hAnsi="Times New Roman"/>
        </w:rPr>
        <w:t>The Board</w:t>
      </w:r>
      <w:r w:rsidR="006374F5">
        <w:rPr>
          <w:rFonts w:ascii="Times New Roman" w:hAnsi="Times New Roman"/>
        </w:rPr>
        <w:t>’</w:t>
      </w:r>
      <w:r w:rsidR="00AA79ED" w:rsidRPr="001D5363">
        <w:rPr>
          <w:rFonts w:ascii="Times New Roman" w:hAnsi="Times New Roman"/>
        </w:rPr>
        <w:t xml:space="preserve">s Legal Division has also determined that the individual respondent </w:t>
      </w:r>
      <w:r w:rsidR="00226C66" w:rsidRPr="001D5363">
        <w:rPr>
          <w:rFonts w:ascii="Times New Roman" w:hAnsi="Times New Roman"/>
        </w:rPr>
        <w:t>information</w:t>
      </w:r>
      <w:r w:rsidR="00AA79ED" w:rsidRPr="001D5363">
        <w:rPr>
          <w:rFonts w:ascii="Times New Roman" w:hAnsi="Times New Roman"/>
        </w:rPr>
        <w:t xml:space="preserve"> </w:t>
      </w:r>
      <w:r w:rsidR="008E1401" w:rsidRPr="001D5363">
        <w:rPr>
          <w:rFonts w:ascii="Times New Roman" w:hAnsi="Times New Roman"/>
        </w:rPr>
        <w:t xml:space="preserve">on the FFIEC 002 </w:t>
      </w:r>
      <w:r w:rsidR="00AA79ED" w:rsidRPr="001D5363">
        <w:rPr>
          <w:rFonts w:ascii="Times New Roman" w:hAnsi="Times New Roman"/>
        </w:rPr>
        <w:t xml:space="preserve">contained in Schedule M (Due from/Due to Related Institutions in the U.S. and in Foreign Countries) </w:t>
      </w:r>
      <w:r w:rsidR="00FF3FDF" w:rsidRPr="001D5363">
        <w:rPr>
          <w:rFonts w:ascii="Times New Roman" w:hAnsi="Times New Roman"/>
        </w:rPr>
        <w:t xml:space="preserve">and the </w:t>
      </w:r>
      <w:r w:rsidR="008E1401" w:rsidRPr="001D5363">
        <w:rPr>
          <w:rFonts w:ascii="Times New Roman" w:hAnsi="Times New Roman"/>
        </w:rPr>
        <w:t>FFIEC 002S</w:t>
      </w:r>
      <w:r w:rsidR="00FF3FDF" w:rsidRPr="001D5363">
        <w:rPr>
          <w:rFonts w:ascii="Times New Roman" w:hAnsi="Times New Roman"/>
        </w:rPr>
        <w:t xml:space="preserve"> </w:t>
      </w:r>
      <w:r w:rsidR="00AA79ED" w:rsidRPr="001D5363">
        <w:rPr>
          <w:rFonts w:ascii="Times New Roman" w:hAnsi="Times New Roman"/>
        </w:rPr>
        <w:t xml:space="preserve">is exempt from disclosure pursuant to the Freedom of Information Act </w:t>
      </w:r>
      <w:r w:rsidR="004E5552" w:rsidRPr="001D5363">
        <w:rPr>
          <w:rFonts w:ascii="Times New Roman" w:hAnsi="Times New Roman"/>
        </w:rPr>
        <w:t>(</w:t>
      </w:r>
      <w:r w:rsidR="00AA79ED" w:rsidRPr="001D5363">
        <w:rPr>
          <w:rFonts w:ascii="Times New Roman" w:hAnsi="Times New Roman"/>
        </w:rPr>
        <w:t>5 U.S.C. §</w:t>
      </w:r>
      <w:r w:rsidRPr="001D5363">
        <w:rPr>
          <w:rFonts w:ascii="Times New Roman" w:hAnsi="Times New Roman"/>
        </w:rPr>
        <w:t xml:space="preserve"> </w:t>
      </w:r>
      <w:r w:rsidR="00AA79ED" w:rsidRPr="001D5363">
        <w:rPr>
          <w:rFonts w:ascii="Times New Roman" w:hAnsi="Times New Roman"/>
        </w:rPr>
        <w:t>552(b)(4)</w:t>
      </w:r>
      <w:r w:rsidR="004E5552" w:rsidRPr="001D5363">
        <w:rPr>
          <w:rFonts w:ascii="Times New Roman" w:hAnsi="Times New Roman"/>
        </w:rPr>
        <w:t>)</w:t>
      </w:r>
      <w:r w:rsidR="00AA79ED" w:rsidRPr="001D5363">
        <w:rPr>
          <w:rFonts w:ascii="Times New Roman" w:hAnsi="Times New Roman"/>
        </w:rPr>
        <w:t xml:space="preserve">.  Information from all other schedules of the </w:t>
      </w:r>
      <w:r w:rsidR="008E1401" w:rsidRPr="001D5363">
        <w:rPr>
          <w:rFonts w:ascii="Times New Roman" w:hAnsi="Times New Roman"/>
        </w:rPr>
        <w:t>FFIEC 002</w:t>
      </w:r>
      <w:r w:rsidR="00AA79ED" w:rsidRPr="001D5363">
        <w:rPr>
          <w:rFonts w:ascii="Times New Roman" w:hAnsi="Times New Roman"/>
        </w:rPr>
        <w:t xml:space="preserve"> is available to the public on request.</w:t>
      </w:r>
      <w:r w:rsidR="00811E0B">
        <w:rPr>
          <w:rFonts w:ascii="Times New Roman" w:hAnsi="Times New Roman"/>
        </w:rPr>
        <w:t xml:space="preserve">  The proposed items would not be held confidential.</w:t>
      </w:r>
    </w:p>
    <w:p w:rsidR="00AA79ED" w:rsidRPr="001D5363" w:rsidRDefault="00AA79ED">
      <w:pPr>
        <w:widowControl/>
        <w:rPr>
          <w:rFonts w:ascii="Times New Roman" w:hAnsi="Times New Roman"/>
        </w:rPr>
      </w:pPr>
    </w:p>
    <w:p w:rsidR="00EC738B" w:rsidRPr="001D5363" w:rsidRDefault="00EC738B" w:rsidP="00EC738B">
      <w:pPr>
        <w:widowControl/>
        <w:jc w:val="both"/>
        <w:rPr>
          <w:rFonts w:ascii="Times New Roman" w:hAnsi="Times New Roman"/>
        </w:rPr>
      </w:pPr>
      <w:r w:rsidRPr="001D5363">
        <w:rPr>
          <w:rFonts w:ascii="Times New Roman" w:hAnsi="Times New Roman"/>
          <w:b/>
        </w:rPr>
        <w:t xml:space="preserve">Consultation </w:t>
      </w:r>
      <w:proofErr w:type="gramStart"/>
      <w:r w:rsidRPr="001D5363">
        <w:rPr>
          <w:rFonts w:ascii="Times New Roman" w:hAnsi="Times New Roman"/>
          <w:b/>
        </w:rPr>
        <w:t>Outside</w:t>
      </w:r>
      <w:proofErr w:type="gramEnd"/>
      <w:r w:rsidRPr="001D5363">
        <w:rPr>
          <w:rFonts w:ascii="Times New Roman" w:hAnsi="Times New Roman"/>
          <w:b/>
        </w:rPr>
        <w:t xml:space="preserve"> the Agency</w:t>
      </w:r>
      <w:r w:rsidR="003C3BC1" w:rsidRPr="001D5363">
        <w:rPr>
          <w:rFonts w:ascii="Times New Roman" w:hAnsi="Times New Roman"/>
          <w:b/>
        </w:rPr>
        <w:t xml:space="preserve"> and Discussion of Public Comments</w:t>
      </w:r>
    </w:p>
    <w:p w:rsidR="00EC738B" w:rsidRPr="001D5363" w:rsidRDefault="00EC738B" w:rsidP="00EC738B">
      <w:pPr>
        <w:widowControl/>
        <w:rPr>
          <w:rFonts w:ascii="Times New Roman" w:hAnsi="Times New Roman"/>
        </w:rPr>
      </w:pPr>
    </w:p>
    <w:p w:rsidR="00EC738B" w:rsidRDefault="004A4069" w:rsidP="004A4069">
      <w:pPr>
        <w:ind w:firstLine="720"/>
        <w:jc w:val="both"/>
        <w:rPr>
          <w:rFonts w:ascii="Times New Roman" w:hAnsi="Times New Roman"/>
          <w:color w:val="000000"/>
        </w:rPr>
      </w:pPr>
      <w:r w:rsidRPr="004A4069">
        <w:rPr>
          <w:rFonts w:ascii="Times New Roman" w:hAnsi="Times New Roman"/>
          <w:color w:val="000000"/>
        </w:rPr>
        <w:t xml:space="preserve">The agencies published the notice for comment in the </w:t>
      </w:r>
      <w:r w:rsidRPr="004A4069">
        <w:rPr>
          <w:rFonts w:ascii="Times New Roman" w:hAnsi="Times New Roman"/>
          <w:i/>
          <w:iCs/>
          <w:color w:val="000000"/>
        </w:rPr>
        <w:t xml:space="preserve">Federal Register </w:t>
      </w:r>
      <w:r w:rsidRPr="004A4069">
        <w:rPr>
          <w:rFonts w:ascii="Times New Roman" w:hAnsi="Times New Roman"/>
          <w:iCs/>
          <w:color w:val="000000"/>
        </w:rPr>
        <w:t>on March 16, 2011 (76 FR 14460).  The agencies</w:t>
      </w:r>
      <w:r w:rsidRPr="004A4069">
        <w:rPr>
          <w:rFonts w:ascii="Times New Roman" w:hAnsi="Times New Roman"/>
        </w:rPr>
        <w:t xml:space="preserve"> proposed to implement certain changes to these reports as of June 30, 2011, to provide data needed by the FDIC to implement amendments to its assessment regulations (12 CFR Part 327) that were adopted by the FDIC Board of Directors in a fi</w:t>
      </w:r>
      <w:r>
        <w:rPr>
          <w:rFonts w:ascii="Times New Roman" w:hAnsi="Times New Roman"/>
        </w:rPr>
        <w:t xml:space="preserve">nal rule on February 7, 2011.  </w:t>
      </w:r>
      <w:r w:rsidRPr="004A4069">
        <w:rPr>
          <w:rFonts w:ascii="Times New Roman" w:hAnsi="Times New Roman"/>
        </w:rPr>
        <w:t xml:space="preserve">The agencies </w:t>
      </w:r>
      <w:r w:rsidRPr="004A4069">
        <w:rPr>
          <w:rFonts w:ascii="Times New Roman" w:hAnsi="Times New Roman"/>
          <w:iCs/>
          <w:color w:val="000000"/>
        </w:rPr>
        <w:t>collectively received 19 comments:</w:t>
      </w:r>
      <w:r w:rsidRPr="004A4069">
        <w:rPr>
          <w:rFonts w:ascii="Times New Roman" w:hAnsi="Times New Roman"/>
        </w:rPr>
        <w:t xml:space="preserve"> 14 depository institutions, 4 bankers’ organization, and 1 government agency</w:t>
      </w:r>
      <w:r w:rsidRPr="004A4069">
        <w:rPr>
          <w:rFonts w:ascii="Times New Roman" w:hAnsi="Times New Roman"/>
          <w:color w:val="000000"/>
        </w:rPr>
        <w:t xml:space="preserve">.  </w:t>
      </w:r>
      <w:r w:rsidRPr="004A4069">
        <w:rPr>
          <w:rFonts w:ascii="Times New Roman" w:hAnsi="Times New Roman"/>
        </w:rPr>
        <w:t xml:space="preserve">The comment period for this notice expired on May 16, 2011.  </w:t>
      </w:r>
      <w:r w:rsidRPr="004A4069">
        <w:rPr>
          <w:rFonts w:ascii="Times New Roman" w:hAnsi="Times New Roman"/>
          <w:color w:val="000000"/>
        </w:rPr>
        <w:t>The agencies modified the proposal in response to several comment letters.</w:t>
      </w:r>
    </w:p>
    <w:p w:rsidR="00090098" w:rsidRDefault="00090098">
      <w:pPr>
        <w:jc w:val="both"/>
        <w:rPr>
          <w:rFonts w:ascii="Times New Roman" w:hAnsi="Times New Roman"/>
          <w:color w:val="000000"/>
        </w:rPr>
      </w:pPr>
    </w:p>
    <w:p w:rsidR="00090098" w:rsidRDefault="004A4069">
      <w:pPr>
        <w:ind w:firstLine="720"/>
        <w:jc w:val="both"/>
        <w:rPr>
          <w:rFonts w:ascii="Times New Roman" w:hAnsi="Times New Roman"/>
        </w:rPr>
      </w:pPr>
      <w:r w:rsidRPr="004A4069">
        <w:rPr>
          <w:rFonts w:ascii="Times New Roman" w:hAnsi="Times New Roman"/>
        </w:rPr>
        <w:t xml:space="preserve">The FDIC’s proposed redefinition of the assessment base to implement Section 331(b) of the Dodd-Frank Act was included in an NPR approved for publication by the FDIC Board on November 9, 2010, the comment period for which ended on January 3, 2011.  The FDIC initially </w:t>
      </w:r>
      <w:r w:rsidRPr="004A4069">
        <w:rPr>
          <w:rFonts w:ascii="Times New Roman" w:hAnsi="Times New Roman"/>
        </w:rPr>
        <w:lastRenderedPageBreak/>
        <w:t>proposed to revise the assessment system applicable to large insured depository institutions in an NPR with a 60-day comment period that was approved for publication by the FDIC Board on April 13, 2010.  On November 9, 2010, the FDIC Board approved the publication of a second NPR seeking comment through January 3, 2011, on proposed revisions to the assessment system for large insured depository institutions that took into account the redefined assessment base prescribed by the Dodd-Frank Act as well as comments received on the earlier NPR.</w:t>
      </w:r>
    </w:p>
    <w:p w:rsidR="00090098" w:rsidRDefault="004A4069">
      <w:pPr>
        <w:jc w:val="both"/>
        <w:rPr>
          <w:rFonts w:ascii="Times New Roman" w:hAnsi="Times New Roman"/>
        </w:rPr>
      </w:pPr>
      <w:r w:rsidRPr="004A4069">
        <w:rPr>
          <w:rFonts w:ascii="Times New Roman" w:hAnsi="Times New Roman"/>
        </w:rPr>
        <w:t xml:space="preserve"> </w:t>
      </w:r>
    </w:p>
    <w:p w:rsidR="00090098" w:rsidRDefault="004A4069">
      <w:pPr>
        <w:ind w:firstLine="720"/>
        <w:jc w:val="both"/>
        <w:rPr>
          <w:rFonts w:ascii="Times New Roman" w:hAnsi="Times New Roman"/>
          <w:szCs w:val="24"/>
        </w:rPr>
      </w:pPr>
      <w:r w:rsidRPr="004A4069">
        <w:rPr>
          <w:rFonts w:ascii="Times New Roman" w:hAnsi="Times New Roman"/>
        </w:rPr>
        <w:t xml:space="preserve">The agencies collectively received comments from 19 respondents on their initial PRA notice on the proposed assessment-related reporting requirements published on March 16, 2011.  Comments were received from </w:t>
      </w:r>
      <w:r>
        <w:rPr>
          <w:rFonts w:ascii="Times New Roman" w:hAnsi="Times New Roman"/>
        </w:rPr>
        <w:t>14</w:t>
      </w:r>
      <w:r w:rsidRPr="004A4069">
        <w:rPr>
          <w:rFonts w:ascii="Times New Roman" w:hAnsi="Times New Roman"/>
        </w:rPr>
        <w:t xml:space="preserve"> depository institutions, </w:t>
      </w:r>
      <w:r>
        <w:rPr>
          <w:rFonts w:ascii="Times New Roman" w:hAnsi="Times New Roman"/>
        </w:rPr>
        <w:t>4</w:t>
      </w:r>
      <w:r w:rsidRPr="004A4069">
        <w:rPr>
          <w:rFonts w:ascii="Times New Roman" w:hAnsi="Times New Roman"/>
        </w:rPr>
        <w:t xml:space="preserve"> bankers’ organizations, and </w:t>
      </w:r>
      <w:r>
        <w:rPr>
          <w:rFonts w:ascii="Times New Roman" w:hAnsi="Times New Roman"/>
        </w:rPr>
        <w:t>1</w:t>
      </w:r>
      <w:r w:rsidRPr="004A4069">
        <w:rPr>
          <w:rFonts w:ascii="Times New Roman" w:hAnsi="Times New Roman"/>
        </w:rPr>
        <w:t xml:space="preserve"> government agency.  Three of the bankers’ organizations commented on certain aspects of the proposed reporting requirements associated with the redefined assessment base, with one of these organizations welcoming the proposed reporting changes and deeming them “reasonable and practical.”  Seventeen of the 19 respondents (all of the depository institutions and three of the bankers’ organizations) addressed the reporting requirements proposed for large institutions, with specific concerns raised by all 17 about the definitions of subprime consumer loans and leveraged loans in the FDIC’s final rule, which were carried directly into the draft reporting instructions for these two proposed data items, and large institutions’ ability to report the amount of subprime consumer loans and leveraged loans in accordance with the final rule’s definitions, particularly beginning as of the June 30, 2011, report date.</w:t>
      </w:r>
    </w:p>
    <w:p w:rsidR="00090098" w:rsidRDefault="00090098">
      <w:pPr>
        <w:widowControl/>
        <w:jc w:val="both"/>
        <w:rPr>
          <w:rFonts w:ascii="Times New Roman" w:hAnsi="Times New Roman"/>
          <w:b/>
        </w:rPr>
      </w:pPr>
    </w:p>
    <w:p w:rsidR="00090098" w:rsidRDefault="004A4069">
      <w:pPr>
        <w:ind w:firstLine="720"/>
        <w:jc w:val="both"/>
        <w:rPr>
          <w:rFonts w:ascii="Times New Roman" w:hAnsi="Times New Roman"/>
        </w:rPr>
      </w:pPr>
      <w:r w:rsidRPr="004A4069">
        <w:rPr>
          <w:rFonts w:ascii="Times New Roman" w:hAnsi="Times New Roman"/>
        </w:rPr>
        <w:t>These data availability concerns, particularly as they relate to large institutions’ existing loan portfolios, had not been raised as an issue during the rulemaking process for the revised large institution assessment system, which included the publication of two NPRs in 2010.  This unanticipated outcome at the end of the public comment process for the agencies’ March 16, 2011, initial PRA notice required the FDIC to consider possible reporting approaches that would address institutions’ concerns about their ability to identify loans meeting the subprime and leveraged loan definitions in the FDIC’s assessments final rule while also meeting the objectives of the revised large institution assessment system.  However, the consequence of the unexpected need to develop and reach agreement on a workable transition approach for identifying loans that are to be reported as subprime or leveraged for assessment purposes</w:t>
      </w:r>
      <w:r w:rsidRPr="004A4069">
        <w:rPr>
          <w:rFonts w:ascii="Times New Roman" w:hAnsi="Times New Roman"/>
          <w:vertAlign w:val="superscript"/>
        </w:rPr>
        <w:t xml:space="preserve"> </w:t>
      </w:r>
      <w:r w:rsidRPr="004A4069">
        <w:rPr>
          <w:rFonts w:ascii="Times New Roman" w:hAnsi="Times New Roman"/>
        </w:rPr>
        <w:t>has led to this request for emergency clearance because the agencies’ use of normal clearance procedures for the assessment-related reporting changes to the FFIEC 002/002S reports is reasonably likely to prevent or disrupt the initial collection of these new assessment data as of the June 30, 2011, report date as called for under the FDIC’s final rule.</w:t>
      </w:r>
    </w:p>
    <w:p w:rsidR="00090098" w:rsidRDefault="00090098">
      <w:pPr>
        <w:jc w:val="both"/>
        <w:rPr>
          <w:rFonts w:ascii="Times New Roman" w:hAnsi="Times New Roman"/>
        </w:rPr>
      </w:pPr>
    </w:p>
    <w:p w:rsidR="00090098" w:rsidRDefault="004A4069">
      <w:pPr>
        <w:ind w:firstLine="720"/>
        <w:jc w:val="both"/>
        <w:rPr>
          <w:rFonts w:ascii="Times New Roman" w:hAnsi="Times New Roman"/>
        </w:rPr>
      </w:pPr>
      <w:r w:rsidRPr="004A4069">
        <w:rPr>
          <w:rFonts w:ascii="Times New Roman" w:hAnsi="Times New Roman"/>
        </w:rPr>
        <w:t xml:space="preserve">For further information concerning the comments received on the agencies’ March 16, 2011, initial PRA notice and the responses to these </w:t>
      </w:r>
      <w:proofErr w:type="gramStart"/>
      <w:r w:rsidRPr="004A4069">
        <w:rPr>
          <w:rFonts w:ascii="Times New Roman" w:hAnsi="Times New Roman"/>
        </w:rPr>
        <w:t>comments,</w:t>
      </w:r>
      <w:proofErr w:type="gramEnd"/>
      <w:r w:rsidRPr="004A4069">
        <w:rPr>
          <w:rFonts w:ascii="Times New Roman" w:hAnsi="Times New Roman"/>
        </w:rPr>
        <w:t xml:space="preserve"> please refer to the “Current Actions” section of the draft final notice.  This draft final notice had been under development in connection with the agencies’ use of the normal clearance procedures for the assessment-related reporting changes before the agencies determined that their use of such procedures is reasonably likely to prevent or disrupt the initial collection of these new assessment data as of the June 30, 2011, report date.</w:t>
      </w:r>
    </w:p>
    <w:p w:rsidR="00090098" w:rsidRDefault="00090098">
      <w:pPr>
        <w:jc w:val="both"/>
        <w:rPr>
          <w:rFonts w:ascii="Times New Roman" w:hAnsi="Times New Roman"/>
        </w:rPr>
      </w:pPr>
    </w:p>
    <w:p w:rsidR="00090098" w:rsidRDefault="004A4069">
      <w:pPr>
        <w:widowControl/>
        <w:ind w:firstLine="720"/>
        <w:jc w:val="both"/>
        <w:rPr>
          <w:rFonts w:ascii="Times New Roman" w:hAnsi="Times New Roman"/>
        </w:rPr>
      </w:pPr>
      <w:r w:rsidRPr="004A4069">
        <w:rPr>
          <w:rFonts w:ascii="Times New Roman" w:hAnsi="Times New Roman"/>
          <w:color w:val="000000"/>
        </w:rPr>
        <w:t xml:space="preserve">The agencies will follow this request for emergency processing with a request under normal clearance procedures, during which comments will be solicited for the typical 60-day and </w:t>
      </w:r>
      <w:r w:rsidRPr="004A4069">
        <w:rPr>
          <w:rFonts w:ascii="Times New Roman" w:hAnsi="Times New Roman"/>
          <w:color w:val="000000"/>
        </w:rPr>
        <w:lastRenderedPageBreak/>
        <w:t>30-day periods.  All comments received on paperwork burden, whether during the 60-day or 30-day comment periods, will be considered in finalizing the collection.</w:t>
      </w:r>
    </w:p>
    <w:p w:rsidR="004A4069" w:rsidRDefault="004A4069">
      <w:pPr>
        <w:widowControl/>
        <w:rPr>
          <w:rFonts w:ascii="Times New Roman" w:hAnsi="Times New Roman"/>
          <w:b/>
        </w:rPr>
      </w:pPr>
    </w:p>
    <w:p w:rsidR="00AA79ED" w:rsidRPr="001D5363" w:rsidRDefault="00AA79ED">
      <w:pPr>
        <w:widowControl/>
        <w:rPr>
          <w:rFonts w:ascii="Times New Roman" w:hAnsi="Times New Roman"/>
        </w:rPr>
      </w:pPr>
      <w:r w:rsidRPr="001D5363">
        <w:rPr>
          <w:rFonts w:ascii="Times New Roman" w:hAnsi="Times New Roman"/>
          <w:b/>
        </w:rPr>
        <w:t>Estimate of Respondent Burden</w:t>
      </w:r>
    </w:p>
    <w:p w:rsidR="00AA79ED" w:rsidRPr="001D5363" w:rsidRDefault="00AA79ED" w:rsidP="009C6F19">
      <w:pPr>
        <w:widowControl/>
        <w:rPr>
          <w:rFonts w:ascii="Times New Roman" w:hAnsi="Times New Roman"/>
        </w:rPr>
      </w:pPr>
    </w:p>
    <w:p w:rsidR="00AA79ED" w:rsidRPr="001D5363" w:rsidRDefault="00AA79ED" w:rsidP="000A6431">
      <w:pPr>
        <w:ind w:firstLine="720"/>
        <w:jc w:val="both"/>
        <w:rPr>
          <w:rFonts w:ascii="Times New Roman" w:hAnsi="Times New Roman"/>
          <w:szCs w:val="24"/>
        </w:rPr>
      </w:pPr>
      <w:r w:rsidRPr="001D5363">
        <w:rPr>
          <w:rFonts w:ascii="Times New Roman" w:hAnsi="Times New Roman"/>
          <w:szCs w:val="24"/>
        </w:rPr>
        <w:t>Th</w:t>
      </w:r>
      <w:r w:rsidR="000A6431" w:rsidRPr="001D5363">
        <w:rPr>
          <w:rFonts w:ascii="Times New Roman" w:hAnsi="Times New Roman"/>
          <w:szCs w:val="24"/>
        </w:rPr>
        <w:t xml:space="preserve">e </w:t>
      </w:r>
      <w:r w:rsidR="008E1401" w:rsidRPr="001D5363">
        <w:rPr>
          <w:rFonts w:ascii="Times New Roman" w:hAnsi="Times New Roman"/>
          <w:szCs w:val="24"/>
        </w:rPr>
        <w:t xml:space="preserve">current estimated </w:t>
      </w:r>
      <w:r w:rsidRPr="001D5363">
        <w:rPr>
          <w:rFonts w:ascii="Times New Roman" w:hAnsi="Times New Roman"/>
          <w:szCs w:val="24"/>
        </w:rPr>
        <w:t xml:space="preserve">annual reporting burden </w:t>
      </w:r>
      <w:r w:rsidR="000B22E5" w:rsidRPr="001D5363">
        <w:rPr>
          <w:rFonts w:ascii="Times New Roman" w:hAnsi="Times New Roman"/>
          <w:szCs w:val="24"/>
        </w:rPr>
        <w:t xml:space="preserve">for the FFIEC 002 </w:t>
      </w:r>
      <w:r w:rsidRPr="001D5363">
        <w:rPr>
          <w:rFonts w:ascii="Times New Roman" w:hAnsi="Times New Roman"/>
          <w:szCs w:val="24"/>
        </w:rPr>
        <w:t>is 2</w:t>
      </w:r>
      <w:r w:rsidR="00C207F2">
        <w:rPr>
          <w:rFonts w:ascii="Times New Roman" w:hAnsi="Times New Roman"/>
          <w:szCs w:val="24"/>
        </w:rPr>
        <w:t>5</w:t>
      </w:r>
      <w:r w:rsidRPr="001D5363">
        <w:rPr>
          <w:rFonts w:ascii="Times New Roman" w:hAnsi="Times New Roman"/>
          <w:szCs w:val="24"/>
        </w:rPr>
        <w:t>,</w:t>
      </w:r>
      <w:r w:rsidR="00C207F2">
        <w:rPr>
          <w:rFonts w:ascii="Times New Roman" w:hAnsi="Times New Roman"/>
          <w:szCs w:val="24"/>
        </w:rPr>
        <w:t>568</w:t>
      </w:r>
      <w:r w:rsidRPr="001D5363">
        <w:rPr>
          <w:rFonts w:ascii="Times New Roman" w:hAnsi="Times New Roman"/>
          <w:szCs w:val="24"/>
        </w:rPr>
        <w:t>.</w:t>
      </w:r>
      <w:r w:rsidR="00A62E7B" w:rsidRPr="001D5363">
        <w:rPr>
          <w:rFonts w:ascii="Times New Roman" w:hAnsi="Times New Roman"/>
          <w:szCs w:val="24"/>
        </w:rPr>
        <w:t xml:space="preserve">  The agencies estimate that the total proposed annual reporting burden is 2</w:t>
      </w:r>
      <w:r w:rsidR="00C207F2">
        <w:rPr>
          <w:rFonts w:ascii="Times New Roman" w:hAnsi="Times New Roman"/>
          <w:szCs w:val="24"/>
        </w:rPr>
        <w:t>5,577</w:t>
      </w:r>
      <w:r w:rsidR="00A62E7B" w:rsidRPr="001D5363">
        <w:rPr>
          <w:rFonts w:ascii="Times New Roman" w:hAnsi="Times New Roman"/>
          <w:szCs w:val="24"/>
        </w:rPr>
        <w:t xml:space="preserve"> hours, an increase of </w:t>
      </w:r>
      <w:r w:rsidR="00C207F2">
        <w:rPr>
          <w:rFonts w:ascii="Times New Roman" w:hAnsi="Times New Roman"/>
          <w:szCs w:val="24"/>
        </w:rPr>
        <w:t>9</w:t>
      </w:r>
      <w:r w:rsidR="000368EF" w:rsidRPr="001D5363">
        <w:rPr>
          <w:rFonts w:ascii="Times New Roman" w:hAnsi="Times New Roman"/>
          <w:szCs w:val="24"/>
        </w:rPr>
        <w:t xml:space="preserve"> hours</w:t>
      </w:r>
      <w:r w:rsidR="004C02EE" w:rsidRPr="001D5363">
        <w:rPr>
          <w:rFonts w:ascii="Times New Roman" w:hAnsi="Times New Roman"/>
          <w:szCs w:val="24"/>
        </w:rPr>
        <w:t xml:space="preserve">.  </w:t>
      </w:r>
      <w:r w:rsidR="00F30498">
        <w:rPr>
          <w:rFonts w:ascii="Times New Roman" w:hAnsi="Times New Roman"/>
          <w:szCs w:val="24"/>
        </w:rPr>
        <w:t xml:space="preserve">This increase is attributed to an increase in the hourly estimate for the new and revised data items.  </w:t>
      </w:r>
      <w:r w:rsidR="000B22E5" w:rsidRPr="001D5363">
        <w:rPr>
          <w:rFonts w:ascii="Times New Roman" w:hAnsi="Times New Roman"/>
          <w:szCs w:val="24"/>
        </w:rPr>
        <w:t>T</w:t>
      </w:r>
      <w:r w:rsidR="000A6431" w:rsidRPr="001D5363">
        <w:rPr>
          <w:rFonts w:ascii="Times New Roman" w:hAnsi="Times New Roman"/>
          <w:szCs w:val="24"/>
        </w:rPr>
        <w:t xml:space="preserve">he </w:t>
      </w:r>
      <w:r w:rsidR="008366F3" w:rsidRPr="001D5363">
        <w:rPr>
          <w:rFonts w:ascii="Times New Roman" w:hAnsi="Times New Roman"/>
          <w:szCs w:val="24"/>
        </w:rPr>
        <w:t>current estimated annual reporting burden</w:t>
      </w:r>
      <w:r w:rsidR="00592665" w:rsidRPr="001D5363">
        <w:rPr>
          <w:rFonts w:ascii="Times New Roman" w:hAnsi="Times New Roman"/>
          <w:szCs w:val="24"/>
        </w:rPr>
        <w:t xml:space="preserve"> for the FFIEC 002S</w:t>
      </w:r>
      <w:r w:rsidR="008366F3" w:rsidRPr="001D5363">
        <w:rPr>
          <w:rFonts w:ascii="Times New Roman" w:hAnsi="Times New Roman"/>
          <w:szCs w:val="24"/>
        </w:rPr>
        <w:t xml:space="preserve"> is</w:t>
      </w:r>
      <w:r w:rsidR="000A6431" w:rsidRPr="001D5363">
        <w:rPr>
          <w:rFonts w:ascii="Times New Roman" w:hAnsi="Times New Roman"/>
          <w:szCs w:val="24"/>
        </w:rPr>
        <w:t xml:space="preserve"> 1,</w:t>
      </w:r>
      <w:r w:rsidR="003C300A">
        <w:rPr>
          <w:rFonts w:ascii="Times New Roman" w:hAnsi="Times New Roman"/>
          <w:szCs w:val="24"/>
        </w:rPr>
        <w:t>368</w:t>
      </w:r>
      <w:r w:rsidR="00E11CFC" w:rsidRPr="001D5363">
        <w:rPr>
          <w:rFonts w:ascii="Times New Roman" w:hAnsi="Times New Roman"/>
          <w:szCs w:val="24"/>
        </w:rPr>
        <w:t> </w:t>
      </w:r>
      <w:r w:rsidR="000A6431" w:rsidRPr="001D5363">
        <w:rPr>
          <w:rFonts w:ascii="Times New Roman" w:hAnsi="Times New Roman"/>
          <w:szCs w:val="24"/>
        </w:rPr>
        <w:t>hours</w:t>
      </w:r>
      <w:r w:rsidR="00A62E7B" w:rsidRPr="001D5363">
        <w:rPr>
          <w:rFonts w:ascii="Times New Roman" w:hAnsi="Times New Roman"/>
          <w:szCs w:val="24"/>
        </w:rPr>
        <w:t xml:space="preserve"> and would remain unchanged</w:t>
      </w:r>
      <w:r w:rsidR="000A6431" w:rsidRPr="001D5363">
        <w:rPr>
          <w:rFonts w:ascii="Times New Roman" w:hAnsi="Times New Roman"/>
          <w:szCs w:val="24"/>
        </w:rPr>
        <w:t>.</w:t>
      </w:r>
      <w:r w:rsidR="008366F3" w:rsidRPr="001D5363">
        <w:rPr>
          <w:rFonts w:ascii="Times New Roman" w:hAnsi="Times New Roman"/>
          <w:szCs w:val="24"/>
        </w:rPr>
        <w:t xml:space="preserve">  </w:t>
      </w:r>
      <w:r w:rsidR="009C6F19" w:rsidRPr="001D5363">
        <w:rPr>
          <w:rFonts w:ascii="Times New Roman" w:hAnsi="Times New Roman"/>
          <w:szCs w:val="24"/>
        </w:rPr>
        <w:t>Th</w:t>
      </w:r>
      <w:r w:rsidR="00E533B1" w:rsidRPr="001D5363">
        <w:rPr>
          <w:rFonts w:ascii="Times New Roman" w:hAnsi="Times New Roman"/>
          <w:szCs w:val="24"/>
        </w:rPr>
        <w:t>e</w:t>
      </w:r>
      <w:r w:rsidR="001F3369" w:rsidRPr="001D5363">
        <w:rPr>
          <w:rFonts w:ascii="Times New Roman" w:hAnsi="Times New Roman"/>
          <w:szCs w:val="24"/>
        </w:rPr>
        <w:t>se</w:t>
      </w:r>
      <w:r w:rsidR="009C6F19" w:rsidRPr="001D5363">
        <w:rPr>
          <w:rFonts w:ascii="Times New Roman" w:hAnsi="Times New Roman"/>
          <w:szCs w:val="24"/>
        </w:rPr>
        <w:t xml:space="preserve"> </w:t>
      </w:r>
      <w:r w:rsidR="001F3369" w:rsidRPr="001D5363">
        <w:rPr>
          <w:rFonts w:ascii="Times New Roman" w:hAnsi="Times New Roman"/>
          <w:szCs w:val="24"/>
        </w:rPr>
        <w:t xml:space="preserve">reporting requirements </w:t>
      </w:r>
      <w:r w:rsidR="00E533B1" w:rsidRPr="001D5363">
        <w:rPr>
          <w:rFonts w:ascii="Times New Roman" w:hAnsi="Times New Roman"/>
          <w:szCs w:val="24"/>
        </w:rPr>
        <w:t>represent</w:t>
      </w:r>
      <w:r w:rsidR="008A532D" w:rsidRPr="001D5363">
        <w:rPr>
          <w:rFonts w:ascii="Times New Roman" w:hAnsi="Times New Roman"/>
          <w:szCs w:val="24"/>
        </w:rPr>
        <w:t xml:space="preserve"> less than 1 percent</w:t>
      </w:r>
      <w:r w:rsidR="009C6F19" w:rsidRPr="001D5363">
        <w:rPr>
          <w:rFonts w:ascii="Times New Roman" w:hAnsi="Times New Roman"/>
          <w:szCs w:val="24"/>
        </w:rPr>
        <w:t xml:space="preserve"> of the total Federal Reserve System </w:t>
      </w:r>
      <w:r w:rsidR="001F3369" w:rsidRPr="001D5363">
        <w:rPr>
          <w:rFonts w:ascii="Times New Roman" w:hAnsi="Times New Roman"/>
          <w:szCs w:val="24"/>
        </w:rPr>
        <w:t xml:space="preserve">paperwork </w:t>
      </w:r>
      <w:r w:rsidR="009C6F19" w:rsidRPr="001D5363">
        <w:rPr>
          <w:rFonts w:ascii="Times New Roman" w:hAnsi="Times New Roman"/>
          <w:szCs w:val="24"/>
        </w:rPr>
        <w:t>burden</w:t>
      </w:r>
      <w:r w:rsidR="008A532D" w:rsidRPr="001D5363">
        <w:rPr>
          <w:rFonts w:ascii="Times New Roman" w:hAnsi="Times New Roman"/>
          <w:szCs w:val="24"/>
        </w:rPr>
        <w:t>.</w:t>
      </w:r>
    </w:p>
    <w:p w:rsidR="00DA2E0E" w:rsidRPr="001D5363" w:rsidRDefault="00DA2E0E" w:rsidP="00AD2499">
      <w:pPr>
        <w:widowControl/>
        <w:rPr>
          <w:rFonts w:ascii="Times New Roman" w:hAnsi="Times New Roman"/>
        </w:rPr>
      </w:pPr>
    </w:p>
    <w:tbl>
      <w:tblPr>
        <w:tblW w:w="0" w:type="auto"/>
        <w:tblInd w:w="120" w:type="dxa"/>
        <w:tblLayout w:type="fixed"/>
        <w:tblCellMar>
          <w:left w:w="120" w:type="dxa"/>
          <w:right w:w="120" w:type="dxa"/>
        </w:tblCellMar>
        <w:tblLook w:val="0000"/>
      </w:tblPr>
      <w:tblGrid>
        <w:gridCol w:w="2160"/>
        <w:gridCol w:w="1800"/>
        <w:gridCol w:w="1828"/>
        <w:gridCol w:w="1771"/>
        <w:gridCol w:w="1800"/>
      </w:tblGrid>
      <w:tr w:rsidR="00DA2E0E" w:rsidRPr="001D5363">
        <w:tc>
          <w:tcPr>
            <w:tcW w:w="2160" w:type="dxa"/>
            <w:tcBorders>
              <w:top w:val="single" w:sz="7" w:space="0" w:color="000000"/>
              <w:left w:val="single" w:sz="6" w:space="0" w:color="FFFFFF"/>
            </w:tcBorders>
            <w:vAlign w:val="center"/>
          </w:tcPr>
          <w:p w:rsidR="00DA2E0E" w:rsidRPr="001D5363" w:rsidRDefault="00DA2E0E" w:rsidP="001D3166">
            <w:pPr>
              <w:jc w:val="center"/>
              <w:rPr>
                <w:rFonts w:ascii="Times New Roman" w:hAnsi="Times New Roman"/>
                <w:i/>
              </w:rPr>
            </w:pPr>
          </w:p>
        </w:tc>
        <w:tc>
          <w:tcPr>
            <w:tcW w:w="1800" w:type="dxa"/>
            <w:tcBorders>
              <w:top w:val="single" w:sz="7" w:space="0" w:color="000000"/>
            </w:tcBorders>
            <w:vAlign w:val="center"/>
          </w:tcPr>
          <w:p w:rsidR="00DA2E0E" w:rsidRPr="001D5363" w:rsidRDefault="00DA2E0E" w:rsidP="001D3166">
            <w:pPr>
              <w:jc w:val="center"/>
              <w:rPr>
                <w:rFonts w:ascii="Times New Roman" w:hAnsi="Times New Roman"/>
                <w:i/>
              </w:rPr>
            </w:pPr>
            <w:r w:rsidRPr="001D5363">
              <w:rPr>
                <w:rFonts w:ascii="Times New Roman" w:hAnsi="Times New Roman"/>
                <w:i/>
              </w:rPr>
              <w:t>Number of</w:t>
            </w:r>
          </w:p>
          <w:p w:rsidR="00DA2E0E" w:rsidRPr="001D5363" w:rsidRDefault="00174061" w:rsidP="001D3166">
            <w:pPr>
              <w:jc w:val="center"/>
              <w:rPr>
                <w:rFonts w:ascii="Times New Roman" w:hAnsi="Times New Roman"/>
                <w:i/>
              </w:rPr>
            </w:pPr>
            <w:r w:rsidRPr="001D5363">
              <w:rPr>
                <w:rFonts w:ascii="Times New Roman" w:hAnsi="Times New Roman"/>
                <w:i/>
              </w:rPr>
              <w:t>r</w:t>
            </w:r>
            <w:r w:rsidR="00DA2E0E" w:rsidRPr="001D5363">
              <w:rPr>
                <w:rFonts w:ascii="Times New Roman" w:hAnsi="Times New Roman"/>
                <w:i/>
              </w:rPr>
              <w:t>espondents</w:t>
            </w:r>
          </w:p>
        </w:tc>
        <w:tc>
          <w:tcPr>
            <w:tcW w:w="1828" w:type="dxa"/>
            <w:tcBorders>
              <w:top w:val="single" w:sz="7" w:space="0" w:color="000000"/>
            </w:tcBorders>
            <w:vAlign w:val="center"/>
          </w:tcPr>
          <w:p w:rsidR="00DA2E0E" w:rsidRPr="001D5363" w:rsidRDefault="00DA2E0E" w:rsidP="001D3166">
            <w:pPr>
              <w:jc w:val="center"/>
              <w:rPr>
                <w:rFonts w:ascii="Times New Roman" w:hAnsi="Times New Roman"/>
                <w:i/>
              </w:rPr>
            </w:pPr>
            <w:r w:rsidRPr="001D5363">
              <w:rPr>
                <w:rFonts w:ascii="Times New Roman" w:hAnsi="Times New Roman"/>
                <w:i/>
              </w:rPr>
              <w:t>Annual</w:t>
            </w:r>
          </w:p>
          <w:p w:rsidR="00DA2E0E" w:rsidRPr="001D5363" w:rsidRDefault="00DB53FC" w:rsidP="001D3166">
            <w:pPr>
              <w:jc w:val="center"/>
              <w:rPr>
                <w:rFonts w:ascii="Times New Roman" w:hAnsi="Times New Roman"/>
                <w:i/>
              </w:rPr>
            </w:pPr>
            <w:r w:rsidRPr="001D5363">
              <w:rPr>
                <w:rFonts w:ascii="Times New Roman" w:hAnsi="Times New Roman"/>
                <w:i/>
              </w:rPr>
              <w:t>f</w:t>
            </w:r>
            <w:r w:rsidR="00DA2E0E" w:rsidRPr="001D5363">
              <w:rPr>
                <w:rFonts w:ascii="Times New Roman" w:hAnsi="Times New Roman"/>
                <w:i/>
              </w:rPr>
              <w:t>requency</w:t>
            </w:r>
          </w:p>
        </w:tc>
        <w:tc>
          <w:tcPr>
            <w:tcW w:w="1771" w:type="dxa"/>
            <w:tcBorders>
              <w:top w:val="single" w:sz="7" w:space="0" w:color="000000"/>
            </w:tcBorders>
            <w:vAlign w:val="center"/>
          </w:tcPr>
          <w:p w:rsidR="00DA2E0E" w:rsidRPr="001D5363" w:rsidRDefault="00DA2E0E" w:rsidP="001D3166">
            <w:pPr>
              <w:jc w:val="center"/>
              <w:rPr>
                <w:rFonts w:ascii="Times New Roman" w:hAnsi="Times New Roman"/>
                <w:i/>
              </w:rPr>
            </w:pPr>
            <w:r w:rsidRPr="001D5363">
              <w:rPr>
                <w:rFonts w:ascii="Times New Roman" w:hAnsi="Times New Roman"/>
                <w:i/>
              </w:rPr>
              <w:t>Estimated</w:t>
            </w:r>
          </w:p>
          <w:p w:rsidR="00DA2E0E" w:rsidRPr="001D5363" w:rsidRDefault="00DB53FC" w:rsidP="001D3166">
            <w:pPr>
              <w:jc w:val="center"/>
              <w:rPr>
                <w:rFonts w:ascii="Times New Roman" w:hAnsi="Times New Roman"/>
                <w:i/>
              </w:rPr>
            </w:pPr>
            <w:r w:rsidRPr="001D5363">
              <w:rPr>
                <w:rFonts w:ascii="Times New Roman" w:hAnsi="Times New Roman"/>
                <w:i/>
              </w:rPr>
              <w:t>a</w:t>
            </w:r>
            <w:r w:rsidR="00DA2E0E" w:rsidRPr="001D5363">
              <w:rPr>
                <w:rFonts w:ascii="Times New Roman" w:hAnsi="Times New Roman"/>
                <w:i/>
              </w:rPr>
              <w:t xml:space="preserve">verage </w:t>
            </w:r>
            <w:r w:rsidRPr="001D5363">
              <w:rPr>
                <w:rFonts w:ascii="Times New Roman" w:hAnsi="Times New Roman"/>
                <w:i/>
              </w:rPr>
              <w:t>h</w:t>
            </w:r>
            <w:r w:rsidR="00DA2E0E" w:rsidRPr="001D5363">
              <w:rPr>
                <w:rFonts w:ascii="Times New Roman" w:hAnsi="Times New Roman"/>
                <w:i/>
              </w:rPr>
              <w:t>ours</w:t>
            </w:r>
          </w:p>
          <w:p w:rsidR="00DA2E0E" w:rsidRPr="001D5363" w:rsidRDefault="00DB53FC" w:rsidP="001D3166">
            <w:pPr>
              <w:jc w:val="center"/>
              <w:rPr>
                <w:rFonts w:ascii="Times New Roman" w:hAnsi="Times New Roman"/>
                <w:i/>
              </w:rPr>
            </w:pPr>
            <w:r w:rsidRPr="001D5363">
              <w:rPr>
                <w:rFonts w:ascii="Times New Roman" w:hAnsi="Times New Roman"/>
                <w:i/>
              </w:rPr>
              <w:t>p</w:t>
            </w:r>
            <w:r w:rsidR="00DA2E0E" w:rsidRPr="001D5363">
              <w:rPr>
                <w:rFonts w:ascii="Times New Roman" w:hAnsi="Times New Roman"/>
                <w:i/>
              </w:rPr>
              <w:t xml:space="preserve">er </w:t>
            </w:r>
            <w:r w:rsidRPr="001D5363">
              <w:rPr>
                <w:rFonts w:ascii="Times New Roman" w:hAnsi="Times New Roman"/>
                <w:i/>
              </w:rPr>
              <w:t>r</w:t>
            </w:r>
            <w:r w:rsidR="00DA2E0E" w:rsidRPr="001D5363">
              <w:rPr>
                <w:rFonts w:ascii="Times New Roman" w:hAnsi="Times New Roman"/>
                <w:i/>
              </w:rPr>
              <w:t>esponse</w:t>
            </w:r>
          </w:p>
        </w:tc>
        <w:tc>
          <w:tcPr>
            <w:tcW w:w="1800" w:type="dxa"/>
            <w:tcBorders>
              <w:top w:val="single" w:sz="7" w:space="0" w:color="000000"/>
              <w:right w:val="single" w:sz="6" w:space="0" w:color="FFFFFF"/>
            </w:tcBorders>
            <w:vAlign w:val="center"/>
          </w:tcPr>
          <w:p w:rsidR="00DA2E0E" w:rsidRPr="001D5363" w:rsidRDefault="00DA2E0E" w:rsidP="001D3166">
            <w:pPr>
              <w:jc w:val="center"/>
              <w:rPr>
                <w:rFonts w:ascii="Times New Roman" w:hAnsi="Times New Roman"/>
                <w:i/>
                <w:iCs/>
              </w:rPr>
            </w:pPr>
            <w:r w:rsidRPr="001D5363">
              <w:rPr>
                <w:rFonts w:ascii="Times New Roman" w:hAnsi="Times New Roman"/>
                <w:i/>
                <w:iCs/>
              </w:rPr>
              <w:t>Estimated</w:t>
            </w:r>
          </w:p>
          <w:p w:rsidR="003C3BC1" w:rsidRPr="001D5363" w:rsidRDefault="00DB53FC" w:rsidP="001D3166">
            <w:pPr>
              <w:jc w:val="center"/>
              <w:rPr>
                <w:rFonts w:ascii="Times New Roman" w:hAnsi="Times New Roman"/>
                <w:i/>
                <w:iCs/>
              </w:rPr>
            </w:pPr>
            <w:r w:rsidRPr="001D5363">
              <w:rPr>
                <w:rFonts w:ascii="Times New Roman" w:hAnsi="Times New Roman"/>
                <w:i/>
                <w:iCs/>
              </w:rPr>
              <w:t>a</w:t>
            </w:r>
            <w:r w:rsidR="00DA2E0E" w:rsidRPr="001D5363">
              <w:rPr>
                <w:rFonts w:ascii="Times New Roman" w:hAnsi="Times New Roman"/>
                <w:i/>
                <w:iCs/>
              </w:rPr>
              <w:t xml:space="preserve">nnual </w:t>
            </w:r>
          </w:p>
          <w:p w:rsidR="00DA2E0E" w:rsidRPr="001D5363" w:rsidRDefault="00DB53FC" w:rsidP="003C3BC1">
            <w:pPr>
              <w:jc w:val="center"/>
              <w:rPr>
                <w:rFonts w:ascii="Times New Roman" w:hAnsi="Times New Roman"/>
                <w:i/>
              </w:rPr>
            </w:pPr>
            <w:r w:rsidRPr="001D5363">
              <w:rPr>
                <w:rFonts w:ascii="Times New Roman" w:hAnsi="Times New Roman"/>
                <w:i/>
                <w:iCs/>
              </w:rPr>
              <w:t>b</w:t>
            </w:r>
            <w:r w:rsidR="00DA2E0E" w:rsidRPr="001D5363">
              <w:rPr>
                <w:rFonts w:ascii="Times New Roman" w:hAnsi="Times New Roman"/>
                <w:i/>
                <w:iCs/>
              </w:rPr>
              <w:t>urden</w:t>
            </w:r>
            <w:r w:rsidR="003C3BC1" w:rsidRPr="001D5363">
              <w:rPr>
                <w:rFonts w:ascii="Times New Roman" w:hAnsi="Times New Roman"/>
                <w:i/>
                <w:iCs/>
              </w:rPr>
              <w:t xml:space="preserve"> </w:t>
            </w:r>
            <w:r w:rsidRPr="001D5363">
              <w:rPr>
                <w:rFonts w:ascii="Times New Roman" w:hAnsi="Times New Roman"/>
                <w:i/>
                <w:iCs/>
              </w:rPr>
              <w:t>h</w:t>
            </w:r>
            <w:r w:rsidR="00DA2E0E" w:rsidRPr="001D5363">
              <w:rPr>
                <w:rFonts w:ascii="Times New Roman" w:hAnsi="Times New Roman"/>
                <w:i/>
                <w:iCs/>
              </w:rPr>
              <w:t>ours</w:t>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b/>
              </w:rPr>
            </w:pPr>
            <w:r w:rsidRPr="001D5363">
              <w:rPr>
                <w:rFonts w:ascii="Times New Roman" w:hAnsi="Times New Roman"/>
                <w:b/>
              </w:rPr>
              <w:t>Current</w:t>
            </w:r>
          </w:p>
        </w:tc>
        <w:tc>
          <w:tcPr>
            <w:tcW w:w="1800" w:type="dxa"/>
            <w:vAlign w:val="center"/>
          </w:tcPr>
          <w:p w:rsidR="004C5FE8" w:rsidRPr="001D5363" w:rsidRDefault="004C5FE8" w:rsidP="00AA1B7F">
            <w:pPr>
              <w:widowControl/>
              <w:spacing w:after="19"/>
              <w:jc w:val="center"/>
              <w:rPr>
                <w:rFonts w:ascii="Times New Roman" w:hAnsi="Times New Roman"/>
              </w:rPr>
            </w:pPr>
          </w:p>
        </w:tc>
        <w:tc>
          <w:tcPr>
            <w:tcW w:w="1828" w:type="dxa"/>
            <w:vAlign w:val="center"/>
          </w:tcPr>
          <w:p w:rsidR="004C5FE8" w:rsidRPr="001D5363" w:rsidRDefault="004C5FE8" w:rsidP="00AA1B7F">
            <w:pPr>
              <w:widowControl/>
              <w:spacing w:after="19"/>
              <w:jc w:val="center"/>
              <w:rPr>
                <w:rFonts w:ascii="Times New Roman" w:hAnsi="Times New Roman"/>
              </w:rPr>
            </w:pPr>
          </w:p>
        </w:tc>
        <w:tc>
          <w:tcPr>
            <w:tcW w:w="1771" w:type="dxa"/>
            <w:vAlign w:val="center"/>
          </w:tcPr>
          <w:p w:rsidR="004C5FE8" w:rsidRPr="001D5363"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1D5363" w:rsidRDefault="004C5FE8" w:rsidP="00AA1B7F">
            <w:pPr>
              <w:tabs>
                <w:tab w:val="right" w:pos="1152"/>
              </w:tabs>
              <w:jc w:val="center"/>
              <w:rPr>
                <w:rFonts w:ascii="Times New Roman" w:hAnsi="Times New Roman"/>
              </w:rPr>
            </w:pP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rPr>
            </w:pPr>
            <w:r w:rsidRPr="001D5363">
              <w:rPr>
                <w:rFonts w:ascii="Times New Roman" w:hAnsi="Times New Roman"/>
              </w:rPr>
              <w:t>FFIEC 002</w:t>
            </w:r>
          </w:p>
        </w:tc>
        <w:tc>
          <w:tcPr>
            <w:tcW w:w="1800" w:type="dxa"/>
            <w:vAlign w:val="center"/>
          </w:tcPr>
          <w:p w:rsidR="004C5FE8" w:rsidRPr="001D5363" w:rsidRDefault="004C5FE8" w:rsidP="000D2DE5">
            <w:pPr>
              <w:widowControl/>
              <w:spacing w:after="19"/>
              <w:jc w:val="center"/>
              <w:rPr>
                <w:rFonts w:ascii="Times New Roman" w:hAnsi="Times New Roman"/>
              </w:rPr>
            </w:pPr>
            <w:r w:rsidRPr="001D5363">
              <w:rPr>
                <w:rFonts w:ascii="Times New Roman" w:hAnsi="Times New Roman"/>
              </w:rPr>
              <w:t>2</w:t>
            </w:r>
            <w:r w:rsidR="000D2DE5">
              <w:rPr>
                <w:rFonts w:ascii="Times New Roman" w:hAnsi="Times New Roman"/>
              </w:rPr>
              <w:t>38</w:t>
            </w:r>
          </w:p>
        </w:tc>
        <w:tc>
          <w:tcPr>
            <w:tcW w:w="1828" w:type="dxa"/>
            <w:vAlign w:val="center"/>
          </w:tcPr>
          <w:p w:rsidR="004C5FE8" w:rsidRPr="001D5363" w:rsidRDefault="004C5FE8" w:rsidP="00AA1B7F">
            <w:pPr>
              <w:widowControl/>
              <w:spacing w:after="19"/>
              <w:jc w:val="center"/>
              <w:rPr>
                <w:rFonts w:ascii="Times New Roman" w:hAnsi="Times New Roman"/>
              </w:rPr>
            </w:pPr>
            <w:r w:rsidRPr="001D5363">
              <w:rPr>
                <w:rFonts w:ascii="Times New Roman" w:hAnsi="Times New Roman"/>
              </w:rPr>
              <w:t>4</w:t>
            </w:r>
          </w:p>
        </w:tc>
        <w:tc>
          <w:tcPr>
            <w:tcW w:w="1771" w:type="dxa"/>
            <w:vAlign w:val="center"/>
          </w:tcPr>
          <w:p w:rsidR="004C5FE8" w:rsidRPr="001D5363" w:rsidRDefault="004C5FE8" w:rsidP="002213FE">
            <w:pPr>
              <w:widowControl/>
              <w:tabs>
                <w:tab w:val="decimal" w:pos="752"/>
              </w:tabs>
              <w:spacing w:after="19"/>
              <w:rPr>
                <w:rFonts w:ascii="Times New Roman" w:hAnsi="Times New Roman"/>
              </w:rPr>
            </w:pPr>
            <w:r w:rsidRPr="001D5363">
              <w:rPr>
                <w:rFonts w:ascii="Times New Roman" w:hAnsi="Times New Roman"/>
              </w:rPr>
              <w:t>25.</w:t>
            </w:r>
            <w:r w:rsidR="002213FE">
              <w:rPr>
                <w:rFonts w:ascii="Times New Roman" w:hAnsi="Times New Roman"/>
              </w:rPr>
              <w:t>42</w:t>
            </w:r>
          </w:p>
        </w:tc>
        <w:tc>
          <w:tcPr>
            <w:tcW w:w="1800" w:type="dxa"/>
            <w:tcBorders>
              <w:right w:val="single" w:sz="6" w:space="0" w:color="FFFFFF"/>
            </w:tcBorders>
            <w:vAlign w:val="center"/>
          </w:tcPr>
          <w:p w:rsidR="004C5FE8" w:rsidRPr="001D5363" w:rsidRDefault="004C5FE8" w:rsidP="002213FE">
            <w:pPr>
              <w:tabs>
                <w:tab w:val="right" w:pos="1152"/>
              </w:tabs>
              <w:rPr>
                <w:rFonts w:ascii="Times New Roman" w:hAnsi="Times New Roman"/>
              </w:rPr>
            </w:pPr>
            <w:r w:rsidRPr="001D5363">
              <w:rPr>
                <w:rFonts w:ascii="Times New Roman" w:hAnsi="Times New Roman"/>
                <w:szCs w:val="24"/>
              </w:rPr>
              <w:tab/>
            </w:r>
            <w:r w:rsidR="00A003E8" w:rsidRPr="001D5363">
              <w:rPr>
                <w:rFonts w:ascii="Times New Roman" w:hAnsi="Times New Roman"/>
              </w:rPr>
              <w:fldChar w:fldCharType="begin"/>
            </w:r>
            <w:r w:rsidRPr="001D5363">
              <w:rPr>
                <w:rFonts w:ascii="Times New Roman" w:hAnsi="Times New Roman"/>
              </w:rPr>
              <w:instrText xml:space="preserve"> =b3*c3*d3 \# "#,##0" </w:instrText>
            </w:r>
            <w:r w:rsidR="00A003E8" w:rsidRPr="001D5363">
              <w:rPr>
                <w:rFonts w:ascii="Times New Roman" w:hAnsi="Times New Roman"/>
              </w:rPr>
              <w:fldChar w:fldCharType="separate"/>
            </w:r>
            <w:r w:rsidR="00143632" w:rsidRPr="001D5363">
              <w:rPr>
                <w:rFonts w:ascii="Times New Roman" w:hAnsi="Times New Roman"/>
                <w:noProof/>
              </w:rPr>
              <w:t>2</w:t>
            </w:r>
            <w:r w:rsidR="002213FE">
              <w:rPr>
                <w:rFonts w:ascii="Times New Roman" w:hAnsi="Times New Roman"/>
                <w:noProof/>
              </w:rPr>
              <w:t>4,200</w:t>
            </w:r>
            <w:r w:rsidR="00A003E8" w:rsidRPr="001D5363">
              <w:rPr>
                <w:rFonts w:ascii="Times New Roman" w:hAnsi="Times New Roman"/>
              </w:rPr>
              <w:fldChar w:fldCharType="end"/>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rPr>
            </w:pPr>
            <w:r w:rsidRPr="001D5363">
              <w:rPr>
                <w:rFonts w:ascii="Times New Roman" w:hAnsi="Times New Roman"/>
              </w:rPr>
              <w:t>FFIEC 002S</w:t>
            </w:r>
          </w:p>
        </w:tc>
        <w:tc>
          <w:tcPr>
            <w:tcW w:w="1800" w:type="dxa"/>
            <w:vAlign w:val="center"/>
          </w:tcPr>
          <w:p w:rsidR="004C5FE8" w:rsidRPr="001D5363" w:rsidRDefault="004C5FE8" w:rsidP="000D2DE5">
            <w:pPr>
              <w:widowControl/>
              <w:tabs>
                <w:tab w:val="right" w:pos="960"/>
              </w:tabs>
              <w:spacing w:after="19"/>
              <w:rPr>
                <w:rFonts w:ascii="Times New Roman" w:hAnsi="Times New Roman"/>
              </w:rPr>
            </w:pPr>
            <w:r w:rsidRPr="001D5363">
              <w:rPr>
                <w:rFonts w:ascii="Times New Roman" w:hAnsi="Times New Roman"/>
                <w:szCs w:val="24"/>
              </w:rPr>
              <w:tab/>
            </w:r>
            <w:r w:rsidR="000D2DE5">
              <w:rPr>
                <w:rFonts w:ascii="Times New Roman" w:hAnsi="Times New Roman"/>
              </w:rPr>
              <w:t>57</w:t>
            </w:r>
          </w:p>
        </w:tc>
        <w:tc>
          <w:tcPr>
            <w:tcW w:w="1828" w:type="dxa"/>
            <w:vAlign w:val="center"/>
          </w:tcPr>
          <w:p w:rsidR="004C5FE8" w:rsidRPr="001D5363" w:rsidRDefault="004C5FE8" w:rsidP="00AA1B7F">
            <w:pPr>
              <w:widowControl/>
              <w:spacing w:after="19"/>
              <w:jc w:val="center"/>
              <w:rPr>
                <w:rFonts w:ascii="Times New Roman" w:hAnsi="Times New Roman"/>
              </w:rPr>
            </w:pPr>
            <w:r w:rsidRPr="001D5363">
              <w:rPr>
                <w:rFonts w:ascii="Times New Roman" w:hAnsi="Times New Roman"/>
              </w:rPr>
              <w:t>4</w:t>
            </w:r>
          </w:p>
        </w:tc>
        <w:tc>
          <w:tcPr>
            <w:tcW w:w="1771" w:type="dxa"/>
            <w:vAlign w:val="center"/>
          </w:tcPr>
          <w:p w:rsidR="004C5FE8" w:rsidRPr="001D5363" w:rsidRDefault="004C5FE8" w:rsidP="00AA1B7F">
            <w:pPr>
              <w:widowControl/>
              <w:tabs>
                <w:tab w:val="decimal" w:pos="752"/>
              </w:tabs>
              <w:spacing w:after="19"/>
              <w:rPr>
                <w:rFonts w:ascii="Times New Roman" w:hAnsi="Times New Roman"/>
              </w:rPr>
            </w:pPr>
            <w:r w:rsidRPr="001D5363">
              <w:rPr>
                <w:rFonts w:ascii="Times New Roman" w:hAnsi="Times New Roman"/>
              </w:rPr>
              <w:t>6</w:t>
            </w:r>
          </w:p>
        </w:tc>
        <w:tc>
          <w:tcPr>
            <w:tcW w:w="1800" w:type="dxa"/>
            <w:tcBorders>
              <w:right w:val="single" w:sz="6" w:space="0" w:color="FFFFFF"/>
            </w:tcBorders>
            <w:vAlign w:val="center"/>
          </w:tcPr>
          <w:p w:rsidR="004C5FE8" w:rsidRPr="001D5363" w:rsidRDefault="00A003E8" w:rsidP="000D2DE5">
            <w:pPr>
              <w:tabs>
                <w:tab w:val="right" w:pos="1152"/>
              </w:tabs>
              <w:rPr>
                <w:rFonts w:ascii="Times New Roman" w:hAnsi="Times New Roman"/>
              </w:rPr>
            </w:pPr>
            <w:r w:rsidRPr="00A003E8">
              <w:rPr>
                <w:rFonts w:ascii="Times New Roman" w:hAnsi="Times New Roman"/>
                <w:noProof/>
                <w:snapToGrid/>
                <w:szCs w:val="24"/>
              </w:rPr>
              <w:pict>
                <v:shape id="_x0000_s1038" style="position:absolute;margin-left:24.25pt;margin-top:14.2pt;width:35.65pt;height:0;z-index:251661312;mso-position-horizontal:absolute;mso-position-horizontal-relative:text;mso-position-vertical:absolute;mso-position-vertical-relative:text" coordsize="713,1" path="m,l713,e" filled="f" strokeweight="1.5pt">
                  <v:path arrowok="t"/>
                </v:shape>
              </w:pict>
            </w:r>
            <w:r w:rsidR="004C5FE8" w:rsidRPr="001D5363">
              <w:rPr>
                <w:rFonts w:ascii="Times New Roman" w:hAnsi="Times New Roman"/>
                <w:szCs w:val="24"/>
              </w:rPr>
              <w:tab/>
            </w:r>
            <w:r w:rsidR="000D2DE5">
              <w:rPr>
                <w:rFonts w:ascii="Times New Roman" w:hAnsi="Times New Roman"/>
              </w:rPr>
              <w:t>1,368</w:t>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i/>
              </w:rPr>
            </w:pPr>
            <w:r w:rsidRPr="001D5363">
              <w:rPr>
                <w:rFonts w:ascii="Times New Roman" w:hAnsi="Times New Roman"/>
                <w:i/>
              </w:rPr>
              <w:t>Total</w:t>
            </w:r>
          </w:p>
        </w:tc>
        <w:tc>
          <w:tcPr>
            <w:tcW w:w="1800" w:type="dxa"/>
            <w:vAlign w:val="center"/>
          </w:tcPr>
          <w:p w:rsidR="004C5FE8" w:rsidRPr="001D5363" w:rsidRDefault="004C5FE8" w:rsidP="00AA1B7F">
            <w:pPr>
              <w:widowControl/>
              <w:spacing w:after="19"/>
              <w:jc w:val="center"/>
              <w:rPr>
                <w:rFonts w:ascii="Times New Roman" w:hAnsi="Times New Roman"/>
              </w:rPr>
            </w:pPr>
          </w:p>
        </w:tc>
        <w:tc>
          <w:tcPr>
            <w:tcW w:w="1828" w:type="dxa"/>
            <w:vAlign w:val="center"/>
          </w:tcPr>
          <w:p w:rsidR="004C5FE8" w:rsidRPr="001D5363" w:rsidRDefault="004C5FE8" w:rsidP="00AA1B7F">
            <w:pPr>
              <w:widowControl/>
              <w:spacing w:after="19"/>
              <w:jc w:val="center"/>
              <w:rPr>
                <w:rFonts w:ascii="Times New Roman" w:hAnsi="Times New Roman"/>
              </w:rPr>
            </w:pPr>
          </w:p>
        </w:tc>
        <w:tc>
          <w:tcPr>
            <w:tcW w:w="1771" w:type="dxa"/>
            <w:vAlign w:val="center"/>
          </w:tcPr>
          <w:p w:rsidR="004C5FE8" w:rsidRPr="001D5363"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1D5363" w:rsidRDefault="00415B76" w:rsidP="002213FE">
            <w:pPr>
              <w:tabs>
                <w:tab w:val="right" w:pos="1152"/>
              </w:tabs>
              <w:jc w:val="center"/>
              <w:rPr>
                <w:rFonts w:ascii="Times New Roman" w:hAnsi="Times New Roman"/>
              </w:rPr>
            </w:pPr>
            <w:r w:rsidRPr="001D5363">
              <w:rPr>
                <w:rFonts w:ascii="Times New Roman" w:hAnsi="Times New Roman"/>
              </w:rPr>
              <w:t xml:space="preserve"> </w:t>
            </w:r>
            <w:r w:rsidR="006A6940" w:rsidRPr="001D5363">
              <w:rPr>
                <w:rFonts w:ascii="Times New Roman" w:hAnsi="Times New Roman"/>
              </w:rPr>
              <w:t xml:space="preserve"> </w:t>
            </w:r>
            <w:r w:rsidRPr="001D5363">
              <w:rPr>
                <w:rFonts w:ascii="Times New Roman" w:hAnsi="Times New Roman"/>
              </w:rPr>
              <w:t>25,</w:t>
            </w:r>
            <w:r w:rsidR="002213FE">
              <w:rPr>
                <w:rFonts w:ascii="Times New Roman" w:hAnsi="Times New Roman"/>
              </w:rPr>
              <w:t>568</w:t>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rPr>
            </w:pPr>
          </w:p>
        </w:tc>
        <w:tc>
          <w:tcPr>
            <w:tcW w:w="1800" w:type="dxa"/>
            <w:vAlign w:val="center"/>
          </w:tcPr>
          <w:p w:rsidR="004C5FE8" w:rsidRPr="001D5363" w:rsidRDefault="004C5FE8" w:rsidP="00AA1B7F">
            <w:pPr>
              <w:widowControl/>
              <w:spacing w:after="19"/>
              <w:jc w:val="center"/>
              <w:rPr>
                <w:rFonts w:ascii="Times New Roman" w:hAnsi="Times New Roman"/>
              </w:rPr>
            </w:pPr>
          </w:p>
        </w:tc>
        <w:tc>
          <w:tcPr>
            <w:tcW w:w="1828" w:type="dxa"/>
            <w:vAlign w:val="center"/>
          </w:tcPr>
          <w:p w:rsidR="004C5FE8" w:rsidRPr="001D5363" w:rsidRDefault="004C5FE8" w:rsidP="00AA1B7F">
            <w:pPr>
              <w:widowControl/>
              <w:spacing w:after="19"/>
              <w:jc w:val="center"/>
              <w:rPr>
                <w:rFonts w:ascii="Times New Roman" w:hAnsi="Times New Roman"/>
              </w:rPr>
            </w:pPr>
          </w:p>
        </w:tc>
        <w:tc>
          <w:tcPr>
            <w:tcW w:w="1771" w:type="dxa"/>
            <w:vAlign w:val="center"/>
          </w:tcPr>
          <w:p w:rsidR="004C5FE8" w:rsidRPr="001D5363"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1D5363" w:rsidRDefault="004C5FE8" w:rsidP="00AA1B7F">
            <w:pPr>
              <w:tabs>
                <w:tab w:val="right" w:pos="1152"/>
              </w:tabs>
              <w:jc w:val="center"/>
              <w:rPr>
                <w:rFonts w:ascii="Times New Roman" w:hAnsi="Times New Roman"/>
              </w:rPr>
            </w:pP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b/>
              </w:rPr>
            </w:pPr>
            <w:r w:rsidRPr="001D5363">
              <w:rPr>
                <w:rFonts w:ascii="Times New Roman" w:hAnsi="Times New Roman"/>
                <w:b/>
              </w:rPr>
              <w:t>Proposed</w:t>
            </w:r>
          </w:p>
        </w:tc>
        <w:tc>
          <w:tcPr>
            <w:tcW w:w="1800" w:type="dxa"/>
            <w:vAlign w:val="center"/>
          </w:tcPr>
          <w:p w:rsidR="004C5FE8" w:rsidRPr="001D5363" w:rsidRDefault="004C5FE8" w:rsidP="00AA1B7F">
            <w:pPr>
              <w:widowControl/>
              <w:spacing w:after="19"/>
              <w:jc w:val="center"/>
              <w:rPr>
                <w:rFonts w:ascii="Times New Roman" w:hAnsi="Times New Roman"/>
              </w:rPr>
            </w:pPr>
          </w:p>
        </w:tc>
        <w:tc>
          <w:tcPr>
            <w:tcW w:w="1828" w:type="dxa"/>
            <w:vAlign w:val="center"/>
          </w:tcPr>
          <w:p w:rsidR="004C5FE8" w:rsidRPr="001D5363" w:rsidRDefault="004C5FE8" w:rsidP="00AA1B7F">
            <w:pPr>
              <w:widowControl/>
              <w:spacing w:after="19"/>
              <w:jc w:val="center"/>
              <w:rPr>
                <w:rFonts w:ascii="Times New Roman" w:hAnsi="Times New Roman"/>
              </w:rPr>
            </w:pPr>
          </w:p>
        </w:tc>
        <w:tc>
          <w:tcPr>
            <w:tcW w:w="1771" w:type="dxa"/>
            <w:vAlign w:val="center"/>
          </w:tcPr>
          <w:p w:rsidR="004C5FE8" w:rsidRPr="001D5363"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1D5363" w:rsidRDefault="004C5FE8" w:rsidP="00AA1B7F">
            <w:pPr>
              <w:tabs>
                <w:tab w:val="right" w:pos="1152"/>
              </w:tabs>
              <w:jc w:val="center"/>
              <w:rPr>
                <w:rFonts w:ascii="Times New Roman" w:hAnsi="Times New Roman"/>
              </w:rPr>
            </w:pP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rPr>
            </w:pPr>
            <w:r w:rsidRPr="001D5363">
              <w:rPr>
                <w:rFonts w:ascii="Times New Roman" w:hAnsi="Times New Roman"/>
              </w:rPr>
              <w:t>FFIEC 002</w:t>
            </w:r>
          </w:p>
        </w:tc>
        <w:tc>
          <w:tcPr>
            <w:tcW w:w="1800" w:type="dxa"/>
            <w:vAlign w:val="center"/>
          </w:tcPr>
          <w:p w:rsidR="004C5FE8" w:rsidRPr="001D5363" w:rsidRDefault="000D2DE5" w:rsidP="004A1FE2">
            <w:pPr>
              <w:widowControl/>
              <w:spacing w:after="19"/>
              <w:jc w:val="center"/>
              <w:rPr>
                <w:rFonts w:ascii="Times New Roman" w:hAnsi="Times New Roman"/>
              </w:rPr>
            </w:pPr>
            <w:r>
              <w:rPr>
                <w:rFonts w:ascii="Times New Roman" w:hAnsi="Times New Roman"/>
              </w:rPr>
              <w:t>23</w:t>
            </w:r>
            <w:r w:rsidR="004A1FE2">
              <w:rPr>
                <w:rFonts w:ascii="Times New Roman" w:hAnsi="Times New Roman"/>
              </w:rPr>
              <w:t>8</w:t>
            </w:r>
          </w:p>
        </w:tc>
        <w:tc>
          <w:tcPr>
            <w:tcW w:w="1828" w:type="dxa"/>
            <w:vAlign w:val="center"/>
          </w:tcPr>
          <w:p w:rsidR="004C5FE8" w:rsidRPr="001D5363" w:rsidRDefault="004C5FE8" w:rsidP="00AA1B7F">
            <w:pPr>
              <w:widowControl/>
              <w:spacing w:after="19"/>
              <w:jc w:val="center"/>
              <w:rPr>
                <w:rFonts w:ascii="Times New Roman" w:hAnsi="Times New Roman"/>
              </w:rPr>
            </w:pPr>
            <w:r w:rsidRPr="001D5363">
              <w:rPr>
                <w:rFonts w:ascii="Times New Roman" w:hAnsi="Times New Roman"/>
              </w:rPr>
              <w:t>4</w:t>
            </w:r>
          </w:p>
        </w:tc>
        <w:tc>
          <w:tcPr>
            <w:tcW w:w="1771" w:type="dxa"/>
            <w:vAlign w:val="center"/>
          </w:tcPr>
          <w:p w:rsidR="004C5FE8" w:rsidRPr="001D5363" w:rsidRDefault="004C5FE8" w:rsidP="00415B76">
            <w:pPr>
              <w:widowControl/>
              <w:tabs>
                <w:tab w:val="decimal" w:pos="752"/>
              </w:tabs>
              <w:spacing w:after="19"/>
              <w:rPr>
                <w:rFonts w:ascii="Times New Roman" w:hAnsi="Times New Roman"/>
              </w:rPr>
            </w:pPr>
            <w:r w:rsidRPr="001D5363">
              <w:rPr>
                <w:rFonts w:ascii="Times New Roman" w:hAnsi="Times New Roman"/>
              </w:rPr>
              <w:t>25.</w:t>
            </w:r>
            <w:r w:rsidR="00415B76" w:rsidRPr="001D5363">
              <w:rPr>
                <w:rFonts w:ascii="Times New Roman" w:hAnsi="Times New Roman"/>
              </w:rPr>
              <w:t>4</w:t>
            </w:r>
            <w:r w:rsidR="004A1FE2">
              <w:rPr>
                <w:rFonts w:ascii="Times New Roman" w:hAnsi="Times New Roman"/>
              </w:rPr>
              <w:t>3</w:t>
            </w:r>
          </w:p>
        </w:tc>
        <w:tc>
          <w:tcPr>
            <w:tcW w:w="1800" w:type="dxa"/>
            <w:tcBorders>
              <w:right w:val="single" w:sz="6" w:space="0" w:color="FFFFFF"/>
            </w:tcBorders>
            <w:vAlign w:val="center"/>
          </w:tcPr>
          <w:p w:rsidR="004C5FE8" w:rsidRPr="001D5363" w:rsidRDefault="004C5FE8" w:rsidP="002213FE">
            <w:pPr>
              <w:tabs>
                <w:tab w:val="right" w:pos="1152"/>
              </w:tabs>
              <w:rPr>
                <w:rFonts w:ascii="Times New Roman" w:hAnsi="Times New Roman"/>
              </w:rPr>
            </w:pPr>
            <w:r w:rsidRPr="001D5363">
              <w:rPr>
                <w:rFonts w:ascii="Times New Roman" w:hAnsi="Times New Roman"/>
                <w:szCs w:val="24"/>
              </w:rPr>
              <w:tab/>
            </w:r>
            <w:r w:rsidR="00415B76" w:rsidRPr="001D5363">
              <w:rPr>
                <w:rFonts w:ascii="Times New Roman" w:hAnsi="Times New Roman"/>
              </w:rPr>
              <w:t>24,</w:t>
            </w:r>
            <w:r w:rsidR="002213FE">
              <w:rPr>
                <w:rFonts w:ascii="Times New Roman" w:hAnsi="Times New Roman"/>
              </w:rPr>
              <w:t>209</w:t>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rPr>
            </w:pPr>
            <w:r w:rsidRPr="001D5363">
              <w:rPr>
                <w:rFonts w:ascii="Times New Roman" w:hAnsi="Times New Roman"/>
              </w:rPr>
              <w:t>FFIEC 002S</w:t>
            </w:r>
          </w:p>
        </w:tc>
        <w:tc>
          <w:tcPr>
            <w:tcW w:w="1800" w:type="dxa"/>
            <w:vAlign w:val="center"/>
          </w:tcPr>
          <w:p w:rsidR="004C5FE8" w:rsidRPr="001D5363" w:rsidRDefault="004C5FE8" w:rsidP="000D2DE5">
            <w:pPr>
              <w:widowControl/>
              <w:tabs>
                <w:tab w:val="right" w:pos="960"/>
              </w:tabs>
              <w:spacing w:after="19"/>
              <w:rPr>
                <w:rFonts w:ascii="Times New Roman" w:hAnsi="Times New Roman"/>
              </w:rPr>
            </w:pPr>
            <w:r w:rsidRPr="001D5363">
              <w:rPr>
                <w:rFonts w:ascii="Times New Roman" w:hAnsi="Times New Roman"/>
                <w:szCs w:val="24"/>
              </w:rPr>
              <w:tab/>
            </w:r>
            <w:r w:rsidR="000D2DE5">
              <w:rPr>
                <w:rFonts w:ascii="Times New Roman" w:hAnsi="Times New Roman"/>
              </w:rPr>
              <w:t>57</w:t>
            </w:r>
          </w:p>
        </w:tc>
        <w:tc>
          <w:tcPr>
            <w:tcW w:w="1828" w:type="dxa"/>
            <w:vAlign w:val="center"/>
          </w:tcPr>
          <w:p w:rsidR="004C5FE8" w:rsidRPr="001D5363" w:rsidRDefault="004C5FE8" w:rsidP="00AA1B7F">
            <w:pPr>
              <w:widowControl/>
              <w:spacing w:after="19"/>
              <w:jc w:val="center"/>
              <w:rPr>
                <w:rFonts w:ascii="Times New Roman" w:hAnsi="Times New Roman"/>
              </w:rPr>
            </w:pPr>
            <w:r w:rsidRPr="001D5363">
              <w:rPr>
                <w:rFonts w:ascii="Times New Roman" w:hAnsi="Times New Roman"/>
              </w:rPr>
              <w:t>4</w:t>
            </w:r>
          </w:p>
        </w:tc>
        <w:tc>
          <w:tcPr>
            <w:tcW w:w="1771" w:type="dxa"/>
            <w:vAlign w:val="center"/>
          </w:tcPr>
          <w:p w:rsidR="004C5FE8" w:rsidRPr="001D5363" w:rsidRDefault="004C5FE8" w:rsidP="00AA1B7F">
            <w:pPr>
              <w:widowControl/>
              <w:tabs>
                <w:tab w:val="decimal" w:pos="752"/>
              </w:tabs>
              <w:spacing w:after="19"/>
              <w:rPr>
                <w:rFonts w:ascii="Times New Roman" w:hAnsi="Times New Roman"/>
              </w:rPr>
            </w:pPr>
            <w:r w:rsidRPr="001D5363">
              <w:rPr>
                <w:rFonts w:ascii="Times New Roman" w:hAnsi="Times New Roman"/>
              </w:rPr>
              <w:t>6</w:t>
            </w:r>
          </w:p>
        </w:tc>
        <w:tc>
          <w:tcPr>
            <w:tcW w:w="1800" w:type="dxa"/>
            <w:tcBorders>
              <w:right w:val="single" w:sz="6" w:space="0" w:color="FFFFFF"/>
            </w:tcBorders>
            <w:vAlign w:val="center"/>
          </w:tcPr>
          <w:p w:rsidR="004C5FE8" w:rsidRPr="001D5363" w:rsidRDefault="00A003E8" w:rsidP="000D2DE5">
            <w:pPr>
              <w:tabs>
                <w:tab w:val="right" w:pos="1152"/>
              </w:tabs>
              <w:rPr>
                <w:rFonts w:ascii="Times New Roman" w:hAnsi="Times New Roman"/>
              </w:rPr>
            </w:pPr>
            <w:r w:rsidRPr="00A003E8">
              <w:rPr>
                <w:rFonts w:ascii="Times New Roman" w:hAnsi="Times New Roman"/>
                <w:noProof/>
                <w:snapToGrid/>
                <w:szCs w:val="24"/>
              </w:rPr>
              <w:pict>
                <v:shape id="_x0000_s1037" style="position:absolute;margin-left:23.2pt;margin-top:14.85pt;width:35.65pt;height:0;z-index:251660288;mso-position-horizontal:absolute;mso-position-horizontal-relative:text;mso-position-vertical:absolute;mso-position-vertical-relative:text" coordsize="713,1" path="m,l713,e" filled="f" strokeweight="1.5pt">
                  <v:path arrowok="t"/>
                </v:shape>
              </w:pict>
            </w:r>
            <w:r w:rsidR="004C5FE8" w:rsidRPr="001D5363">
              <w:rPr>
                <w:rFonts w:ascii="Times New Roman" w:hAnsi="Times New Roman"/>
                <w:szCs w:val="24"/>
              </w:rPr>
              <w:tab/>
            </w:r>
            <w:r w:rsidR="000D2DE5">
              <w:rPr>
                <w:rFonts w:ascii="Times New Roman" w:hAnsi="Times New Roman"/>
              </w:rPr>
              <w:t>1,368</w:t>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i/>
              </w:rPr>
            </w:pPr>
            <w:r w:rsidRPr="001D5363">
              <w:rPr>
                <w:rFonts w:ascii="Times New Roman" w:hAnsi="Times New Roman"/>
                <w:i/>
              </w:rPr>
              <w:t>Total</w:t>
            </w:r>
          </w:p>
        </w:tc>
        <w:tc>
          <w:tcPr>
            <w:tcW w:w="1800" w:type="dxa"/>
            <w:vAlign w:val="center"/>
          </w:tcPr>
          <w:p w:rsidR="004C5FE8" w:rsidRPr="001D5363" w:rsidRDefault="004C5FE8" w:rsidP="00AA1B7F">
            <w:pPr>
              <w:widowControl/>
              <w:spacing w:after="19"/>
              <w:jc w:val="center"/>
              <w:rPr>
                <w:rFonts w:ascii="Times New Roman" w:hAnsi="Times New Roman"/>
              </w:rPr>
            </w:pPr>
          </w:p>
        </w:tc>
        <w:tc>
          <w:tcPr>
            <w:tcW w:w="1828" w:type="dxa"/>
            <w:vAlign w:val="center"/>
          </w:tcPr>
          <w:p w:rsidR="004C5FE8" w:rsidRPr="001D5363" w:rsidRDefault="004C5FE8" w:rsidP="00AA1B7F">
            <w:pPr>
              <w:widowControl/>
              <w:spacing w:after="19"/>
              <w:jc w:val="center"/>
              <w:rPr>
                <w:rFonts w:ascii="Times New Roman" w:hAnsi="Times New Roman"/>
              </w:rPr>
            </w:pPr>
          </w:p>
        </w:tc>
        <w:tc>
          <w:tcPr>
            <w:tcW w:w="1771" w:type="dxa"/>
            <w:vAlign w:val="center"/>
          </w:tcPr>
          <w:p w:rsidR="004C5FE8" w:rsidRPr="001D5363"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1D5363" w:rsidRDefault="004C5FE8" w:rsidP="002213FE">
            <w:pPr>
              <w:tabs>
                <w:tab w:val="right" w:pos="1152"/>
              </w:tabs>
              <w:rPr>
                <w:rFonts w:ascii="Times New Roman" w:hAnsi="Times New Roman"/>
              </w:rPr>
            </w:pPr>
            <w:r w:rsidRPr="001D5363">
              <w:rPr>
                <w:rFonts w:ascii="Times New Roman" w:hAnsi="Times New Roman"/>
                <w:szCs w:val="24"/>
              </w:rPr>
              <w:tab/>
            </w:r>
            <w:r w:rsidR="00415B76" w:rsidRPr="001D5363">
              <w:rPr>
                <w:rFonts w:ascii="Times New Roman" w:hAnsi="Times New Roman"/>
                <w:szCs w:val="24"/>
              </w:rPr>
              <w:t>25,</w:t>
            </w:r>
            <w:r w:rsidR="000D2DE5">
              <w:rPr>
                <w:rFonts w:ascii="Times New Roman" w:hAnsi="Times New Roman"/>
                <w:szCs w:val="24"/>
              </w:rPr>
              <w:t>5</w:t>
            </w:r>
            <w:r w:rsidR="002213FE">
              <w:rPr>
                <w:rFonts w:ascii="Times New Roman" w:hAnsi="Times New Roman"/>
                <w:szCs w:val="24"/>
              </w:rPr>
              <w:t>77</w:t>
            </w:r>
          </w:p>
        </w:tc>
      </w:tr>
      <w:tr w:rsidR="004C5FE8" w:rsidRPr="001D5363" w:rsidTr="00AA1B7F">
        <w:trPr>
          <w:trHeight w:val="300"/>
        </w:trPr>
        <w:tc>
          <w:tcPr>
            <w:tcW w:w="2160" w:type="dxa"/>
            <w:tcBorders>
              <w:left w:val="single" w:sz="6" w:space="0" w:color="FFFFFF"/>
            </w:tcBorders>
            <w:vAlign w:val="center"/>
          </w:tcPr>
          <w:p w:rsidR="004C5FE8" w:rsidRPr="001D5363" w:rsidRDefault="004C5FE8" w:rsidP="00AA1B7F">
            <w:pPr>
              <w:rPr>
                <w:rFonts w:ascii="Times New Roman" w:hAnsi="Times New Roman"/>
              </w:rPr>
            </w:pPr>
          </w:p>
        </w:tc>
        <w:tc>
          <w:tcPr>
            <w:tcW w:w="1800" w:type="dxa"/>
            <w:vAlign w:val="center"/>
          </w:tcPr>
          <w:p w:rsidR="004C5FE8" w:rsidRPr="001D5363" w:rsidRDefault="004C5FE8" w:rsidP="00AA1B7F">
            <w:pPr>
              <w:widowControl/>
              <w:spacing w:after="19"/>
              <w:jc w:val="center"/>
              <w:rPr>
                <w:rFonts w:ascii="Times New Roman" w:hAnsi="Times New Roman"/>
              </w:rPr>
            </w:pPr>
          </w:p>
        </w:tc>
        <w:tc>
          <w:tcPr>
            <w:tcW w:w="1828" w:type="dxa"/>
            <w:vAlign w:val="center"/>
          </w:tcPr>
          <w:p w:rsidR="004C5FE8" w:rsidRPr="001D5363" w:rsidRDefault="004C5FE8" w:rsidP="00AA1B7F">
            <w:pPr>
              <w:widowControl/>
              <w:spacing w:after="19"/>
              <w:jc w:val="center"/>
              <w:rPr>
                <w:rFonts w:ascii="Times New Roman" w:hAnsi="Times New Roman"/>
              </w:rPr>
            </w:pPr>
          </w:p>
        </w:tc>
        <w:tc>
          <w:tcPr>
            <w:tcW w:w="1771" w:type="dxa"/>
            <w:vAlign w:val="center"/>
          </w:tcPr>
          <w:p w:rsidR="004C5FE8" w:rsidRPr="001D5363" w:rsidRDefault="004C5FE8" w:rsidP="00AA1B7F">
            <w:pPr>
              <w:widowControl/>
              <w:spacing w:after="19"/>
              <w:jc w:val="center"/>
              <w:rPr>
                <w:rFonts w:ascii="Times New Roman" w:hAnsi="Times New Roman"/>
              </w:rPr>
            </w:pPr>
          </w:p>
        </w:tc>
        <w:tc>
          <w:tcPr>
            <w:tcW w:w="1800" w:type="dxa"/>
            <w:tcBorders>
              <w:right w:val="single" w:sz="6" w:space="0" w:color="FFFFFF"/>
            </w:tcBorders>
            <w:vAlign w:val="center"/>
          </w:tcPr>
          <w:p w:rsidR="004C5FE8" w:rsidRPr="001D5363" w:rsidRDefault="004C5FE8" w:rsidP="00AA1B7F">
            <w:pPr>
              <w:tabs>
                <w:tab w:val="right" w:pos="1152"/>
              </w:tabs>
              <w:jc w:val="center"/>
              <w:rPr>
                <w:rFonts w:ascii="Times New Roman" w:hAnsi="Times New Roman"/>
              </w:rPr>
            </w:pPr>
          </w:p>
        </w:tc>
      </w:tr>
      <w:tr w:rsidR="004C5FE8" w:rsidRPr="001D5363" w:rsidTr="00AA1B7F">
        <w:trPr>
          <w:trHeight w:val="300"/>
        </w:trPr>
        <w:tc>
          <w:tcPr>
            <w:tcW w:w="2160" w:type="dxa"/>
            <w:tcBorders>
              <w:left w:val="single" w:sz="6" w:space="0" w:color="FFFFFF"/>
              <w:bottom w:val="single" w:sz="6" w:space="0" w:color="auto"/>
            </w:tcBorders>
            <w:vAlign w:val="center"/>
          </w:tcPr>
          <w:p w:rsidR="004C5FE8" w:rsidRPr="001D5363" w:rsidRDefault="004C5FE8" w:rsidP="00AA1B7F">
            <w:pPr>
              <w:rPr>
                <w:rFonts w:ascii="Times New Roman" w:hAnsi="Times New Roman"/>
              </w:rPr>
            </w:pPr>
            <w:r w:rsidRPr="001D5363">
              <w:rPr>
                <w:rFonts w:ascii="Times New Roman" w:hAnsi="Times New Roman"/>
                <w:i/>
              </w:rPr>
              <w:t>Change</w:t>
            </w:r>
          </w:p>
        </w:tc>
        <w:tc>
          <w:tcPr>
            <w:tcW w:w="1800" w:type="dxa"/>
            <w:tcBorders>
              <w:bottom w:val="single" w:sz="6" w:space="0" w:color="auto"/>
            </w:tcBorders>
            <w:vAlign w:val="center"/>
          </w:tcPr>
          <w:p w:rsidR="004C5FE8" w:rsidRPr="001D5363" w:rsidRDefault="004C5FE8" w:rsidP="00AA1B7F">
            <w:pPr>
              <w:widowControl/>
              <w:spacing w:after="19"/>
              <w:jc w:val="center"/>
              <w:rPr>
                <w:rFonts w:ascii="Times New Roman" w:hAnsi="Times New Roman"/>
              </w:rPr>
            </w:pPr>
          </w:p>
        </w:tc>
        <w:tc>
          <w:tcPr>
            <w:tcW w:w="1828" w:type="dxa"/>
            <w:tcBorders>
              <w:bottom w:val="single" w:sz="6" w:space="0" w:color="auto"/>
            </w:tcBorders>
            <w:vAlign w:val="center"/>
          </w:tcPr>
          <w:p w:rsidR="004C5FE8" w:rsidRPr="001D5363" w:rsidRDefault="004C5FE8" w:rsidP="00AA1B7F">
            <w:pPr>
              <w:widowControl/>
              <w:spacing w:after="19"/>
              <w:jc w:val="center"/>
              <w:rPr>
                <w:rFonts w:ascii="Times New Roman" w:hAnsi="Times New Roman"/>
              </w:rPr>
            </w:pPr>
          </w:p>
        </w:tc>
        <w:tc>
          <w:tcPr>
            <w:tcW w:w="1771" w:type="dxa"/>
            <w:tcBorders>
              <w:bottom w:val="single" w:sz="6" w:space="0" w:color="auto"/>
            </w:tcBorders>
            <w:vAlign w:val="center"/>
          </w:tcPr>
          <w:p w:rsidR="004C5FE8" w:rsidRPr="001D5363" w:rsidRDefault="004C5FE8" w:rsidP="00AA1B7F">
            <w:pPr>
              <w:widowControl/>
              <w:spacing w:after="19"/>
              <w:jc w:val="center"/>
              <w:rPr>
                <w:rFonts w:ascii="Times New Roman" w:hAnsi="Times New Roman"/>
              </w:rPr>
            </w:pPr>
          </w:p>
        </w:tc>
        <w:tc>
          <w:tcPr>
            <w:tcW w:w="1800" w:type="dxa"/>
            <w:tcBorders>
              <w:bottom w:val="single" w:sz="6" w:space="0" w:color="auto"/>
              <w:right w:val="single" w:sz="6" w:space="0" w:color="FFFFFF"/>
            </w:tcBorders>
            <w:vAlign w:val="center"/>
          </w:tcPr>
          <w:p w:rsidR="004C5FE8" w:rsidRPr="001D5363" w:rsidRDefault="004C5FE8" w:rsidP="002213FE">
            <w:pPr>
              <w:tabs>
                <w:tab w:val="right" w:pos="1152"/>
              </w:tabs>
              <w:rPr>
                <w:rFonts w:ascii="Times New Roman" w:hAnsi="Times New Roman"/>
              </w:rPr>
            </w:pPr>
            <w:r w:rsidRPr="001D5363">
              <w:rPr>
                <w:rFonts w:ascii="Times New Roman" w:hAnsi="Times New Roman"/>
                <w:szCs w:val="24"/>
              </w:rPr>
              <w:tab/>
            </w:r>
            <w:r w:rsidR="002213FE">
              <w:rPr>
                <w:rFonts w:ascii="Times New Roman" w:hAnsi="Times New Roman"/>
                <w:szCs w:val="24"/>
              </w:rPr>
              <w:t>9</w:t>
            </w:r>
          </w:p>
        </w:tc>
      </w:tr>
    </w:tbl>
    <w:p w:rsidR="00DA2E0E" w:rsidRPr="001D5363" w:rsidRDefault="00DA2E0E" w:rsidP="00DC46C3">
      <w:pPr>
        <w:rPr>
          <w:rFonts w:ascii="Times New Roman" w:hAnsi="Times New Roman"/>
          <w:szCs w:val="24"/>
        </w:rPr>
      </w:pPr>
    </w:p>
    <w:p w:rsidR="00755062" w:rsidRDefault="00B0579D" w:rsidP="00755062">
      <w:pPr>
        <w:jc w:val="both"/>
        <w:rPr>
          <w:rFonts w:ascii="Times New Roman" w:hAnsi="Times New Roman"/>
          <w:szCs w:val="24"/>
        </w:rPr>
      </w:pPr>
      <w:r w:rsidRPr="001D5363">
        <w:rPr>
          <w:rFonts w:ascii="Times New Roman" w:hAnsi="Times New Roman"/>
          <w:szCs w:val="24"/>
        </w:rPr>
        <w:t xml:space="preserve">The total cost to the public is estimated to </w:t>
      </w:r>
      <w:r w:rsidR="00984426">
        <w:rPr>
          <w:rFonts w:ascii="Times New Roman" w:hAnsi="Times New Roman"/>
          <w:szCs w:val="24"/>
        </w:rPr>
        <w:t>increase</w:t>
      </w:r>
      <w:r w:rsidR="00875462">
        <w:rPr>
          <w:rFonts w:ascii="Times New Roman" w:hAnsi="Times New Roman"/>
        </w:rPr>
        <w:t xml:space="preserve"> to </w:t>
      </w:r>
      <w:r w:rsidR="00602508" w:rsidRPr="001D5363">
        <w:rPr>
          <w:rFonts w:ascii="Times New Roman" w:hAnsi="Times New Roman"/>
        </w:rPr>
        <w:t>$1,</w:t>
      </w:r>
      <w:r w:rsidR="001F3369" w:rsidRPr="001D5363">
        <w:rPr>
          <w:rFonts w:ascii="Times New Roman" w:hAnsi="Times New Roman"/>
        </w:rPr>
        <w:t>0</w:t>
      </w:r>
      <w:r w:rsidR="00875462">
        <w:rPr>
          <w:rFonts w:ascii="Times New Roman" w:hAnsi="Times New Roman"/>
        </w:rPr>
        <w:t>90</w:t>
      </w:r>
      <w:r w:rsidR="00602508" w:rsidRPr="001D5363">
        <w:rPr>
          <w:rFonts w:ascii="Times New Roman" w:hAnsi="Times New Roman"/>
        </w:rPr>
        <w:t>,</w:t>
      </w:r>
      <w:r w:rsidR="00FD1B54">
        <w:rPr>
          <w:rFonts w:ascii="Times New Roman" w:hAnsi="Times New Roman"/>
        </w:rPr>
        <w:t>859</w:t>
      </w:r>
      <w:r w:rsidR="00FD1B54" w:rsidRPr="001D5363">
        <w:rPr>
          <w:rFonts w:ascii="Times New Roman" w:hAnsi="Times New Roman"/>
        </w:rPr>
        <w:t xml:space="preserve"> </w:t>
      </w:r>
      <w:r w:rsidR="00875462">
        <w:rPr>
          <w:rFonts w:ascii="Times New Roman" w:hAnsi="Times New Roman"/>
        </w:rPr>
        <w:t xml:space="preserve">from $1,090,475 </w:t>
      </w:r>
      <w:r w:rsidR="00602508" w:rsidRPr="001D5363">
        <w:rPr>
          <w:rFonts w:ascii="Times New Roman" w:hAnsi="Times New Roman"/>
        </w:rPr>
        <w:t>for the FFIEC 002 and FFIEC 002S</w:t>
      </w:r>
      <w:r w:rsidRPr="001D5363">
        <w:rPr>
          <w:rFonts w:ascii="Times New Roman" w:hAnsi="Times New Roman"/>
          <w:szCs w:val="24"/>
        </w:rPr>
        <w:t>.</w:t>
      </w:r>
      <w:r w:rsidRPr="001D5363">
        <w:rPr>
          <w:rStyle w:val="FootnoteReference"/>
          <w:rFonts w:ascii="Times New Roman" w:hAnsi="Times New Roman"/>
          <w:szCs w:val="24"/>
          <w:vertAlign w:val="superscript"/>
        </w:rPr>
        <w:footnoteReference w:id="12"/>
      </w:r>
    </w:p>
    <w:p w:rsidR="005021D1" w:rsidRPr="001D5363" w:rsidRDefault="005021D1" w:rsidP="00DC46C3">
      <w:pPr>
        <w:rPr>
          <w:rFonts w:ascii="Times New Roman" w:hAnsi="Times New Roman"/>
          <w:szCs w:val="24"/>
        </w:rPr>
      </w:pPr>
    </w:p>
    <w:p w:rsidR="00EC738B" w:rsidRPr="001D5363" w:rsidRDefault="00EC738B" w:rsidP="00EC738B">
      <w:pPr>
        <w:widowControl/>
        <w:jc w:val="both"/>
        <w:rPr>
          <w:rFonts w:ascii="Times New Roman" w:hAnsi="Times New Roman"/>
        </w:rPr>
      </w:pPr>
      <w:r w:rsidRPr="001D5363">
        <w:rPr>
          <w:rFonts w:ascii="Times New Roman" w:hAnsi="Times New Roman"/>
          <w:b/>
        </w:rPr>
        <w:t>Sensitive Questions</w:t>
      </w:r>
    </w:p>
    <w:p w:rsidR="00EC738B" w:rsidRPr="001D5363" w:rsidRDefault="00EC738B" w:rsidP="00EC738B">
      <w:pPr>
        <w:widowControl/>
        <w:rPr>
          <w:rFonts w:ascii="Times New Roman" w:hAnsi="Times New Roman"/>
        </w:rPr>
      </w:pPr>
    </w:p>
    <w:p w:rsidR="00EC738B" w:rsidRPr="001D5363" w:rsidRDefault="00EC738B" w:rsidP="00EC738B">
      <w:pPr>
        <w:widowControl/>
        <w:ind w:firstLine="720"/>
        <w:jc w:val="both"/>
        <w:rPr>
          <w:rFonts w:ascii="Times New Roman" w:hAnsi="Times New Roman"/>
        </w:rPr>
      </w:pPr>
      <w:r w:rsidRPr="001D5363">
        <w:rPr>
          <w:rFonts w:ascii="Times New Roman" w:hAnsi="Times New Roman"/>
        </w:rPr>
        <w:t>This collection of information contains no questions of a sensitive nature, as defined by OMB guidelines.</w:t>
      </w:r>
    </w:p>
    <w:p w:rsidR="00EC738B" w:rsidRPr="001D5363" w:rsidRDefault="00EC738B" w:rsidP="00844CEA">
      <w:pPr>
        <w:pStyle w:val="EndnoteText"/>
        <w:widowControl/>
        <w:rPr>
          <w:rFonts w:ascii="Times New Roman" w:hAnsi="Times New Roman"/>
          <w:bCs/>
        </w:rPr>
      </w:pPr>
    </w:p>
    <w:p w:rsidR="00AD2499" w:rsidRDefault="00AD2499">
      <w:pPr>
        <w:widowControl/>
        <w:rPr>
          <w:rFonts w:ascii="Times New Roman" w:hAnsi="Times New Roman"/>
          <w:b/>
          <w:bCs/>
        </w:rPr>
      </w:pPr>
      <w:r>
        <w:rPr>
          <w:rFonts w:ascii="Times New Roman" w:hAnsi="Times New Roman"/>
          <w:b/>
          <w:bCs/>
        </w:rPr>
        <w:br w:type="page"/>
      </w:r>
    </w:p>
    <w:p w:rsidR="00AA79ED" w:rsidRPr="001D5363" w:rsidRDefault="00AA79ED" w:rsidP="00844CEA">
      <w:pPr>
        <w:pStyle w:val="EndnoteText"/>
        <w:widowControl/>
        <w:jc w:val="both"/>
        <w:rPr>
          <w:rFonts w:ascii="Times New Roman" w:hAnsi="Times New Roman"/>
          <w:b/>
          <w:bCs/>
        </w:rPr>
      </w:pPr>
      <w:r w:rsidRPr="001D5363">
        <w:rPr>
          <w:rFonts w:ascii="Times New Roman" w:hAnsi="Times New Roman"/>
          <w:b/>
          <w:bCs/>
        </w:rPr>
        <w:lastRenderedPageBreak/>
        <w:t>Estimate of Cost to the Federal Reserve System</w:t>
      </w:r>
    </w:p>
    <w:p w:rsidR="00AA79ED" w:rsidRPr="001D5363" w:rsidRDefault="00AA79ED" w:rsidP="00844CEA">
      <w:pPr>
        <w:widowControl/>
        <w:rPr>
          <w:rFonts w:ascii="Times New Roman" w:hAnsi="Times New Roman"/>
        </w:rPr>
      </w:pPr>
    </w:p>
    <w:p w:rsidR="00AA79ED" w:rsidRPr="001D5363" w:rsidRDefault="00AA79ED" w:rsidP="00844CEA">
      <w:pPr>
        <w:pStyle w:val="BodyTextIndent3"/>
        <w:rPr>
          <w:rFonts w:ascii="Times New Roman" w:hAnsi="Times New Roman"/>
        </w:rPr>
      </w:pPr>
      <w:r w:rsidRPr="001D5363">
        <w:rPr>
          <w:rFonts w:ascii="Times New Roman" w:hAnsi="Times New Roman"/>
        </w:rPr>
        <w:t xml:space="preserve">The </w:t>
      </w:r>
      <w:r w:rsidR="00C41458" w:rsidRPr="001D5363">
        <w:rPr>
          <w:rFonts w:ascii="Times New Roman" w:hAnsi="Times New Roman"/>
        </w:rPr>
        <w:t>current</w:t>
      </w:r>
      <w:r w:rsidR="000E6523" w:rsidRPr="001D5363">
        <w:rPr>
          <w:rFonts w:ascii="Times New Roman" w:hAnsi="Times New Roman"/>
          <w:szCs w:val="24"/>
        </w:rPr>
        <w:t xml:space="preserve"> </w:t>
      </w:r>
      <w:r w:rsidR="006A45B6" w:rsidRPr="001D5363">
        <w:rPr>
          <w:rFonts w:ascii="Times New Roman" w:hAnsi="Times New Roman"/>
        </w:rPr>
        <w:t xml:space="preserve">annual </w:t>
      </w:r>
      <w:r w:rsidRPr="001D5363">
        <w:rPr>
          <w:rFonts w:ascii="Times New Roman" w:hAnsi="Times New Roman"/>
        </w:rPr>
        <w:t xml:space="preserve">cost to the Federal Reserve System for collecting and processing the FFIEC 002 </w:t>
      </w:r>
      <w:r w:rsidR="000A6431" w:rsidRPr="001D5363">
        <w:rPr>
          <w:rFonts w:ascii="Times New Roman" w:hAnsi="Times New Roman"/>
        </w:rPr>
        <w:t xml:space="preserve">and the FFIEC 002S </w:t>
      </w:r>
      <w:r w:rsidRPr="001D5363">
        <w:rPr>
          <w:rFonts w:ascii="Times New Roman" w:hAnsi="Times New Roman"/>
        </w:rPr>
        <w:t xml:space="preserve">is </w:t>
      </w:r>
      <w:r w:rsidR="000E6523" w:rsidRPr="001D5363">
        <w:rPr>
          <w:rFonts w:ascii="Times New Roman" w:hAnsi="Times New Roman"/>
        </w:rPr>
        <w:t xml:space="preserve">estimated to be </w:t>
      </w:r>
      <w:r w:rsidR="002073B7" w:rsidRPr="001D5363">
        <w:rPr>
          <w:rFonts w:ascii="Times New Roman" w:hAnsi="Times New Roman"/>
        </w:rPr>
        <w:t>$</w:t>
      </w:r>
      <w:r w:rsidR="004730E9" w:rsidRPr="001D5363">
        <w:rPr>
          <w:rFonts w:ascii="Times New Roman" w:hAnsi="Times New Roman"/>
        </w:rPr>
        <w:t>221</w:t>
      </w:r>
      <w:r w:rsidR="002073B7" w:rsidRPr="001D5363">
        <w:rPr>
          <w:rFonts w:ascii="Times New Roman" w:hAnsi="Times New Roman"/>
        </w:rPr>
        <w:t>,</w:t>
      </w:r>
      <w:r w:rsidR="004730E9" w:rsidRPr="001D5363">
        <w:rPr>
          <w:rFonts w:ascii="Times New Roman" w:hAnsi="Times New Roman"/>
        </w:rPr>
        <w:t>9</w:t>
      </w:r>
      <w:r w:rsidR="002073B7" w:rsidRPr="001D5363">
        <w:rPr>
          <w:rFonts w:ascii="Times New Roman" w:hAnsi="Times New Roman"/>
        </w:rPr>
        <w:t>00</w:t>
      </w:r>
      <w:r w:rsidR="00C41458" w:rsidRPr="001D5363">
        <w:rPr>
          <w:rFonts w:ascii="Times New Roman" w:hAnsi="Times New Roman"/>
        </w:rPr>
        <w:t>.</w:t>
      </w:r>
      <w:r w:rsidR="000E6523" w:rsidRPr="001D5363">
        <w:rPr>
          <w:rFonts w:ascii="Times New Roman" w:hAnsi="Times New Roman"/>
          <w:szCs w:val="24"/>
        </w:rPr>
        <w:t xml:space="preserve">  The Federal Reserve System collects and processes the data for all three of the agencies.</w:t>
      </w:r>
    </w:p>
    <w:sectPr w:rsidR="00AA79ED" w:rsidRPr="001D5363" w:rsidSect="001D5363">
      <w:footerReference w:type="even" r:id="rId9"/>
      <w:footerReference w:type="default" r:id="rId10"/>
      <w:endnotePr>
        <w:numFmt w:val="decimal"/>
      </w:endnotePr>
      <w:type w:val="continuous"/>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E0B" w:rsidRDefault="00811E0B">
      <w:r>
        <w:separator/>
      </w:r>
    </w:p>
  </w:endnote>
  <w:endnote w:type="continuationSeparator" w:id="0">
    <w:p w:rsidR="00811E0B" w:rsidRDefault="00811E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0B" w:rsidRDefault="00811E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1E0B" w:rsidRDefault="00811E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E0B" w:rsidRPr="009C6F19" w:rsidRDefault="00811E0B" w:rsidP="009C6F19">
    <w:pPr>
      <w:pStyle w:val="Footer"/>
      <w:jc w:val="center"/>
      <w:rPr>
        <w:rFonts w:ascii="Times New Roman" w:hAnsi="Times New Roman"/>
      </w:rPr>
    </w:pPr>
    <w:r w:rsidRPr="009C6F19">
      <w:rPr>
        <w:rStyle w:val="PageNumber"/>
        <w:rFonts w:ascii="Times New Roman" w:hAnsi="Times New Roman"/>
      </w:rPr>
      <w:fldChar w:fldCharType="begin"/>
    </w:r>
    <w:r w:rsidRPr="009C6F19">
      <w:rPr>
        <w:rStyle w:val="PageNumber"/>
        <w:rFonts w:ascii="Times New Roman" w:hAnsi="Times New Roman"/>
      </w:rPr>
      <w:instrText xml:space="preserve"> PAGE </w:instrText>
    </w:r>
    <w:r w:rsidRPr="009C6F19">
      <w:rPr>
        <w:rStyle w:val="PageNumber"/>
        <w:rFonts w:ascii="Times New Roman" w:hAnsi="Times New Roman"/>
      </w:rPr>
      <w:fldChar w:fldCharType="separate"/>
    </w:r>
    <w:r w:rsidR="00984426">
      <w:rPr>
        <w:rStyle w:val="PageNumber"/>
        <w:rFonts w:ascii="Times New Roman" w:hAnsi="Times New Roman"/>
        <w:noProof/>
      </w:rPr>
      <w:t>9</w:t>
    </w:r>
    <w:r w:rsidRPr="009C6F19">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E0B" w:rsidRDefault="00811E0B">
      <w:r>
        <w:separator/>
      </w:r>
    </w:p>
  </w:footnote>
  <w:footnote w:type="continuationSeparator" w:id="0">
    <w:p w:rsidR="00811E0B" w:rsidRDefault="00811E0B">
      <w:r>
        <w:continuationSeparator/>
      </w:r>
    </w:p>
  </w:footnote>
  <w:footnote w:id="1">
    <w:p w:rsidR="00811E0B" w:rsidRDefault="00811E0B" w:rsidP="00755062">
      <w:pPr>
        <w:pStyle w:val="FootnoteText"/>
        <w:jc w:val="both"/>
        <w:rPr>
          <w:rFonts w:ascii="Times New Roman" w:hAnsi="Times New Roman"/>
          <w:sz w:val="20"/>
        </w:rPr>
      </w:pPr>
      <w:r w:rsidRPr="000F1791">
        <w:rPr>
          <w:rStyle w:val="FootnoteReference"/>
          <w:rFonts w:ascii="Times New Roman" w:hAnsi="Times New Roman"/>
          <w:sz w:val="20"/>
        </w:rPr>
        <w:footnoteRef/>
      </w:r>
      <w:r w:rsidRPr="000F1791">
        <w:rPr>
          <w:rFonts w:ascii="Times New Roman" w:hAnsi="Times New Roman"/>
          <w:sz w:val="20"/>
        </w:rPr>
        <w:t xml:space="preserve">  See 75 FR 23516, May 3, 2010.</w:t>
      </w:r>
    </w:p>
  </w:footnote>
  <w:footnote w:id="2">
    <w:p w:rsidR="00811E0B" w:rsidRDefault="00811E0B" w:rsidP="00755062">
      <w:pPr>
        <w:pStyle w:val="FootnoteText"/>
        <w:jc w:val="both"/>
        <w:rPr>
          <w:rFonts w:ascii="Times New Roman" w:hAnsi="Times New Roman"/>
          <w:sz w:val="20"/>
        </w:rPr>
      </w:pPr>
      <w:r w:rsidRPr="000F1791">
        <w:rPr>
          <w:rStyle w:val="FootnoteReference"/>
          <w:rFonts w:ascii="Times New Roman" w:hAnsi="Times New Roman"/>
          <w:sz w:val="20"/>
        </w:rPr>
        <w:footnoteRef/>
      </w:r>
      <w:r w:rsidRPr="000F1791">
        <w:rPr>
          <w:rFonts w:ascii="Times New Roman" w:hAnsi="Times New Roman"/>
          <w:sz w:val="20"/>
        </w:rPr>
        <w:t xml:space="preserve">  See 75 FR 72582, November 24, 2010.</w:t>
      </w:r>
    </w:p>
  </w:footnote>
  <w:footnote w:id="3">
    <w:p w:rsidR="00811E0B" w:rsidRDefault="00811E0B" w:rsidP="00755062">
      <w:pPr>
        <w:pStyle w:val="FootnoteText"/>
        <w:jc w:val="both"/>
        <w:rPr>
          <w:rFonts w:ascii="Times New Roman" w:hAnsi="Times New Roman"/>
          <w:sz w:val="20"/>
        </w:rPr>
      </w:pPr>
      <w:r w:rsidRPr="000F1791">
        <w:rPr>
          <w:rStyle w:val="FootnoteReference"/>
          <w:rFonts w:ascii="Times New Roman" w:hAnsi="Times New Roman"/>
          <w:sz w:val="20"/>
        </w:rPr>
        <w:footnoteRef/>
      </w:r>
      <w:r w:rsidRPr="000F1791">
        <w:rPr>
          <w:rFonts w:ascii="Times New Roman" w:hAnsi="Times New Roman"/>
          <w:sz w:val="20"/>
        </w:rPr>
        <w:t xml:space="preserve">  See 75 FR 72612, November 24, 2010.</w:t>
      </w:r>
    </w:p>
  </w:footnote>
  <w:footnote w:id="4">
    <w:p w:rsidR="00811E0B" w:rsidRDefault="00811E0B" w:rsidP="00755062">
      <w:pPr>
        <w:pStyle w:val="FootnoteText"/>
        <w:jc w:val="both"/>
        <w:rPr>
          <w:rFonts w:ascii="Times New Roman" w:hAnsi="Times New Roman"/>
          <w:sz w:val="20"/>
        </w:rPr>
      </w:pPr>
      <w:r w:rsidRPr="000F1791">
        <w:rPr>
          <w:rStyle w:val="FootnoteReference"/>
          <w:rFonts w:ascii="Times New Roman" w:hAnsi="Times New Roman"/>
          <w:sz w:val="20"/>
        </w:rPr>
        <w:footnoteRef/>
      </w:r>
      <w:r w:rsidRPr="000F1791">
        <w:rPr>
          <w:rFonts w:ascii="Times New Roman" w:hAnsi="Times New Roman"/>
          <w:sz w:val="20"/>
        </w:rPr>
        <w:t xml:space="preserve">  See 76 FR 10672, February 25, 2011.</w:t>
      </w:r>
    </w:p>
  </w:footnote>
  <w:footnote w:id="5">
    <w:p w:rsidR="00811E0B" w:rsidRDefault="00811E0B" w:rsidP="00755062">
      <w:pPr>
        <w:pStyle w:val="FootnoteText"/>
        <w:jc w:val="both"/>
        <w:rPr>
          <w:rFonts w:ascii="Times New Roman" w:hAnsi="Times New Roman"/>
          <w:sz w:val="20"/>
        </w:rPr>
      </w:pPr>
      <w:r w:rsidRPr="000F1791">
        <w:rPr>
          <w:rStyle w:val="FootnoteReference"/>
          <w:rFonts w:ascii="Times New Roman" w:hAnsi="Times New Roman"/>
          <w:sz w:val="20"/>
        </w:rPr>
        <w:footnoteRef/>
      </w:r>
      <w:r w:rsidRPr="000F1791">
        <w:rPr>
          <w:rFonts w:ascii="Times New Roman" w:hAnsi="Times New Roman"/>
          <w:sz w:val="20"/>
        </w:rPr>
        <w:t xml:space="preserve">  See 76 FR 14460, March 16, 2011.</w:t>
      </w:r>
    </w:p>
  </w:footnote>
  <w:footnote w:id="6">
    <w:p w:rsidR="00811E0B" w:rsidRDefault="00811E0B" w:rsidP="00755062">
      <w:pPr>
        <w:pStyle w:val="FootnoteText"/>
        <w:jc w:val="both"/>
        <w:rPr>
          <w:rFonts w:ascii="Times New Roman" w:hAnsi="Times New Roman"/>
          <w:sz w:val="20"/>
        </w:rPr>
      </w:pPr>
      <w:r w:rsidRPr="00474866">
        <w:rPr>
          <w:rStyle w:val="FootnoteReference"/>
          <w:rFonts w:ascii="Times New Roman" w:hAnsi="Times New Roman"/>
          <w:sz w:val="20"/>
        </w:rPr>
        <w:footnoteRef/>
      </w:r>
      <w:r w:rsidRPr="00474866">
        <w:rPr>
          <w:rFonts w:ascii="Times New Roman" w:hAnsi="Times New Roman"/>
          <w:sz w:val="20"/>
        </w:rPr>
        <w:t xml:space="preserve">  In contrast, only four respondents commented on other aspects of the overall reporting proposal.</w:t>
      </w:r>
    </w:p>
  </w:footnote>
  <w:footnote w:id="7">
    <w:p w:rsidR="00811E0B" w:rsidRDefault="00811E0B" w:rsidP="00755062">
      <w:pPr>
        <w:pStyle w:val="FootnoteText"/>
        <w:jc w:val="both"/>
        <w:rPr>
          <w:rFonts w:ascii="Times New Roman" w:hAnsi="Times New Roman"/>
          <w:sz w:val="20"/>
        </w:rPr>
      </w:pPr>
      <w:r w:rsidRPr="00474866">
        <w:rPr>
          <w:rStyle w:val="FootnoteReference"/>
          <w:rFonts w:ascii="Times New Roman" w:hAnsi="Times New Roman"/>
          <w:sz w:val="20"/>
        </w:rPr>
        <w:footnoteRef/>
      </w:r>
      <w:r w:rsidRPr="00474866">
        <w:rPr>
          <w:rFonts w:ascii="Times New Roman" w:hAnsi="Times New Roman"/>
          <w:sz w:val="20"/>
        </w:rPr>
        <w:t xml:space="preserve">  In response to the November 2010 NPR on the revised large institution assessment system, the FDIC received a number of comments recommending changes to the definitions of subprime and leveraged loans, which the FDIC addressed in its February 2011 final rule amending its assessment regulations.  For example, several </w:t>
      </w:r>
      <w:proofErr w:type="spellStart"/>
      <w:r w:rsidRPr="00474866">
        <w:rPr>
          <w:rFonts w:ascii="Times New Roman" w:hAnsi="Times New Roman"/>
          <w:sz w:val="20"/>
        </w:rPr>
        <w:t>commenters</w:t>
      </w:r>
      <w:proofErr w:type="spellEnd"/>
      <w:r w:rsidRPr="00474866">
        <w:rPr>
          <w:rFonts w:ascii="Times New Roman" w:hAnsi="Times New Roman"/>
          <w:sz w:val="20"/>
        </w:rPr>
        <w:t xml:space="preserve"> on the November 2010 NPR indicated that regular (quarterly) updating of data to evaluate loans for subprime or leveraged status would be burdensome and costly and, for certain types of retail </w:t>
      </w:r>
      <w:proofErr w:type="gramStart"/>
      <w:r w:rsidRPr="00474866">
        <w:rPr>
          <w:rFonts w:ascii="Times New Roman" w:hAnsi="Times New Roman"/>
          <w:sz w:val="20"/>
        </w:rPr>
        <w:t>loans,</w:t>
      </w:r>
      <w:proofErr w:type="gramEnd"/>
      <w:r w:rsidRPr="00474866">
        <w:rPr>
          <w:rFonts w:ascii="Times New Roman" w:hAnsi="Times New Roman"/>
          <w:sz w:val="20"/>
        </w:rPr>
        <w:t xml:space="preserve"> would not be possible because existing loan agreements do not require borrowers to routinely provide updated financial information.  In response to these comments, the FDIC’s February 2011 final rule stated that large institutions should evaluate loans for subprime or leveraged status upon origination, refinance, or renewal.  However, no comments were received on the November 2010 NPR indicating that large institutions would not be able to identify and report subprime or leveraged loans in accordance with the definitions proposed for assessment purposes in their Call Reports and TFRs beginning as of June 30, 2011.  These data availability concerns were first expressed in comments on the March 2011 initial PRA notice. </w:t>
      </w:r>
    </w:p>
  </w:footnote>
  <w:footnote w:id="8">
    <w:p w:rsidR="00811E0B" w:rsidRDefault="00811E0B" w:rsidP="00755062">
      <w:pPr>
        <w:pStyle w:val="FootnoteText"/>
        <w:jc w:val="both"/>
      </w:pPr>
      <w:r w:rsidRPr="00474866">
        <w:rPr>
          <w:rStyle w:val="FootnoteReference"/>
          <w:rFonts w:ascii="Times New Roman" w:hAnsi="Times New Roman"/>
          <w:sz w:val="20"/>
        </w:rPr>
        <w:footnoteRef/>
      </w:r>
      <w:r w:rsidRPr="00474866">
        <w:rPr>
          <w:rFonts w:ascii="Times New Roman" w:hAnsi="Times New Roman"/>
          <w:sz w:val="20"/>
        </w:rPr>
        <w:t xml:space="preserve">  The FDIC presented this transition approach to large institutions during a conference call on June 7, 2011, that all large institutions had been invited to attend.  Several institutions offered favorable comments about the transition approach during this call.</w:t>
      </w:r>
    </w:p>
  </w:footnote>
  <w:footnote w:id="9">
    <w:p w:rsidR="00811E0B" w:rsidRDefault="00811E0B" w:rsidP="00755062">
      <w:pPr>
        <w:pStyle w:val="FootnoteText"/>
        <w:jc w:val="both"/>
        <w:rPr>
          <w:rFonts w:ascii="Times New Roman" w:hAnsi="Times New Roman"/>
          <w:sz w:val="20"/>
        </w:rPr>
      </w:pPr>
      <w:r w:rsidRPr="0049023D">
        <w:rPr>
          <w:rStyle w:val="FootnoteReference"/>
          <w:rFonts w:ascii="Times New Roman" w:hAnsi="Times New Roman"/>
          <w:sz w:val="20"/>
        </w:rPr>
        <w:footnoteRef/>
      </w:r>
      <w:r w:rsidRPr="0049023D">
        <w:rPr>
          <w:rFonts w:ascii="Times New Roman" w:hAnsi="Times New Roman"/>
          <w:sz w:val="20"/>
        </w:rPr>
        <w:t xml:space="preserve">  The specific items to be deleted are, in the Call Report, existing items 4, 5, and 6 in Schedule RC-O – Other Data for Deposit Insurance and FICO Assessments; in the TFR, existing line items DI540, DI550, and DI560 in Schedule DI – Consolidated Deposit Information; and in the FFIEC 002 report, existing items 4, 5, and 6 in Schedule O – Other Data for Deposit Insurance Assessments.</w:t>
      </w:r>
    </w:p>
  </w:footnote>
  <w:footnote w:id="10">
    <w:p w:rsidR="00811E0B" w:rsidRDefault="00811E0B" w:rsidP="00755062">
      <w:pPr>
        <w:pStyle w:val="FootnoteText"/>
        <w:jc w:val="both"/>
        <w:rPr>
          <w:rFonts w:ascii="Times New Roman" w:hAnsi="Times New Roman"/>
          <w:sz w:val="20"/>
        </w:rPr>
      </w:pPr>
      <w:r w:rsidRPr="0049023D">
        <w:rPr>
          <w:rStyle w:val="FootnoteReference"/>
          <w:rFonts w:ascii="Times New Roman" w:hAnsi="Times New Roman"/>
          <w:sz w:val="20"/>
        </w:rPr>
        <w:footnoteRef/>
      </w:r>
      <w:r w:rsidRPr="0049023D">
        <w:rPr>
          <w:rFonts w:ascii="Times New Roman" w:hAnsi="Times New Roman"/>
          <w:sz w:val="20"/>
        </w:rPr>
        <w:t xml:space="preserve">  For an insured branch, average consolidated total assets would be calculated using the total assets of the branch (including net due from related depository institutions), as defined for purposes of Schedule RAL – Assets and Liabilities of the FFIEC 002 report, but with debt and equity securities measured in the same manner as for other insured institutions.  </w:t>
      </w:r>
    </w:p>
  </w:footnote>
  <w:footnote w:id="11">
    <w:p w:rsidR="00811E0B" w:rsidRDefault="00811E0B" w:rsidP="00755062">
      <w:pPr>
        <w:pStyle w:val="FootnoteText"/>
        <w:jc w:val="both"/>
        <w:rPr>
          <w:rFonts w:ascii="Times New Roman" w:hAnsi="Times New Roman"/>
          <w:sz w:val="20"/>
        </w:rPr>
      </w:pPr>
      <w:r w:rsidRPr="0049023D">
        <w:rPr>
          <w:rStyle w:val="FootnoteReference"/>
          <w:rFonts w:ascii="Times New Roman" w:hAnsi="Times New Roman"/>
          <w:sz w:val="20"/>
        </w:rPr>
        <w:footnoteRef/>
      </w:r>
      <w:r w:rsidRPr="0049023D">
        <w:rPr>
          <w:rFonts w:ascii="Times New Roman" w:hAnsi="Times New Roman"/>
          <w:sz w:val="20"/>
        </w:rPr>
        <w:t xml:space="preserve">  For an insured branch, tangible equity would be defined as eligible assets (determined in accordance with section 347.210 of the FDIC’s regulations) less the book value of liabilities (exclusive of liabilities due to the foreign bank’s head office, other branches, agencies, offices, or wholly owned subsidiaries).</w:t>
      </w:r>
    </w:p>
  </w:footnote>
  <w:footnote w:id="12">
    <w:p w:rsidR="00811E0B" w:rsidRPr="00A44B1D" w:rsidRDefault="00811E0B" w:rsidP="004B641C">
      <w:pPr>
        <w:pStyle w:val="FootnoteText"/>
        <w:jc w:val="both"/>
        <w:rPr>
          <w:rFonts w:ascii="Times New Roman" w:hAnsi="Times New Roman"/>
          <w:sz w:val="20"/>
        </w:rPr>
      </w:pPr>
      <w:r w:rsidRPr="00A44B1D">
        <w:rPr>
          <w:rStyle w:val="FootnoteReference"/>
          <w:rFonts w:ascii="Times New Roman" w:hAnsi="Times New Roman"/>
          <w:szCs w:val="24"/>
          <w:vertAlign w:val="superscript"/>
        </w:rPr>
        <w:footnoteRef/>
      </w:r>
      <w:r w:rsidRPr="00A44B1D">
        <w:rPr>
          <w:rFonts w:ascii="Times New Roman" w:hAnsi="Times New Roman"/>
          <w:sz w:val="20"/>
        </w:rPr>
        <w:t xml:space="preserve">  Total cost to the public was estimated using the following formula</w:t>
      </w:r>
      <w:r>
        <w:rPr>
          <w:rFonts w:ascii="Times New Roman" w:hAnsi="Times New Roman"/>
          <w:sz w:val="20"/>
        </w:rPr>
        <w:t>:</w:t>
      </w:r>
      <w:r w:rsidRPr="00A44B1D">
        <w:rPr>
          <w:rFonts w:ascii="Times New Roman" w:hAnsi="Times New Roman"/>
          <w:sz w:val="20"/>
        </w:rPr>
        <w:t xml:space="preserve">  </w:t>
      </w:r>
      <w:r>
        <w:rPr>
          <w:rFonts w:ascii="Times New Roman" w:hAnsi="Times New Roman"/>
          <w:sz w:val="20"/>
        </w:rPr>
        <w:t>p</w:t>
      </w:r>
      <w:r w:rsidRPr="00A44B1D">
        <w:rPr>
          <w:rFonts w:ascii="Times New Roman" w:hAnsi="Times New Roman"/>
          <w:sz w:val="20"/>
        </w:rPr>
        <w:t xml:space="preserve">ercent of staff time, multiplied by annual burden hours, multiplied by hourly rate </w:t>
      </w:r>
      <w:r>
        <w:rPr>
          <w:rFonts w:ascii="Times New Roman" w:hAnsi="Times New Roman"/>
          <w:sz w:val="20"/>
        </w:rPr>
        <w:t>(</w:t>
      </w:r>
      <w:r w:rsidRPr="00A44B1D">
        <w:rPr>
          <w:rFonts w:ascii="Times New Roman" w:hAnsi="Times New Roman"/>
          <w:sz w:val="20"/>
        </w:rPr>
        <w:t xml:space="preserve">30% </w:t>
      </w:r>
      <w:r>
        <w:rPr>
          <w:rFonts w:ascii="Times New Roman" w:hAnsi="Times New Roman"/>
          <w:sz w:val="20"/>
        </w:rPr>
        <w:t xml:space="preserve">Office &amp; </w:t>
      </w:r>
      <w:r w:rsidRPr="00A44B1D">
        <w:rPr>
          <w:rFonts w:ascii="Times New Roman" w:hAnsi="Times New Roman"/>
          <w:sz w:val="20"/>
        </w:rPr>
        <w:t xml:space="preserve">Administrative or </w:t>
      </w:r>
      <w:r>
        <w:rPr>
          <w:rFonts w:ascii="Times New Roman" w:hAnsi="Times New Roman"/>
          <w:sz w:val="20"/>
        </w:rPr>
        <w:t>Support</w:t>
      </w:r>
      <w:r w:rsidRPr="00A44B1D">
        <w:rPr>
          <w:rFonts w:ascii="Times New Roman" w:hAnsi="Times New Roman"/>
          <w:sz w:val="20"/>
        </w:rPr>
        <w:t xml:space="preserve"> @ $</w:t>
      </w:r>
      <w:r>
        <w:rPr>
          <w:rFonts w:ascii="Times New Roman" w:hAnsi="Times New Roman"/>
          <w:sz w:val="20"/>
        </w:rPr>
        <w:t>16</w:t>
      </w:r>
      <w:r w:rsidRPr="00A44B1D">
        <w:rPr>
          <w:rFonts w:ascii="Times New Roman" w:hAnsi="Times New Roman"/>
          <w:sz w:val="20"/>
        </w:rPr>
        <w:t xml:space="preserve">, 45% </w:t>
      </w:r>
      <w:r>
        <w:rPr>
          <w:rFonts w:ascii="Times New Roman" w:hAnsi="Times New Roman"/>
          <w:sz w:val="20"/>
        </w:rPr>
        <w:t xml:space="preserve">Financial </w:t>
      </w:r>
      <w:r w:rsidRPr="00A44B1D">
        <w:rPr>
          <w:rFonts w:ascii="Times New Roman" w:hAnsi="Times New Roman"/>
          <w:sz w:val="20"/>
        </w:rPr>
        <w:t>Manager</w:t>
      </w:r>
      <w:r>
        <w:rPr>
          <w:rFonts w:ascii="Times New Roman" w:hAnsi="Times New Roman"/>
          <w:sz w:val="20"/>
        </w:rPr>
        <w:t>s</w:t>
      </w:r>
      <w:r w:rsidRPr="00A44B1D">
        <w:rPr>
          <w:rFonts w:ascii="Times New Roman" w:hAnsi="Times New Roman"/>
          <w:sz w:val="20"/>
        </w:rPr>
        <w:t xml:space="preserve"> @ $</w:t>
      </w:r>
      <w:r>
        <w:rPr>
          <w:rFonts w:ascii="Times New Roman" w:hAnsi="Times New Roman"/>
          <w:sz w:val="20"/>
        </w:rPr>
        <w:t>49</w:t>
      </w:r>
      <w:r w:rsidRPr="00A44B1D">
        <w:rPr>
          <w:rFonts w:ascii="Times New Roman" w:hAnsi="Times New Roman"/>
          <w:sz w:val="20"/>
        </w:rPr>
        <w:t>, 15% Legal Counsel @ $</w:t>
      </w:r>
      <w:r>
        <w:rPr>
          <w:rFonts w:ascii="Times New Roman" w:hAnsi="Times New Roman"/>
          <w:sz w:val="20"/>
        </w:rPr>
        <w:t>54</w:t>
      </w:r>
      <w:r w:rsidRPr="00A44B1D">
        <w:rPr>
          <w:rFonts w:ascii="Times New Roman" w:hAnsi="Times New Roman"/>
          <w:sz w:val="20"/>
        </w:rPr>
        <w:t>, and 10% C</w:t>
      </w:r>
      <w:r>
        <w:rPr>
          <w:rFonts w:ascii="Times New Roman" w:hAnsi="Times New Roman"/>
          <w:sz w:val="20"/>
        </w:rPr>
        <w:t>hief Executives</w:t>
      </w:r>
      <w:r w:rsidRPr="00A44B1D">
        <w:rPr>
          <w:rFonts w:ascii="Times New Roman" w:hAnsi="Times New Roman"/>
          <w:sz w:val="20"/>
        </w:rPr>
        <w:t xml:space="preserve"> @ $</w:t>
      </w:r>
      <w:r>
        <w:rPr>
          <w:rFonts w:ascii="Times New Roman" w:hAnsi="Times New Roman"/>
          <w:sz w:val="20"/>
        </w:rPr>
        <w:t>77)</w:t>
      </w:r>
      <w:r w:rsidRPr="00A44B1D">
        <w:rPr>
          <w:rFonts w:ascii="Times New Roman" w:hAnsi="Times New Roman"/>
          <w:sz w:val="20"/>
        </w:rPr>
        <w:t xml:space="preserve">.  Hourly rate for each occupational group are </w:t>
      </w:r>
      <w:r>
        <w:rPr>
          <w:rFonts w:ascii="Times New Roman" w:hAnsi="Times New Roman"/>
          <w:sz w:val="20"/>
        </w:rPr>
        <w:t>the median hourly wages (rounded up)</w:t>
      </w:r>
      <w:r w:rsidRPr="00A44B1D">
        <w:rPr>
          <w:rFonts w:ascii="Times New Roman" w:hAnsi="Times New Roman"/>
          <w:sz w:val="20"/>
        </w:rPr>
        <w:t xml:space="preserve"> </w:t>
      </w:r>
      <w:r>
        <w:rPr>
          <w:rFonts w:ascii="Times New Roman" w:hAnsi="Times New Roman"/>
          <w:sz w:val="20"/>
        </w:rPr>
        <w:t>fro</w:t>
      </w:r>
      <w:r w:rsidRPr="00A44B1D">
        <w:rPr>
          <w:rFonts w:ascii="Times New Roman" w:hAnsi="Times New Roman"/>
          <w:sz w:val="20"/>
        </w:rPr>
        <w:t xml:space="preserve">m the Bureau of Labor and Statistics (BLS), </w:t>
      </w:r>
      <w:r w:rsidRPr="00A44B1D">
        <w:rPr>
          <w:rFonts w:ascii="Times New Roman" w:hAnsi="Times New Roman"/>
          <w:i/>
          <w:sz w:val="20"/>
        </w:rPr>
        <w:t>Occupational Employment and Wages 200</w:t>
      </w:r>
      <w:r>
        <w:rPr>
          <w:rFonts w:ascii="Times New Roman" w:hAnsi="Times New Roman"/>
          <w:i/>
          <w:sz w:val="20"/>
        </w:rPr>
        <w:t>9</w:t>
      </w:r>
      <w:r w:rsidRPr="00A44B1D">
        <w:rPr>
          <w:rFonts w:ascii="Times New Roman" w:hAnsi="Times New Roman"/>
          <w:sz w:val="20"/>
        </w:rPr>
        <w:t xml:space="preserve">, </w:t>
      </w:r>
      <w:hyperlink r:id="rId1" w:history="1">
        <w:r w:rsidRPr="00A44B1D">
          <w:rPr>
            <w:rStyle w:val="Hyperlink"/>
            <w:rFonts w:ascii="Times New Roman" w:hAnsi="Times New Roman"/>
            <w:sz w:val="20"/>
          </w:rPr>
          <w:t>www.bls.gov/news.release/ocwage.nr0.htm</w:t>
        </w:r>
      </w:hyperlink>
      <w:r w:rsidRPr="00A44B1D">
        <w:rPr>
          <w:rFonts w:ascii="Times New Roman" w:hAnsi="Times New Roman"/>
          <w:sz w:val="20"/>
        </w:rPr>
        <w:t xml:space="preserve">.  Occupations are defined using the BLS Occupational Classification System, </w:t>
      </w:r>
      <w:hyperlink r:id="rId2" w:history="1">
        <w:r w:rsidRPr="00A44B1D">
          <w:rPr>
            <w:rStyle w:val="Hyperlink"/>
            <w:rFonts w:ascii="Times New Roman" w:hAnsi="Times New Roman"/>
            <w:sz w:val="20"/>
          </w:rPr>
          <w:t>www.bls.gov/soc/</w:t>
        </w:r>
      </w:hyperlink>
      <w:r w:rsidRPr="00A44B1D">
        <w:rPr>
          <w:rFonts w:ascii="Times New Roman" w:hAnsi="Times New Roman"/>
          <w:sz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E44D3"/>
    <w:multiLevelType w:val="hybridMultilevel"/>
    <w:tmpl w:val="17C072A8"/>
    <w:lvl w:ilvl="0" w:tplc="DEB2114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1410E2"/>
    <w:multiLevelType w:val="hybridMultilevel"/>
    <w:tmpl w:val="AE14B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773853"/>
    <w:multiLevelType w:val="hybridMultilevel"/>
    <w:tmpl w:val="1866452A"/>
    <w:lvl w:ilvl="0" w:tplc="BBFADF2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4A0D8D"/>
    <w:multiLevelType w:val="hybridMultilevel"/>
    <w:tmpl w:val="0F626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085660"/>
    <w:multiLevelType w:val="hybridMultilevel"/>
    <w:tmpl w:val="B9BAC73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100833C0"/>
    <w:multiLevelType w:val="hybridMultilevel"/>
    <w:tmpl w:val="2AFC4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7B5E7E"/>
    <w:multiLevelType w:val="hybridMultilevel"/>
    <w:tmpl w:val="B798CE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BF0259"/>
    <w:multiLevelType w:val="hybridMultilevel"/>
    <w:tmpl w:val="77B4901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F53EC6"/>
    <w:multiLevelType w:val="hybridMultilevel"/>
    <w:tmpl w:val="F3465992"/>
    <w:lvl w:ilvl="0" w:tplc="068C6BF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C7166F"/>
    <w:multiLevelType w:val="hybridMultilevel"/>
    <w:tmpl w:val="B2CA9FB6"/>
    <w:lvl w:ilvl="0" w:tplc="991E90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7E5916"/>
    <w:multiLevelType w:val="hybridMultilevel"/>
    <w:tmpl w:val="B1B62D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303BDD"/>
    <w:multiLevelType w:val="hybridMultilevel"/>
    <w:tmpl w:val="BB9E3DEA"/>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4E6978"/>
    <w:multiLevelType w:val="hybridMultilevel"/>
    <w:tmpl w:val="C1080C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1E17B7E"/>
    <w:multiLevelType w:val="singleLevel"/>
    <w:tmpl w:val="0409000F"/>
    <w:lvl w:ilvl="0">
      <w:start w:val="1"/>
      <w:numFmt w:val="decimal"/>
      <w:lvlText w:val="%1."/>
      <w:lvlJc w:val="left"/>
      <w:pPr>
        <w:tabs>
          <w:tab w:val="num" w:pos="360"/>
        </w:tabs>
        <w:ind w:left="360" w:hanging="360"/>
      </w:pPr>
    </w:lvl>
  </w:abstractNum>
  <w:abstractNum w:abstractNumId="14">
    <w:nsid w:val="253051EB"/>
    <w:multiLevelType w:val="hybridMultilevel"/>
    <w:tmpl w:val="CBD66102"/>
    <w:lvl w:ilvl="0" w:tplc="8FE821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6427B69"/>
    <w:multiLevelType w:val="hybridMultilevel"/>
    <w:tmpl w:val="66DEC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5B75CB"/>
    <w:multiLevelType w:val="hybridMultilevel"/>
    <w:tmpl w:val="69F08A56"/>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8725839"/>
    <w:multiLevelType w:val="singleLevel"/>
    <w:tmpl w:val="0409000F"/>
    <w:lvl w:ilvl="0">
      <w:start w:val="1"/>
      <w:numFmt w:val="decimal"/>
      <w:lvlText w:val="%1."/>
      <w:lvlJc w:val="left"/>
      <w:pPr>
        <w:tabs>
          <w:tab w:val="num" w:pos="360"/>
        </w:tabs>
        <w:ind w:left="360" w:hanging="360"/>
      </w:pPr>
    </w:lvl>
  </w:abstractNum>
  <w:abstractNum w:abstractNumId="18">
    <w:nsid w:val="2975267D"/>
    <w:multiLevelType w:val="singleLevel"/>
    <w:tmpl w:val="0409000F"/>
    <w:lvl w:ilvl="0">
      <w:start w:val="1"/>
      <w:numFmt w:val="decimal"/>
      <w:lvlText w:val="%1."/>
      <w:lvlJc w:val="left"/>
      <w:pPr>
        <w:tabs>
          <w:tab w:val="num" w:pos="360"/>
        </w:tabs>
        <w:ind w:left="360" w:hanging="360"/>
      </w:pPr>
    </w:lvl>
  </w:abstractNum>
  <w:abstractNum w:abstractNumId="19">
    <w:nsid w:val="334A6C8E"/>
    <w:multiLevelType w:val="hybridMultilevel"/>
    <w:tmpl w:val="CA188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C120DA"/>
    <w:multiLevelType w:val="singleLevel"/>
    <w:tmpl w:val="27B82270"/>
    <w:lvl w:ilvl="0">
      <w:start w:val="3"/>
      <w:numFmt w:val="decimal"/>
      <w:lvlText w:val="%1."/>
      <w:lvlJc w:val="left"/>
      <w:pPr>
        <w:tabs>
          <w:tab w:val="num" w:pos="720"/>
        </w:tabs>
        <w:ind w:left="720" w:hanging="720"/>
      </w:pPr>
      <w:rPr>
        <w:rFonts w:hint="default"/>
      </w:rPr>
    </w:lvl>
  </w:abstractNum>
  <w:abstractNum w:abstractNumId="21">
    <w:nsid w:val="351479EA"/>
    <w:multiLevelType w:val="hybridMultilevel"/>
    <w:tmpl w:val="97B8EE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5E5541D"/>
    <w:multiLevelType w:val="hybridMultilevel"/>
    <w:tmpl w:val="543C018C"/>
    <w:lvl w:ilvl="0" w:tplc="00B4357A">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61F1106"/>
    <w:multiLevelType w:val="hybridMultilevel"/>
    <w:tmpl w:val="A28A179E"/>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37BF5E17"/>
    <w:multiLevelType w:val="hybridMultilevel"/>
    <w:tmpl w:val="C7A81500"/>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8037E96"/>
    <w:multiLevelType w:val="hybridMultilevel"/>
    <w:tmpl w:val="0E402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B556C0D"/>
    <w:multiLevelType w:val="hybridMultilevel"/>
    <w:tmpl w:val="73B0CB0C"/>
    <w:lvl w:ilvl="0" w:tplc="1B9A546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E190581"/>
    <w:multiLevelType w:val="hybridMultilevel"/>
    <w:tmpl w:val="C0A88148"/>
    <w:lvl w:ilvl="0" w:tplc="8FE821BC">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3F4B555A"/>
    <w:multiLevelType w:val="singleLevel"/>
    <w:tmpl w:val="0409000F"/>
    <w:lvl w:ilvl="0">
      <w:start w:val="1"/>
      <w:numFmt w:val="decimal"/>
      <w:lvlText w:val="%1."/>
      <w:lvlJc w:val="left"/>
      <w:pPr>
        <w:tabs>
          <w:tab w:val="num" w:pos="360"/>
        </w:tabs>
        <w:ind w:left="360" w:hanging="360"/>
      </w:pPr>
    </w:lvl>
  </w:abstractNum>
  <w:abstractNum w:abstractNumId="29">
    <w:nsid w:val="40397E1C"/>
    <w:multiLevelType w:val="hybridMultilevel"/>
    <w:tmpl w:val="7F82FB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1076528"/>
    <w:multiLevelType w:val="hybridMultilevel"/>
    <w:tmpl w:val="EE945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6015E8D"/>
    <w:multiLevelType w:val="hybridMultilevel"/>
    <w:tmpl w:val="466AD1DA"/>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655724C"/>
    <w:multiLevelType w:val="hybridMultilevel"/>
    <w:tmpl w:val="5BF08A22"/>
    <w:lvl w:ilvl="0" w:tplc="8FE821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69D2EF0"/>
    <w:multiLevelType w:val="hybridMultilevel"/>
    <w:tmpl w:val="F6E073FA"/>
    <w:lvl w:ilvl="0" w:tplc="DEB2114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77D58B2"/>
    <w:multiLevelType w:val="hybridMultilevel"/>
    <w:tmpl w:val="CE0EA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BF65C1D"/>
    <w:multiLevelType w:val="hybridMultilevel"/>
    <w:tmpl w:val="3D0A07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D4F116D"/>
    <w:multiLevelType w:val="hybridMultilevel"/>
    <w:tmpl w:val="7C1EED1C"/>
    <w:lvl w:ilvl="0" w:tplc="2D0A4F5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1614D8D"/>
    <w:multiLevelType w:val="hybridMultilevel"/>
    <w:tmpl w:val="C1847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C1E27ED"/>
    <w:multiLevelType w:val="hybridMultilevel"/>
    <w:tmpl w:val="C4F80254"/>
    <w:lvl w:ilvl="0" w:tplc="5A527DE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1176E01"/>
    <w:multiLevelType w:val="hybridMultilevel"/>
    <w:tmpl w:val="D986A386"/>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4FE2AB9"/>
    <w:multiLevelType w:val="hybridMultilevel"/>
    <w:tmpl w:val="6114A21E"/>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74229F1"/>
    <w:multiLevelType w:val="hybridMultilevel"/>
    <w:tmpl w:val="74241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98F5C1E"/>
    <w:multiLevelType w:val="hybridMultilevel"/>
    <w:tmpl w:val="47F637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ABE3F3E"/>
    <w:multiLevelType w:val="hybridMultilevel"/>
    <w:tmpl w:val="FDB0D7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B9A41B0"/>
    <w:multiLevelType w:val="hybridMultilevel"/>
    <w:tmpl w:val="62BA0602"/>
    <w:lvl w:ilvl="0" w:tplc="2D0A4F5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E981FC3"/>
    <w:multiLevelType w:val="hybridMultilevel"/>
    <w:tmpl w:val="72E66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4BB036D"/>
    <w:multiLevelType w:val="hybridMultilevel"/>
    <w:tmpl w:val="157EEDB2"/>
    <w:lvl w:ilvl="0" w:tplc="00B4357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72221B9"/>
    <w:multiLevelType w:val="singleLevel"/>
    <w:tmpl w:val="D3B8B370"/>
    <w:lvl w:ilvl="0">
      <w:start w:val="1"/>
      <w:numFmt w:val="decimal"/>
      <w:lvlText w:val="%1."/>
      <w:lvlJc w:val="left"/>
      <w:pPr>
        <w:tabs>
          <w:tab w:val="num" w:pos="720"/>
        </w:tabs>
        <w:ind w:left="720" w:hanging="720"/>
      </w:pPr>
      <w:rPr>
        <w:rFonts w:hint="default"/>
      </w:rPr>
    </w:lvl>
  </w:abstractNum>
  <w:num w:numId="1">
    <w:abstractNumId w:val="37"/>
  </w:num>
  <w:num w:numId="2">
    <w:abstractNumId w:val="21"/>
  </w:num>
  <w:num w:numId="3">
    <w:abstractNumId w:val="23"/>
  </w:num>
  <w:num w:numId="4">
    <w:abstractNumId w:val="13"/>
  </w:num>
  <w:num w:numId="5">
    <w:abstractNumId w:val="34"/>
  </w:num>
  <w:num w:numId="6">
    <w:abstractNumId w:val="7"/>
  </w:num>
  <w:num w:numId="7">
    <w:abstractNumId w:val="18"/>
  </w:num>
  <w:num w:numId="8">
    <w:abstractNumId w:val="15"/>
  </w:num>
  <w:num w:numId="9">
    <w:abstractNumId w:val="28"/>
  </w:num>
  <w:num w:numId="10">
    <w:abstractNumId w:val="17"/>
  </w:num>
  <w:num w:numId="11">
    <w:abstractNumId w:val="5"/>
  </w:num>
  <w:num w:numId="12">
    <w:abstractNumId w:val="25"/>
  </w:num>
  <w:num w:numId="13">
    <w:abstractNumId w:val="35"/>
  </w:num>
  <w:num w:numId="14">
    <w:abstractNumId w:val="3"/>
  </w:num>
  <w:num w:numId="15">
    <w:abstractNumId w:val="19"/>
  </w:num>
  <w:num w:numId="16">
    <w:abstractNumId w:val="30"/>
  </w:num>
  <w:num w:numId="17">
    <w:abstractNumId w:val="47"/>
  </w:num>
  <w:num w:numId="18">
    <w:abstractNumId w:val="20"/>
  </w:num>
  <w:num w:numId="19">
    <w:abstractNumId w:val="6"/>
  </w:num>
  <w:num w:numId="20">
    <w:abstractNumId w:val="10"/>
  </w:num>
  <w:num w:numId="21">
    <w:abstractNumId w:val="12"/>
  </w:num>
  <w:num w:numId="22">
    <w:abstractNumId w:val="29"/>
  </w:num>
  <w:num w:numId="23">
    <w:abstractNumId w:val="42"/>
  </w:num>
  <w:num w:numId="24">
    <w:abstractNumId w:val="41"/>
  </w:num>
  <w:num w:numId="25">
    <w:abstractNumId w:val="1"/>
  </w:num>
  <w:num w:numId="26">
    <w:abstractNumId w:val="43"/>
  </w:num>
  <w:num w:numId="27">
    <w:abstractNumId w:val="9"/>
  </w:num>
  <w:num w:numId="28">
    <w:abstractNumId w:val="24"/>
  </w:num>
  <w:num w:numId="29">
    <w:abstractNumId w:val="46"/>
  </w:num>
  <w:num w:numId="30">
    <w:abstractNumId w:val="22"/>
  </w:num>
  <w:num w:numId="31">
    <w:abstractNumId w:val="11"/>
  </w:num>
  <w:num w:numId="32">
    <w:abstractNumId w:val="40"/>
  </w:num>
  <w:num w:numId="33">
    <w:abstractNumId w:val="39"/>
  </w:num>
  <w:num w:numId="34">
    <w:abstractNumId w:val="31"/>
  </w:num>
  <w:num w:numId="35">
    <w:abstractNumId w:val="16"/>
  </w:num>
  <w:num w:numId="36">
    <w:abstractNumId w:val="4"/>
  </w:num>
  <w:num w:numId="37">
    <w:abstractNumId w:val="45"/>
  </w:num>
  <w:num w:numId="38">
    <w:abstractNumId w:val="0"/>
  </w:num>
  <w:num w:numId="39">
    <w:abstractNumId w:val="33"/>
  </w:num>
  <w:num w:numId="40">
    <w:abstractNumId w:val="36"/>
  </w:num>
  <w:num w:numId="41">
    <w:abstractNumId w:val="44"/>
  </w:num>
  <w:num w:numId="42">
    <w:abstractNumId w:val="2"/>
  </w:num>
  <w:num w:numId="43">
    <w:abstractNumId w:val="8"/>
  </w:num>
  <w:num w:numId="44">
    <w:abstractNumId w:val="38"/>
  </w:num>
  <w:num w:numId="45">
    <w:abstractNumId w:val="14"/>
  </w:num>
  <w:num w:numId="46">
    <w:abstractNumId w:val="27"/>
  </w:num>
  <w:num w:numId="47">
    <w:abstractNumId w:val="32"/>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7E2518"/>
    <w:rsid w:val="00001C02"/>
    <w:rsid w:val="000210D9"/>
    <w:rsid w:val="00022C42"/>
    <w:rsid w:val="00025298"/>
    <w:rsid w:val="000368EF"/>
    <w:rsid w:val="00054D46"/>
    <w:rsid w:val="00055D2F"/>
    <w:rsid w:val="00084227"/>
    <w:rsid w:val="00090098"/>
    <w:rsid w:val="000960BC"/>
    <w:rsid w:val="00096CE6"/>
    <w:rsid w:val="000A53B0"/>
    <w:rsid w:val="000A57AF"/>
    <w:rsid w:val="000A6431"/>
    <w:rsid w:val="000A6CD4"/>
    <w:rsid w:val="000A6CE8"/>
    <w:rsid w:val="000B22E5"/>
    <w:rsid w:val="000B5601"/>
    <w:rsid w:val="000C178A"/>
    <w:rsid w:val="000C48C4"/>
    <w:rsid w:val="000C514B"/>
    <w:rsid w:val="000D0093"/>
    <w:rsid w:val="000D1A22"/>
    <w:rsid w:val="000D2DE5"/>
    <w:rsid w:val="000E6523"/>
    <w:rsid w:val="000F1839"/>
    <w:rsid w:val="000F47E4"/>
    <w:rsid w:val="000F6998"/>
    <w:rsid w:val="00102CD5"/>
    <w:rsid w:val="00117948"/>
    <w:rsid w:val="00123FCF"/>
    <w:rsid w:val="001243D8"/>
    <w:rsid w:val="00143632"/>
    <w:rsid w:val="00153257"/>
    <w:rsid w:val="001624CF"/>
    <w:rsid w:val="0016654B"/>
    <w:rsid w:val="00174061"/>
    <w:rsid w:val="001A13D0"/>
    <w:rsid w:val="001A5A0C"/>
    <w:rsid w:val="001B560B"/>
    <w:rsid w:val="001B6CE5"/>
    <w:rsid w:val="001C008B"/>
    <w:rsid w:val="001C167E"/>
    <w:rsid w:val="001D3166"/>
    <w:rsid w:val="001D5363"/>
    <w:rsid w:val="001E09A5"/>
    <w:rsid w:val="001F3369"/>
    <w:rsid w:val="001F44C7"/>
    <w:rsid w:val="001F5108"/>
    <w:rsid w:val="00200095"/>
    <w:rsid w:val="00205982"/>
    <w:rsid w:val="00206BC4"/>
    <w:rsid w:val="002073B7"/>
    <w:rsid w:val="002213FE"/>
    <w:rsid w:val="00221B4E"/>
    <w:rsid w:val="00226C66"/>
    <w:rsid w:val="002278F4"/>
    <w:rsid w:val="00252CC1"/>
    <w:rsid w:val="00274A2C"/>
    <w:rsid w:val="00275DC2"/>
    <w:rsid w:val="00283CFD"/>
    <w:rsid w:val="00296911"/>
    <w:rsid w:val="002A4106"/>
    <w:rsid w:val="002C04D0"/>
    <w:rsid w:val="002C650B"/>
    <w:rsid w:val="002D3469"/>
    <w:rsid w:val="002D35BC"/>
    <w:rsid w:val="002F48BA"/>
    <w:rsid w:val="00300F93"/>
    <w:rsid w:val="00310FCB"/>
    <w:rsid w:val="00316395"/>
    <w:rsid w:val="00323DC9"/>
    <w:rsid w:val="00333085"/>
    <w:rsid w:val="00335514"/>
    <w:rsid w:val="00336535"/>
    <w:rsid w:val="00354A39"/>
    <w:rsid w:val="00361CE3"/>
    <w:rsid w:val="00365AC2"/>
    <w:rsid w:val="00383BC7"/>
    <w:rsid w:val="003A4EC4"/>
    <w:rsid w:val="003B6A7E"/>
    <w:rsid w:val="003C300A"/>
    <w:rsid w:val="003C3BC1"/>
    <w:rsid w:val="003C3D0E"/>
    <w:rsid w:val="003C6280"/>
    <w:rsid w:val="003F21AC"/>
    <w:rsid w:val="003F6A74"/>
    <w:rsid w:val="00415B76"/>
    <w:rsid w:val="004525CD"/>
    <w:rsid w:val="004730E9"/>
    <w:rsid w:val="00480761"/>
    <w:rsid w:val="00480A76"/>
    <w:rsid w:val="0048423E"/>
    <w:rsid w:val="004925BA"/>
    <w:rsid w:val="004942ED"/>
    <w:rsid w:val="004A1FE2"/>
    <w:rsid w:val="004A4069"/>
    <w:rsid w:val="004B641C"/>
    <w:rsid w:val="004C02EE"/>
    <w:rsid w:val="004C2BE7"/>
    <w:rsid w:val="004C5FE8"/>
    <w:rsid w:val="004C667E"/>
    <w:rsid w:val="004C74A3"/>
    <w:rsid w:val="004D1510"/>
    <w:rsid w:val="004D3B89"/>
    <w:rsid w:val="004E5552"/>
    <w:rsid w:val="004E77FD"/>
    <w:rsid w:val="004F1AA6"/>
    <w:rsid w:val="004F3F6F"/>
    <w:rsid w:val="005021D1"/>
    <w:rsid w:val="005061D4"/>
    <w:rsid w:val="00512780"/>
    <w:rsid w:val="00520BF2"/>
    <w:rsid w:val="00522346"/>
    <w:rsid w:val="005304D5"/>
    <w:rsid w:val="00532A8F"/>
    <w:rsid w:val="00541815"/>
    <w:rsid w:val="00546AC0"/>
    <w:rsid w:val="005674BB"/>
    <w:rsid w:val="00571E7D"/>
    <w:rsid w:val="005803DD"/>
    <w:rsid w:val="005854C8"/>
    <w:rsid w:val="005919EA"/>
    <w:rsid w:val="00591EE6"/>
    <w:rsid w:val="00592665"/>
    <w:rsid w:val="005A3E31"/>
    <w:rsid w:val="005B53F7"/>
    <w:rsid w:val="005C3C84"/>
    <w:rsid w:val="005D278B"/>
    <w:rsid w:val="005D5CF9"/>
    <w:rsid w:val="005E01D1"/>
    <w:rsid w:val="005E1835"/>
    <w:rsid w:val="00602508"/>
    <w:rsid w:val="00606501"/>
    <w:rsid w:val="00623CD5"/>
    <w:rsid w:val="00625C0B"/>
    <w:rsid w:val="00627617"/>
    <w:rsid w:val="00636EE2"/>
    <w:rsid w:val="006374F5"/>
    <w:rsid w:val="00661415"/>
    <w:rsid w:val="006617D0"/>
    <w:rsid w:val="006621A4"/>
    <w:rsid w:val="00672305"/>
    <w:rsid w:val="00690AB4"/>
    <w:rsid w:val="006A45B6"/>
    <w:rsid w:val="006A65BC"/>
    <w:rsid w:val="006A6940"/>
    <w:rsid w:val="006C064B"/>
    <w:rsid w:val="006E73DC"/>
    <w:rsid w:val="00703946"/>
    <w:rsid w:val="00720BA4"/>
    <w:rsid w:val="00723E58"/>
    <w:rsid w:val="007378A2"/>
    <w:rsid w:val="00741A80"/>
    <w:rsid w:val="00753752"/>
    <w:rsid w:val="00755062"/>
    <w:rsid w:val="00763C89"/>
    <w:rsid w:val="007641F1"/>
    <w:rsid w:val="0078296D"/>
    <w:rsid w:val="00790FF5"/>
    <w:rsid w:val="007920C4"/>
    <w:rsid w:val="00796AA9"/>
    <w:rsid w:val="007B0FAE"/>
    <w:rsid w:val="007B4EBD"/>
    <w:rsid w:val="007B4F6D"/>
    <w:rsid w:val="007C10B7"/>
    <w:rsid w:val="007C425F"/>
    <w:rsid w:val="007D5C89"/>
    <w:rsid w:val="007E2518"/>
    <w:rsid w:val="00801F49"/>
    <w:rsid w:val="00811E0B"/>
    <w:rsid w:val="008236AC"/>
    <w:rsid w:val="008366F3"/>
    <w:rsid w:val="00842C6E"/>
    <w:rsid w:val="008441C4"/>
    <w:rsid w:val="008447EC"/>
    <w:rsid w:val="00844828"/>
    <w:rsid w:val="00844CEA"/>
    <w:rsid w:val="0085778C"/>
    <w:rsid w:val="00875462"/>
    <w:rsid w:val="008A532D"/>
    <w:rsid w:val="008B15D3"/>
    <w:rsid w:val="008B1734"/>
    <w:rsid w:val="008C0CA4"/>
    <w:rsid w:val="008C4C3B"/>
    <w:rsid w:val="008D33D3"/>
    <w:rsid w:val="008D6E20"/>
    <w:rsid w:val="008D7DAB"/>
    <w:rsid w:val="008E1401"/>
    <w:rsid w:val="008E1FE1"/>
    <w:rsid w:val="008F2704"/>
    <w:rsid w:val="008F63C6"/>
    <w:rsid w:val="00903185"/>
    <w:rsid w:val="00915B5D"/>
    <w:rsid w:val="00920DAE"/>
    <w:rsid w:val="00940F6F"/>
    <w:rsid w:val="009608AC"/>
    <w:rsid w:val="009679A2"/>
    <w:rsid w:val="009805AA"/>
    <w:rsid w:val="00981AE9"/>
    <w:rsid w:val="00984426"/>
    <w:rsid w:val="00994FFB"/>
    <w:rsid w:val="009A3307"/>
    <w:rsid w:val="009A47CB"/>
    <w:rsid w:val="009A5073"/>
    <w:rsid w:val="009B71B9"/>
    <w:rsid w:val="009C6F19"/>
    <w:rsid w:val="009F173B"/>
    <w:rsid w:val="009F3EF1"/>
    <w:rsid w:val="009F5E2A"/>
    <w:rsid w:val="00A003E8"/>
    <w:rsid w:val="00A07EA9"/>
    <w:rsid w:val="00A129B0"/>
    <w:rsid w:val="00A27999"/>
    <w:rsid w:val="00A413F9"/>
    <w:rsid w:val="00A44B1D"/>
    <w:rsid w:val="00A4554F"/>
    <w:rsid w:val="00A62E7B"/>
    <w:rsid w:val="00A64B27"/>
    <w:rsid w:val="00A752EA"/>
    <w:rsid w:val="00A84A89"/>
    <w:rsid w:val="00AA1B7F"/>
    <w:rsid w:val="00AA52D2"/>
    <w:rsid w:val="00AA79ED"/>
    <w:rsid w:val="00AB356D"/>
    <w:rsid w:val="00AC00C9"/>
    <w:rsid w:val="00AC0213"/>
    <w:rsid w:val="00AC6D17"/>
    <w:rsid w:val="00AD2499"/>
    <w:rsid w:val="00AD7FB9"/>
    <w:rsid w:val="00AF2C30"/>
    <w:rsid w:val="00B00D16"/>
    <w:rsid w:val="00B032FD"/>
    <w:rsid w:val="00B0579D"/>
    <w:rsid w:val="00B13A94"/>
    <w:rsid w:val="00B159DB"/>
    <w:rsid w:val="00B2330D"/>
    <w:rsid w:val="00B24838"/>
    <w:rsid w:val="00B25BE4"/>
    <w:rsid w:val="00B32C25"/>
    <w:rsid w:val="00B34903"/>
    <w:rsid w:val="00B52E51"/>
    <w:rsid w:val="00B770B7"/>
    <w:rsid w:val="00B82A7E"/>
    <w:rsid w:val="00B9063A"/>
    <w:rsid w:val="00B92678"/>
    <w:rsid w:val="00B973D6"/>
    <w:rsid w:val="00BA5832"/>
    <w:rsid w:val="00BB3B90"/>
    <w:rsid w:val="00BB4686"/>
    <w:rsid w:val="00BB5E8B"/>
    <w:rsid w:val="00BF2DB9"/>
    <w:rsid w:val="00BF6F4E"/>
    <w:rsid w:val="00C05E13"/>
    <w:rsid w:val="00C207F2"/>
    <w:rsid w:val="00C2269A"/>
    <w:rsid w:val="00C3116C"/>
    <w:rsid w:val="00C40416"/>
    <w:rsid w:val="00C41458"/>
    <w:rsid w:val="00C429FE"/>
    <w:rsid w:val="00C57CC0"/>
    <w:rsid w:val="00C6076B"/>
    <w:rsid w:val="00C64B4F"/>
    <w:rsid w:val="00C74D07"/>
    <w:rsid w:val="00C77856"/>
    <w:rsid w:val="00C93089"/>
    <w:rsid w:val="00CB1C7A"/>
    <w:rsid w:val="00CD128B"/>
    <w:rsid w:val="00CE564A"/>
    <w:rsid w:val="00CE6C1B"/>
    <w:rsid w:val="00D02292"/>
    <w:rsid w:val="00D146D6"/>
    <w:rsid w:val="00D429D4"/>
    <w:rsid w:val="00D757D5"/>
    <w:rsid w:val="00D84AE0"/>
    <w:rsid w:val="00DA2E0E"/>
    <w:rsid w:val="00DA53D8"/>
    <w:rsid w:val="00DB53FC"/>
    <w:rsid w:val="00DB662D"/>
    <w:rsid w:val="00DC46C3"/>
    <w:rsid w:val="00DF4E46"/>
    <w:rsid w:val="00E035FB"/>
    <w:rsid w:val="00E11CFC"/>
    <w:rsid w:val="00E20A70"/>
    <w:rsid w:val="00E24DE2"/>
    <w:rsid w:val="00E30172"/>
    <w:rsid w:val="00E43F63"/>
    <w:rsid w:val="00E533B1"/>
    <w:rsid w:val="00E57A73"/>
    <w:rsid w:val="00E74643"/>
    <w:rsid w:val="00E840D0"/>
    <w:rsid w:val="00E921C6"/>
    <w:rsid w:val="00E926E8"/>
    <w:rsid w:val="00EA4F12"/>
    <w:rsid w:val="00EA5063"/>
    <w:rsid w:val="00EA6431"/>
    <w:rsid w:val="00EA6D71"/>
    <w:rsid w:val="00EA7FA7"/>
    <w:rsid w:val="00EC738B"/>
    <w:rsid w:val="00ED6589"/>
    <w:rsid w:val="00ED705E"/>
    <w:rsid w:val="00EE6429"/>
    <w:rsid w:val="00EE6B93"/>
    <w:rsid w:val="00EF266F"/>
    <w:rsid w:val="00EF5EBC"/>
    <w:rsid w:val="00EF6164"/>
    <w:rsid w:val="00F048B7"/>
    <w:rsid w:val="00F16B89"/>
    <w:rsid w:val="00F177E1"/>
    <w:rsid w:val="00F21792"/>
    <w:rsid w:val="00F23D67"/>
    <w:rsid w:val="00F30498"/>
    <w:rsid w:val="00F5794F"/>
    <w:rsid w:val="00F6097B"/>
    <w:rsid w:val="00F655D9"/>
    <w:rsid w:val="00F71DF7"/>
    <w:rsid w:val="00FA3E29"/>
    <w:rsid w:val="00FB5BA8"/>
    <w:rsid w:val="00FC221E"/>
    <w:rsid w:val="00FD1A9F"/>
    <w:rsid w:val="00FD1B54"/>
    <w:rsid w:val="00FD4B58"/>
    <w:rsid w:val="00FD59E4"/>
    <w:rsid w:val="00FE534E"/>
    <w:rsid w:val="00FF3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39" fill="f" fillcolor="white">
      <v:fill color="white" on="f"/>
      <v:stroke weight="2.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7FD"/>
    <w:pPr>
      <w:widowControl w:val="0"/>
    </w:pPr>
    <w:rPr>
      <w:rFonts w:ascii="Courier" w:hAnsi="Courier"/>
      <w:snapToGrid w:val="0"/>
      <w:sz w:val="24"/>
    </w:rPr>
  </w:style>
  <w:style w:type="paragraph" w:styleId="Heading1">
    <w:name w:val="heading 1"/>
    <w:basedOn w:val="Normal"/>
    <w:next w:val="Normal"/>
    <w:qFormat/>
    <w:rsid w:val="004E77FD"/>
    <w:pPr>
      <w:keepNext/>
      <w:widowControl/>
      <w:jc w:val="center"/>
      <w:outlineLvl w:val="0"/>
    </w:pPr>
    <w:rPr>
      <w:rFonts w:ascii="Times" w:hAnsi="Times"/>
      <w:b/>
      <w:bCs/>
    </w:rPr>
  </w:style>
  <w:style w:type="paragraph" w:styleId="Heading2">
    <w:name w:val="heading 2"/>
    <w:basedOn w:val="Normal"/>
    <w:next w:val="Normal"/>
    <w:qFormat/>
    <w:rsid w:val="004E77FD"/>
    <w:pPr>
      <w:keepNext/>
      <w:widowControl/>
      <w:spacing w:line="480" w:lineRule="auto"/>
      <w:ind w:firstLine="720"/>
      <w:outlineLvl w:val="1"/>
    </w:pPr>
    <w:rPr>
      <w:rFonts w:ascii="CG Times" w:hAnsi="CG Times"/>
      <w:b/>
    </w:rPr>
  </w:style>
  <w:style w:type="paragraph" w:styleId="Heading3">
    <w:name w:val="heading 3"/>
    <w:basedOn w:val="Normal"/>
    <w:next w:val="Normal"/>
    <w:qFormat/>
    <w:rsid w:val="004E77FD"/>
    <w:pPr>
      <w:keepNext/>
      <w:widowControl/>
      <w:suppressAutoHyphens/>
      <w:spacing w:before="240" w:line="360" w:lineRule="auto"/>
      <w:ind w:left="360"/>
      <w:outlineLvl w:val="2"/>
    </w:pPr>
    <w:rPr>
      <w:rFonts w:ascii="CG Times" w:hAnsi="CG Times"/>
      <w:b/>
    </w:rPr>
  </w:style>
  <w:style w:type="paragraph" w:styleId="Heading4">
    <w:name w:val="heading 4"/>
    <w:basedOn w:val="Normal"/>
    <w:next w:val="Normal"/>
    <w:qFormat/>
    <w:rsid w:val="004E77FD"/>
    <w:pPr>
      <w:keepNext/>
      <w:widowControl/>
      <w:spacing w:line="360" w:lineRule="auto"/>
      <w:ind w:firstLine="360"/>
      <w:outlineLvl w:val="3"/>
    </w:pPr>
    <w:rPr>
      <w:rFonts w:ascii="Times New Roman" w:hAnsi="Times New Roman"/>
      <w:b/>
    </w:rPr>
  </w:style>
  <w:style w:type="paragraph" w:styleId="Heading5">
    <w:name w:val="heading 5"/>
    <w:basedOn w:val="Normal"/>
    <w:next w:val="Normal"/>
    <w:qFormat/>
    <w:rsid w:val="004E77FD"/>
    <w:pPr>
      <w:keepNext/>
      <w:widowControl/>
      <w:spacing w:line="360" w:lineRule="auto"/>
      <w:outlineLvl w:val="4"/>
    </w:pPr>
    <w:rPr>
      <w:rFonts w:ascii="Times New Roman" w:hAnsi="Times New Roman"/>
      <w:u w:val="single"/>
    </w:rPr>
  </w:style>
  <w:style w:type="paragraph" w:styleId="Heading6">
    <w:name w:val="heading 6"/>
    <w:basedOn w:val="Normal"/>
    <w:next w:val="Normal"/>
    <w:qFormat/>
    <w:rsid w:val="004E77FD"/>
    <w:pPr>
      <w:keepNext/>
      <w:widowControl/>
      <w:jc w:val="center"/>
      <w:outlineLvl w:val="5"/>
    </w:pPr>
    <w:rPr>
      <w:rFonts w:ascii="Times" w:hAnsi="Times"/>
      <w:i/>
      <w:iCs/>
    </w:rPr>
  </w:style>
  <w:style w:type="paragraph" w:styleId="Heading7">
    <w:name w:val="heading 7"/>
    <w:basedOn w:val="Normal"/>
    <w:next w:val="Normal"/>
    <w:qFormat/>
    <w:rsid w:val="004E77FD"/>
    <w:pPr>
      <w:keepNext/>
      <w:widowControl/>
      <w:outlineLvl w:val="6"/>
    </w:pPr>
    <w:rPr>
      <w:rFonts w:ascii="Times" w:hAnsi="Times"/>
      <w:b/>
    </w:rPr>
  </w:style>
  <w:style w:type="paragraph" w:styleId="Heading8">
    <w:name w:val="heading 8"/>
    <w:basedOn w:val="Normal"/>
    <w:next w:val="Normal"/>
    <w:qFormat/>
    <w:rsid w:val="004E77FD"/>
    <w:pPr>
      <w:keepNext/>
      <w:keepLines/>
      <w:ind w:left="360"/>
      <w:outlineLvl w:val="7"/>
    </w:pPr>
    <w:rPr>
      <w:rFonts w:ascii="Times New Roman" w:hAnsi="Times New Roman"/>
      <w:b/>
      <w:color w:val="000000"/>
    </w:rPr>
  </w:style>
  <w:style w:type="paragraph" w:styleId="Heading9">
    <w:name w:val="heading 9"/>
    <w:basedOn w:val="Normal"/>
    <w:next w:val="Normal"/>
    <w:qFormat/>
    <w:rsid w:val="004E77FD"/>
    <w:pPr>
      <w:keepNext/>
      <w:keepLines/>
      <w:ind w:left="360" w:firstLine="360"/>
      <w:outlineLvl w:val="8"/>
    </w:pPr>
    <w:rPr>
      <w:rFonts w:ascii="Times New Roman" w:hAnsi="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E77FD"/>
  </w:style>
  <w:style w:type="paragraph" w:styleId="BodyTextIndent">
    <w:name w:val="Body Text Indent"/>
    <w:basedOn w:val="Normal"/>
    <w:rsid w:val="004E77FD"/>
    <w:pPr>
      <w:widowControl/>
      <w:ind w:firstLine="720"/>
    </w:pPr>
    <w:rPr>
      <w:rFonts w:ascii="Times" w:hAnsi="Times"/>
    </w:rPr>
  </w:style>
  <w:style w:type="paragraph" w:styleId="BodyTextIndent2">
    <w:name w:val="Body Text Indent 2"/>
    <w:basedOn w:val="Normal"/>
    <w:rsid w:val="004E77FD"/>
    <w:pPr>
      <w:widowControl/>
      <w:ind w:left="720"/>
    </w:pPr>
    <w:rPr>
      <w:rFonts w:ascii="Times" w:hAnsi="Times"/>
    </w:rPr>
  </w:style>
  <w:style w:type="paragraph" w:styleId="EndnoteText">
    <w:name w:val="endnote text"/>
    <w:basedOn w:val="Normal"/>
    <w:semiHidden/>
    <w:rsid w:val="004E77FD"/>
  </w:style>
  <w:style w:type="paragraph" w:styleId="Header">
    <w:name w:val="header"/>
    <w:basedOn w:val="Normal"/>
    <w:rsid w:val="004E77FD"/>
    <w:pPr>
      <w:tabs>
        <w:tab w:val="center" w:pos="4320"/>
        <w:tab w:val="right" w:pos="8640"/>
      </w:tabs>
    </w:pPr>
  </w:style>
  <w:style w:type="paragraph" w:styleId="Footer">
    <w:name w:val="footer"/>
    <w:basedOn w:val="Normal"/>
    <w:rsid w:val="004E77FD"/>
    <w:pPr>
      <w:tabs>
        <w:tab w:val="center" w:pos="4320"/>
        <w:tab w:val="right" w:pos="8640"/>
      </w:tabs>
    </w:pPr>
  </w:style>
  <w:style w:type="paragraph" w:styleId="BodyText">
    <w:name w:val="Body Text"/>
    <w:basedOn w:val="Normal"/>
    <w:rsid w:val="004E77FD"/>
    <w:pPr>
      <w:tabs>
        <w:tab w:val="left" w:pos="-720"/>
        <w:tab w:val="left" w:pos="134"/>
        <w:tab w:val="left" w:pos="432"/>
        <w:tab w:val="left" w:pos="864"/>
        <w:tab w:val="left" w:pos="4320"/>
        <w:tab w:val="left" w:pos="5040"/>
        <w:tab w:val="left" w:pos="5760"/>
      </w:tabs>
      <w:suppressAutoHyphens/>
      <w:spacing w:line="480" w:lineRule="auto"/>
      <w:jc w:val="both"/>
    </w:pPr>
    <w:rPr>
      <w:rFonts w:ascii="CG Times (W1)" w:hAnsi="CG Times (W1)"/>
      <w:spacing w:val="-2"/>
    </w:rPr>
  </w:style>
  <w:style w:type="paragraph" w:styleId="BodyTextIndent3">
    <w:name w:val="Body Text Indent 3"/>
    <w:basedOn w:val="Normal"/>
    <w:rsid w:val="004E77FD"/>
    <w:pPr>
      <w:widowControl/>
      <w:ind w:firstLine="720"/>
      <w:jc w:val="both"/>
    </w:pPr>
    <w:rPr>
      <w:rFonts w:ascii="Times" w:hAnsi="Times"/>
    </w:rPr>
  </w:style>
  <w:style w:type="paragraph" w:styleId="FootnoteText">
    <w:name w:val="footnote text"/>
    <w:aliases w:val="ft"/>
    <w:basedOn w:val="Normal"/>
    <w:link w:val="FootnoteTextChar"/>
    <w:semiHidden/>
    <w:rsid w:val="004E77FD"/>
  </w:style>
  <w:style w:type="paragraph" w:styleId="Title">
    <w:name w:val="Title"/>
    <w:basedOn w:val="Normal"/>
    <w:qFormat/>
    <w:rsid w:val="004E77FD"/>
    <w:pPr>
      <w:widowControl/>
      <w:jc w:val="center"/>
    </w:pPr>
    <w:rPr>
      <w:rFonts w:ascii="Times" w:hAnsi="Times"/>
      <w:b/>
      <w:bCs/>
    </w:rPr>
  </w:style>
  <w:style w:type="character" w:styleId="PageNumber">
    <w:name w:val="page number"/>
    <w:basedOn w:val="DefaultParagraphFont"/>
    <w:rsid w:val="004E77FD"/>
  </w:style>
  <w:style w:type="paragraph" w:styleId="BodyText2">
    <w:name w:val="Body Text 2"/>
    <w:basedOn w:val="Normal"/>
    <w:rsid w:val="004E77FD"/>
    <w:pPr>
      <w:widowControl/>
      <w:spacing w:line="360" w:lineRule="auto"/>
    </w:pPr>
    <w:rPr>
      <w:rFonts w:ascii="CG Times" w:hAnsi="CG Times"/>
      <w:color w:val="FF0000"/>
    </w:rPr>
  </w:style>
  <w:style w:type="paragraph" w:styleId="BodyText3">
    <w:name w:val="Body Text 3"/>
    <w:basedOn w:val="Normal"/>
    <w:rsid w:val="004E77FD"/>
    <w:pPr>
      <w:keepLines/>
    </w:pPr>
    <w:rPr>
      <w:rFonts w:ascii="Times New Roman" w:hAnsi="Times New Roman"/>
      <w:color w:val="000000"/>
    </w:rPr>
  </w:style>
  <w:style w:type="paragraph" w:customStyle="1" w:styleId="Default">
    <w:name w:val="Default"/>
    <w:rsid w:val="00F23D67"/>
    <w:pPr>
      <w:autoSpaceDE w:val="0"/>
      <w:autoSpaceDN w:val="0"/>
      <w:adjustRightInd w:val="0"/>
    </w:pPr>
    <w:rPr>
      <w:color w:val="000000"/>
      <w:sz w:val="24"/>
      <w:szCs w:val="24"/>
    </w:rPr>
  </w:style>
  <w:style w:type="character" w:styleId="Hyperlink">
    <w:name w:val="Hyperlink"/>
    <w:basedOn w:val="DefaultParagraphFont"/>
    <w:rsid w:val="000F47E4"/>
    <w:rPr>
      <w:color w:val="0000FF"/>
      <w:u w:val="single"/>
    </w:rPr>
  </w:style>
  <w:style w:type="character" w:styleId="FollowedHyperlink">
    <w:name w:val="FollowedHyperlink"/>
    <w:basedOn w:val="DefaultParagraphFont"/>
    <w:rsid w:val="000F47E4"/>
    <w:rPr>
      <w:color w:val="FF8040"/>
      <w:u w:val="single"/>
    </w:rPr>
  </w:style>
  <w:style w:type="paragraph" w:styleId="BalloonText">
    <w:name w:val="Balloon Text"/>
    <w:basedOn w:val="Normal"/>
    <w:semiHidden/>
    <w:rsid w:val="001F5108"/>
    <w:rPr>
      <w:rFonts w:ascii="Tahoma" w:hAnsi="Tahoma" w:cs="Tahoma"/>
      <w:sz w:val="16"/>
      <w:szCs w:val="16"/>
    </w:rPr>
  </w:style>
  <w:style w:type="paragraph" w:styleId="HTMLPreformatted">
    <w:name w:val="HTML Preformatted"/>
    <w:basedOn w:val="Normal"/>
    <w:link w:val="HTMLPreformattedChar"/>
    <w:rsid w:val="00B032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character" w:customStyle="1" w:styleId="HTMLPreformattedChar">
    <w:name w:val="HTML Preformatted Char"/>
    <w:basedOn w:val="DefaultParagraphFont"/>
    <w:link w:val="HTMLPreformatted"/>
    <w:rsid w:val="00B032FD"/>
    <w:rPr>
      <w:rFonts w:ascii="Courier New" w:hAnsi="Courier New"/>
      <w:color w:val="000000"/>
    </w:rPr>
  </w:style>
  <w:style w:type="character" w:customStyle="1" w:styleId="FootnoteTextChar">
    <w:name w:val="Footnote Text Char"/>
    <w:aliases w:val="ft Char"/>
    <w:basedOn w:val="DefaultParagraphFont"/>
    <w:link w:val="FootnoteText"/>
    <w:semiHidden/>
    <w:rsid w:val="00B032FD"/>
    <w:rPr>
      <w:rFonts w:ascii="Courier" w:hAnsi="Courier"/>
      <w:snapToGrid w:val="0"/>
      <w:sz w:val="24"/>
    </w:rPr>
  </w:style>
  <w:style w:type="character" w:styleId="CommentReference">
    <w:name w:val="annotation reference"/>
    <w:basedOn w:val="DefaultParagraphFont"/>
    <w:semiHidden/>
    <w:rsid w:val="00532A8F"/>
    <w:rPr>
      <w:sz w:val="16"/>
      <w:szCs w:val="16"/>
    </w:rPr>
  </w:style>
  <w:style w:type="paragraph" w:styleId="CommentText">
    <w:name w:val="annotation text"/>
    <w:basedOn w:val="Normal"/>
    <w:link w:val="CommentTextChar"/>
    <w:semiHidden/>
    <w:rsid w:val="00532A8F"/>
    <w:pPr>
      <w:autoSpaceDE w:val="0"/>
      <w:autoSpaceDN w:val="0"/>
      <w:adjustRightInd w:val="0"/>
    </w:pPr>
    <w:rPr>
      <w:rFonts w:ascii="Times" w:hAnsi="Times"/>
      <w:snapToGrid/>
      <w:sz w:val="20"/>
    </w:rPr>
  </w:style>
  <w:style w:type="character" w:customStyle="1" w:styleId="CommentTextChar">
    <w:name w:val="Comment Text Char"/>
    <w:basedOn w:val="DefaultParagraphFont"/>
    <w:link w:val="CommentText"/>
    <w:semiHidden/>
    <w:rsid w:val="00532A8F"/>
    <w:rPr>
      <w:rFonts w:ascii="Times" w:hAnsi="Tim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fiec.gov/nicpubweb/nicweb/nichom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file:///\\drslx1\fr-misc\fr_documents\proposals\FFIEC\FFIEC002_FFIEC002S\www.bls.gov\soc\" TargetMode="External"/><Relationship Id="rId1" Type="http://schemas.openxmlformats.org/officeDocument/2006/relationships/hyperlink" Target="file:///\\drslx1\fr-misc\fr_documents\proposals\FFIEC\FFIEC002_FFIEC002S\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EAB0C-353C-4879-BA92-A160E0B47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3053</Words>
  <Characters>16808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19822</CharactersWithSpaces>
  <SharedDoc>false</SharedDoc>
  <HLinks>
    <vt:vector size="18" baseType="variant">
      <vt:variant>
        <vt:i4>3473510</vt:i4>
      </vt:variant>
      <vt:variant>
        <vt:i4>0</vt:i4>
      </vt:variant>
      <vt:variant>
        <vt:i4>0</vt:i4>
      </vt:variant>
      <vt:variant>
        <vt:i4>5</vt:i4>
      </vt:variant>
      <vt:variant>
        <vt:lpwstr>http://www.ffiec.gov/nicpubweb/nicweb/nichome.aspx</vt:lpwstr>
      </vt:variant>
      <vt:variant>
        <vt:lpwstr/>
      </vt:variant>
      <vt:variant>
        <vt:i4>1769488</vt:i4>
      </vt:variant>
      <vt:variant>
        <vt:i4>3</vt:i4>
      </vt:variant>
      <vt:variant>
        <vt:i4>0</vt:i4>
      </vt:variant>
      <vt:variant>
        <vt:i4>5</vt:i4>
      </vt:variant>
      <vt:variant>
        <vt:lpwstr>www.bls.gov/soc/</vt:lpwstr>
      </vt:variant>
      <vt:variant>
        <vt:lpwstr/>
      </vt:variant>
      <vt:variant>
        <vt:i4>3014714</vt:i4>
      </vt:variant>
      <vt:variant>
        <vt:i4>0</vt:i4>
      </vt:variant>
      <vt:variant>
        <vt:i4>0</vt:i4>
      </vt:variant>
      <vt:variant>
        <vt:i4>5</vt:i4>
      </vt:variant>
      <vt:variant>
        <vt:lpwstr>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Ayouch</dc:creator>
  <cp:keywords/>
  <cp:lastModifiedBy>Cindy Ayouch</cp:lastModifiedBy>
  <cp:revision>2</cp:revision>
  <cp:lastPrinted>2011-06-16T15:52:00Z</cp:lastPrinted>
  <dcterms:created xsi:type="dcterms:W3CDTF">2011-06-16T17:55:00Z</dcterms:created>
  <dcterms:modified xsi:type="dcterms:W3CDTF">2011-06-16T17:55:00Z</dcterms:modified>
</cp:coreProperties>
</file>