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904" w:rsidRPr="00FD4C6A" w:rsidRDefault="00DB0904" w:rsidP="00DB0904">
      <w:pPr>
        <w:pStyle w:val="Title"/>
        <w:spacing w:line="240" w:lineRule="auto"/>
      </w:pPr>
      <w:r w:rsidRPr="00FD4C6A">
        <w:t>SUPPORTING STATEMENT</w:t>
      </w:r>
    </w:p>
    <w:p w:rsidR="0028225D" w:rsidRPr="00FD4C6A" w:rsidRDefault="002905F3" w:rsidP="00DB0904">
      <w:pPr>
        <w:pStyle w:val="Title"/>
        <w:spacing w:line="240" w:lineRule="auto"/>
      </w:pPr>
      <w:r w:rsidRPr="00FD4C6A">
        <w:t xml:space="preserve">              </w:t>
      </w:r>
    </w:p>
    <w:p w:rsidR="00DB0904" w:rsidRPr="00FD4C6A" w:rsidRDefault="00202A07" w:rsidP="00DB0904">
      <w:pPr>
        <w:spacing w:line="480" w:lineRule="auto"/>
        <w:jc w:val="center"/>
        <w:rPr>
          <w:b/>
          <w:bCs/>
        </w:rPr>
      </w:pPr>
      <w:r w:rsidRPr="00FD4C6A">
        <w:rPr>
          <w:b/>
        </w:rPr>
        <w:t>Rule 203A-5</w:t>
      </w:r>
    </w:p>
    <w:p w:rsidR="00DB0904" w:rsidRPr="00FD4C6A" w:rsidRDefault="00DB0904" w:rsidP="00DB0904">
      <w:pPr>
        <w:pStyle w:val="Heading1"/>
      </w:pPr>
      <w:r w:rsidRPr="00FD4C6A">
        <w:t>A.</w:t>
      </w:r>
      <w:r w:rsidRPr="00FD4C6A">
        <w:tab/>
        <w:t>JUSTIFICATION</w:t>
      </w:r>
    </w:p>
    <w:p w:rsidR="00DB0904" w:rsidRPr="00FD4C6A" w:rsidRDefault="00DB0904" w:rsidP="00DB0904">
      <w:pPr>
        <w:numPr>
          <w:ilvl w:val="0"/>
          <w:numId w:val="3"/>
        </w:numPr>
        <w:spacing w:line="480" w:lineRule="auto"/>
        <w:rPr>
          <w:b/>
        </w:rPr>
      </w:pPr>
      <w:r w:rsidRPr="00FD4C6A">
        <w:rPr>
          <w:b/>
        </w:rPr>
        <w:t>Necessity of Information Collections</w:t>
      </w:r>
    </w:p>
    <w:p w:rsidR="00510534" w:rsidRPr="0093137A" w:rsidRDefault="00AD454E" w:rsidP="0093137A">
      <w:pPr>
        <w:pStyle w:val="HTMLPreformatted"/>
        <w:spacing w:line="480" w:lineRule="auto"/>
        <w:ind w:firstLine="720"/>
        <w:rPr>
          <w:rFonts w:ascii="Times New Roman" w:hAnsi="Times New Roman" w:cs="Times New Roman"/>
          <w:sz w:val="24"/>
          <w:szCs w:val="24"/>
        </w:rPr>
      </w:pPr>
      <w:r w:rsidRPr="00FD4C6A">
        <w:rPr>
          <w:rFonts w:ascii="Times New Roman" w:hAnsi="Times New Roman" w:cs="Times New Roman"/>
          <w:sz w:val="24"/>
          <w:szCs w:val="24"/>
        </w:rPr>
        <w:t xml:space="preserve">Pursuant to section 203A of the Investment Advisers Act of 1940 (“Advisers Act” or “Act”), an investment adviser that </w:t>
      </w:r>
      <w:r w:rsidR="0093137A" w:rsidRPr="00FD4C6A">
        <w:rPr>
          <w:rFonts w:ascii="Times New Roman" w:hAnsi="Times New Roman" w:cs="Times New Roman"/>
          <w:sz w:val="24"/>
          <w:szCs w:val="24"/>
        </w:rPr>
        <w:t xml:space="preserve">has at least $25 million in assets under management </w:t>
      </w:r>
      <w:r w:rsidR="0018173A">
        <w:rPr>
          <w:rFonts w:ascii="Times New Roman" w:hAnsi="Times New Roman" w:cs="Times New Roman"/>
          <w:sz w:val="24"/>
          <w:szCs w:val="24"/>
        </w:rPr>
        <w:t xml:space="preserve">generally </w:t>
      </w:r>
      <w:r w:rsidRPr="00FD4C6A">
        <w:rPr>
          <w:rFonts w:ascii="Times New Roman" w:hAnsi="Times New Roman" w:cs="Times New Roman"/>
          <w:sz w:val="24"/>
          <w:szCs w:val="24"/>
        </w:rPr>
        <w:t xml:space="preserve">is prohibited from registering with the </w:t>
      </w:r>
      <w:r w:rsidR="003C1D42" w:rsidRPr="00FD4C6A">
        <w:rPr>
          <w:rFonts w:ascii="Times New Roman" w:hAnsi="Times New Roman" w:cs="Times New Roman"/>
          <w:sz w:val="24"/>
          <w:szCs w:val="24"/>
        </w:rPr>
        <w:t>Securities and Exchange Commission (“Commission” or “SEC”)</w:t>
      </w:r>
      <w:r w:rsidRPr="00FD4C6A">
        <w:rPr>
          <w:rFonts w:ascii="Times New Roman" w:hAnsi="Times New Roman" w:cs="Times New Roman"/>
          <w:sz w:val="24"/>
          <w:szCs w:val="24"/>
        </w:rPr>
        <w:t>.</w:t>
      </w:r>
      <w:r w:rsidRPr="00FD4C6A">
        <w:rPr>
          <w:rStyle w:val="FootnoteReference"/>
          <w:rFonts w:ascii="Times New Roman" w:hAnsi="Times New Roman" w:cs="Times New Roman"/>
          <w:szCs w:val="24"/>
        </w:rPr>
        <w:footnoteReference w:id="1"/>
      </w:r>
      <w:r w:rsidRPr="00FD4C6A">
        <w:rPr>
          <w:rFonts w:ascii="Times New Roman" w:hAnsi="Times New Roman" w:cs="Times New Roman"/>
          <w:sz w:val="24"/>
          <w:szCs w:val="24"/>
        </w:rPr>
        <w:t xml:space="preserve">  </w:t>
      </w:r>
      <w:r w:rsidR="00D23C37" w:rsidRPr="00FD4C6A">
        <w:rPr>
          <w:rFonts w:ascii="Times New Roman" w:hAnsi="Times New Roman" w:cs="Times New Roman"/>
          <w:sz w:val="24"/>
          <w:szCs w:val="24"/>
        </w:rPr>
        <w:t>The Dodd-Frank Wall Street Reform and Consumer Protection Act (“Dodd-Frank Act”)</w:t>
      </w:r>
      <w:bookmarkStart w:id="0" w:name="_Ref277579881"/>
      <w:r w:rsidR="00D23C37" w:rsidRPr="00FD4C6A">
        <w:rPr>
          <w:rFonts w:ascii="Times New Roman" w:hAnsi="Times New Roman" w:cs="Times New Roman"/>
          <w:sz w:val="24"/>
          <w:szCs w:val="24"/>
          <w:vertAlign w:val="superscript"/>
        </w:rPr>
        <w:footnoteReference w:id="2"/>
      </w:r>
      <w:bookmarkEnd w:id="0"/>
      <w:r w:rsidR="00D23C37" w:rsidRPr="00FD4C6A">
        <w:rPr>
          <w:rFonts w:ascii="Times New Roman" w:hAnsi="Times New Roman" w:cs="Times New Roman"/>
          <w:sz w:val="24"/>
          <w:szCs w:val="24"/>
        </w:rPr>
        <w:t xml:space="preserve"> amends section 203A to </w:t>
      </w:r>
      <w:r w:rsidR="00CD1B13" w:rsidRPr="00FD4C6A">
        <w:rPr>
          <w:rFonts w:ascii="Times New Roman" w:eastAsia="DeVinne" w:hAnsi="Times New Roman" w:cs="Times New Roman"/>
          <w:sz w:val="24"/>
          <w:szCs w:val="24"/>
        </w:rPr>
        <w:t xml:space="preserve">prohibit from Commission registration </w:t>
      </w:r>
      <w:r w:rsidR="00CD1B13" w:rsidRPr="00FD4C6A">
        <w:rPr>
          <w:rFonts w:ascii="Times New Roman" w:hAnsi="Times New Roman" w:cs="Times New Roman"/>
          <w:sz w:val="24"/>
          <w:szCs w:val="24"/>
        </w:rPr>
        <w:t>a</w:t>
      </w:r>
      <w:r w:rsidR="00661468">
        <w:rPr>
          <w:rFonts w:ascii="Times New Roman" w:hAnsi="Times New Roman" w:cs="Times New Roman"/>
          <w:sz w:val="24"/>
          <w:szCs w:val="24"/>
        </w:rPr>
        <w:t xml:space="preserve"> “mid-sized</w:t>
      </w:r>
      <w:r w:rsidR="005F454B" w:rsidRPr="00FD4C6A">
        <w:rPr>
          <w:rFonts w:ascii="Times New Roman" w:hAnsi="Times New Roman" w:cs="Times New Roman"/>
          <w:sz w:val="24"/>
          <w:szCs w:val="24"/>
        </w:rPr>
        <w:t xml:space="preserve"> </w:t>
      </w:r>
      <w:r w:rsidR="00CD1B13" w:rsidRPr="00FD4C6A">
        <w:rPr>
          <w:rFonts w:ascii="Times New Roman" w:hAnsi="Times New Roman" w:cs="Times New Roman"/>
          <w:sz w:val="24"/>
          <w:szCs w:val="24"/>
        </w:rPr>
        <w:t>adviser</w:t>
      </w:r>
      <w:r w:rsidR="00661468">
        <w:rPr>
          <w:rFonts w:ascii="Times New Roman" w:hAnsi="Times New Roman" w:cs="Times New Roman"/>
          <w:sz w:val="24"/>
          <w:szCs w:val="24"/>
        </w:rPr>
        <w:t>”</w:t>
      </w:r>
      <w:r w:rsidR="00CD1B13" w:rsidRPr="00FD4C6A">
        <w:rPr>
          <w:rFonts w:ascii="Times New Roman" w:hAnsi="Times New Roman" w:cs="Times New Roman"/>
          <w:sz w:val="24"/>
          <w:szCs w:val="24"/>
        </w:rPr>
        <w:t xml:space="preserve"> t</w:t>
      </w:r>
      <w:r w:rsidR="00CD1B13" w:rsidRPr="00FD4C6A">
        <w:rPr>
          <w:rFonts w:ascii="Times New Roman" w:eastAsia="DeVinne" w:hAnsi="Times New Roman" w:cs="Times New Roman"/>
          <w:sz w:val="24"/>
          <w:szCs w:val="24"/>
        </w:rPr>
        <w:t>hat ha</w:t>
      </w:r>
      <w:r w:rsidR="005F454B" w:rsidRPr="00FD4C6A">
        <w:rPr>
          <w:rFonts w:ascii="Times New Roman" w:eastAsia="DeVinne" w:hAnsi="Times New Roman" w:cs="Times New Roman"/>
          <w:sz w:val="24"/>
          <w:szCs w:val="24"/>
        </w:rPr>
        <w:t>s</w:t>
      </w:r>
      <w:r w:rsidR="00CD1B13" w:rsidRPr="00FD4C6A">
        <w:rPr>
          <w:rFonts w:ascii="Times New Roman" w:eastAsia="DeVinne" w:hAnsi="Times New Roman" w:cs="Times New Roman"/>
          <w:sz w:val="24"/>
          <w:szCs w:val="24"/>
        </w:rPr>
        <w:t xml:space="preserve"> assets under management between $25 million and $100 million</w:t>
      </w:r>
      <w:bookmarkStart w:id="1" w:name="_Ref275364317"/>
      <w:r w:rsidR="0018173A">
        <w:rPr>
          <w:rFonts w:ascii="Times New Roman" w:eastAsia="DeVinne" w:hAnsi="Times New Roman" w:cs="Times New Roman"/>
          <w:sz w:val="24"/>
          <w:szCs w:val="24"/>
        </w:rPr>
        <w:t>, and:</w:t>
      </w:r>
      <w:r w:rsidR="008276E8" w:rsidRPr="00FD4C6A">
        <w:rPr>
          <w:rFonts w:ascii="Times New Roman" w:eastAsia="DeVinne" w:hAnsi="Times New Roman" w:cs="Times New Roman"/>
          <w:sz w:val="24"/>
          <w:szCs w:val="24"/>
        </w:rPr>
        <w:t xml:space="preserve"> (i)</w:t>
      </w:r>
      <w:r w:rsidR="00CD1B13" w:rsidRPr="00FD4C6A">
        <w:rPr>
          <w:rFonts w:ascii="Times New Roman" w:eastAsia="DeVinne" w:hAnsi="Times New Roman" w:cs="Times New Roman"/>
          <w:sz w:val="24"/>
          <w:szCs w:val="24"/>
        </w:rPr>
        <w:t xml:space="preserve"> </w:t>
      </w:r>
      <w:bookmarkEnd w:id="1"/>
      <w:r w:rsidR="00CD1B13" w:rsidRPr="00FD4C6A">
        <w:rPr>
          <w:rFonts w:ascii="Times New Roman" w:eastAsia="DeVinne" w:hAnsi="Times New Roman" w:cs="Times New Roman"/>
          <w:sz w:val="24"/>
          <w:szCs w:val="24"/>
        </w:rPr>
        <w:t xml:space="preserve">is required to be registered as an investment adviser with the state </w:t>
      </w:r>
      <w:r w:rsidR="00CA34FE" w:rsidRPr="00FD4C6A">
        <w:rPr>
          <w:rFonts w:ascii="Times New Roman" w:eastAsia="DeVinne" w:hAnsi="Times New Roman" w:cs="Times New Roman"/>
          <w:sz w:val="24"/>
          <w:szCs w:val="24"/>
        </w:rPr>
        <w:t>in which it maintains</w:t>
      </w:r>
      <w:r w:rsidR="00CD1B13" w:rsidRPr="00FD4C6A">
        <w:rPr>
          <w:rFonts w:ascii="Times New Roman" w:eastAsia="DeVinne" w:hAnsi="Times New Roman" w:cs="Times New Roman"/>
          <w:sz w:val="24"/>
          <w:szCs w:val="24"/>
        </w:rPr>
        <w:t xml:space="preserve"> its principal office and place of business</w:t>
      </w:r>
      <w:r w:rsidR="008276E8" w:rsidRPr="00FD4C6A">
        <w:rPr>
          <w:rFonts w:ascii="Times New Roman" w:eastAsia="DeVinne" w:hAnsi="Times New Roman" w:cs="Times New Roman"/>
          <w:sz w:val="24"/>
          <w:szCs w:val="24"/>
        </w:rPr>
        <w:t>;</w:t>
      </w:r>
      <w:r w:rsidR="00CD1B13" w:rsidRPr="00FD4C6A">
        <w:rPr>
          <w:rFonts w:ascii="Times New Roman" w:eastAsia="DeVinne" w:hAnsi="Times New Roman" w:cs="Times New Roman"/>
          <w:sz w:val="24"/>
          <w:szCs w:val="24"/>
        </w:rPr>
        <w:t xml:space="preserve"> and</w:t>
      </w:r>
      <w:r w:rsidR="008276E8" w:rsidRPr="00FD4C6A">
        <w:rPr>
          <w:rFonts w:ascii="Times New Roman" w:eastAsia="DeVinne" w:hAnsi="Times New Roman" w:cs="Times New Roman"/>
          <w:sz w:val="24"/>
          <w:szCs w:val="24"/>
        </w:rPr>
        <w:t xml:space="preserve"> (ii)</w:t>
      </w:r>
      <w:r w:rsidR="00CD1B13" w:rsidRPr="00FD4C6A">
        <w:rPr>
          <w:rFonts w:ascii="Times New Roman" w:eastAsia="DeVinne" w:hAnsi="Times New Roman" w:cs="Times New Roman"/>
          <w:sz w:val="24"/>
          <w:szCs w:val="24"/>
        </w:rPr>
        <w:t xml:space="preserve"> if registered, would be subject to examination as an adviser by that state.</w:t>
      </w:r>
      <w:bookmarkStart w:id="2" w:name="_Ref275364324"/>
      <w:r w:rsidR="00CD1B13" w:rsidRPr="00FD4C6A">
        <w:rPr>
          <w:rStyle w:val="FootnoteReference"/>
          <w:rFonts w:ascii="Times New Roman" w:hAnsi="Times New Roman" w:cs="Times New Roman"/>
          <w:szCs w:val="24"/>
        </w:rPr>
        <w:footnoteReference w:id="3"/>
      </w:r>
      <w:bookmarkEnd w:id="2"/>
      <w:r w:rsidR="00CD1B13" w:rsidRPr="00FD4C6A">
        <w:rPr>
          <w:rFonts w:ascii="Times New Roman" w:eastAsia="DeVinne" w:hAnsi="Times New Roman" w:cs="Times New Roman"/>
          <w:sz w:val="24"/>
          <w:szCs w:val="24"/>
        </w:rPr>
        <w:t xml:space="preserve">  </w:t>
      </w:r>
      <w:r w:rsidR="00CF0BD2">
        <w:rPr>
          <w:rFonts w:ascii="Times New Roman" w:eastAsia="DeVinne" w:hAnsi="Times New Roman" w:cs="Times New Roman"/>
          <w:sz w:val="24"/>
          <w:szCs w:val="24"/>
        </w:rPr>
        <w:t xml:space="preserve">The </w:t>
      </w:r>
      <w:r w:rsidR="00CF0BD2" w:rsidRPr="00CF0BD2">
        <w:rPr>
          <w:rFonts w:ascii="Times New Roman" w:eastAsia="DeVinne" w:hAnsi="Times New Roman" w:cs="Times New Roman"/>
          <w:sz w:val="24"/>
          <w:szCs w:val="24"/>
        </w:rPr>
        <w:t xml:space="preserve">Commission also is </w:t>
      </w:r>
      <w:r w:rsidR="001D14CF">
        <w:rPr>
          <w:rFonts w:ascii="Times New Roman" w:eastAsia="DeVinne" w:hAnsi="Times New Roman" w:cs="Times New Roman"/>
          <w:sz w:val="24"/>
          <w:szCs w:val="24"/>
        </w:rPr>
        <w:t xml:space="preserve">adopting a rule that </w:t>
      </w:r>
      <w:r w:rsidR="00CF0BD2">
        <w:rPr>
          <w:rFonts w:ascii="Times New Roman" w:hAnsi="Times New Roman" w:cs="Times New Roman"/>
          <w:sz w:val="24"/>
          <w:szCs w:val="24"/>
        </w:rPr>
        <w:t>rais</w:t>
      </w:r>
      <w:r w:rsidR="001D14CF">
        <w:rPr>
          <w:rFonts w:ascii="Times New Roman" w:hAnsi="Times New Roman" w:cs="Times New Roman"/>
          <w:sz w:val="24"/>
          <w:szCs w:val="24"/>
        </w:rPr>
        <w:t>es</w:t>
      </w:r>
      <w:r w:rsidR="00CF0BD2" w:rsidRPr="00CF0BD2">
        <w:rPr>
          <w:rFonts w:ascii="Times New Roman" w:hAnsi="Times New Roman" w:cs="Times New Roman"/>
          <w:sz w:val="24"/>
          <w:szCs w:val="24"/>
        </w:rPr>
        <w:t xml:space="preserve"> the threshold above which a mid-sized investment adviser must register with the Commission to $110 million; but, once registered with the Commission, an adviser need not withdraw its registration until it has less than $90 million of assets under management.</w:t>
      </w:r>
      <w:bookmarkStart w:id="3" w:name="_Ref292106445"/>
      <w:r w:rsidR="00CF0BD2" w:rsidRPr="00CF0BD2">
        <w:rPr>
          <w:rStyle w:val="FootnoteReference"/>
          <w:rFonts w:ascii="Times New Roman" w:hAnsi="Times New Roman" w:cs="Times New Roman"/>
          <w:szCs w:val="24"/>
        </w:rPr>
        <w:footnoteReference w:id="4"/>
      </w:r>
      <w:bookmarkEnd w:id="3"/>
      <w:r w:rsidR="00CF0BD2" w:rsidRPr="00CF0BD2">
        <w:rPr>
          <w:rFonts w:ascii="Times New Roman" w:hAnsi="Times New Roman" w:cs="Times New Roman"/>
          <w:sz w:val="24"/>
          <w:szCs w:val="24"/>
        </w:rPr>
        <w:t xml:space="preserve">  </w:t>
      </w:r>
      <w:r w:rsidR="00510534" w:rsidRPr="00FD4C6A">
        <w:rPr>
          <w:rFonts w:ascii="Times New Roman" w:eastAsia="DeVinne" w:hAnsi="Times New Roman" w:cs="Times New Roman"/>
          <w:sz w:val="24"/>
          <w:szCs w:val="24"/>
        </w:rPr>
        <w:t>As a consequence of section 410 of the Dodd-Frank Act</w:t>
      </w:r>
      <w:r w:rsidR="006B0605">
        <w:rPr>
          <w:rFonts w:ascii="Times New Roman" w:eastAsia="DeVinne" w:hAnsi="Times New Roman" w:cs="Times New Roman"/>
          <w:sz w:val="24"/>
          <w:szCs w:val="24"/>
        </w:rPr>
        <w:t xml:space="preserve"> and the new threshold the Commission is adopting</w:t>
      </w:r>
      <w:r w:rsidR="00510534" w:rsidRPr="00FD4C6A">
        <w:rPr>
          <w:rFonts w:ascii="Times New Roman" w:eastAsia="DeVinne" w:hAnsi="Times New Roman" w:cs="Times New Roman"/>
          <w:sz w:val="24"/>
          <w:szCs w:val="24"/>
        </w:rPr>
        <w:t xml:space="preserve">, we estimate that approximately </w:t>
      </w:r>
      <w:r w:rsidR="002D393A">
        <w:rPr>
          <w:rFonts w:ascii="Times New Roman" w:eastAsia="DeVinne" w:hAnsi="Times New Roman" w:cs="Times New Roman"/>
          <w:sz w:val="24"/>
          <w:szCs w:val="24"/>
        </w:rPr>
        <w:t>3,2</w:t>
      </w:r>
      <w:r w:rsidR="002B4C13">
        <w:rPr>
          <w:rFonts w:ascii="Times New Roman" w:eastAsia="DeVinne" w:hAnsi="Times New Roman" w:cs="Times New Roman"/>
          <w:sz w:val="24"/>
          <w:szCs w:val="24"/>
        </w:rPr>
        <w:t>00</w:t>
      </w:r>
      <w:r w:rsidR="00510534" w:rsidRPr="00FD4C6A">
        <w:rPr>
          <w:rFonts w:ascii="Times New Roman" w:eastAsia="DeVinne" w:hAnsi="Times New Roman" w:cs="Times New Roman"/>
          <w:sz w:val="24"/>
          <w:szCs w:val="24"/>
        </w:rPr>
        <w:t xml:space="preserve"> SEC-registered advisers will be required to withdraw their registrations and register with one or more state securities authorities.</w:t>
      </w:r>
      <w:bookmarkStart w:id="4" w:name="_Ref275364379"/>
      <w:r w:rsidR="00510534" w:rsidRPr="00FD4C6A">
        <w:rPr>
          <w:rStyle w:val="FootnoteReference"/>
          <w:rFonts w:ascii="Times New Roman" w:hAnsi="Times New Roman" w:cs="Times New Roman"/>
          <w:szCs w:val="24"/>
        </w:rPr>
        <w:footnoteReference w:id="5"/>
      </w:r>
      <w:bookmarkEnd w:id="4"/>
    </w:p>
    <w:p w:rsidR="001E29EE" w:rsidRDefault="00FD4C6A" w:rsidP="008B0373">
      <w:pPr>
        <w:pStyle w:val="HTMLPreformatted"/>
        <w:spacing w:line="480" w:lineRule="auto"/>
        <w:ind w:firstLine="720"/>
        <w:rPr>
          <w:rFonts w:ascii="Times New Roman" w:hAnsi="Times New Roman" w:cs="Times New Roman"/>
          <w:sz w:val="24"/>
          <w:szCs w:val="24"/>
        </w:rPr>
      </w:pPr>
      <w:r w:rsidRPr="00FD4C6A">
        <w:rPr>
          <w:rFonts w:ascii="Times New Roman" w:eastAsia="DeVinne" w:hAnsi="Times New Roman" w:cs="Times New Roman"/>
          <w:sz w:val="24"/>
          <w:szCs w:val="24"/>
        </w:rPr>
        <w:t xml:space="preserve">The Commission </w:t>
      </w:r>
      <w:r w:rsidR="00B673D3">
        <w:rPr>
          <w:rFonts w:ascii="Times New Roman" w:eastAsia="DeVinne" w:hAnsi="Times New Roman" w:cs="Times New Roman"/>
          <w:sz w:val="24"/>
          <w:szCs w:val="24"/>
        </w:rPr>
        <w:t>is adopting</w:t>
      </w:r>
      <w:r w:rsidRPr="00FD4C6A">
        <w:rPr>
          <w:rFonts w:ascii="Times New Roman" w:eastAsia="DeVinne" w:hAnsi="Times New Roman" w:cs="Times New Roman"/>
          <w:sz w:val="24"/>
          <w:szCs w:val="24"/>
        </w:rPr>
        <w:t xml:space="preserve"> </w:t>
      </w:r>
      <w:r w:rsidR="00731567" w:rsidRPr="00FD4C6A">
        <w:rPr>
          <w:rFonts w:ascii="Times New Roman" w:hAnsi="Times New Roman" w:cs="Times New Roman"/>
          <w:sz w:val="24"/>
          <w:szCs w:val="24"/>
        </w:rPr>
        <w:t xml:space="preserve">a new rule, rule 203A-5, </w:t>
      </w:r>
      <w:r w:rsidRPr="00FD4C6A">
        <w:rPr>
          <w:rFonts w:ascii="Times New Roman" w:eastAsia="DeVinne" w:hAnsi="Times New Roman" w:cs="Times New Roman"/>
          <w:sz w:val="24"/>
          <w:szCs w:val="24"/>
        </w:rPr>
        <w:t>to provide for a transitional process</w:t>
      </w:r>
      <w:r w:rsidR="004431E2">
        <w:rPr>
          <w:rFonts w:ascii="Times New Roman" w:eastAsia="DeVinne" w:hAnsi="Times New Roman" w:cs="Times New Roman"/>
          <w:sz w:val="24"/>
          <w:szCs w:val="24"/>
        </w:rPr>
        <w:t xml:space="preserve"> </w:t>
      </w:r>
      <w:r w:rsidR="004431E2" w:rsidRPr="00FD4C6A">
        <w:rPr>
          <w:rFonts w:ascii="Times New Roman" w:hAnsi="Times New Roman" w:cs="Times New Roman"/>
          <w:sz w:val="24"/>
          <w:szCs w:val="24"/>
        </w:rPr>
        <w:t xml:space="preserve">by which an adviser no longer eligible for Commission registration </w:t>
      </w:r>
      <w:r w:rsidR="003B266B">
        <w:rPr>
          <w:rFonts w:ascii="Times New Roman" w:hAnsi="Times New Roman" w:cs="Times New Roman"/>
          <w:sz w:val="24"/>
          <w:szCs w:val="24"/>
        </w:rPr>
        <w:t>will</w:t>
      </w:r>
      <w:r w:rsidR="004431E2" w:rsidRPr="00FD4C6A">
        <w:rPr>
          <w:rFonts w:ascii="Times New Roman" w:hAnsi="Times New Roman" w:cs="Times New Roman"/>
          <w:sz w:val="24"/>
          <w:szCs w:val="24"/>
        </w:rPr>
        <w:t xml:space="preserve"> transition to state </w:t>
      </w:r>
      <w:r w:rsidR="004431E2" w:rsidRPr="00893C34">
        <w:rPr>
          <w:rFonts w:ascii="Times New Roman" w:hAnsi="Times New Roman" w:cs="Times New Roman"/>
          <w:sz w:val="24"/>
          <w:szCs w:val="24"/>
        </w:rPr>
        <w:t xml:space="preserve">registration.  </w:t>
      </w:r>
      <w:r w:rsidR="00893C34" w:rsidRPr="00893C34">
        <w:rPr>
          <w:rFonts w:ascii="Times New Roman" w:hAnsi="Times New Roman" w:cs="Times New Roman"/>
          <w:sz w:val="24"/>
          <w:szCs w:val="24"/>
        </w:rPr>
        <w:t xml:space="preserve">Rule 203A-5 requires </w:t>
      </w:r>
      <w:r w:rsidR="00893C34" w:rsidRPr="00893C34">
        <w:rPr>
          <w:rFonts w:ascii="Times New Roman" w:hAnsi="Times New Roman" w:cs="Times New Roman"/>
          <w:i/>
          <w:sz w:val="24"/>
          <w:szCs w:val="24"/>
        </w:rPr>
        <w:t>each</w:t>
      </w:r>
      <w:r w:rsidR="00893C34" w:rsidRPr="00893C34">
        <w:rPr>
          <w:rFonts w:ascii="Times New Roman" w:hAnsi="Times New Roman" w:cs="Times New Roman"/>
          <w:sz w:val="24"/>
          <w:szCs w:val="24"/>
        </w:rPr>
        <w:t xml:space="preserve"> investment adviser registered with </w:t>
      </w:r>
      <w:r w:rsidR="007D3440">
        <w:rPr>
          <w:rFonts w:ascii="Times New Roman" w:hAnsi="Times New Roman" w:cs="Times New Roman"/>
          <w:sz w:val="24"/>
          <w:szCs w:val="24"/>
        </w:rPr>
        <w:t>the Commission</w:t>
      </w:r>
      <w:r w:rsidR="00893C34" w:rsidRPr="00893C34">
        <w:rPr>
          <w:rFonts w:ascii="Times New Roman" w:hAnsi="Times New Roman" w:cs="Times New Roman"/>
          <w:sz w:val="24"/>
          <w:szCs w:val="24"/>
        </w:rPr>
        <w:t xml:space="preserve"> on January 1, 2012 to file an amendment to its Form ADV no later than March 30, 2012.</w:t>
      </w:r>
      <w:r w:rsidR="00893C34" w:rsidRPr="00893C34">
        <w:rPr>
          <w:rStyle w:val="FootnoteReference"/>
          <w:rFonts w:ascii="Times New Roman" w:hAnsi="Times New Roman" w:cs="Times New Roman"/>
          <w:szCs w:val="24"/>
        </w:rPr>
        <w:footnoteReference w:id="6"/>
      </w:r>
      <w:r w:rsidR="00893C34" w:rsidRPr="009B602C">
        <w:t xml:space="preserve">  </w:t>
      </w:r>
      <w:r w:rsidR="00910447" w:rsidRPr="00FD4C6A">
        <w:rPr>
          <w:rFonts w:ascii="Times New Roman" w:hAnsi="Times New Roman" w:cs="Times New Roman"/>
          <w:sz w:val="24"/>
          <w:szCs w:val="24"/>
        </w:rPr>
        <w:t xml:space="preserve">The amendment to Form ADV </w:t>
      </w:r>
      <w:r w:rsidR="008F3D4D">
        <w:rPr>
          <w:rFonts w:ascii="Times New Roman" w:hAnsi="Times New Roman" w:cs="Times New Roman"/>
          <w:sz w:val="24"/>
          <w:szCs w:val="24"/>
        </w:rPr>
        <w:t>will</w:t>
      </w:r>
      <w:r w:rsidR="00910447" w:rsidRPr="00FD4C6A">
        <w:rPr>
          <w:rFonts w:ascii="Times New Roman" w:hAnsi="Times New Roman" w:cs="Times New Roman"/>
          <w:sz w:val="24"/>
          <w:szCs w:val="24"/>
        </w:rPr>
        <w:t xml:space="preserve">, among other things, require each adviser to declare whether it remains eligible for Commission registration </w:t>
      </w:r>
      <w:r w:rsidR="00731567" w:rsidRPr="00FD4C6A">
        <w:rPr>
          <w:rFonts w:ascii="Times New Roman" w:hAnsi="Times New Roman" w:cs="Times New Roman"/>
          <w:sz w:val="24"/>
          <w:szCs w:val="24"/>
        </w:rPr>
        <w:t xml:space="preserve">and to report the market value of its assets under management determined within </w:t>
      </w:r>
      <w:r w:rsidR="008F3D4D">
        <w:rPr>
          <w:rFonts w:ascii="Times New Roman" w:hAnsi="Times New Roman" w:cs="Times New Roman"/>
          <w:sz w:val="24"/>
          <w:szCs w:val="24"/>
        </w:rPr>
        <w:t>90</w:t>
      </w:r>
      <w:r w:rsidR="00731567" w:rsidRPr="00FD4C6A">
        <w:rPr>
          <w:rFonts w:ascii="Times New Roman" w:hAnsi="Times New Roman" w:cs="Times New Roman"/>
          <w:sz w:val="24"/>
          <w:szCs w:val="24"/>
        </w:rPr>
        <w:t xml:space="preserve"> days of the filing</w:t>
      </w:r>
      <w:r w:rsidR="008F7DF1">
        <w:rPr>
          <w:rFonts w:ascii="Times New Roman" w:hAnsi="Times New Roman" w:cs="Times New Roman"/>
          <w:sz w:val="24"/>
          <w:szCs w:val="24"/>
        </w:rPr>
        <w:t>.</w:t>
      </w:r>
      <w:r w:rsidR="00910447" w:rsidRPr="00FD4C6A">
        <w:rPr>
          <w:rStyle w:val="FootnoteReference"/>
          <w:rFonts w:ascii="Times New Roman" w:hAnsi="Times New Roman" w:cs="Times New Roman"/>
          <w:szCs w:val="24"/>
        </w:rPr>
        <w:footnoteReference w:id="7"/>
      </w:r>
      <w:r w:rsidR="00731567" w:rsidRPr="00FD4C6A">
        <w:rPr>
          <w:rFonts w:ascii="Times New Roman" w:hAnsi="Times New Roman" w:cs="Times New Roman"/>
          <w:sz w:val="24"/>
          <w:szCs w:val="24"/>
        </w:rPr>
        <w:t xml:space="preserve">  An adviser no longer eligible for Commission registration </w:t>
      </w:r>
      <w:r w:rsidR="00C2294B">
        <w:rPr>
          <w:rFonts w:ascii="Times New Roman" w:hAnsi="Times New Roman" w:cs="Times New Roman"/>
          <w:sz w:val="24"/>
          <w:szCs w:val="24"/>
        </w:rPr>
        <w:t>will</w:t>
      </w:r>
      <w:r w:rsidR="00731567" w:rsidRPr="00FD4C6A">
        <w:rPr>
          <w:rFonts w:ascii="Times New Roman" w:hAnsi="Times New Roman" w:cs="Times New Roman"/>
          <w:sz w:val="24"/>
          <w:szCs w:val="24"/>
        </w:rPr>
        <w:t xml:space="preserve"> have to withdraw its Commission registration by filing Form ADV-W no later than </w:t>
      </w:r>
      <w:r w:rsidR="008D6CFC">
        <w:rPr>
          <w:rFonts w:ascii="Times New Roman" w:hAnsi="Times New Roman" w:cs="Times New Roman"/>
          <w:sz w:val="24"/>
          <w:szCs w:val="24"/>
        </w:rPr>
        <w:t>June 28, 2012</w:t>
      </w:r>
      <w:r w:rsidR="00731567" w:rsidRPr="00FD4C6A">
        <w:rPr>
          <w:rFonts w:ascii="Times New Roman" w:hAnsi="Times New Roman" w:cs="Times New Roman"/>
          <w:sz w:val="24"/>
          <w:szCs w:val="24"/>
        </w:rPr>
        <w:t>.</w:t>
      </w:r>
      <w:r w:rsidR="00731567" w:rsidRPr="00FD4C6A">
        <w:rPr>
          <w:rStyle w:val="FootnoteReference"/>
          <w:rFonts w:ascii="Times New Roman" w:hAnsi="Times New Roman" w:cs="Times New Roman"/>
          <w:szCs w:val="24"/>
        </w:rPr>
        <w:footnoteReference w:id="8"/>
      </w:r>
      <w:r w:rsidR="00731567" w:rsidRPr="00FD4C6A">
        <w:rPr>
          <w:rFonts w:ascii="Times New Roman" w:hAnsi="Times New Roman" w:cs="Times New Roman"/>
          <w:sz w:val="24"/>
          <w:szCs w:val="24"/>
        </w:rPr>
        <w:t xml:space="preserve">  </w:t>
      </w:r>
    </w:p>
    <w:p w:rsidR="00E41313" w:rsidRDefault="004E5382" w:rsidP="00E41313">
      <w:pPr>
        <w:tabs>
          <w:tab w:val="left" w:pos="-720"/>
        </w:tabs>
        <w:suppressAutoHyphens/>
        <w:spacing w:line="480" w:lineRule="auto"/>
      </w:pPr>
      <w:r>
        <w:tab/>
      </w:r>
      <w:r w:rsidR="00E41313" w:rsidRPr="009B602C">
        <w:t xml:space="preserve">Rule 203A-5 that </w:t>
      </w:r>
      <w:r w:rsidR="00E41313">
        <w:t xml:space="preserve">the Commission is </w:t>
      </w:r>
      <w:r w:rsidR="00E41313" w:rsidRPr="009B602C">
        <w:t xml:space="preserve">adopting differs from </w:t>
      </w:r>
      <w:r w:rsidR="00E41313">
        <w:t>the rule the Commission</w:t>
      </w:r>
      <w:r w:rsidR="00E41313" w:rsidRPr="009B602C">
        <w:t xml:space="preserve"> proposed in several respects.  First, the transition period begins on January 1, 2012, not the</w:t>
      </w:r>
      <w:r w:rsidR="00E41313">
        <w:t xml:space="preserve"> July 21, 2011</w:t>
      </w:r>
      <w:r w:rsidR="00E41313" w:rsidRPr="009B602C">
        <w:t xml:space="preserve"> effective date of the Dodd-Frank Act</w:t>
      </w:r>
      <w:r w:rsidR="00E41313">
        <w:t>,</w:t>
      </w:r>
      <w:r w:rsidR="00E41313" w:rsidRPr="009B602C">
        <w:t xml:space="preserve"> as proposed</w:t>
      </w:r>
      <w:r w:rsidR="00E41313">
        <w:t>.</w:t>
      </w:r>
      <w:r w:rsidR="00E41313" w:rsidRPr="009B602C">
        <w:rPr>
          <w:rStyle w:val="FootnoteReference"/>
        </w:rPr>
        <w:footnoteReference w:id="9"/>
      </w:r>
      <w:r w:rsidR="00E41313" w:rsidRPr="009B602C">
        <w:t xml:space="preserve">  Second, advisers will be required to file an amended Form ADV by March 30, 2012 (instead of August 20, 2011, as proposed), and mid-sized advisers no longer eligible for Commission registration will be required to withdraw by June 28, 2012 (instead of October 19, 2011, as proposed)</w:t>
      </w:r>
      <w:r w:rsidR="00E41313">
        <w:t xml:space="preserve">, which </w:t>
      </w:r>
      <w:r w:rsidR="00E41313" w:rsidRPr="009B602C">
        <w:t>provides 180 days instead of the 90 days proposed.</w:t>
      </w:r>
      <w:r w:rsidR="00E41313" w:rsidRPr="009B602C">
        <w:rPr>
          <w:rStyle w:val="FootnoteReference"/>
        </w:rPr>
        <w:footnoteReference w:id="10"/>
      </w:r>
      <w:r w:rsidR="00E41313" w:rsidRPr="009B602C">
        <w:t xml:space="preserve">  Third, </w:t>
      </w:r>
      <w:r w:rsidR="00E41313">
        <w:t xml:space="preserve">the Commission is </w:t>
      </w:r>
      <w:r w:rsidR="00E41313" w:rsidRPr="009B602C">
        <w:t>providing additional flexibility</w:t>
      </w:r>
      <w:r w:rsidR="00E41313">
        <w:t xml:space="preserve"> for an adviser to </w:t>
      </w:r>
      <w:r w:rsidR="00E41313" w:rsidRPr="009B602C">
        <w:rPr>
          <w:rFonts w:eastAsia="DeVinne"/>
        </w:rPr>
        <w:t>choos</w:t>
      </w:r>
      <w:r w:rsidR="00E41313">
        <w:rPr>
          <w:rFonts w:eastAsia="DeVinne"/>
        </w:rPr>
        <w:t>e</w:t>
      </w:r>
      <w:r w:rsidR="00E41313" w:rsidRPr="009B602C">
        <w:rPr>
          <w:rFonts w:eastAsia="DeVinne"/>
        </w:rPr>
        <w:t xml:space="preserve"> the date by which </w:t>
      </w:r>
      <w:r w:rsidR="00E41313">
        <w:rPr>
          <w:rFonts w:eastAsia="DeVinne"/>
        </w:rPr>
        <w:t xml:space="preserve">it </w:t>
      </w:r>
      <w:r w:rsidR="00E41313" w:rsidRPr="009B602C">
        <w:rPr>
          <w:rFonts w:eastAsia="DeVinne"/>
        </w:rPr>
        <w:t>must calculate its assets under management that it reports on Form ADV by requiring the same 90 day period as in Form ADV today, instead of 30 days, as proposed.</w:t>
      </w:r>
      <w:r w:rsidR="00E41313" w:rsidRPr="009B602C">
        <w:rPr>
          <w:rStyle w:val="FootnoteReference"/>
        </w:rPr>
        <w:footnoteReference w:id="11"/>
      </w:r>
      <w:r w:rsidR="00E41313" w:rsidRPr="009B602C">
        <w:rPr>
          <w:rFonts w:eastAsia="DeVinne"/>
        </w:rPr>
        <w:t xml:space="preserve">  </w:t>
      </w:r>
    </w:p>
    <w:p w:rsidR="00430967" w:rsidRPr="00A139F8" w:rsidRDefault="002613E6" w:rsidP="00A139F8">
      <w:pPr>
        <w:pStyle w:val="HTMLPreformatted"/>
        <w:spacing w:line="480" w:lineRule="auto"/>
        <w:ind w:firstLine="720"/>
        <w:rPr>
          <w:rFonts w:ascii="Times New Roman" w:eastAsia="DeVinne" w:hAnsi="Times New Roman" w:cs="Times New Roman"/>
          <w:sz w:val="24"/>
          <w:szCs w:val="24"/>
        </w:rPr>
      </w:pPr>
      <w:r>
        <w:rPr>
          <w:rFonts w:ascii="Times New Roman" w:hAnsi="Times New Roman" w:cs="Times New Roman"/>
          <w:sz w:val="24"/>
          <w:szCs w:val="24"/>
        </w:rPr>
        <w:t xml:space="preserve">The </w:t>
      </w:r>
      <w:r w:rsidR="00D11CCD">
        <w:rPr>
          <w:rFonts w:ascii="Times New Roman" w:hAnsi="Times New Roman" w:cs="Times New Roman"/>
          <w:sz w:val="24"/>
          <w:szCs w:val="24"/>
        </w:rPr>
        <w:t xml:space="preserve">rule’s requirement to file an </w:t>
      </w:r>
      <w:r>
        <w:rPr>
          <w:rFonts w:ascii="Times New Roman" w:hAnsi="Times New Roman" w:cs="Times New Roman"/>
          <w:sz w:val="24"/>
          <w:szCs w:val="24"/>
        </w:rPr>
        <w:t xml:space="preserve">amendment to Form ADV </w:t>
      </w:r>
      <w:r w:rsidR="00D347AB">
        <w:rPr>
          <w:rFonts w:ascii="Times New Roman" w:hAnsi="Times New Roman" w:cs="Times New Roman"/>
          <w:sz w:val="24"/>
          <w:szCs w:val="24"/>
        </w:rPr>
        <w:t>will</w:t>
      </w:r>
      <w:r>
        <w:rPr>
          <w:rFonts w:ascii="Times New Roman" w:hAnsi="Times New Roman" w:cs="Times New Roman"/>
          <w:sz w:val="24"/>
          <w:szCs w:val="24"/>
        </w:rPr>
        <w:t xml:space="preserve"> be </w:t>
      </w:r>
      <w:r w:rsidRPr="0094621E">
        <w:rPr>
          <w:rFonts w:ascii="Times New Roman" w:hAnsi="Times New Roman" w:cs="Times New Roman"/>
          <w:sz w:val="24"/>
          <w:szCs w:val="24"/>
        </w:rPr>
        <w:t>a “collection of information” for Paperwork Reduction Act (“PRA”) purposes.</w:t>
      </w:r>
      <w:r w:rsidRPr="0094621E">
        <w:rPr>
          <w:rStyle w:val="FootnoteReference"/>
          <w:rFonts w:ascii="Times New Roman" w:hAnsi="Times New Roman" w:cs="Times New Roman"/>
          <w:szCs w:val="24"/>
        </w:rPr>
        <w:footnoteReference w:id="12"/>
      </w:r>
      <w:r w:rsidR="001E29EE" w:rsidRPr="001E29EE">
        <w:rPr>
          <w:rFonts w:ascii="Times New Roman" w:hAnsi="Times New Roman" w:cs="Times New Roman"/>
          <w:sz w:val="24"/>
          <w:szCs w:val="24"/>
        </w:rPr>
        <w:t xml:space="preserve"> </w:t>
      </w:r>
      <w:r w:rsidR="001E29EE">
        <w:rPr>
          <w:rFonts w:ascii="Times New Roman" w:hAnsi="Times New Roman" w:cs="Times New Roman"/>
          <w:sz w:val="24"/>
          <w:szCs w:val="24"/>
        </w:rPr>
        <w:t xml:space="preserve"> </w:t>
      </w:r>
      <w:r w:rsidR="001E29EE" w:rsidRPr="00FD4C6A">
        <w:rPr>
          <w:rFonts w:ascii="Times New Roman" w:hAnsi="Times New Roman" w:cs="Times New Roman"/>
          <w:sz w:val="24"/>
          <w:szCs w:val="24"/>
        </w:rPr>
        <w:t xml:space="preserve">The title of the new collection of information is: “Rule 203A-5.”  </w:t>
      </w:r>
      <w:r w:rsidR="000254CF" w:rsidRPr="00FD4C6A">
        <w:rPr>
          <w:rFonts w:ascii="Times New Roman" w:hAnsi="Times New Roman" w:cs="Times New Roman"/>
          <w:sz w:val="24"/>
          <w:szCs w:val="24"/>
        </w:rPr>
        <w:t xml:space="preserve">The likely respondents to this information collection are all investment advisers registered with the Commission on </w:t>
      </w:r>
      <w:r w:rsidR="00E800E4">
        <w:rPr>
          <w:rFonts w:ascii="Times New Roman" w:hAnsi="Times New Roman" w:cs="Times New Roman"/>
          <w:sz w:val="24"/>
          <w:szCs w:val="24"/>
        </w:rPr>
        <w:t xml:space="preserve">January </w:t>
      </w:r>
      <w:r w:rsidR="000254CF" w:rsidRPr="00FD4C6A">
        <w:rPr>
          <w:rFonts w:ascii="Times New Roman" w:hAnsi="Times New Roman" w:cs="Times New Roman"/>
          <w:sz w:val="24"/>
          <w:szCs w:val="24"/>
        </w:rPr>
        <w:t>1, 201</w:t>
      </w:r>
      <w:r w:rsidR="00E800E4">
        <w:rPr>
          <w:rFonts w:ascii="Times New Roman" w:hAnsi="Times New Roman" w:cs="Times New Roman"/>
          <w:sz w:val="24"/>
          <w:szCs w:val="24"/>
        </w:rPr>
        <w:t>2</w:t>
      </w:r>
      <w:r w:rsidR="000254CF" w:rsidRPr="00FD4C6A">
        <w:rPr>
          <w:rFonts w:ascii="Times New Roman" w:hAnsi="Times New Roman" w:cs="Times New Roman"/>
          <w:sz w:val="24"/>
          <w:szCs w:val="24"/>
        </w:rPr>
        <w:t xml:space="preserve">.  </w:t>
      </w:r>
      <w:r w:rsidR="000254CF" w:rsidRPr="00FD4C6A">
        <w:rPr>
          <w:rFonts w:ascii="Times New Roman" w:eastAsia="DeVinne" w:hAnsi="Times New Roman" w:cs="Times New Roman"/>
          <w:sz w:val="24"/>
          <w:szCs w:val="24"/>
        </w:rPr>
        <w:t xml:space="preserve">We have submitted this collection of </w:t>
      </w:r>
      <w:r w:rsidR="00A139F8">
        <w:rPr>
          <w:rFonts w:ascii="Times New Roman" w:eastAsia="DeVinne" w:hAnsi="Times New Roman" w:cs="Times New Roman"/>
          <w:sz w:val="24"/>
          <w:szCs w:val="24"/>
        </w:rPr>
        <w:t xml:space="preserve">information to OMB for review, </w:t>
      </w:r>
      <w:r w:rsidR="00F22A42" w:rsidRPr="00FD4C6A">
        <w:rPr>
          <w:rFonts w:ascii="Times New Roman" w:eastAsia="DeVinne" w:hAnsi="Times New Roman" w:cs="Times New Roman"/>
          <w:sz w:val="24"/>
          <w:szCs w:val="24"/>
        </w:rPr>
        <w:t xml:space="preserve">and </w:t>
      </w:r>
      <w:r w:rsidR="00F22A42" w:rsidRPr="00FD4C6A">
        <w:rPr>
          <w:rFonts w:ascii="Times New Roman" w:hAnsi="Times New Roman" w:cs="Times New Roman"/>
          <w:sz w:val="24"/>
          <w:szCs w:val="24"/>
        </w:rPr>
        <w:t>OMB has not yet assigned t</w:t>
      </w:r>
      <w:r w:rsidR="00CD5762">
        <w:rPr>
          <w:rFonts w:ascii="Times New Roman" w:hAnsi="Times New Roman" w:cs="Times New Roman"/>
          <w:sz w:val="24"/>
          <w:szCs w:val="24"/>
        </w:rPr>
        <w:t>his collection a control number</w:t>
      </w:r>
      <w:r w:rsidR="00F22A42" w:rsidRPr="00FD4C6A">
        <w:rPr>
          <w:rFonts w:ascii="Times New Roman" w:hAnsi="Times New Roman" w:cs="Times New Roman"/>
          <w:sz w:val="24"/>
          <w:szCs w:val="24"/>
        </w:rPr>
        <w:t xml:space="preserve">.  </w:t>
      </w:r>
      <w:r w:rsidR="004737EA" w:rsidRPr="00FD4C6A">
        <w:rPr>
          <w:rFonts w:ascii="Times New Roman" w:hAnsi="Times New Roman" w:cs="Times New Roman"/>
          <w:sz w:val="24"/>
          <w:szCs w:val="24"/>
        </w:rPr>
        <w:t xml:space="preserve">An agency may not conduct or sponsor, and a person is not required to respond to, a collection of information unless it displays a currently valid OMB control number.  </w:t>
      </w:r>
      <w:r w:rsidR="00FF22D5">
        <w:rPr>
          <w:rFonts w:ascii="Times New Roman" w:hAnsi="Times New Roman" w:cs="Times New Roman"/>
          <w:sz w:val="24"/>
          <w:szCs w:val="24"/>
        </w:rPr>
        <w:t>T</w:t>
      </w:r>
      <w:r w:rsidR="00DB0904" w:rsidRPr="00FD4C6A">
        <w:rPr>
          <w:rFonts w:ascii="Times New Roman" w:hAnsi="Times New Roman" w:cs="Times New Roman"/>
          <w:sz w:val="24"/>
          <w:szCs w:val="24"/>
        </w:rPr>
        <w:t xml:space="preserve">his collection of information </w:t>
      </w:r>
      <w:r w:rsidR="00FF22D5">
        <w:rPr>
          <w:rFonts w:ascii="Times New Roman" w:hAnsi="Times New Roman" w:cs="Times New Roman"/>
          <w:sz w:val="24"/>
          <w:szCs w:val="24"/>
        </w:rPr>
        <w:t>will b</w:t>
      </w:r>
      <w:r w:rsidR="007459EF" w:rsidRPr="00FD4C6A">
        <w:rPr>
          <w:rFonts w:ascii="Times New Roman" w:hAnsi="Times New Roman" w:cs="Times New Roman"/>
          <w:sz w:val="24"/>
          <w:szCs w:val="24"/>
        </w:rPr>
        <w:t>e</w:t>
      </w:r>
      <w:r w:rsidR="00DB0904" w:rsidRPr="00FD4C6A">
        <w:rPr>
          <w:rFonts w:ascii="Times New Roman" w:hAnsi="Times New Roman" w:cs="Times New Roman"/>
          <w:sz w:val="24"/>
          <w:szCs w:val="24"/>
        </w:rPr>
        <w:t xml:space="preserve"> found </w:t>
      </w:r>
      <w:proofErr w:type="gramStart"/>
      <w:r w:rsidR="00DB0904" w:rsidRPr="00FD4C6A">
        <w:rPr>
          <w:rFonts w:ascii="Times New Roman" w:hAnsi="Times New Roman" w:cs="Times New Roman"/>
          <w:sz w:val="24"/>
          <w:szCs w:val="24"/>
        </w:rPr>
        <w:t>at 17 CFR 275.203</w:t>
      </w:r>
      <w:r w:rsidR="00E86B89" w:rsidRPr="00FD4C6A">
        <w:rPr>
          <w:rFonts w:ascii="Times New Roman" w:hAnsi="Times New Roman" w:cs="Times New Roman"/>
          <w:sz w:val="24"/>
          <w:szCs w:val="24"/>
        </w:rPr>
        <w:t>a</w:t>
      </w:r>
      <w:r w:rsidR="00731567" w:rsidRPr="00FD4C6A">
        <w:rPr>
          <w:rFonts w:ascii="Times New Roman" w:hAnsi="Times New Roman" w:cs="Times New Roman"/>
          <w:sz w:val="24"/>
          <w:szCs w:val="24"/>
        </w:rPr>
        <w:t>-5</w:t>
      </w:r>
      <w:proofErr w:type="gramEnd"/>
      <w:r w:rsidR="00430967" w:rsidRPr="00FD4C6A">
        <w:rPr>
          <w:rFonts w:ascii="Times New Roman" w:hAnsi="Times New Roman" w:cs="Times New Roman"/>
          <w:sz w:val="24"/>
          <w:szCs w:val="24"/>
        </w:rPr>
        <w:t xml:space="preserve"> and </w:t>
      </w:r>
      <w:r w:rsidR="00CF479D">
        <w:rPr>
          <w:rFonts w:ascii="Times New Roman" w:hAnsi="Times New Roman" w:cs="Times New Roman"/>
          <w:sz w:val="24"/>
          <w:szCs w:val="24"/>
        </w:rPr>
        <w:t>is</w:t>
      </w:r>
      <w:r w:rsidR="00430967" w:rsidRPr="00FD4C6A">
        <w:rPr>
          <w:rFonts w:ascii="Times New Roman" w:hAnsi="Times New Roman" w:cs="Times New Roman"/>
          <w:sz w:val="24"/>
          <w:szCs w:val="24"/>
        </w:rPr>
        <w:t xml:space="preserve"> mandatory.  </w:t>
      </w:r>
      <w:r w:rsidR="00CD5762">
        <w:rPr>
          <w:rFonts w:ascii="Times New Roman" w:hAnsi="Times New Roman" w:cs="Times New Roman"/>
          <w:sz w:val="24"/>
          <w:szCs w:val="24"/>
        </w:rPr>
        <w:t>The information collected on Form ADV</w:t>
      </w:r>
      <w:r w:rsidR="00731567" w:rsidRPr="00FD4C6A">
        <w:rPr>
          <w:rFonts w:ascii="Times New Roman" w:hAnsi="Times New Roman" w:cs="Times New Roman"/>
          <w:sz w:val="24"/>
          <w:szCs w:val="24"/>
        </w:rPr>
        <w:t xml:space="preserve"> </w:t>
      </w:r>
      <w:r w:rsidR="00CF479D">
        <w:rPr>
          <w:rFonts w:ascii="Times New Roman" w:hAnsi="Times New Roman" w:cs="Times New Roman"/>
          <w:sz w:val="24"/>
          <w:szCs w:val="24"/>
        </w:rPr>
        <w:t xml:space="preserve">is </w:t>
      </w:r>
      <w:r w:rsidR="00731567" w:rsidRPr="00FD4C6A">
        <w:rPr>
          <w:rFonts w:ascii="Times New Roman" w:hAnsi="Times New Roman" w:cs="Times New Roman"/>
          <w:sz w:val="24"/>
          <w:szCs w:val="24"/>
        </w:rPr>
        <w:t xml:space="preserve">not kept confidential.  </w:t>
      </w:r>
    </w:p>
    <w:p w:rsidR="00DB0904" w:rsidRPr="00FD4C6A" w:rsidRDefault="00DB0904" w:rsidP="00DB0904">
      <w:pPr>
        <w:numPr>
          <w:ilvl w:val="0"/>
          <w:numId w:val="1"/>
        </w:numPr>
        <w:tabs>
          <w:tab w:val="left" w:pos="-720"/>
        </w:tabs>
        <w:suppressAutoHyphens/>
        <w:spacing w:line="480" w:lineRule="auto"/>
        <w:rPr>
          <w:b/>
          <w:spacing w:val="-3"/>
        </w:rPr>
      </w:pPr>
      <w:r w:rsidRPr="00FD4C6A">
        <w:rPr>
          <w:b/>
          <w:spacing w:val="-3"/>
        </w:rPr>
        <w:t>Purposes of Information Collection</w:t>
      </w:r>
    </w:p>
    <w:p w:rsidR="00FD4C6A" w:rsidRPr="00FD4C6A" w:rsidRDefault="00FD4C6A" w:rsidP="00D66BA0">
      <w:pPr>
        <w:spacing w:line="480" w:lineRule="auto"/>
        <w:ind w:firstLine="720"/>
        <w:rPr>
          <w:rFonts w:eastAsia="DeVinne"/>
        </w:rPr>
      </w:pPr>
      <w:r>
        <w:t>The Form ADV filing required by rule 203A-5 enable</w:t>
      </w:r>
      <w:r w:rsidR="00255058">
        <w:t>s</w:t>
      </w:r>
      <w:r w:rsidRPr="00FD4C6A">
        <w:t xml:space="preserve"> each investment adviser to determine whether it meets the revised eligibility criteria for Commission registration, and provide</w:t>
      </w:r>
      <w:r w:rsidR="00095220">
        <w:t>s</w:t>
      </w:r>
      <w:r w:rsidRPr="00FD4C6A">
        <w:t xml:space="preserve"> the Commission and the state regulatory authorities with information necessary to identify those advisers required to transition to state registration and to understand the reason for the transition or basis for continued Commission registration.</w:t>
      </w:r>
      <w:r w:rsidRPr="00FD4C6A">
        <w:rPr>
          <w:rStyle w:val="FootnoteReference"/>
        </w:rPr>
        <w:footnoteReference w:id="13"/>
      </w:r>
      <w:r w:rsidRPr="00FD4C6A">
        <w:t xml:space="preserve">  </w:t>
      </w:r>
    </w:p>
    <w:p w:rsidR="00DB0904" w:rsidRPr="00FD4C6A" w:rsidRDefault="00DB0904" w:rsidP="00DB0904">
      <w:pPr>
        <w:numPr>
          <w:ilvl w:val="0"/>
          <w:numId w:val="1"/>
        </w:numPr>
        <w:tabs>
          <w:tab w:val="left" w:pos="-720"/>
        </w:tabs>
        <w:suppressAutoHyphens/>
        <w:spacing w:line="480" w:lineRule="auto"/>
        <w:rPr>
          <w:b/>
          <w:spacing w:val="-3"/>
        </w:rPr>
      </w:pPr>
      <w:r w:rsidRPr="00FD4C6A">
        <w:rPr>
          <w:b/>
          <w:spacing w:val="-3"/>
        </w:rPr>
        <w:t>Role of Improved Information Technology</w:t>
      </w:r>
    </w:p>
    <w:p w:rsidR="00D41F40" w:rsidRDefault="00D41F40" w:rsidP="00D41F40">
      <w:pPr>
        <w:spacing w:line="480" w:lineRule="auto"/>
        <w:ind w:firstLine="720"/>
        <w:rPr>
          <w:color w:val="000000"/>
        </w:rPr>
      </w:pPr>
      <w:r w:rsidRPr="00E4008B">
        <w:t xml:space="preserve">The information collected pursuant to </w:t>
      </w:r>
      <w:r>
        <w:t xml:space="preserve">Form ADV </w:t>
      </w:r>
      <w:r w:rsidRPr="00E4008B">
        <w:t>take</w:t>
      </w:r>
      <w:r>
        <w:t>s</w:t>
      </w:r>
      <w:r w:rsidRPr="00E4008B">
        <w:t xml:space="preserve"> t</w:t>
      </w:r>
      <w:r>
        <w:t>he form of disclosures made by investment advisers</w:t>
      </w:r>
      <w:r w:rsidRPr="00E4008B">
        <w:t xml:space="preserve"> to their </w:t>
      </w:r>
      <w:r>
        <w:t>clients</w:t>
      </w:r>
      <w:r w:rsidRPr="00E4008B">
        <w:t xml:space="preserve"> and potential c</w:t>
      </w:r>
      <w:r>
        <w:t>lient</w:t>
      </w:r>
      <w:r w:rsidRPr="00E4008B">
        <w:t>s</w:t>
      </w:r>
      <w:r>
        <w:t xml:space="preserve"> and reporting to the Commission</w:t>
      </w:r>
      <w:r w:rsidRPr="00E4008B">
        <w:t xml:space="preserve">.  </w:t>
      </w:r>
      <w:r>
        <w:rPr>
          <w:color w:val="000000"/>
        </w:rPr>
        <w:t xml:space="preserve">Investment advisers </w:t>
      </w:r>
      <w:r w:rsidRPr="00E4008B">
        <w:rPr>
          <w:color w:val="000000"/>
        </w:rPr>
        <w:t xml:space="preserve">currently file </w:t>
      </w:r>
      <w:r>
        <w:rPr>
          <w:color w:val="000000"/>
        </w:rPr>
        <w:t xml:space="preserve">their </w:t>
      </w:r>
      <w:r w:rsidRPr="00E4008B">
        <w:rPr>
          <w:color w:val="000000"/>
        </w:rPr>
        <w:t xml:space="preserve">Form </w:t>
      </w:r>
      <w:r>
        <w:rPr>
          <w:color w:val="000000"/>
        </w:rPr>
        <w:t>A</w:t>
      </w:r>
      <w:r w:rsidRPr="00E4008B">
        <w:rPr>
          <w:color w:val="000000"/>
        </w:rPr>
        <w:t>D</w:t>
      </w:r>
      <w:r>
        <w:rPr>
          <w:color w:val="000000"/>
        </w:rPr>
        <w:t>V</w:t>
      </w:r>
      <w:r w:rsidRPr="00E4008B">
        <w:rPr>
          <w:color w:val="000000"/>
        </w:rPr>
        <w:t xml:space="preserve"> </w:t>
      </w:r>
      <w:r>
        <w:rPr>
          <w:color w:val="000000"/>
        </w:rPr>
        <w:t xml:space="preserve">electronically on the IARD system.  </w:t>
      </w:r>
      <w:r w:rsidRPr="00E4008B">
        <w:rPr>
          <w:color w:val="000000"/>
        </w:rPr>
        <w:t xml:space="preserve">This method of collecting information reduces the regulatory burden upon </w:t>
      </w:r>
      <w:r>
        <w:rPr>
          <w:color w:val="000000"/>
        </w:rPr>
        <w:t>investment advisers</w:t>
      </w:r>
      <w:r w:rsidRPr="00E4008B">
        <w:rPr>
          <w:color w:val="000000"/>
        </w:rPr>
        <w:t xml:space="preserve"> by permitting them to file applications for registration, and amendments thereto, at one central location, rather than filing</w:t>
      </w:r>
      <w:r>
        <w:rPr>
          <w:color w:val="000000"/>
        </w:rPr>
        <w:t xml:space="preserve"> Form ADV</w:t>
      </w:r>
      <w:r w:rsidRPr="00E4008B">
        <w:rPr>
          <w:color w:val="000000"/>
        </w:rPr>
        <w:t xml:space="preserve"> separately with the Commission</w:t>
      </w:r>
      <w:r>
        <w:rPr>
          <w:color w:val="000000"/>
        </w:rPr>
        <w:t xml:space="preserve"> </w:t>
      </w:r>
      <w:r w:rsidRPr="00E4008B">
        <w:rPr>
          <w:color w:val="000000"/>
        </w:rPr>
        <w:t>and the states</w:t>
      </w:r>
      <w:r>
        <w:rPr>
          <w:color w:val="000000"/>
        </w:rPr>
        <w:t xml:space="preserve"> for notice filing purposes</w:t>
      </w:r>
      <w:r w:rsidRPr="00E4008B">
        <w:rPr>
          <w:color w:val="000000"/>
        </w:rPr>
        <w:t>.</w:t>
      </w:r>
      <w:r>
        <w:rPr>
          <w:color w:val="000000"/>
        </w:rPr>
        <w:t xml:space="preserve">  </w:t>
      </w:r>
    </w:p>
    <w:p w:rsidR="00DB0904" w:rsidRPr="00FD4C6A" w:rsidRDefault="00DB0904" w:rsidP="00DB0904">
      <w:pPr>
        <w:numPr>
          <w:ilvl w:val="0"/>
          <w:numId w:val="1"/>
        </w:numPr>
        <w:tabs>
          <w:tab w:val="left" w:pos="-720"/>
        </w:tabs>
        <w:suppressAutoHyphens/>
        <w:rPr>
          <w:b/>
          <w:spacing w:val="-3"/>
        </w:rPr>
      </w:pPr>
      <w:r w:rsidRPr="00FD4C6A">
        <w:rPr>
          <w:b/>
          <w:spacing w:val="-3"/>
        </w:rPr>
        <w:t>Efforts to Identify Duplication</w:t>
      </w:r>
    </w:p>
    <w:p w:rsidR="00DB0904" w:rsidRPr="00FD4C6A" w:rsidRDefault="00DB0904" w:rsidP="00DB0904">
      <w:pPr>
        <w:tabs>
          <w:tab w:val="left" w:pos="-720"/>
        </w:tabs>
        <w:suppressAutoHyphens/>
        <w:rPr>
          <w:spacing w:val="-3"/>
        </w:rPr>
      </w:pPr>
    </w:p>
    <w:p w:rsidR="003E0497" w:rsidRPr="003E0497" w:rsidRDefault="003E0497" w:rsidP="003E0497">
      <w:pPr>
        <w:tabs>
          <w:tab w:val="left" w:pos="-720"/>
        </w:tabs>
        <w:suppressAutoHyphens/>
        <w:spacing w:line="480" w:lineRule="auto"/>
        <w:rPr>
          <w:color w:val="000000"/>
        </w:rPr>
      </w:pPr>
      <w:r w:rsidRPr="00D5146E">
        <w:rPr>
          <w:color w:val="000000"/>
        </w:rPr>
        <w:tab/>
        <w:t>The collec</w:t>
      </w:r>
      <w:r w:rsidR="00737C44">
        <w:rPr>
          <w:color w:val="000000"/>
        </w:rPr>
        <w:t>tion of information requirements</w:t>
      </w:r>
      <w:r w:rsidRPr="00D5146E">
        <w:rPr>
          <w:color w:val="000000"/>
        </w:rPr>
        <w:t xml:space="preserve"> of </w:t>
      </w:r>
      <w:r>
        <w:rPr>
          <w:color w:val="000000"/>
        </w:rPr>
        <w:t>rule 203A-5 a</w:t>
      </w:r>
      <w:r w:rsidRPr="00D5146E">
        <w:rPr>
          <w:color w:val="000000"/>
        </w:rPr>
        <w:t>re not duplicated elsewhere</w:t>
      </w:r>
      <w:r>
        <w:rPr>
          <w:color w:val="000000"/>
        </w:rPr>
        <w:t xml:space="preserve"> for investment advisers that must comply with these collection requirements</w:t>
      </w:r>
      <w:r w:rsidRPr="00D5146E">
        <w:rPr>
          <w:color w:val="000000"/>
        </w:rPr>
        <w:t>.</w:t>
      </w:r>
    </w:p>
    <w:p w:rsidR="00DB0904" w:rsidRPr="00FD4C6A" w:rsidRDefault="00DB0904" w:rsidP="00DB0904">
      <w:pPr>
        <w:numPr>
          <w:ilvl w:val="0"/>
          <w:numId w:val="2"/>
        </w:numPr>
        <w:tabs>
          <w:tab w:val="left" w:pos="-720"/>
        </w:tabs>
        <w:suppressAutoHyphens/>
        <w:spacing w:line="480" w:lineRule="auto"/>
        <w:rPr>
          <w:b/>
          <w:spacing w:val="-3"/>
        </w:rPr>
      </w:pPr>
      <w:r w:rsidRPr="00FD4C6A">
        <w:rPr>
          <w:b/>
          <w:spacing w:val="-3"/>
        </w:rPr>
        <w:t>Effect on Small Entities</w:t>
      </w:r>
    </w:p>
    <w:p w:rsidR="00370350" w:rsidRDefault="00B839D9" w:rsidP="00370350">
      <w:pPr>
        <w:pStyle w:val="BodyTextIndent"/>
      </w:pPr>
      <w:r w:rsidRPr="00A06783">
        <w:rPr>
          <w:color w:val="000000"/>
        </w:rPr>
        <w:t xml:space="preserve">The requirements of </w:t>
      </w:r>
      <w:r>
        <w:rPr>
          <w:color w:val="000000"/>
        </w:rPr>
        <w:t xml:space="preserve">rule 203A-5 </w:t>
      </w:r>
      <w:r w:rsidR="00816D54">
        <w:rPr>
          <w:color w:val="000000"/>
        </w:rPr>
        <w:t>are</w:t>
      </w:r>
      <w:r w:rsidRPr="00A06783">
        <w:rPr>
          <w:color w:val="000000"/>
        </w:rPr>
        <w:t xml:space="preserve"> the same for all investment advisers registered with the Commission</w:t>
      </w:r>
      <w:r>
        <w:rPr>
          <w:color w:val="000000"/>
        </w:rPr>
        <w:t xml:space="preserve"> on </w:t>
      </w:r>
      <w:r w:rsidR="00816D54">
        <w:rPr>
          <w:color w:val="000000"/>
        </w:rPr>
        <w:t>January 1, 2012</w:t>
      </w:r>
      <w:r>
        <w:rPr>
          <w:color w:val="000000"/>
        </w:rPr>
        <w:t xml:space="preserve">, </w:t>
      </w:r>
      <w:r w:rsidRPr="00A06783">
        <w:rPr>
          <w:color w:val="000000"/>
        </w:rPr>
        <w:t xml:space="preserve">including those </w:t>
      </w:r>
      <w:r>
        <w:rPr>
          <w:color w:val="000000"/>
        </w:rPr>
        <w:t xml:space="preserve">advisers </w:t>
      </w:r>
      <w:r w:rsidRPr="00A06783">
        <w:rPr>
          <w:color w:val="000000"/>
        </w:rPr>
        <w:t xml:space="preserve">that are small entities.  </w:t>
      </w:r>
      <w:r>
        <w:rPr>
          <w:color w:val="000000"/>
        </w:rPr>
        <w:t>The</w:t>
      </w:r>
      <w:r w:rsidRPr="00B8227A">
        <w:t xml:space="preserve"> rule </w:t>
      </w:r>
      <w:r w:rsidR="006E67EE">
        <w:t>does</w:t>
      </w:r>
      <w:r w:rsidRPr="00B8227A">
        <w:t xml:space="preserve"> not affect most advisers that are small entities because they are generally </w:t>
      </w:r>
      <w:r>
        <w:t xml:space="preserve">required to be </w:t>
      </w:r>
      <w:r w:rsidRPr="00B8227A">
        <w:t>registered with one or more state securi</w:t>
      </w:r>
      <w:r w:rsidR="00826CFC">
        <w:t>ties authorities and not with the Commission</w:t>
      </w:r>
      <w:r w:rsidRPr="00370350">
        <w:t xml:space="preserve">.  </w:t>
      </w:r>
      <w:r w:rsidR="00370350" w:rsidRPr="00370350">
        <w:t>It would defeat the purpose of the rule to exempt small entities from these requirements</w:t>
      </w:r>
      <w:r w:rsidR="00B946D0">
        <w:t>.  T</w:t>
      </w:r>
      <w:r w:rsidR="00826CFC">
        <w:t>he Commission and state securities authorities need to be able to identify all</w:t>
      </w:r>
      <w:r w:rsidR="00B83B2D">
        <w:t xml:space="preserve"> of the</w:t>
      </w:r>
      <w:r w:rsidR="00826CFC">
        <w:t xml:space="preserve"> advisers</w:t>
      </w:r>
      <w:r w:rsidR="00B946D0">
        <w:t xml:space="preserve"> (both small </w:t>
      </w:r>
      <w:r w:rsidR="00ED26DD">
        <w:t xml:space="preserve">advisers </w:t>
      </w:r>
      <w:r w:rsidR="00B946D0">
        <w:t>and larger advisers)</w:t>
      </w:r>
      <w:r w:rsidR="00826CFC">
        <w:t xml:space="preserve"> switching to state registration or remaining registered with the Commission </w:t>
      </w:r>
      <w:r w:rsidR="00B946D0">
        <w:t xml:space="preserve">so they are able </w:t>
      </w:r>
      <w:r w:rsidR="00826CFC">
        <w:t>to verify which advisers should switch</w:t>
      </w:r>
      <w:r w:rsidR="00370350" w:rsidRPr="00370350">
        <w:t>.</w:t>
      </w:r>
    </w:p>
    <w:p w:rsidR="00DB0904" w:rsidRPr="00FD4C6A" w:rsidRDefault="00DB0904" w:rsidP="00DB0904">
      <w:pPr>
        <w:numPr>
          <w:ilvl w:val="0"/>
          <w:numId w:val="2"/>
        </w:numPr>
        <w:tabs>
          <w:tab w:val="left" w:pos="-720"/>
        </w:tabs>
        <w:suppressAutoHyphens/>
        <w:spacing w:line="480" w:lineRule="auto"/>
        <w:rPr>
          <w:b/>
          <w:spacing w:val="-3"/>
        </w:rPr>
      </w:pPr>
      <w:r w:rsidRPr="00FD4C6A">
        <w:rPr>
          <w:b/>
          <w:spacing w:val="-3"/>
        </w:rPr>
        <w:t>Consequences of Less Frequent Collection</w:t>
      </w:r>
    </w:p>
    <w:p w:rsidR="00CD0E98" w:rsidRPr="00FD4C6A" w:rsidRDefault="005F467C" w:rsidP="005145E3">
      <w:pPr>
        <w:tabs>
          <w:tab w:val="left" w:pos="-720"/>
        </w:tabs>
        <w:suppressAutoHyphens/>
        <w:spacing w:line="480" w:lineRule="auto"/>
        <w:rPr>
          <w:rFonts w:eastAsia="DeVinne"/>
        </w:rPr>
      </w:pPr>
      <w:r w:rsidRPr="00243410">
        <w:rPr>
          <w:b/>
          <w:color w:val="000000"/>
        </w:rPr>
        <w:tab/>
      </w:r>
      <w:r w:rsidR="00CD0E98">
        <w:rPr>
          <w:color w:val="000000"/>
        </w:rPr>
        <w:t>R</w:t>
      </w:r>
      <w:r w:rsidR="00CD0E98">
        <w:rPr>
          <w:rFonts w:eastAsia="DeVinne"/>
        </w:rPr>
        <w:t xml:space="preserve">ule 203A-5 </w:t>
      </w:r>
      <w:r w:rsidR="00CD0E98" w:rsidRPr="00FD4C6A">
        <w:t>require</w:t>
      </w:r>
      <w:r w:rsidR="00F953FD">
        <w:t>s</w:t>
      </w:r>
      <w:r w:rsidR="00CD0E98" w:rsidRPr="00FD4C6A">
        <w:t xml:space="preserve"> </w:t>
      </w:r>
      <w:r w:rsidR="00CD0E98" w:rsidRPr="00CD0E98">
        <w:t>each</w:t>
      </w:r>
      <w:r w:rsidR="00CD0E98" w:rsidRPr="00FD4C6A">
        <w:t xml:space="preserve"> investment adviser registered with </w:t>
      </w:r>
      <w:r w:rsidR="00CD0E98">
        <w:t>the Commission</w:t>
      </w:r>
      <w:r w:rsidR="00CD0E98" w:rsidRPr="00FD4C6A">
        <w:t xml:space="preserve"> on </w:t>
      </w:r>
      <w:r w:rsidR="00F953FD">
        <w:t>January 1, 2012</w:t>
      </w:r>
      <w:r w:rsidR="00CD0E98" w:rsidRPr="00FD4C6A">
        <w:t xml:space="preserve"> to file an amendment to its Form ADV </w:t>
      </w:r>
      <w:r w:rsidR="00447069">
        <w:t>that</w:t>
      </w:r>
      <w:r w:rsidR="00CD0E98" w:rsidRPr="00FD4C6A">
        <w:t xml:space="preserve"> </w:t>
      </w:r>
      <w:r w:rsidR="005A7056">
        <w:t>will</w:t>
      </w:r>
      <w:r w:rsidR="00CD0E98" w:rsidRPr="00FD4C6A">
        <w:t xml:space="preserve">, among other things, require each adviser to declare whether it remains eligible for Commission registration and to report the market value of its assets under management determined within </w:t>
      </w:r>
      <w:r w:rsidR="005A7056">
        <w:t>90</w:t>
      </w:r>
      <w:r w:rsidR="00CD0E98" w:rsidRPr="00FD4C6A">
        <w:t xml:space="preserve"> days of the filing</w:t>
      </w:r>
      <w:r w:rsidR="00CD0E98">
        <w:t>.</w:t>
      </w:r>
      <w:r w:rsidR="00CD0E98" w:rsidRPr="00FD4C6A">
        <w:rPr>
          <w:rStyle w:val="FootnoteReference"/>
        </w:rPr>
        <w:footnoteReference w:id="14"/>
      </w:r>
      <w:r w:rsidR="00CD0E98" w:rsidRPr="00FD4C6A">
        <w:t xml:space="preserve">  </w:t>
      </w:r>
      <w:r w:rsidRPr="00243410">
        <w:rPr>
          <w:color w:val="000000"/>
        </w:rPr>
        <w:t>Th</w:t>
      </w:r>
      <w:r w:rsidR="00D24885">
        <w:rPr>
          <w:color w:val="000000"/>
        </w:rPr>
        <w:t xml:space="preserve">is </w:t>
      </w:r>
      <w:r w:rsidRPr="00243410">
        <w:rPr>
          <w:color w:val="000000"/>
        </w:rPr>
        <w:t xml:space="preserve">collection of information is necessary to </w:t>
      </w:r>
      <w:r w:rsidR="00E55E2D">
        <w:rPr>
          <w:color w:val="000000"/>
        </w:rPr>
        <w:t xml:space="preserve">enable </w:t>
      </w:r>
      <w:r w:rsidR="00C4180E" w:rsidRPr="00FD4C6A">
        <w:t>the Commission and the state regulatory authorities to identify those advisers required to transition to state registration and to understand the reason for the transition or basis for continued Commission registration</w:t>
      </w:r>
      <w:r w:rsidRPr="00243410">
        <w:rPr>
          <w:color w:val="000000"/>
        </w:rPr>
        <w:t xml:space="preserve">.  </w:t>
      </w:r>
      <w:r w:rsidR="005145E3">
        <w:rPr>
          <w:color w:val="000000"/>
        </w:rPr>
        <w:t xml:space="preserve">If the required information is not collected, the Commission and state regulatory authorities would not be able to verify which advisers should switch to state registration.  Completing Form ADV also </w:t>
      </w:r>
      <w:r w:rsidR="00EC7852">
        <w:rPr>
          <w:color w:val="000000"/>
        </w:rPr>
        <w:t xml:space="preserve">will </w:t>
      </w:r>
      <w:r w:rsidR="005145E3">
        <w:rPr>
          <w:color w:val="000000"/>
        </w:rPr>
        <w:t>assist</w:t>
      </w:r>
      <w:r w:rsidR="001861F7">
        <w:rPr>
          <w:color w:val="000000"/>
        </w:rPr>
        <w:t xml:space="preserve"> each</w:t>
      </w:r>
      <w:r w:rsidR="005145E3">
        <w:rPr>
          <w:color w:val="000000"/>
        </w:rPr>
        <w:t xml:space="preserve"> </w:t>
      </w:r>
      <w:r w:rsidR="00CD0E98" w:rsidRPr="00FD4C6A">
        <w:t xml:space="preserve">adviser to determine whether it meets the revised eligibility criteria for Commission registration.  </w:t>
      </w:r>
    </w:p>
    <w:p w:rsidR="00DB0904" w:rsidRPr="00FD4C6A" w:rsidRDefault="00DB0904" w:rsidP="00DB0904">
      <w:pPr>
        <w:numPr>
          <w:ilvl w:val="0"/>
          <w:numId w:val="2"/>
        </w:numPr>
        <w:tabs>
          <w:tab w:val="left" w:pos="-720"/>
        </w:tabs>
        <w:suppressAutoHyphens/>
        <w:spacing w:line="480" w:lineRule="auto"/>
        <w:rPr>
          <w:b/>
          <w:spacing w:val="-3"/>
        </w:rPr>
      </w:pPr>
      <w:r w:rsidRPr="00FD4C6A">
        <w:rPr>
          <w:b/>
          <w:spacing w:val="-3"/>
        </w:rPr>
        <w:t>Inconsistencies with Guidelines in 5 CFR 1320.5(d)(2)</w:t>
      </w:r>
    </w:p>
    <w:p w:rsidR="00DB0904" w:rsidRPr="00FD4C6A" w:rsidRDefault="00DB0904" w:rsidP="00DB0904">
      <w:pPr>
        <w:tabs>
          <w:tab w:val="left" w:pos="-720"/>
        </w:tabs>
        <w:suppressAutoHyphens/>
        <w:spacing w:line="480" w:lineRule="auto"/>
      </w:pPr>
      <w:r w:rsidRPr="00FD4C6A">
        <w:rPr>
          <w:spacing w:val="-3"/>
        </w:rPr>
        <w:tab/>
      </w:r>
      <w:r w:rsidR="007D0A14" w:rsidRPr="00243410">
        <w:rPr>
          <w:color w:val="000000"/>
        </w:rPr>
        <w:t>Not applicable.</w:t>
      </w:r>
    </w:p>
    <w:p w:rsidR="00DB0904" w:rsidRPr="00FD4C6A" w:rsidRDefault="00DB0904" w:rsidP="00DB0904">
      <w:pPr>
        <w:numPr>
          <w:ilvl w:val="0"/>
          <w:numId w:val="2"/>
        </w:numPr>
        <w:tabs>
          <w:tab w:val="left" w:pos="-720"/>
        </w:tabs>
        <w:suppressAutoHyphens/>
        <w:spacing w:line="480" w:lineRule="auto"/>
        <w:rPr>
          <w:b/>
          <w:spacing w:val="-3"/>
        </w:rPr>
      </w:pPr>
      <w:r w:rsidRPr="00FD4C6A">
        <w:rPr>
          <w:b/>
          <w:spacing w:val="-3"/>
        </w:rPr>
        <w:t>Consultations Outside of the Agency</w:t>
      </w:r>
    </w:p>
    <w:p w:rsidR="00DB0904" w:rsidRDefault="00DB0904" w:rsidP="00DB0904">
      <w:pPr>
        <w:tabs>
          <w:tab w:val="left" w:pos="-720"/>
        </w:tabs>
        <w:suppressAutoHyphens/>
        <w:spacing w:line="480" w:lineRule="auto"/>
        <w:rPr>
          <w:spacing w:val="-3"/>
        </w:rPr>
      </w:pPr>
      <w:r w:rsidRPr="00FD4C6A">
        <w:rPr>
          <w:spacing w:val="-3"/>
        </w:rPr>
        <w:tab/>
      </w:r>
      <w:r w:rsidR="00523587" w:rsidRPr="00461286">
        <w:rPr>
          <w:spacing w:val="-3"/>
        </w:rPr>
        <w:t>In its release proposing</w:t>
      </w:r>
      <w:r w:rsidR="005539FC" w:rsidRPr="00461286">
        <w:rPr>
          <w:spacing w:val="-3"/>
        </w:rPr>
        <w:t xml:space="preserve"> new rules and rule</w:t>
      </w:r>
      <w:r w:rsidR="00523587" w:rsidRPr="00461286">
        <w:rPr>
          <w:spacing w:val="-3"/>
        </w:rPr>
        <w:t xml:space="preserve"> amendments to</w:t>
      </w:r>
      <w:r w:rsidR="005539FC" w:rsidRPr="00461286">
        <w:rPr>
          <w:spacing w:val="-3"/>
        </w:rPr>
        <w:t xml:space="preserve"> implement the Dodd-Frank Act</w:t>
      </w:r>
      <w:r w:rsidR="0082507E">
        <w:rPr>
          <w:spacing w:val="-3"/>
        </w:rPr>
        <w:t xml:space="preserve"> (“</w:t>
      </w:r>
      <w:r w:rsidR="0082507E" w:rsidRPr="009B602C">
        <w:t>Proposing Release</w:t>
      </w:r>
      <w:r w:rsidR="0082507E">
        <w:t>”)</w:t>
      </w:r>
      <w:r w:rsidR="00D5283A">
        <w:rPr>
          <w:spacing w:val="-3"/>
        </w:rPr>
        <w:t>, the Commission requested</w:t>
      </w:r>
      <w:r w:rsidR="00523587" w:rsidRPr="00461286">
        <w:rPr>
          <w:spacing w:val="-3"/>
        </w:rPr>
        <w:t xml:space="preserve"> public comment on the effect of</w:t>
      </w:r>
      <w:r w:rsidR="00DE7BC5">
        <w:rPr>
          <w:spacing w:val="-3"/>
        </w:rPr>
        <w:t xml:space="preserve"> the</w:t>
      </w:r>
      <w:r w:rsidR="00523587" w:rsidRPr="00461286">
        <w:rPr>
          <w:spacing w:val="-3"/>
        </w:rPr>
        <w:t xml:space="preserve"> information collection under th</w:t>
      </w:r>
      <w:r w:rsidR="00640231" w:rsidRPr="00461286">
        <w:rPr>
          <w:spacing w:val="-3"/>
        </w:rPr>
        <w:t>is</w:t>
      </w:r>
      <w:r w:rsidR="005539FC" w:rsidRPr="00461286">
        <w:rPr>
          <w:spacing w:val="-3"/>
        </w:rPr>
        <w:t xml:space="preserve"> rule</w:t>
      </w:r>
      <w:r w:rsidR="00523587" w:rsidRPr="00461286">
        <w:rPr>
          <w:spacing w:val="-3"/>
        </w:rPr>
        <w:t xml:space="preserve">.  </w:t>
      </w:r>
      <w:r w:rsidR="00DE7BC5">
        <w:rPr>
          <w:spacing w:val="-3"/>
        </w:rPr>
        <w:t xml:space="preserve">The </w:t>
      </w:r>
      <w:r w:rsidR="00D5283A">
        <w:rPr>
          <w:spacing w:val="-3"/>
        </w:rPr>
        <w:t xml:space="preserve">comments received are discussed below in item 12 in connection with </w:t>
      </w:r>
      <w:r w:rsidR="00573ED0">
        <w:rPr>
          <w:spacing w:val="-3"/>
        </w:rPr>
        <w:t>the</w:t>
      </w:r>
      <w:r w:rsidR="00D5283A">
        <w:rPr>
          <w:spacing w:val="-3"/>
        </w:rPr>
        <w:t xml:space="preserve"> current estimates of the hour burden associated with rule 203A-5.  </w:t>
      </w:r>
      <w:r w:rsidR="00523587" w:rsidRPr="00461286">
        <w:rPr>
          <w:spacing w:val="-3"/>
        </w:rPr>
        <w:t>In addition, t</w:t>
      </w:r>
      <w:r w:rsidRPr="00461286">
        <w:rPr>
          <w:spacing w:val="-3"/>
        </w:rPr>
        <w:t>he Commission and the staff of the Division of Investment Management participate in an ongoing dialogue with representatives of the investment adviser profession through public conferences, meetings, and informal exchanges.  These various forums provide the Commission and the staff with a means of ascertaining and acting upon paperwork burdens facing the industry.</w:t>
      </w:r>
      <w:r w:rsidRPr="00FD4C6A">
        <w:rPr>
          <w:spacing w:val="-3"/>
        </w:rPr>
        <w:t xml:space="preserve">  </w:t>
      </w:r>
    </w:p>
    <w:p w:rsidR="00DB0904" w:rsidRPr="00FD4C6A" w:rsidRDefault="00C60E28" w:rsidP="00DB0904">
      <w:pPr>
        <w:numPr>
          <w:ilvl w:val="0"/>
          <w:numId w:val="2"/>
        </w:numPr>
        <w:tabs>
          <w:tab w:val="left" w:pos="-720"/>
        </w:tabs>
        <w:suppressAutoHyphens/>
        <w:spacing w:line="480" w:lineRule="auto"/>
        <w:rPr>
          <w:b/>
          <w:spacing w:val="-3"/>
        </w:rPr>
      </w:pPr>
      <w:r w:rsidRPr="00FD4C6A">
        <w:rPr>
          <w:b/>
          <w:spacing w:val="-3"/>
        </w:rPr>
        <w:t xml:space="preserve">Payment or </w:t>
      </w:r>
      <w:r w:rsidR="00DB0904" w:rsidRPr="00FD4C6A">
        <w:rPr>
          <w:b/>
          <w:spacing w:val="-3"/>
        </w:rPr>
        <w:t>Gifts to Respondents</w:t>
      </w:r>
    </w:p>
    <w:p w:rsidR="00DB0904" w:rsidRPr="00FD4C6A" w:rsidRDefault="00DB0904" w:rsidP="00DB0904">
      <w:pPr>
        <w:tabs>
          <w:tab w:val="left" w:pos="-720"/>
        </w:tabs>
        <w:suppressAutoHyphens/>
        <w:spacing w:line="480" w:lineRule="auto"/>
        <w:rPr>
          <w:b/>
          <w:spacing w:val="-3"/>
        </w:rPr>
      </w:pPr>
      <w:r w:rsidRPr="00FD4C6A">
        <w:rPr>
          <w:spacing w:val="-3"/>
        </w:rPr>
        <w:tab/>
      </w:r>
      <w:proofErr w:type="gramStart"/>
      <w:r w:rsidRPr="00FD4C6A">
        <w:rPr>
          <w:spacing w:val="-3"/>
        </w:rPr>
        <w:t>None.</w:t>
      </w:r>
      <w:proofErr w:type="gramEnd"/>
    </w:p>
    <w:p w:rsidR="00DB0904" w:rsidRDefault="00DB0904" w:rsidP="00DB0904">
      <w:pPr>
        <w:numPr>
          <w:ilvl w:val="0"/>
          <w:numId w:val="2"/>
        </w:numPr>
        <w:tabs>
          <w:tab w:val="left" w:pos="-720"/>
        </w:tabs>
        <w:suppressAutoHyphens/>
        <w:spacing w:line="480" w:lineRule="auto"/>
        <w:rPr>
          <w:b/>
          <w:spacing w:val="-3"/>
        </w:rPr>
      </w:pPr>
      <w:r w:rsidRPr="00FD4C6A">
        <w:rPr>
          <w:b/>
          <w:spacing w:val="-3"/>
        </w:rPr>
        <w:t>Assurances of Confidentiality</w:t>
      </w:r>
    </w:p>
    <w:p w:rsidR="004E63E4" w:rsidRPr="00FD4C6A" w:rsidRDefault="00B766EB" w:rsidP="004E63E4">
      <w:pPr>
        <w:tabs>
          <w:tab w:val="left" w:pos="-720"/>
        </w:tabs>
        <w:suppressAutoHyphens/>
        <w:spacing w:line="480" w:lineRule="auto"/>
        <w:rPr>
          <w:b/>
          <w:spacing w:val="-3"/>
        </w:rPr>
      </w:pPr>
      <w:r>
        <w:rPr>
          <w:color w:val="000000"/>
        </w:rPr>
        <w:tab/>
      </w:r>
      <w:r w:rsidR="004E63E4" w:rsidRPr="00997489">
        <w:rPr>
          <w:color w:val="000000"/>
        </w:rPr>
        <w:t xml:space="preserve">The information </w:t>
      </w:r>
      <w:r w:rsidR="004E63E4" w:rsidRPr="004E63E4">
        <w:rPr>
          <w:spacing w:val="-3"/>
        </w:rPr>
        <w:t>collected</w:t>
      </w:r>
      <w:r w:rsidR="004E63E4" w:rsidRPr="00997489">
        <w:rPr>
          <w:color w:val="000000"/>
        </w:rPr>
        <w:t xml:space="preserve"> pursuant to</w:t>
      </w:r>
      <w:r w:rsidR="00652191">
        <w:rPr>
          <w:color w:val="000000"/>
        </w:rPr>
        <w:t xml:space="preserve"> rule 203A-5</w:t>
      </w:r>
      <w:r w:rsidR="004E63E4" w:rsidRPr="00997489">
        <w:rPr>
          <w:color w:val="000000"/>
        </w:rPr>
        <w:t xml:space="preserve"> </w:t>
      </w:r>
      <w:r w:rsidR="00D52F6E">
        <w:rPr>
          <w:color w:val="000000"/>
        </w:rPr>
        <w:t>will</w:t>
      </w:r>
      <w:r w:rsidR="00652191">
        <w:rPr>
          <w:color w:val="000000"/>
        </w:rPr>
        <w:t xml:space="preserve"> be</w:t>
      </w:r>
      <w:r w:rsidR="003530B1">
        <w:rPr>
          <w:color w:val="000000"/>
        </w:rPr>
        <w:t xml:space="preserve"> provided</w:t>
      </w:r>
      <w:r w:rsidR="00652191">
        <w:rPr>
          <w:color w:val="000000"/>
        </w:rPr>
        <w:t xml:space="preserve"> </w:t>
      </w:r>
      <w:r w:rsidR="004E63E4" w:rsidRPr="00997489">
        <w:rPr>
          <w:color w:val="000000"/>
        </w:rPr>
        <w:t>through</w:t>
      </w:r>
      <w:r w:rsidR="004952CF">
        <w:rPr>
          <w:color w:val="000000"/>
        </w:rPr>
        <w:t xml:space="preserve"> Form ADV</w:t>
      </w:r>
      <w:r w:rsidR="004E63E4" w:rsidRPr="00997489">
        <w:rPr>
          <w:color w:val="000000"/>
        </w:rPr>
        <w:t xml:space="preserve"> filings with the Commission.  These disclosures are not kept confidential.</w:t>
      </w:r>
    </w:p>
    <w:p w:rsidR="00DB0904" w:rsidRPr="00FD4C6A" w:rsidRDefault="00DB0904" w:rsidP="00DB0904">
      <w:pPr>
        <w:numPr>
          <w:ilvl w:val="0"/>
          <w:numId w:val="2"/>
        </w:numPr>
        <w:tabs>
          <w:tab w:val="left" w:pos="-720"/>
        </w:tabs>
        <w:suppressAutoHyphens/>
        <w:spacing w:line="480" w:lineRule="auto"/>
        <w:rPr>
          <w:b/>
          <w:spacing w:val="-3"/>
        </w:rPr>
      </w:pPr>
      <w:r w:rsidRPr="00FD4C6A">
        <w:rPr>
          <w:b/>
          <w:spacing w:val="-3"/>
        </w:rPr>
        <w:t>Sensitive Questions</w:t>
      </w:r>
    </w:p>
    <w:p w:rsidR="00DB0904" w:rsidRPr="00FD4C6A" w:rsidRDefault="00DB0904" w:rsidP="00DB0904">
      <w:pPr>
        <w:tabs>
          <w:tab w:val="left" w:pos="-720"/>
        </w:tabs>
        <w:suppressAutoHyphens/>
        <w:spacing w:line="480" w:lineRule="auto"/>
        <w:rPr>
          <w:spacing w:val="-3"/>
        </w:rPr>
      </w:pPr>
      <w:r w:rsidRPr="00FD4C6A">
        <w:rPr>
          <w:spacing w:val="-3"/>
        </w:rPr>
        <w:tab/>
        <w:t>Not applicable.</w:t>
      </w:r>
    </w:p>
    <w:p w:rsidR="00DB0904" w:rsidRPr="00FD4C6A" w:rsidRDefault="00DB0904" w:rsidP="00DB0904">
      <w:pPr>
        <w:numPr>
          <w:ilvl w:val="0"/>
          <w:numId w:val="2"/>
        </w:numPr>
        <w:tabs>
          <w:tab w:val="left" w:pos="-720"/>
        </w:tabs>
        <w:suppressAutoHyphens/>
        <w:spacing w:line="480" w:lineRule="auto"/>
        <w:rPr>
          <w:b/>
          <w:spacing w:val="-3"/>
        </w:rPr>
      </w:pPr>
      <w:r w:rsidRPr="00FD4C6A">
        <w:rPr>
          <w:b/>
          <w:spacing w:val="-3"/>
        </w:rPr>
        <w:t>Estimate of Hour Burden</w:t>
      </w:r>
    </w:p>
    <w:p w:rsidR="004503AC" w:rsidRDefault="00073E87" w:rsidP="004503AC">
      <w:pPr>
        <w:tabs>
          <w:tab w:val="left" w:pos="-720"/>
        </w:tabs>
        <w:suppressAutoHyphens/>
        <w:spacing w:line="480" w:lineRule="auto"/>
      </w:pPr>
      <w:r w:rsidRPr="00FD4C6A">
        <w:tab/>
      </w:r>
      <w:r w:rsidR="004503AC" w:rsidRPr="00EF0C0E">
        <w:t xml:space="preserve">We anticipate that the hour burden </w:t>
      </w:r>
      <w:r w:rsidR="004503AC">
        <w:t>to</w:t>
      </w:r>
      <w:r w:rsidR="004503AC" w:rsidRPr="00EF0C0E">
        <w:t xml:space="preserve"> refil</w:t>
      </w:r>
      <w:r w:rsidR="004503AC">
        <w:t>e</w:t>
      </w:r>
      <w:r w:rsidR="004503AC" w:rsidRPr="00EF0C0E">
        <w:t xml:space="preserve"> Form ADV </w:t>
      </w:r>
      <w:r w:rsidR="004503AC">
        <w:t xml:space="preserve">to comply with </w:t>
      </w:r>
      <w:r w:rsidR="004503AC" w:rsidRPr="00EF0C0E">
        <w:t xml:space="preserve">rule 203A-5 </w:t>
      </w:r>
      <w:r w:rsidR="004503AC">
        <w:t>will</w:t>
      </w:r>
      <w:r w:rsidR="004503AC" w:rsidRPr="00EF0C0E">
        <w:t xml:space="preserve"> be </w:t>
      </w:r>
      <w:r w:rsidR="004503AC" w:rsidRPr="00FD4C6A">
        <w:t xml:space="preserve">more like </w:t>
      </w:r>
      <w:r w:rsidR="004503AC">
        <w:t xml:space="preserve">the burden to file </w:t>
      </w:r>
      <w:r w:rsidR="004503AC" w:rsidRPr="00FD4C6A">
        <w:t xml:space="preserve">an annual amendment </w:t>
      </w:r>
      <w:r w:rsidR="004503AC">
        <w:t>than</w:t>
      </w:r>
      <w:r w:rsidR="004503AC" w:rsidRPr="00FD4C6A">
        <w:t xml:space="preserve"> the burden to complete </w:t>
      </w:r>
      <w:proofErr w:type="gramStart"/>
      <w:r w:rsidR="004503AC" w:rsidRPr="00FD4C6A">
        <w:t>an other</w:t>
      </w:r>
      <w:proofErr w:type="gramEnd"/>
      <w:r w:rsidR="004503AC" w:rsidRPr="00FD4C6A">
        <w:t>-than-annual amendment, as a result of our proposed changes to Part 1A.</w:t>
      </w:r>
      <w:r w:rsidR="004503AC">
        <w:t xml:space="preserve">  </w:t>
      </w:r>
      <w:r w:rsidR="004503AC" w:rsidRPr="00FD4C6A">
        <w:t xml:space="preserve">For purposes of calculating the currently approved PRA burden for Form ADV, </w:t>
      </w:r>
      <w:r w:rsidR="004503AC">
        <w:t>Commission staff</w:t>
      </w:r>
      <w:r w:rsidR="004503AC" w:rsidRPr="00FD4C6A">
        <w:t xml:space="preserve"> estimated that an annual updating amendment would take each adviser approximately 6 hours per amendment,</w:t>
      </w:r>
      <w:r w:rsidR="004503AC">
        <w:t xml:space="preserve"> on average</w:t>
      </w:r>
      <w:r w:rsidR="004503AC" w:rsidRPr="00FD4C6A">
        <w:t>.</w:t>
      </w:r>
      <w:r w:rsidR="004503AC" w:rsidRPr="009B602C">
        <w:rPr>
          <w:rStyle w:val="FootnoteReference"/>
        </w:rPr>
        <w:footnoteReference w:id="15"/>
      </w:r>
      <w:r w:rsidR="004503AC" w:rsidRPr="00FD4C6A">
        <w:t xml:space="preserve">  In addition, for purposes of the increased PRA burden for Form ADV, </w:t>
      </w:r>
      <w:r w:rsidR="004503AC">
        <w:t>Commission staff</w:t>
      </w:r>
      <w:r w:rsidR="004503AC" w:rsidRPr="00FD4C6A">
        <w:t xml:space="preserve"> estimate</w:t>
      </w:r>
      <w:r w:rsidR="004503AC">
        <w:t>s</w:t>
      </w:r>
      <w:r w:rsidR="004503AC" w:rsidRPr="00FD4C6A">
        <w:t xml:space="preserve"> that the proposed amendments to Part 1A of Form ADV would take each adviser approximately 4.5 hours, on average, to complete.</w:t>
      </w:r>
      <w:r w:rsidR="004503AC" w:rsidRPr="009B602C">
        <w:rPr>
          <w:rStyle w:val="FootnoteReference"/>
        </w:rPr>
        <w:footnoteReference w:id="16"/>
      </w:r>
      <w:r w:rsidR="004503AC" w:rsidRPr="009B602C">
        <w:t xml:space="preserve">  </w:t>
      </w:r>
      <w:r w:rsidR="004503AC" w:rsidRPr="00FD4C6A">
        <w:t>As a result, we estimate a total average time burden of 10.5 hours for each respondent completing the amendment to Form ADV</w:t>
      </w:r>
      <w:r w:rsidR="004503AC">
        <w:t xml:space="preserve"> </w:t>
      </w:r>
      <w:r w:rsidR="004503AC" w:rsidRPr="00FD4C6A">
        <w:t>(excluding private fund information</w:t>
      </w:r>
      <w:r w:rsidR="004503AC">
        <w:t xml:space="preserve"> which is addressed below).</w:t>
      </w:r>
      <w:r w:rsidR="004503AC" w:rsidRPr="009B602C">
        <w:rPr>
          <w:rStyle w:val="FootnoteReference"/>
        </w:rPr>
        <w:footnoteReference w:id="17"/>
      </w:r>
      <w:r w:rsidR="004503AC">
        <w:t xml:space="preserve">  </w:t>
      </w:r>
    </w:p>
    <w:p w:rsidR="00DB4326" w:rsidRDefault="004503AC" w:rsidP="006C5F18">
      <w:pPr>
        <w:tabs>
          <w:tab w:val="left" w:pos="-720"/>
        </w:tabs>
        <w:suppressAutoHyphens/>
        <w:spacing w:line="480" w:lineRule="auto"/>
      </w:pPr>
      <w:r>
        <w:tab/>
      </w:r>
      <w:r>
        <w:rPr>
          <w:rFonts w:eastAsia="DeVinne"/>
        </w:rPr>
        <w:t>In the Proposing Release, w</w:t>
      </w:r>
      <w:r w:rsidRPr="009B602C">
        <w:rPr>
          <w:rFonts w:eastAsia="DeVinne"/>
        </w:rPr>
        <w:t xml:space="preserve">e estimated that 11,850 advisers would file the </w:t>
      </w:r>
      <w:r>
        <w:rPr>
          <w:rFonts w:eastAsia="DeVinne"/>
        </w:rPr>
        <w:t>F</w:t>
      </w:r>
      <w:r w:rsidRPr="009B602C">
        <w:rPr>
          <w:rFonts w:eastAsia="DeVinne"/>
        </w:rPr>
        <w:t>orm</w:t>
      </w:r>
      <w:r>
        <w:rPr>
          <w:rFonts w:eastAsia="DeVinne"/>
        </w:rPr>
        <w:t>,</w:t>
      </w:r>
      <w:r w:rsidRPr="009B602C">
        <w:rPr>
          <w:rStyle w:val="FootnoteReference"/>
        </w:rPr>
        <w:footnoteReference w:id="18"/>
      </w:r>
      <w:r>
        <w:rPr>
          <w:rFonts w:eastAsia="DeVinne"/>
        </w:rPr>
        <w:t xml:space="preserve"> resulting in a </w:t>
      </w:r>
      <w:r w:rsidRPr="009B602C">
        <w:t xml:space="preserve">total one-time burden </w:t>
      </w:r>
      <w:r>
        <w:t>of 157,775 hours.</w:t>
      </w:r>
      <w:r w:rsidRPr="00FD4C6A">
        <w:rPr>
          <w:rStyle w:val="FootnoteReference"/>
        </w:rPr>
        <w:footnoteReference w:id="19"/>
      </w:r>
      <w:r>
        <w:t xml:space="preserve"> </w:t>
      </w:r>
      <w:r>
        <w:tab/>
      </w:r>
      <w:r w:rsidR="006C5F18" w:rsidRPr="009B602C">
        <w:t>Several commenters expressed general concerns about the</w:t>
      </w:r>
      <w:r w:rsidR="006C5F18">
        <w:t xml:space="preserve"> paperwork</w:t>
      </w:r>
      <w:r w:rsidR="006C5F18" w:rsidRPr="009B602C">
        <w:t xml:space="preserve"> burdens of requiring all advisers to</w:t>
      </w:r>
      <w:r w:rsidR="006C5F18">
        <w:t xml:space="preserve"> make an additional one-time filing of</w:t>
      </w:r>
      <w:r w:rsidR="006C5F18" w:rsidRPr="009B602C">
        <w:t xml:space="preserve"> Form ADV.</w:t>
      </w:r>
      <w:r w:rsidR="006C5F18" w:rsidRPr="009B602C">
        <w:rPr>
          <w:rStyle w:val="FootnoteReference"/>
        </w:rPr>
        <w:footnoteReference w:id="20"/>
      </w:r>
      <w:r w:rsidR="006C5F18" w:rsidRPr="009B602C">
        <w:t xml:space="preserve">  </w:t>
      </w:r>
      <w:proofErr w:type="gramStart"/>
      <w:r w:rsidR="006C5F18" w:rsidRPr="009B602C">
        <w:t>Some</w:t>
      </w:r>
      <w:proofErr w:type="gramEnd"/>
      <w:r w:rsidR="006C5F18" w:rsidRPr="009B602C">
        <w:t xml:space="preserve"> commenters argued that </w:t>
      </w:r>
      <w:r w:rsidR="00BE1EEC">
        <w:t xml:space="preserve">the </w:t>
      </w:r>
      <w:r w:rsidR="00E50FB0">
        <w:t>C</w:t>
      </w:r>
      <w:r w:rsidR="00BE1EEC">
        <w:t>ommission</w:t>
      </w:r>
      <w:r w:rsidR="006C5F18" w:rsidRPr="009B602C">
        <w:t xml:space="preserve"> should decrease the paperwork burden by exempting advisers unaffected by the statutory changes from the Form ADV filing requirement,</w:t>
      </w:r>
      <w:r w:rsidR="006C5F18" w:rsidRPr="009B602C">
        <w:rPr>
          <w:rStyle w:val="FootnoteReference"/>
        </w:rPr>
        <w:footnoteReference w:id="21"/>
      </w:r>
      <w:r w:rsidR="006C5F18" w:rsidRPr="009B602C">
        <w:t xml:space="preserve"> or only requiring advisers to report their assets under management.</w:t>
      </w:r>
      <w:r w:rsidR="006C5F18" w:rsidRPr="009B602C">
        <w:rPr>
          <w:rStyle w:val="FootnoteReference"/>
        </w:rPr>
        <w:footnoteReference w:id="22"/>
      </w:r>
      <w:r w:rsidR="006C5F18" w:rsidRPr="009B602C">
        <w:t xml:space="preserve">  </w:t>
      </w:r>
      <w:r w:rsidR="006C5F18">
        <w:t xml:space="preserve">Several commenters agreed with </w:t>
      </w:r>
      <w:r w:rsidR="00DC6C61">
        <w:t>the Commission</w:t>
      </w:r>
      <w:r w:rsidR="006C5F18">
        <w:t xml:space="preserve"> that the transition should be delayed until the IARD is able to accept filings of reviewed Form ADV, instead of implementing an alternative, </w:t>
      </w:r>
      <w:r w:rsidR="006C5F18" w:rsidRPr="009B602C">
        <w:t>such as requiring interim paper filings</w:t>
      </w:r>
      <w:r w:rsidR="006C5F18">
        <w:t xml:space="preserve"> that</w:t>
      </w:r>
      <w:r w:rsidR="006C5F18" w:rsidRPr="009B602C">
        <w:t xml:space="preserve"> would </w:t>
      </w:r>
      <w:r w:rsidR="006C5F18">
        <w:t>increase</w:t>
      </w:r>
      <w:r w:rsidR="006C5F18" w:rsidRPr="009B602C">
        <w:t xml:space="preserve"> the paperwork burdens</w:t>
      </w:r>
      <w:r w:rsidR="006C5F18">
        <w:t>.</w:t>
      </w:r>
      <w:bookmarkStart w:id="5" w:name="_Ref292882264"/>
      <w:r w:rsidR="006C5F18" w:rsidRPr="009B602C">
        <w:rPr>
          <w:rStyle w:val="FootnoteReference"/>
        </w:rPr>
        <w:footnoteReference w:id="23"/>
      </w:r>
      <w:bookmarkEnd w:id="5"/>
      <w:r w:rsidR="006C5F18" w:rsidRPr="009B602C">
        <w:t xml:space="preserve"> </w:t>
      </w:r>
    </w:p>
    <w:p w:rsidR="00987BC0" w:rsidRDefault="00DB4326" w:rsidP="00073E87">
      <w:pPr>
        <w:tabs>
          <w:tab w:val="left" w:pos="-720"/>
        </w:tabs>
        <w:suppressAutoHyphens/>
        <w:spacing w:line="480" w:lineRule="auto"/>
        <w:rPr>
          <w:rFonts w:eastAsia="DeVinne"/>
        </w:rPr>
      </w:pPr>
      <w:r>
        <w:tab/>
      </w:r>
      <w:r w:rsidR="00133494">
        <w:t>Delaying</w:t>
      </w:r>
      <w:r w:rsidR="006C5F18" w:rsidRPr="009B602C">
        <w:t xml:space="preserve"> the deadline </w:t>
      </w:r>
      <w:r w:rsidR="006C5F18">
        <w:t xml:space="preserve">under rule 203A-5 </w:t>
      </w:r>
      <w:r w:rsidR="006C5F18" w:rsidRPr="009B602C">
        <w:t>for</w:t>
      </w:r>
      <w:r w:rsidR="006C5F18">
        <w:t xml:space="preserve"> advisers to re-file amended </w:t>
      </w:r>
      <w:r w:rsidR="006C5F18" w:rsidRPr="009B602C">
        <w:t xml:space="preserve">Form ADV </w:t>
      </w:r>
      <w:r w:rsidR="00133494">
        <w:t>until</w:t>
      </w:r>
      <w:r w:rsidR="006C5F18" w:rsidRPr="009B602C">
        <w:t xml:space="preserve"> March 30, 2012, which coincides with most advisers’ required annual updating amendment, significantly reduces the paperwork burden of rule 203A-5 by eliminating the requirement that these advisers incur the costs </w:t>
      </w:r>
      <w:r w:rsidR="006C5F18">
        <w:t>associated with a special one-time filing requirement for most registered advisers</w:t>
      </w:r>
      <w:r w:rsidR="006C5F18" w:rsidRPr="009B602C">
        <w:t>.</w:t>
      </w:r>
      <w:bookmarkStart w:id="6" w:name="_Ref290983559"/>
      <w:r w:rsidR="006C5F18" w:rsidRPr="009B602C">
        <w:rPr>
          <w:rStyle w:val="FootnoteReference"/>
        </w:rPr>
        <w:footnoteReference w:id="24"/>
      </w:r>
      <w:bookmarkEnd w:id="6"/>
      <w:r w:rsidR="006C5F18" w:rsidRPr="009B602C">
        <w:t xml:space="preserve">  This deadline also coincide</w:t>
      </w:r>
      <w:r w:rsidR="006C5F18">
        <w:t>s</w:t>
      </w:r>
      <w:r w:rsidR="006C5F18" w:rsidRPr="009B602C">
        <w:t xml:space="preserve"> with the filing deadline for newly registering private fund advisers, </w:t>
      </w:r>
      <w:r w:rsidR="006C5F18">
        <w:t xml:space="preserve">which, as one commenter points out results in </w:t>
      </w:r>
      <w:r w:rsidR="006C5F18" w:rsidRPr="009B602C">
        <w:t xml:space="preserve">“a single, comprehensive Form ADV filing to register with </w:t>
      </w:r>
      <w:r w:rsidR="006C5F18" w:rsidRPr="001B6D98">
        <w:t>the Commission” instead of requiring two filings that “would be costly, inefficient and potentially confusing.”</w:t>
      </w:r>
      <w:r w:rsidR="006C5F18" w:rsidRPr="001B6D98">
        <w:rPr>
          <w:rStyle w:val="FootnoteReference"/>
        </w:rPr>
        <w:footnoteReference w:id="25"/>
      </w:r>
      <w:r w:rsidR="007F0EDF">
        <w:t xml:space="preserve">  As a result, </w:t>
      </w:r>
      <w:r w:rsidR="005831EE" w:rsidRPr="009B602C">
        <w:rPr>
          <w:rFonts w:eastAsia="DeVinne"/>
        </w:rPr>
        <w:t xml:space="preserve">approximately </w:t>
      </w:r>
      <w:r w:rsidR="005831EE">
        <w:rPr>
          <w:rFonts w:eastAsia="DeVinne"/>
        </w:rPr>
        <w:t>7,</w:t>
      </w:r>
      <w:r w:rsidR="002F1809">
        <w:rPr>
          <w:rFonts w:eastAsia="DeVinne"/>
        </w:rPr>
        <w:t>6</w:t>
      </w:r>
      <w:r w:rsidR="005831EE">
        <w:rPr>
          <w:rFonts w:eastAsia="DeVinne"/>
        </w:rPr>
        <w:t>00</w:t>
      </w:r>
      <w:r w:rsidR="005831EE" w:rsidRPr="009B602C">
        <w:rPr>
          <w:rFonts w:eastAsia="DeVinne"/>
        </w:rPr>
        <w:t xml:space="preserve"> advisers</w:t>
      </w:r>
      <w:r w:rsidR="005831EE">
        <w:rPr>
          <w:rFonts w:eastAsia="DeVinne"/>
        </w:rPr>
        <w:t xml:space="preserve"> </w:t>
      </w:r>
      <w:r w:rsidR="007F0EDF">
        <w:rPr>
          <w:rFonts w:eastAsia="DeVinne"/>
        </w:rPr>
        <w:t xml:space="preserve">that </w:t>
      </w:r>
      <w:r w:rsidR="005831EE">
        <w:rPr>
          <w:rFonts w:eastAsia="DeVinne"/>
        </w:rPr>
        <w:t>will remain registered with the SEC after the transition</w:t>
      </w:r>
      <w:r w:rsidR="005831EE" w:rsidRPr="009B602C">
        <w:rPr>
          <w:rFonts w:eastAsia="DeVinne"/>
        </w:rPr>
        <w:t xml:space="preserve"> will satisfy the Form ADV filing requirement by filing their annual amendment following their fiscal year ending on December 31, 2011</w:t>
      </w:r>
      <w:bookmarkStart w:id="7" w:name="_Ref294179762"/>
      <w:bookmarkStart w:id="8" w:name="_Ref292178402"/>
      <w:r w:rsidR="00900955">
        <w:rPr>
          <w:rFonts w:eastAsia="DeVinne"/>
        </w:rPr>
        <w:t>,</w:t>
      </w:r>
      <w:bookmarkEnd w:id="7"/>
      <w:bookmarkEnd w:id="8"/>
      <w:r w:rsidR="00900955">
        <w:rPr>
          <w:rFonts w:eastAsia="DeVinne"/>
        </w:rPr>
        <w:t xml:space="preserve"> which </w:t>
      </w:r>
      <w:r w:rsidR="005831EE" w:rsidRPr="009B602C">
        <w:rPr>
          <w:rFonts w:eastAsia="DeVinne"/>
        </w:rPr>
        <w:t xml:space="preserve">reduces the number of advisers that will file an additional Form ADV </w:t>
      </w:r>
      <w:r w:rsidR="005831EE">
        <w:rPr>
          <w:rFonts w:eastAsia="DeVinne"/>
        </w:rPr>
        <w:t xml:space="preserve">attributable </w:t>
      </w:r>
      <w:r w:rsidR="005831EE" w:rsidRPr="009B602C">
        <w:rPr>
          <w:rFonts w:eastAsia="DeVinne"/>
        </w:rPr>
        <w:t>to rule</w:t>
      </w:r>
      <w:r w:rsidR="005831EE">
        <w:rPr>
          <w:rFonts w:eastAsia="DeVinne"/>
        </w:rPr>
        <w:t xml:space="preserve"> 203A-5</w:t>
      </w:r>
      <w:r w:rsidR="005831EE" w:rsidRPr="009B602C">
        <w:rPr>
          <w:rFonts w:eastAsia="DeVinne"/>
        </w:rPr>
        <w:t xml:space="preserve"> to approximately </w:t>
      </w:r>
      <w:bookmarkStart w:id="9" w:name="_Ref290995196"/>
      <w:r w:rsidR="00A82329">
        <w:rPr>
          <w:rFonts w:eastAsia="DeVinne"/>
        </w:rPr>
        <w:t>3,900</w:t>
      </w:r>
      <w:r w:rsidR="004503AC">
        <w:rPr>
          <w:rFonts w:eastAsia="DeVinne"/>
        </w:rPr>
        <w:t>,</w:t>
      </w:r>
      <w:bookmarkStart w:id="10" w:name="_Ref296075821"/>
      <w:r w:rsidR="00900955" w:rsidRPr="00FD4C6A">
        <w:rPr>
          <w:rStyle w:val="FootnoteReference"/>
        </w:rPr>
        <w:footnoteReference w:id="26"/>
      </w:r>
      <w:bookmarkEnd w:id="9"/>
      <w:bookmarkEnd w:id="10"/>
      <w:r w:rsidR="004503AC">
        <w:rPr>
          <w:rFonts w:eastAsia="DeVinne"/>
        </w:rPr>
        <w:t xml:space="preserve"> </w:t>
      </w:r>
      <w:r w:rsidR="004503AC">
        <w:t xml:space="preserve">for a total of </w:t>
      </w:r>
      <w:r w:rsidR="00C7559C">
        <w:t>40,950</w:t>
      </w:r>
      <w:r w:rsidR="004503AC">
        <w:t xml:space="preserve"> hours.</w:t>
      </w:r>
      <w:r w:rsidR="004503AC" w:rsidRPr="00FD4C6A">
        <w:rPr>
          <w:rStyle w:val="FootnoteReference"/>
        </w:rPr>
        <w:footnoteReference w:id="27"/>
      </w:r>
      <w:r w:rsidR="004503AC">
        <w:t xml:space="preserve">  </w:t>
      </w:r>
      <w:r w:rsidR="004503AC" w:rsidRPr="009B602C">
        <w:t xml:space="preserve">In addition, of these </w:t>
      </w:r>
      <w:r w:rsidR="00523CC2">
        <w:t>3,900</w:t>
      </w:r>
      <w:r w:rsidR="004503AC" w:rsidRPr="009B602C">
        <w:t xml:space="preserve"> registered advisers, we estimate that 850 advise one or more private funds and will have to complete the private fund reporting requirements.</w:t>
      </w:r>
      <w:r w:rsidR="004503AC" w:rsidRPr="009B602C">
        <w:rPr>
          <w:rStyle w:val="FootnoteReference"/>
        </w:rPr>
        <w:footnoteReference w:id="28"/>
      </w:r>
      <w:r w:rsidR="004503AC" w:rsidRPr="009B602C">
        <w:t xml:space="preserve">  We expect this will take </w:t>
      </w:r>
      <w:r w:rsidR="004503AC">
        <w:t>8,373</w:t>
      </w:r>
      <w:r w:rsidR="004503AC" w:rsidRPr="009B602C">
        <w:t xml:space="preserve"> hours,</w:t>
      </w:r>
      <w:r w:rsidR="004503AC">
        <w:t xml:space="preserve"> in the aggregate.</w:t>
      </w:r>
      <w:r w:rsidR="004503AC" w:rsidRPr="009B602C">
        <w:rPr>
          <w:rStyle w:val="FootnoteReference"/>
        </w:rPr>
        <w:footnoteReference w:id="29"/>
      </w:r>
      <w:r w:rsidR="004503AC">
        <w:t xml:space="preserve">  W</w:t>
      </w:r>
      <w:r w:rsidR="004503AC" w:rsidRPr="009B602C">
        <w:t xml:space="preserve">e estimate that the total one-time burden for completing the Form ADV amendments to be </w:t>
      </w:r>
      <w:r w:rsidR="00523CC2">
        <w:t>49,323</w:t>
      </w:r>
      <w:r w:rsidR="004503AC" w:rsidRPr="009B602C">
        <w:t xml:space="preserve"> hours</w:t>
      </w:r>
      <w:r w:rsidR="004503AC">
        <w:t>.</w:t>
      </w:r>
      <w:bookmarkStart w:id="11" w:name="_Ref293932819"/>
      <w:r w:rsidR="004503AC" w:rsidRPr="009B602C">
        <w:rPr>
          <w:rStyle w:val="FootnoteReference"/>
        </w:rPr>
        <w:footnoteReference w:id="30"/>
      </w:r>
      <w:bookmarkEnd w:id="11"/>
      <w:r w:rsidR="005831EE" w:rsidRPr="009B602C">
        <w:rPr>
          <w:rFonts w:eastAsia="DeVinne"/>
        </w:rPr>
        <w:t xml:space="preserve">  </w:t>
      </w:r>
    </w:p>
    <w:p w:rsidR="00304885" w:rsidRPr="009B602C" w:rsidRDefault="009E09B9" w:rsidP="004503AC">
      <w:pPr>
        <w:tabs>
          <w:tab w:val="left" w:pos="-720"/>
        </w:tabs>
        <w:suppressAutoHyphens/>
        <w:spacing w:line="480" w:lineRule="auto"/>
      </w:pPr>
      <w:r>
        <w:tab/>
      </w:r>
      <w:r w:rsidR="00DD0091" w:rsidRPr="00DD0091">
        <w:t>We anticipate</w:t>
      </w:r>
      <w:r w:rsidR="00DD0091">
        <w:t xml:space="preserve"> that completing this filing would </w:t>
      </w:r>
      <w:r w:rsidR="00DD0091" w:rsidRPr="00DD0091">
        <w:t>most likely be equally allocated between a senior compliance examiner and a compliance manager</w:t>
      </w:r>
      <w:r w:rsidR="00714A30">
        <w:t>, at an hourly rate of $</w:t>
      </w:r>
      <w:r w:rsidR="00F62E48">
        <w:t>235</w:t>
      </w:r>
      <w:r w:rsidR="00714A30">
        <w:t xml:space="preserve"> and $</w:t>
      </w:r>
      <w:r w:rsidR="00F62E48">
        <w:t>273</w:t>
      </w:r>
      <w:r w:rsidR="00714A30">
        <w:t xml:space="preserve"> per hour, respectively</w:t>
      </w:r>
      <w:r w:rsidR="00DD0091" w:rsidRPr="00DD0091">
        <w:t>.</w:t>
      </w:r>
      <w:bookmarkStart w:id="12" w:name="_Ref279680672"/>
      <w:r w:rsidR="009B5370" w:rsidRPr="00FD4C6A">
        <w:rPr>
          <w:rStyle w:val="FootnoteReference"/>
        </w:rPr>
        <w:footnoteReference w:id="31"/>
      </w:r>
      <w:bookmarkEnd w:id="12"/>
      <w:r w:rsidR="00DD0091" w:rsidRPr="00DD0091">
        <w:t xml:space="preserve">  </w:t>
      </w:r>
      <w:r w:rsidR="00EF654D" w:rsidRPr="00DD0091">
        <w:t>We estimate that</w:t>
      </w:r>
      <w:r w:rsidR="00EF654D" w:rsidRPr="00FD4C6A">
        <w:t xml:space="preserve"> each </w:t>
      </w:r>
      <w:r w:rsidR="00EF654D" w:rsidRPr="00FD4C6A">
        <w:rPr>
          <w:rFonts w:eastAsia="DeVinne"/>
        </w:rPr>
        <w:t xml:space="preserve">adviser would incur average costs of approximately </w:t>
      </w:r>
      <w:r w:rsidR="00C4781B" w:rsidRPr="009B602C">
        <w:rPr>
          <w:rFonts w:eastAsia="DeVinne"/>
        </w:rPr>
        <w:t>$2,667</w:t>
      </w:r>
      <w:r w:rsidR="00DA3D9F">
        <w:rPr>
          <w:rFonts w:eastAsia="DeVinne"/>
        </w:rPr>
        <w:t xml:space="preserve"> </w:t>
      </w:r>
      <w:r w:rsidR="00E5365A">
        <w:rPr>
          <w:rFonts w:eastAsia="DeVinne"/>
        </w:rPr>
        <w:t>to complete the Form ADV amendment excluding private fund information</w:t>
      </w:r>
      <w:r w:rsidR="00EF654D" w:rsidRPr="00FD4C6A">
        <w:rPr>
          <w:rFonts w:eastAsia="DeVinne"/>
        </w:rPr>
        <w:t>,</w:t>
      </w:r>
      <w:bookmarkStart w:id="13" w:name="_Ref274911193"/>
      <w:r w:rsidR="00EF654D" w:rsidRPr="00FD4C6A">
        <w:rPr>
          <w:rStyle w:val="FootnoteReference"/>
        </w:rPr>
        <w:footnoteReference w:id="32"/>
      </w:r>
      <w:bookmarkEnd w:id="13"/>
      <w:r w:rsidR="00EF654D" w:rsidRPr="00FD4C6A">
        <w:rPr>
          <w:rFonts w:eastAsia="DeVinne"/>
        </w:rPr>
        <w:t xml:space="preserve"> for a total </w:t>
      </w:r>
      <w:r w:rsidR="00EF654D" w:rsidRPr="00FD4C6A">
        <w:t>aggregate</w:t>
      </w:r>
      <w:r w:rsidR="00940F8D">
        <w:t xml:space="preserve"> cost</w:t>
      </w:r>
      <w:r w:rsidR="00EF654D" w:rsidRPr="00FD4C6A">
        <w:t xml:space="preserve"> of </w:t>
      </w:r>
      <w:r w:rsidR="00EC6781">
        <w:t>10,401,300</w:t>
      </w:r>
      <w:r w:rsidR="00EF654D" w:rsidRPr="00FD4C6A">
        <w:t>.</w:t>
      </w:r>
      <w:r w:rsidR="00EF654D" w:rsidRPr="00FD4C6A">
        <w:rPr>
          <w:rStyle w:val="FootnoteReference"/>
        </w:rPr>
        <w:footnoteReference w:id="33"/>
      </w:r>
      <w:r w:rsidR="00EF654D" w:rsidRPr="00FD4C6A">
        <w:t xml:space="preserve">  </w:t>
      </w:r>
      <w:r w:rsidR="00854C58">
        <w:t>Additionally</w:t>
      </w:r>
      <w:r w:rsidR="00EF654D" w:rsidRPr="00FD4C6A">
        <w:t xml:space="preserve">, </w:t>
      </w:r>
      <w:r w:rsidR="00940F8D">
        <w:t xml:space="preserve">we estimate the total aggregate cost for advisers to </w:t>
      </w:r>
      <w:r w:rsidR="00EF654D" w:rsidRPr="00FD4C6A">
        <w:t>complete the private fund reporting requirements</w:t>
      </w:r>
      <w:r w:rsidR="00EC1EE2">
        <w:t xml:space="preserve"> </w:t>
      </w:r>
      <w:r w:rsidR="00862A74">
        <w:t xml:space="preserve">would be </w:t>
      </w:r>
      <w:r w:rsidR="007B6225" w:rsidRPr="009B602C">
        <w:t>$2,</w:t>
      </w:r>
      <w:r w:rsidR="007B6225">
        <w:t>126,742,</w:t>
      </w:r>
      <w:r w:rsidR="007B6225" w:rsidRPr="009B602C">
        <w:rPr>
          <w:rStyle w:val="FootnoteReference"/>
        </w:rPr>
        <w:footnoteReference w:id="34"/>
      </w:r>
      <w:r w:rsidR="007B6225">
        <w:t xml:space="preserve"> </w:t>
      </w:r>
      <w:r w:rsidR="00FC001A">
        <w:t xml:space="preserve">resulting in </w:t>
      </w:r>
      <w:r w:rsidR="00EF654D" w:rsidRPr="00FD4C6A">
        <w:t>total</w:t>
      </w:r>
      <w:r w:rsidR="00FC001A">
        <w:t xml:space="preserve"> one-time</w:t>
      </w:r>
      <w:r w:rsidR="00EF654D" w:rsidRPr="00FD4C6A">
        <w:t xml:space="preserve"> costs</w:t>
      </w:r>
      <w:r w:rsidR="00FC001A">
        <w:t xml:space="preserve"> of approximately</w:t>
      </w:r>
      <w:r w:rsidR="00EF654D" w:rsidRPr="00FD4C6A">
        <w:t xml:space="preserve"> </w:t>
      </w:r>
      <w:r w:rsidR="00304885" w:rsidRPr="009B602C">
        <w:t>$</w:t>
      </w:r>
      <w:r w:rsidR="00EC6781">
        <w:t>12,528,042</w:t>
      </w:r>
      <w:r w:rsidR="00304885" w:rsidRPr="009B602C">
        <w:t>.</w:t>
      </w:r>
      <w:bookmarkStart w:id="14" w:name="_Ref291836360"/>
      <w:r w:rsidR="00304885" w:rsidRPr="009B602C">
        <w:rPr>
          <w:rStyle w:val="FootnoteReference"/>
        </w:rPr>
        <w:footnoteReference w:id="35"/>
      </w:r>
      <w:bookmarkEnd w:id="14"/>
    </w:p>
    <w:p w:rsidR="00DB0904" w:rsidRPr="00FD4C6A" w:rsidRDefault="00DB0904" w:rsidP="00DB0904">
      <w:pPr>
        <w:numPr>
          <w:ilvl w:val="0"/>
          <w:numId w:val="2"/>
        </w:numPr>
        <w:tabs>
          <w:tab w:val="left" w:pos="-720"/>
        </w:tabs>
        <w:suppressAutoHyphens/>
        <w:spacing w:line="480" w:lineRule="auto"/>
        <w:rPr>
          <w:b/>
          <w:spacing w:val="-3"/>
        </w:rPr>
      </w:pPr>
      <w:r w:rsidRPr="00FD4C6A">
        <w:rPr>
          <w:b/>
          <w:spacing w:val="-3"/>
        </w:rPr>
        <w:t>Estimate of Total Annual Cost Burden</w:t>
      </w:r>
    </w:p>
    <w:p w:rsidR="00925E07" w:rsidRPr="0032326D" w:rsidRDefault="008550F8" w:rsidP="0032326D">
      <w:pPr>
        <w:tabs>
          <w:tab w:val="left" w:pos="-720"/>
        </w:tabs>
        <w:suppressAutoHyphens/>
        <w:spacing w:line="480" w:lineRule="auto"/>
        <w:ind w:left="720"/>
        <w:rPr>
          <w:b/>
          <w:spacing w:val="-3"/>
        </w:rPr>
      </w:pPr>
      <w:r w:rsidRPr="00FD4C6A">
        <w:tab/>
      </w:r>
      <w:proofErr w:type="gramStart"/>
      <w:r w:rsidR="00497046">
        <w:rPr>
          <w:spacing w:val="-3"/>
        </w:rPr>
        <w:t>$0.</w:t>
      </w:r>
      <w:proofErr w:type="gramEnd"/>
    </w:p>
    <w:p w:rsidR="00DB0904" w:rsidRPr="00FD4C6A" w:rsidRDefault="00DB0904" w:rsidP="00DB0904">
      <w:pPr>
        <w:numPr>
          <w:ilvl w:val="0"/>
          <w:numId w:val="2"/>
        </w:numPr>
        <w:tabs>
          <w:tab w:val="left" w:pos="-720"/>
        </w:tabs>
        <w:suppressAutoHyphens/>
        <w:spacing w:line="480" w:lineRule="auto"/>
        <w:rPr>
          <w:b/>
          <w:spacing w:val="-3"/>
        </w:rPr>
      </w:pPr>
      <w:r w:rsidRPr="00FD4C6A">
        <w:rPr>
          <w:b/>
          <w:spacing w:val="-3"/>
        </w:rPr>
        <w:t>Estimate of Cost to the Federal Government</w:t>
      </w:r>
    </w:p>
    <w:p w:rsidR="00DB0904" w:rsidRPr="00413183" w:rsidRDefault="00DB0904" w:rsidP="00413183">
      <w:pPr>
        <w:tabs>
          <w:tab w:val="left" w:pos="-720"/>
        </w:tabs>
        <w:suppressAutoHyphens/>
        <w:spacing w:line="480" w:lineRule="auto"/>
        <w:ind w:left="720"/>
        <w:rPr>
          <w:b/>
          <w:spacing w:val="-3"/>
        </w:rPr>
      </w:pPr>
      <w:r w:rsidRPr="00FD4C6A">
        <w:rPr>
          <w:spacing w:val="-3"/>
        </w:rPr>
        <w:tab/>
      </w:r>
      <w:proofErr w:type="gramStart"/>
      <w:r w:rsidR="00497046">
        <w:rPr>
          <w:spacing w:val="-3"/>
        </w:rPr>
        <w:t>$0.</w:t>
      </w:r>
      <w:proofErr w:type="gramEnd"/>
      <w:r w:rsidR="006F73A6" w:rsidRPr="00FD4C6A">
        <w:t xml:space="preserve">  </w:t>
      </w:r>
      <w:r w:rsidRPr="00FD4C6A">
        <w:rPr>
          <w:spacing w:val="-3"/>
        </w:rPr>
        <w:t xml:space="preserve"> </w:t>
      </w:r>
    </w:p>
    <w:p w:rsidR="00DB0904" w:rsidRPr="00FD4C6A" w:rsidRDefault="00DB0904" w:rsidP="00DB0904">
      <w:pPr>
        <w:numPr>
          <w:ilvl w:val="0"/>
          <w:numId w:val="2"/>
        </w:numPr>
        <w:tabs>
          <w:tab w:val="left" w:pos="-720"/>
        </w:tabs>
        <w:suppressAutoHyphens/>
        <w:spacing w:line="480" w:lineRule="auto"/>
        <w:rPr>
          <w:b/>
          <w:spacing w:val="-3"/>
        </w:rPr>
      </w:pPr>
      <w:r w:rsidRPr="00FD4C6A">
        <w:rPr>
          <w:b/>
          <w:spacing w:val="-3"/>
        </w:rPr>
        <w:t>Explanation of Changes in Burden</w:t>
      </w:r>
    </w:p>
    <w:p w:rsidR="00804A88" w:rsidRDefault="00925E07" w:rsidP="000F5261">
      <w:pPr>
        <w:spacing w:line="480" w:lineRule="auto"/>
      </w:pPr>
      <w:r w:rsidRPr="00FD4C6A">
        <w:rPr>
          <w:b/>
          <w:spacing w:val="-3"/>
        </w:rPr>
        <w:tab/>
      </w:r>
      <w:r w:rsidR="00A1061F">
        <w:t xml:space="preserve">We have decreased the one-time total burden we established, and requested comment on, in the Proposing Release from </w:t>
      </w:r>
      <w:r w:rsidR="00F549E7">
        <w:t>157,775 hours</w:t>
      </w:r>
      <w:r w:rsidR="00666A57">
        <w:t xml:space="preserve"> </w:t>
      </w:r>
      <w:r w:rsidR="00A1061F">
        <w:t>to</w:t>
      </w:r>
      <w:r w:rsidR="002E55B1">
        <w:t xml:space="preserve"> </w:t>
      </w:r>
      <w:r w:rsidR="00A70703">
        <w:t>49,323</w:t>
      </w:r>
      <w:r w:rsidR="002E55B1" w:rsidRPr="009B602C">
        <w:t xml:space="preserve"> hours</w:t>
      </w:r>
      <w:r w:rsidR="00A1061F">
        <w:t xml:space="preserve"> based </w:t>
      </w:r>
      <w:r w:rsidR="00666A57">
        <w:t xml:space="preserve">on a lower estimated </w:t>
      </w:r>
      <w:r w:rsidR="0008753A">
        <w:t xml:space="preserve">number of </w:t>
      </w:r>
      <w:r w:rsidR="00666A57">
        <w:t>advisers that will refile Form ADV to comply with rule 203A-5, as adopted</w:t>
      </w:r>
      <w:r w:rsidR="00804A88">
        <w:t xml:space="preserve">. </w:t>
      </w:r>
    </w:p>
    <w:p w:rsidR="000F5261" w:rsidRDefault="000F5261" w:rsidP="000F5261">
      <w:pPr>
        <w:spacing w:line="480" w:lineRule="auto"/>
      </w:pPr>
    </w:p>
    <w:p w:rsidR="000F5261" w:rsidRDefault="000F5261" w:rsidP="000F5261">
      <w:pPr>
        <w:spacing w:line="480" w:lineRule="auto"/>
      </w:pPr>
    </w:p>
    <w:p w:rsidR="00DB0904" w:rsidRPr="00FD4C6A" w:rsidRDefault="00DB0904" w:rsidP="00870C54">
      <w:pPr>
        <w:numPr>
          <w:ilvl w:val="0"/>
          <w:numId w:val="2"/>
        </w:numPr>
        <w:tabs>
          <w:tab w:val="left" w:pos="-720"/>
        </w:tabs>
        <w:suppressAutoHyphens/>
        <w:spacing w:line="480" w:lineRule="auto"/>
        <w:rPr>
          <w:b/>
          <w:spacing w:val="-3"/>
        </w:rPr>
      </w:pPr>
      <w:r w:rsidRPr="00FD4C6A">
        <w:rPr>
          <w:b/>
          <w:spacing w:val="-3"/>
        </w:rPr>
        <w:t>Information Collections Planned for Statistical Purposes</w:t>
      </w:r>
    </w:p>
    <w:p w:rsidR="00DB0904" w:rsidRPr="00FD4C6A" w:rsidRDefault="00DB0904" w:rsidP="00870C54">
      <w:pPr>
        <w:tabs>
          <w:tab w:val="left" w:pos="-720"/>
        </w:tabs>
        <w:suppressAutoHyphens/>
        <w:spacing w:line="480" w:lineRule="auto"/>
        <w:rPr>
          <w:spacing w:val="-3"/>
        </w:rPr>
      </w:pPr>
      <w:r w:rsidRPr="00FD4C6A">
        <w:rPr>
          <w:spacing w:val="-3"/>
        </w:rPr>
        <w:tab/>
        <w:t>Not applicable.</w:t>
      </w:r>
    </w:p>
    <w:p w:rsidR="00DB0904" w:rsidRPr="00FD4C6A" w:rsidRDefault="00DB0904" w:rsidP="00DB0904">
      <w:pPr>
        <w:numPr>
          <w:ilvl w:val="0"/>
          <w:numId w:val="2"/>
        </w:numPr>
        <w:tabs>
          <w:tab w:val="left" w:pos="-720"/>
        </w:tabs>
        <w:suppressAutoHyphens/>
        <w:spacing w:line="480" w:lineRule="auto"/>
        <w:rPr>
          <w:b/>
          <w:spacing w:val="-3"/>
        </w:rPr>
      </w:pPr>
      <w:r w:rsidRPr="00FD4C6A">
        <w:rPr>
          <w:b/>
          <w:spacing w:val="-3"/>
        </w:rPr>
        <w:t>Approval to Display Expiration Date</w:t>
      </w:r>
    </w:p>
    <w:p w:rsidR="00DB0904" w:rsidRPr="00FD4C6A" w:rsidRDefault="00DB0904" w:rsidP="00DB0904">
      <w:pPr>
        <w:tabs>
          <w:tab w:val="left" w:pos="-720"/>
        </w:tabs>
        <w:suppressAutoHyphens/>
        <w:spacing w:line="480" w:lineRule="auto"/>
        <w:rPr>
          <w:b/>
          <w:spacing w:val="-3"/>
        </w:rPr>
      </w:pPr>
      <w:r w:rsidRPr="00FD4C6A">
        <w:rPr>
          <w:spacing w:val="-3"/>
        </w:rPr>
        <w:tab/>
        <w:t>Not applicable.</w:t>
      </w:r>
    </w:p>
    <w:p w:rsidR="00DB0904" w:rsidRPr="00FD4C6A" w:rsidRDefault="00DB0904" w:rsidP="00DB0904">
      <w:pPr>
        <w:numPr>
          <w:ilvl w:val="0"/>
          <w:numId w:val="2"/>
        </w:numPr>
        <w:tabs>
          <w:tab w:val="left" w:pos="-720"/>
        </w:tabs>
        <w:suppressAutoHyphens/>
        <w:spacing w:line="480" w:lineRule="auto"/>
        <w:rPr>
          <w:b/>
          <w:spacing w:val="-3"/>
        </w:rPr>
      </w:pPr>
      <w:r w:rsidRPr="00FD4C6A">
        <w:rPr>
          <w:b/>
          <w:spacing w:val="-3"/>
        </w:rPr>
        <w:t>Exception to Certification Requirement</w:t>
      </w:r>
    </w:p>
    <w:p w:rsidR="00DB0904" w:rsidRPr="00FD4C6A" w:rsidRDefault="00DB0904" w:rsidP="00DB0904">
      <w:pPr>
        <w:tabs>
          <w:tab w:val="left" w:pos="-720"/>
        </w:tabs>
        <w:suppressAutoHyphens/>
        <w:spacing w:line="480" w:lineRule="auto"/>
        <w:rPr>
          <w:b/>
          <w:spacing w:val="-3"/>
        </w:rPr>
      </w:pPr>
      <w:r w:rsidRPr="00FD4C6A">
        <w:rPr>
          <w:spacing w:val="-3"/>
        </w:rPr>
        <w:tab/>
        <w:t>Not applicable.</w:t>
      </w:r>
    </w:p>
    <w:p w:rsidR="00DB0904" w:rsidRPr="00FD4C6A" w:rsidRDefault="00DB0904" w:rsidP="00DB0904">
      <w:pPr>
        <w:pStyle w:val="BodyText"/>
        <w:ind w:left="720" w:hanging="720"/>
        <w:rPr>
          <w:b/>
        </w:rPr>
      </w:pPr>
      <w:r w:rsidRPr="00FD4C6A">
        <w:rPr>
          <w:b/>
        </w:rPr>
        <w:t>B.</w:t>
      </w:r>
      <w:r w:rsidRPr="00FD4C6A">
        <w:rPr>
          <w:b/>
        </w:rPr>
        <w:tab/>
        <w:t>COLLECTIONS OF INFORMATION EMPLOYING STATISTICAL METHODS</w:t>
      </w:r>
    </w:p>
    <w:p w:rsidR="00DB0904" w:rsidRPr="00FD4C6A" w:rsidRDefault="00DB0904" w:rsidP="00DB0904">
      <w:pPr>
        <w:tabs>
          <w:tab w:val="left" w:pos="-720"/>
        </w:tabs>
        <w:suppressAutoHyphens/>
        <w:spacing w:line="480" w:lineRule="auto"/>
      </w:pPr>
      <w:r w:rsidRPr="00FD4C6A">
        <w:rPr>
          <w:spacing w:val="-3"/>
        </w:rPr>
        <w:tab/>
        <w:t>Not applicable.</w:t>
      </w:r>
      <w:r w:rsidRPr="00FD4C6A">
        <w:t xml:space="preserve"> </w:t>
      </w:r>
    </w:p>
    <w:sectPr w:rsidR="00DB0904" w:rsidRPr="00FD4C6A" w:rsidSect="00274BFF">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5CF" w:rsidRDefault="004735CF">
      <w:r>
        <w:separator/>
      </w:r>
    </w:p>
  </w:endnote>
  <w:endnote w:type="continuationSeparator" w:id="0">
    <w:p w:rsidR="004735CF" w:rsidRDefault="004735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DeVinne">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A32" w:rsidRDefault="00803A32">
    <w:pPr>
      <w:pStyle w:val="Footer"/>
      <w:jc w:val="center"/>
    </w:pPr>
    <w:r>
      <w:t>-</w:t>
    </w:r>
    <w:fldSimple w:instr=" PAGE   \* MERGEFORMAT ">
      <w:r w:rsidR="00B539E6">
        <w:rPr>
          <w:noProof/>
        </w:rPr>
        <w:t>2</w:t>
      </w:r>
    </w:fldSimple>
    <w:r>
      <w:t>-</w:t>
    </w:r>
  </w:p>
  <w:p w:rsidR="00803A32" w:rsidRDefault="00803A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5CF" w:rsidRDefault="004735CF">
      <w:r>
        <w:separator/>
      </w:r>
    </w:p>
  </w:footnote>
  <w:footnote w:type="continuationSeparator" w:id="0">
    <w:p w:rsidR="004735CF" w:rsidRDefault="004735CF">
      <w:r>
        <w:continuationSeparator/>
      </w:r>
    </w:p>
  </w:footnote>
  <w:footnote w:id="1">
    <w:p w:rsidR="00803A32" w:rsidRPr="00F75F61" w:rsidRDefault="00803A32" w:rsidP="009E09B9">
      <w:pPr>
        <w:pStyle w:val="FootnoteText"/>
        <w:spacing w:after="120" w:line="240" w:lineRule="auto"/>
        <w:ind w:left="720" w:hanging="720"/>
        <w:rPr>
          <w:i/>
          <w:szCs w:val="22"/>
        </w:rPr>
      </w:pPr>
      <w:r w:rsidRPr="00F75F61">
        <w:rPr>
          <w:rStyle w:val="FootnoteReference"/>
          <w:sz w:val="22"/>
          <w:szCs w:val="22"/>
        </w:rPr>
        <w:footnoteRef/>
      </w:r>
      <w:r w:rsidRPr="00F75F61">
        <w:rPr>
          <w:szCs w:val="22"/>
        </w:rPr>
        <w:t xml:space="preserve"> </w:t>
      </w:r>
      <w:r w:rsidRPr="00F75F61">
        <w:rPr>
          <w:szCs w:val="22"/>
        </w:rPr>
        <w:tab/>
      </w:r>
      <w:proofErr w:type="gramStart"/>
      <w:r w:rsidRPr="00F75F61">
        <w:rPr>
          <w:szCs w:val="22"/>
        </w:rPr>
        <w:t>15 U.S.C. 80b-3a.</w:t>
      </w:r>
      <w:proofErr w:type="gramEnd"/>
      <w:r w:rsidRPr="00F75F61">
        <w:rPr>
          <w:szCs w:val="22"/>
        </w:rPr>
        <w:t xml:space="preserve">  An adviser must register with the Commission if it is not regulated or required to be regulated as an investment adviser in the state in which it maintains its principal office and place of business or if it advises a Commission-registered investment company.  </w:t>
      </w:r>
      <w:r w:rsidRPr="00F75F61">
        <w:rPr>
          <w:i/>
          <w:szCs w:val="22"/>
        </w:rPr>
        <w:t>Id.</w:t>
      </w:r>
    </w:p>
  </w:footnote>
  <w:footnote w:id="2">
    <w:p w:rsidR="00803A32" w:rsidRPr="00F75F61" w:rsidRDefault="00803A32" w:rsidP="009E09B9">
      <w:pPr>
        <w:pStyle w:val="FootnoteText"/>
        <w:spacing w:after="120" w:line="240" w:lineRule="auto"/>
        <w:ind w:left="720" w:hanging="720"/>
        <w:rPr>
          <w:szCs w:val="22"/>
        </w:rPr>
      </w:pPr>
      <w:r w:rsidRPr="00F75F61">
        <w:rPr>
          <w:rStyle w:val="FootnoteReference"/>
          <w:sz w:val="22"/>
          <w:szCs w:val="22"/>
        </w:rPr>
        <w:footnoteRef/>
      </w:r>
      <w:r w:rsidRPr="00F75F61">
        <w:rPr>
          <w:szCs w:val="22"/>
        </w:rPr>
        <w:t xml:space="preserve"> </w:t>
      </w:r>
      <w:r w:rsidRPr="00F75F61">
        <w:rPr>
          <w:szCs w:val="22"/>
        </w:rPr>
        <w:tab/>
      </w:r>
      <w:proofErr w:type="gramStart"/>
      <w:r w:rsidRPr="00F75F61">
        <w:rPr>
          <w:szCs w:val="22"/>
        </w:rPr>
        <w:t>Pub.</w:t>
      </w:r>
      <w:proofErr w:type="gramEnd"/>
      <w:r w:rsidRPr="00F75F61">
        <w:rPr>
          <w:szCs w:val="22"/>
        </w:rPr>
        <w:t xml:space="preserve"> </w:t>
      </w:r>
      <w:proofErr w:type="gramStart"/>
      <w:r w:rsidRPr="00F75F61">
        <w:rPr>
          <w:szCs w:val="22"/>
        </w:rPr>
        <w:t>L. No. 111-203, 124 Stat. 1376 (2010).</w:t>
      </w:r>
      <w:proofErr w:type="gramEnd"/>
      <w:r w:rsidRPr="00F75F61">
        <w:rPr>
          <w:szCs w:val="22"/>
        </w:rPr>
        <w:t xml:space="preserve">  </w:t>
      </w:r>
    </w:p>
  </w:footnote>
  <w:footnote w:id="3">
    <w:p w:rsidR="00803A32" w:rsidRPr="00F75F61" w:rsidRDefault="00803A32" w:rsidP="009E09B9">
      <w:pPr>
        <w:pStyle w:val="FootnoteText"/>
        <w:spacing w:after="120" w:line="240" w:lineRule="auto"/>
        <w:ind w:left="720" w:hanging="720"/>
        <w:rPr>
          <w:szCs w:val="22"/>
        </w:rPr>
      </w:pPr>
      <w:r w:rsidRPr="00F75F61">
        <w:rPr>
          <w:rStyle w:val="FootnoteReference"/>
          <w:sz w:val="22"/>
          <w:szCs w:val="22"/>
        </w:rPr>
        <w:footnoteRef/>
      </w:r>
      <w:r w:rsidRPr="00F75F61">
        <w:rPr>
          <w:szCs w:val="22"/>
        </w:rPr>
        <w:t xml:space="preserve"> </w:t>
      </w:r>
      <w:r w:rsidRPr="00F75F61">
        <w:rPr>
          <w:szCs w:val="22"/>
        </w:rPr>
        <w:tab/>
      </w:r>
      <w:r w:rsidRPr="00F75F61">
        <w:rPr>
          <w:i/>
          <w:szCs w:val="22"/>
        </w:rPr>
        <w:t xml:space="preserve">See </w:t>
      </w:r>
      <w:r w:rsidRPr="00F75F61">
        <w:rPr>
          <w:szCs w:val="22"/>
        </w:rPr>
        <w:t xml:space="preserve">section 410 of the Dodd-Frank Act.  A mid-sized adviser may register with the Commission if it would be required to register with 15 or more states, or if it is an adviser to a registered investment company or business development company under the Investment Company Act of 1940.  </w:t>
      </w:r>
      <w:r w:rsidRPr="00F75F61">
        <w:rPr>
          <w:i/>
          <w:szCs w:val="22"/>
        </w:rPr>
        <w:t>See id.</w:t>
      </w:r>
      <w:r w:rsidRPr="00F75F61">
        <w:rPr>
          <w:szCs w:val="22"/>
        </w:rPr>
        <w:t xml:space="preserve">  </w:t>
      </w:r>
    </w:p>
  </w:footnote>
  <w:footnote w:id="4">
    <w:p w:rsidR="00803A32" w:rsidRPr="00F75F61" w:rsidRDefault="00803A32" w:rsidP="00C563A4">
      <w:pPr>
        <w:pStyle w:val="FootnoteText"/>
        <w:spacing w:after="120" w:line="240" w:lineRule="auto"/>
        <w:ind w:left="720" w:hanging="720"/>
        <w:rPr>
          <w:szCs w:val="22"/>
        </w:rPr>
      </w:pPr>
      <w:r w:rsidRPr="00F75F61">
        <w:rPr>
          <w:rStyle w:val="FootnoteReference"/>
          <w:sz w:val="22"/>
          <w:szCs w:val="22"/>
        </w:rPr>
        <w:footnoteRef/>
      </w:r>
      <w:r w:rsidRPr="00F75F61">
        <w:rPr>
          <w:szCs w:val="22"/>
        </w:rPr>
        <w:t xml:space="preserve"> </w:t>
      </w:r>
      <w:r w:rsidRPr="00F75F61">
        <w:rPr>
          <w:szCs w:val="22"/>
        </w:rPr>
        <w:tab/>
        <w:t>Amended rule 203A-1(a</w:t>
      </w:r>
      <w:proofErr w:type="gramStart"/>
      <w:r w:rsidRPr="00F75F61">
        <w:rPr>
          <w:szCs w:val="22"/>
        </w:rPr>
        <w:t>)(</w:t>
      </w:r>
      <w:proofErr w:type="gramEnd"/>
      <w:r w:rsidRPr="00F75F61">
        <w:rPr>
          <w:szCs w:val="22"/>
        </w:rPr>
        <w:t xml:space="preserve">1).  </w:t>
      </w:r>
    </w:p>
  </w:footnote>
  <w:footnote w:id="5">
    <w:p w:rsidR="00803A32" w:rsidRPr="00F75F61" w:rsidRDefault="00803A32" w:rsidP="009E09B9">
      <w:pPr>
        <w:tabs>
          <w:tab w:val="left" w:pos="720"/>
        </w:tabs>
        <w:spacing w:after="120" w:line="240" w:lineRule="auto"/>
        <w:ind w:left="720" w:hanging="720"/>
        <w:rPr>
          <w:sz w:val="22"/>
          <w:szCs w:val="22"/>
        </w:rPr>
      </w:pPr>
      <w:r w:rsidRPr="00F75F61">
        <w:rPr>
          <w:rStyle w:val="FootnoteReference"/>
          <w:sz w:val="22"/>
          <w:szCs w:val="22"/>
        </w:rPr>
        <w:footnoteRef/>
      </w:r>
      <w:r w:rsidRPr="00F75F61">
        <w:rPr>
          <w:sz w:val="22"/>
          <w:szCs w:val="22"/>
        </w:rPr>
        <w:t xml:space="preserve"> </w:t>
      </w:r>
      <w:r w:rsidRPr="00F75F61">
        <w:rPr>
          <w:sz w:val="22"/>
          <w:szCs w:val="22"/>
        </w:rPr>
        <w:tab/>
        <w:t xml:space="preserve">According to data from the </w:t>
      </w:r>
      <w:r w:rsidRPr="00F75F61">
        <w:rPr>
          <w:rFonts w:eastAsia="DeVinne"/>
          <w:sz w:val="22"/>
          <w:szCs w:val="22"/>
        </w:rPr>
        <w:t>Investment Adviser Registration Depository (“IARD”)</w:t>
      </w:r>
      <w:r w:rsidRPr="00F75F61">
        <w:rPr>
          <w:sz w:val="22"/>
          <w:szCs w:val="22"/>
        </w:rPr>
        <w:t xml:space="preserve"> as of April 7, 2011, 3,531 SEC-registered advisers either: (i) had assets under management between $25 million and $90 million and did not indicate on Form ADV Part 1A that they are relying on an exemption from the prohibition on Commission registration; or (ii) were permitted to register with us because they rely on the registration of an SEC-registered affiliate that has assets under management between $25 million and </w:t>
      </w:r>
      <w:r w:rsidRPr="00F75F61">
        <w:rPr>
          <w:sz w:val="22"/>
          <w:szCs w:val="22"/>
        </w:rPr>
        <w:t>$</w:t>
      </w:r>
      <w:r w:rsidR="00B539E6">
        <w:rPr>
          <w:sz w:val="22"/>
          <w:szCs w:val="22"/>
        </w:rPr>
        <w:t>90</w:t>
      </w:r>
      <w:r w:rsidRPr="00F75F61">
        <w:rPr>
          <w:sz w:val="22"/>
          <w:szCs w:val="22"/>
        </w:rPr>
        <w:t xml:space="preserve"> million and </w:t>
      </w:r>
      <w:r>
        <w:rPr>
          <w:sz w:val="22"/>
          <w:szCs w:val="22"/>
        </w:rPr>
        <w:t xml:space="preserve">they are </w:t>
      </w:r>
      <w:r w:rsidRPr="00F75F61">
        <w:rPr>
          <w:sz w:val="22"/>
          <w:szCs w:val="22"/>
        </w:rPr>
        <w:t xml:space="preserve">not relying on an exemption. </w:t>
      </w:r>
      <w:r w:rsidR="00FA6459">
        <w:rPr>
          <w:sz w:val="22"/>
          <w:szCs w:val="22"/>
        </w:rPr>
        <w:t xml:space="preserve">We estimate that </w:t>
      </w:r>
      <w:r w:rsidR="00FA6459" w:rsidRPr="00FA6459">
        <w:rPr>
          <w:sz w:val="22"/>
          <w:szCs w:val="22"/>
        </w:rPr>
        <w:t xml:space="preserve">350 of these advisers </w:t>
      </w:r>
      <w:r w:rsidR="00661468">
        <w:rPr>
          <w:sz w:val="22"/>
          <w:szCs w:val="22"/>
        </w:rPr>
        <w:t xml:space="preserve">are mid-sized advisers and </w:t>
      </w:r>
      <w:r w:rsidR="00FA6459" w:rsidRPr="00FA6459">
        <w:rPr>
          <w:sz w:val="22"/>
          <w:szCs w:val="22"/>
        </w:rPr>
        <w:t xml:space="preserve">will not switch to state registration because their principal office and place of business is located in Minnesota, New York, or Wyoming. </w:t>
      </w:r>
      <w:r w:rsidR="008A25F5">
        <w:rPr>
          <w:i/>
          <w:sz w:val="22"/>
          <w:szCs w:val="22"/>
        </w:rPr>
        <w:t xml:space="preserve">See </w:t>
      </w:r>
      <w:r w:rsidR="008A25F5" w:rsidRPr="00D459A2">
        <w:rPr>
          <w:i/>
          <w:sz w:val="22"/>
          <w:szCs w:val="22"/>
        </w:rPr>
        <w:t>Rules Implementing Amendments to the Investment Advisers Act of 1940</w:t>
      </w:r>
      <w:r w:rsidR="008A25F5" w:rsidRPr="00F75F61">
        <w:rPr>
          <w:sz w:val="22"/>
          <w:szCs w:val="22"/>
        </w:rPr>
        <w:t>,</w:t>
      </w:r>
      <w:r w:rsidR="008A25F5">
        <w:rPr>
          <w:sz w:val="22"/>
          <w:szCs w:val="22"/>
        </w:rPr>
        <w:t xml:space="preserve"> </w:t>
      </w:r>
      <w:r w:rsidR="008A25F5" w:rsidRPr="00C974D1">
        <w:rPr>
          <w:sz w:val="22"/>
          <w:szCs w:val="22"/>
        </w:rPr>
        <w:t xml:space="preserve">Investment Advisers Act Release No. </w:t>
      </w:r>
      <w:r w:rsidR="008A25F5">
        <w:rPr>
          <w:sz w:val="22"/>
          <w:szCs w:val="22"/>
        </w:rPr>
        <w:t>3221,</w:t>
      </w:r>
      <w:r w:rsidR="008A25F5" w:rsidRPr="00F75F61">
        <w:rPr>
          <w:sz w:val="22"/>
          <w:szCs w:val="22"/>
        </w:rPr>
        <w:t xml:space="preserve"> </w:t>
      </w:r>
      <w:r w:rsidR="00087CD2">
        <w:rPr>
          <w:sz w:val="22"/>
          <w:szCs w:val="22"/>
        </w:rPr>
        <w:t>note 152</w:t>
      </w:r>
      <w:r w:rsidR="008A25F5">
        <w:rPr>
          <w:sz w:val="22"/>
          <w:szCs w:val="22"/>
        </w:rPr>
        <w:t xml:space="preserve"> (</w:t>
      </w:r>
      <w:r w:rsidR="008A25F5" w:rsidRPr="00F75F61">
        <w:rPr>
          <w:sz w:val="22"/>
          <w:szCs w:val="22"/>
        </w:rPr>
        <w:t>attached as appendix A</w:t>
      </w:r>
      <w:r w:rsidR="008A25F5">
        <w:rPr>
          <w:sz w:val="22"/>
          <w:szCs w:val="22"/>
        </w:rPr>
        <w:t>)</w:t>
      </w:r>
      <w:r w:rsidR="008A25F5" w:rsidRPr="005C6D14">
        <w:rPr>
          <w:sz w:val="22"/>
          <w:szCs w:val="22"/>
        </w:rPr>
        <w:t xml:space="preserve"> </w:t>
      </w:r>
      <w:r w:rsidR="008A25F5" w:rsidRPr="00F75F61">
        <w:rPr>
          <w:sz w:val="22"/>
          <w:szCs w:val="22"/>
        </w:rPr>
        <w:t>(“Appendix A”)</w:t>
      </w:r>
      <w:r w:rsidR="008A25F5">
        <w:rPr>
          <w:sz w:val="22"/>
          <w:szCs w:val="22"/>
        </w:rPr>
        <w:t xml:space="preserve"> </w:t>
      </w:r>
      <w:r w:rsidR="00FA6459" w:rsidRPr="00FA6459">
        <w:rPr>
          <w:sz w:val="22"/>
          <w:szCs w:val="22"/>
        </w:rPr>
        <w:t>(according to IARD data as of April 7, 2011, there were 63 advisers in Minnesota, 286 in New York, and 1 in Wyoming).</w:t>
      </w:r>
      <w:r w:rsidR="002D393A">
        <w:rPr>
          <w:sz w:val="22"/>
          <w:szCs w:val="22"/>
        </w:rPr>
        <w:t xml:space="preserve">  </w:t>
      </w:r>
      <w:r w:rsidR="002D393A" w:rsidRPr="002D393A">
        <w:rPr>
          <w:sz w:val="22"/>
          <w:szCs w:val="22"/>
        </w:rPr>
        <w:t>As a result, we estimate that approximately 3,200 advisers will switch to state registration.</w:t>
      </w:r>
      <w:r w:rsidR="000809B8">
        <w:rPr>
          <w:sz w:val="22"/>
          <w:szCs w:val="22"/>
        </w:rPr>
        <w:t xml:space="preserve"> </w:t>
      </w:r>
      <w:r w:rsidR="002D393A" w:rsidRPr="002D393A">
        <w:rPr>
          <w:sz w:val="22"/>
          <w:szCs w:val="22"/>
        </w:rPr>
        <w:t xml:space="preserve"> 3,531 SEC-registered advisers – 350 advisers not switching to state registration = 3,181 advisers.  </w:t>
      </w:r>
    </w:p>
  </w:footnote>
  <w:footnote w:id="6">
    <w:p w:rsidR="00803A32" w:rsidRPr="00F75F61" w:rsidRDefault="00803A32" w:rsidP="009E09B9">
      <w:pPr>
        <w:tabs>
          <w:tab w:val="left" w:pos="720"/>
        </w:tabs>
        <w:spacing w:after="120" w:line="240" w:lineRule="auto"/>
        <w:ind w:left="720" w:hanging="720"/>
        <w:rPr>
          <w:sz w:val="22"/>
          <w:szCs w:val="22"/>
        </w:rPr>
      </w:pPr>
      <w:r w:rsidRPr="00F75F61">
        <w:rPr>
          <w:rStyle w:val="FootnoteReference"/>
          <w:sz w:val="22"/>
          <w:szCs w:val="22"/>
        </w:rPr>
        <w:footnoteRef/>
      </w:r>
      <w:r w:rsidRPr="00F75F61">
        <w:rPr>
          <w:sz w:val="22"/>
          <w:szCs w:val="22"/>
        </w:rPr>
        <w:t xml:space="preserve"> </w:t>
      </w:r>
      <w:r w:rsidRPr="00F75F61">
        <w:rPr>
          <w:sz w:val="22"/>
          <w:szCs w:val="22"/>
        </w:rPr>
        <w:tab/>
        <w:t>New rule 203A-5(b);</w:t>
      </w:r>
      <w:r w:rsidR="008A25F5">
        <w:rPr>
          <w:sz w:val="22"/>
          <w:szCs w:val="22"/>
        </w:rPr>
        <w:t xml:space="preserve"> Appendix A</w:t>
      </w:r>
      <w:r w:rsidRPr="00F75F61">
        <w:rPr>
          <w:sz w:val="22"/>
          <w:szCs w:val="22"/>
        </w:rPr>
        <w:t xml:space="preserve"> section</w:t>
      </w:r>
      <w:r w:rsidR="00087CD2">
        <w:rPr>
          <w:sz w:val="22"/>
          <w:szCs w:val="22"/>
        </w:rPr>
        <w:t>,</w:t>
      </w:r>
      <w:r w:rsidRPr="00F75F61">
        <w:rPr>
          <w:sz w:val="22"/>
          <w:szCs w:val="22"/>
        </w:rPr>
        <w:t xml:space="preserve"> II.A.</w:t>
      </w:r>
      <w:r>
        <w:rPr>
          <w:sz w:val="22"/>
          <w:szCs w:val="22"/>
        </w:rPr>
        <w:t xml:space="preserve">1.  </w:t>
      </w:r>
      <w:r w:rsidR="008A25F5">
        <w:rPr>
          <w:sz w:val="22"/>
          <w:szCs w:val="22"/>
        </w:rPr>
        <w:t>A</w:t>
      </w:r>
      <w:r w:rsidRPr="00F75F61">
        <w:rPr>
          <w:sz w:val="22"/>
          <w:szCs w:val="22"/>
        </w:rPr>
        <w:t xml:space="preserve">dvisers registered with </w:t>
      </w:r>
      <w:r>
        <w:rPr>
          <w:sz w:val="22"/>
          <w:szCs w:val="22"/>
        </w:rPr>
        <w:t>the Commission</w:t>
      </w:r>
      <w:r w:rsidRPr="00F75F61">
        <w:rPr>
          <w:sz w:val="22"/>
          <w:szCs w:val="22"/>
        </w:rPr>
        <w:t xml:space="preserve"> on July 21, 2011 that have at least $25 million in assets under management will be exempt from the new prohibition on Commission registration for mid-sized advisers until 2012, when the rule will require them to switch to state registration and withdraw their </w:t>
      </w:r>
      <w:r>
        <w:rPr>
          <w:sz w:val="22"/>
          <w:szCs w:val="22"/>
        </w:rPr>
        <w:t xml:space="preserve">SEC </w:t>
      </w:r>
      <w:r w:rsidRPr="00F75F61">
        <w:rPr>
          <w:sz w:val="22"/>
          <w:szCs w:val="22"/>
        </w:rPr>
        <w:t xml:space="preserve">registration.  </w:t>
      </w:r>
      <w:r w:rsidRPr="00F75F61">
        <w:rPr>
          <w:i/>
          <w:sz w:val="22"/>
          <w:szCs w:val="22"/>
        </w:rPr>
        <w:t xml:space="preserve">See </w:t>
      </w:r>
      <w:r w:rsidRPr="00F75F61">
        <w:rPr>
          <w:sz w:val="22"/>
          <w:szCs w:val="22"/>
        </w:rPr>
        <w:t>new rule 203A-5(a)</w:t>
      </w:r>
      <w:r>
        <w:rPr>
          <w:sz w:val="22"/>
          <w:szCs w:val="22"/>
        </w:rPr>
        <w:t xml:space="preserve">, Appendix </w:t>
      </w:r>
      <w:proofErr w:type="gramStart"/>
      <w:r>
        <w:rPr>
          <w:sz w:val="22"/>
          <w:szCs w:val="22"/>
        </w:rPr>
        <w:t>A</w:t>
      </w:r>
      <w:proofErr w:type="gramEnd"/>
      <w:r>
        <w:rPr>
          <w:sz w:val="22"/>
          <w:szCs w:val="22"/>
        </w:rPr>
        <w:t>, section II.A.1</w:t>
      </w:r>
      <w:r w:rsidRPr="00F75F61">
        <w:rPr>
          <w:sz w:val="22"/>
          <w:szCs w:val="22"/>
        </w:rPr>
        <w:t xml:space="preserve">.  </w:t>
      </w:r>
    </w:p>
  </w:footnote>
  <w:footnote w:id="7">
    <w:p w:rsidR="00803A32" w:rsidRPr="00F75F61" w:rsidRDefault="00803A32" w:rsidP="009E09B9">
      <w:pPr>
        <w:pStyle w:val="FootnoteText"/>
        <w:spacing w:before="120" w:after="120" w:line="240" w:lineRule="auto"/>
        <w:ind w:left="720" w:hanging="720"/>
        <w:rPr>
          <w:szCs w:val="22"/>
        </w:rPr>
      </w:pPr>
      <w:r w:rsidRPr="00F75F61">
        <w:rPr>
          <w:rStyle w:val="FootnoteReference"/>
          <w:sz w:val="22"/>
          <w:szCs w:val="22"/>
        </w:rPr>
        <w:footnoteRef/>
      </w:r>
      <w:r w:rsidRPr="00F75F61">
        <w:rPr>
          <w:szCs w:val="22"/>
        </w:rPr>
        <w:t xml:space="preserve"> </w:t>
      </w:r>
      <w:r w:rsidRPr="00F75F61">
        <w:rPr>
          <w:szCs w:val="22"/>
        </w:rPr>
        <w:tab/>
      </w:r>
      <w:r w:rsidRPr="00F75F61">
        <w:rPr>
          <w:i/>
          <w:szCs w:val="22"/>
        </w:rPr>
        <w:t xml:space="preserve">See </w:t>
      </w:r>
      <w:r>
        <w:rPr>
          <w:szCs w:val="22"/>
        </w:rPr>
        <w:t>new rule 203A-5(b</w:t>
      </w:r>
      <w:r w:rsidRPr="00F75F61">
        <w:rPr>
          <w:szCs w:val="22"/>
        </w:rPr>
        <w:t xml:space="preserve">); Appendix A, sections II.A.1. </w:t>
      </w:r>
      <w:proofErr w:type="gramStart"/>
      <w:r w:rsidRPr="00F75F61">
        <w:rPr>
          <w:szCs w:val="22"/>
        </w:rPr>
        <w:t>and</w:t>
      </w:r>
      <w:proofErr w:type="gramEnd"/>
      <w:r w:rsidRPr="00F75F61">
        <w:rPr>
          <w:szCs w:val="22"/>
        </w:rPr>
        <w:t xml:space="preserve"> II.A.2. </w:t>
      </w:r>
    </w:p>
  </w:footnote>
  <w:footnote w:id="8">
    <w:p w:rsidR="00803A32" w:rsidRPr="00F75F61" w:rsidRDefault="00803A32" w:rsidP="009E09B9">
      <w:pPr>
        <w:pStyle w:val="FootnoteText"/>
        <w:spacing w:after="120" w:line="240" w:lineRule="auto"/>
        <w:ind w:left="720" w:hanging="720"/>
        <w:rPr>
          <w:szCs w:val="22"/>
        </w:rPr>
      </w:pPr>
      <w:r w:rsidRPr="00F75F61">
        <w:rPr>
          <w:rStyle w:val="FootnoteReference"/>
          <w:sz w:val="22"/>
          <w:szCs w:val="22"/>
        </w:rPr>
        <w:footnoteRef/>
      </w:r>
      <w:r w:rsidRPr="00F75F61">
        <w:rPr>
          <w:szCs w:val="22"/>
        </w:rPr>
        <w:t xml:space="preserve"> </w:t>
      </w:r>
      <w:r w:rsidRPr="00F75F61">
        <w:rPr>
          <w:szCs w:val="22"/>
        </w:rPr>
        <w:tab/>
        <w:t>New rule 203A-5(c</w:t>
      </w:r>
      <w:proofErr w:type="gramStart"/>
      <w:r w:rsidRPr="00F75F61">
        <w:rPr>
          <w:szCs w:val="22"/>
        </w:rPr>
        <w:t>)(</w:t>
      </w:r>
      <w:proofErr w:type="gramEnd"/>
      <w:r w:rsidRPr="00F75F61">
        <w:rPr>
          <w:szCs w:val="22"/>
        </w:rPr>
        <w:t>1).  The rule also would permit the Commission to postpone the effectiveness of, and impose additional terms and conditions on, an adviser’s withdrawal from SEC registration if the Commission institutes certain proceedings before the adviser files Form ADV-W.  New rule 203A-5(c</w:t>
      </w:r>
      <w:proofErr w:type="gramStart"/>
      <w:r w:rsidRPr="00F75F61">
        <w:rPr>
          <w:szCs w:val="22"/>
        </w:rPr>
        <w:t>)(</w:t>
      </w:r>
      <w:proofErr w:type="gramEnd"/>
      <w:r w:rsidRPr="00F75F61">
        <w:rPr>
          <w:szCs w:val="22"/>
        </w:rPr>
        <w:t>2).</w:t>
      </w:r>
    </w:p>
  </w:footnote>
  <w:footnote w:id="9">
    <w:p w:rsidR="00803A32" w:rsidRPr="00F75F61" w:rsidRDefault="00803A32" w:rsidP="00E41313">
      <w:pPr>
        <w:pStyle w:val="FootnoteText"/>
        <w:spacing w:before="120" w:after="120" w:line="240" w:lineRule="auto"/>
        <w:ind w:left="720" w:hanging="720"/>
        <w:rPr>
          <w:szCs w:val="22"/>
        </w:rPr>
      </w:pPr>
      <w:r w:rsidRPr="00F75F61">
        <w:rPr>
          <w:rStyle w:val="FootnoteReference"/>
          <w:sz w:val="22"/>
          <w:szCs w:val="22"/>
        </w:rPr>
        <w:footnoteRef/>
      </w:r>
      <w:r w:rsidRPr="00F75F61">
        <w:rPr>
          <w:szCs w:val="22"/>
        </w:rPr>
        <w:t xml:space="preserve"> </w:t>
      </w:r>
      <w:r w:rsidRPr="00F75F61">
        <w:rPr>
          <w:szCs w:val="22"/>
        </w:rPr>
        <w:tab/>
      </w:r>
      <w:r w:rsidRPr="00F75F61">
        <w:rPr>
          <w:i/>
          <w:szCs w:val="22"/>
        </w:rPr>
        <w:t xml:space="preserve">See </w:t>
      </w:r>
      <w:r w:rsidRPr="00F75F61">
        <w:rPr>
          <w:szCs w:val="22"/>
        </w:rPr>
        <w:t xml:space="preserve">proposed rule 203A-5(a)-(b); Appendix A, section II.A.1.  </w:t>
      </w:r>
    </w:p>
  </w:footnote>
  <w:footnote w:id="10">
    <w:p w:rsidR="00803A32" w:rsidRPr="00F75F61" w:rsidRDefault="00803A32" w:rsidP="00E41313">
      <w:pPr>
        <w:pStyle w:val="FootnoteText"/>
        <w:spacing w:before="120" w:after="120" w:line="240" w:lineRule="auto"/>
        <w:ind w:left="720" w:hanging="720"/>
        <w:rPr>
          <w:szCs w:val="22"/>
        </w:rPr>
      </w:pPr>
      <w:r w:rsidRPr="00F75F61">
        <w:rPr>
          <w:rStyle w:val="FootnoteReference"/>
          <w:sz w:val="22"/>
          <w:szCs w:val="22"/>
        </w:rPr>
        <w:footnoteRef/>
      </w:r>
      <w:r w:rsidRPr="00F75F61">
        <w:rPr>
          <w:szCs w:val="22"/>
        </w:rPr>
        <w:t xml:space="preserve"> </w:t>
      </w:r>
      <w:r w:rsidRPr="00F75F61">
        <w:rPr>
          <w:szCs w:val="22"/>
        </w:rPr>
        <w:tab/>
      </w:r>
      <w:proofErr w:type="gramStart"/>
      <w:r w:rsidRPr="00F75F61">
        <w:rPr>
          <w:i/>
          <w:szCs w:val="22"/>
        </w:rPr>
        <w:t xml:space="preserve">See </w:t>
      </w:r>
      <w:r w:rsidRPr="00F75F61">
        <w:rPr>
          <w:szCs w:val="22"/>
        </w:rPr>
        <w:t>proposed rule 203A-5(b)-(c); Appendix A, section II.A.1.</w:t>
      </w:r>
      <w:proofErr w:type="gramEnd"/>
      <w:r w:rsidRPr="00F75F61">
        <w:rPr>
          <w:szCs w:val="22"/>
        </w:rPr>
        <w:t xml:space="preserve">  </w:t>
      </w:r>
    </w:p>
  </w:footnote>
  <w:footnote w:id="11">
    <w:p w:rsidR="00803A32" w:rsidRPr="00F75F61" w:rsidRDefault="00803A32" w:rsidP="00E41313">
      <w:pPr>
        <w:tabs>
          <w:tab w:val="left" w:pos="720"/>
        </w:tabs>
        <w:spacing w:before="120" w:after="120" w:line="240" w:lineRule="auto"/>
        <w:ind w:left="720" w:hanging="720"/>
        <w:rPr>
          <w:sz w:val="22"/>
          <w:szCs w:val="22"/>
        </w:rPr>
      </w:pPr>
      <w:r w:rsidRPr="00F75F61">
        <w:rPr>
          <w:rStyle w:val="FootnoteReference"/>
          <w:sz w:val="22"/>
          <w:szCs w:val="22"/>
        </w:rPr>
        <w:footnoteRef/>
      </w:r>
      <w:r w:rsidRPr="00F75F61">
        <w:rPr>
          <w:sz w:val="22"/>
          <w:szCs w:val="22"/>
        </w:rPr>
        <w:t xml:space="preserve"> </w:t>
      </w:r>
      <w:r w:rsidRPr="00F75F61">
        <w:rPr>
          <w:sz w:val="22"/>
          <w:szCs w:val="22"/>
        </w:rPr>
        <w:tab/>
      </w:r>
      <w:r w:rsidRPr="00F75F61">
        <w:rPr>
          <w:i/>
          <w:sz w:val="22"/>
          <w:szCs w:val="22"/>
        </w:rPr>
        <w:t xml:space="preserve">See </w:t>
      </w:r>
      <w:r w:rsidRPr="00F75F61">
        <w:rPr>
          <w:sz w:val="22"/>
          <w:szCs w:val="22"/>
        </w:rPr>
        <w:t>new rule 203A-5(b); amended Form ADV:  Instructions for Part 1A, instr. 5.b</w:t>
      </w:r>
      <w:proofErr w:type="gramStart"/>
      <w:r w:rsidRPr="00F75F61">
        <w:rPr>
          <w:sz w:val="22"/>
          <w:szCs w:val="22"/>
        </w:rPr>
        <w:t>.(</w:t>
      </w:r>
      <w:proofErr w:type="gramEnd"/>
      <w:r w:rsidRPr="00F75F61">
        <w:rPr>
          <w:sz w:val="22"/>
          <w:szCs w:val="22"/>
        </w:rPr>
        <w:t>4); Appendix A, section II.A.1.</w:t>
      </w:r>
    </w:p>
  </w:footnote>
  <w:footnote w:id="12">
    <w:p w:rsidR="00803A32" w:rsidRPr="00F75F61" w:rsidRDefault="00803A32" w:rsidP="009E09B9">
      <w:pPr>
        <w:pStyle w:val="FootnoteText"/>
        <w:spacing w:after="120" w:line="240" w:lineRule="auto"/>
        <w:ind w:left="720" w:hanging="720"/>
        <w:rPr>
          <w:szCs w:val="22"/>
        </w:rPr>
      </w:pPr>
      <w:r w:rsidRPr="00F75F61">
        <w:rPr>
          <w:szCs w:val="22"/>
          <w:vertAlign w:val="superscript"/>
        </w:rPr>
        <w:footnoteRef/>
      </w:r>
      <w:r w:rsidRPr="00F75F61">
        <w:rPr>
          <w:szCs w:val="22"/>
        </w:rPr>
        <w:t xml:space="preserve"> </w:t>
      </w:r>
      <w:r w:rsidRPr="00F75F61">
        <w:rPr>
          <w:szCs w:val="22"/>
        </w:rPr>
        <w:tab/>
      </w:r>
      <w:r w:rsidRPr="00F75F61">
        <w:rPr>
          <w:rFonts w:eastAsia="DeVinne"/>
          <w:szCs w:val="22"/>
        </w:rPr>
        <w:t xml:space="preserve">The PRA burden of the Form ADV-W filings that mid-sized advisers would be required to file to withdraw from Commission registration is reflected in the revised PRA burden for Form ADV-W.  </w:t>
      </w:r>
      <w:r w:rsidRPr="00F75F61">
        <w:rPr>
          <w:rFonts w:eastAsia="DeVinne"/>
          <w:i/>
          <w:szCs w:val="22"/>
        </w:rPr>
        <w:t xml:space="preserve">See </w:t>
      </w:r>
      <w:r w:rsidRPr="00F75F61">
        <w:rPr>
          <w:rFonts w:eastAsia="DeVinne"/>
          <w:szCs w:val="22"/>
        </w:rPr>
        <w:t>Appendix A, notes 7</w:t>
      </w:r>
      <w:r>
        <w:rPr>
          <w:rFonts w:eastAsia="DeVinne"/>
          <w:szCs w:val="22"/>
        </w:rPr>
        <w:t>84</w:t>
      </w:r>
      <w:r w:rsidRPr="00F75F61">
        <w:rPr>
          <w:rFonts w:eastAsia="DeVinne"/>
          <w:szCs w:val="22"/>
        </w:rPr>
        <w:t>-7</w:t>
      </w:r>
      <w:r>
        <w:rPr>
          <w:rFonts w:eastAsia="DeVinne"/>
          <w:szCs w:val="22"/>
        </w:rPr>
        <w:t>86</w:t>
      </w:r>
      <w:r w:rsidRPr="00F75F61">
        <w:rPr>
          <w:rFonts w:eastAsia="DeVinne"/>
          <w:szCs w:val="22"/>
        </w:rPr>
        <w:t xml:space="preserve"> and ac</w:t>
      </w:r>
      <w:r w:rsidR="00BE6433">
        <w:rPr>
          <w:rFonts w:eastAsia="DeVinne"/>
          <w:szCs w:val="22"/>
        </w:rPr>
        <w:t xml:space="preserve">companying text. </w:t>
      </w:r>
    </w:p>
  </w:footnote>
  <w:footnote w:id="13">
    <w:p w:rsidR="00803A32" w:rsidRPr="00F75F61" w:rsidRDefault="00803A32" w:rsidP="009E09B9">
      <w:pPr>
        <w:pStyle w:val="FootnoteText"/>
        <w:spacing w:after="120" w:line="240" w:lineRule="auto"/>
        <w:ind w:left="720" w:hanging="720"/>
        <w:rPr>
          <w:szCs w:val="22"/>
        </w:rPr>
      </w:pPr>
      <w:r w:rsidRPr="00F75F61">
        <w:rPr>
          <w:rStyle w:val="FootnoteReference"/>
          <w:sz w:val="22"/>
          <w:szCs w:val="22"/>
        </w:rPr>
        <w:footnoteRef/>
      </w:r>
      <w:r w:rsidRPr="00F75F61">
        <w:rPr>
          <w:szCs w:val="22"/>
        </w:rPr>
        <w:t xml:space="preserve"> </w:t>
      </w:r>
      <w:r w:rsidRPr="00F75F61">
        <w:rPr>
          <w:szCs w:val="22"/>
        </w:rPr>
        <w:tab/>
        <w:t>Amended Item 2.A. of Form ADV, Part 1A reflect</w:t>
      </w:r>
      <w:r>
        <w:rPr>
          <w:szCs w:val="22"/>
        </w:rPr>
        <w:t>s</w:t>
      </w:r>
      <w:r w:rsidRPr="00F75F61">
        <w:rPr>
          <w:szCs w:val="22"/>
        </w:rPr>
        <w:t xml:space="preserve"> the requirements of the Advisers Act (as amended by the Dodd-Frank Act) and the related rules, and require</w:t>
      </w:r>
      <w:r>
        <w:rPr>
          <w:szCs w:val="22"/>
        </w:rPr>
        <w:t>s</w:t>
      </w:r>
      <w:r w:rsidRPr="00F75F61">
        <w:rPr>
          <w:szCs w:val="22"/>
        </w:rPr>
        <w:t xml:space="preserve"> an investment adviser to mark Item 2.A.(13) if the adviser is no longer eligible to remain registered with the Commission.  For a discussion of the rules,</w:t>
      </w:r>
      <w:r w:rsidRPr="00F75F61">
        <w:rPr>
          <w:i/>
          <w:szCs w:val="22"/>
        </w:rPr>
        <w:t xml:space="preserve"> </w:t>
      </w:r>
      <w:r w:rsidRPr="00F75F61">
        <w:rPr>
          <w:szCs w:val="22"/>
        </w:rPr>
        <w:t xml:space="preserve">see Appendix </w:t>
      </w:r>
      <w:proofErr w:type="gramStart"/>
      <w:r w:rsidRPr="00F75F61">
        <w:rPr>
          <w:szCs w:val="22"/>
        </w:rPr>
        <w:t>A</w:t>
      </w:r>
      <w:proofErr w:type="gramEnd"/>
      <w:r w:rsidRPr="00F75F61">
        <w:rPr>
          <w:szCs w:val="22"/>
        </w:rPr>
        <w:t xml:space="preserve">, sections II.A.5. </w:t>
      </w:r>
      <w:proofErr w:type="gramStart"/>
      <w:r w:rsidRPr="00F75F61">
        <w:rPr>
          <w:szCs w:val="22"/>
        </w:rPr>
        <w:t>and</w:t>
      </w:r>
      <w:proofErr w:type="gramEnd"/>
      <w:r w:rsidRPr="00F75F61">
        <w:rPr>
          <w:szCs w:val="22"/>
        </w:rPr>
        <w:t xml:space="preserve"> II.A.7., and for a discussion of Item 2.A, see Appendix A, section II.A.2.</w:t>
      </w:r>
    </w:p>
  </w:footnote>
  <w:footnote w:id="14">
    <w:p w:rsidR="00803A32" w:rsidRPr="00F75F61" w:rsidRDefault="00803A32" w:rsidP="009E09B9">
      <w:pPr>
        <w:pStyle w:val="FootnoteText"/>
        <w:spacing w:before="120" w:after="120" w:line="240" w:lineRule="auto"/>
        <w:ind w:left="720" w:hanging="720"/>
        <w:rPr>
          <w:szCs w:val="22"/>
        </w:rPr>
      </w:pPr>
      <w:r w:rsidRPr="00F75F61">
        <w:rPr>
          <w:rStyle w:val="FootnoteReference"/>
          <w:sz w:val="22"/>
          <w:szCs w:val="22"/>
        </w:rPr>
        <w:footnoteRef/>
      </w:r>
      <w:r w:rsidRPr="00F75F61">
        <w:rPr>
          <w:szCs w:val="22"/>
        </w:rPr>
        <w:t xml:space="preserve"> </w:t>
      </w:r>
      <w:r w:rsidRPr="00F75F61">
        <w:rPr>
          <w:szCs w:val="22"/>
        </w:rPr>
        <w:tab/>
      </w:r>
      <w:r w:rsidRPr="00F75F61">
        <w:rPr>
          <w:i/>
          <w:szCs w:val="22"/>
        </w:rPr>
        <w:t xml:space="preserve">See </w:t>
      </w:r>
      <w:r w:rsidRPr="00F75F61">
        <w:rPr>
          <w:szCs w:val="22"/>
        </w:rPr>
        <w:t>new rule 203A-5(b); Appendix A, section</w:t>
      </w:r>
      <w:r>
        <w:rPr>
          <w:szCs w:val="22"/>
        </w:rPr>
        <w:t>s</w:t>
      </w:r>
      <w:r w:rsidRPr="00F75F61">
        <w:rPr>
          <w:szCs w:val="22"/>
        </w:rPr>
        <w:t xml:space="preserve"> II.A.</w:t>
      </w:r>
      <w:r>
        <w:rPr>
          <w:szCs w:val="22"/>
        </w:rPr>
        <w:t>1</w:t>
      </w:r>
      <w:r w:rsidRPr="00F75F61">
        <w:rPr>
          <w:szCs w:val="22"/>
        </w:rPr>
        <w:t>.</w:t>
      </w:r>
      <w:r>
        <w:rPr>
          <w:szCs w:val="22"/>
        </w:rPr>
        <w:t xml:space="preserve"> </w:t>
      </w:r>
      <w:proofErr w:type="gramStart"/>
      <w:r>
        <w:rPr>
          <w:szCs w:val="22"/>
        </w:rPr>
        <w:t>and</w:t>
      </w:r>
      <w:proofErr w:type="gramEnd"/>
      <w:r>
        <w:rPr>
          <w:szCs w:val="22"/>
        </w:rPr>
        <w:t xml:space="preserve"> II.A.2.</w:t>
      </w:r>
      <w:r w:rsidRPr="00F75F61">
        <w:rPr>
          <w:szCs w:val="22"/>
        </w:rPr>
        <w:t xml:space="preserve"> </w:t>
      </w:r>
    </w:p>
  </w:footnote>
  <w:footnote w:id="15">
    <w:p w:rsidR="00803A32" w:rsidRPr="00F75F61" w:rsidRDefault="00803A32" w:rsidP="004503AC">
      <w:pPr>
        <w:tabs>
          <w:tab w:val="left" w:pos="720"/>
        </w:tabs>
        <w:spacing w:before="120" w:after="120" w:line="240" w:lineRule="auto"/>
        <w:ind w:left="720" w:hanging="720"/>
        <w:rPr>
          <w:sz w:val="22"/>
          <w:szCs w:val="22"/>
        </w:rPr>
      </w:pPr>
      <w:r w:rsidRPr="00F75F61">
        <w:rPr>
          <w:rStyle w:val="FootnoteReference"/>
          <w:sz w:val="22"/>
          <w:szCs w:val="22"/>
        </w:rPr>
        <w:footnoteRef/>
      </w:r>
      <w:r w:rsidRPr="00F75F61">
        <w:rPr>
          <w:sz w:val="22"/>
          <w:szCs w:val="22"/>
        </w:rPr>
        <w:t xml:space="preserve"> </w:t>
      </w:r>
      <w:r w:rsidRPr="00F75F61">
        <w:rPr>
          <w:sz w:val="22"/>
          <w:szCs w:val="22"/>
        </w:rPr>
        <w:tab/>
      </w:r>
      <w:r w:rsidRPr="00F75F61">
        <w:rPr>
          <w:i/>
          <w:sz w:val="22"/>
          <w:szCs w:val="22"/>
        </w:rPr>
        <w:t xml:space="preserve">See </w:t>
      </w:r>
      <w:r w:rsidRPr="00F75F61">
        <w:rPr>
          <w:sz w:val="22"/>
          <w:szCs w:val="22"/>
        </w:rPr>
        <w:t xml:space="preserve">Appendix </w:t>
      </w:r>
      <w:proofErr w:type="gramStart"/>
      <w:r w:rsidRPr="00F75F61">
        <w:rPr>
          <w:sz w:val="22"/>
          <w:szCs w:val="22"/>
        </w:rPr>
        <w:t>A</w:t>
      </w:r>
      <w:proofErr w:type="gramEnd"/>
      <w:r w:rsidRPr="00F75F61">
        <w:rPr>
          <w:sz w:val="22"/>
          <w:szCs w:val="22"/>
        </w:rPr>
        <w:t>,</w:t>
      </w:r>
      <w:r w:rsidRPr="00F75F61">
        <w:rPr>
          <w:i/>
          <w:sz w:val="22"/>
          <w:szCs w:val="22"/>
        </w:rPr>
        <w:t xml:space="preserve"> </w:t>
      </w:r>
      <w:r w:rsidRPr="00F75F61">
        <w:rPr>
          <w:sz w:val="22"/>
          <w:szCs w:val="22"/>
        </w:rPr>
        <w:t>section VI.B.2.a.iii.</w:t>
      </w:r>
    </w:p>
  </w:footnote>
  <w:footnote w:id="16">
    <w:p w:rsidR="00803A32" w:rsidRPr="00F75F61" w:rsidRDefault="00803A32" w:rsidP="004503AC">
      <w:pPr>
        <w:tabs>
          <w:tab w:val="left" w:pos="720"/>
        </w:tabs>
        <w:spacing w:before="120" w:after="120" w:line="240" w:lineRule="auto"/>
        <w:ind w:left="720" w:hanging="720"/>
        <w:rPr>
          <w:sz w:val="22"/>
          <w:szCs w:val="22"/>
        </w:rPr>
      </w:pPr>
      <w:r w:rsidRPr="00F75F61">
        <w:rPr>
          <w:rStyle w:val="FootnoteReference"/>
          <w:sz w:val="22"/>
          <w:szCs w:val="22"/>
        </w:rPr>
        <w:footnoteRef/>
      </w:r>
      <w:r w:rsidRPr="00F75F61">
        <w:rPr>
          <w:sz w:val="22"/>
          <w:szCs w:val="22"/>
        </w:rPr>
        <w:t xml:space="preserve"> </w:t>
      </w:r>
      <w:r w:rsidRPr="00F75F61">
        <w:rPr>
          <w:sz w:val="22"/>
          <w:szCs w:val="22"/>
        </w:rPr>
        <w:tab/>
      </w:r>
      <w:r w:rsidRPr="00F75F61">
        <w:rPr>
          <w:i/>
          <w:sz w:val="22"/>
          <w:szCs w:val="22"/>
        </w:rPr>
        <w:t xml:space="preserve">See </w:t>
      </w:r>
      <w:r w:rsidRPr="00F75F61">
        <w:rPr>
          <w:sz w:val="22"/>
          <w:szCs w:val="22"/>
        </w:rPr>
        <w:t xml:space="preserve">Appendix </w:t>
      </w:r>
      <w:proofErr w:type="gramStart"/>
      <w:r w:rsidRPr="00F75F61">
        <w:rPr>
          <w:sz w:val="22"/>
          <w:szCs w:val="22"/>
        </w:rPr>
        <w:t>A</w:t>
      </w:r>
      <w:proofErr w:type="gramEnd"/>
      <w:r w:rsidRPr="00F75F61">
        <w:rPr>
          <w:sz w:val="22"/>
          <w:szCs w:val="22"/>
        </w:rPr>
        <w:t>,</w:t>
      </w:r>
      <w:r w:rsidRPr="00F75F61">
        <w:rPr>
          <w:i/>
          <w:sz w:val="22"/>
          <w:szCs w:val="22"/>
        </w:rPr>
        <w:t xml:space="preserve"> </w:t>
      </w:r>
      <w:r w:rsidRPr="00F75F61">
        <w:rPr>
          <w:sz w:val="22"/>
          <w:szCs w:val="22"/>
        </w:rPr>
        <w:t xml:space="preserve">sectionsVI.B.1.a. </w:t>
      </w:r>
    </w:p>
  </w:footnote>
  <w:footnote w:id="17">
    <w:p w:rsidR="00803A32" w:rsidRPr="00F75F61" w:rsidRDefault="00803A32" w:rsidP="004503AC">
      <w:pPr>
        <w:tabs>
          <w:tab w:val="left" w:pos="720"/>
        </w:tabs>
        <w:spacing w:before="120" w:after="120" w:line="240" w:lineRule="auto"/>
        <w:ind w:left="720" w:hanging="720"/>
        <w:rPr>
          <w:sz w:val="22"/>
          <w:szCs w:val="22"/>
        </w:rPr>
      </w:pPr>
      <w:r w:rsidRPr="00F75F61">
        <w:rPr>
          <w:rStyle w:val="FootnoteReference"/>
          <w:sz w:val="22"/>
          <w:szCs w:val="22"/>
        </w:rPr>
        <w:footnoteRef/>
      </w:r>
      <w:r w:rsidRPr="00F75F61">
        <w:rPr>
          <w:sz w:val="22"/>
          <w:szCs w:val="22"/>
        </w:rPr>
        <w:t xml:space="preserve"> </w:t>
      </w:r>
      <w:r w:rsidRPr="00F75F61">
        <w:rPr>
          <w:sz w:val="22"/>
          <w:szCs w:val="22"/>
        </w:rPr>
        <w:tab/>
        <w:t xml:space="preserve">[6 hours (Form ADV annual amendment) + 4.5 hours (new new Form ADV items)] = 10.5 hours.   </w:t>
      </w:r>
    </w:p>
  </w:footnote>
  <w:footnote w:id="18">
    <w:p w:rsidR="00803A32" w:rsidRPr="00F75F61" w:rsidRDefault="00803A32" w:rsidP="004503AC">
      <w:pPr>
        <w:tabs>
          <w:tab w:val="left" w:pos="720"/>
        </w:tabs>
        <w:spacing w:after="120" w:line="240" w:lineRule="auto"/>
        <w:ind w:left="720" w:hanging="720"/>
        <w:rPr>
          <w:sz w:val="22"/>
          <w:szCs w:val="22"/>
        </w:rPr>
      </w:pPr>
      <w:r w:rsidRPr="00F75F61">
        <w:rPr>
          <w:rStyle w:val="FootnoteReference"/>
          <w:sz w:val="22"/>
          <w:szCs w:val="22"/>
        </w:rPr>
        <w:footnoteRef/>
      </w:r>
      <w:r w:rsidRPr="00F75F61">
        <w:rPr>
          <w:sz w:val="22"/>
          <w:szCs w:val="22"/>
        </w:rPr>
        <w:t xml:space="preserve"> </w:t>
      </w:r>
      <w:r w:rsidRPr="00F75F61">
        <w:rPr>
          <w:sz w:val="22"/>
          <w:szCs w:val="22"/>
        </w:rPr>
        <w:tab/>
      </w:r>
      <w:r w:rsidRPr="00F75F61">
        <w:rPr>
          <w:i/>
          <w:sz w:val="22"/>
          <w:szCs w:val="22"/>
        </w:rPr>
        <w:t xml:space="preserve">See </w:t>
      </w:r>
      <w:r w:rsidRPr="00F75F61">
        <w:rPr>
          <w:sz w:val="22"/>
          <w:szCs w:val="22"/>
        </w:rPr>
        <w:t xml:space="preserve">Proposing Release, at n.293 and accompanying text.  </w:t>
      </w:r>
    </w:p>
  </w:footnote>
  <w:footnote w:id="19">
    <w:p w:rsidR="00803A32" w:rsidRPr="00F75F61" w:rsidRDefault="00803A32" w:rsidP="004503AC">
      <w:pPr>
        <w:pStyle w:val="FootnoteText"/>
        <w:spacing w:after="120" w:line="240" w:lineRule="auto"/>
        <w:ind w:left="720" w:hanging="720"/>
        <w:rPr>
          <w:szCs w:val="22"/>
        </w:rPr>
      </w:pPr>
      <w:r w:rsidRPr="00F75F61">
        <w:rPr>
          <w:rStyle w:val="FootnoteReference"/>
          <w:sz w:val="22"/>
          <w:szCs w:val="22"/>
        </w:rPr>
        <w:footnoteRef/>
      </w:r>
      <w:r w:rsidRPr="00F75F61">
        <w:rPr>
          <w:szCs w:val="22"/>
        </w:rPr>
        <w:t xml:space="preserve"> </w:t>
      </w:r>
      <w:r w:rsidRPr="00F75F61">
        <w:rPr>
          <w:szCs w:val="22"/>
        </w:rPr>
        <w:tab/>
        <w:t xml:space="preserve">124,425 hours (Form ADV amendment) + 33,350 hours (private fund reporting) = 157,775 hours.  </w:t>
      </w:r>
      <w:r w:rsidRPr="00F75F61">
        <w:rPr>
          <w:i/>
          <w:szCs w:val="22"/>
        </w:rPr>
        <w:t xml:space="preserve">See </w:t>
      </w:r>
      <w:r w:rsidRPr="00F75F61">
        <w:rPr>
          <w:szCs w:val="22"/>
        </w:rPr>
        <w:t>Proposing Release, at nn.403, 444</w:t>
      </w:r>
      <w:r>
        <w:rPr>
          <w:szCs w:val="22"/>
        </w:rPr>
        <w:t>.</w:t>
      </w:r>
    </w:p>
  </w:footnote>
  <w:footnote w:id="20">
    <w:p w:rsidR="00803A32" w:rsidRPr="00F75F61" w:rsidRDefault="00803A32" w:rsidP="009E09B9">
      <w:pPr>
        <w:pStyle w:val="FootnoteText"/>
        <w:spacing w:before="120" w:after="120" w:line="240" w:lineRule="auto"/>
        <w:ind w:left="720" w:hanging="720"/>
        <w:rPr>
          <w:szCs w:val="22"/>
        </w:rPr>
      </w:pPr>
      <w:r w:rsidRPr="00F75F61">
        <w:rPr>
          <w:rStyle w:val="FootnoteReference"/>
          <w:sz w:val="22"/>
          <w:szCs w:val="22"/>
        </w:rPr>
        <w:footnoteRef/>
      </w:r>
      <w:r w:rsidRPr="00F75F61">
        <w:rPr>
          <w:szCs w:val="22"/>
        </w:rPr>
        <w:t xml:space="preserve"> </w:t>
      </w:r>
      <w:r w:rsidRPr="00F75F61">
        <w:rPr>
          <w:szCs w:val="22"/>
        </w:rPr>
        <w:tab/>
      </w:r>
      <w:proofErr w:type="gramStart"/>
      <w:r w:rsidRPr="00F75F61">
        <w:rPr>
          <w:i/>
          <w:szCs w:val="22"/>
        </w:rPr>
        <w:t>See, e.g.,</w:t>
      </w:r>
      <w:r w:rsidRPr="00F75F61">
        <w:rPr>
          <w:szCs w:val="22"/>
        </w:rPr>
        <w:t xml:space="preserve"> ICI Letter; MFA Letter; NYSBA Committee Letter; Shearman Letter.</w:t>
      </w:r>
      <w:proofErr w:type="gramEnd"/>
    </w:p>
  </w:footnote>
  <w:footnote w:id="21">
    <w:p w:rsidR="00803A32" w:rsidRPr="00F75F61" w:rsidRDefault="00803A32" w:rsidP="009E09B9">
      <w:pPr>
        <w:pStyle w:val="FootnoteText"/>
        <w:spacing w:before="120" w:after="120" w:line="240" w:lineRule="auto"/>
        <w:ind w:left="720" w:hanging="720"/>
        <w:rPr>
          <w:szCs w:val="22"/>
        </w:rPr>
      </w:pPr>
      <w:r w:rsidRPr="00F75F61">
        <w:rPr>
          <w:rStyle w:val="FootnoteReference"/>
          <w:sz w:val="22"/>
          <w:szCs w:val="22"/>
        </w:rPr>
        <w:footnoteRef/>
      </w:r>
      <w:r w:rsidRPr="00F75F61">
        <w:rPr>
          <w:szCs w:val="22"/>
        </w:rPr>
        <w:t xml:space="preserve"> </w:t>
      </w:r>
      <w:r w:rsidRPr="00F75F61">
        <w:rPr>
          <w:szCs w:val="22"/>
        </w:rPr>
        <w:tab/>
        <w:t>ICI Letter (recommending exempting advisers that do not rely on assets under management to register with the SEC); MFA Letter (recommending exempting private fund advisers that file an initial Form ADV by July 21); NYSBA Committee Letter (recommending exempting advisers who will continue to be eligible for Commission registration and advisers relying on the section 203(b</w:t>
      </w:r>
      <w:proofErr w:type="gramStart"/>
      <w:r w:rsidRPr="00F75F61">
        <w:rPr>
          <w:szCs w:val="22"/>
        </w:rPr>
        <w:t>)(</w:t>
      </w:r>
      <w:proofErr w:type="gramEnd"/>
      <w:r w:rsidRPr="00F75F61">
        <w:rPr>
          <w:szCs w:val="22"/>
        </w:rPr>
        <w:t xml:space="preserve">3) exemption that </w:t>
      </w:r>
      <w:r>
        <w:rPr>
          <w:szCs w:val="22"/>
        </w:rPr>
        <w:t>the Commission</w:t>
      </w:r>
      <w:r w:rsidRPr="00F75F61">
        <w:rPr>
          <w:szCs w:val="22"/>
        </w:rPr>
        <w:t xml:space="preserve"> proposed would have to register with the Commission by July 21, 2011</w:t>
      </w:r>
      <w:r>
        <w:rPr>
          <w:szCs w:val="22"/>
        </w:rPr>
        <w:t>)</w:t>
      </w:r>
      <w:r w:rsidRPr="00F75F61">
        <w:rPr>
          <w:szCs w:val="22"/>
        </w:rPr>
        <w:t xml:space="preserve">.  </w:t>
      </w:r>
    </w:p>
  </w:footnote>
  <w:footnote w:id="22">
    <w:p w:rsidR="00803A32" w:rsidRPr="00F75F61" w:rsidRDefault="00803A32" w:rsidP="009E09B9">
      <w:pPr>
        <w:pStyle w:val="FootnoteText"/>
        <w:spacing w:before="120" w:after="120" w:line="240" w:lineRule="auto"/>
        <w:ind w:left="720" w:hanging="720"/>
        <w:rPr>
          <w:szCs w:val="22"/>
        </w:rPr>
      </w:pPr>
      <w:r w:rsidRPr="00F75F61">
        <w:rPr>
          <w:rStyle w:val="FootnoteReference"/>
          <w:sz w:val="22"/>
          <w:szCs w:val="22"/>
        </w:rPr>
        <w:footnoteRef/>
      </w:r>
      <w:r w:rsidRPr="00F75F61">
        <w:rPr>
          <w:szCs w:val="22"/>
        </w:rPr>
        <w:t xml:space="preserve"> </w:t>
      </w:r>
      <w:r w:rsidRPr="00F75F61">
        <w:rPr>
          <w:szCs w:val="22"/>
        </w:rPr>
        <w:tab/>
        <w:t xml:space="preserve">Shearman Letter.  </w:t>
      </w:r>
    </w:p>
  </w:footnote>
  <w:footnote w:id="23">
    <w:p w:rsidR="00803A32" w:rsidRPr="00F75F61" w:rsidRDefault="00803A32" w:rsidP="009E09B9">
      <w:pPr>
        <w:tabs>
          <w:tab w:val="left" w:pos="720"/>
        </w:tabs>
        <w:spacing w:before="120" w:after="120" w:line="240" w:lineRule="auto"/>
        <w:ind w:left="720" w:hanging="720"/>
        <w:rPr>
          <w:sz w:val="22"/>
          <w:szCs w:val="22"/>
        </w:rPr>
      </w:pPr>
      <w:r w:rsidRPr="00F75F61">
        <w:rPr>
          <w:rStyle w:val="FootnoteReference"/>
          <w:sz w:val="22"/>
          <w:szCs w:val="22"/>
        </w:rPr>
        <w:footnoteRef/>
      </w:r>
      <w:r w:rsidRPr="00F75F61">
        <w:rPr>
          <w:sz w:val="22"/>
          <w:szCs w:val="22"/>
        </w:rPr>
        <w:t xml:space="preserve"> </w:t>
      </w:r>
      <w:r w:rsidRPr="00F75F61">
        <w:rPr>
          <w:sz w:val="22"/>
          <w:szCs w:val="22"/>
        </w:rPr>
        <w:tab/>
      </w:r>
      <w:r w:rsidRPr="00F75F61">
        <w:rPr>
          <w:i/>
          <w:sz w:val="22"/>
          <w:szCs w:val="22"/>
        </w:rPr>
        <w:t xml:space="preserve">See </w:t>
      </w:r>
      <w:r w:rsidRPr="00F75F61">
        <w:rPr>
          <w:sz w:val="22"/>
          <w:szCs w:val="22"/>
        </w:rPr>
        <w:t xml:space="preserve">NASAA Letter (“the benefits of electronic filing, including easy public access to the documents, are significant and would outweigh any disadvantages imposed by a delay in filing deadlines.”); NRS Letter (urging Commission not to “regress to paper filings” which would be “a huge step into the past” and “appears to be counter to Dodd-Frank Act purposes of transparency and consistency.”).  </w:t>
      </w:r>
      <w:r w:rsidRPr="00F75F61">
        <w:rPr>
          <w:i/>
          <w:sz w:val="22"/>
          <w:szCs w:val="22"/>
        </w:rPr>
        <w:t xml:space="preserve">See also </w:t>
      </w:r>
      <w:r w:rsidRPr="00F75F61">
        <w:rPr>
          <w:sz w:val="22"/>
          <w:szCs w:val="22"/>
        </w:rPr>
        <w:t>Dezellem Letter (the IARD is efficient and reduces risks of misplacing paper documents and possible filing errors); NYSBA Committee Letter (the IARD is the “most efficient mechanism for advisers and exempt reporting advisers to meet their filing obligations and make such filings to the public.”).  FINRA informed us that the IARD will be updated to reflect the revisions to Form ADV that we are adopting today beginning in November.</w:t>
      </w:r>
      <w:r w:rsidRPr="00F75F61">
        <w:rPr>
          <w:rFonts w:eastAsia="DeVinne"/>
          <w:sz w:val="22"/>
          <w:szCs w:val="22"/>
        </w:rPr>
        <w:t xml:space="preserve">  </w:t>
      </w:r>
      <w:r w:rsidRPr="00F75F61">
        <w:rPr>
          <w:rFonts w:eastAsia="DeVinne"/>
          <w:i/>
          <w:sz w:val="22"/>
          <w:szCs w:val="22"/>
        </w:rPr>
        <w:t xml:space="preserve">See </w:t>
      </w:r>
      <w:r>
        <w:rPr>
          <w:rFonts w:eastAsia="DeVinne"/>
          <w:sz w:val="22"/>
          <w:szCs w:val="22"/>
        </w:rPr>
        <w:t xml:space="preserve">Appendix </w:t>
      </w:r>
      <w:proofErr w:type="gramStart"/>
      <w:r>
        <w:rPr>
          <w:rFonts w:eastAsia="DeVinne"/>
          <w:sz w:val="22"/>
          <w:szCs w:val="22"/>
        </w:rPr>
        <w:t>A</w:t>
      </w:r>
      <w:proofErr w:type="gramEnd"/>
      <w:r>
        <w:rPr>
          <w:rFonts w:eastAsia="DeVinne"/>
          <w:sz w:val="22"/>
          <w:szCs w:val="22"/>
        </w:rPr>
        <w:t>,</w:t>
      </w:r>
      <w:r w:rsidRPr="00F75F61">
        <w:rPr>
          <w:rFonts w:eastAsia="DeVinne"/>
          <w:i/>
          <w:sz w:val="22"/>
          <w:szCs w:val="22"/>
        </w:rPr>
        <w:t xml:space="preserve"> </w:t>
      </w:r>
      <w:r w:rsidRPr="00F75F61">
        <w:rPr>
          <w:rFonts w:eastAsia="DeVinne"/>
          <w:sz w:val="22"/>
          <w:szCs w:val="22"/>
        </w:rPr>
        <w:t>section II.A.1.</w:t>
      </w:r>
    </w:p>
  </w:footnote>
  <w:footnote w:id="24">
    <w:p w:rsidR="00803A32" w:rsidRPr="00F75F61" w:rsidRDefault="00803A32" w:rsidP="009E09B9">
      <w:pPr>
        <w:pStyle w:val="FootnoteText"/>
        <w:spacing w:before="120" w:after="120" w:line="240" w:lineRule="auto"/>
        <w:ind w:left="720" w:hanging="720"/>
        <w:rPr>
          <w:szCs w:val="22"/>
        </w:rPr>
      </w:pPr>
      <w:r w:rsidRPr="00F75F61">
        <w:rPr>
          <w:rStyle w:val="FootnoteReference"/>
          <w:sz w:val="22"/>
          <w:szCs w:val="22"/>
        </w:rPr>
        <w:footnoteRef/>
      </w:r>
      <w:r w:rsidRPr="00F75F61">
        <w:rPr>
          <w:szCs w:val="22"/>
        </w:rPr>
        <w:t xml:space="preserve"> </w:t>
      </w:r>
      <w:r w:rsidRPr="00F75F61">
        <w:rPr>
          <w:szCs w:val="22"/>
        </w:rPr>
        <w:tab/>
      </w:r>
      <w:r w:rsidRPr="00F75F61">
        <w:rPr>
          <w:i/>
          <w:szCs w:val="22"/>
        </w:rPr>
        <w:t xml:space="preserve">See </w:t>
      </w:r>
      <w:r>
        <w:rPr>
          <w:i/>
          <w:szCs w:val="22"/>
        </w:rPr>
        <w:t>infra</w:t>
      </w:r>
      <w:r w:rsidRPr="00F75F61">
        <w:rPr>
          <w:i/>
          <w:szCs w:val="22"/>
        </w:rPr>
        <w:t xml:space="preserve"> </w:t>
      </w:r>
      <w:r w:rsidRPr="00F75F61">
        <w:rPr>
          <w:szCs w:val="22"/>
        </w:rPr>
        <w:t>note</w:t>
      </w:r>
      <w:r>
        <w:rPr>
          <w:szCs w:val="22"/>
        </w:rPr>
        <w:t xml:space="preserve"> </w:t>
      </w:r>
      <w:r w:rsidR="007F7DA8">
        <w:rPr>
          <w:szCs w:val="22"/>
        </w:rPr>
        <w:fldChar w:fldCharType="begin"/>
      </w:r>
      <w:r>
        <w:rPr>
          <w:szCs w:val="22"/>
        </w:rPr>
        <w:instrText xml:space="preserve"> NOTEREF _Ref296075821 \h </w:instrText>
      </w:r>
      <w:r w:rsidR="007F7DA8">
        <w:rPr>
          <w:szCs w:val="22"/>
        </w:rPr>
      </w:r>
      <w:r w:rsidR="007F7DA8">
        <w:rPr>
          <w:szCs w:val="22"/>
        </w:rPr>
        <w:fldChar w:fldCharType="separate"/>
      </w:r>
      <w:r>
        <w:rPr>
          <w:szCs w:val="22"/>
        </w:rPr>
        <w:t>26</w:t>
      </w:r>
      <w:r w:rsidR="007F7DA8">
        <w:rPr>
          <w:szCs w:val="22"/>
        </w:rPr>
        <w:fldChar w:fldCharType="end"/>
      </w:r>
      <w:r w:rsidRPr="00F75F61">
        <w:rPr>
          <w:szCs w:val="22"/>
        </w:rPr>
        <w:t xml:space="preserve">.  </w:t>
      </w:r>
      <w:r w:rsidRPr="00F75F61">
        <w:rPr>
          <w:i/>
          <w:szCs w:val="22"/>
        </w:rPr>
        <w:t xml:space="preserve">See also </w:t>
      </w:r>
      <w:r w:rsidRPr="00F75F61">
        <w:rPr>
          <w:szCs w:val="22"/>
        </w:rPr>
        <w:t xml:space="preserve">CMC Letter (suggesting “timing of the transition from federal to state registration could be centered </w:t>
      </w:r>
      <w:proofErr w:type="gramStart"/>
      <w:r w:rsidRPr="00F75F61">
        <w:rPr>
          <w:szCs w:val="22"/>
        </w:rPr>
        <w:t>around</w:t>
      </w:r>
      <w:proofErr w:type="gramEnd"/>
      <w:r w:rsidRPr="00F75F61">
        <w:rPr>
          <w:szCs w:val="22"/>
        </w:rPr>
        <w:t xml:space="preserve"> renewals for 2012”).  </w:t>
      </w:r>
    </w:p>
  </w:footnote>
  <w:footnote w:id="25">
    <w:p w:rsidR="00803A32" w:rsidRPr="00F75F61" w:rsidRDefault="00803A32" w:rsidP="009E09B9">
      <w:pPr>
        <w:pStyle w:val="FootnoteText"/>
        <w:spacing w:before="120" w:after="120" w:line="240" w:lineRule="auto"/>
        <w:ind w:left="720" w:hanging="720"/>
        <w:rPr>
          <w:szCs w:val="22"/>
        </w:rPr>
      </w:pPr>
      <w:r w:rsidRPr="00F75F61">
        <w:rPr>
          <w:rStyle w:val="FootnoteReference"/>
          <w:sz w:val="22"/>
          <w:szCs w:val="22"/>
        </w:rPr>
        <w:footnoteRef/>
      </w:r>
      <w:r w:rsidRPr="00F75F61">
        <w:rPr>
          <w:szCs w:val="22"/>
        </w:rPr>
        <w:t xml:space="preserve"> </w:t>
      </w:r>
      <w:r w:rsidRPr="00F75F61">
        <w:rPr>
          <w:szCs w:val="22"/>
        </w:rPr>
        <w:tab/>
      </w:r>
      <w:r w:rsidRPr="00F75F61">
        <w:rPr>
          <w:i/>
          <w:szCs w:val="22"/>
        </w:rPr>
        <w:t xml:space="preserve">See </w:t>
      </w:r>
      <w:r w:rsidRPr="00F75F61">
        <w:rPr>
          <w:szCs w:val="22"/>
        </w:rPr>
        <w:t xml:space="preserve">MFA Letter.  </w:t>
      </w:r>
    </w:p>
  </w:footnote>
  <w:footnote w:id="26">
    <w:p w:rsidR="00803A32" w:rsidRPr="00F75F61" w:rsidRDefault="00803A32" w:rsidP="00900955">
      <w:pPr>
        <w:tabs>
          <w:tab w:val="left" w:pos="720"/>
        </w:tabs>
        <w:spacing w:after="120" w:line="240" w:lineRule="auto"/>
        <w:ind w:left="720" w:hanging="720"/>
        <w:rPr>
          <w:sz w:val="22"/>
          <w:szCs w:val="22"/>
        </w:rPr>
      </w:pPr>
      <w:r w:rsidRPr="00F75F61">
        <w:rPr>
          <w:rStyle w:val="FootnoteReference"/>
          <w:sz w:val="22"/>
          <w:szCs w:val="22"/>
        </w:rPr>
        <w:footnoteRef/>
      </w:r>
      <w:r w:rsidRPr="00F75F61">
        <w:rPr>
          <w:sz w:val="22"/>
          <w:szCs w:val="22"/>
        </w:rPr>
        <w:t xml:space="preserve"> </w:t>
      </w:r>
      <w:r w:rsidRPr="00F75F61">
        <w:rPr>
          <w:sz w:val="22"/>
          <w:szCs w:val="22"/>
        </w:rPr>
        <w:tab/>
        <w:t>Based on IARD data as of April 7, 2011, 10,636 advisers reported on Form ADV a December 31 fiscal year end, of which we estimate approximately 3,</w:t>
      </w:r>
      <w:r w:rsidR="006E684C">
        <w:rPr>
          <w:sz w:val="22"/>
          <w:szCs w:val="22"/>
        </w:rPr>
        <w:t>013</w:t>
      </w:r>
      <w:r w:rsidRPr="00F75F61">
        <w:rPr>
          <w:sz w:val="22"/>
          <w:szCs w:val="22"/>
        </w:rPr>
        <w:t xml:space="preserve"> will file a Form ADV to comply with the Form ADV filing requirement of new rule 203A-5 before switching to state registration because they reported assets under management of less than $90 million and</w:t>
      </w:r>
      <w:r w:rsidR="00157DFC">
        <w:rPr>
          <w:sz w:val="22"/>
          <w:szCs w:val="22"/>
        </w:rPr>
        <w:t xml:space="preserve"> either: (i) they</w:t>
      </w:r>
      <w:r w:rsidRPr="00F75F61">
        <w:rPr>
          <w:sz w:val="22"/>
          <w:szCs w:val="22"/>
        </w:rPr>
        <w:t xml:space="preserve"> did not indicate on Part 1A of Form ADV that they are relying on an exemption from the prohibition on Commission registration</w:t>
      </w:r>
      <w:r w:rsidR="006E684C">
        <w:rPr>
          <w:sz w:val="22"/>
          <w:szCs w:val="22"/>
        </w:rPr>
        <w:t xml:space="preserve">; or </w:t>
      </w:r>
      <w:r w:rsidR="00B62E77" w:rsidRPr="00B62E77">
        <w:rPr>
          <w:sz w:val="22"/>
          <w:szCs w:val="22"/>
        </w:rPr>
        <w:t xml:space="preserve">(ii) they do not have a principal office and place of business in Minnesota, New York or Wyoming.  </w:t>
      </w:r>
      <w:r w:rsidRPr="00F75F61">
        <w:rPr>
          <w:sz w:val="22"/>
          <w:szCs w:val="22"/>
        </w:rPr>
        <w:t>Additionally, 868 advisers reported a fiscal year end other than December 31 and will file an additional, other-than-annual amendment to comply with new rule 203A-5.  3,</w:t>
      </w:r>
      <w:r w:rsidR="002A555E">
        <w:rPr>
          <w:sz w:val="22"/>
          <w:szCs w:val="22"/>
        </w:rPr>
        <w:t>013</w:t>
      </w:r>
      <w:r w:rsidRPr="00F75F61">
        <w:rPr>
          <w:sz w:val="22"/>
          <w:szCs w:val="22"/>
        </w:rPr>
        <w:t xml:space="preserve"> + 868 = </w:t>
      </w:r>
      <w:r w:rsidR="002A555E">
        <w:rPr>
          <w:sz w:val="22"/>
          <w:szCs w:val="22"/>
        </w:rPr>
        <w:t>3,881</w:t>
      </w:r>
      <w:r w:rsidRPr="00F75F61">
        <w:rPr>
          <w:sz w:val="22"/>
          <w:szCs w:val="22"/>
        </w:rPr>
        <w:t xml:space="preserve">.  We have rounded this number to </w:t>
      </w:r>
      <w:r w:rsidR="002A555E">
        <w:rPr>
          <w:sz w:val="22"/>
          <w:szCs w:val="22"/>
        </w:rPr>
        <w:t>3,900</w:t>
      </w:r>
      <w:r w:rsidRPr="00F75F61">
        <w:rPr>
          <w:sz w:val="22"/>
          <w:szCs w:val="22"/>
        </w:rPr>
        <w:t xml:space="preserve"> for purposes of our analysis.</w:t>
      </w:r>
      <w:r>
        <w:rPr>
          <w:sz w:val="22"/>
          <w:szCs w:val="22"/>
        </w:rPr>
        <w:t xml:space="preserve">  The revised PRA burden for Form ADV includes the annual amendment filing by the approximately 7,</w:t>
      </w:r>
      <w:r w:rsidR="00726558">
        <w:rPr>
          <w:sz w:val="22"/>
          <w:szCs w:val="22"/>
        </w:rPr>
        <w:t>6</w:t>
      </w:r>
      <w:r w:rsidR="00261174">
        <w:rPr>
          <w:sz w:val="22"/>
          <w:szCs w:val="22"/>
        </w:rPr>
        <w:t>00</w:t>
      </w:r>
      <w:r>
        <w:rPr>
          <w:sz w:val="22"/>
          <w:szCs w:val="22"/>
        </w:rPr>
        <w:t xml:space="preserve"> advisers with a December 31 fiscal year end that we estimate will remain registered with the Commission after the switch.</w:t>
      </w:r>
    </w:p>
  </w:footnote>
  <w:footnote w:id="27">
    <w:p w:rsidR="00803A32" w:rsidRPr="00F75F61" w:rsidRDefault="00803A32" w:rsidP="004503AC">
      <w:pPr>
        <w:tabs>
          <w:tab w:val="left" w:pos="720"/>
        </w:tabs>
        <w:spacing w:after="120" w:line="240" w:lineRule="auto"/>
        <w:ind w:left="720" w:hanging="720"/>
        <w:rPr>
          <w:sz w:val="22"/>
          <w:szCs w:val="22"/>
        </w:rPr>
      </w:pPr>
      <w:r w:rsidRPr="00F75F61">
        <w:rPr>
          <w:rStyle w:val="FootnoteReference"/>
          <w:sz w:val="22"/>
          <w:szCs w:val="22"/>
        </w:rPr>
        <w:footnoteRef/>
      </w:r>
      <w:r w:rsidRPr="00F75F61">
        <w:rPr>
          <w:sz w:val="22"/>
          <w:szCs w:val="22"/>
        </w:rPr>
        <w:t xml:space="preserve"> </w:t>
      </w:r>
      <w:r w:rsidRPr="00F75F61">
        <w:rPr>
          <w:sz w:val="22"/>
          <w:szCs w:val="22"/>
        </w:rPr>
        <w:tab/>
        <w:t xml:space="preserve">10.5 hours x </w:t>
      </w:r>
      <w:r w:rsidR="00261174">
        <w:rPr>
          <w:sz w:val="22"/>
          <w:szCs w:val="22"/>
        </w:rPr>
        <w:t>3,900</w:t>
      </w:r>
      <w:r w:rsidRPr="00F75F61">
        <w:rPr>
          <w:sz w:val="22"/>
          <w:szCs w:val="22"/>
        </w:rPr>
        <w:t xml:space="preserve"> advisers = </w:t>
      </w:r>
      <w:r w:rsidR="00261174">
        <w:rPr>
          <w:sz w:val="22"/>
          <w:szCs w:val="22"/>
        </w:rPr>
        <w:t>40,950</w:t>
      </w:r>
      <w:r w:rsidRPr="00F75F61">
        <w:rPr>
          <w:sz w:val="22"/>
          <w:szCs w:val="22"/>
        </w:rPr>
        <w:t xml:space="preserve"> hours.</w:t>
      </w:r>
    </w:p>
  </w:footnote>
  <w:footnote w:id="28">
    <w:p w:rsidR="00803A32" w:rsidRPr="00F75F61" w:rsidRDefault="00803A32" w:rsidP="004503AC">
      <w:pPr>
        <w:pStyle w:val="FootnoteText"/>
        <w:spacing w:before="120" w:after="120" w:line="240" w:lineRule="auto"/>
        <w:ind w:left="720" w:hanging="720"/>
        <w:rPr>
          <w:szCs w:val="22"/>
        </w:rPr>
      </w:pPr>
      <w:r w:rsidRPr="00F75F61">
        <w:rPr>
          <w:rStyle w:val="FootnoteReference"/>
          <w:sz w:val="22"/>
          <w:szCs w:val="22"/>
        </w:rPr>
        <w:footnoteRef/>
      </w:r>
      <w:r w:rsidRPr="00F75F61">
        <w:rPr>
          <w:szCs w:val="22"/>
        </w:rPr>
        <w:t xml:space="preserve"> </w:t>
      </w:r>
      <w:r w:rsidRPr="00F75F61">
        <w:rPr>
          <w:szCs w:val="22"/>
        </w:rPr>
        <w:tab/>
        <w:t>Based on IARD data as of April 7, 2011, 839 advisers out of the estimated 3,700 current SEC-registered advisers that advise private funds do not have a December fiscal year end or are expected to switch to state registration. We have rounded this number to 850 for purposes of this analysis.</w:t>
      </w:r>
    </w:p>
  </w:footnote>
  <w:footnote w:id="29">
    <w:p w:rsidR="00803A32" w:rsidRPr="00F75F61" w:rsidRDefault="00803A32" w:rsidP="004503AC">
      <w:pPr>
        <w:pStyle w:val="FootnoteText"/>
        <w:spacing w:before="120" w:after="120" w:line="240" w:lineRule="auto"/>
        <w:ind w:left="720" w:hanging="720"/>
        <w:rPr>
          <w:szCs w:val="22"/>
        </w:rPr>
      </w:pPr>
      <w:r w:rsidRPr="00F75F61">
        <w:rPr>
          <w:rStyle w:val="FootnoteReference"/>
          <w:sz w:val="22"/>
          <w:szCs w:val="22"/>
        </w:rPr>
        <w:footnoteRef/>
      </w:r>
      <w:r w:rsidRPr="00F75F61">
        <w:rPr>
          <w:szCs w:val="22"/>
        </w:rPr>
        <w:t xml:space="preserve"> </w:t>
      </w:r>
      <w:r w:rsidRPr="00F75F61">
        <w:rPr>
          <w:szCs w:val="22"/>
        </w:rPr>
        <w:tab/>
        <w:t xml:space="preserve">Based on IARD data as of April 7, 2011, we estimate that approximately 52 percent of these 850 private fund advisers, or 442, currently advise an average of 3 private funds each; 43 percent, or 365 advisers, currently advise an average of 10 private funds each; and the remaining 5 percent, or 43 advisers, currently advise an average of 79 private funds each.  </w:t>
      </w:r>
      <w:r w:rsidRPr="00F75F61">
        <w:rPr>
          <w:i/>
          <w:szCs w:val="22"/>
        </w:rPr>
        <w:t xml:space="preserve">See </w:t>
      </w:r>
      <w:r>
        <w:rPr>
          <w:szCs w:val="22"/>
        </w:rPr>
        <w:t>Appendix A,</w:t>
      </w:r>
      <w:r w:rsidRPr="00F75F61">
        <w:rPr>
          <w:i/>
          <w:szCs w:val="22"/>
        </w:rPr>
        <w:t xml:space="preserve"> </w:t>
      </w:r>
      <w:r w:rsidRPr="00F75F61">
        <w:rPr>
          <w:szCs w:val="22"/>
        </w:rPr>
        <w:t>note</w:t>
      </w:r>
      <w:r>
        <w:rPr>
          <w:szCs w:val="22"/>
        </w:rPr>
        <w:t xml:space="preserve"> </w:t>
      </w:r>
      <w:r w:rsidR="0022522D">
        <w:rPr>
          <w:szCs w:val="22"/>
        </w:rPr>
        <w:t>697</w:t>
      </w:r>
      <w:r w:rsidRPr="00F75F61">
        <w:rPr>
          <w:szCs w:val="22"/>
        </w:rPr>
        <w:t xml:space="preserve"> and accompanying text.  (442 advisers x 3 funds x 1 burden hour per fund) + (365 x 10 funds x 1 burden hour per fund) + (43 advisers x 79 funds x 1 burden hour per fund) = 1,326 hours + 3,650 hours + 3,397 hours = 8,373 hours.</w:t>
      </w:r>
    </w:p>
  </w:footnote>
  <w:footnote w:id="30">
    <w:p w:rsidR="00803A32" w:rsidRPr="00F75F61" w:rsidRDefault="00803A32" w:rsidP="004503AC">
      <w:pPr>
        <w:tabs>
          <w:tab w:val="left" w:pos="720"/>
        </w:tabs>
        <w:spacing w:before="120" w:after="120" w:line="240" w:lineRule="auto"/>
        <w:ind w:left="720" w:hanging="720"/>
        <w:rPr>
          <w:sz w:val="22"/>
          <w:szCs w:val="22"/>
        </w:rPr>
      </w:pPr>
      <w:r w:rsidRPr="00F75F61">
        <w:rPr>
          <w:rStyle w:val="FootnoteReference"/>
          <w:sz w:val="22"/>
          <w:szCs w:val="22"/>
        </w:rPr>
        <w:footnoteRef/>
      </w:r>
      <w:r w:rsidRPr="00F75F61">
        <w:rPr>
          <w:sz w:val="22"/>
          <w:szCs w:val="22"/>
        </w:rPr>
        <w:t xml:space="preserve"> </w:t>
      </w:r>
      <w:r w:rsidRPr="00F75F61">
        <w:rPr>
          <w:sz w:val="22"/>
          <w:szCs w:val="22"/>
        </w:rPr>
        <w:tab/>
      </w:r>
      <w:r w:rsidR="002A57F5">
        <w:rPr>
          <w:sz w:val="22"/>
          <w:szCs w:val="22"/>
        </w:rPr>
        <w:t>40,950</w:t>
      </w:r>
      <w:r w:rsidRPr="00F75F61">
        <w:rPr>
          <w:sz w:val="22"/>
          <w:szCs w:val="22"/>
        </w:rPr>
        <w:t xml:space="preserve"> (burden hours for Form ADV filing excluding private fund reporting) + 8,373 (burden hours for private fund reporting) = </w:t>
      </w:r>
      <w:r w:rsidR="00337017">
        <w:rPr>
          <w:sz w:val="22"/>
          <w:szCs w:val="22"/>
        </w:rPr>
        <w:t>49,323</w:t>
      </w:r>
      <w:r w:rsidRPr="00F75F61">
        <w:rPr>
          <w:sz w:val="22"/>
          <w:szCs w:val="22"/>
        </w:rPr>
        <w:t xml:space="preserve"> total burden hours for Form ADV filing.</w:t>
      </w:r>
    </w:p>
  </w:footnote>
  <w:footnote w:id="31">
    <w:p w:rsidR="00803A32" w:rsidRPr="00F75F61" w:rsidRDefault="00803A32" w:rsidP="009E09B9">
      <w:pPr>
        <w:tabs>
          <w:tab w:val="left" w:pos="720"/>
        </w:tabs>
        <w:spacing w:after="120" w:line="240" w:lineRule="auto"/>
        <w:ind w:left="720" w:hanging="720"/>
        <w:rPr>
          <w:sz w:val="22"/>
          <w:szCs w:val="22"/>
        </w:rPr>
      </w:pPr>
      <w:r w:rsidRPr="00F75F61">
        <w:rPr>
          <w:rStyle w:val="FootnoteReference"/>
          <w:sz w:val="22"/>
          <w:szCs w:val="22"/>
        </w:rPr>
        <w:footnoteRef/>
      </w:r>
      <w:r w:rsidRPr="00F75F61">
        <w:rPr>
          <w:sz w:val="22"/>
          <w:szCs w:val="22"/>
        </w:rPr>
        <w:t xml:space="preserve"> </w:t>
      </w:r>
      <w:r w:rsidRPr="00F75F61">
        <w:rPr>
          <w:sz w:val="22"/>
          <w:szCs w:val="22"/>
        </w:rPr>
        <w:tab/>
        <w:t xml:space="preserve">Data from the </w:t>
      </w:r>
      <w:r w:rsidRPr="00F75F61">
        <w:rPr>
          <w:i/>
          <w:sz w:val="22"/>
          <w:szCs w:val="22"/>
        </w:rPr>
        <w:t>Securities Industry Financial Markets Association’s Management &amp; Professional Earnings in the Securities Industry 2010</w:t>
      </w:r>
      <w:r w:rsidRPr="00F75F61">
        <w:rPr>
          <w:sz w:val="22"/>
          <w:szCs w:val="22"/>
        </w:rPr>
        <w:t xml:space="preserve">, modified to account for an 1,800-hour work-year and multiplied by 5.35 to account for bonuses, firm size, employee benefits and overhead, suggest that costs for a senior compliance examiner and a compliance manager are $235 and $273 per hour, respectively.   </w:t>
      </w:r>
    </w:p>
  </w:footnote>
  <w:footnote w:id="32">
    <w:p w:rsidR="00803A32" w:rsidRPr="00F75F61" w:rsidRDefault="00803A32" w:rsidP="009E09B9">
      <w:pPr>
        <w:tabs>
          <w:tab w:val="left" w:pos="720"/>
        </w:tabs>
        <w:spacing w:after="120" w:line="240" w:lineRule="auto"/>
        <w:ind w:left="720" w:hanging="720"/>
        <w:rPr>
          <w:sz w:val="22"/>
          <w:szCs w:val="22"/>
        </w:rPr>
      </w:pPr>
      <w:r w:rsidRPr="00F75F61">
        <w:rPr>
          <w:rStyle w:val="FootnoteReference"/>
          <w:sz w:val="22"/>
          <w:szCs w:val="22"/>
        </w:rPr>
        <w:footnoteRef/>
      </w:r>
      <w:r w:rsidRPr="00F75F61">
        <w:rPr>
          <w:sz w:val="22"/>
          <w:szCs w:val="22"/>
        </w:rPr>
        <w:t xml:space="preserve"> </w:t>
      </w:r>
      <w:r w:rsidRPr="00F75F61">
        <w:rPr>
          <w:sz w:val="22"/>
          <w:szCs w:val="22"/>
        </w:rPr>
        <w:tab/>
        <w:t>[5.25 hours x $235 = $1,233.75] + [5.25 hours x $273 = $1,433.25] = $2,667.</w:t>
      </w:r>
    </w:p>
  </w:footnote>
  <w:footnote w:id="33">
    <w:p w:rsidR="00803A32" w:rsidRPr="00F75F61" w:rsidRDefault="00803A32" w:rsidP="009E09B9">
      <w:pPr>
        <w:pStyle w:val="FootnoteText"/>
        <w:spacing w:before="120" w:after="120" w:line="240" w:lineRule="auto"/>
        <w:ind w:left="720" w:hanging="720"/>
        <w:rPr>
          <w:szCs w:val="22"/>
        </w:rPr>
      </w:pPr>
      <w:r w:rsidRPr="00F75F61">
        <w:rPr>
          <w:rStyle w:val="FootnoteReference"/>
          <w:sz w:val="22"/>
          <w:szCs w:val="22"/>
        </w:rPr>
        <w:footnoteRef/>
      </w:r>
      <w:r w:rsidRPr="00F75F61">
        <w:rPr>
          <w:szCs w:val="22"/>
        </w:rPr>
        <w:t xml:space="preserve"> </w:t>
      </w:r>
      <w:r w:rsidRPr="00F75F61">
        <w:rPr>
          <w:szCs w:val="22"/>
        </w:rPr>
        <w:tab/>
      </w:r>
      <w:r w:rsidR="00A70703">
        <w:rPr>
          <w:szCs w:val="22"/>
        </w:rPr>
        <w:t>3,900</w:t>
      </w:r>
      <w:r w:rsidRPr="00F75F61">
        <w:rPr>
          <w:szCs w:val="22"/>
        </w:rPr>
        <w:t xml:space="preserve"> advisers x $2,667 = $</w:t>
      </w:r>
      <w:r w:rsidR="00A70703">
        <w:rPr>
          <w:szCs w:val="22"/>
        </w:rPr>
        <w:t>10,401,300</w:t>
      </w:r>
      <w:r w:rsidRPr="00F75F61">
        <w:rPr>
          <w:szCs w:val="22"/>
        </w:rPr>
        <w:t xml:space="preserve">.  </w:t>
      </w:r>
    </w:p>
  </w:footnote>
  <w:footnote w:id="34">
    <w:p w:rsidR="00803A32" w:rsidRPr="00F75F61" w:rsidRDefault="00803A32" w:rsidP="007B6225">
      <w:pPr>
        <w:pStyle w:val="FootnoteText"/>
        <w:spacing w:before="120" w:after="120" w:line="240" w:lineRule="auto"/>
        <w:ind w:left="720" w:hanging="720"/>
        <w:rPr>
          <w:szCs w:val="22"/>
        </w:rPr>
      </w:pPr>
      <w:r w:rsidRPr="00F75F61">
        <w:rPr>
          <w:rStyle w:val="FootnoteReference"/>
          <w:sz w:val="22"/>
          <w:szCs w:val="22"/>
        </w:rPr>
        <w:footnoteRef/>
      </w:r>
      <w:r w:rsidRPr="00F75F61">
        <w:rPr>
          <w:szCs w:val="22"/>
        </w:rPr>
        <w:t xml:space="preserve"> </w:t>
      </w:r>
      <w:r w:rsidRPr="00F75F61">
        <w:rPr>
          <w:szCs w:val="22"/>
        </w:rPr>
        <w:tab/>
        <w:t xml:space="preserve">(4,186.5 hours x $235) + (4,186.5 x $273) = $983,827.5 + $1,142,914.5 = $2,126,742.  </w:t>
      </w:r>
    </w:p>
  </w:footnote>
  <w:footnote w:id="35">
    <w:p w:rsidR="00803A32" w:rsidRPr="00F75F61" w:rsidRDefault="00803A32" w:rsidP="009E09B9">
      <w:pPr>
        <w:pStyle w:val="FootnoteText"/>
        <w:spacing w:before="120" w:after="120" w:line="240" w:lineRule="auto"/>
        <w:ind w:left="720" w:hanging="720"/>
        <w:rPr>
          <w:szCs w:val="22"/>
        </w:rPr>
      </w:pPr>
      <w:r w:rsidRPr="00F75F61">
        <w:rPr>
          <w:rStyle w:val="FootnoteReference"/>
          <w:sz w:val="22"/>
          <w:szCs w:val="22"/>
        </w:rPr>
        <w:footnoteRef/>
      </w:r>
      <w:r w:rsidRPr="00F75F61">
        <w:rPr>
          <w:szCs w:val="22"/>
        </w:rPr>
        <w:t xml:space="preserve"> </w:t>
      </w:r>
      <w:r w:rsidRPr="00F75F61">
        <w:rPr>
          <w:szCs w:val="22"/>
        </w:rPr>
        <w:tab/>
        <w:t>$</w:t>
      </w:r>
      <w:r w:rsidR="00A70703">
        <w:rPr>
          <w:szCs w:val="22"/>
        </w:rPr>
        <w:t>10,401,300</w:t>
      </w:r>
      <w:r w:rsidRPr="00F75F61">
        <w:rPr>
          <w:szCs w:val="22"/>
        </w:rPr>
        <w:t xml:space="preserve"> (total cost for Form ADV filing excluding private fund reporting) + $2,126,742 (total cost for private fund reporting) = $</w:t>
      </w:r>
      <w:r w:rsidR="00A70703">
        <w:rPr>
          <w:szCs w:val="22"/>
        </w:rPr>
        <w:t>12,528,042</w:t>
      </w:r>
      <w:r w:rsidRPr="00F75F61">
        <w:rPr>
          <w:szCs w:val="22"/>
        </w:rPr>
        <w:t xml:space="preserve"> (total cost for Form ADV filing).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B57E8"/>
    <w:multiLevelType w:val="hybridMultilevel"/>
    <w:tmpl w:val="2F9E2FAE"/>
    <w:lvl w:ilvl="0" w:tplc="0D360BDC">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6290F1C"/>
    <w:multiLevelType w:val="hybridMultilevel"/>
    <w:tmpl w:val="DDA6A270"/>
    <w:lvl w:ilvl="0" w:tplc="767CFA00">
      <w:start w:val="2"/>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55903CE1"/>
    <w:multiLevelType w:val="hybridMultilevel"/>
    <w:tmpl w:val="8DDCA2B2"/>
    <w:lvl w:ilvl="0" w:tplc="8DDE1C22">
      <w:start w:val="1"/>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B0904"/>
    <w:rsid w:val="00003F30"/>
    <w:rsid w:val="000063A4"/>
    <w:rsid w:val="000101FB"/>
    <w:rsid w:val="00011965"/>
    <w:rsid w:val="000158A0"/>
    <w:rsid w:val="00015AEA"/>
    <w:rsid w:val="0001740F"/>
    <w:rsid w:val="00023E8A"/>
    <w:rsid w:val="000248E0"/>
    <w:rsid w:val="00025423"/>
    <w:rsid w:val="000254CF"/>
    <w:rsid w:val="0002670D"/>
    <w:rsid w:val="000276FE"/>
    <w:rsid w:val="00034267"/>
    <w:rsid w:val="00035EF4"/>
    <w:rsid w:val="00041665"/>
    <w:rsid w:val="000446F3"/>
    <w:rsid w:val="00057F23"/>
    <w:rsid w:val="00060AF7"/>
    <w:rsid w:val="00072D5A"/>
    <w:rsid w:val="00073E87"/>
    <w:rsid w:val="00074E6C"/>
    <w:rsid w:val="000809B8"/>
    <w:rsid w:val="00083ADF"/>
    <w:rsid w:val="0008733C"/>
    <w:rsid w:val="0008753A"/>
    <w:rsid w:val="00087CD2"/>
    <w:rsid w:val="00095220"/>
    <w:rsid w:val="000A3BB0"/>
    <w:rsid w:val="000A48DB"/>
    <w:rsid w:val="000A5515"/>
    <w:rsid w:val="000A6AAE"/>
    <w:rsid w:val="000B3ACD"/>
    <w:rsid w:val="000C2C68"/>
    <w:rsid w:val="000C7596"/>
    <w:rsid w:val="000D1ACA"/>
    <w:rsid w:val="000D31CC"/>
    <w:rsid w:val="000E033B"/>
    <w:rsid w:val="000E0731"/>
    <w:rsid w:val="000E0B5F"/>
    <w:rsid w:val="000E4B5E"/>
    <w:rsid w:val="000E4EE9"/>
    <w:rsid w:val="000E4FC7"/>
    <w:rsid w:val="000F3748"/>
    <w:rsid w:val="000F5261"/>
    <w:rsid w:val="000F6677"/>
    <w:rsid w:val="001008A7"/>
    <w:rsid w:val="00117D83"/>
    <w:rsid w:val="00122947"/>
    <w:rsid w:val="00124942"/>
    <w:rsid w:val="00126503"/>
    <w:rsid w:val="0012663E"/>
    <w:rsid w:val="00130D51"/>
    <w:rsid w:val="0013111E"/>
    <w:rsid w:val="00133494"/>
    <w:rsid w:val="00134ACE"/>
    <w:rsid w:val="00137D74"/>
    <w:rsid w:val="00140192"/>
    <w:rsid w:val="001427D0"/>
    <w:rsid w:val="00157DFC"/>
    <w:rsid w:val="00164A2B"/>
    <w:rsid w:val="00173442"/>
    <w:rsid w:val="001814C3"/>
    <w:rsid w:val="0018173A"/>
    <w:rsid w:val="00183F85"/>
    <w:rsid w:val="001861F7"/>
    <w:rsid w:val="00190893"/>
    <w:rsid w:val="00192FA4"/>
    <w:rsid w:val="00193529"/>
    <w:rsid w:val="001A0111"/>
    <w:rsid w:val="001A04EB"/>
    <w:rsid w:val="001B228E"/>
    <w:rsid w:val="001B2EBA"/>
    <w:rsid w:val="001B33CF"/>
    <w:rsid w:val="001B6BDF"/>
    <w:rsid w:val="001B6E6C"/>
    <w:rsid w:val="001C2C85"/>
    <w:rsid w:val="001C3343"/>
    <w:rsid w:val="001C7377"/>
    <w:rsid w:val="001C7FA1"/>
    <w:rsid w:val="001D14CF"/>
    <w:rsid w:val="001D18DD"/>
    <w:rsid w:val="001D2216"/>
    <w:rsid w:val="001E135F"/>
    <w:rsid w:val="001E29EE"/>
    <w:rsid w:val="001E4A3F"/>
    <w:rsid w:val="001F1704"/>
    <w:rsid w:val="001F1D0C"/>
    <w:rsid w:val="001F2426"/>
    <w:rsid w:val="001F3EA8"/>
    <w:rsid w:val="002000B2"/>
    <w:rsid w:val="00202A07"/>
    <w:rsid w:val="00204E42"/>
    <w:rsid w:val="00207071"/>
    <w:rsid w:val="00210A5B"/>
    <w:rsid w:val="00212F68"/>
    <w:rsid w:val="002154FC"/>
    <w:rsid w:val="00215CD2"/>
    <w:rsid w:val="00217A17"/>
    <w:rsid w:val="00224609"/>
    <w:rsid w:val="0022522D"/>
    <w:rsid w:val="002260B5"/>
    <w:rsid w:val="00231084"/>
    <w:rsid w:val="002407ED"/>
    <w:rsid w:val="0024405A"/>
    <w:rsid w:val="0024796D"/>
    <w:rsid w:val="0025494C"/>
    <w:rsid w:val="00255058"/>
    <w:rsid w:val="00256169"/>
    <w:rsid w:val="00261174"/>
    <w:rsid w:val="002613E6"/>
    <w:rsid w:val="00261454"/>
    <w:rsid w:val="0026555E"/>
    <w:rsid w:val="0027051D"/>
    <w:rsid w:val="002710AB"/>
    <w:rsid w:val="00274BFF"/>
    <w:rsid w:val="00275EB9"/>
    <w:rsid w:val="0028225D"/>
    <w:rsid w:val="00283EEF"/>
    <w:rsid w:val="00284793"/>
    <w:rsid w:val="00285FB6"/>
    <w:rsid w:val="00286C65"/>
    <w:rsid w:val="002905F3"/>
    <w:rsid w:val="00291F24"/>
    <w:rsid w:val="0029332C"/>
    <w:rsid w:val="00296597"/>
    <w:rsid w:val="002A1386"/>
    <w:rsid w:val="002A1B88"/>
    <w:rsid w:val="002A555E"/>
    <w:rsid w:val="002A57F5"/>
    <w:rsid w:val="002A5A33"/>
    <w:rsid w:val="002A5A80"/>
    <w:rsid w:val="002A60B3"/>
    <w:rsid w:val="002A7D14"/>
    <w:rsid w:val="002B250E"/>
    <w:rsid w:val="002B282C"/>
    <w:rsid w:val="002B37D9"/>
    <w:rsid w:val="002B4454"/>
    <w:rsid w:val="002B4C13"/>
    <w:rsid w:val="002B4DE6"/>
    <w:rsid w:val="002B7385"/>
    <w:rsid w:val="002C0FBE"/>
    <w:rsid w:val="002C1689"/>
    <w:rsid w:val="002C1AE6"/>
    <w:rsid w:val="002C3AF8"/>
    <w:rsid w:val="002C4B5D"/>
    <w:rsid w:val="002C4E3F"/>
    <w:rsid w:val="002D393A"/>
    <w:rsid w:val="002D45C5"/>
    <w:rsid w:val="002D6AAA"/>
    <w:rsid w:val="002D74DC"/>
    <w:rsid w:val="002E1559"/>
    <w:rsid w:val="002E2F79"/>
    <w:rsid w:val="002E53A6"/>
    <w:rsid w:val="002E55B1"/>
    <w:rsid w:val="002E7039"/>
    <w:rsid w:val="002F1809"/>
    <w:rsid w:val="002F186C"/>
    <w:rsid w:val="002F5F4B"/>
    <w:rsid w:val="002F688B"/>
    <w:rsid w:val="00300531"/>
    <w:rsid w:val="00304885"/>
    <w:rsid w:val="003074D2"/>
    <w:rsid w:val="00311607"/>
    <w:rsid w:val="0031187D"/>
    <w:rsid w:val="0031757D"/>
    <w:rsid w:val="003178BD"/>
    <w:rsid w:val="003209C8"/>
    <w:rsid w:val="00320ADF"/>
    <w:rsid w:val="003217AE"/>
    <w:rsid w:val="00321D5D"/>
    <w:rsid w:val="0032326D"/>
    <w:rsid w:val="00334443"/>
    <w:rsid w:val="00336C33"/>
    <w:rsid w:val="00337017"/>
    <w:rsid w:val="003406D1"/>
    <w:rsid w:val="003433AE"/>
    <w:rsid w:val="00347B61"/>
    <w:rsid w:val="00347DF9"/>
    <w:rsid w:val="003530B1"/>
    <w:rsid w:val="00356866"/>
    <w:rsid w:val="00360189"/>
    <w:rsid w:val="00361AFC"/>
    <w:rsid w:val="00361FA2"/>
    <w:rsid w:val="00365084"/>
    <w:rsid w:val="00365209"/>
    <w:rsid w:val="00370350"/>
    <w:rsid w:val="00372CB5"/>
    <w:rsid w:val="00373780"/>
    <w:rsid w:val="00374576"/>
    <w:rsid w:val="0037572C"/>
    <w:rsid w:val="003769D7"/>
    <w:rsid w:val="003800A7"/>
    <w:rsid w:val="00383D2C"/>
    <w:rsid w:val="00384053"/>
    <w:rsid w:val="0038423C"/>
    <w:rsid w:val="00393B4C"/>
    <w:rsid w:val="003940DA"/>
    <w:rsid w:val="00395D90"/>
    <w:rsid w:val="00396E70"/>
    <w:rsid w:val="0039782D"/>
    <w:rsid w:val="003A07AD"/>
    <w:rsid w:val="003A0926"/>
    <w:rsid w:val="003A5AC4"/>
    <w:rsid w:val="003B11FB"/>
    <w:rsid w:val="003B266B"/>
    <w:rsid w:val="003B494D"/>
    <w:rsid w:val="003C0A6B"/>
    <w:rsid w:val="003C1D42"/>
    <w:rsid w:val="003D029B"/>
    <w:rsid w:val="003D08C0"/>
    <w:rsid w:val="003D116E"/>
    <w:rsid w:val="003D2986"/>
    <w:rsid w:val="003D79BB"/>
    <w:rsid w:val="003E0497"/>
    <w:rsid w:val="003E44B5"/>
    <w:rsid w:val="003E54FE"/>
    <w:rsid w:val="003F3FE5"/>
    <w:rsid w:val="00402FED"/>
    <w:rsid w:val="0040379E"/>
    <w:rsid w:val="004038F4"/>
    <w:rsid w:val="0040778E"/>
    <w:rsid w:val="00407EC0"/>
    <w:rsid w:val="004124DD"/>
    <w:rsid w:val="00413183"/>
    <w:rsid w:val="00413DF1"/>
    <w:rsid w:val="0041544B"/>
    <w:rsid w:val="004172B5"/>
    <w:rsid w:val="00421FB5"/>
    <w:rsid w:val="00422437"/>
    <w:rsid w:val="004229F9"/>
    <w:rsid w:val="00423BF6"/>
    <w:rsid w:val="00430967"/>
    <w:rsid w:val="00430EB7"/>
    <w:rsid w:val="004341CE"/>
    <w:rsid w:val="00434607"/>
    <w:rsid w:val="004431E2"/>
    <w:rsid w:val="00445041"/>
    <w:rsid w:val="00447069"/>
    <w:rsid w:val="004503AC"/>
    <w:rsid w:val="0045085C"/>
    <w:rsid w:val="00450D66"/>
    <w:rsid w:val="00452EC8"/>
    <w:rsid w:val="00455229"/>
    <w:rsid w:val="0045644F"/>
    <w:rsid w:val="00461286"/>
    <w:rsid w:val="00467793"/>
    <w:rsid w:val="004716E0"/>
    <w:rsid w:val="00471D50"/>
    <w:rsid w:val="004735CF"/>
    <w:rsid w:val="004737EA"/>
    <w:rsid w:val="00474FA1"/>
    <w:rsid w:val="0048226D"/>
    <w:rsid w:val="00487665"/>
    <w:rsid w:val="00494D6E"/>
    <w:rsid w:val="004952CF"/>
    <w:rsid w:val="004956E6"/>
    <w:rsid w:val="0049675D"/>
    <w:rsid w:val="0049691E"/>
    <w:rsid w:val="00497046"/>
    <w:rsid w:val="00497A9B"/>
    <w:rsid w:val="004A2FA4"/>
    <w:rsid w:val="004A3D72"/>
    <w:rsid w:val="004A5199"/>
    <w:rsid w:val="004A5974"/>
    <w:rsid w:val="004A6B72"/>
    <w:rsid w:val="004B4E3E"/>
    <w:rsid w:val="004B5680"/>
    <w:rsid w:val="004B6369"/>
    <w:rsid w:val="004C475A"/>
    <w:rsid w:val="004C4A49"/>
    <w:rsid w:val="004D5A8B"/>
    <w:rsid w:val="004D5B6D"/>
    <w:rsid w:val="004D63A9"/>
    <w:rsid w:val="004D7097"/>
    <w:rsid w:val="004D712B"/>
    <w:rsid w:val="004D7C20"/>
    <w:rsid w:val="004E12BD"/>
    <w:rsid w:val="004E2338"/>
    <w:rsid w:val="004E2F0E"/>
    <w:rsid w:val="004E5382"/>
    <w:rsid w:val="004E63E4"/>
    <w:rsid w:val="004E6779"/>
    <w:rsid w:val="004F170C"/>
    <w:rsid w:val="004F19FD"/>
    <w:rsid w:val="004F5670"/>
    <w:rsid w:val="005045DD"/>
    <w:rsid w:val="00507CD3"/>
    <w:rsid w:val="00510534"/>
    <w:rsid w:val="00511492"/>
    <w:rsid w:val="005145E3"/>
    <w:rsid w:val="005148D6"/>
    <w:rsid w:val="005150B8"/>
    <w:rsid w:val="00515747"/>
    <w:rsid w:val="00517362"/>
    <w:rsid w:val="00523587"/>
    <w:rsid w:val="00523CC2"/>
    <w:rsid w:val="00526E42"/>
    <w:rsid w:val="005312A3"/>
    <w:rsid w:val="00532B03"/>
    <w:rsid w:val="005341A3"/>
    <w:rsid w:val="005400AC"/>
    <w:rsid w:val="0054340A"/>
    <w:rsid w:val="00543785"/>
    <w:rsid w:val="00544B67"/>
    <w:rsid w:val="00547D43"/>
    <w:rsid w:val="0055084D"/>
    <w:rsid w:val="005523F3"/>
    <w:rsid w:val="005539FC"/>
    <w:rsid w:val="005572D9"/>
    <w:rsid w:val="00560D19"/>
    <w:rsid w:val="00561C9E"/>
    <w:rsid w:val="00566679"/>
    <w:rsid w:val="00567D7F"/>
    <w:rsid w:val="00572D7E"/>
    <w:rsid w:val="00573ED0"/>
    <w:rsid w:val="005831EE"/>
    <w:rsid w:val="00583644"/>
    <w:rsid w:val="0059015B"/>
    <w:rsid w:val="005A3619"/>
    <w:rsid w:val="005A4112"/>
    <w:rsid w:val="005A4B20"/>
    <w:rsid w:val="005A7056"/>
    <w:rsid w:val="005B3C64"/>
    <w:rsid w:val="005B4E03"/>
    <w:rsid w:val="005C148F"/>
    <w:rsid w:val="005C1A1D"/>
    <w:rsid w:val="005C1F58"/>
    <w:rsid w:val="005C3A68"/>
    <w:rsid w:val="005C573C"/>
    <w:rsid w:val="005C6D14"/>
    <w:rsid w:val="005D25FD"/>
    <w:rsid w:val="005D43DA"/>
    <w:rsid w:val="005D5281"/>
    <w:rsid w:val="005D7E74"/>
    <w:rsid w:val="005F0F9F"/>
    <w:rsid w:val="005F3958"/>
    <w:rsid w:val="005F454B"/>
    <w:rsid w:val="005F467C"/>
    <w:rsid w:val="005F5CDE"/>
    <w:rsid w:val="005F69B5"/>
    <w:rsid w:val="005F7146"/>
    <w:rsid w:val="006037B4"/>
    <w:rsid w:val="00603B7A"/>
    <w:rsid w:val="00607248"/>
    <w:rsid w:val="006106E6"/>
    <w:rsid w:val="00611F4E"/>
    <w:rsid w:val="00613734"/>
    <w:rsid w:val="0061456C"/>
    <w:rsid w:val="00617208"/>
    <w:rsid w:val="00620062"/>
    <w:rsid w:val="00621E0E"/>
    <w:rsid w:val="006343A2"/>
    <w:rsid w:val="006374C2"/>
    <w:rsid w:val="00640231"/>
    <w:rsid w:val="00640BC0"/>
    <w:rsid w:val="006455BE"/>
    <w:rsid w:val="00652191"/>
    <w:rsid w:val="00652D26"/>
    <w:rsid w:val="00655836"/>
    <w:rsid w:val="00656D44"/>
    <w:rsid w:val="00657EF6"/>
    <w:rsid w:val="00661468"/>
    <w:rsid w:val="00661542"/>
    <w:rsid w:val="00661A8B"/>
    <w:rsid w:val="00662681"/>
    <w:rsid w:val="0066292F"/>
    <w:rsid w:val="00665126"/>
    <w:rsid w:val="00666A57"/>
    <w:rsid w:val="00671A7F"/>
    <w:rsid w:val="00674ECB"/>
    <w:rsid w:val="00675F58"/>
    <w:rsid w:val="00682CC0"/>
    <w:rsid w:val="006838E7"/>
    <w:rsid w:val="006865C4"/>
    <w:rsid w:val="00686DAF"/>
    <w:rsid w:val="00692B9E"/>
    <w:rsid w:val="00694EC2"/>
    <w:rsid w:val="00695AFA"/>
    <w:rsid w:val="006A0DD3"/>
    <w:rsid w:val="006A559B"/>
    <w:rsid w:val="006A57E6"/>
    <w:rsid w:val="006A5B71"/>
    <w:rsid w:val="006A5DC8"/>
    <w:rsid w:val="006B0605"/>
    <w:rsid w:val="006B3589"/>
    <w:rsid w:val="006B4A32"/>
    <w:rsid w:val="006C1274"/>
    <w:rsid w:val="006C4DF6"/>
    <w:rsid w:val="006C5F18"/>
    <w:rsid w:val="006C6C2D"/>
    <w:rsid w:val="006D04AB"/>
    <w:rsid w:val="006D4C12"/>
    <w:rsid w:val="006E04F8"/>
    <w:rsid w:val="006E0B1D"/>
    <w:rsid w:val="006E37DB"/>
    <w:rsid w:val="006E54FD"/>
    <w:rsid w:val="006E67EE"/>
    <w:rsid w:val="006E684C"/>
    <w:rsid w:val="006F24B9"/>
    <w:rsid w:val="006F636D"/>
    <w:rsid w:val="006F73A6"/>
    <w:rsid w:val="007062BE"/>
    <w:rsid w:val="00706CE0"/>
    <w:rsid w:val="00713EBF"/>
    <w:rsid w:val="00714A30"/>
    <w:rsid w:val="00715D8B"/>
    <w:rsid w:val="007208D8"/>
    <w:rsid w:val="00721377"/>
    <w:rsid w:val="00726558"/>
    <w:rsid w:val="0072746E"/>
    <w:rsid w:val="00727F42"/>
    <w:rsid w:val="00731567"/>
    <w:rsid w:val="007372E4"/>
    <w:rsid w:val="00737C44"/>
    <w:rsid w:val="00742541"/>
    <w:rsid w:val="007459EF"/>
    <w:rsid w:val="00747D30"/>
    <w:rsid w:val="00750A29"/>
    <w:rsid w:val="00752529"/>
    <w:rsid w:val="00754EF0"/>
    <w:rsid w:val="00757432"/>
    <w:rsid w:val="0076156B"/>
    <w:rsid w:val="007625F7"/>
    <w:rsid w:val="00765358"/>
    <w:rsid w:val="00766FC2"/>
    <w:rsid w:val="00774CA8"/>
    <w:rsid w:val="0079476B"/>
    <w:rsid w:val="00794FBA"/>
    <w:rsid w:val="00795295"/>
    <w:rsid w:val="007A220A"/>
    <w:rsid w:val="007A5854"/>
    <w:rsid w:val="007A739B"/>
    <w:rsid w:val="007A7AD3"/>
    <w:rsid w:val="007B029B"/>
    <w:rsid w:val="007B118A"/>
    <w:rsid w:val="007B1255"/>
    <w:rsid w:val="007B4AEF"/>
    <w:rsid w:val="007B53C8"/>
    <w:rsid w:val="007B6225"/>
    <w:rsid w:val="007B7E24"/>
    <w:rsid w:val="007C5399"/>
    <w:rsid w:val="007C5452"/>
    <w:rsid w:val="007D0A14"/>
    <w:rsid w:val="007D3440"/>
    <w:rsid w:val="007D65F2"/>
    <w:rsid w:val="007D7417"/>
    <w:rsid w:val="007E041B"/>
    <w:rsid w:val="007E67C2"/>
    <w:rsid w:val="007F0EDF"/>
    <w:rsid w:val="007F3D45"/>
    <w:rsid w:val="007F7535"/>
    <w:rsid w:val="007F7DA8"/>
    <w:rsid w:val="0080076C"/>
    <w:rsid w:val="00801654"/>
    <w:rsid w:val="00801A06"/>
    <w:rsid w:val="00803A32"/>
    <w:rsid w:val="00803C60"/>
    <w:rsid w:val="008040B2"/>
    <w:rsid w:val="00804A88"/>
    <w:rsid w:val="008056F2"/>
    <w:rsid w:val="00811FB6"/>
    <w:rsid w:val="00812679"/>
    <w:rsid w:val="00815C34"/>
    <w:rsid w:val="00816D54"/>
    <w:rsid w:val="008170CA"/>
    <w:rsid w:val="00820950"/>
    <w:rsid w:val="00820D5E"/>
    <w:rsid w:val="0082507E"/>
    <w:rsid w:val="008258F1"/>
    <w:rsid w:val="00826CFC"/>
    <w:rsid w:val="008276E8"/>
    <w:rsid w:val="00830897"/>
    <w:rsid w:val="0083118E"/>
    <w:rsid w:val="00832A0F"/>
    <w:rsid w:val="008403FA"/>
    <w:rsid w:val="00854C58"/>
    <w:rsid w:val="008550F8"/>
    <w:rsid w:val="00857361"/>
    <w:rsid w:val="00860C1E"/>
    <w:rsid w:val="00862A74"/>
    <w:rsid w:val="00863440"/>
    <w:rsid w:val="00865514"/>
    <w:rsid w:val="0087090E"/>
    <w:rsid w:val="00870C54"/>
    <w:rsid w:val="008731F4"/>
    <w:rsid w:val="00874246"/>
    <w:rsid w:val="00875363"/>
    <w:rsid w:val="00880439"/>
    <w:rsid w:val="008825FF"/>
    <w:rsid w:val="00883AA4"/>
    <w:rsid w:val="00893C34"/>
    <w:rsid w:val="00895330"/>
    <w:rsid w:val="0089621D"/>
    <w:rsid w:val="008A0322"/>
    <w:rsid w:val="008A25F5"/>
    <w:rsid w:val="008A33C0"/>
    <w:rsid w:val="008B0373"/>
    <w:rsid w:val="008B2886"/>
    <w:rsid w:val="008B5DAC"/>
    <w:rsid w:val="008B728D"/>
    <w:rsid w:val="008C15AA"/>
    <w:rsid w:val="008C6219"/>
    <w:rsid w:val="008D314F"/>
    <w:rsid w:val="008D540E"/>
    <w:rsid w:val="008D63BD"/>
    <w:rsid w:val="008D6CFC"/>
    <w:rsid w:val="008E200E"/>
    <w:rsid w:val="008E43FC"/>
    <w:rsid w:val="008E48CE"/>
    <w:rsid w:val="008F3D4D"/>
    <w:rsid w:val="008F3F93"/>
    <w:rsid w:val="008F448C"/>
    <w:rsid w:val="008F66A0"/>
    <w:rsid w:val="008F6FE3"/>
    <w:rsid w:val="008F7DF1"/>
    <w:rsid w:val="00900955"/>
    <w:rsid w:val="00910447"/>
    <w:rsid w:val="009159C4"/>
    <w:rsid w:val="00916F7D"/>
    <w:rsid w:val="009219D2"/>
    <w:rsid w:val="00923DFC"/>
    <w:rsid w:val="009253C4"/>
    <w:rsid w:val="00925E07"/>
    <w:rsid w:val="009273B5"/>
    <w:rsid w:val="0093137A"/>
    <w:rsid w:val="00940019"/>
    <w:rsid w:val="009405C5"/>
    <w:rsid w:val="00940A17"/>
    <w:rsid w:val="00940F8D"/>
    <w:rsid w:val="0094233F"/>
    <w:rsid w:val="00942C7C"/>
    <w:rsid w:val="009433C4"/>
    <w:rsid w:val="00945081"/>
    <w:rsid w:val="0094589B"/>
    <w:rsid w:val="0094621E"/>
    <w:rsid w:val="00946E0B"/>
    <w:rsid w:val="00950A68"/>
    <w:rsid w:val="00951E9A"/>
    <w:rsid w:val="009533BF"/>
    <w:rsid w:val="0095381D"/>
    <w:rsid w:val="00953834"/>
    <w:rsid w:val="00954DD1"/>
    <w:rsid w:val="0096053D"/>
    <w:rsid w:val="00962B93"/>
    <w:rsid w:val="00981490"/>
    <w:rsid w:val="009815E5"/>
    <w:rsid w:val="0098245D"/>
    <w:rsid w:val="00982840"/>
    <w:rsid w:val="00984899"/>
    <w:rsid w:val="009850EC"/>
    <w:rsid w:val="009855D7"/>
    <w:rsid w:val="00985C25"/>
    <w:rsid w:val="00987BC0"/>
    <w:rsid w:val="00990DDB"/>
    <w:rsid w:val="009916DD"/>
    <w:rsid w:val="00995C0C"/>
    <w:rsid w:val="009A216A"/>
    <w:rsid w:val="009B23CD"/>
    <w:rsid w:val="009B2D6C"/>
    <w:rsid w:val="009B5370"/>
    <w:rsid w:val="009B57C4"/>
    <w:rsid w:val="009B6411"/>
    <w:rsid w:val="009C0D0D"/>
    <w:rsid w:val="009C37A5"/>
    <w:rsid w:val="009D0ECD"/>
    <w:rsid w:val="009D1646"/>
    <w:rsid w:val="009D1F07"/>
    <w:rsid w:val="009D55F7"/>
    <w:rsid w:val="009D74A0"/>
    <w:rsid w:val="009E0599"/>
    <w:rsid w:val="009E09B9"/>
    <w:rsid w:val="009E115F"/>
    <w:rsid w:val="009E170D"/>
    <w:rsid w:val="009F3788"/>
    <w:rsid w:val="00A026F3"/>
    <w:rsid w:val="00A07041"/>
    <w:rsid w:val="00A1061F"/>
    <w:rsid w:val="00A139F8"/>
    <w:rsid w:val="00A24FF4"/>
    <w:rsid w:val="00A32481"/>
    <w:rsid w:val="00A42E6A"/>
    <w:rsid w:val="00A45E56"/>
    <w:rsid w:val="00A6036B"/>
    <w:rsid w:val="00A62480"/>
    <w:rsid w:val="00A63376"/>
    <w:rsid w:val="00A639E9"/>
    <w:rsid w:val="00A70458"/>
    <w:rsid w:val="00A70703"/>
    <w:rsid w:val="00A80232"/>
    <w:rsid w:val="00A80B9B"/>
    <w:rsid w:val="00A82329"/>
    <w:rsid w:val="00A8466D"/>
    <w:rsid w:val="00A86C86"/>
    <w:rsid w:val="00A8789B"/>
    <w:rsid w:val="00A95B87"/>
    <w:rsid w:val="00AA23BE"/>
    <w:rsid w:val="00AA5656"/>
    <w:rsid w:val="00AB3E40"/>
    <w:rsid w:val="00AB4E48"/>
    <w:rsid w:val="00AB57B6"/>
    <w:rsid w:val="00AB6657"/>
    <w:rsid w:val="00AC03DA"/>
    <w:rsid w:val="00AC1234"/>
    <w:rsid w:val="00AC6477"/>
    <w:rsid w:val="00AD06B0"/>
    <w:rsid w:val="00AD211F"/>
    <w:rsid w:val="00AD454E"/>
    <w:rsid w:val="00AE0D1A"/>
    <w:rsid w:val="00AF562F"/>
    <w:rsid w:val="00AF71C9"/>
    <w:rsid w:val="00B21755"/>
    <w:rsid w:val="00B426A9"/>
    <w:rsid w:val="00B440B9"/>
    <w:rsid w:val="00B50CA9"/>
    <w:rsid w:val="00B539E6"/>
    <w:rsid w:val="00B549C7"/>
    <w:rsid w:val="00B6022A"/>
    <w:rsid w:val="00B62E77"/>
    <w:rsid w:val="00B63B18"/>
    <w:rsid w:val="00B64826"/>
    <w:rsid w:val="00B6508D"/>
    <w:rsid w:val="00B65168"/>
    <w:rsid w:val="00B65D8B"/>
    <w:rsid w:val="00B673D3"/>
    <w:rsid w:val="00B67664"/>
    <w:rsid w:val="00B707FA"/>
    <w:rsid w:val="00B71D01"/>
    <w:rsid w:val="00B766EB"/>
    <w:rsid w:val="00B776E0"/>
    <w:rsid w:val="00B805B9"/>
    <w:rsid w:val="00B81248"/>
    <w:rsid w:val="00B839D9"/>
    <w:rsid w:val="00B83B2D"/>
    <w:rsid w:val="00B901A3"/>
    <w:rsid w:val="00B93628"/>
    <w:rsid w:val="00B946D0"/>
    <w:rsid w:val="00BA1500"/>
    <w:rsid w:val="00BA1CE6"/>
    <w:rsid w:val="00BA22C2"/>
    <w:rsid w:val="00BA4A09"/>
    <w:rsid w:val="00BA6C3C"/>
    <w:rsid w:val="00BB52C4"/>
    <w:rsid w:val="00BC0567"/>
    <w:rsid w:val="00BD681F"/>
    <w:rsid w:val="00BE1EEC"/>
    <w:rsid w:val="00BE26F1"/>
    <w:rsid w:val="00BE6433"/>
    <w:rsid w:val="00BE7E18"/>
    <w:rsid w:val="00BF23B0"/>
    <w:rsid w:val="00BF3E11"/>
    <w:rsid w:val="00BF45F5"/>
    <w:rsid w:val="00BF49E3"/>
    <w:rsid w:val="00C00FC9"/>
    <w:rsid w:val="00C04BC5"/>
    <w:rsid w:val="00C072BF"/>
    <w:rsid w:val="00C11120"/>
    <w:rsid w:val="00C131A8"/>
    <w:rsid w:val="00C2294B"/>
    <w:rsid w:val="00C253CB"/>
    <w:rsid w:val="00C27F84"/>
    <w:rsid w:val="00C32D10"/>
    <w:rsid w:val="00C332B9"/>
    <w:rsid w:val="00C35FD0"/>
    <w:rsid w:val="00C408FD"/>
    <w:rsid w:val="00C4180E"/>
    <w:rsid w:val="00C43354"/>
    <w:rsid w:val="00C4781B"/>
    <w:rsid w:val="00C52BF6"/>
    <w:rsid w:val="00C563A4"/>
    <w:rsid w:val="00C573E6"/>
    <w:rsid w:val="00C6046C"/>
    <w:rsid w:val="00C60E28"/>
    <w:rsid w:val="00C61D3A"/>
    <w:rsid w:val="00C71875"/>
    <w:rsid w:val="00C72A37"/>
    <w:rsid w:val="00C7559C"/>
    <w:rsid w:val="00C83EE0"/>
    <w:rsid w:val="00C87D9C"/>
    <w:rsid w:val="00C94B95"/>
    <w:rsid w:val="00C958AC"/>
    <w:rsid w:val="00C97F6E"/>
    <w:rsid w:val="00CA191C"/>
    <w:rsid w:val="00CA1B0D"/>
    <w:rsid w:val="00CA2E8E"/>
    <w:rsid w:val="00CA34FE"/>
    <w:rsid w:val="00CB2F87"/>
    <w:rsid w:val="00CC4950"/>
    <w:rsid w:val="00CC5266"/>
    <w:rsid w:val="00CD0509"/>
    <w:rsid w:val="00CD0E98"/>
    <w:rsid w:val="00CD1B13"/>
    <w:rsid w:val="00CD22C0"/>
    <w:rsid w:val="00CD4E63"/>
    <w:rsid w:val="00CD5762"/>
    <w:rsid w:val="00CE39C2"/>
    <w:rsid w:val="00CE650A"/>
    <w:rsid w:val="00CE7E78"/>
    <w:rsid w:val="00CF0BD2"/>
    <w:rsid w:val="00CF3306"/>
    <w:rsid w:val="00CF479D"/>
    <w:rsid w:val="00CF5457"/>
    <w:rsid w:val="00D02600"/>
    <w:rsid w:val="00D11CCD"/>
    <w:rsid w:val="00D12352"/>
    <w:rsid w:val="00D12DC4"/>
    <w:rsid w:val="00D21F52"/>
    <w:rsid w:val="00D232DC"/>
    <w:rsid w:val="00D238AB"/>
    <w:rsid w:val="00D23C37"/>
    <w:rsid w:val="00D24885"/>
    <w:rsid w:val="00D26903"/>
    <w:rsid w:val="00D2761D"/>
    <w:rsid w:val="00D347AB"/>
    <w:rsid w:val="00D417E8"/>
    <w:rsid w:val="00D41F40"/>
    <w:rsid w:val="00D42836"/>
    <w:rsid w:val="00D459A2"/>
    <w:rsid w:val="00D507AE"/>
    <w:rsid w:val="00D5283A"/>
    <w:rsid w:val="00D52F6E"/>
    <w:rsid w:val="00D546B8"/>
    <w:rsid w:val="00D563EC"/>
    <w:rsid w:val="00D57334"/>
    <w:rsid w:val="00D62D0E"/>
    <w:rsid w:val="00D66BA0"/>
    <w:rsid w:val="00D74A20"/>
    <w:rsid w:val="00D9117F"/>
    <w:rsid w:val="00D965CC"/>
    <w:rsid w:val="00DA3D9F"/>
    <w:rsid w:val="00DA47FA"/>
    <w:rsid w:val="00DA566B"/>
    <w:rsid w:val="00DA7686"/>
    <w:rsid w:val="00DA79F5"/>
    <w:rsid w:val="00DB0904"/>
    <w:rsid w:val="00DB4326"/>
    <w:rsid w:val="00DB5AA1"/>
    <w:rsid w:val="00DC407A"/>
    <w:rsid w:val="00DC6C61"/>
    <w:rsid w:val="00DD0091"/>
    <w:rsid w:val="00DD11DD"/>
    <w:rsid w:val="00DD308E"/>
    <w:rsid w:val="00DD3149"/>
    <w:rsid w:val="00DD4575"/>
    <w:rsid w:val="00DD4663"/>
    <w:rsid w:val="00DD54CB"/>
    <w:rsid w:val="00DE247B"/>
    <w:rsid w:val="00DE7BC5"/>
    <w:rsid w:val="00DF57B5"/>
    <w:rsid w:val="00E03CF4"/>
    <w:rsid w:val="00E046AC"/>
    <w:rsid w:val="00E05CFA"/>
    <w:rsid w:val="00E247B7"/>
    <w:rsid w:val="00E41313"/>
    <w:rsid w:val="00E4363F"/>
    <w:rsid w:val="00E447AA"/>
    <w:rsid w:val="00E44C1D"/>
    <w:rsid w:val="00E50FB0"/>
    <w:rsid w:val="00E5365A"/>
    <w:rsid w:val="00E53D2B"/>
    <w:rsid w:val="00E55E2D"/>
    <w:rsid w:val="00E7245A"/>
    <w:rsid w:val="00E742B2"/>
    <w:rsid w:val="00E7579E"/>
    <w:rsid w:val="00E800E4"/>
    <w:rsid w:val="00E81D5F"/>
    <w:rsid w:val="00E822D9"/>
    <w:rsid w:val="00E82CC8"/>
    <w:rsid w:val="00E86343"/>
    <w:rsid w:val="00E86B89"/>
    <w:rsid w:val="00E873C7"/>
    <w:rsid w:val="00E96A5D"/>
    <w:rsid w:val="00E97FA7"/>
    <w:rsid w:val="00EA1559"/>
    <w:rsid w:val="00EA1F48"/>
    <w:rsid w:val="00EA2960"/>
    <w:rsid w:val="00EA2DA7"/>
    <w:rsid w:val="00EA2FFC"/>
    <w:rsid w:val="00EA4486"/>
    <w:rsid w:val="00EA4AFE"/>
    <w:rsid w:val="00EB0022"/>
    <w:rsid w:val="00EB068B"/>
    <w:rsid w:val="00EB6A79"/>
    <w:rsid w:val="00EB6ED3"/>
    <w:rsid w:val="00EC0227"/>
    <w:rsid w:val="00EC1C30"/>
    <w:rsid w:val="00EC1D7C"/>
    <w:rsid w:val="00EC1EE2"/>
    <w:rsid w:val="00EC4552"/>
    <w:rsid w:val="00EC4F7E"/>
    <w:rsid w:val="00EC6781"/>
    <w:rsid w:val="00EC7852"/>
    <w:rsid w:val="00ED2431"/>
    <w:rsid w:val="00ED26DD"/>
    <w:rsid w:val="00EE0090"/>
    <w:rsid w:val="00EE1317"/>
    <w:rsid w:val="00EE4874"/>
    <w:rsid w:val="00EE56B5"/>
    <w:rsid w:val="00EE7640"/>
    <w:rsid w:val="00EE7EB5"/>
    <w:rsid w:val="00EF0C0E"/>
    <w:rsid w:val="00EF187C"/>
    <w:rsid w:val="00EF5D00"/>
    <w:rsid w:val="00EF5D2B"/>
    <w:rsid w:val="00EF6404"/>
    <w:rsid w:val="00EF6507"/>
    <w:rsid w:val="00EF654D"/>
    <w:rsid w:val="00F028E9"/>
    <w:rsid w:val="00F02F3F"/>
    <w:rsid w:val="00F03FBB"/>
    <w:rsid w:val="00F06EF7"/>
    <w:rsid w:val="00F10619"/>
    <w:rsid w:val="00F12A4F"/>
    <w:rsid w:val="00F13B8F"/>
    <w:rsid w:val="00F14117"/>
    <w:rsid w:val="00F14B73"/>
    <w:rsid w:val="00F16700"/>
    <w:rsid w:val="00F22A42"/>
    <w:rsid w:val="00F25015"/>
    <w:rsid w:val="00F27EBB"/>
    <w:rsid w:val="00F33E2F"/>
    <w:rsid w:val="00F33FBC"/>
    <w:rsid w:val="00F360FC"/>
    <w:rsid w:val="00F37F40"/>
    <w:rsid w:val="00F4334F"/>
    <w:rsid w:val="00F524A0"/>
    <w:rsid w:val="00F549E7"/>
    <w:rsid w:val="00F62E48"/>
    <w:rsid w:val="00F736A1"/>
    <w:rsid w:val="00F75F61"/>
    <w:rsid w:val="00F76B8A"/>
    <w:rsid w:val="00F81218"/>
    <w:rsid w:val="00F836BD"/>
    <w:rsid w:val="00F87B10"/>
    <w:rsid w:val="00F91511"/>
    <w:rsid w:val="00F91D75"/>
    <w:rsid w:val="00F93E6D"/>
    <w:rsid w:val="00F953FD"/>
    <w:rsid w:val="00F95D20"/>
    <w:rsid w:val="00F96C58"/>
    <w:rsid w:val="00FA6459"/>
    <w:rsid w:val="00FB19A3"/>
    <w:rsid w:val="00FB3A52"/>
    <w:rsid w:val="00FB5CBD"/>
    <w:rsid w:val="00FC001A"/>
    <w:rsid w:val="00FC159A"/>
    <w:rsid w:val="00FD3242"/>
    <w:rsid w:val="00FD3735"/>
    <w:rsid w:val="00FD4C6A"/>
    <w:rsid w:val="00FE0E06"/>
    <w:rsid w:val="00FE167F"/>
    <w:rsid w:val="00FE39C9"/>
    <w:rsid w:val="00FF21CC"/>
    <w:rsid w:val="00FF22D5"/>
    <w:rsid w:val="00FF259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0904"/>
    <w:pPr>
      <w:widowControl w:val="0"/>
      <w:adjustRightInd w:val="0"/>
      <w:spacing w:line="360" w:lineRule="atLeast"/>
      <w:jc w:val="both"/>
      <w:textAlignment w:val="baseline"/>
    </w:pPr>
    <w:rPr>
      <w:sz w:val="24"/>
      <w:szCs w:val="24"/>
    </w:rPr>
  </w:style>
  <w:style w:type="paragraph" w:styleId="Heading1">
    <w:name w:val="heading 1"/>
    <w:basedOn w:val="Normal"/>
    <w:next w:val="Normal"/>
    <w:qFormat/>
    <w:rsid w:val="00DB0904"/>
    <w:pPr>
      <w:keepNext/>
      <w:spacing w:line="480" w:lineRule="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B0904"/>
    <w:pPr>
      <w:spacing w:line="480" w:lineRule="auto"/>
      <w:jc w:val="center"/>
    </w:pPr>
    <w:rPr>
      <w:b/>
      <w:bCs/>
    </w:rPr>
  </w:style>
  <w:style w:type="paragraph" w:styleId="BodyTextIndent">
    <w:name w:val="Body Text Indent"/>
    <w:basedOn w:val="Normal"/>
    <w:rsid w:val="00DB0904"/>
    <w:pPr>
      <w:tabs>
        <w:tab w:val="left" w:pos="-720"/>
      </w:tabs>
      <w:suppressAutoHyphens/>
      <w:spacing w:line="480" w:lineRule="auto"/>
      <w:ind w:firstLine="720"/>
    </w:pPr>
  </w:style>
  <w:style w:type="paragraph" w:styleId="BodyText">
    <w:name w:val="Body Text"/>
    <w:basedOn w:val="Normal"/>
    <w:rsid w:val="00DB0904"/>
    <w:pPr>
      <w:spacing w:after="120"/>
    </w:pPr>
  </w:style>
  <w:style w:type="paragraph" w:styleId="BodyText2">
    <w:name w:val="Body Text 2"/>
    <w:basedOn w:val="Normal"/>
    <w:rsid w:val="00DB0904"/>
    <w:pPr>
      <w:spacing w:after="120" w:line="480" w:lineRule="auto"/>
    </w:pPr>
  </w:style>
  <w:style w:type="paragraph" w:styleId="FootnoteText">
    <w:name w:val="footnote text"/>
    <w:aliases w:val="ft,fn"/>
    <w:basedOn w:val="Normal"/>
    <w:link w:val="FootnoteTextChar"/>
    <w:uiPriority w:val="99"/>
    <w:rsid w:val="00DB0904"/>
    <w:pPr>
      <w:tabs>
        <w:tab w:val="left" w:pos="720"/>
      </w:tabs>
      <w:overflowPunct w:val="0"/>
      <w:autoSpaceDE w:val="0"/>
      <w:autoSpaceDN w:val="0"/>
    </w:pPr>
    <w:rPr>
      <w:sz w:val="22"/>
      <w:szCs w:val="20"/>
    </w:rPr>
  </w:style>
  <w:style w:type="character" w:styleId="FootnoteReference">
    <w:name w:val="footnote reference"/>
    <w:aliases w:val="fr"/>
    <w:basedOn w:val="DefaultParagraphFont"/>
    <w:uiPriority w:val="99"/>
    <w:rsid w:val="00DB0904"/>
    <w:rPr>
      <w:sz w:val="24"/>
      <w:vertAlign w:val="superscript"/>
    </w:rPr>
  </w:style>
  <w:style w:type="paragraph" w:styleId="ListParagraph">
    <w:name w:val="List Paragraph"/>
    <w:basedOn w:val="Normal"/>
    <w:uiPriority w:val="34"/>
    <w:qFormat/>
    <w:rsid w:val="00532B03"/>
    <w:pPr>
      <w:ind w:left="720"/>
    </w:pPr>
    <w:rPr>
      <w:rFonts w:eastAsia="Calibri"/>
      <w:sz w:val="22"/>
      <w:szCs w:val="22"/>
    </w:rPr>
  </w:style>
  <w:style w:type="character" w:customStyle="1" w:styleId="FootnoteTextChar">
    <w:name w:val="Footnote Text Char"/>
    <w:aliases w:val="ft Char,fn Char"/>
    <w:basedOn w:val="DefaultParagraphFont"/>
    <w:link w:val="FootnoteText"/>
    <w:locked/>
    <w:rsid w:val="00532B03"/>
    <w:rPr>
      <w:sz w:val="22"/>
    </w:rPr>
  </w:style>
  <w:style w:type="character" w:styleId="CommentReference">
    <w:name w:val="annotation reference"/>
    <w:basedOn w:val="DefaultParagraphFont"/>
    <w:uiPriority w:val="99"/>
    <w:rsid w:val="00FF21CC"/>
    <w:rPr>
      <w:sz w:val="16"/>
      <w:szCs w:val="16"/>
    </w:rPr>
  </w:style>
  <w:style w:type="paragraph" w:styleId="CommentText">
    <w:name w:val="annotation text"/>
    <w:basedOn w:val="Normal"/>
    <w:link w:val="CommentTextChar"/>
    <w:rsid w:val="00FF21CC"/>
    <w:rPr>
      <w:sz w:val="20"/>
      <w:szCs w:val="20"/>
    </w:rPr>
  </w:style>
  <w:style w:type="character" w:customStyle="1" w:styleId="CommentTextChar">
    <w:name w:val="Comment Text Char"/>
    <w:basedOn w:val="DefaultParagraphFont"/>
    <w:link w:val="CommentText"/>
    <w:rsid w:val="00FF21CC"/>
  </w:style>
  <w:style w:type="paragraph" w:styleId="CommentSubject">
    <w:name w:val="annotation subject"/>
    <w:basedOn w:val="CommentText"/>
    <w:next w:val="CommentText"/>
    <w:link w:val="CommentSubjectChar"/>
    <w:rsid w:val="00FF21CC"/>
    <w:rPr>
      <w:b/>
      <w:bCs/>
    </w:rPr>
  </w:style>
  <w:style w:type="character" w:customStyle="1" w:styleId="CommentSubjectChar">
    <w:name w:val="Comment Subject Char"/>
    <w:basedOn w:val="CommentTextChar"/>
    <w:link w:val="CommentSubject"/>
    <w:rsid w:val="00FF21CC"/>
    <w:rPr>
      <w:b/>
      <w:bCs/>
    </w:rPr>
  </w:style>
  <w:style w:type="paragraph" w:styleId="BalloonText">
    <w:name w:val="Balloon Text"/>
    <w:basedOn w:val="Normal"/>
    <w:link w:val="BalloonTextChar"/>
    <w:rsid w:val="00FF21CC"/>
    <w:rPr>
      <w:rFonts w:ascii="Tahoma" w:hAnsi="Tahoma" w:cs="Tahoma"/>
      <w:sz w:val="16"/>
      <w:szCs w:val="16"/>
    </w:rPr>
  </w:style>
  <w:style w:type="character" w:customStyle="1" w:styleId="BalloonTextChar">
    <w:name w:val="Balloon Text Char"/>
    <w:basedOn w:val="DefaultParagraphFont"/>
    <w:link w:val="BalloonText"/>
    <w:rsid w:val="00FF21CC"/>
    <w:rPr>
      <w:rFonts w:ascii="Tahoma" w:hAnsi="Tahoma" w:cs="Tahoma"/>
      <w:sz w:val="16"/>
      <w:szCs w:val="16"/>
    </w:rPr>
  </w:style>
  <w:style w:type="paragraph" w:styleId="Header">
    <w:name w:val="header"/>
    <w:basedOn w:val="Normal"/>
    <w:link w:val="HeaderChar"/>
    <w:uiPriority w:val="99"/>
    <w:rsid w:val="00D238AB"/>
    <w:pPr>
      <w:tabs>
        <w:tab w:val="center" w:pos="4680"/>
        <w:tab w:val="right" w:pos="9360"/>
      </w:tabs>
    </w:pPr>
  </w:style>
  <w:style w:type="character" w:customStyle="1" w:styleId="HeaderChar">
    <w:name w:val="Header Char"/>
    <w:basedOn w:val="DefaultParagraphFont"/>
    <w:link w:val="Header"/>
    <w:uiPriority w:val="99"/>
    <w:rsid w:val="00D238AB"/>
    <w:rPr>
      <w:sz w:val="24"/>
      <w:szCs w:val="24"/>
    </w:rPr>
  </w:style>
  <w:style w:type="paragraph" w:styleId="Footer">
    <w:name w:val="footer"/>
    <w:basedOn w:val="Normal"/>
    <w:link w:val="FooterChar"/>
    <w:uiPriority w:val="99"/>
    <w:rsid w:val="00D238AB"/>
    <w:pPr>
      <w:tabs>
        <w:tab w:val="center" w:pos="4680"/>
        <w:tab w:val="right" w:pos="9360"/>
      </w:tabs>
    </w:pPr>
  </w:style>
  <w:style w:type="character" w:customStyle="1" w:styleId="FooterChar">
    <w:name w:val="Footer Char"/>
    <w:basedOn w:val="DefaultParagraphFont"/>
    <w:link w:val="Footer"/>
    <w:uiPriority w:val="99"/>
    <w:rsid w:val="00D238AB"/>
    <w:rPr>
      <w:sz w:val="24"/>
      <w:szCs w:val="24"/>
    </w:rPr>
  </w:style>
  <w:style w:type="character" w:customStyle="1" w:styleId="FootnoteTextChar2">
    <w:name w:val="Footnote Text Char2"/>
    <w:aliases w:val="ft Char1,fn Char1"/>
    <w:basedOn w:val="DefaultParagraphFont"/>
    <w:uiPriority w:val="99"/>
    <w:locked/>
    <w:rsid w:val="00E86B89"/>
    <w:rPr>
      <w:rFonts w:ascii="Times New Roman" w:eastAsia="Calibri" w:hAnsi="Times New Roman" w:cs="Times New Roman"/>
      <w:sz w:val="20"/>
      <w:szCs w:val="20"/>
    </w:rPr>
  </w:style>
  <w:style w:type="paragraph" w:styleId="HTMLPreformatted">
    <w:name w:val="HTML Preformatted"/>
    <w:basedOn w:val="Normal"/>
    <w:link w:val="HTMLPreformattedChar"/>
    <w:rsid w:val="00A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D454E"/>
    <w:rPr>
      <w:rFonts w:ascii="Courier New" w:hAnsi="Courier New" w:cs="Courier New"/>
    </w:rPr>
  </w:style>
  <w:style w:type="paragraph" w:styleId="BodyTextIndent2">
    <w:name w:val="Body Text Indent 2"/>
    <w:basedOn w:val="Normal"/>
    <w:link w:val="BodyTextIndent2Char"/>
    <w:rsid w:val="00560D19"/>
    <w:pPr>
      <w:spacing w:after="120" w:line="480" w:lineRule="auto"/>
      <w:ind w:left="360"/>
    </w:pPr>
    <w:rPr>
      <w:rFonts w:eastAsia="SimSun"/>
    </w:rPr>
  </w:style>
  <w:style w:type="character" w:customStyle="1" w:styleId="BodyTextIndent2Char">
    <w:name w:val="Body Text Indent 2 Char"/>
    <w:basedOn w:val="DefaultParagraphFont"/>
    <w:link w:val="BodyTextIndent2"/>
    <w:rsid w:val="00560D19"/>
    <w:rPr>
      <w:rFonts w:eastAsia="SimSun"/>
      <w:sz w:val="24"/>
      <w:szCs w:val="24"/>
    </w:rPr>
  </w:style>
  <w:style w:type="paragraph" w:customStyle="1" w:styleId="CM18">
    <w:name w:val="CM18"/>
    <w:basedOn w:val="Normal"/>
    <w:next w:val="Normal"/>
    <w:uiPriority w:val="99"/>
    <w:rsid w:val="00EA4AFE"/>
    <w:pPr>
      <w:widowControl/>
      <w:autoSpaceDE w:val="0"/>
      <w:autoSpaceDN w:val="0"/>
      <w:spacing w:line="553" w:lineRule="atLeast"/>
      <w:jc w:val="left"/>
      <w:textAlignment w:val="auto"/>
    </w:pPr>
    <w:rPr>
      <w:rFonts w:eastAsia="Calibri"/>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DE9E2-B9D6-474C-8D0D-2BC9A693C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1848</Words>
  <Characters>10536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SEC</Company>
  <LinksUpToDate>false</LinksUpToDate>
  <CharactersWithSpaces>12360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abernethyd</dc:creator>
  <cp:keywords/>
  <dc:description/>
  <cp:lastModifiedBy>Jennifer Porter</cp:lastModifiedBy>
  <cp:revision>2</cp:revision>
  <cp:lastPrinted>2011-06-24T14:16:00Z</cp:lastPrinted>
  <dcterms:created xsi:type="dcterms:W3CDTF">2011-06-24T20:04:00Z</dcterms:created>
  <dcterms:modified xsi:type="dcterms:W3CDTF">2011-06-24T20:04:00Z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kDAArcolgPioPRGEHhM8ZYQWM4dpk/Ua3EzWzcdkPHmaimdpr6ufjKQDFa+AEI8ZO2UUajVPF91u7u2r
zBc7OZ3fzUbMlXbKElRY0kd0+XBNufnr30yFynCtXQctcAvJ4J1BGzQW5kbO8BXEswuM6zvfc56D
Cn/DeYE1RWJYTuo3gEyXAAvnrdD5BkaBOaXKInB0r+qSM+tLziTZkLXMZERCDEZ9AhwMpSkW</vt:lpwstr>
  </property>
  <property fmtid="{D5CDD505-2E9C-101B-9397-08002B2CF9AE}" pid="3" name="RESPONSE_SENDER_NAME">
    <vt:lpwstr>4AAA4Lxe55UJ0C819m7NntL3rPqtoar9sRWocTY9nTKe53vwrgoRyLSAig==</vt:lpwstr>
  </property>
  <property fmtid="{D5CDD505-2E9C-101B-9397-08002B2CF9AE}" pid="4" name="EMAIL_OWNER_ADDRESS">
    <vt:lpwstr>sAAAE9kkUq3pEoJoBn5D9FpuHQIVVdRv45IKs15hk10/NoM=</vt:lpwstr>
  </property>
  <property fmtid="{D5CDD505-2E9C-101B-9397-08002B2CF9AE}" pid="5" name="MAIL_MSG_ID2">
    <vt:lpwstr>H9p0tSCu+mtEe4XGauBLmO6v/XgQ+Kjh5jQsXk8qC9pf7FNBF0hI1O2VYRk_x000d_
RANL1BuCVu1BrnhlMynIzCe8jP/9CNeR5aihEQ==</vt:lpwstr>
  </property>
</Properties>
</file>