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0904" w:rsidRDefault="00DB0904" w:rsidP="00DB0904">
      <w:pPr>
        <w:pStyle w:val="Title"/>
        <w:spacing w:line="240" w:lineRule="auto"/>
      </w:pPr>
      <w:r>
        <w:t>SUPPORTING STATEMENT</w:t>
      </w:r>
    </w:p>
    <w:p w:rsidR="00DB0904" w:rsidRDefault="00DB0904" w:rsidP="00DB0904">
      <w:pPr>
        <w:spacing w:line="480" w:lineRule="auto"/>
        <w:jc w:val="center"/>
        <w:rPr>
          <w:b/>
          <w:bCs/>
        </w:rPr>
      </w:pPr>
      <w:r>
        <w:rPr>
          <w:b/>
          <w:bCs/>
        </w:rPr>
        <w:t>Rule 203-2 and Form ADV-W</w:t>
      </w:r>
    </w:p>
    <w:p w:rsidR="00DB0904" w:rsidRDefault="00DB0904" w:rsidP="00DB0904">
      <w:pPr>
        <w:pStyle w:val="Heading1"/>
      </w:pPr>
      <w:r>
        <w:t>A.</w:t>
      </w:r>
      <w:r>
        <w:tab/>
        <w:t>JUSTIFICATION</w:t>
      </w:r>
    </w:p>
    <w:p w:rsidR="00DB0904" w:rsidRPr="0060142F" w:rsidRDefault="00DB0904" w:rsidP="00DB0904">
      <w:pPr>
        <w:numPr>
          <w:ilvl w:val="0"/>
          <w:numId w:val="3"/>
        </w:numPr>
        <w:spacing w:line="480" w:lineRule="auto"/>
        <w:rPr>
          <w:b/>
        </w:rPr>
      </w:pPr>
      <w:r w:rsidRPr="0060142F">
        <w:rPr>
          <w:b/>
        </w:rPr>
        <w:t>Necessity of Information Collections</w:t>
      </w:r>
    </w:p>
    <w:p w:rsidR="007A739B" w:rsidRDefault="00795295" w:rsidP="007A739B">
      <w:pPr>
        <w:spacing w:line="480" w:lineRule="auto"/>
        <w:ind w:firstLine="720"/>
      </w:pPr>
      <w:r>
        <w:t xml:space="preserve">Rule 203-2 under the Investment Advisers Act of 1940 establishes procedures for an investment adviser to withdraw its registration, or a pending registration application, with the </w:t>
      </w:r>
      <w:r>
        <w:rPr>
          <w:rFonts w:eastAsia="DeVinne"/>
        </w:rPr>
        <w:t>Securities and Exchange Commission (“Commission” or “SEC”)</w:t>
      </w:r>
      <w:r>
        <w:t xml:space="preserve">, and requires every person withdrawing from investment adviser registration with the Commission to file Form ADV-W electronically on the Investment Adviser Registration Depository (“IARD”).  </w:t>
      </w:r>
      <w:r w:rsidR="00532B03">
        <w:t>T</w:t>
      </w:r>
      <w:r w:rsidR="00532B03" w:rsidRPr="00B8227A">
        <w:t>he Dodd-Frank Wall Street Reform and Consumer Protection Act (“Dodd-Frank Act”)</w:t>
      </w:r>
      <w:bookmarkStart w:id="0" w:name="_Ref277579881"/>
      <w:r w:rsidR="00532B03" w:rsidRPr="00532B03">
        <w:rPr>
          <w:vertAlign w:val="superscript"/>
        </w:rPr>
        <w:t xml:space="preserve"> </w:t>
      </w:r>
      <w:r w:rsidR="00532B03" w:rsidRPr="00B8227A">
        <w:rPr>
          <w:vertAlign w:val="superscript"/>
        </w:rPr>
        <w:footnoteReference w:id="1"/>
      </w:r>
      <w:bookmarkEnd w:id="0"/>
      <w:r w:rsidR="00532B03" w:rsidRPr="00B8227A">
        <w:t xml:space="preserve"> </w:t>
      </w:r>
      <w:r w:rsidR="00532B03" w:rsidRPr="00B8227A">
        <w:rPr>
          <w:rFonts w:eastAsia="DeVinne"/>
        </w:rPr>
        <w:t>shifts primary responsibility</w:t>
      </w:r>
      <w:r w:rsidR="00532B03">
        <w:rPr>
          <w:rFonts w:eastAsia="DeVinne"/>
        </w:rPr>
        <w:t xml:space="preserve"> from the </w:t>
      </w:r>
      <w:r w:rsidR="00BA1500">
        <w:rPr>
          <w:rFonts w:eastAsia="DeVinne"/>
        </w:rPr>
        <w:t>SEC</w:t>
      </w:r>
      <w:r w:rsidR="00532B03">
        <w:rPr>
          <w:rFonts w:eastAsia="DeVinne"/>
        </w:rPr>
        <w:t xml:space="preserve"> to </w:t>
      </w:r>
      <w:r w:rsidR="00532B03" w:rsidRPr="00B8227A">
        <w:rPr>
          <w:rFonts w:eastAsia="DeVinne"/>
        </w:rPr>
        <w:t>the state securities authorities</w:t>
      </w:r>
      <w:r w:rsidR="00532B03">
        <w:rPr>
          <w:rFonts w:eastAsia="DeVinne"/>
        </w:rPr>
        <w:t xml:space="preserve"> </w:t>
      </w:r>
      <w:r w:rsidR="00532B03" w:rsidRPr="00B8227A">
        <w:rPr>
          <w:rFonts w:eastAsia="DeVinne"/>
        </w:rPr>
        <w:t>for the regulatory oversight</w:t>
      </w:r>
      <w:r w:rsidR="00532B03">
        <w:rPr>
          <w:rFonts w:eastAsia="DeVinne"/>
        </w:rPr>
        <w:t xml:space="preserve"> of most </w:t>
      </w:r>
      <w:r w:rsidR="00561C9E">
        <w:rPr>
          <w:rFonts w:eastAsia="DeVinne"/>
        </w:rPr>
        <w:t xml:space="preserve">investment </w:t>
      </w:r>
      <w:r w:rsidR="00532B03">
        <w:rPr>
          <w:rFonts w:eastAsia="DeVinne"/>
        </w:rPr>
        <w:t xml:space="preserve">advisers </w:t>
      </w:r>
      <w:r w:rsidR="00532B03">
        <w:t xml:space="preserve">with </w:t>
      </w:r>
      <w:r w:rsidR="00532B03" w:rsidRPr="00B8227A">
        <w:rPr>
          <w:rFonts w:eastAsia="DeVinne"/>
        </w:rPr>
        <w:t>assets under management between $25 million and $100 million</w:t>
      </w:r>
      <w:bookmarkStart w:id="1" w:name="_Ref275364317"/>
      <w:r w:rsidR="00CC2D99">
        <w:rPr>
          <w:rFonts w:eastAsia="DeVinne"/>
        </w:rPr>
        <w:t>,</w:t>
      </w:r>
      <w:r w:rsidR="00532B03" w:rsidRPr="00B8227A">
        <w:rPr>
          <w:rStyle w:val="FootnoteReference"/>
        </w:rPr>
        <w:footnoteReference w:id="2"/>
      </w:r>
      <w:bookmarkEnd w:id="1"/>
      <w:r w:rsidR="00CC2D99">
        <w:rPr>
          <w:rFonts w:eastAsia="DeVinne"/>
        </w:rPr>
        <w:t xml:space="preserve"> and the Commission is raising th</w:t>
      </w:r>
      <w:r w:rsidR="00575647">
        <w:rPr>
          <w:rFonts w:eastAsia="DeVinne"/>
        </w:rPr>
        <w:t>is</w:t>
      </w:r>
      <w:r w:rsidR="00CC2D99">
        <w:rPr>
          <w:rFonts w:eastAsia="DeVinne"/>
        </w:rPr>
        <w:t xml:space="preserve"> threshold to $110 million.</w:t>
      </w:r>
      <w:r w:rsidR="00575647" w:rsidRPr="00B8227A">
        <w:rPr>
          <w:rStyle w:val="FootnoteReference"/>
        </w:rPr>
        <w:footnoteReference w:id="3"/>
      </w:r>
      <w:r w:rsidR="00575647">
        <w:rPr>
          <w:rFonts w:eastAsia="DeVinne"/>
        </w:rPr>
        <w:t xml:space="preserve"> </w:t>
      </w:r>
      <w:r w:rsidR="00532B03" w:rsidRPr="00B8227A">
        <w:rPr>
          <w:rFonts w:eastAsia="DeVinne"/>
        </w:rPr>
        <w:t xml:space="preserve"> </w:t>
      </w:r>
      <w:r w:rsidR="00561C9E">
        <w:rPr>
          <w:rFonts w:eastAsia="DeVinne"/>
        </w:rPr>
        <w:t>T</w:t>
      </w:r>
      <w:r w:rsidR="003074D2">
        <w:rPr>
          <w:rFonts w:eastAsia="DeVinne"/>
        </w:rPr>
        <w:t xml:space="preserve">he </w:t>
      </w:r>
      <w:r w:rsidR="008731F4">
        <w:rPr>
          <w:rFonts w:eastAsia="DeVinne"/>
        </w:rPr>
        <w:t>Commission</w:t>
      </w:r>
      <w:r w:rsidR="003074D2">
        <w:rPr>
          <w:rFonts w:eastAsia="DeVinne"/>
        </w:rPr>
        <w:t xml:space="preserve"> </w:t>
      </w:r>
      <w:r w:rsidR="00B66B04">
        <w:rPr>
          <w:rFonts w:eastAsia="DeVinne"/>
        </w:rPr>
        <w:t xml:space="preserve">is adopting </w:t>
      </w:r>
      <w:r w:rsidR="00561C9E">
        <w:rPr>
          <w:rFonts w:eastAsia="DeVinne"/>
        </w:rPr>
        <w:t>a rule that w</w:t>
      </w:r>
      <w:r w:rsidR="00B66B04">
        <w:rPr>
          <w:rFonts w:eastAsia="DeVinne"/>
        </w:rPr>
        <w:t>ill</w:t>
      </w:r>
      <w:r w:rsidR="00561C9E">
        <w:rPr>
          <w:rFonts w:eastAsia="DeVinne"/>
        </w:rPr>
        <w:t xml:space="preserve"> </w:t>
      </w:r>
      <w:r w:rsidR="003074D2">
        <w:rPr>
          <w:rFonts w:eastAsia="DeVinne"/>
        </w:rPr>
        <w:t>require the</w:t>
      </w:r>
      <w:r w:rsidR="00532B03" w:rsidRPr="00B8227A">
        <w:rPr>
          <w:rFonts w:eastAsia="DeVinne"/>
        </w:rPr>
        <w:t xml:space="preserve"> advisers </w:t>
      </w:r>
      <w:r w:rsidR="003074D2">
        <w:rPr>
          <w:rFonts w:eastAsia="DeVinne"/>
        </w:rPr>
        <w:t>that</w:t>
      </w:r>
      <w:r w:rsidR="00561C9E">
        <w:rPr>
          <w:rFonts w:eastAsia="DeVinne"/>
        </w:rPr>
        <w:t xml:space="preserve"> must </w:t>
      </w:r>
      <w:r w:rsidR="008731F4">
        <w:rPr>
          <w:rFonts w:eastAsia="DeVinne"/>
        </w:rPr>
        <w:t xml:space="preserve">switch from SEC to state registration to </w:t>
      </w:r>
      <w:r w:rsidR="00532B03" w:rsidRPr="00B8227A">
        <w:rPr>
          <w:rFonts w:eastAsia="DeVinne"/>
        </w:rPr>
        <w:t>withdraw their</w:t>
      </w:r>
      <w:r w:rsidR="00561C9E">
        <w:rPr>
          <w:rFonts w:eastAsia="DeVinne"/>
        </w:rPr>
        <w:t xml:space="preserve"> SEC</w:t>
      </w:r>
      <w:r w:rsidR="00532B03" w:rsidRPr="00B8227A">
        <w:rPr>
          <w:rFonts w:eastAsia="DeVinne"/>
        </w:rPr>
        <w:t xml:space="preserve"> registrations </w:t>
      </w:r>
      <w:r w:rsidR="008731F4">
        <w:t>by</w:t>
      </w:r>
      <w:r w:rsidR="002B37D9" w:rsidRPr="00B8227A">
        <w:t xml:space="preserve"> fil</w:t>
      </w:r>
      <w:r w:rsidR="008731F4">
        <w:t>ing</w:t>
      </w:r>
      <w:r w:rsidR="002B37D9" w:rsidRPr="00B8227A">
        <w:t xml:space="preserve"> Form ADV-W</w:t>
      </w:r>
      <w:r w:rsidR="00074E6C" w:rsidRPr="00074E6C">
        <w:t xml:space="preserve"> </w:t>
      </w:r>
      <w:r w:rsidR="008731F4">
        <w:t xml:space="preserve">no later than </w:t>
      </w:r>
      <w:r w:rsidR="00B66B04">
        <w:t>June 28, 2012</w:t>
      </w:r>
      <w:r w:rsidR="002B37D9" w:rsidRPr="00B8227A">
        <w:t>.</w:t>
      </w:r>
      <w:r w:rsidR="002B37D9" w:rsidRPr="00B8227A">
        <w:rPr>
          <w:rStyle w:val="FootnoteReference"/>
        </w:rPr>
        <w:footnoteReference w:id="4"/>
      </w:r>
      <w:r w:rsidR="002B37D9" w:rsidRPr="00B8227A">
        <w:t xml:space="preserve">  </w:t>
      </w:r>
      <w:r w:rsidR="002B37D9">
        <w:t xml:space="preserve">The </w:t>
      </w:r>
      <w:r w:rsidR="008731F4">
        <w:t>Commission</w:t>
      </w:r>
      <w:r w:rsidR="002B37D9">
        <w:t xml:space="preserve"> also </w:t>
      </w:r>
      <w:r w:rsidR="000E02F9">
        <w:t xml:space="preserve">is </w:t>
      </w:r>
      <w:r w:rsidR="003074D2">
        <w:t>a</w:t>
      </w:r>
      <w:r w:rsidR="00300531" w:rsidRPr="00B8227A">
        <w:rPr>
          <w:rFonts w:eastAsia="DeVinne"/>
        </w:rPr>
        <w:t>mend</w:t>
      </w:r>
      <w:r w:rsidR="000E02F9">
        <w:rPr>
          <w:rFonts w:eastAsia="DeVinne"/>
        </w:rPr>
        <w:t>ing</w:t>
      </w:r>
      <w:r w:rsidR="00300531" w:rsidRPr="00B8227A">
        <w:rPr>
          <w:rFonts w:eastAsia="DeVinne"/>
        </w:rPr>
        <w:t xml:space="preserve"> the exemption</w:t>
      </w:r>
      <w:r w:rsidR="003074D2">
        <w:rPr>
          <w:rFonts w:eastAsia="DeVinne"/>
        </w:rPr>
        <w:t xml:space="preserve"> </w:t>
      </w:r>
      <w:r w:rsidR="003074D2" w:rsidRPr="00B8227A">
        <w:rPr>
          <w:rFonts w:eastAsia="DeVinne"/>
        </w:rPr>
        <w:t xml:space="preserve">in rule 203A-2(b) </w:t>
      </w:r>
      <w:r w:rsidR="003074D2">
        <w:rPr>
          <w:rFonts w:eastAsia="DeVinne"/>
        </w:rPr>
        <w:t xml:space="preserve">that permits certain </w:t>
      </w:r>
      <w:r w:rsidR="00300531" w:rsidRPr="00B8227A">
        <w:rPr>
          <w:rFonts w:eastAsia="DeVinne"/>
        </w:rPr>
        <w:t>pension consultants</w:t>
      </w:r>
      <w:r w:rsidR="003074D2">
        <w:rPr>
          <w:rFonts w:eastAsia="DeVinne"/>
        </w:rPr>
        <w:t xml:space="preserve"> to register with the SEC </w:t>
      </w:r>
      <w:r w:rsidR="00561C9E">
        <w:rPr>
          <w:rFonts w:eastAsia="DeVinne"/>
        </w:rPr>
        <w:t xml:space="preserve">by raising </w:t>
      </w:r>
      <w:r w:rsidR="00300531" w:rsidRPr="00B8227A">
        <w:rPr>
          <w:rFonts w:eastAsia="DeVinne"/>
        </w:rPr>
        <w:t>the minimum value of plan assets</w:t>
      </w:r>
      <w:r w:rsidR="00561C9E">
        <w:rPr>
          <w:rFonts w:eastAsia="DeVinne"/>
        </w:rPr>
        <w:t xml:space="preserve"> an adviser must consult on</w:t>
      </w:r>
      <w:r w:rsidR="00300531" w:rsidRPr="00B8227A">
        <w:rPr>
          <w:rFonts w:eastAsia="DeVinne"/>
        </w:rPr>
        <w:t xml:space="preserve"> from $50 million to $200 million</w:t>
      </w:r>
      <w:r w:rsidR="00561C9E">
        <w:rPr>
          <w:rFonts w:eastAsia="DeVinne"/>
        </w:rPr>
        <w:t xml:space="preserve"> annually</w:t>
      </w:r>
      <w:r w:rsidR="00916F7D">
        <w:rPr>
          <w:rFonts w:eastAsia="DeVinne"/>
        </w:rPr>
        <w:t xml:space="preserve">, which </w:t>
      </w:r>
      <w:r w:rsidR="000E02F9">
        <w:rPr>
          <w:rFonts w:eastAsia="DeVinne"/>
        </w:rPr>
        <w:t>will</w:t>
      </w:r>
      <w:r w:rsidR="00916F7D">
        <w:rPr>
          <w:rFonts w:eastAsia="DeVinne"/>
        </w:rPr>
        <w:t xml:space="preserve"> require </w:t>
      </w:r>
      <w:r w:rsidR="00300531" w:rsidRPr="00B8227A">
        <w:rPr>
          <w:rFonts w:eastAsia="DeVinne"/>
        </w:rPr>
        <w:t>advisers</w:t>
      </w:r>
      <w:r w:rsidR="00561C9E">
        <w:rPr>
          <w:rFonts w:eastAsia="DeVinne"/>
        </w:rPr>
        <w:t xml:space="preserve"> providing </w:t>
      </w:r>
      <w:r w:rsidR="008731F4">
        <w:rPr>
          <w:rFonts w:eastAsia="DeVinne"/>
        </w:rPr>
        <w:t xml:space="preserve">pension </w:t>
      </w:r>
      <w:r w:rsidR="00561C9E">
        <w:rPr>
          <w:rFonts w:eastAsia="DeVinne"/>
        </w:rPr>
        <w:t xml:space="preserve">consulting services </w:t>
      </w:r>
      <w:r w:rsidR="00561C9E">
        <w:rPr>
          <w:rFonts w:eastAsia="DeVinne"/>
        </w:rPr>
        <w:lastRenderedPageBreak/>
        <w:t>to plans of less than $200 million to</w:t>
      </w:r>
      <w:r w:rsidR="00916F7D">
        <w:rPr>
          <w:rFonts w:eastAsia="DeVinne"/>
        </w:rPr>
        <w:t xml:space="preserve"> withdraw their SEC registration</w:t>
      </w:r>
      <w:r w:rsidR="00EF5D2B">
        <w:rPr>
          <w:rFonts w:eastAsia="DeVinne"/>
        </w:rPr>
        <w:t>s</w:t>
      </w:r>
      <w:r w:rsidR="00916F7D">
        <w:rPr>
          <w:rFonts w:eastAsia="DeVinne"/>
        </w:rPr>
        <w:t xml:space="preserve"> by filing Form ADV-W</w:t>
      </w:r>
      <w:r w:rsidR="00300531" w:rsidRPr="00B8227A">
        <w:rPr>
          <w:rFonts w:eastAsia="DeVinne"/>
        </w:rPr>
        <w:t>.</w:t>
      </w:r>
      <w:r w:rsidR="00674ECB" w:rsidRPr="00B8227A">
        <w:rPr>
          <w:rStyle w:val="FootnoteReference"/>
        </w:rPr>
        <w:footnoteReference w:id="5"/>
      </w:r>
      <w:r w:rsidR="00300531" w:rsidRPr="00B8227A">
        <w:rPr>
          <w:rFonts w:eastAsia="DeVinne"/>
        </w:rPr>
        <w:t xml:space="preserve">  </w:t>
      </w:r>
      <w:r w:rsidR="007D24EB">
        <w:rPr>
          <w:rFonts w:eastAsia="DeVinne"/>
        </w:rPr>
        <w:t>T</w:t>
      </w:r>
      <w:r w:rsidR="008D63BD">
        <w:rPr>
          <w:rFonts w:eastAsia="DeVinne"/>
        </w:rPr>
        <w:t xml:space="preserve">he annual aggregate burden associated with the collections of information for rule 203-2 and Form ADV-W </w:t>
      </w:r>
      <w:r w:rsidR="00595CA9">
        <w:rPr>
          <w:rFonts w:eastAsia="DeVinne"/>
        </w:rPr>
        <w:t>are</w:t>
      </w:r>
      <w:r w:rsidR="008D63BD">
        <w:rPr>
          <w:rFonts w:eastAsia="DeVinne"/>
        </w:rPr>
        <w:t xml:space="preserve"> affected</w:t>
      </w:r>
      <w:r w:rsidR="007D24EB">
        <w:rPr>
          <w:rFonts w:eastAsia="DeVinne"/>
        </w:rPr>
        <w:t xml:space="preserve"> </w:t>
      </w:r>
      <w:r w:rsidR="00595CA9">
        <w:rPr>
          <w:rFonts w:eastAsia="DeVinne"/>
        </w:rPr>
        <w:t>by</w:t>
      </w:r>
      <w:r w:rsidR="007D24EB">
        <w:rPr>
          <w:rFonts w:eastAsia="DeVinne"/>
        </w:rPr>
        <w:t xml:space="preserve"> these amendments</w:t>
      </w:r>
      <w:r w:rsidR="008D63BD">
        <w:rPr>
          <w:rFonts w:eastAsia="DeVinne"/>
        </w:rPr>
        <w:t>.</w:t>
      </w:r>
    </w:p>
    <w:p w:rsidR="004229F9" w:rsidRDefault="001C7377" w:rsidP="00DB0904">
      <w:pPr>
        <w:spacing w:line="480" w:lineRule="auto"/>
        <w:ind w:firstLine="720"/>
      </w:pPr>
      <w:r>
        <w:t>The potential respondents to this information collection</w:t>
      </w:r>
      <w:r w:rsidR="008731F4">
        <w:t xml:space="preserve"> in connection with the proposed amendments</w:t>
      </w:r>
      <w:r>
        <w:t xml:space="preserve"> are all investment advisers registered</w:t>
      </w:r>
      <w:r w:rsidR="0045085C">
        <w:t xml:space="preserve"> </w:t>
      </w:r>
      <w:r>
        <w:t>with the Commission</w:t>
      </w:r>
      <w:r w:rsidR="0045085C">
        <w:t xml:space="preserve"> on </w:t>
      </w:r>
      <w:r w:rsidR="00342958">
        <w:t xml:space="preserve">January 1, 2012 </w:t>
      </w:r>
      <w:r w:rsidR="0045085C">
        <w:t>that must withdraw their registration</w:t>
      </w:r>
      <w:r w:rsidR="0048226D">
        <w:t>s</w:t>
      </w:r>
      <w:r w:rsidR="0045085C">
        <w:t xml:space="preserve"> as a result of the implement</w:t>
      </w:r>
      <w:r w:rsidR="008731F4">
        <w:t>ation of</w:t>
      </w:r>
      <w:r w:rsidR="0045085C">
        <w:t xml:space="preserve"> the Dodd-Frank Act</w:t>
      </w:r>
      <w:r>
        <w:t xml:space="preserve">.  </w:t>
      </w:r>
      <w:r w:rsidR="0048226D">
        <w:t xml:space="preserve">The collection of </w:t>
      </w:r>
      <w:r w:rsidR="006C51A2">
        <w:t xml:space="preserve">information is </w:t>
      </w:r>
      <w:r w:rsidR="0048226D">
        <w:t xml:space="preserve">necessary to assure that the Commission and the public are notified when each of these investment advisers withdraws its SEC registration.  </w:t>
      </w:r>
    </w:p>
    <w:p w:rsidR="00DB0904" w:rsidRDefault="008D314F" w:rsidP="00DB0904">
      <w:pPr>
        <w:spacing w:line="480" w:lineRule="auto"/>
        <w:ind w:firstLine="720"/>
      </w:pPr>
      <w:r>
        <w:t xml:space="preserve">The title of the affected collection of information is: </w:t>
      </w:r>
      <w:r w:rsidR="00FF21CC">
        <w:t>“</w:t>
      </w:r>
      <w:r w:rsidR="00FF21CC" w:rsidRPr="00B8227A">
        <w:t>Rule 203-2 and Form ADV-W under the Investment Advisers Act of 1940</w:t>
      </w:r>
      <w:r w:rsidR="00FF21CC">
        <w:t xml:space="preserve">.”  </w:t>
      </w:r>
      <w:r w:rsidR="004737EA">
        <w:t>Its OMB control n</w:t>
      </w:r>
      <w:r w:rsidR="00C52BF6">
        <w:t>um</w:t>
      </w:r>
      <w:r w:rsidR="004737EA">
        <w:t xml:space="preserve">ber is 3235-0313.  An agency may not conduct or sponsor, and a person is not required to respond to, a collection of information unless it displays a currently valid OMB control number.  </w:t>
      </w:r>
      <w:r w:rsidR="00DB0904">
        <w:t xml:space="preserve">This collection of information is found at 17 CFR 275.203-2 and 17 CFR 279.2 and it is mandatory.  </w:t>
      </w:r>
      <w:r w:rsidR="00FB3A52">
        <w:t>Responses are not kept confidential.</w:t>
      </w:r>
    </w:p>
    <w:p w:rsidR="00DB0904" w:rsidRPr="0060142F" w:rsidRDefault="00DB0904" w:rsidP="00DB0904">
      <w:pPr>
        <w:numPr>
          <w:ilvl w:val="0"/>
          <w:numId w:val="1"/>
        </w:numPr>
        <w:tabs>
          <w:tab w:val="left" w:pos="-720"/>
        </w:tabs>
        <w:suppressAutoHyphens/>
        <w:spacing w:line="480" w:lineRule="auto"/>
        <w:rPr>
          <w:b/>
          <w:spacing w:val="-3"/>
        </w:rPr>
      </w:pPr>
      <w:r w:rsidRPr="0060142F">
        <w:rPr>
          <w:b/>
          <w:spacing w:val="-3"/>
        </w:rPr>
        <w:t>Purposes of Information Collection</w:t>
      </w:r>
    </w:p>
    <w:p w:rsidR="00DB0904" w:rsidRDefault="00DB0904" w:rsidP="00DB0904">
      <w:pPr>
        <w:pStyle w:val="BodyTextIndent"/>
        <w:rPr>
          <w:spacing w:val="-3"/>
        </w:rPr>
      </w:pPr>
      <w:r>
        <w:rPr>
          <w:spacing w:val="-3"/>
        </w:rPr>
        <w:t xml:space="preserve">Form ADV-W </w:t>
      </w:r>
      <w:r w:rsidR="00544B67">
        <w:rPr>
          <w:spacing w:val="-3"/>
        </w:rPr>
        <w:t>w</w:t>
      </w:r>
      <w:r w:rsidR="0044673C">
        <w:rPr>
          <w:spacing w:val="-3"/>
        </w:rPr>
        <w:t>ill</w:t>
      </w:r>
      <w:r w:rsidR="00544B67">
        <w:rPr>
          <w:spacing w:val="-3"/>
        </w:rPr>
        <w:t xml:space="preserve"> be</w:t>
      </w:r>
      <w:r>
        <w:rPr>
          <w:spacing w:val="-3"/>
        </w:rPr>
        <w:t xml:space="preserve"> used to withdraw an investment adviser’s registration with the Commission</w:t>
      </w:r>
      <w:r w:rsidR="00544B67">
        <w:rPr>
          <w:spacing w:val="-3"/>
        </w:rPr>
        <w:t xml:space="preserve"> </w:t>
      </w:r>
      <w:r w:rsidR="00544B67">
        <w:t>as a result of the proposed amendments to implement the Dodd-Frank Act</w:t>
      </w:r>
      <w:r>
        <w:rPr>
          <w:spacing w:val="-3"/>
        </w:rPr>
        <w:t xml:space="preserve">.  The purpose of the information collection </w:t>
      </w:r>
      <w:r w:rsidR="00A13D39">
        <w:rPr>
          <w:spacing w:val="-3"/>
        </w:rPr>
        <w:t>is</w:t>
      </w:r>
      <w:r>
        <w:rPr>
          <w:spacing w:val="-3"/>
        </w:rPr>
        <w:t xml:space="preserve"> to notify the Commission and the public when </w:t>
      </w:r>
      <w:r w:rsidR="00544B67">
        <w:rPr>
          <w:spacing w:val="-3"/>
        </w:rPr>
        <w:t>each</w:t>
      </w:r>
      <w:r>
        <w:rPr>
          <w:spacing w:val="-3"/>
        </w:rPr>
        <w:t xml:space="preserve"> investment adviser withdraws its SEC registration.  </w:t>
      </w:r>
    </w:p>
    <w:p w:rsidR="00236D02" w:rsidRDefault="00236D02" w:rsidP="00DB0904">
      <w:pPr>
        <w:pStyle w:val="BodyTextIndent"/>
        <w:rPr>
          <w:spacing w:val="-3"/>
        </w:rPr>
      </w:pPr>
    </w:p>
    <w:p w:rsidR="00236D02" w:rsidRDefault="00236D02" w:rsidP="00DB0904">
      <w:pPr>
        <w:pStyle w:val="BodyTextIndent"/>
        <w:rPr>
          <w:spacing w:val="-3"/>
        </w:rPr>
      </w:pPr>
    </w:p>
    <w:p w:rsidR="00DB0904" w:rsidRPr="00D451EE" w:rsidRDefault="00DB0904" w:rsidP="00DB0904">
      <w:pPr>
        <w:numPr>
          <w:ilvl w:val="0"/>
          <w:numId w:val="1"/>
        </w:numPr>
        <w:tabs>
          <w:tab w:val="left" w:pos="-720"/>
        </w:tabs>
        <w:suppressAutoHyphens/>
        <w:spacing w:line="480" w:lineRule="auto"/>
        <w:rPr>
          <w:b/>
          <w:spacing w:val="-3"/>
        </w:rPr>
      </w:pPr>
      <w:r w:rsidRPr="00D451EE">
        <w:rPr>
          <w:b/>
          <w:spacing w:val="-3"/>
        </w:rPr>
        <w:lastRenderedPageBreak/>
        <w:t>Role of Improved Information Technology</w:t>
      </w:r>
    </w:p>
    <w:p w:rsidR="00DB0904" w:rsidRDefault="00C04BC5" w:rsidP="00DB0904">
      <w:pPr>
        <w:tabs>
          <w:tab w:val="left" w:pos="-720"/>
        </w:tabs>
        <w:suppressAutoHyphens/>
        <w:spacing w:line="480" w:lineRule="auto"/>
        <w:rPr>
          <w:spacing w:val="-3"/>
        </w:rPr>
      </w:pPr>
      <w:r>
        <w:rPr>
          <w:spacing w:val="-3"/>
        </w:rPr>
        <w:tab/>
        <w:t>A</w:t>
      </w:r>
      <w:r w:rsidR="00DB0904">
        <w:rPr>
          <w:spacing w:val="-3"/>
        </w:rPr>
        <w:t xml:space="preserve">ll SEC-registered investment advisers </w:t>
      </w:r>
      <w:r>
        <w:rPr>
          <w:spacing w:val="-3"/>
        </w:rPr>
        <w:t xml:space="preserve">are required </w:t>
      </w:r>
      <w:r w:rsidR="00DB0904">
        <w:rPr>
          <w:spacing w:val="-3"/>
        </w:rPr>
        <w:t>to file Part 1 of Form ADV, the form used to register as an investment adviser, electronically through the IARD.</w:t>
      </w:r>
      <w:r w:rsidR="00430EB7">
        <w:rPr>
          <w:spacing w:val="-3"/>
        </w:rPr>
        <w:t xml:space="preserve">  </w:t>
      </w:r>
      <w:r w:rsidR="00DB0904">
        <w:rPr>
          <w:spacing w:val="-3"/>
        </w:rPr>
        <w:t>The IARD is an Internet-based system that investment advisers access through computers in their offices, without the need for specialized software or hardware.  The information investment advisers submit to the IARD is stored in a database, and the general public has Internet-access to the data.  The IARD also permits investment</w:t>
      </w:r>
      <w:r>
        <w:rPr>
          <w:spacing w:val="-3"/>
        </w:rPr>
        <w:t xml:space="preserve"> advisers to </w:t>
      </w:r>
      <w:r w:rsidR="005D7E74">
        <w:rPr>
          <w:spacing w:val="-3"/>
        </w:rPr>
        <w:t>meet state</w:t>
      </w:r>
      <w:r w:rsidR="00DB0904">
        <w:rPr>
          <w:spacing w:val="-3"/>
        </w:rPr>
        <w:t xml:space="preserve"> notice filing requirements electronically.</w:t>
      </w:r>
    </w:p>
    <w:p w:rsidR="003F3FE5" w:rsidRDefault="00DB0904" w:rsidP="00DB0904">
      <w:pPr>
        <w:tabs>
          <w:tab w:val="left" w:pos="-720"/>
        </w:tabs>
        <w:suppressAutoHyphens/>
        <w:spacing w:line="480" w:lineRule="auto"/>
        <w:rPr>
          <w:spacing w:val="-3"/>
        </w:rPr>
      </w:pPr>
      <w:r>
        <w:rPr>
          <w:spacing w:val="-3"/>
        </w:rPr>
        <w:tab/>
        <w:t>In conjunction with mandating electronic filing of investment adviser registrat</w:t>
      </w:r>
      <w:r w:rsidR="00C04BC5">
        <w:rPr>
          <w:spacing w:val="-3"/>
        </w:rPr>
        <w:t>ion forms</w:t>
      </w:r>
      <w:r>
        <w:rPr>
          <w:spacing w:val="-3"/>
        </w:rPr>
        <w:t>, the Commission also mandated electronic filing of the form used to withdraw from registration.  To withdraw an investment adviser registration, rule 203-2 requires the electronic filing of Form ADV-W on the IARD.</w:t>
      </w:r>
      <w:r w:rsidR="003F3FE5">
        <w:rPr>
          <w:spacing w:val="-3"/>
        </w:rPr>
        <w:t xml:space="preserve">  </w:t>
      </w:r>
      <w:r w:rsidR="0066292F">
        <w:rPr>
          <w:spacing w:val="-3"/>
        </w:rPr>
        <w:t>Accordingly, t</w:t>
      </w:r>
      <w:r w:rsidR="003F3FE5">
        <w:rPr>
          <w:rFonts w:eastAsia="DeVinne"/>
        </w:rPr>
        <w:t xml:space="preserve">he </w:t>
      </w:r>
      <w:r w:rsidR="005C6A67">
        <w:rPr>
          <w:rFonts w:eastAsia="DeVinne"/>
        </w:rPr>
        <w:t>Commission</w:t>
      </w:r>
      <w:r w:rsidR="003F3FE5">
        <w:rPr>
          <w:rFonts w:eastAsia="DeVinne"/>
        </w:rPr>
        <w:t xml:space="preserve"> </w:t>
      </w:r>
      <w:r w:rsidR="005C6A67">
        <w:rPr>
          <w:rFonts w:eastAsia="DeVinne"/>
        </w:rPr>
        <w:t>is</w:t>
      </w:r>
      <w:r w:rsidR="003F3FE5">
        <w:rPr>
          <w:rFonts w:eastAsia="DeVinne"/>
        </w:rPr>
        <w:t xml:space="preserve"> requir</w:t>
      </w:r>
      <w:r w:rsidR="005C6A67">
        <w:rPr>
          <w:rFonts w:eastAsia="DeVinne"/>
        </w:rPr>
        <w:t>ing</w:t>
      </w:r>
      <w:r w:rsidR="003F3FE5">
        <w:rPr>
          <w:rFonts w:eastAsia="DeVinne"/>
        </w:rPr>
        <w:t xml:space="preserve"> the</w:t>
      </w:r>
      <w:r w:rsidR="003F3FE5" w:rsidRPr="00B8227A">
        <w:rPr>
          <w:rFonts w:eastAsia="DeVinne"/>
        </w:rPr>
        <w:t xml:space="preserve"> SEC-registered advisers </w:t>
      </w:r>
      <w:r w:rsidR="003F3FE5">
        <w:rPr>
          <w:rFonts w:eastAsia="DeVinne"/>
        </w:rPr>
        <w:t xml:space="preserve">that </w:t>
      </w:r>
      <w:r w:rsidR="003F3FE5" w:rsidRPr="00B8227A">
        <w:rPr>
          <w:rFonts w:eastAsia="DeVinne"/>
        </w:rPr>
        <w:t xml:space="preserve">will be required to withdraw their registrations </w:t>
      </w:r>
      <w:r w:rsidR="003F3FE5">
        <w:rPr>
          <w:rFonts w:eastAsia="DeVinne"/>
        </w:rPr>
        <w:t xml:space="preserve">as a result of the proposed amendments to implement the Dodd-Frank Act </w:t>
      </w:r>
      <w:r w:rsidR="003F3FE5" w:rsidRPr="00B8227A">
        <w:t xml:space="preserve">to withdraw </w:t>
      </w:r>
      <w:r w:rsidR="003F3FE5">
        <w:t xml:space="preserve">their </w:t>
      </w:r>
      <w:r w:rsidR="003F3FE5" w:rsidRPr="00B8227A">
        <w:t>registration</w:t>
      </w:r>
      <w:r w:rsidR="003F3FE5">
        <w:t>s</w:t>
      </w:r>
      <w:r w:rsidR="003F3FE5" w:rsidRPr="00B8227A">
        <w:t xml:space="preserve"> by filing Form ADV-W</w:t>
      </w:r>
      <w:r w:rsidR="003F3FE5" w:rsidRPr="00074E6C">
        <w:t xml:space="preserve"> </w:t>
      </w:r>
      <w:r w:rsidR="003F3FE5">
        <w:t>electronically on the IARD</w:t>
      </w:r>
      <w:r w:rsidR="003F3FE5" w:rsidRPr="00B8227A">
        <w:t xml:space="preserve">.  </w:t>
      </w:r>
    </w:p>
    <w:p w:rsidR="00DB0904" w:rsidRPr="00D451EE" w:rsidRDefault="00DB0904" w:rsidP="00DB0904">
      <w:pPr>
        <w:numPr>
          <w:ilvl w:val="0"/>
          <w:numId w:val="1"/>
        </w:numPr>
        <w:tabs>
          <w:tab w:val="left" w:pos="-720"/>
        </w:tabs>
        <w:suppressAutoHyphens/>
        <w:rPr>
          <w:b/>
          <w:spacing w:val="-3"/>
        </w:rPr>
      </w:pPr>
      <w:r w:rsidRPr="00D451EE">
        <w:rPr>
          <w:b/>
          <w:spacing w:val="-3"/>
        </w:rPr>
        <w:t>Efforts to Identify Duplication</w:t>
      </w:r>
    </w:p>
    <w:p w:rsidR="00DB0904" w:rsidRDefault="00DB0904" w:rsidP="00DB0904">
      <w:pPr>
        <w:tabs>
          <w:tab w:val="left" w:pos="-720"/>
        </w:tabs>
        <w:suppressAutoHyphens/>
        <w:rPr>
          <w:spacing w:val="-3"/>
        </w:rPr>
      </w:pPr>
    </w:p>
    <w:p w:rsidR="00DB0904" w:rsidRDefault="00DB0904" w:rsidP="00DB0904">
      <w:pPr>
        <w:tabs>
          <w:tab w:val="left" w:pos="-720"/>
        </w:tabs>
        <w:suppressAutoHyphens/>
        <w:spacing w:line="480" w:lineRule="auto"/>
        <w:rPr>
          <w:spacing w:val="-3"/>
        </w:rPr>
      </w:pPr>
      <w:r>
        <w:rPr>
          <w:spacing w:val="-3"/>
        </w:rPr>
        <w:tab/>
        <w:t>The collection of information requirements of the rule and form are not duplicated elsewhere.</w:t>
      </w:r>
    </w:p>
    <w:p w:rsidR="00DB0904" w:rsidRPr="007C36B2" w:rsidRDefault="00DB0904" w:rsidP="00DB0904">
      <w:pPr>
        <w:numPr>
          <w:ilvl w:val="0"/>
          <w:numId w:val="2"/>
        </w:numPr>
        <w:tabs>
          <w:tab w:val="left" w:pos="-720"/>
        </w:tabs>
        <w:suppressAutoHyphens/>
        <w:spacing w:line="480" w:lineRule="auto"/>
        <w:rPr>
          <w:b/>
          <w:spacing w:val="-3"/>
        </w:rPr>
      </w:pPr>
      <w:r w:rsidRPr="007C36B2">
        <w:rPr>
          <w:b/>
          <w:spacing w:val="-3"/>
        </w:rPr>
        <w:t>Effect on Small Entities</w:t>
      </w:r>
    </w:p>
    <w:p w:rsidR="00DB0904" w:rsidRDefault="00DB0904" w:rsidP="00DB0904">
      <w:pPr>
        <w:pStyle w:val="BodyTextIndent"/>
        <w:rPr>
          <w:spacing w:val="-3"/>
        </w:rPr>
      </w:pPr>
      <w:r>
        <w:rPr>
          <w:spacing w:val="-3"/>
        </w:rPr>
        <w:t>The requirements of rule 203-2 and Form ADV-W are the same for all investment advisers registered with the Commission, including small entities.  It would defeat the purpose of the rule to exempt small entities from these requirements.</w:t>
      </w:r>
    </w:p>
    <w:p w:rsidR="00160A75" w:rsidRDefault="00160A75" w:rsidP="00DB0904">
      <w:pPr>
        <w:pStyle w:val="BodyTextIndent"/>
        <w:rPr>
          <w:spacing w:val="-3"/>
        </w:rPr>
      </w:pPr>
    </w:p>
    <w:p w:rsidR="00160A75" w:rsidRDefault="00160A75" w:rsidP="00DB0904">
      <w:pPr>
        <w:pStyle w:val="BodyTextIndent"/>
        <w:rPr>
          <w:spacing w:val="-3"/>
        </w:rPr>
      </w:pPr>
    </w:p>
    <w:p w:rsidR="00DB0904" w:rsidRPr="008E0710" w:rsidRDefault="00DB0904" w:rsidP="00DB0904">
      <w:pPr>
        <w:numPr>
          <w:ilvl w:val="0"/>
          <w:numId w:val="2"/>
        </w:numPr>
        <w:tabs>
          <w:tab w:val="left" w:pos="-720"/>
        </w:tabs>
        <w:suppressAutoHyphens/>
        <w:spacing w:line="480" w:lineRule="auto"/>
        <w:rPr>
          <w:b/>
          <w:spacing w:val="-3"/>
        </w:rPr>
      </w:pPr>
      <w:r w:rsidRPr="008E0710">
        <w:rPr>
          <w:b/>
          <w:spacing w:val="-3"/>
        </w:rPr>
        <w:t>Consequences of Less Frequent Collection</w:t>
      </w:r>
    </w:p>
    <w:p w:rsidR="00DB0904" w:rsidRDefault="00DB0904" w:rsidP="00DB0904">
      <w:pPr>
        <w:pStyle w:val="BodyTextIndent"/>
        <w:rPr>
          <w:spacing w:val="-3"/>
        </w:rPr>
      </w:pPr>
      <w:r>
        <w:rPr>
          <w:spacing w:val="-3"/>
        </w:rPr>
        <w:t xml:space="preserve">Rule 203-2 requires an adviser to notify the Commission when it is withdrawing its SEC registration.  If </w:t>
      </w:r>
      <w:r w:rsidR="003178BD">
        <w:rPr>
          <w:spacing w:val="-3"/>
        </w:rPr>
        <w:t>the Commission</w:t>
      </w:r>
      <w:r>
        <w:rPr>
          <w:spacing w:val="-3"/>
        </w:rPr>
        <w:t xml:space="preserve"> did not collect this information, the Commission and the public would be unaware that an adviser had gone out of business or was ineligible to remain registered with the Commission.</w:t>
      </w:r>
    </w:p>
    <w:p w:rsidR="00DB0904" w:rsidRPr="008E0710" w:rsidRDefault="00DB0904" w:rsidP="00DB0904">
      <w:pPr>
        <w:numPr>
          <w:ilvl w:val="0"/>
          <w:numId w:val="2"/>
        </w:numPr>
        <w:tabs>
          <w:tab w:val="left" w:pos="-720"/>
        </w:tabs>
        <w:suppressAutoHyphens/>
        <w:spacing w:line="480" w:lineRule="auto"/>
        <w:rPr>
          <w:b/>
          <w:spacing w:val="-3"/>
        </w:rPr>
      </w:pPr>
      <w:r w:rsidRPr="008E0710">
        <w:rPr>
          <w:b/>
          <w:spacing w:val="-3"/>
        </w:rPr>
        <w:t>Inconsistencies with Guidelines in 5 CFR 1320.5(d)(2)</w:t>
      </w:r>
    </w:p>
    <w:p w:rsidR="00DB0904" w:rsidRDefault="00DB0904" w:rsidP="00DB0904">
      <w:pPr>
        <w:tabs>
          <w:tab w:val="left" w:pos="-720"/>
        </w:tabs>
        <w:suppressAutoHyphens/>
        <w:spacing w:line="480" w:lineRule="auto"/>
        <w:rPr>
          <w:spacing w:val="-3"/>
        </w:rPr>
      </w:pPr>
      <w:r>
        <w:rPr>
          <w:spacing w:val="-3"/>
        </w:rPr>
        <w:tab/>
        <w:t>The collection of information imposes no additional requirements regarding record retention.</w:t>
      </w:r>
    </w:p>
    <w:p w:rsidR="00DB0904" w:rsidRPr="008E0710" w:rsidRDefault="00DB0904" w:rsidP="00DB0904">
      <w:pPr>
        <w:numPr>
          <w:ilvl w:val="0"/>
          <w:numId w:val="2"/>
        </w:numPr>
        <w:tabs>
          <w:tab w:val="left" w:pos="-720"/>
        </w:tabs>
        <w:suppressAutoHyphens/>
        <w:spacing w:line="480" w:lineRule="auto"/>
        <w:rPr>
          <w:b/>
          <w:spacing w:val="-3"/>
        </w:rPr>
      </w:pPr>
      <w:r w:rsidRPr="008E0710">
        <w:rPr>
          <w:b/>
          <w:spacing w:val="-3"/>
        </w:rPr>
        <w:t>Consultations Outside of the Agency</w:t>
      </w:r>
    </w:p>
    <w:p w:rsidR="00DB0904" w:rsidRDefault="00DB0904" w:rsidP="00DB0904">
      <w:pPr>
        <w:tabs>
          <w:tab w:val="left" w:pos="-720"/>
        </w:tabs>
        <w:suppressAutoHyphens/>
        <w:spacing w:line="480" w:lineRule="auto"/>
        <w:rPr>
          <w:spacing w:val="-3"/>
        </w:rPr>
      </w:pPr>
      <w:r>
        <w:rPr>
          <w:spacing w:val="-3"/>
        </w:rPr>
        <w:tab/>
      </w:r>
      <w:r w:rsidR="00523587">
        <w:rPr>
          <w:spacing w:val="-3"/>
        </w:rPr>
        <w:t>In its release proposing</w:t>
      </w:r>
      <w:r w:rsidR="005539FC">
        <w:rPr>
          <w:spacing w:val="-3"/>
        </w:rPr>
        <w:t xml:space="preserve"> new rules and rule</w:t>
      </w:r>
      <w:r w:rsidR="00523587">
        <w:rPr>
          <w:spacing w:val="-3"/>
        </w:rPr>
        <w:t xml:space="preserve"> amendments to</w:t>
      </w:r>
      <w:r w:rsidR="005539FC">
        <w:rPr>
          <w:spacing w:val="-3"/>
        </w:rPr>
        <w:t xml:space="preserve"> implement the Dodd-Frank Act</w:t>
      </w:r>
      <w:r w:rsidR="00523587">
        <w:rPr>
          <w:spacing w:val="-3"/>
        </w:rPr>
        <w:t>, the Commission request</w:t>
      </w:r>
      <w:r w:rsidR="008E3738">
        <w:rPr>
          <w:spacing w:val="-3"/>
        </w:rPr>
        <w:t>ed</w:t>
      </w:r>
      <w:r w:rsidR="00523587">
        <w:rPr>
          <w:spacing w:val="-3"/>
        </w:rPr>
        <w:t xml:space="preserve"> public comment on the effect of information collections under these</w:t>
      </w:r>
      <w:r w:rsidR="005539FC">
        <w:rPr>
          <w:spacing w:val="-3"/>
        </w:rPr>
        <w:t xml:space="preserve"> rules and</w:t>
      </w:r>
      <w:r w:rsidR="00523587">
        <w:rPr>
          <w:spacing w:val="-3"/>
        </w:rPr>
        <w:t xml:space="preserve"> amendments.  </w:t>
      </w:r>
      <w:r w:rsidR="008E3738">
        <w:rPr>
          <w:spacing w:val="-3"/>
        </w:rPr>
        <w:t>The comments r</w:t>
      </w:r>
      <w:r w:rsidR="00257C66">
        <w:rPr>
          <w:spacing w:val="-3"/>
        </w:rPr>
        <w:t>eceived are discussed below in I</w:t>
      </w:r>
      <w:r w:rsidR="008E3738">
        <w:rPr>
          <w:spacing w:val="-3"/>
        </w:rPr>
        <w:t xml:space="preserve">tem 12 in connection with </w:t>
      </w:r>
      <w:r w:rsidR="00324F1C">
        <w:rPr>
          <w:spacing w:val="-3"/>
        </w:rPr>
        <w:t>the</w:t>
      </w:r>
      <w:r w:rsidR="008E3738">
        <w:rPr>
          <w:spacing w:val="-3"/>
        </w:rPr>
        <w:t xml:space="preserve"> current estimates of the hour burden associated with rule 203-2 and Form ADV-W.  </w:t>
      </w:r>
      <w:r w:rsidR="00523587">
        <w:rPr>
          <w:spacing w:val="-3"/>
        </w:rPr>
        <w:t>In addition, t</w:t>
      </w:r>
      <w:r>
        <w:rPr>
          <w:spacing w:val="-3"/>
        </w:rPr>
        <w:t xml:space="preserve">he Commission and the staff of the Division of Investment Management participate in an ongoing dialogue with representatives of the investment adviser profession through public conferences, meetings, and informal exchanges.  These various forums provide the Commission and the staff with a means of ascertaining and acting upon paperwork burdens facing the industry.  </w:t>
      </w:r>
    </w:p>
    <w:p w:rsidR="00DB0904" w:rsidRDefault="00C60E28" w:rsidP="00DB0904">
      <w:pPr>
        <w:numPr>
          <w:ilvl w:val="0"/>
          <w:numId w:val="2"/>
        </w:numPr>
        <w:tabs>
          <w:tab w:val="left" w:pos="-720"/>
        </w:tabs>
        <w:suppressAutoHyphens/>
        <w:spacing w:line="480" w:lineRule="auto"/>
        <w:rPr>
          <w:b/>
          <w:spacing w:val="-3"/>
        </w:rPr>
      </w:pPr>
      <w:r>
        <w:rPr>
          <w:b/>
          <w:spacing w:val="-3"/>
        </w:rPr>
        <w:t xml:space="preserve">Payment or </w:t>
      </w:r>
      <w:r w:rsidR="00DB0904" w:rsidRPr="00517A00">
        <w:rPr>
          <w:b/>
          <w:spacing w:val="-3"/>
        </w:rPr>
        <w:t>G</w:t>
      </w:r>
      <w:r w:rsidR="00DB0904">
        <w:rPr>
          <w:b/>
          <w:spacing w:val="-3"/>
        </w:rPr>
        <w:t>ifts to Respondents</w:t>
      </w:r>
    </w:p>
    <w:p w:rsidR="00DB0904" w:rsidRDefault="00DB0904" w:rsidP="00DB0904">
      <w:pPr>
        <w:tabs>
          <w:tab w:val="left" w:pos="-720"/>
        </w:tabs>
        <w:suppressAutoHyphens/>
        <w:spacing w:line="480" w:lineRule="auto"/>
        <w:rPr>
          <w:spacing w:val="-3"/>
        </w:rPr>
      </w:pPr>
      <w:r>
        <w:rPr>
          <w:spacing w:val="-3"/>
        </w:rPr>
        <w:tab/>
        <w:t>None.</w:t>
      </w:r>
    </w:p>
    <w:p w:rsidR="00236D02" w:rsidRDefault="00236D02" w:rsidP="00DB0904">
      <w:pPr>
        <w:tabs>
          <w:tab w:val="left" w:pos="-720"/>
        </w:tabs>
        <w:suppressAutoHyphens/>
        <w:spacing w:line="480" w:lineRule="auto"/>
        <w:rPr>
          <w:spacing w:val="-3"/>
        </w:rPr>
      </w:pPr>
    </w:p>
    <w:p w:rsidR="00236D02" w:rsidRPr="00496F67" w:rsidRDefault="00236D02" w:rsidP="00DB0904">
      <w:pPr>
        <w:tabs>
          <w:tab w:val="left" w:pos="-720"/>
        </w:tabs>
        <w:suppressAutoHyphens/>
        <w:spacing w:line="480" w:lineRule="auto"/>
        <w:rPr>
          <w:b/>
          <w:spacing w:val="-3"/>
        </w:rPr>
      </w:pPr>
    </w:p>
    <w:p w:rsidR="00DB0904" w:rsidRPr="00E66038" w:rsidRDefault="00DB0904" w:rsidP="00DB0904">
      <w:pPr>
        <w:numPr>
          <w:ilvl w:val="0"/>
          <w:numId w:val="2"/>
        </w:numPr>
        <w:tabs>
          <w:tab w:val="left" w:pos="-720"/>
        </w:tabs>
        <w:suppressAutoHyphens/>
        <w:spacing w:line="480" w:lineRule="auto"/>
        <w:rPr>
          <w:b/>
          <w:spacing w:val="-3"/>
        </w:rPr>
      </w:pPr>
      <w:r w:rsidRPr="00E66038">
        <w:rPr>
          <w:b/>
          <w:spacing w:val="-3"/>
        </w:rPr>
        <w:lastRenderedPageBreak/>
        <w:t>Assurances of Confidentiality</w:t>
      </w:r>
    </w:p>
    <w:p w:rsidR="00DB0904" w:rsidRDefault="00DB0904" w:rsidP="00DB0904">
      <w:pPr>
        <w:tabs>
          <w:tab w:val="left" w:pos="-720"/>
        </w:tabs>
        <w:suppressAutoHyphens/>
        <w:spacing w:line="480" w:lineRule="auto"/>
        <w:rPr>
          <w:spacing w:val="-3"/>
        </w:rPr>
      </w:pPr>
      <w:r>
        <w:rPr>
          <w:spacing w:val="-3"/>
        </w:rPr>
        <w:tab/>
        <w:t>The information collected pursuant to rule 203-2 and Form ADV-W are filings with the Commission.  These fil</w:t>
      </w:r>
      <w:r w:rsidR="00C04BC5">
        <w:rPr>
          <w:spacing w:val="-3"/>
        </w:rPr>
        <w:t>ings are not kept confidential.</w:t>
      </w:r>
    </w:p>
    <w:p w:rsidR="00DB0904" w:rsidRDefault="00DB0904" w:rsidP="00DB0904">
      <w:pPr>
        <w:numPr>
          <w:ilvl w:val="0"/>
          <w:numId w:val="2"/>
        </w:numPr>
        <w:tabs>
          <w:tab w:val="left" w:pos="-720"/>
        </w:tabs>
        <w:suppressAutoHyphens/>
        <w:spacing w:line="480" w:lineRule="auto"/>
        <w:rPr>
          <w:b/>
          <w:spacing w:val="-3"/>
        </w:rPr>
      </w:pPr>
      <w:r w:rsidRPr="000330DE">
        <w:rPr>
          <w:b/>
          <w:spacing w:val="-3"/>
        </w:rPr>
        <w:t>Sensitive Questions</w:t>
      </w:r>
    </w:p>
    <w:p w:rsidR="00DB0904" w:rsidRDefault="00DB0904" w:rsidP="00DB0904">
      <w:pPr>
        <w:tabs>
          <w:tab w:val="left" w:pos="-720"/>
        </w:tabs>
        <w:suppressAutoHyphens/>
        <w:spacing w:line="480" w:lineRule="auto"/>
        <w:rPr>
          <w:spacing w:val="-3"/>
        </w:rPr>
      </w:pPr>
      <w:r>
        <w:rPr>
          <w:spacing w:val="-3"/>
        </w:rPr>
        <w:tab/>
        <w:t>Not applicable.</w:t>
      </w:r>
    </w:p>
    <w:p w:rsidR="00DB0904" w:rsidRPr="00682E12" w:rsidRDefault="00DB0904" w:rsidP="00DB0904">
      <w:pPr>
        <w:numPr>
          <w:ilvl w:val="0"/>
          <w:numId w:val="2"/>
        </w:numPr>
        <w:tabs>
          <w:tab w:val="left" w:pos="-720"/>
        </w:tabs>
        <w:suppressAutoHyphens/>
        <w:spacing w:line="480" w:lineRule="auto"/>
        <w:rPr>
          <w:b/>
          <w:spacing w:val="-3"/>
        </w:rPr>
      </w:pPr>
      <w:r w:rsidRPr="00682E12">
        <w:rPr>
          <w:b/>
          <w:spacing w:val="-3"/>
        </w:rPr>
        <w:t>Estimate of Hour Burden</w:t>
      </w:r>
    </w:p>
    <w:p w:rsidR="00CD0509" w:rsidRDefault="00DB0904" w:rsidP="00CD0509">
      <w:pPr>
        <w:pStyle w:val="BodyText2"/>
        <w:ind w:firstLine="720"/>
      </w:pPr>
      <w:r>
        <w:rPr>
          <w:spacing w:val="-3"/>
        </w:rPr>
        <w:t xml:space="preserve">The current approved total estimated collection of information burden imposed by rule 203-2 and Form ADV-W is </w:t>
      </w:r>
      <w:r w:rsidR="00C04BC5">
        <w:rPr>
          <w:spacing w:val="-3"/>
        </w:rPr>
        <w:t>500</w:t>
      </w:r>
      <w:r>
        <w:rPr>
          <w:spacing w:val="-3"/>
        </w:rPr>
        <w:t xml:space="preserve"> hours per year. </w:t>
      </w:r>
      <w:r>
        <w:t xml:space="preserve"> </w:t>
      </w:r>
      <w:r w:rsidR="00984899">
        <w:t xml:space="preserve">This burden is based on </w:t>
      </w:r>
      <w:r w:rsidR="00EC4F7E">
        <w:t>estimates</w:t>
      </w:r>
      <w:r w:rsidR="00AE0D1A">
        <w:t>,</w:t>
      </w:r>
      <w:r w:rsidR="00EC4F7E">
        <w:t xml:space="preserve"> </w:t>
      </w:r>
      <w:r w:rsidR="00EE56B5">
        <w:t xml:space="preserve">derived </w:t>
      </w:r>
      <w:r w:rsidR="00EC4F7E">
        <w:t>from past filing volume</w:t>
      </w:r>
      <w:r w:rsidR="00AE0D1A">
        <w:t>,</w:t>
      </w:r>
      <w:r w:rsidR="00EC4F7E">
        <w:t xml:space="preserve"> that </w:t>
      </w:r>
      <w:r w:rsidR="00984899">
        <w:rPr>
          <w:spacing w:val="-3"/>
        </w:rPr>
        <w:t xml:space="preserve">approximately </w:t>
      </w:r>
      <w:r w:rsidR="00984899" w:rsidRPr="00C04BC5">
        <w:rPr>
          <w:spacing w:val="-3"/>
        </w:rPr>
        <w:t>1,000</w:t>
      </w:r>
      <w:r w:rsidR="00984899">
        <w:rPr>
          <w:spacing w:val="-3"/>
        </w:rPr>
        <w:t xml:space="preserve"> respondents</w:t>
      </w:r>
      <w:r w:rsidR="00EC4F7E">
        <w:rPr>
          <w:spacing w:val="-3"/>
        </w:rPr>
        <w:t xml:space="preserve"> file Form ADV-W</w:t>
      </w:r>
      <w:r w:rsidR="00984899">
        <w:rPr>
          <w:spacing w:val="-3"/>
        </w:rPr>
        <w:t xml:space="preserve"> annually</w:t>
      </w:r>
      <w:r w:rsidR="00EC4F7E">
        <w:rPr>
          <w:spacing w:val="-3"/>
        </w:rPr>
        <w:t>,</w:t>
      </w:r>
      <w:r w:rsidR="00CD0509">
        <w:rPr>
          <w:spacing w:val="-3"/>
        </w:rPr>
        <w:t xml:space="preserve"> </w:t>
      </w:r>
      <w:r w:rsidR="00CD0509" w:rsidRPr="00AE41E0">
        <w:t xml:space="preserve">that approximately 50 percent of </w:t>
      </w:r>
      <w:r w:rsidR="00C87D9C">
        <w:t>those</w:t>
      </w:r>
      <w:r w:rsidR="00CD0509" w:rsidRPr="00AE41E0">
        <w:t xml:space="preserve"> advisers</w:t>
      </w:r>
      <w:r w:rsidR="00F37F40">
        <w:t xml:space="preserve"> </w:t>
      </w:r>
      <w:r w:rsidR="00F37F40" w:rsidRPr="00AE41E0">
        <w:t>ceas</w:t>
      </w:r>
      <w:r w:rsidR="00F37F40">
        <w:t>e</w:t>
      </w:r>
      <w:r w:rsidR="00F37F40" w:rsidRPr="00AE41E0">
        <w:t xml:space="preserve"> operations </w:t>
      </w:r>
      <w:r w:rsidR="00F37F40">
        <w:t xml:space="preserve">and </w:t>
      </w:r>
      <w:r w:rsidR="00F37F40" w:rsidRPr="00AE41E0">
        <w:t xml:space="preserve">complete the entire form to withdraw from all jurisdictions in which </w:t>
      </w:r>
      <w:r w:rsidR="00F37F40">
        <w:t>they are</w:t>
      </w:r>
      <w:r w:rsidR="00F37F40" w:rsidRPr="00AE41E0">
        <w:t xml:space="preserve"> registered</w:t>
      </w:r>
      <w:r w:rsidR="00F37F40">
        <w:t xml:space="preserve"> (</w:t>
      </w:r>
      <w:r w:rsidR="00CD0509" w:rsidRPr="00AE41E0">
        <w:t>full withdrawal</w:t>
      </w:r>
      <w:r w:rsidR="00F37F40">
        <w:t>)</w:t>
      </w:r>
      <w:r w:rsidR="00E822D9">
        <w:t>,</w:t>
      </w:r>
      <w:r w:rsidR="00CD0509" w:rsidRPr="00AE41E0">
        <w:t xml:space="preserve"> and </w:t>
      </w:r>
      <w:r w:rsidR="00E822D9">
        <w:t xml:space="preserve">that </w:t>
      </w:r>
      <w:r w:rsidR="00CD0509" w:rsidRPr="00AE41E0">
        <w:t xml:space="preserve">the remaining 50 percent </w:t>
      </w:r>
      <w:r w:rsidR="00060AF7" w:rsidRPr="00AE41E0">
        <w:t xml:space="preserve">withdraw from some, but not all, of the jurisdictions in which </w:t>
      </w:r>
      <w:r w:rsidR="00E447AA">
        <w:t>they are</w:t>
      </w:r>
      <w:r w:rsidR="00060AF7" w:rsidRPr="00AE41E0">
        <w:t xml:space="preserve"> registered</w:t>
      </w:r>
      <w:r w:rsidR="00A6036B">
        <w:t xml:space="preserve"> and </w:t>
      </w:r>
      <w:r w:rsidR="00060AF7" w:rsidRPr="00AE41E0">
        <w:t>omit certain items</w:t>
      </w:r>
      <w:r w:rsidR="00B549C7">
        <w:t xml:space="preserve"> from the form</w:t>
      </w:r>
      <w:r w:rsidR="008B5DAC">
        <w:t xml:space="preserve"> </w:t>
      </w:r>
      <w:r w:rsidR="00A6036B">
        <w:t>(</w:t>
      </w:r>
      <w:r w:rsidR="00CD0509" w:rsidRPr="00AE41E0">
        <w:t>partial withdrawal</w:t>
      </w:r>
      <w:r w:rsidR="00A6036B">
        <w:t>)</w:t>
      </w:r>
      <w:r w:rsidR="00CD0509" w:rsidRPr="00AE41E0">
        <w:t>.</w:t>
      </w:r>
      <w:r w:rsidR="00F37F40">
        <w:rPr>
          <w:rStyle w:val="FootnoteReference"/>
        </w:rPr>
        <w:footnoteReference w:id="6"/>
      </w:r>
      <w:r w:rsidR="00CD0509" w:rsidRPr="00AE41E0">
        <w:t xml:space="preserve">  Compliance with the requirement to complete Form ADV-W imposes a total burden of approximately 0.75 hours (45 minutes) for an adviser filing for full withdrawal and approximately 0.25 hours (15 minutes) for an advise</w:t>
      </w:r>
      <w:r w:rsidR="00E822D9">
        <w:t>r filing for partial withdrawal, for a current approved burden of</w:t>
      </w:r>
      <w:r w:rsidR="00CD0509" w:rsidRPr="00AE41E0">
        <w:t xml:space="preserve"> </w:t>
      </w:r>
      <w:r w:rsidR="00CD0509">
        <w:t>500 hours.</w:t>
      </w:r>
      <w:r w:rsidR="00CD0509">
        <w:rPr>
          <w:rStyle w:val="FootnoteReference"/>
        </w:rPr>
        <w:footnoteReference w:id="7"/>
      </w:r>
    </w:p>
    <w:p w:rsidR="00BF49E3" w:rsidRDefault="002B57D1" w:rsidP="00A639E9">
      <w:pPr>
        <w:pStyle w:val="BodyText2"/>
        <w:ind w:firstLine="720"/>
        <w:rPr>
          <w:spacing w:val="-3"/>
        </w:rPr>
      </w:pPr>
      <w:r>
        <w:lastRenderedPageBreak/>
        <w:t>T</w:t>
      </w:r>
      <w:r w:rsidR="009D1F07">
        <w:t xml:space="preserve">he </w:t>
      </w:r>
      <w:r>
        <w:t>amendments the Commission is adopting</w:t>
      </w:r>
      <w:r w:rsidR="00DC2BFE">
        <w:t xml:space="preserve"> </w:t>
      </w:r>
      <w:r>
        <w:t xml:space="preserve">are </w:t>
      </w:r>
      <w:r w:rsidR="003178BD">
        <w:t xml:space="preserve">expected to </w:t>
      </w:r>
      <w:r w:rsidR="009D1F07">
        <w:t>increase the current approved burden by increasing the number of respondents</w:t>
      </w:r>
      <w:r w:rsidR="00883AA4">
        <w:t xml:space="preserve"> filing Form ADV-W</w:t>
      </w:r>
      <w:r w:rsidR="009D1F07">
        <w:t>.</w:t>
      </w:r>
      <w:r w:rsidR="0087090E">
        <w:t xml:space="preserve">  We estimate that approximately </w:t>
      </w:r>
      <w:r w:rsidR="0020754D">
        <w:rPr>
          <w:rFonts w:eastAsia="DeVinne"/>
        </w:rPr>
        <w:t>3,</w:t>
      </w:r>
      <w:r w:rsidR="00236D02">
        <w:rPr>
          <w:rFonts w:eastAsia="DeVinne"/>
        </w:rPr>
        <w:t>200</w:t>
      </w:r>
      <w:r w:rsidR="00984899" w:rsidRPr="00B8227A">
        <w:rPr>
          <w:rFonts w:eastAsia="DeVinne"/>
        </w:rPr>
        <w:t xml:space="preserve"> </w:t>
      </w:r>
      <w:r w:rsidR="006B3589">
        <w:rPr>
          <w:rFonts w:eastAsia="DeVinne"/>
        </w:rPr>
        <w:t xml:space="preserve">mid-sized </w:t>
      </w:r>
      <w:r w:rsidR="00984899" w:rsidRPr="00B8227A">
        <w:rPr>
          <w:rFonts w:eastAsia="DeVinne"/>
        </w:rPr>
        <w:t>advisers</w:t>
      </w:r>
      <w:r w:rsidR="00857361">
        <w:rPr>
          <w:rFonts w:eastAsia="DeVinne"/>
        </w:rPr>
        <w:t xml:space="preserve"> </w:t>
      </w:r>
      <w:r w:rsidR="0020754D">
        <w:rPr>
          <w:rFonts w:eastAsia="DeVinne"/>
        </w:rPr>
        <w:t>will</w:t>
      </w:r>
      <w:r w:rsidR="00984899" w:rsidRPr="00B8227A">
        <w:rPr>
          <w:rFonts w:eastAsia="DeVinne"/>
        </w:rPr>
        <w:t xml:space="preserve"> be required to withdraw their </w:t>
      </w:r>
      <w:r w:rsidR="00CE650A">
        <w:rPr>
          <w:rFonts w:eastAsia="DeVinne"/>
        </w:rPr>
        <w:t xml:space="preserve">SEC </w:t>
      </w:r>
      <w:r w:rsidR="00984899" w:rsidRPr="00B8227A">
        <w:rPr>
          <w:rFonts w:eastAsia="DeVinne"/>
        </w:rPr>
        <w:t xml:space="preserve">registrations </w:t>
      </w:r>
      <w:r w:rsidR="00984899" w:rsidRPr="00B8227A">
        <w:t>by filing Form ADV-W</w:t>
      </w:r>
      <w:r w:rsidR="00984899" w:rsidRPr="00074E6C">
        <w:t xml:space="preserve"> </w:t>
      </w:r>
      <w:r w:rsidR="00984899">
        <w:t>electronically on the IARD</w:t>
      </w:r>
      <w:r w:rsidR="00572D7E">
        <w:t>,</w:t>
      </w:r>
      <w:r w:rsidR="00857361" w:rsidRPr="00B8227A">
        <w:rPr>
          <w:rStyle w:val="FootnoteReference"/>
        </w:rPr>
        <w:footnoteReference w:id="8"/>
      </w:r>
      <w:r w:rsidR="00572D7E">
        <w:t xml:space="preserve"> </w:t>
      </w:r>
      <w:r w:rsidR="002D74DC">
        <w:t xml:space="preserve">and </w:t>
      </w:r>
      <w:r w:rsidR="009405C5">
        <w:t xml:space="preserve">approximately </w:t>
      </w:r>
      <w:r w:rsidR="002D74DC" w:rsidRPr="00B8227A">
        <w:rPr>
          <w:rFonts w:eastAsia="DeVinne"/>
        </w:rPr>
        <w:t>50</w:t>
      </w:r>
      <w:r w:rsidR="002D74DC">
        <w:rPr>
          <w:rFonts w:eastAsia="DeVinne"/>
        </w:rPr>
        <w:t xml:space="preserve"> </w:t>
      </w:r>
      <w:r w:rsidR="002D74DC" w:rsidRPr="00B8227A">
        <w:rPr>
          <w:rFonts w:eastAsia="DeVinne"/>
        </w:rPr>
        <w:t>advisers that currently rely on the</w:t>
      </w:r>
      <w:r w:rsidR="002D74DC">
        <w:rPr>
          <w:rFonts w:eastAsia="DeVinne"/>
        </w:rPr>
        <w:t xml:space="preserve"> pension consultant</w:t>
      </w:r>
      <w:r w:rsidR="002D74DC" w:rsidRPr="00B8227A">
        <w:rPr>
          <w:rFonts w:eastAsia="DeVinne"/>
        </w:rPr>
        <w:t xml:space="preserve"> exemption</w:t>
      </w:r>
      <w:r w:rsidR="002D74DC">
        <w:rPr>
          <w:rFonts w:eastAsia="DeVinne"/>
        </w:rPr>
        <w:t xml:space="preserve"> would be required to withdraw their SEC registration</w:t>
      </w:r>
      <w:r w:rsidR="00D417E8">
        <w:rPr>
          <w:rFonts w:eastAsia="DeVinne"/>
        </w:rPr>
        <w:t xml:space="preserve"> </w:t>
      </w:r>
      <w:r w:rsidR="00D417E8" w:rsidRPr="00B8227A">
        <w:rPr>
          <w:rFonts w:eastAsia="DeVinne"/>
        </w:rPr>
        <w:t xml:space="preserve">in accordance with rule 203-2 </w:t>
      </w:r>
      <w:r w:rsidR="002D74DC">
        <w:rPr>
          <w:rFonts w:eastAsia="DeVinne"/>
        </w:rPr>
        <w:t>by filing Form ADV-W</w:t>
      </w:r>
      <w:r w:rsidR="002D74DC" w:rsidRPr="00B8227A">
        <w:rPr>
          <w:rFonts w:eastAsia="DeVinne"/>
        </w:rPr>
        <w:t>.</w:t>
      </w:r>
      <w:r w:rsidR="002D74DC" w:rsidRPr="00B8227A">
        <w:rPr>
          <w:rStyle w:val="FootnoteReference"/>
        </w:rPr>
        <w:footnoteReference w:id="9"/>
      </w:r>
      <w:r w:rsidR="002D74DC" w:rsidRPr="00B8227A">
        <w:rPr>
          <w:rFonts w:eastAsia="DeVinne"/>
        </w:rPr>
        <w:t xml:space="preserve">  </w:t>
      </w:r>
      <w:r w:rsidR="00467B34">
        <w:rPr>
          <w:rFonts w:eastAsia="DeVinne"/>
        </w:rPr>
        <w:t>These a</w:t>
      </w:r>
      <w:r w:rsidR="00B6508D" w:rsidRPr="00B6508D">
        <w:rPr>
          <w:rFonts w:eastAsia="DeVinne"/>
        </w:rPr>
        <w:t xml:space="preserve">dvisers </w:t>
      </w:r>
      <w:r w:rsidR="00467B34">
        <w:rPr>
          <w:rFonts w:eastAsia="DeVinne"/>
        </w:rPr>
        <w:t xml:space="preserve">will be </w:t>
      </w:r>
      <w:r w:rsidR="00B6508D" w:rsidRPr="00B6508D">
        <w:rPr>
          <w:rFonts w:eastAsia="DeVinne"/>
        </w:rPr>
        <w:t>required to file only a partial withdrawal</w:t>
      </w:r>
      <w:r w:rsidR="00467B34">
        <w:rPr>
          <w:rFonts w:eastAsia="DeVinne"/>
        </w:rPr>
        <w:t>, however,</w:t>
      </w:r>
      <w:r w:rsidR="00B6508D" w:rsidRPr="00B6508D">
        <w:rPr>
          <w:rFonts w:eastAsia="DeVinne"/>
        </w:rPr>
        <w:t xml:space="preserve"> because they w</w:t>
      </w:r>
      <w:r w:rsidR="00467B34">
        <w:rPr>
          <w:rFonts w:eastAsia="DeVinne"/>
        </w:rPr>
        <w:t>ill</w:t>
      </w:r>
      <w:r w:rsidR="00B6508D" w:rsidRPr="00B6508D">
        <w:rPr>
          <w:rFonts w:eastAsia="DeVinne"/>
        </w:rPr>
        <w:t xml:space="preserve"> be register</w:t>
      </w:r>
      <w:r w:rsidR="00BA4A09">
        <w:rPr>
          <w:rFonts w:eastAsia="DeVinne"/>
        </w:rPr>
        <w:t>ed</w:t>
      </w:r>
      <w:r w:rsidR="00B6508D" w:rsidRPr="00B6508D">
        <w:rPr>
          <w:rFonts w:eastAsia="DeVinne"/>
        </w:rPr>
        <w:t xml:space="preserve"> with the states.  </w:t>
      </w:r>
      <w:r w:rsidR="00BE7E18">
        <w:rPr>
          <w:rFonts w:eastAsia="DeVinne"/>
        </w:rPr>
        <w:t>As discussed above, c</w:t>
      </w:r>
      <w:r w:rsidR="00A07041" w:rsidRPr="0079152D">
        <w:t>ompliance with the requirement to</w:t>
      </w:r>
      <w:r w:rsidR="00B50CA9">
        <w:t xml:space="preserve"> complete Form ADV-W imposes a total </w:t>
      </w:r>
      <w:r w:rsidR="00A07041" w:rsidRPr="0079152D">
        <w:t>burden of</w:t>
      </w:r>
      <w:r w:rsidR="00B50CA9">
        <w:t xml:space="preserve"> approximately</w:t>
      </w:r>
      <w:r w:rsidR="00A07041" w:rsidRPr="0079152D">
        <w:t xml:space="preserve"> 0.25 hours for an adviser filing for partial withdrawal.</w:t>
      </w:r>
      <w:r w:rsidR="00134ACE">
        <w:t xml:space="preserve">  </w:t>
      </w:r>
      <w:r w:rsidR="00300531" w:rsidRPr="00B8227A">
        <w:rPr>
          <w:rFonts w:eastAsia="DeVinne"/>
        </w:rPr>
        <w:t>Thus, we estimate that the</w:t>
      </w:r>
      <w:r w:rsidR="00311607">
        <w:rPr>
          <w:rFonts w:eastAsia="DeVinne"/>
        </w:rPr>
        <w:t xml:space="preserve"> </w:t>
      </w:r>
      <w:r w:rsidR="00311607">
        <w:rPr>
          <w:rFonts w:eastAsia="DeVinne"/>
        </w:rPr>
        <w:lastRenderedPageBreak/>
        <w:t>proposal</w:t>
      </w:r>
      <w:r w:rsidR="00300531" w:rsidRPr="00B8227A">
        <w:rPr>
          <w:rFonts w:eastAsia="DeVinne"/>
        </w:rPr>
        <w:t xml:space="preserve"> associated with filing Form ADV-W </w:t>
      </w:r>
      <w:r w:rsidR="00467B34">
        <w:rPr>
          <w:rFonts w:eastAsia="DeVinne"/>
        </w:rPr>
        <w:t>will</w:t>
      </w:r>
      <w:r w:rsidR="00300531" w:rsidRPr="00B8227A">
        <w:rPr>
          <w:rFonts w:eastAsia="DeVinne"/>
        </w:rPr>
        <w:t xml:space="preserve"> generate a</w:t>
      </w:r>
      <w:r w:rsidR="007D65F2">
        <w:rPr>
          <w:rFonts w:eastAsia="DeVinne"/>
        </w:rPr>
        <w:t>n additional</w:t>
      </w:r>
      <w:r w:rsidR="00300531" w:rsidRPr="00B8227A">
        <w:rPr>
          <w:rFonts w:eastAsia="DeVinne"/>
        </w:rPr>
        <w:t xml:space="preserve"> burden of </w:t>
      </w:r>
      <w:r w:rsidR="00236D02">
        <w:rPr>
          <w:rFonts w:eastAsia="DeVinne"/>
        </w:rPr>
        <w:t>813</w:t>
      </w:r>
      <w:r w:rsidR="00300531" w:rsidRPr="00B8227A">
        <w:t xml:space="preserve"> hours</w:t>
      </w:r>
      <w:r w:rsidR="007D65F2">
        <w:t>,</w:t>
      </w:r>
      <w:r w:rsidR="00300531" w:rsidRPr="00B8227A">
        <w:rPr>
          <w:rStyle w:val="FootnoteReference"/>
        </w:rPr>
        <w:footnoteReference w:id="10"/>
      </w:r>
      <w:r w:rsidR="007D65F2">
        <w:t xml:space="preserve"> for a total burden of </w:t>
      </w:r>
      <w:r w:rsidR="00DF70FE" w:rsidRPr="009B602C">
        <w:rPr>
          <w:rFonts w:eastAsia="DeVinne"/>
        </w:rPr>
        <w:t>1,</w:t>
      </w:r>
      <w:r w:rsidR="00236D02">
        <w:rPr>
          <w:rFonts w:eastAsia="DeVinne"/>
        </w:rPr>
        <w:t>313</w:t>
      </w:r>
      <w:r w:rsidR="00DF70FE" w:rsidRPr="009B602C">
        <w:rPr>
          <w:rFonts w:eastAsia="DeVinne"/>
        </w:rPr>
        <w:t xml:space="preserve"> </w:t>
      </w:r>
      <w:r w:rsidR="007D65F2">
        <w:rPr>
          <w:spacing w:val="-3"/>
        </w:rPr>
        <w:t>hours.</w:t>
      </w:r>
      <w:r w:rsidR="00F360FC" w:rsidRPr="00B8227A">
        <w:rPr>
          <w:rStyle w:val="FootnoteReference"/>
        </w:rPr>
        <w:footnoteReference w:id="11"/>
      </w:r>
    </w:p>
    <w:p w:rsidR="00B75097" w:rsidRDefault="00B75097" w:rsidP="00A639E9">
      <w:pPr>
        <w:pStyle w:val="BodyText2"/>
        <w:ind w:firstLine="720"/>
        <w:rPr>
          <w:spacing w:val="-3"/>
        </w:rPr>
      </w:pPr>
      <w:r>
        <w:rPr>
          <w:spacing w:val="-3"/>
        </w:rPr>
        <w:t xml:space="preserve">As discussed in </w:t>
      </w:r>
      <w:r w:rsidR="00257C66">
        <w:rPr>
          <w:spacing w:val="-3"/>
        </w:rPr>
        <w:t>I</w:t>
      </w:r>
      <w:r>
        <w:rPr>
          <w:spacing w:val="-3"/>
        </w:rPr>
        <w:t>tem 15 below</w:t>
      </w:r>
      <w:r w:rsidR="004A7BE2">
        <w:rPr>
          <w:spacing w:val="-3"/>
        </w:rPr>
        <w:t>, these estimates are lower than the estimates we established, and requested public comment on, in the Proposing Release.  Comments we received related to these estimates pertained to costs associated with amended rule 203A-2(a) and rule 203A-5, not costs associated with these collection of information requirements.</w:t>
      </w:r>
      <w:r w:rsidR="00311827" w:rsidRPr="00B8227A">
        <w:rPr>
          <w:rStyle w:val="FootnoteReference"/>
        </w:rPr>
        <w:footnoteReference w:id="12"/>
      </w:r>
    </w:p>
    <w:p w:rsidR="00925E07" w:rsidRDefault="00925E07" w:rsidP="00925E07">
      <w:pPr>
        <w:tabs>
          <w:tab w:val="left" w:pos="-720"/>
        </w:tabs>
        <w:suppressAutoHyphens/>
        <w:spacing w:line="480" w:lineRule="auto"/>
      </w:pPr>
      <w:r>
        <w:rPr>
          <w:spacing w:val="-3"/>
        </w:rPr>
        <w:tab/>
        <w:t xml:space="preserve">The current approved collection of information burden for rule 203-2 and Form ADV-W is based on an estimate that 500 advisers filing a full withdrawal </w:t>
      </w:r>
      <w:r w:rsidRPr="00AE41E0">
        <w:t>would likely utilize a combination of compliance professionals and clerical staff to complete Form ADV-W and file it with the Commission</w:t>
      </w:r>
      <w:r>
        <w:t>, and 500 advisers filing a partial withdrawal would likely use only clerical staff to complete and file Form ADV-W, for a</w:t>
      </w:r>
      <w:r w:rsidRPr="00AE41E0">
        <w:t xml:space="preserve"> total annua</w:t>
      </w:r>
      <w:r>
        <w:t>l cost of $71,375</w:t>
      </w:r>
      <w:r w:rsidRPr="00AE41E0">
        <w:t>.</w:t>
      </w:r>
      <w:r>
        <w:t xml:space="preserve">  </w:t>
      </w:r>
    </w:p>
    <w:p w:rsidR="001D505F" w:rsidRDefault="0018477F" w:rsidP="001D505F">
      <w:pPr>
        <w:spacing w:line="480" w:lineRule="auto"/>
        <w:ind w:firstLine="720"/>
        <w:rPr>
          <w:rFonts w:eastAsia="DeVinne"/>
        </w:rPr>
      </w:pPr>
      <w:r>
        <w:t>W</w:t>
      </w:r>
      <w:r w:rsidR="00925E07" w:rsidRPr="00AE41E0">
        <w:t xml:space="preserve">e anticipate that investment advisers </w:t>
      </w:r>
      <w:r>
        <w:t xml:space="preserve">will </w:t>
      </w:r>
      <w:r w:rsidR="00925E07" w:rsidRPr="00AE41E0">
        <w:t>likely utilize</w:t>
      </w:r>
      <w:r w:rsidR="00925E07">
        <w:t xml:space="preserve"> compliance clerks </w:t>
      </w:r>
      <w:r w:rsidR="00925E07" w:rsidRPr="00AE41E0">
        <w:t xml:space="preserve">to complete </w:t>
      </w:r>
      <w:r w:rsidR="00925E07">
        <w:t xml:space="preserve">the required portions of </w:t>
      </w:r>
      <w:r w:rsidR="00925E07" w:rsidRPr="00AE41E0">
        <w:t>Form ADV-W</w:t>
      </w:r>
      <w:r w:rsidR="00925E07">
        <w:t xml:space="preserve"> for a partial withdrawal</w:t>
      </w:r>
      <w:r w:rsidR="00925E07" w:rsidRPr="00AE41E0">
        <w:t xml:space="preserve"> and file it with the Commission.  The Commission estimates the hourly wage r</w:t>
      </w:r>
      <w:r w:rsidR="00925E07">
        <w:t xml:space="preserve">ate for a compliance clerk </w:t>
      </w:r>
      <w:r w:rsidR="00925E07">
        <w:lastRenderedPageBreak/>
        <w:t>to be $</w:t>
      </w:r>
      <w:r w:rsidR="00D370D1">
        <w:t>67</w:t>
      </w:r>
      <w:r w:rsidR="00925E07">
        <w:t xml:space="preserve"> per hour, including benefits</w:t>
      </w:r>
      <w:r w:rsidR="001D505F">
        <w:t>,</w:t>
      </w:r>
      <w:r w:rsidR="00925E07" w:rsidRPr="00B8227A">
        <w:rPr>
          <w:rStyle w:val="FootnoteReference"/>
        </w:rPr>
        <w:footnoteReference w:id="13"/>
      </w:r>
      <w:r w:rsidR="00925E07">
        <w:t xml:space="preserve"> </w:t>
      </w:r>
      <w:r w:rsidR="001D505F">
        <w:t>for</w:t>
      </w:r>
      <w:r w:rsidR="00925E07">
        <w:t xml:space="preserve"> an additional </w:t>
      </w:r>
      <w:r w:rsidR="00D370D1" w:rsidRPr="009B602C">
        <w:rPr>
          <w:rFonts w:eastAsia="DeVinne"/>
        </w:rPr>
        <w:t>$</w:t>
      </w:r>
      <w:r w:rsidR="00256A71">
        <w:rPr>
          <w:rFonts w:eastAsia="DeVinne"/>
        </w:rPr>
        <w:t>54,471</w:t>
      </w:r>
      <w:r w:rsidR="00761956">
        <w:rPr>
          <w:rFonts w:eastAsia="DeVinne"/>
        </w:rPr>
        <w:t xml:space="preserve"> </w:t>
      </w:r>
      <w:r w:rsidR="00925E07" w:rsidRPr="00AE41E0">
        <w:t>total</w:t>
      </w:r>
      <w:r w:rsidR="00D370D1">
        <w:t xml:space="preserve"> for the advisers </w:t>
      </w:r>
      <w:r w:rsidR="00A37BAC">
        <w:rPr>
          <w:rFonts w:eastAsia="DeVinne"/>
        </w:rPr>
        <w:t>that</w:t>
      </w:r>
      <w:r w:rsidR="00DD0823" w:rsidRPr="009B602C">
        <w:rPr>
          <w:rFonts w:eastAsia="DeVinne"/>
        </w:rPr>
        <w:t xml:space="preserve"> will have to file a notice of withdrawal on Form ADV-W </w:t>
      </w:r>
      <w:r w:rsidR="001D505F" w:rsidRPr="009B602C">
        <w:rPr>
          <w:rFonts w:eastAsia="DeVinne"/>
        </w:rPr>
        <w:t>and withdraw their registration</w:t>
      </w:r>
      <w:r w:rsidR="001D505F">
        <w:rPr>
          <w:rFonts w:eastAsia="DeVinne"/>
        </w:rPr>
        <w:t xml:space="preserve"> as a result of the amendments to rule 203A-2(a) and new rule 203A-5</w:t>
      </w:r>
      <w:r w:rsidR="00DD0823" w:rsidRPr="009B602C">
        <w:rPr>
          <w:rFonts w:eastAsia="DeVinne"/>
        </w:rPr>
        <w:t>.</w:t>
      </w:r>
      <w:bookmarkStart w:id="2" w:name="_Ref274727924"/>
      <w:r w:rsidR="00DD0823" w:rsidRPr="009B602C">
        <w:rPr>
          <w:rStyle w:val="FootnoteReference"/>
        </w:rPr>
        <w:footnoteReference w:id="14"/>
      </w:r>
      <w:bookmarkEnd w:id="2"/>
      <w:r w:rsidR="00DD0823" w:rsidRPr="009B602C">
        <w:rPr>
          <w:rFonts w:eastAsia="DeVinne"/>
        </w:rPr>
        <w:t xml:space="preserve">  </w:t>
      </w:r>
      <w:r w:rsidR="001D505F" w:rsidRPr="00AE41E0">
        <w:t>Accordingly, the Commission staff estimates the</w:t>
      </w:r>
      <w:r w:rsidR="001D505F">
        <w:t xml:space="preserve"> </w:t>
      </w:r>
      <w:r w:rsidR="001D505F" w:rsidRPr="00AE41E0">
        <w:t>total annua</w:t>
      </w:r>
      <w:r w:rsidR="001D505F">
        <w:t xml:space="preserve">l cost of Form ADV-W to be </w:t>
      </w:r>
      <w:r w:rsidR="00A7066B">
        <w:t>$125,846</w:t>
      </w:r>
      <w:r w:rsidR="001D505F" w:rsidRPr="00AE41E0">
        <w:t>.</w:t>
      </w:r>
      <w:r w:rsidR="001D505F" w:rsidRPr="00AE41E0">
        <w:rPr>
          <w:rStyle w:val="FootnoteReference"/>
        </w:rPr>
        <w:footnoteReference w:id="15"/>
      </w:r>
    </w:p>
    <w:p w:rsidR="00DB0904" w:rsidRDefault="00DB0904" w:rsidP="00DB0904">
      <w:pPr>
        <w:numPr>
          <w:ilvl w:val="0"/>
          <w:numId w:val="2"/>
        </w:numPr>
        <w:tabs>
          <w:tab w:val="left" w:pos="-720"/>
        </w:tabs>
        <w:suppressAutoHyphens/>
        <w:spacing w:line="480" w:lineRule="auto"/>
        <w:rPr>
          <w:b/>
          <w:spacing w:val="-3"/>
        </w:rPr>
      </w:pPr>
      <w:r w:rsidRPr="00F9377F">
        <w:rPr>
          <w:b/>
          <w:spacing w:val="-3"/>
        </w:rPr>
        <w:t>Estimate of Total Annual Cost Burden</w:t>
      </w:r>
    </w:p>
    <w:p w:rsidR="00925E07" w:rsidRPr="00A4746F" w:rsidRDefault="00B342F3" w:rsidP="00A4746F">
      <w:pPr>
        <w:tabs>
          <w:tab w:val="left" w:pos="-720"/>
        </w:tabs>
        <w:suppressAutoHyphens/>
        <w:spacing w:line="480" w:lineRule="auto"/>
      </w:pPr>
      <w:r>
        <w:rPr>
          <w:spacing w:val="-3"/>
        </w:rPr>
        <w:tab/>
      </w:r>
      <w:r w:rsidR="00925E07">
        <w:rPr>
          <w:spacing w:val="-3"/>
        </w:rPr>
        <w:t>$0.</w:t>
      </w:r>
      <w:r w:rsidR="00A4746F">
        <w:rPr>
          <w:spacing w:val="-3"/>
        </w:rPr>
        <w:t xml:space="preserve">  </w:t>
      </w:r>
    </w:p>
    <w:p w:rsidR="00DB0904" w:rsidRDefault="00DB0904" w:rsidP="00DB0904">
      <w:pPr>
        <w:numPr>
          <w:ilvl w:val="0"/>
          <w:numId w:val="2"/>
        </w:numPr>
        <w:tabs>
          <w:tab w:val="left" w:pos="-720"/>
        </w:tabs>
        <w:suppressAutoHyphens/>
        <w:spacing w:line="480" w:lineRule="auto"/>
        <w:rPr>
          <w:b/>
          <w:spacing w:val="-3"/>
        </w:rPr>
      </w:pPr>
      <w:r>
        <w:rPr>
          <w:b/>
          <w:spacing w:val="-3"/>
        </w:rPr>
        <w:t>Estimate of Cost to the Federal Government</w:t>
      </w:r>
    </w:p>
    <w:p w:rsidR="00DB0904" w:rsidRPr="00A1527D" w:rsidRDefault="00DB0904" w:rsidP="00DB0904">
      <w:pPr>
        <w:tabs>
          <w:tab w:val="left" w:pos="-720"/>
        </w:tabs>
        <w:suppressAutoHyphens/>
        <w:spacing w:line="480" w:lineRule="auto"/>
        <w:rPr>
          <w:spacing w:val="-3"/>
        </w:rPr>
      </w:pPr>
      <w:r>
        <w:rPr>
          <w:spacing w:val="-3"/>
        </w:rPr>
        <w:tab/>
        <w:t xml:space="preserve">$0. </w:t>
      </w:r>
    </w:p>
    <w:p w:rsidR="00DB0904" w:rsidRDefault="00DB0904" w:rsidP="00DB0904">
      <w:pPr>
        <w:numPr>
          <w:ilvl w:val="0"/>
          <w:numId w:val="2"/>
        </w:numPr>
        <w:tabs>
          <w:tab w:val="left" w:pos="-720"/>
        </w:tabs>
        <w:suppressAutoHyphens/>
        <w:spacing w:line="480" w:lineRule="auto"/>
        <w:rPr>
          <w:b/>
          <w:spacing w:val="-3"/>
        </w:rPr>
      </w:pPr>
      <w:r w:rsidRPr="00F9377F">
        <w:rPr>
          <w:b/>
          <w:spacing w:val="-3"/>
        </w:rPr>
        <w:t>Explanation of Changes in Burden</w:t>
      </w:r>
    </w:p>
    <w:p w:rsidR="00EB197C" w:rsidRPr="007D7417" w:rsidRDefault="00925E07" w:rsidP="00DB0904">
      <w:pPr>
        <w:tabs>
          <w:tab w:val="left" w:pos="-720"/>
        </w:tabs>
        <w:suppressAutoHyphens/>
        <w:spacing w:line="480" w:lineRule="auto"/>
      </w:pPr>
      <w:r>
        <w:rPr>
          <w:b/>
          <w:spacing w:val="-3"/>
        </w:rPr>
        <w:tab/>
      </w:r>
      <w:r w:rsidR="007D7417">
        <w:t xml:space="preserve">The revised total annual collection of information burden for rule 203-2 and Form ADV-W is estimated to be </w:t>
      </w:r>
      <w:r w:rsidR="00611CB3">
        <w:rPr>
          <w:rFonts w:eastAsia="DeVinne"/>
        </w:rPr>
        <w:t>1,313</w:t>
      </w:r>
      <w:r w:rsidR="00B70365" w:rsidRPr="009B602C">
        <w:rPr>
          <w:rFonts w:eastAsia="DeVinne"/>
        </w:rPr>
        <w:t xml:space="preserve"> </w:t>
      </w:r>
      <w:r w:rsidR="00B70365">
        <w:rPr>
          <w:spacing w:val="-3"/>
        </w:rPr>
        <w:t>hours</w:t>
      </w:r>
      <w:r w:rsidR="007D7417">
        <w:t xml:space="preserve">.  This burden represents an increase of </w:t>
      </w:r>
      <w:r w:rsidR="00611CB3">
        <w:t>813</w:t>
      </w:r>
      <w:r w:rsidR="007D7417">
        <w:t xml:space="preserve"> hours from the current approved burden</w:t>
      </w:r>
      <w:r w:rsidR="0058155C">
        <w:t>, which is</w:t>
      </w:r>
      <w:r w:rsidR="007D7417">
        <w:t xml:space="preserve"> attributable primarily to the </w:t>
      </w:r>
      <w:r w:rsidR="007812A5">
        <w:t>3,</w:t>
      </w:r>
      <w:r w:rsidR="00611CB3">
        <w:t>250</w:t>
      </w:r>
      <w:r w:rsidR="007D7417">
        <w:t xml:space="preserve"> additional advisers expected to file Form ADV-W to withdraw from SEC registration as a result of the Dodd-Frank Act.</w:t>
      </w:r>
      <w:r w:rsidR="0058155C" w:rsidRPr="00AE41E0">
        <w:rPr>
          <w:rStyle w:val="FootnoteReference"/>
        </w:rPr>
        <w:footnoteReference w:id="16"/>
      </w:r>
      <w:r w:rsidR="0038715C">
        <w:t xml:space="preserve">  This burden also represents a decrease of </w:t>
      </w:r>
      <w:r w:rsidR="00611CB3">
        <w:t>225</w:t>
      </w:r>
      <w:r w:rsidR="0038715C">
        <w:t xml:space="preserve"> hours from the burden </w:t>
      </w:r>
      <w:r w:rsidR="00211980">
        <w:t>the Commission</w:t>
      </w:r>
      <w:r w:rsidR="0038715C">
        <w:t xml:space="preserve"> established, and requested comment on, in the Proposing Release, which is attributable primarily to a decrease in the estimated number of </w:t>
      </w:r>
      <w:r w:rsidR="0038715C">
        <w:lastRenderedPageBreak/>
        <w:t xml:space="preserve">investment advisers that will </w:t>
      </w:r>
      <w:r w:rsidR="002E6F8C">
        <w:t>f</w:t>
      </w:r>
      <w:r w:rsidR="007012FC">
        <w:t xml:space="preserve">ile Form ADV-W to </w:t>
      </w:r>
      <w:r w:rsidR="0038715C">
        <w:t xml:space="preserve">withdraw </w:t>
      </w:r>
      <w:r w:rsidR="004B1999">
        <w:t>from SEC registration as a result of the Dodd-Frank Act</w:t>
      </w:r>
      <w:r w:rsidR="0038715C">
        <w:t>.</w:t>
      </w:r>
      <w:r w:rsidR="00334F26" w:rsidRPr="00AE41E0">
        <w:rPr>
          <w:rStyle w:val="FootnoteReference"/>
        </w:rPr>
        <w:footnoteReference w:id="17"/>
      </w:r>
    </w:p>
    <w:p w:rsidR="00DB0904" w:rsidRDefault="00DB0904" w:rsidP="00DB0904">
      <w:pPr>
        <w:numPr>
          <w:ilvl w:val="0"/>
          <w:numId w:val="2"/>
        </w:numPr>
        <w:tabs>
          <w:tab w:val="left" w:pos="-720"/>
        </w:tabs>
        <w:suppressAutoHyphens/>
        <w:rPr>
          <w:b/>
          <w:spacing w:val="-3"/>
        </w:rPr>
      </w:pPr>
      <w:r w:rsidRPr="00F9377F">
        <w:rPr>
          <w:b/>
          <w:spacing w:val="-3"/>
        </w:rPr>
        <w:t>Information Collections Planned for Statistical Purposes</w:t>
      </w:r>
    </w:p>
    <w:p w:rsidR="00DB0904" w:rsidRDefault="00DB0904" w:rsidP="00DB0904">
      <w:pPr>
        <w:tabs>
          <w:tab w:val="left" w:pos="-720"/>
        </w:tabs>
        <w:suppressAutoHyphens/>
        <w:rPr>
          <w:spacing w:val="-3"/>
        </w:rPr>
      </w:pPr>
      <w:r>
        <w:rPr>
          <w:spacing w:val="-3"/>
        </w:rPr>
        <w:tab/>
      </w:r>
    </w:p>
    <w:p w:rsidR="00DB0904" w:rsidRDefault="00DB0904" w:rsidP="00DB0904">
      <w:pPr>
        <w:tabs>
          <w:tab w:val="left" w:pos="-720"/>
        </w:tabs>
        <w:suppressAutoHyphens/>
        <w:rPr>
          <w:spacing w:val="-3"/>
        </w:rPr>
      </w:pPr>
      <w:r>
        <w:rPr>
          <w:spacing w:val="-3"/>
        </w:rPr>
        <w:tab/>
        <w:t>Not applicable.</w:t>
      </w:r>
    </w:p>
    <w:p w:rsidR="00DB0904" w:rsidRDefault="00DB0904" w:rsidP="00DB0904">
      <w:pPr>
        <w:tabs>
          <w:tab w:val="left" w:pos="-720"/>
        </w:tabs>
        <w:suppressAutoHyphens/>
        <w:rPr>
          <w:spacing w:val="-3"/>
        </w:rPr>
      </w:pPr>
    </w:p>
    <w:p w:rsidR="00DB0904" w:rsidRDefault="00DB0904" w:rsidP="00DB0904">
      <w:pPr>
        <w:numPr>
          <w:ilvl w:val="0"/>
          <w:numId w:val="2"/>
        </w:numPr>
        <w:tabs>
          <w:tab w:val="left" w:pos="-720"/>
        </w:tabs>
        <w:suppressAutoHyphens/>
        <w:spacing w:line="480" w:lineRule="auto"/>
        <w:rPr>
          <w:b/>
          <w:spacing w:val="-3"/>
        </w:rPr>
      </w:pPr>
      <w:r w:rsidRPr="00F9377F">
        <w:rPr>
          <w:b/>
          <w:spacing w:val="-3"/>
        </w:rPr>
        <w:t>Approval to Display Expiration Date</w:t>
      </w:r>
    </w:p>
    <w:p w:rsidR="00DB0904" w:rsidRPr="00C957B3" w:rsidRDefault="00DB0904" w:rsidP="00DB0904">
      <w:pPr>
        <w:tabs>
          <w:tab w:val="left" w:pos="-720"/>
        </w:tabs>
        <w:suppressAutoHyphens/>
        <w:spacing w:line="480" w:lineRule="auto"/>
        <w:rPr>
          <w:b/>
          <w:spacing w:val="-3"/>
        </w:rPr>
      </w:pPr>
      <w:r>
        <w:rPr>
          <w:spacing w:val="-3"/>
        </w:rPr>
        <w:tab/>
        <w:t>Not applicable.</w:t>
      </w:r>
    </w:p>
    <w:p w:rsidR="00DB0904" w:rsidRDefault="00DB0904" w:rsidP="00DB0904">
      <w:pPr>
        <w:numPr>
          <w:ilvl w:val="0"/>
          <w:numId w:val="2"/>
        </w:numPr>
        <w:tabs>
          <w:tab w:val="left" w:pos="-720"/>
        </w:tabs>
        <w:suppressAutoHyphens/>
        <w:spacing w:line="480" w:lineRule="auto"/>
        <w:rPr>
          <w:b/>
          <w:spacing w:val="-3"/>
        </w:rPr>
      </w:pPr>
      <w:r w:rsidRPr="00F9377F">
        <w:rPr>
          <w:b/>
          <w:spacing w:val="-3"/>
        </w:rPr>
        <w:t>Exception to Certification Requirement</w:t>
      </w:r>
    </w:p>
    <w:p w:rsidR="00DB0904" w:rsidRPr="00C957B3" w:rsidRDefault="00DB0904" w:rsidP="00DB0904">
      <w:pPr>
        <w:tabs>
          <w:tab w:val="left" w:pos="-720"/>
        </w:tabs>
        <w:suppressAutoHyphens/>
        <w:spacing w:line="480" w:lineRule="auto"/>
        <w:rPr>
          <w:b/>
          <w:spacing w:val="-3"/>
        </w:rPr>
      </w:pPr>
      <w:r>
        <w:rPr>
          <w:spacing w:val="-3"/>
        </w:rPr>
        <w:tab/>
        <w:t>Not applicable.</w:t>
      </w:r>
    </w:p>
    <w:p w:rsidR="00DB0904" w:rsidRPr="00DB0904" w:rsidRDefault="00DB0904" w:rsidP="00DB0904">
      <w:pPr>
        <w:pStyle w:val="BodyText"/>
        <w:ind w:left="720" w:hanging="720"/>
        <w:rPr>
          <w:b/>
          <w:sz w:val="22"/>
          <w:szCs w:val="22"/>
        </w:rPr>
      </w:pPr>
      <w:r w:rsidRPr="00DB0904">
        <w:rPr>
          <w:b/>
          <w:sz w:val="22"/>
          <w:szCs w:val="22"/>
        </w:rPr>
        <w:t>B.</w:t>
      </w:r>
      <w:r w:rsidRPr="00DB0904">
        <w:rPr>
          <w:b/>
          <w:sz w:val="22"/>
          <w:szCs w:val="22"/>
        </w:rPr>
        <w:tab/>
        <w:t>COLLECTIONS OF INFORMATION EMPLOYING STATISTICAL METHODS</w:t>
      </w:r>
    </w:p>
    <w:p w:rsidR="00DB0904" w:rsidRDefault="00DB0904" w:rsidP="00DB0904">
      <w:pPr>
        <w:tabs>
          <w:tab w:val="left" w:pos="-720"/>
        </w:tabs>
        <w:suppressAutoHyphens/>
        <w:spacing w:line="480" w:lineRule="auto"/>
      </w:pPr>
      <w:r>
        <w:rPr>
          <w:spacing w:val="-3"/>
        </w:rPr>
        <w:tab/>
        <w:t>Not applicable.</w:t>
      </w:r>
      <w:r>
        <w:t xml:space="preserve"> </w:t>
      </w:r>
    </w:p>
    <w:p w:rsidR="00DB0904" w:rsidRDefault="00DB0904" w:rsidP="00DB0904">
      <w:pPr>
        <w:tabs>
          <w:tab w:val="left" w:pos="-720"/>
        </w:tabs>
        <w:suppressAutoHyphens/>
        <w:spacing w:line="480" w:lineRule="auto"/>
        <w:rPr>
          <w:spacing w:val="-3"/>
        </w:rPr>
      </w:pPr>
    </w:p>
    <w:p w:rsidR="00DB0904" w:rsidRDefault="00DB0904"/>
    <w:sectPr w:rsidR="00DB0904" w:rsidSect="00274BFF">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7B34" w:rsidRDefault="00467B34">
      <w:r>
        <w:separator/>
      </w:r>
    </w:p>
  </w:endnote>
  <w:endnote w:type="continuationSeparator" w:id="0">
    <w:p w:rsidR="00467B34" w:rsidRDefault="00467B3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DeVinne">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7B34" w:rsidRDefault="00467B34">
      <w:r>
        <w:separator/>
      </w:r>
    </w:p>
  </w:footnote>
  <w:footnote w:type="continuationSeparator" w:id="0">
    <w:p w:rsidR="00467B34" w:rsidRDefault="00467B34">
      <w:r>
        <w:continuationSeparator/>
      </w:r>
    </w:p>
  </w:footnote>
  <w:footnote w:id="1">
    <w:p w:rsidR="00467B34" w:rsidRPr="0079152D" w:rsidRDefault="00467B34" w:rsidP="00532B03">
      <w:pPr>
        <w:pStyle w:val="FootnoteText"/>
        <w:spacing w:after="120"/>
        <w:ind w:left="720" w:hanging="720"/>
        <w:rPr>
          <w:szCs w:val="22"/>
        </w:rPr>
      </w:pPr>
      <w:r w:rsidRPr="0079152D">
        <w:rPr>
          <w:rStyle w:val="FootnoteReference"/>
          <w:szCs w:val="22"/>
        </w:rPr>
        <w:footnoteRef/>
      </w:r>
      <w:r w:rsidRPr="0079152D">
        <w:rPr>
          <w:szCs w:val="22"/>
        </w:rPr>
        <w:t xml:space="preserve"> </w:t>
      </w:r>
      <w:r w:rsidRPr="0079152D">
        <w:rPr>
          <w:szCs w:val="22"/>
        </w:rPr>
        <w:tab/>
        <w:t xml:space="preserve">Pub. L. No. 111-203, 124 Stat. 1376 (2010).  </w:t>
      </w:r>
    </w:p>
  </w:footnote>
  <w:footnote w:id="2">
    <w:p w:rsidR="00467B34" w:rsidRPr="0079152D" w:rsidRDefault="00467B34" w:rsidP="00532B03">
      <w:pPr>
        <w:pStyle w:val="FootnoteText"/>
        <w:spacing w:after="120"/>
        <w:ind w:left="720" w:hanging="720"/>
        <w:rPr>
          <w:szCs w:val="22"/>
        </w:rPr>
      </w:pPr>
      <w:r w:rsidRPr="0079152D">
        <w:rPr>
          <w:rStyle w:val="FootnoteReference"/>
          <w:szCs w:val="22"/>
        </w:rPr>
        <w:footnoteRef/>
      </w:r>
      <w:r w:rsidRPr="0079152D">
        <w:rPr>
          <w:szCs w:val="22"/>
        </w:rPr>
        <w:t xml:space="preserve"> </w:t>
      </w:r>
      <w:r w:rsidRPr="0079152D">
        <w:rPr>
          <w:szCs w:val="22"/>
        </w:rPr>
        <w:tab/>
      </w:r>
      <w:r w:rsidRPr="0079152D">
        <w:rPr>
          <w:i/>
          <w:szCs w:val="22"/>
        </w:rPr>
        <w:t>See</w:t>
      </w:r>
      <w:r w:rsidRPr="0079152D">
        <w:rPr>
          <w:szCs w:val="22"/>
        </w:rPr>
        <w:t xml:space="preserve"> section 410 of the Dodd-Frank Act.  </w:t>
      </w:r>
    </w:p>
  </w:footnote>
  <w:footnote w:id="3">
    <w:p w:rsidR="00467B34" w:rsidRPr="0079152D" w:rsidRDefault="00467B34" w:rsidP="00575647">
      <w:pPr>
        <w:pStyle w:val="FootnoteText"/>
        <w:spacing w:after="120"/>
        <w:ind w:left="720" w:hanging="720"/>
        <w:rPr>
          <w:szCs w:val="22"/>
        </w:rPr>
      </w:pPr>
      <w:r w:rsidRPr="0079152D">
        <w:rPr>
          <w:rStyle w:val="FootnoteReference"/>
          <w:szCs w:val="22"/>
        </w:rPr>
        <w:footnoteRef/>
      </w:r>
      <w:r w:rsidRPr="0079152D">
        <w:rPr>
          <w:szCs w:val="22"/>
        </w:rPr>
        <w:t xml:space="preserve"> </w:t>
      </w:r>
      <w:r w:rsidRPr="0079152D">
        <w:rPr>
          <w:szCs w:val="22"/>
        </w:rPr>
        <w:tab/>
      </w:r>
      <w:r w:rsidRPr="00670F00">
        <w:rPr>
          <w:szCs w:val="22"/>
        </w:rPr>
        <w:t>The Commission is adopting a rule that raises the threshold above which a mid-sized investment adviser must register with the Commission to $110 million; but, once registered with the Commission, an adviser need not withdraw its registration until it has less than $90 million of assets under management.</w:t>
      </w:r>
      <w:r>
        <w:rPr>
          <w:szCs w:val="22"/>
        </w:rPr>
        <w:t xml:space="preserve">  </w:t>
      </w:r>
      <w:r w:rsidRPr="00F75F61">
        <w:rPr>
          <w:szCs w:val="22"/>
        </w:rPr>
        <w:t>Amended rule 203A-1(a)(1).</w:t>
      </w:r>
      <w:r w:rsidRPr="0079152D">
        <w:rPr>
          <w:szCs w:val="22"/>
        </w:rPr>
        <w:t xml:space="preserve">  </w:t>
      </w:r>
    </w:p>
  </w:footnote>
  <w:footnote w:id="4">
    <w:p w:rsidR="00467B34" w:rsidRPr="0079152D" w:rsidRDefault="00467B34" w:rsidP="002B37D9">
      <w:pPr>
        <w:pStyle w:val="FootnoteText"/>
        <w:spacing w:after="120"/>
        <w:ind w:left="720" w:hanging="720"/>
        <w:rPr>
          <w:szCs w:val="22"/>
        </w:rPr>
      </w:pPr>
      <w:r w:rsidRPr="0079152D">
        <w:rPr>
          <w:rStyle w:val="FootnoteReference"/>
          <w:szCs w:val="22"/>
        </w:rPr>
        <w:footnoteRef/>
      </w:r>
      <w:r w:rsidRPr="0079152D">
        <w:rPr>
          <w:szCs w:val="22"/>
        </w:rPr>
        <w:t xml:space="preserve"> </w:t>
      </w:r>
      <w:r w:rsidRPr="0079152D">
        <w:rPr>
          <w:szCs w:val="22"/>
        </w:rPr>
        <w:tab/>
      </w:r>
      <w:r>
        <w:rPr>
          <w:szCs w:val="22"/>
        </w:rPr>
        <w:t>New rule 203A-5(c</w:t>
      </w:r>
      <w:r w:rsidRPr="0079152D">
        <w:rPr>
          <w:szCs w:val="22"/>
        </w:rPr>
        <w:t>)</w:t>
      </w:r>
      <w:r>
        <w:rPr>
          <w:szCs w:val="22"/>
        </w:rPr>
        <w:t>(1)</w:t>
      </w:r>
      <w:r w:rsidRPr="0079152D">
        <w:rPr>
          <w:szCs w:val="22"/>
        </w:rPr>
        <w:t>.</w:t>
      </w:r>
      <w:r>
        <w:rPr>
          <w:szCs w:val="22"/>
        </w:rPr>
        <w:t xml:space="preserve"> </w:t>
      </w:r>
      <w:r w:rsidRPr="00074E6C">
        <w:rPr>
          <w:szCs w:val="22"/>
        </w:rPr>
        <w:t xml:space="preserve"> </w:t>
      </w:r>
      <w:r>
        <w:rPr>
          <w:szCs w:val="22"/>
        </w:rPr>
        <w:t xml:space="preserve">The adopting release is attached as Appendix A (“Appendix A”).  </w:t>
      </w:r>
    </w:p>
  </w:footnote>
  <w:footnote w:id="5">
    <w:p w:rsidR="00467B34" w:rsidRPr="0079152D" w:rsidRDefault="00467B34" w:rsidP="00674ECB">
      <w:pPr>
        <w:pStyle w:val="FootnoteText"/>
        <w:spacing w:after="120"/>
        <w:ind w:left="720" w:hanging="720"/>
        <w:rPr>
          <w:szCs w:val="22"/>
        </w:rPr>
      </w:pPr>
      <w:r w:rsidRPr="0079152D">
        <w:rPr>
          <w:rStyle w:val="FootnoteReference"/>
          <w:szCs w:val="22"/>
        </w:rPr>
        <w:footnoteRef/>
      </w:r>
      <w:r w:rsidRPr="0079152D">
        <w:rPr>
          <w:szCs w:val="22"/>
        </w:rPr>
        <w:t xml:space="preserve"> </w:t>
      </w:r>
      <w:r w:rsidRPr="0079152D">
        <w:rPr>
          <w:szCs w:val="22"/>
        </w:rPr>
        <w:tab/>
      </w:r>
      <w:r>
        <w:rPr>
          <w:szCs w:val="22"/>
        </w:rPr>
        <w:t>Amended rule 203A-2(a)(1).</w:t>
      </w:r>
    </w:p>
  </w:footnote>
  <w:footnote w:id="6">
    <w:p w:rsidR="00467B34" w:rsidRDefault="00467B34" w:rsidP="00F37F40">
      <w:pPr>
        <w:pStyle w:val="FootnoteText"/>
        <w:ind w:left="720" w:hanging="720"/>
      </w:pPr>
      <w:r>
        <w:rPr>
          <w:rStyle w:val="FootnoteReference"/>
        </w:rPr>
        <w:footnoteRef/>
      </w:r>
      <w:r>
        <w:t xml:space="preserve"> </w:t>
      </w:r>
      <w:r>
        <w:tab/>
        <w:t xml:space="preserve">This information is based on data collected from Form ADV-Ws filed through the IARD during year 2009. </w:t>
      </w:r>
      <w:r w:rsidRPr="0079152D">
        <w:t xml:space="preserve">Form ADV-W is designed to accommodate the different types of withdrawals investment advisers may file.  </w:t>
      </w:r>
      <w:r>
        <w:t>A</w:t>
      </w:r>
      <w:r w:rsidRPr="0079152D">
        <w:t xml:space="preserve">n </w:t>
      </w:r>
      <w:r>
        <w:t xml:space="preserve">investment </w:t>
      </w:r>
      <w:r w:rsidRPr="0079152D">
        <w:t>adviser withdrawing from some, but not all, of the jurisdictions in which it is registered omit</w:t>
      </w:r>
      <w:r>
        <w:t>s</w:t>
      </w:r>
      <w:r w:rsidRPr="0079152D">
        <w:t xml:space="preserve"> certain items</w:t>
      </w:r>
      <w:r>
        <w:t xml:space="preserve"> (e.g.,</w:t>
      </w:r>
      <w:r w:rsidRPr="00AE41E0">
        <w:t xml:space="preserve"> the location of its books and records</w:t>
      </w:r>
      <w:r>
        <w:t>)</w:t>
      </w:r>
      <w:r w:rsidRPr="00AE41E0">
        <w:t xml:space="preserve"> </w:t>
      </w:r>
      <w:r w:rsidRPr="0079152D">
        <w:t xml:space="preserve">that </w:t>
      </w:r>
      <w:r>
        <w:t>the SEC</w:t>
      </w:r>
      <w:r w:rsidRPr="0079152D">
        <w:t xml:space="preserve"> do</w:t>
      </w:r>
      <w:r>
        <w:t>es</w:t>
      </w:r>
      <w:r w:rsidRPr="0079152D">
        <w:t xml:space="preserve"> not need from an adviser continuing in business as a state-registered adviser.  </w:t>
      </w:r>
    </w:p>
    <w:p w:rsidR="00467B34" w:rsidRDefault="00467B34" w:rsidP="00F37F40">
      <w:pPr>
        <w:pStyle w:val="FootnoteText"/>
        <w:ind w:left="720" w:hanging="720"/>
      </w:pPr>
    </w:p>
  </w:footnote>
  <w:footnote w:id="7">
    <w:p w:rsidR="00467B34" w:rsidRDefault="00467B34" w:rsidP="00CD0509">
      <w:pPr>
        <w:pStyle w:val="FootnoteText"/>
        <w:ind w:left="720" w:hanging="720"/>
      </w:pPr>
      <w:r>
        <w:rPr>
          <w:rStyle w:val="FootnoteReference"/>
        </w:rPr>
        <w:footnoteRef/>
      </w:r>
      <w:r>
        <w:t xml:space="preserve"> </w:t>
      </w:r>
      <w:r>
        <w:tab/>
        <w:t>(500 full Form ADV-Ws x 0.75 hours) + (500 partial Form ADV-Ws x 0.25 hours) = 375 + 125 = 500.</w:t>
      </w:r>
    </w:p>
    <w:p w:rsidR="00467B34" w:rsidRDefault="00467B34" w:rsidP="00CD0509">
      <w:pPr>
        <w:pStyle w:val="FootnoteText"/>
        <w:ind w:left="720" w:hanging="720"/>
      </w:pPr>
    </w:p>
  </w:footnote>
  <w:footnote w:id="8">
    <w:p w:rsidR="00821665" w:rsidRPr="00346388" w:rsidRDefault="00467B34" w:rsidP="00E93BBF">
      <w:pPr>
        <w:tabs>
          <w:tab w:val="left" w:pos="720"/>
        </w:tabs>
        <w:spacing w:after="120"/>
        <w:ind w:left="720" w:hanging="720"/>
        <w:rPr>
          <w:sz w:val="22"/>
          <w:szCs w:val="22"/>
        </w:rPr>
      </w:pPr>
      <w:r w:rsidRPr="00346388">
        <w:rPr>
          <w:rStyle w:val="FootnoteReference"/>
          <w:sz w:val="22"/>
          <w:szCs w:val="22"/>
        </w:rPr>
        <w:footnoteRef/>
      </w:r>
      <w:r w:rsidRPr="00346388">
        <w:rPr>
          <w:sz w:val="22"/>
          <w:szCs w:val="22"/>
        </w:rPr>
        <w:t xml:space="preserve"> </w:t>
      </w:r>
      <w:r w:rsidRPr="00346388">
        <w:rPr>
          <w:sz w:val="22"/>
          <w:szCs w:val="22"/>
        </w:rPr>
        <w:tab/>
        <w:t xml:space="preserve">According to data from the </w:t>
      </w:r>
      <w:r w:rsidRPr="00346388">
        <w:rPr>
          <w:rFonts w:eastAsia="DeVinne"/>
          <w:sz w:val="22"/>
          <w:szCs w:val="22"/>
        </w:rPr>
        <w:t>Investment Adviser Registration Depository (“IARD”)</w:t>
      </w:r>
      <w:r w:rsidRPr="00346388">
        <w:rPr>
          <w:sz w:val="22"/>
          <w:szCs w:val="22"/>
        </w:rPr>
        <w:t xml:space="preserve"> as of April 7, 2011, 3,531 SEC-registered advisers either:  (i) had assets under management between $25 million and $90 million and did not indicate on Part 1A of Form ADV that they are relying on an exemption from the prohibition on Commission registration; or (ii) were permitted to register with us because they rely on the registration of an SEC-registered affiliate that has assets under management between $25 million and $90 million and are not relying on an exemption from registration.  </w:t>
      </w:r>
      <w:r w:rsidR="00821665">
        <w:rPr>
          <w:sz w:val="22"/>
          <w:szCs w:val="22"/>
        </w:rPr>
        <w:t xml:space="preserve">We estimate that </w:t>
      </w:r>
      <w:r w:rsidR="00821665" w:rsidRPr="00FA6459">
        <w:rPr>
          <w:sz w:val="22"/>
          <w:szCs w:val="22"/>
        </w:rPr>
        <w:t xml:space="preserve">350 of these advisers </w:t>
      </w:r>
      <w:r w:rsidR="00821665">
        <w:rPr>
          <w:sz w:val="22"/>
          <w:szCs w:val="22"/>
        </w:rPr>
        <w:t xml:space="preserve">are mid-sized advisers and </w:t>
      </w:r>
      <w:r w:rsidR="00821665" w:rsidRPr="00FA6459">
        <w:rPr>
          <w:sz w:val="22"/>
          <w:szCs w:val="22"/>
        </w:rPr>
        <w:t>will not switch to state registration because their principal office and place of business is located in Minnesota, New York, or Wyoming.</w:t>
      </w:r>
      <w:r w:rsidR="007A4199">
        <w:rPr>
          <w:sz w:val="22"/>
          <w:szCs w:val="22"/>
        </w:rPr>
        <w:t xml:space="preserve"> </w:t>
      </w:r>
      <w:r w:rsidR="00821665" w:rsidRPr="00FA6459">
        <w:rPr>
          <w:sz w:val="22"/>
          <w:szCs w:val="22"/>
        </w:rPr>
        <w:t xml:space="preserve"> </w:t>
      </w:r>
      <w:r w:rsidR="00821665">
        <w:rPr>
          <w:i/>
          <w:sz w:val="22"/>
          <w:szCs w:val="22"/>
        </w:rPr>
        <w:t xml:space="preserve">See </w:t>
      </w:r>
      <w:r w:rsidR="00821665" w:rsidRPr="00F75F61">
        <w:rPr>
          <w:sz w:val="22"/>
          <w:szCs w:val="22"/>
        </w:rPr>
        <w:t>Appendix A</w:t>
      </w:r>
      <w:r w:rsidR="00D17467">
        <w:rPr>
          <w:sz w:val="22"/>
          <w:szCs w:val="22"/>
        </w:rPr>
        <w:t xml:space="preserve">, </w:t>
      </w:r>
      <w:r w:rsidR="00E01E53">
        <w:rPr>
          <w:sz w:val="22"/>
          <w:szCs w:val="22"/>
        </w:rPr>
        <w:t xml:space="preserve">note 152 </w:t>
      </w:r>
      <w:r w:rsidR="00821665" w:rsidRPr="00FA6459">
        <w:rPr>
          <w:sz w:val="22"/>
          <w:szCs w:val="22"/>
        </w:rPr>
        <w:t>(according to IARD data as of April 7, 2011, there were 63 advisers in Minnesota, 286 in New York, and 1 in Wyoming).</w:t>
      </w:r>
      <w:r w:rsidR="00821665">
        <w:rPr>
          <w:sz w:val="22"/>
          <w:szCs w:val="22"/>
        </w:rPr>
        <w:t xml:space="preserve">  </w:t>
      </w:r>
      <w:r w:rsidR="00821665" w:rsidRPr="002D393A">
        <w:rPr>
          <w:sz w:val="22"/>
          <w:szCs w:val="22"/>
        </w:rPr>
        <w:t>As a result, we estimate that approximately 3,200 advisers will switch to state registration.</w:t>
      </w:r>
      <w:r w:rsidR="00821665">
        <w:rPr>
          <w:sz w:val="22"/>
          <w:szCs w:val="22"/>
        </w:rPr>
        <w:t xml:space="preserve"> </w:t>
      </w:r>
      <w:r w:rsidR="00821665" w:rsidRPr="002D393A">
        <w:rPr>
          <w:sz w:val="22"/>
          <w:szCs w:val="22"/>
        </w:rPr>
        <w:t xml:space="preserve"> 3,531 SEC-registered advisers – 350 advisers not switching to state registration = 3,181 advisers.  </w:t>
      </w:r>
    </w:p>
  </w:footnote>
  <w:footnote w:id="9">
    <w:p w:rsidR="00467B34" w:rsidRPr="0079152D" w:rsidRDefault="00467B34" w:rsidP="00FA7D02">
      <w:pPr>
        <w:pStyle w:val="FootnoteText"/>
        <w:spacing w:after="120"/>
        <w:ind w:left="720" w:hanging="720"/>
        <w:rPr>
          <w:szCs w:val="22"/>
        </w:rPr>
      </w:pPr>
      <w:r w:rsidRPr="0079152D">
        <w:rPr>
          <w:rStyle w:val="FootnoteReference"/>
          <w:szCs w:val="22"/>
        </w:rPr>
        <w:footnoteRef/>
      </w:r>
      <w:r w:rsidRPr="0079152D">
        <w:rPr>
          <w:szCs w:val="22"/>
        </w:rPr>
        <w:t xml:space="preserve"> </w:t>
      </w:r>
      <w:r w:rsidRPr="0079152D">
        <w:rPr>
          <w:szCs w:val="22"/>
        </w:rPr>
        <w:tab/>
      </w:r>
      <w:r w:rsidRPr="00E26A57">
        <w:rPr>
          <w:szCs w:val="22"/>
        </w:rPr>
        <w:t>Based on IARD data as of April 7, 2011, there are 322 advisers relying on the pension consultant exemption from registration</w:t>
      </w:r>
      <w:r>
        <w:rPr>
          <w:szCs w:val="22"/>
        </w:rPr>
        <w:t>.  W</w:t>
      </w:r>
      <w:r w:rsidRPr="00E26A57">
        <w:rPr>
          <w:szCs w:val="22"/>
        </w:rPr>
        <w:t>e estimate that approximately 15 percent will no longer be eligible to rely on the exemption as adopted.  This estimate is based on our understanding that a typical pension consultant will have plan assets far in excess of the higher threshold, in light of the fact that most pension plans contain a significant amount of assets.</w:t>
      </w:r>
      <w:r>
        <w:rPr>
          <w:szCs w:val="22"/>
        </w:rPr>
        <w:t xml:space="preserve">  </w:t>
      </w:r>
      <w:r w:rsidRPr="0079152D">
        <w:rPr>
          <w:rFonts w:eastAsia="DeVinne"/>
          <w:szCs w:val="22"/>
        </w:rPr>
        <w:t>These advisers do not report the amount of plan assets for which they provide investment advice, so we are unable to determine how many have between $50 million and $200 million of plan assets and may have to register with the state securities authorities as a result of the proposed amendment.  It is also difficult to determine whether such advisers would be prohibited from registering with the Commission because they are required to register with and are subject to examination by the state securities authority where they maintain a principal office and place of business under the Dodd-Frank Act.</w:t>
      </w:r>
      <w:r w:rsidRPr="0079152D">
        <w:rPr>
          <w:szCs w:val="22"/>
        </w:rPr>
        <w:t xml:space="preserve"> </w:t>
      </w:r>
    </w:p>
  </w:footnote>
  <w:footnote w:id="10">
    <w:p w:rsidR="00467B34" w:rsidRPr="0079152D" w:rsidRDefault="00467B34" w:rsidP="00300531">
      <w:pPr>
        <w:pStyle w:val="FootnoteText"/>
        <w:spacing w:after="120"/>
        <w:ind w:left="720" w:hanging="720"/>
        <w:rPr>
          <w:szCs w:val="22"/>
        </w:rPr>
      </w:pPr>
      <w:r w:rsidRPr="0079152D">
        <w:rPr>
          <w:rStyle w:val="FootnoteReference"/>
          <w:szCs w:val="22"/>
        </w:rPr>
        <w:footnoteRef/>
      </w:r>
      <w:r w:rsidRPr="0079152D">
        <w:rPr>
          <w:szCs w:val="22"/>
        </w:rPr>
        <w:t xml:space="preserve"> </w:t>
      </w:r>
      <w:r w:rsidRPr="0079152D">
        <w:rPr>
          <w:szCs w:val="22"/>
        </w:rPr>
        <w:tab/>
      </w:r>
      <w:r>
        <w:rPr>
          <w:szCs w:val="22"/>
        </w:rPr>
        <w:t>[</w:t>
      </w:r>
      <w:r w:rsidRPr="00E26A57">
        <w:rPr>
          <w:szCs w:val="22"/>
        </w:rPr>
        <w:t>3,</w:t>
      </w:r>
      <w:r w:rsidR="008C372F">
        <w:rPr>
          <w:szCs w:val="22"/>
        </w:rPr>
        <w:t>200</w:t>
      </w:r>
      <w:r w:rsidRPr="00E26A57">
        <w:rPr>
          <w:szCs w:val="22"/>
        </w:rPr>
        <w:t xml:space="preserve"> + 50 responses on Form ADV-W</w:t>
      </w:r>
      <w:r>
        <w:rPr>
          <w:szCs w:val="22"/>
        </w:rPr>
        <w:t>]</w:t>
      </w:r>
      <w:r w:rsidRPr="00E26A57">
        <w:rPr>
          <w:szCs w:val="22"/>
        </w:rPr>
        <w:t xml:space="preserve"> x 0.25 hours = </w:t>
      </w:r>
      <w:r w:rsidR="008C372F">
        <w:rPr>
          <w:szCs w:val="22"/>
        </w:rPr>
        <w:t>812.5</w:t>
      </w:r>
      <w:r w:rsidRPr="00E26A57">
        <w:rPr>
          <w:szCs w:val="22"/>
        </w:rPr>
        <w:t xml:space="preserve"> hours.</w:t>
      </w:r>
      <w:r>
        <w:rPr>
          <w:szCs w:val="22"/>
        </w:rPr>
        <w:t xml:space="preserve"> </w:t>
      </w:r>
    </w:p>
  </w:footnote>
  <w:footnote w:id="11">
    <w:p w:rsidR="00467B34" w:rsidRPr="0079152D" w:rsidRDefault="00467B34" w:rsidP="00F360FC">
      <w:pPr>
        <w:pStyle w:val="FootnoteText"/>
        <w:spacing w:after="120"/>
        <w:ind w:left="720" w:hanging="720"/>
        <w:rPr>
          <w:szCs w:val="22"/>
        </w:rPr>
      </w:pPr>
      <w:r w:rsidRPr="0079152D">
        <w:rPr>
          <w:rStyle w:val="FootnoteReference"/>
          <w:szCs w:val="22"/>
        </w:rPr>
        <w:footnoteRef/>
      </w:r>
      <w:r w:rsidRPr="0079152D">
        <w:rPr>
          <w:szCs w:val="22"/>
        </w:rPr>
        <w:t xml:space="preserve"> </w:t>
      </w:r>
      <w:r w:rsidRPr="0079152D">
        <w:rPr>
          <w:szCs w:val="22"/>
        </w:rPr>
        <w:tab/>
      </w:r>
      <w:r>
        <w:rPr>
          <w:szCs w:val="22"/>
        </w:rPr>
        <w:t xml:space="preserve">500 current hours + </w:t>
      </w:r>
      <w:r w:rsidR="00F04E26">
        <w:rPr>
          <w:szCs w:val="22"/>
        </w:rPr>
        <w:t>813</w:t>
      </w:r>
      <w:r>
        <w:rPr>
          <w:szCs w:val="22"/>
        </w:rPr>
        <w:t xml:space="preserve"> additional hours = 1,3</w:t>
      </w:r>
      <w:r w:rsidR="008C372F">
        <w:rPr>
          <w:szCs w:val="22"/>
        </w:rPr>
        <w:t>13</w:t>
      </w:r>
      <w:r>
        <w:rPr>
          <w:szCs w:val="22"/>
        </w:rPr>
        <w:t xml:space="preserve"> hours.</w:t>
      </w:r>
    </w:p>
  </w:footnote>
  <w:footnote w:id="12">
    <w:p w:rsidR="00467B34" w:rsidRPr="0079152D" w:rsidRDefault="00467B34" w:rsidP="00311827">
      <w:pPr>
        <w:pStyle w:val="FootnoteText"/>
        <w:spacing w:after="120"/>
        <w:ind w:left="720" w:hanging="720"/>
        <w:rPr>
          <w:szCs w:val="22"/>
        </w:rPr>
      </w:pPr>
      <w:r w:rsidRPr="0079152D">
        <w:rPr>
          <w:rStyle w:val="FootnoteReference"/>
          <w:szCs w:val="22"/>
        </w:rPr>
        <w:footnoteRef/>
      </w:r>
      <w:r w:rsidRPr="0079152D">
        <w:rPr>
          <w:szCs w:val="22"/>
        </w:rPr>
        <w:t xml:space="preserve"> </w:t>
      </w:r>
      <w:r w:rsidRPr="0079152D">
        <w:rPr>
          <w:szCs w:val="22"/>
        </w:rPr>
        <w:tab/>
      </w:r>
      <w:r>
        <w:rPr>
          <w:szCs w:val="22"/>
        </w:rPr>
        <w:t xml:space="preserve">Commenters generally supported the Commission’s proposal to amend the pension consultant exemption.  </w:t>
      </w:r>
      <w:r>
        <w:rPr>
          <w:i/>
          <w:szCs w:val="22"/>
        </w:rPr>
        <w:t xml:space="preserve">See, e.g., </w:t>
      </w:r>
      <w:r>
        <w:rPr>
          <w:szCs w:val="22"/>
        </w:rPr>
        <w:t>Appendix A, note</w:t>
      </w:r>
      <w:r w:rsidR="00DE7ED2">
        <w:rPr>
          <w:szCs w:val="22"/>
        </w:rPr>
        <w:t>s</w:t>
      </w:r>
      <w:r>
        <w:rPr>
          <w:szCs w:val="22"/>
        </w:rPr>
        <w:t xml:space="preserve"> </w:t>
      </w:r>
      <w:r w:rsidR="004B0F8A">
        <w:rPr>
          <w:szCs w:val="22"/>
        </w:rPr>
        <w:t>439</w:t>
      </w:r>
      <w:r w:rsidR="00DE7ED2">
        <w:rPr>
          <w:szCs w:val="22"/>
        </w:rPr>
        <w:t>, 780</w:t>
      </w:r>
      <w:r>
        <w:rPr>
          <w:szCs w:val="22"/>
        </w:rPr>
        <w:t xml:space="preserve">.  Several commenters recommended that we provide additional time for these advisers to transition to state registration before filing Form ADV-W to withdraw their registrations with the Commission.  </w:t>
      </w:r>
      <w:r>
        <w:rPr>
          <w:i/>
          <w:szCs w:val="22"/>
        </w:rPr>
        <w:t xml:space="preserve">See </w:t>
      </w:r>
      <w:r w:rsidR="00A96D33">
        <w:rPr>
          <w:szCs w:val="22"/>
        </w:rPr>
        <w:t xml:space="preserve">Appendix A, notes </w:t>
      </w:r>
      <w:r>
        <w:rPr>
          <w:szCs w:val="22"/>
        </w:rPr>
        <w:t>41</w:t>
      </w:r>
      <w:r w:rsidR="001F068F">
        <w:rPr>
          <w:szCs w:val="22"/>
        </w:rPr>
        <w:t>3</w:t>
      </w:r>
      <w:r>
        <w:rPr>
          <w:szCs w:val="22"/>
        </w:rPr>
        <w:t>-41</w:t>
      </w:r>
      <w:r w:rsidR="00A97A58">
        <w:rPr>
          <w:szCs w:val="22"/>
        </w:rPr>
        <w:t>6</w:t>
      </w:r>
      <w:r>
        <w:rPr>
          <w:szCs w:val="22"/>
        </w:rPr>
        <w:t xml:space="preserve"> and accompanying text for additional examples of public comments related to rule 203A-5.  As a result, the Commission is adopting a June 28, 2012 deadline for advisers to file Form ADV-W, instead of the October 19, 2011 deadline proposed.  </w:t>
      </w:r>
    </w:p>
  </w:footnote>
  <w:footnote w:id="13">
    <w:p w:rsidR="00467B34" w:rsidRPr="0079152D" w:rsidRDefault="00467B34" w:rsidP="00925E07">
      <w:pPr>
        <w:pStyle w:val="FootnoteText"/>
        <w:spacing w:before="120" w:after="120"/>
        <w:ind w:left="720" w:hanging="720"/>
        <w:rPr>
          <w:szCs w:val="22"/>
        </w:rPr>
      </w:pPr>
      <w:r w:rsidRPr="0079152D">
        <w:rPr>
          <w:rStyle w:val="FootnoteReference"/>
          <w:szCs w:val="22"/>
        </w:rPr>
        <w:footnoteRef/>
      </w:r>
      <w:r w:rsidRPr="0079152D">
        <w:rPr>
          <w:szCs w:val="22"/>
        </w:rPr>
        <w:t xml:space="preserve"> </w:t>
      </w:r>
      <w:r w:rsidRPr="0079152D">
        <w:rPr>
          <w:szCs w:val="22"/>
        </w:rPr>
        <w:tab/>
      </w:r>
      <w:r w:rsidRPr="00E26A57">
        <w:rPr>
          <w:szCs w:val="22"/>
        </w:rPr>
        <w:t xml:space="preserve">Data from the </w:t>
      </w:r>
      <w:r w:rsidRPr="00E26A57">
        <w:rPr>
          <w:iCs/>
          <w:color w:val="000000"/>
          <w:szCs w:val="22"/>
        </w:rPr>
        <w:t>Securities Industry Financial Markets Association’s</w:t>
      </w:r>
      <w:r w:rsidRPr="00E26A57">
        <w:rPr>
          <w:szCs w:val="22"/>
        </w:rPr>
        <w:t xml:space="preserve"> </w:t>
      </w:r>
      <w:r w:rsidRPr="00E26A57">
        <w:rPr>
          <w:i/>
          <w:szCs w:val="22"/>
        </w:rPr>
        <w:t xml:space="preserve">Office Salaries in the Securities Industry 2010 </w:t>
      </w:r>
      <w:r w:rsidRPr="00E26A57">
        <w:rPr>
          <w:szCs w:val="22"/>
        </w:rPr>
        <w:t>modified to account for an 1,800-hour work-year and multiplied by 2.93 to account for bonuses, firm size, employee benefits and overhead, suggest that the hourly rate for a compliance clerk is $67.</w:t>
      </w:r>
      <w:r>
        <w:rPr>
          <w:szCs w:val="22"/>
        </w:rPr>
        <w:t xml:space="preserve"> </w:t>
      </w:r>
    </w:p>
  </w:footnote>
  <w:footnote w:id="14">
    <w:p w:rsidR="00467B34" w:rsidRPr="00E26A57" w:rsidRDefault="00467B34" w:rsidP="00DD0823">
      <w:pPr>
        <w:pStyle w:val="FootnoteText"/>
        <w:spacing w:before="120" w:after="120"/>
        <w:ind w:left="720" w:hanging="720"/>
        <w:rPr>
          <w:szCs w:val="22"/>
        </w:rPr>
      </w:pPr>
      <w:r w:rsidRPr="00E26A57">
        <w:rPr>
          <w:rStyle w:val="FootnoteReference"/>
          <w:szCs w:val="22"/>
        </w:rPr>
        <w:footnoteRef/>
      </w:r>
      <w:r w:rsidRPr="00E26A57">
        <w:rPr>
          <w:szCs w:val="22"/>
        </w:rPr>
        <w:t xml:space="preserve"> </w:t>
      </w:r>
      <w:r w:rsidRPr="00E26A57">
        <w:rPr>
          <w:szCs w:val="22"/>
        </w:rPr>
        <w:tab/>
      </w:r>
      <w:r w:rsidR="008B643B">
        <w:rPr>
          <w:szCs w:val="22"/>
        </w:rPr>
        <w:t>813</w:t>
      </w:r>
      <w:r>
        <w:rPr>
          <w:szCs w:val="22"/>
        </w:rPr>
        <w:t xml:space="preserve"> hours x $67</w:t>
      </w:r>
      <w:r>
        <w:rPr>
          <w:rFonts w:eastAsia="DeVinne"/>
          <w:szCs w:val="22"/>
        </w:rPr>
        <w:t xml:space="preserve"> = $</w:t>
      </w:r>
      <w:r w:rsidR="008B643B">
        <w:rPr>
          <w:rFonts w:eastAsia="DeVinne"/>
          <w:szCs w:val="22"/>
        </w:rPr>
        <w:t>54,471</w:t>
      </w:r>
      <w:r>
        <w:rPr>
          <w:rFonts w:eastAsia="DeVinne"/>
          <w:szCs w:val="22"/>
        </w:rPr>
        <w:t>.</w:t>
      </w:r>
    </w:p>
  </w:footnote>
  <w:footnote w:id="15">
    <w:p w:rsidR="00467B34" w:rsidRDefault="00467B34" w:rsidP="001D505F">
      <w:pPr>
        <w:pStyle w:val="FootnoteText"/>
        <w:spacing w:before="120" w:after="120"/>
        <w:ind w:left="720" w:hanging="720"/>
      </w:pPr>
      <w:r>
        <w:rPr>
          <w:rStyle w:val="FootnoteReference"/>
        </w:rPr>
        <w:footnoteRef/>
      </w:r>
      <w:r>
        <w:t xml:space="preserve"> </w:t>
      </w:r>
      <w:r>
        <w:tab/>
        <w:t xml:space="preserve">$71,375 + </w:t>
      </w:r>
      <w:r>
        <w:rPr>
          <w:rFonts w:eastAsia="DeVinne"/>
          <w:szCs w:val="22"/>
        </w:rPr>
        <w:t>$</w:t>
      </w:r>
      <w:r w:rsidR="0054412A">
        <w:rPr>
          <w:rFonts w:eastAsia="DeVinne"/>
          <w:szCs w:val="22"/>
        </w:rPr>
        <w:t xml:space="preserve">54,471 </w:t>
      </w:r>
      <w:r>
        <w:t>= $</w:t>
      </w:r>
      <w:r w:rsidR="00E75EF7">
        <w:t>125,846</w:t>
      </w:r>
      <w:r>
        <w:t>.</w:t>
      </w:r>
    </w:p>
  </w:footnote>
  <w:footnote w:id="16">
    <w:p w:rsidR="00467B34" w:rsidRDefault="00467B34" w:rsidP="0058155C">
      <w:pPr>
        <w:pStyle w:val="FootnoteText"/>
        <w:spacing w:before="120" w:after="120"/>
        <w:ind w:left="720" w:hanging="720"/>
      </w:pPr>
      <w:r>
        <w:rPr>
          <w:rStyle w:val="FootnoteReference"/>
        </w:rPr>
        <w:footnoteRef/>
      </w:r>
      <w:r w:rsidR="00611CB3">
        <w:t xml:space="preserve"> </w:t>
      </w:r>
      <w:r w:rsidR="00611CB3">
        <w:tab/>
        <w:t>1,313</w:t>
      </w:r>
      <w:r>
        <w:t xml:space="preserve"> revised burden hours – 500 current approved burden hours = 8</w:t>
      </w:r>
      <w:r w:rsidR="00611CB3">
        <w:t>13</w:t>
      </w:r>
      <w:r>
        <w:t xml:space="preserve"> hours.</w:t>
      </w:r>
    </w:p>
  </w:footnote>
  <w:footnote w:id="17">
    <w:p w:rsidR="00467B34" w:rsidRDefault="00467B34" w:rsidP="00334F26">
      <w:pPr>
        <w:pStyle w:val="FootnoteText"/>
        <w:spacing w:before="120" w:after="120"/>
        <w:ind w:left="720" w:hanging="720"/>
      </w:pPr>
      <w:r>
        <w:rPr>
          <w:rStyle w:val="FootnoteReference"/>
        </w:rPr>
        <w:footnoteRef/>
      </w:r>
      <w:r>
        <w:t xml:space="preserve"> </w:t>
      </w:r>
      <w:r>
        <w:tab/>
        <w:t>1,538</w:t>
      </w:r>
      <w:r>
        <w:rPr>
          <w:spacing w:val="-3"/>
        </w:rPr>
        <w:t xml:space="preserve"> estimated hours – 1</w:t>
      </w:r>
      <w:r w:rsidR="00611CB3">
        <w:t>,313</w:t>
      </w:r>
      <w:r>
        <w:t xml:space="preserve"> revised burden hours = </w:t>
      </w:r>
      <w:r w:rsidR="00611CB3">
        <w:t>225</w:t>
      </w:r>
      <w:r>
        <w:t xml:space="preserve"> hours.</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EB57E8"/>
    <w:multiLevelType w:val="hybridMultilevel"/>
    <w:tmpl w:val="2F9E2FAE"/>
    <w:lvl w:ilvl="0" w:tplc="0D360BDC">
      <w:start w:val="5"/>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36290F1C"/>
    <w:multiLevelType w:val="hybridMultilevel"/>
    <w:tmpl w:val="DDA6A270"/>
    <w:lvl w:ilvl="0" w:tplc="767CFA00">
      <w:start w:val="2"/>
      <w:numFmt w:val="decimal"/>
      <w:lvlText w:val="%1."/>
      <w:lvlJc w:val="left"/>
      <w:pPr>
        <w:tabs>
          <w:tab w:val="num" w:pos="1440"/>
        </w:tabs>
        <w:ind w:left="1440" w:hanging="72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55903CE1"/>
    <w:multiLevelType w:val="hybridMultilevel"/>
    <w:tmpl w:val="8DDCA2B2"/>
    <w:lvl w:ilvl="0" w:tplc="8DDE1C22">
      <w:start w:val="1"/>
      <w:numFmt w:val="decimal"/>
      <w:lvlText w:val="%1."/>
      <w:lvlJc w:val="left"/>
      <w:pPr>
        <w:tabs>
          <w:tab w:val="num" w:pos="1440"/>
        </w:tabs>
        <w:ind w:left="1440" w:hanging="72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B0904"/>
    <w:rsid w:val="0001740F"/>
    <w:rsid w:val="00020025"/>
    <w:rsid w:val="00034267"/>
    <w:rsid w:val="00040BD9"/>
    <w:rsid w:val="00060AF7"/>
    <w:rsid w:val="000654BC"/>
    <w:rsid w:val="00074E6C"/>
    <w:rsid w:val="00083ADF"/>
    <w:rsid w:val="000936A0"/>
    <w:rsid w:val="000A6AAE"/>
    <w:rsid w:val="000B483E"/>
    <w:rsid w:val="000C2C68"/>
    <w:rsid w:val="000E02F9"/>
    <w:rsid w:val="000E033B"/>
    <w:rsid w:val="000E0B5F"/>
    <w:rsid w:val="000E4B5E"/>
    <w:rsid w:val="000F3748"/>
    <w:rsid w:val="00126503"/>
    <w:rsid w:val="00134ACE"/>
    <w:rsid w:val="00137D74"/>
    <w:rsid w:val="00160A75"/>
    <w:rsid w:val="00164A2B"/>
    <w:rsid w:val="00173442"/>
    <w:rsid w:val="00183F85"/>
    <w:rsid w:val="0018477F"/>
    <w:rsid w:val="001A04EB"/>
    <w:rsid w:val="001B6BDF"/>
    <w:rsid w:val="001B6DE6"/>
    <w:rsid w:val="001B6E6C"/>
    <w:rsid w:val="001C3343"/>
    <w:rsid w:val="001C7377"/>
    <w:rsid w:val="001D505F"/>
    <w:rsid w:val="001E4DAA"/>
    <w:rsid w:val="001F068F"/>
    <w:rsid w:val="001F2426"/>
    <w:rsid w:val="001F3EA8"/>
    <w:rsid w:val="00204E42"/>
    <w:rsid w:val="0020754D"/>
    <w:rsid w:val="00211980"/>
    <w:rsid w:val="00217A17"/>
    <w:rsid w:val="002260B5"/>
    <w:rsid w:val="0022729E"/>
    <w:rsid w:val="002329AF"/>
    <w:rsid w:val="00236D02"/>
    <w:rsid w:val="002407ED"/>
    <w:rsid w:val="0024405A"/>
    <w:rsid w:val="00245535"/>
    <w:rsid w:val="00256A71"/>
    <w:rsid w:val="00257C66"/>
    <w:rsid w:val="002710AB"/>
    <w:rsid w:val="00274BFF"/>
    <w:rsid w:val="00274CCB"/>
    <w:rsid w:val="002A7D14"/>
    <w:rsid w:val="002B250E"/>
    <w:rsid w:val="002B37D9"/>
    <w:rsid w:val="002B57D1"/>
    <w:rsid w:val="002B7385"/>
    <w:rsid w:val="002B764E"/>
    <w:rsid w:val="002C3AF8"/>
    <w:rsid w:val="002C4E3F"/>
    <w:rsid w:val="002D3337"/>
    <w:rsid w:val="002D45C5"/>
    <w:rsid w:val="002D6AAA"/>
    <w:rsid w:val="002D74DC"/>
    <w:rsid w:val="002E2F79"/>
    <w:rsid w:val="002E6F8C"/>
    <w:rsid w:val="002E7039"/>
    <w:rsid w:val="00300531"/>
    <w:rsid w:val="003074D2"/>
    <w:rsid w:val="00311607"/>
    <w:rsid w:val="00311827"/>
    <w:rsid w:val="0031187D"/>
    <w:rsid w:val="00312F7D"/>
    <w:rsid w:val="0031757D"/>
    <w:rsid w:val="003178BD"/>
    <w:rsid w:val="00324F1C"/>
    <w:rsid w:val="0032794F"/>
    <w:rsid w:val="00331DD9"/>
    <w:rsid w:val="00334F26"/>
    <w:rsid w:val="00336C33"/>
    <w:rsid w:val="00342958"/>
    <w:rsid w:val="003433AE"/>
    <w:rsid w:val="00346388"/>
    <w:rsid w:val="003517BF"/>
    <w:rsid w:val="00372CB5"/>
    <w:rsid w:val="00374EC0"/>
    <w:rsid w:val="00383D2C"/>
    <w:rsid w:val="0038715C"/>
    <w:rsid w:val="00390B41"/>
    <w:rsid w:val="00393B4C"/>
    <w:rsid w:val="0039782D"/>
    <w:rsid w:val="003F3FE5"/>
    <w:rsid w:val="00402FED"/>
    <w:rsid w:val="0040379E"/>
    <w:rsid w:val="004055E8"/>
    <w:rsid w:val="004124DD"/>
    <w:rsid w:val="004229F9"/>
    <w:rsid w:val="00430EB7"/>
    <w:rsid w:val="004341CE"/>
    <w:rsid w:val="0044369C"/>
    <w:rsid w:val="00445041"/>
    <w:rsid w:val="0044673C"/>
    <w:rsid w:val="0045085C"/>
    <w:rsid w:val="00452EC8"/>
    <w:rsid w:val="00467B34"/>
    <w:rsid w:val="004716E0"/>
    <w:rsid w:val="00471D50"/>
    <w:rsid w:val="004737EA"/>
    <w:rsid w:val="00474FA1"/>
    <w:rsid w:val="0048226D"/>
    <w:rsid w:val="00482773"/>
    <w:rsid w:val="0049675D"/>
    <w:rsid w:val="004A2FA4"/>
    <w:rsid w:val="004A7BE2"/>
    <w:rsid w:val="004B0F8A"/>
    <w:rsid w:val="004B1999"/>
    <w:rsid w:val="004B4E3E"/>
    <w:rsid w:val="004D1C3F"/>
    <w:rsid w:val="005045DD"/>
    <w:rsid w:val="00507CD3"/>
    <w:rsid w:val="005148D6"/>
    <w:rsid w:val="005150B8"/>
    <w:rsid w:val="00523587"/>
    <w:rsid w:val="0052687A"/>
    <w:rsid w:val="00532B03"/>
    <w:rsid w:val="005341A3"/>
    <w:rsid w:val="0054340A"/>
    <w:rsid w:val="0054412A"/>
    <w:rsid w:val="00544B67"/>
    <w:rsid w:val="00550D1B"/>
    <w:rsid w:val="00553859"/>
    <w:rsid w:val="005539FC"/>
    <w:rsid w:val="00555DAE"/>
    <w:rsid w:val="00560133"/>
    <w:rsid w:val="00561C9E"/>
    <w:rsid w:val="00572D7E"/>
    <w:rsid w:val="005742B8"/>
    <w:rsid w:val="00575647"/>
    <w:rsid w:val="0058155C"/>
    <w:rsid w:val="0059015B"/>
    <w:rsid w:val="00595CA9"/>
    <w:rsid w:val="005B3C64"/>
    <w:rsid w:val="005B4E03"/>
    <w:rsid w:val="005C1A1D"/>
    <w:rsid w:val="005C6A67"/>
    <w:rsid w:val="005D5281"/>
    <w:rsid w:val="005D5FE4"/>
    <w:rsid w:val="005D7E74"/>
    <w:rsid w:val="005E7CBA"/>
    <w:rsid w:val="005F0F9F"/>
    <w:rsid w:val="006037B4"/>
    <w:rsid w:val="00603B7A"/>
    <w:rsid w:val="00611CB3"/>
    <w:rsid w:val="00620062"/>
    <w:rsid w:val="00622690"/>
    <w:rsid w:val="00626158"/>
    <w:rsid w:val="006306FA"/>
    <w:rsid w:val="00640BC0"/>
    <w:rsid w:val="00655836"/>
    <w:rsid w:val="00662681"/>
    <w:rsid w:val="0066292F"/>
    <w:rsid w:val="00665126"/>
    <w:rsid w:val="00670F00"/>
    <w:rsid w:val="00674ECB"/>
    <w:rsid w:val="00682CC0"/>
    <w:rsid w:val="006838E7"/>
    <w:rsid w:val="006865C4"/>
    <w:rsid w:val="00694EC2"/>
    <w:rsid w:val="006958B9"/>
    <w:rsid w:val="006A7804"/>
    <w:rsid w:val="006B3589"/>
    <w:rsid w:val="006C51A2"/>
    <w:rsid w:val="006C57D8"/>
    <w:rsid w:val="006C6C2D"/>
    <w:rsid w:val="006D04AB"/>
    <w:rsid w:val="006D4C12"/>
    <w:rsid w:val="007012FC"/>
    <w:rsid w:val="00735750"/>
    <w:rsid w:val="00745287"/>
    <w:rsid w:val="0076156B"/>
    <w:rsid w:val="00761956"/>
    <w:rsid w:val="007812A5"/>
    <w:rsid w:val="00794FBA"/>
    <w:rsid w:val="00795295"/>
    <w:rsid w:val="007A4199"/>
    <w:rsid w:val="007A5854"/>
    <w:rsid w:val="007A739B"/>
    <w:rsid w:val="007B118A"/>
    <w:rsid w:val="007B1255"/>
    <w:rsid w:val="007B53C8"/>
    <w:rsid w:val="007D24EB"/>
    <w:rsid w:val="007D65F2"/>
    <w:rsid w:val="007D7417"/>
    <w:rsid w:val="007E2775"/>
    <w:rsid w:val="007F3753"/>
    <w:rsid w:val="00801654"/>
    <w:rsid w:val="008056F2"/>
    <w:rsid w:val="00821665"/>
    <w:rsid w:val="00830897"/>
    <w:rsid w:val="0083118E"/>
    <w:rsid w:val="00832A0F"/>
    <w:rsid w:val="008403FA"/>
    <w:rsid w:val="00855EDB"/>
    <w:rsid w:val="008569F6"/>
    <w:rsid w:val="00857361"/>
    <w:rsid w:val="00860C1E"/>
    <w:rsid w:val="00863C9C"/>
    <w:rsid w:val="0087090E"/>
    <w:rsid w:val="0087302E"/>
    <w:rsid w:val="00873049"/>
    <w:rsid w:val="008731F4"/>
    <w:rsid w:val="00880439"/>
    <w:rsid w:val="00883AA4"/>
    <w:rsid w:val="008B2886"/>
    <w:rsid w:val="008B5DAC"/>
    <w:rsid w:val="008B643B"/>
    <w:rsid w:val="008C372F"/>
    <w:rsid w:val="008C50C8"/>
    <w:rsid w:val="008C6219"/>
    <w:rsid w:val="008D314F"/>
    <w:rsid w:val="008D540E"/>
    <w:rsid w:val="008D63BD"/>
    <w:rsid w:val="008E3738"/>
    <w:rsid w:val="008F448C"/>
    <w:rsid w:val="00916F7D"/>
    <w:rsid w:val="00921832"/>
    <w:rsid w:val="009219D2"/>
    <w:rsid w:val="00923DFC"/>
    <w:rsid w:val="00925E07"/>
    <w:rsid w:val="00940019"/>
    <w:rsid w:val="009405C5"/>
    <w:rsid w:val="00940A17"/>
    <w:rsid w:val="00950A68"/>
    <w:rsid w:val="00951E9A"/>
    <w:rsid w:val="00952DA0"/>
    <w:rsid w:val="00984899"/>
    <w:rsid w:val="009855D7"/>
    <w:rsid w:val="00990DDB"/>
    <w:rsid w:val="009A216A"/>
    <w:rsid w:val="009A5727"/>
    <w:rsid w:val="009B2D6C"/>
    <w:rsid w:val="009D0ECD"/>
    <w:rsid w:val="009D1F07"/>
    <w:rsid w:val="009D74A0"/>
    <w:rsid w:val="009E170D"/>
    <w:rsid w:val="009F3788"/>
    <w:rsid w:val="00A07041"/>
    <w:rsid w:val="00A13D39"/>
    <w:rsid w:val="00A37BAC"/>
    <w:rsid w:val="00A4746F"/>
    <w:rsid w:val="00A6036B"/>
    <w:rsid w:val="00A639E9"/>
    <w:rsid w:val="00A7066B"/>
    <w:rsid w:val="00A80232"/>
    <w:rsid w:val="00A8466D"/>
    <w:rsid w:val="00A86C86"/>
    <w:rsid w:val="00A96D33"/>
    <w:rsid w:val="00A97A58"/>
    <w:rsid w:val="00AA5656"/>
    <w:rsid w:val="00AC6477"/>
    <w:rsid w:val="00AD06B0"/>
    <w:rsid w:val="00AE0D1A"/>
    <w:rsid w:val="00B114F2"/>
    <w:rsid w:val="00B1227E"/>
    <w:rsid w:val="00B342F3"/>
    <w:rsid w:val="00B41C6C"/>
    <w:rsid w:val="00B50CA9"/>
    <w:rsid w:val="00B513EA"/>
    <w:rsid w:val="00B549C7"/>
    <w:rsid w:val="00B62B48"/>
    <w:rsid w:val="00B6508D"/>
    <w:rsid w:val="00B65D8B"/>
    <w:rsid w:val="00B66B04"/>
    <w:rsid w:val="00B700BD"/>
    <w:rsid w:val="00B70365"/>
    <w:rsid w:val="00B707FA"/>
    <w:rsid w:val="00B75097"/>
    <w:rsid w:val="00B901A3"/>
    <w:rsid w:val="00BA0347"/>
    <w:rsid w:val="00BA1500"/>
    <w:rsid w:val="00BA1CE6"/>
    <w:rsid w:val="00BA4A09"/>
    <w:rsid w:val="00BB52C4"/>
    <w:rsid w:val="00BE7E18"/>
    <w:rsid w:val="00BF49E3"/>
    <w:rsid w:val="00C04BC5"/>
    <w:rsid w:val="00C131A8"/>
    <w:rsid w:val="00C31913"/>
    <w:rsid w:val="00C52BF6"/>
    <w:rsid w:val="00C60E28"/>
    <w:rsid w:val="00C87D9C"/>
    <w:rsid w:val="00C87F33"/>
    <w:rsid w:val="00C958AC"/>
    <w:rsid w:val="00CA191C"/>
    <w:rsid w:val="00CA1B0D"/>
    <w:rsid w:val="00CC2D99"/>
    <w:rsid w:val="00CC49A9"/>
    <w:rsid w:val="00CD0509"/>
    <w:rsid w:val="00CD3C49"/>
    <w:rsid w:val="00CE650A"/>
    <w:rsid w:val="00D17467"/>
    <w:rsid w:val="00D21F52"/>
    <w:rsid w:val="00D232DC"/>
    <w:rsid w:val="00D238AB"/>
    <w:rsid w:val="00D26903"/>
    <w:rsid w:val="00D370D1"/>
    <w:rsid w:val="00D417E8"/>
    <w:rsid w:val="00D563EC"/>
    <w:rsid w:val="00D57334"/>
    <w:rsid w:val="00D64246"/>
    <w:rsid w:val="00D64B1F"/>
    <w:rsid w:val="00D9117F"/>
    <w:rsid w:val="00D965CC"/>
    <w:rsid w:val="00D97AE1"/>
    <w:rsid w:val="00DA47FA"/>
    <w:rsid w:val="00DA79F5"/>
    <w:rsid w:val="00DB0904"/>
    <w:rsid w:val="00DB3140"/>
    <w:rsid w:val="00DC2BFE"/>
    <w:rsid w:val="00DD0823"/>
    <w:rsid w:val="00DD4663"/>
    <w:rsid w:val="00DD54CB"/>
    <w:rsid w:val="00DD6AB6"/>
    <w:rsid w:val="00DE2FC0"/>
    <w:rsid w:val="00DE7ED2"/>
    <w:rsid w:val="00DF5DFB"/>
    <w:rsid w:val="00DF70FE"/>
    <w:rsid w:val="00E00DF5"/>
    <w:rsid w:val="00E01E53"/>
    <w:rsid w:val="00E447AA"/>
    <w:rsid w:val="00E62302"/>
    <w:rsid w:val="00E7579E"/>
    <w:rsid w:val="00E75EF7"/>
    <w:rsid w:val="00E81D5F"/>
    <w:rsid w:val="00E822D9"/>
    <w:rsid w:val="00E8677B"/>
    <w:rsid w:val="00E873C7"/>
    <w:rsid w:val="00E93BBF"/>
    <w:rsid w:val="00EA1559"/>
    <w:rsid w:val="00EA2DA7"/>
    <w:rsid w:val="00EB197C"/>
    <w:rsid w:val="00EB2D9B"/>
    <w:rsid w:val="00EC4F7E"/>
    <w:rsid w:val="00EE0090"/>
    <w:rsid w:val="00EE56B5"/>
    <w:rsid w:val="00EF5D00"/>
    <w:rsid w:val="00EF5D2B"/>
    <w:rsid w:val="00EF6404"/>
    <w:rsid w:val="00F04E26"/>
    <w:rsid w:val="00F12534"/>
    <w:rsid w:val="00F13B8F"/>
    <w:rsid w:val="00F13D0D"/>
    <w:rsid w:val="00F15F3A"/>
    <w:rsid w:val="00F16700"/>
    <w:rsid w:val="00F25015"/>
    <w:rsid w:val="00F35138"/>
    <w:rsid w:val="00F360FC"/>
    <w:rsid w:val="00F37F40"/>
    <w:rsid w:val="00F51F69"/>
    <w:rsid w:val="00F524A0"/>
    <w:rsid w:val="00F76B8A"/>
    <w:rsid w:val="00F85085"/>
    <w:rsid w:val="00F87B10"/>
    <w:rsid w:val="00FA227D"/>
    <w:rsid w:val="00FA7D02"/>
    <w:rsid w:val="00FB09DC"/>
    <w:rsid w:val="00FB0B69"/>
    <w:rsid w:val="00FB19A3"/>
    <w:rsid w:val="00FB3A52"/>
    <w:rsid w:val="00FD2238"/>
    <w:rsid w:val="00FD3242"/>
    <w:rsid w:val="00FE39C9"/>
    <w:rsid w:val="00FF21C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0904"/>
    <w:rPr>
      <w:sz w:val="24"/>
      <w:szCs w:val="24"/>
    </w:rPr>
  </w:style>
  <w:style w:type="paragraph" w:styleId="Heading1">
    <w:name w:val="heading 1"/>
    <w:basedOn w:val="Normal"/>
    <w:next w:val="Normal"/>
    <w:qFormat/>
    <w:rsid w:val="00DB0904"/>
    <w:pPr>
      <w:keepNext/>
      <w:spacing w:line="480" w:lineRule="auto"/>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DB0904"/>
    <w:pPr>
      <w:spacing w:line="480" w:lineRule="auto"/>
      <w:jc w:val="center"/>
    </w:pPr>
    <w:rPr>
      <w:b/>
      <w:bCs/>
    </w:rPr>
  </w:style>
  <w:style w:type="paragraph" w:styleId="BodyTextIndent">
    <w:name w:val="Body Text Indent"/>
    <w:basedOn w:val="Normal"/>
    <w:rsid w:val="00DB0904"/>
    <w:pPr>
      <w:tabs>
        <w:tab w:val="left" w:pos="-720"/>
      </w:tabs>
      <w:suppressAutoHyphens/>
      <w:spacing w:line="480" w:lineRule="auto"/>
      <w:ind w:firstLine="720"/>
    </w:pPr>
  </w:style>
  <w:style w:type="paragraph" w:styleId="BodyText">
    <w:name w:val="Body Text"/>
    <w:basedOn w:val="Normal"/>
    <w:rsid w:val="00DB0904"/>
    <w:pPr>
      <w:spacing w:after="120"/>
    </w:pPr>
  </w:style>
  <w:style w:type="paragraph" w:styleId="BodyText2">
    <w:name w:val="Body Text 2"/>
    <w:basedOn w:val="Normal"/>
    <w:rsid w:val="00DB0904"/>
    <w:pPr>
      <w:spacing w:after="120" w:line="480" w:lineRule="auto"/>
    </w:pPr>
  </w:style>
  <w:style w:type="paragraph" w:styleId="FootnoteText">
    <w:name w:val="footnote text"/>
    <w:aliases w:val="ft,fn"/>
    <w:basedOn w:val="Normal"/>
    <w:link w:val="FootnoteTextChar"/>
    <w:uiPriority w:val="99"/>
    <w:rsid w:val="00DB0904"/>
    <w:pPr>
      <w:tabs>
        <w:tab w:val="left" w:pos="720"/>
      </w:tabs>
      <w:overflowPunct w:val="0"/>
      <w:autoSpaceDE w:val="0"/>
      <w:autoSpaceDN w:val="0"/>
      <w:adjustRightInd w:val="0"/>
      <w:textAlignment w:val="baseline"/>
    </w:pPr>
    <w:rPr>
      <w:sz w:val="22"/>
      <w:szCs w:val="20"/>
    </w:rPr>
  </w:style>
  <w:style w:type="character" w:styleId="FootnoteReference">
    <w:name w:val="footnote reference"/>
    <w:aliases w:val="fr"/>
    <w:basedOn w:val="DefaultParagraphFont"/>
    <w:uiPriority w:val="99"/>
    <w:rsid w:val="00DB0904"/>
    <w:rPr>
      <w:sz w:val="24"/>
      <w:vertAlign w:val="superscript"/>
    </w:rPr>
  </w:style>
  <w:style w:type="paragraph" w:styleId="ListParagraph">
    <w:name w:val="List Paragraph"/>
    <w:basedOn w:val="Normal"/>
    <w:uiPriority w:val="34"/>
    <w:qFormat/>
    <w:rsid w:val="00532B03"/>
    <w:pPr>
      <w:ind w:left="720"/>
    </w:pPr>
    <w:rPr>
      <w:rFonts w:eastAsia="Calibri"/>
      <w:sz w:val="22"/>
      <w:szCs w:val="22"/>
    </w:rPr>
  </w:style>
  <w:style w:type="character" w:customStyle="1" w:styleId="FootnoteTextChar">
    <w:name w:val="Footnote Text Char"/>
    <w:aliases w:val="ft Char,fn Char"/>
    <w:basedOn w:val="DefaultParagraphFont"/>
    <w:link w:val="FootnoteText"/>
    <w:locked/>
    <w:rsid w:val="00532B03"/>
    <w:rPr>
      <w:sz w:val="22"/>
    </w:rPr>
  </w:style>
  <w:style w:type="character" w:styleId="CommentReference">
    <w:name w:val="annotation reference"/>
    <w:basedOn w:val="DefaultParagraphFont"/>
    <w:rsid w:val="00FF21CC"/>
    <w:rPr>
      <w:sz w:val="16"/>
      <w:szCs w:val="16"/>
    </w:rPr>
  </w:style>
  <w:style w:type="paragraph" w:styleId="CommentText">
    <w:name w:val="annotation text"/>
    <w:basedOn w:val="Normal"/>
    <w:link w:val="CommentTextChar"/>
    <w:rsid w:val="00FF21CC"/>
    <w:rPr>
      <w:sz w:val="20"/>
      <w:szCs w:val="20"/>
    </w:rPr>
  </w:style>
  <w:style w:type="character" w:customStyle="1" w:styleId="CommentTextChar">
    <w:name w:val="Comment Text Char"/>
    <w:basedOn w:val="DefaultParagraphFont"/>
    <w:link w:val="CommentText"/>
    <w:rsid w:val="00FF21CC"/>
  </w:style>
  <w:style w:type="paragraph" w:styleId="CommentSubject">
    <w:name w:val="annotation subject"/>
    <w:basedOn w:val="CommentText"/>
    <w:next w:val="CommentText"/>
    <w:link w:val="CommentSubjectChar"/>
    <w:rsid w:val="00FF21CC"/>
    <w:rPr>
      <w:b/>
      <w:bCs/>
    </w:rPr>
  </w:style>
  <w:style w:type="character" w:customStyle="1" w:styleId="CommentSubjectChar">
    <w:name w:val="Comment Subject Char"/>
    <w:basedOn w:val="CommentTextChar"/>
    <w:link w:val="CommentSubject"/>
    <w:rsid w:val="00FF21CC"/>
    <w:rPr>
      <w:b/>
      <w:bCs/>
    </w:rPr>
  </w:style>
  <w:style w:type="paragraph" w:styleId="BalloonText">
    <w:name w:val="Balloon Text"/>
    <w:basedOn w:val="Normal"/>
    <w:link w:val="BalloonTextChar"/>
    <w:rsid w:val="00FF21CC"/>
    <w:rPr>
      <w:rFonts w:ascii="Tahoma" w:hAnsi="Tahoma" w:cs="Tahoma"/>
      <w:sz w:val="16"/>
      <w:szCs w:val="16"/>
    </w:rPr>
  </w:style>
  <w:style w:type="character" w:customStyle="1" w:styleId="BalloonTextChar">
    <w:name w:val="Balloon Text Char"/>
    <w:basedOn w:val="DefaultParagraphFont"/>
    <w:link w:val="BalloonText"/>
    <w:rsid w:val="00FF21CC"/>
    <w:rPr>
      <w:rFonts w:ascii="Tahoma" w:hAnsi="Tahoma" w:cs="Tahoma"/>
      <w:sz w:val="16"/>
      <w:szCs w:val="16"/>
    </w:rPr>
  </w:style>
  <w:style w:type="paragraph" w:styleId="Header">
    <w:name w:val="header"/>
    <w:basedOn w:val="Normal"/>
    <w:link w:val="HeaderChar"/>
    <w:uiPriority w:val="99"/>
    <w:rsid w:val="00D238AB"/>
    <w:pPr>
      <w:tabs>
        <w:tab w:val="center" w:pos="4680"/>
        <w:tab w:val="right" w:pos="9360"/>
      </w:tabs>
    </w:pPr>
  </w:style>
  <w:style w:type="character" w:customStyle="1" w:styleId="HeaderChar">
    <w:name w:val="Header Char"/>
    <w:basedOn w:val="DefaultParagraphFont"/>
    <w:link w:val="Header"/>
    <w:uiPriority w:val="99"/>
    <w:rsid w:val="00D238AB"/>
    <w:rPr>
      <w:sz w:val="24"/>
      <w:szCs w:val="24"/>
    </w:rPr>
  </w:style>
  <w:style w:type="paragraph" w:styleId="Footer">
    <w:name w:val="footer"/>
    <w:basedOn w:val="Normal"/>
    <w:link w:val="FooterChar"/>
    <w:rsid w:val="00D238AB"/>
    <w:pPr>
      <w:tabs>
        <w:tab w:val="center" w:pos="4680"/>
        <w:tab w:val="right" w:pos="9360"/>
      </w:tabs>
    </w:pPr>
  </w:style>
  <w:style w:type="character" w:customStyle="1" w:styleId="FooterChar">
    <w:name w:val="Footer Char"/>
    <w:basedOn w:val="DefaultParagraphFont"/>
    <w:link w:val="Footer"/>
    <w:rsid w:val="00D238AB"/>
    <w:rPr>
      <w:sz w:val="24"/>
      <w:szCs w:val="24"/>
    </w:rPr>
  </w:style>
  <w:style w:type="character" w:customStyle="1" w:styleId="FootnoteTextChar2">
    <w:name w:val="Footnote Text Char2"/>
    <w:aliases w:val="ft Char1,fn Char1"/>
    <w:basedOn w:val="DefaultParagraphFont"/>
    <w:uiPriority w:val="99"/>
    <w:locked/>
    <w:rsid w:val="00DD0823"/>
    <w:rPr>
      <w:rFonts w:ascii="Times New Roman" w:eastAsia="Calibri" w:hAnsi="Times New Roman" w:cs="Times New Roman"/>
      <w:sz w:val="20"/>
      <w:szCs w:val="20"/>
    </w:rPr>
  </w:style>
  <w:style w:type="character" w:customStyle="1" w:styleId="docheadspacer">
    <w:name w:val="docheadspacer"/>
    <w:basedOn w:val="DefaultParagraphFont"/>
    <w:uiPriority w:val="99"/>
    <w:rsid w:val="00DE2FC0"/>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9</Pages>
  <Words>1549</Words>
  <Characters>8833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SUPPORTING STATEMENT</vt:lpstr>
    </vt:vector>
  </TitlesOfParts>
  <Company>SEC</Company>
  <LinksUpToDate>false</LinksUpToDate>
  <CharactersWithSpaces>10362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abernethyd</dc:creator>
  <cp:keywords/>
  <dc:description/>
  <cp:lastModifiedBy>Jennifer Porter</cp:lastModifiedBy>
  <cp:revision>23</cp:revision>
  <cp:lastPrinted>2007-11-02T15:13:00Z</cp:lastPrinted>
  <dcterms:created xsi:type="dcterms:W3CDTF">2011-06-24T18:44:00Z</dcterms:created>
  <dcterms:modified xsi:type="dcterms:W3CDTF">2011-06-24T19:50:00Z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gFAAXJDLFUo5N7sSbHO0CMXwbCUH5/R7nSPZktqof1mQZNmYZw4pxmjwU/4zVH3UgTnOkSOhGb+2JeSs_x000d_
9y6wNGmFCo+l8p/Ms7HVLSTmhEuVC63FZkr+LCmHALboO+YapkxiXyYE86DMhdis9y6wNGmFCo+l_x000d_
8p/Ms7HVLSTmhEuVC63FZkr+LCmHAKwzqrXI9EpMIq+hOljeGT8fBMjclv3QA7F7fgXOZsjyrlrS_x000d_
A79J+2bTTa6KkdZZd</vt:lpwstr>
  </property>
  <property fmtid="{D5CDD505-2E9C-101B-9397-08002B2CF9AE}" pid="3" name="RESPONSE_SENDER_NAME">
    <vt:lpwstr>sAAAb0xRtPDW5UtPIWGNEIJlsSRZ/T9PV9FeP4lvu0sDYkY=</vt:lpwstr>
  </property>
  <property fmtid="{D5CDD505-2E9C-101B-9397-08002B2CF9AE}" pid="4" name="EMAIL_OWNER_ADDRESS">
    <vt:lpwstr>sAAAE9kkUq3pEoJoBn5D9FpuHQIVVdRv45IKs15hk10/NoM=</vt:lpwstr>
  </property>
  <property fmtid="{D5CDD505-2E9C-101B-9397-08002B2CF9AE}" pid="5" name="MAIL_MSG_ID2">
    <vt:lpwstr>H9p0tSCu+mtEe4XGauBLmO6v/XgQ+Kjh5jQsXk8qC9pf7FNBF0hI1O2VYRk_x000d_
RANL1BuCVu1BrnhlMynIzCe8jP/9CNeR5aihEQ==</vt:lpwstr>
  </property>
</Properties>
</file>