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F6" w:rsidRPr="008A7B57" w:rsidRDefault="007811F6" w:rsidP="007811F6">
      <w:pPr>
        <w:autoSpaceDE w:val="0"/>
        <w:autoSpaceDN w:val="0"/>
        <w:adjustRightInd w:val="0"/>
        <w:spacing w:after="0" w:line="240" w:lineRule="auto"/>
        <w:rPr>
          <w:rFonts w:ascii="Times New Roman" w:hAnsi="Times New Roman" w:cs="Times New Roman"/>
          <w:b/>
          <w:bCs/>
        </w:rPr>
      </w:pPr>
      <w:r w:rsidRPr="008A7B57">
        <w:rPr>
          <w:rFonts w:ascii="Times New Roman" w:hAnsi="Times New Roman" w:cs="Times New Roman"/>
          <w:b/>
          <w:bCs/>
        </w:rPr>
        <w:t>B. Collections of Information Employing</w:t>
      </w:r>
      <w:r w:rsidR="000843EC" w:rsidRPr="008A7B57">
        <w:rPr>
          <w:rFonts w:ascii="Times New Roman" w:hAnsi="Times New Roman" w:cs="Times New Roman"/>
          <w:b/>
          <w:bCs/>
        </w:rPr>
        <w:t xml:space="preserve"> </w:t>
      </w:r>
      <w:r w:rsidRPr="008A7B57">
        <w:rPr>
          <w:rFonts w:ascii="Times New Roman" w:hAnsi="Times New Roman" w:cs="Times New Roman"/>
          <w:b/>
          <w:bCs/>
        </w:rPr>
        <w:t>Statistical Methods</w:t>
      </w:r>
    </w:p>
    <w:p w:rsidR="00010E3F" w:rsidRPr="008A7B57" w:rsidRDefault="00010E3F" w:rsidP="007811F6">
      <w:pPr>
        <w:autoSpaceDE w:val="0"/>
        <w:autoSpaceDN w:val="0"/>
        <w:adjustRightInd w:val="0"/>
        <w:spacing w:after="0" w:line="240" w:lineRule="auto"/>
        <w:rPr>
          <w:rFonts w:ascii="Times New Roman" w:hAnsi="Times New Roman" w:cs="Times New Roman"/>
        </w:rPr>
      </w:pPr>
    </w:p>
    <w:p w:rsidR="007811F6" w:rsidRPr="002E0C7B" w:rsidRDefault="007811F6" w:rsidP="007811F6">
      <w:pPr>
        <w:autoSpaceDE w:val="0"/>
        <w:autoSpaceDN w:val="0"/>
        <w:adjustRightInd w:val="0"/>
        <w:spacing w:after="0" w:line="240" w:lineRule="auto"/>
        <w:rPr>
          <w:rFonts w:ascii="Times New Roman" w:hAnsi="Times New Roman" w:cs="Times New Roman"/>
          <w:b/>
        </w:rPr>
      </w:pPr>
      <w:r w:rsidRPr="002E0C7B">
        <w:rPr>
          <w:rFonts w:ascii="Times New Roman" w:hAnsi="Times New Roman" w:cs="Times New Roman"/>
          <w:b/>
        </w:rPr>
        <w:t>1. Describe (including a numerical estimate) the</w:t>
      </w:r>
      <w:r w:rsidR="00010E3F" w:rsidRPr="002E0C7B">
        <w:rPr>
          <w:rFonts w:ascii="Times New Roman" w:hAnsi="Times New Roman" w:cs="Times New Roman"/>
          <w:b/>
        </w:rPr>
        <w:t xml:space="preserve"> </w:t>
      </w:r>
      <w:r w:rsidRPr="002E0C7B">
        <w:rPr>
          <w:rFonts w:ascii="Times New Roman" w:hAnsi="Times New Roman" w:cs="Times New Roman"/>
          <w:b/>
        </w:rPr>
        <w:t>potential respondent universe and any sampling or</w:t>
      </w:r>
      <w:r w:rsidR="00010E3F" w:rsidRPr="002E0C7B">
        <w:rPr>
          <w:rFonts w:ascii="Times New Roman" w:hAnsi="Times New Roman" w:cs="Times New Roman"/>
          <w:b/>
        </w:rPr>
        <w:t xml:space="preserve"> </w:t>
      </w:r>
      <w:r w:rsidRPr="002E0C7B">
        <w:rPr>
          <w:rFonts w:ascii="Times New Roman" w:hAnsi="Times New Roman" w:cs="Times New Roman"/>
          <w:b/>
        </w:rPr>
        <w:t>other respondent selection methods to be used. Data</w:t>
      </w:r>
      <w:r w:rsidR="00010E3F" w:rsidRPr="002E0C7B">
        <w:rPr>
          <w:rFonts w:ascii="Times New Roman" w:hAnsi="Times New Roman" w:cs="Times New Roman"/>
          <w:b/>
        </w:rPr>
        <w:t xml:space="preserve"> </w:t>
      </w:r>
      <w:r w:rsidRPr="002E0C7B">
        <w:rPr>
          <w:rFonts w:ascii="Times New Roman" w:hAnsi="Times New Roman" w:cs="Times New Roman"/>
          <w:b/>
        </w:rPr>
        <w:t>on the number of entities (e.g., establishments, State</w:t>
      </w:r>
      <w:r w:rsidR="00010E3F" w:rsidRPr="002E0C7B">
        <w:rPr>
          <w:rFonts w:ascii="Times New Roman" w:hAnsi="Times New Roman" w:cs="Times New Roman"/>
          <w:b/>
        </w:rPr>
        <w:t xml:space="preserve"> </w:t>
      </w:r>
      <w:r w:rsidRPr="002E0C7B">
        <w:rPr>
          <w:rFonts w:ascii="Times New Roman" w:hAnsi="Times New Roman" w:cs="Times New Roman"/>
          <w:b/>
        </w:rPr>
        <w:t>and local government units, households, or persons)</w:t>
      </w:r>
      <w:r w:rsidR="00010E3F" w:rsidRPr="002E0C7B">
        <w:rPr>
          <w:rFonts w:ascii="Times New Roman" w:hAnsi="Times New Roman" w:cs="Times New Roman"/>
          <w:b/>
        </w:rPr>
        <w:t xml:space="preserve"> </w:t>
      </w:r>
      <w:r w:rsidRPr="002E0C7B">
        <w:rPr>
          <w:rFonts w:ascii="Times New Roman" w:hAnsi="Times New Roman" w:cs="Times New Roman"/>
          <w:b/>
        </w:rPr>
        <w:t>in the universe covered by the collection and in the</w:t>
      </w:r>
      <w:r w:rsidR="00010E3F" w:rsidRPr="002E0C7B">
        <w:rPr>
          <w:rFonts w:ascii="Times New Roman" w:hAnsi="Times New Roman" w:cs="Times New Roman"/>
          <w:b/>
        </w:rPr>
        <w:t xml:space="preserve"> </w:t>
      </w:r>
      <w:r w:rsidRPr="002E0C7B">
        <w:rPr>
          <w:rFonts w:ascii="Times New Roman" w:hAnsi="Times New Roman" w:cs="Times New Roman"/>
          <w:b/>
        </w:rPr>
        <w:t>corresponding sample are to be provided in tabular</w:t>
      </w:r>
      <w:r w:rsidR="00010E3F" w:rsidRPr="002E0C7B">
        <w:rPr>
          <w:rFonts w:ascii="Times New Roman" w:hAnsi="Times New Roman" w:cs="Times New Roman"/>
          <w:b/>
        </w:rPr>
        <w:t xml:space="preserve"> </w:t>
      </w:r>
      <w:r w:rsidRPr="002E0C7B">
        <w:rPr>
          <w:rFonts w:ascii="Times New Roman" w:hAnsi="Times New Roman" w:cs="Times New Roman"/>
          <w:b/>
        </w:rPr>
        <w:t>form for the universe as a whole and for each of the</w:t>
      </w:r>
      <w:r w:rsidR="00010E3F" w:rsidRPr="002E0C7B">
        <w:rPr>
          <w:rFonts w:ascii="Times New Roman" w:hAnsi="Times New Roman" w:cs="Times New Roman"/>
          <w:b/>
        </w:rPr>
        <w:t xml:space="preserve"> </w:t>
      </w:r>
      <w:r w:rsidRPr="002E0C7B">
        <w:rPr>
          <w:rFonts w:ascii="Times New Roman" w:hAnsi="Times New Roman" w:cs="Times New Roman"/>
          <w:b/>
        </w:rPr>
        <w:t>strata in the proposed sample. Indicate expected</w:t>
      </w:r>
      <w:r w:rsidR="00010E3F" w:rsidRPr="002E0C7B">
        <w:rPr>
          <w:rFonts w:ascii="Times New Roman" w:hAnsi="Times New Roman" w:cs="Times New Roman"/>
          <w:b/>
        </w:rPr>
        <w:t xml:space="preserve"> </w:t>
      </w:r>
      <w:r w:rsidRPr="002E0C7B">
        <w:rPr>
          <w:rFonts w:ascii="Times New Roman" w:hAnsi="Times New Roman" w:cs="Times New Roman"/>
          <w:b/>
        </w:rPr>
        <w:t>response rates for the collection as a whole. If the</w:t>
      </w:r>
      <w:r w:rsidR="00010E3F" w:rsidRPr="002E0C7B">
        <w:rPr>
          <w:rFonts w:ascii="Times New Roman" w:hAnsi="Times New Roman" w:cs="Times New Roman"/>
          <w:b/>
        </w:rPr>
        <w:t xml:space="preserve"> </w:t>
      </w:r>
      <w:r w:rsidRPr="002E0C7B">
        <w:rPr>
          <w:rFonts w:ascii="Times New Roman" w:hAnsi="Times New Roman" w:cs="Times New Roman"/>
          <w:b/>
        </w:rPr>
        <w:t>collection had been conducted previously, include the</w:t>
      </w:r>
      <w:r w:rsidR="00010E3F" w:rsidRPr="002E0C7B">
        <w:rPr>
          <w:rFonts w:ascii="Times New Roman" w:hAnsi="Times New Roman" w:cs="Times New Roman"/>
          <w:b/>
        </w:rPr>
        <w:t xml:space="preserve"> </w:t>
      </w:r>
      <w:r w:rsidRPr="002E0C7B">
        <w:rPr>
          <w:rFonts w:ascii="Times New Roman" w:hAnsi="Times New Roman" w:cs="Times New Roman"/>
          <w:b/>
        </w:rPr>
        <w:t>actual response rate achieved during the last</w:t>
      </w:r>
      <w:r w:rsidR="00010E3F" w:rsidRPr="002E0C7B">
        <w:rPr>
          <w:rFonts w:ascii="Times New Roman" w:hAnsi="Times New Roman" w:cs="Times New Roman"/>
          <w:b/>
        </w:rPr>
        <w:t xml:space="preserve"> </w:t>
      </w:r>
      <w:r w:rsidRPr="002E0C7B">
        <w:rPr>
          <w:rFonts w:ascii="Times New Roman" w:hAnsi="Times New Roman" w:cs="Times New Roman"/>
          <w:b/>
        </w:rPr>
        <w:t>collection.</w:t>
      </w:r>
    </w:p>
    <w:p w:rsidR="00F86162" w:rsidRPr="002E0C7B" w:rsidRDefault="00F86162" w:rsidP="007811F6">
      <w:pPr>
        <w:autoSpaceDE w:val="0"/>
        <w:autoSpaceDN w:val="0"/>
        <w:adjustRightInd w:val="0"/>
        <w:spacing w:after="0" w:line="240" w:lineRule="auto"/>
        <w:rPr>
          <w:rFonts w:ascii="Times New Roman" w:hAnsi="Times New Roman" w:cs="Times New Roman"/>
        </w:rPr>
      </w:pPr>
    </w:p>
    <w:p w:rsidR="0083479D" w:rsidRPr="00AD14C9" w:rsidRDefault="00F97273" w:rsidP="00AD14C9">
      <w:pPr>
        <w:rPr>
          <w:rFonts w:ascii="Times New Roman" w:hAnsi="Times New Roman" w:cs="Times New Roman"/>
        </w:rPr>
      </w:pPr>
      <w:r w:rsidRPr="008A7B57">
        <w:rPr>
          <w:rFonts w:ascii="Times New Roman" w:hAnsi="Times New Roman" w:cs="Times New Roman"/>
        </w:rPr>
        <w:t xml:space="preserve">Opening History is a resource of national scope meant to appeal to </w:t>
      </w:r>
      <w:r w:rsidR="00325A0E">
        <w:rPr>
          <w:rFonts w:ascii="Times New Roman" w:hAnsi="Times New Roman" w:cs="Times New Roman"/>
        </w:rPr>
        <w:t>people</w:t>
      </w:r>
      <w:r w:rsidR="00F81B94">
        <w:rPr>
          <w:rFonts w:ascii="Times New Roman" w:hAnsi="Times New Roman" w:cs="Times New Roman"/>
        </w:rPr>
        <w:t xml:space="preserve"> interested </w:t>
      </w:r>
      <w:r w:rsidR="00325A0E">
        <w:rPr>
          <w:rFonts w:ascii="Times New Roman" w:hAnsi="Times New Roman" w:cs="Times New Roman"/>
        </w:rPr>
        <w:t xml:space="preserve">in using the kinds of </w:t>
      </w:r>
      <w:r w:rsidRPr="008A7B57">
        <w:rPr>
          <w:rFonts w:ascii="Times New Roman" w:hAnsi="Times New Roman" w:cs="Times New Roman"/>
        </w:rPr>
        <w:t xml:space="preserve">historical </w:t>
      </w:r>
      <w:r w:rsidR="00F81B94">
        <w:rPr>
          <w:rFonts w:ascii="Times New Roman" w:hAnsi="Times New Roman" w:cs="Times New Roman"/>
        </w:rPr>
        <w:t>materials</w:t>
      </w:r>
      <w:r w:rsidR="00F81B94" w:rsidRPr="008A7B57">
        <w:rPr>
          <w:rFonts w:ascii="Times New Roman" w:hAnsi="Times New Roman" w:cs="Times New Roman"/>
        </w:rPr>
        <w:t xml:space="preserve"> </w:t>
      </w:r>
      <w:r w:rsidR="00325A0E">
        <w:rPr>
          <w:rFonts w:ascii="Times New Roman" w:hAnsi="Times New Roman" w:cs="Times New Roman"/>
        </w:rPr>
        <w:t>held in libraries. W</w:t>
      </w:r>
      <w:r w:rsidRPr="008A7B57">
        <w:rPr>
          <w:rFonts w:ascii="Times New Roman" w:hAnsi="Times New Roman" w:cs="Times New Roman"/>
        </w:rPr>
        <w:t xml:space="preserve">e intend to survey </w:t>
      </w:r>
      <w:r w:rsidR="00BC52BC" w:rsidRPr="00BC52BC">
        <w:rPr>
          <w:rFonts w:ascii="Times New Roman" w:hAnsi="Times New Roman" w:cs="Times New Roman"/>
        </w:rPr>
        <w:t>1226</w:t>
      </w:r>
      <w:r w:rsidR="00BC52BC" w:rsidRPr="008A7B57">
        <w:rPr>
          <w:rFonts w:ascii="Times New Roman" w:hAnsi="Times New Roman" w:cs="Times New Roman"/>
        </w:rPr>
        <w:t xml:space="preserve"> </w:t>
      </w:r>
      <w:r w:rsidR="00325A0E">
        <w:rPr>
          <w:rFonts w:ascii="Times New Roman" w:hAnsi="Times New Roman" w:cs="Times New Roman"/>
        </w:rPr>
        <w:t xml:space="preserve">reference </w:t>
      </w:r>
      <w:r w:rsidRPr="008A7B57">
        <w:rPr>
          <w:rFonts w:ascii="Times New Roman" w:hAnsi="Times New Roman" w:cs="Times New Roman"/>
        </w:rPr>
        <w:t xml:space="preserve">service providers at </w:t>
      </w:r>
      <w:r w:rsidR="00785DF3">
        <w:rPr>
          <w:rFonts w:ascii="Times New Roman" w:hAnsi="Times New Roman" w:cs="Times New Roman"/>
        </w:rPr>
        <w:t>academic and public libraries</w:t>
      </w:r>
      <w:r w:rsidRPr="008A7B57">
        <w:rPr>
          <w:rFonts w:ascii="Times New Roman" w:hAnsi="Times New Roman" w:cs="Times New Roman"/>
        </w:rPr>
        <w:t xml:space="preserve"> of varying sizes from throughout the U.S. </w:t>
      </w:r>
      <w:r w:rsidR="00E479A1">
        <w:rPr>
          <w:rFonts w:ascii="Times New Roman" w:hAnsi="Times New Roman" w:cs="Times New Roman"/>
        </w:rPr>
        <w:t xml:space="preserve"> </w:t>
      </w:r>
      <w:r w:rsidR="00785DF3">
        <w:rPr>
          <w:rFonts w:ascii="Times New Roman" w:hAnsi="Times New Roman" w:cs="Times New Roman"/>
        </w:rPr>
        <w:t xml:space="preserve">Library reference </w:t>
      </w:r>
      <w:r w:rsidR="00922274">
        <w:rPr>
          <w:rFonts w:ascii="Times New Roman" w:hAnsi="Times New Roman" w:cs="Times New Roman"/>
        </w:rPr>
        <w:t>service providers</w:t>
      </w:r>
      <w:r w:rsidR="00785DF3">
        <w:rPr>
          <w:rFonts w:ascii="Times New Roman" w:hAnsi="Times New Roman" w:cs="Times New Roman"/>
        </w:rPr>
        <w:t xml:space="preserve"> </w:t>
      </w:r>
      <w:r w:rsidR="00F81B94">
        <w:rPr>
          <w:rFonts w:ascii="Times New Roman" w:hAnsi="Times New Roman" w:cs="Times New Roman"/>
        </w:rPr>
        <w:t>are required to have extensive understanding of their user communities, since they must build collections that meet the</w:t>
      </w:r>
      <w:r w:rsidR="00325A0E">
        <w:rPr>
          <w:rFonts w:ascii="Times New Roman" w:hAnsi="Times New Roman" w:cs="Times New Roman"/>
        </w:rPr>
        <w:t>ir</w:t>
      </w:r>
      <w:r w:rsidR="00F81B94">
        <w:rPr>
          <w:rFonts w:ascii="Times New Roman" w:hAnsi="Times New Roman" w:cs="Times New Roman"/>
        </w:rPr>
        <w:t xml:space="preserve"> information </w:t>
      </w:r>
      <w:r w:rsidR="00325A0E">
        <w:rPr>
          <w:rFonts w:ascii="Times New Roman" w:hAnsi="Times New Roman" w:cs="Times New Roman"/>
        </w:rPr>
        <w:t>needs. They also</w:t>
      </w:r>
      <w:r w:rsidR="00F81B94">
        <w:rPr>
          <w:rFonts w:ascii="Times New Roman" w:hAnsi="Times New Roman" w:cs="Times New Roman"/>
        </w:rPr>
        <w:t xml:space="preserve"> provide </w:t>
      </w:r>
      <w:r w:rsidR="00325A0E">
        <w:rPr>
          <w:rFonts w:ascii="Times New Roman" w:hAnsi="Times New Roman" w:cs="Times New Roman"/>
        </w:rPr>
        <w:t xml:space="preserve">direct </w:t>
      </w:r>
      <w:r w:rsidR="00F81B94">
        <w:rPr>
          <w:rFonts w:ascii="Times New Roman" w:hAnsi="Times New Roman" w:cs="Times New Roman"/>
        </w:rPr>
        <w:t xml:space="preserve">assistance </w:t>
      </w:r>
      <w:r w:rsidR="00325A0E">
        <w:rPr>
          <w:rFonts w:ascii="Times New Roman" w:hAnsi="Times New Roman" w:cs="Times New Roman"/>
        </w:rPr>
        <w:t>to these user groups to assist them in</w:t>
      </w:r>
      <w:r w:rsidR="00F81B94">
        <w:rPr>
          <w:rFonts w:ascii="Times New Roman" w:hAnsi="Times New Roman" w:cs="Times New Roman"/>
        </w:rPr>
        <w:t xml:space="preserve"> finding and using information resources that meet these needs. They are the key intermediary between the public and the </w:t>
      </w:r>
      <w:r w:rsidR="00922274">
        <w:rPr>
          <w:rFonts w:ascii="Times New Roman" w:hAnsi="Times New Roman" w:cs="Times New Roman"/>
        </w:rPr>
        <w:t>Opening History</w:t>
      </w:r>
      <w:r w:rsidR="00F81B94">
        <w:rPr>
          <w:rFonts w:ascii="Times New Roman" w:hAnsi="Times New Roman" w:cs="Times New Roman"/>
        </w:rPr>
        <w:t xml:space="preserve"> resource</w:t>
      </w:r>
      <w:r w:rsidR="00922274">
        <w:rPr>
          <w:rFonts w:ascii="Times New Roman" w:hAnsi="Times New Roman" w:cs="Times New Roman"/>
        </w:rPr>
        <w:t xml:space="preserve">, and can speak with </w:t>
      </w:r>
      <w:r w:rsidR="00F81B94">
        <w:rPr>
          <w:rFonts w:ascii="Times New Roman" w:hAnsi="Times New Roman" w:cs="Times New Roman"/>
        </w:rPr>
        <w:t xml:space="preserve">authority on its </w:t>
      </w:r>
      <w:r w:rsidR="00922274">
        <w:rPr>
          <w:rFonts w:ascii="Times New Roman" w:hAnsi="Times New Roman" w:cs="Times New Roman"/>
        </w:rPr>
        <w:t>value</w:t>
      </w:r>
      <w:r w:rsidR="00F81B94">
        <w:rPr>
          <w:rFonts w:ascii="Times New Roman" w:hAnsi="Times New Roman" w:cs="Times New Roman"/>
        </w:rPr>
        <w:t xml:space="preserve"> to their constituencies and to them as providers of information services</w:t>
      </w:r>
      <w:r w:rsidR="00325A0E">
        <w:rPr>
          <w:rFonts w:ascii="Times New Roman" w:hAnsi="Times New Roman" w:cs="Times New Roman"/>
        </w:rPr>
        <w:t xml:space="preserve"> to these groups</w:t>
      </w:r>
      <w:r w:rsidR="00922274">
        <w:rPr>
          <w:rFonts w:ascii="Times New Roman" w:hAnsi="Times New Roman" w:cs="Times New Roman"/>
        </w:rPr>
        <w:t>.</w:t>
      </w:r>
      <w:r w:rsidR="00785DF3">
        <w:rPr>
          <w:rFonts w:ascii="Times New Roman" w:hAnsi="Times New Roman" w:cs="Times New Roman"/>
        </w:rPr>
        <w:t xml:space="preserve"> </w:t>
      </w:r>
      <w:r w:rsidRPr="008A7B57">
        <w:rPr>
          <w:rFonts w:ascii="Times New Roman" w:hAnsi="Times New Roman" w:cs="Times New Roman"/>
        </w:rPr>
        <w:t xml:space="preserve">The survey population will be built from </w:t>
      </w:r>
      <w:r w:rsidR="00862DF6">
        <w:rPr>
          <w:rFonts w:ascii="Times New Roman" w:hAnsi="Times New Roman" w:cs="Times New Roman"/>
        </w:rPr>
        <w:t>two</w:t>
      </w:r>
      <w:r w:rsidR="00862DF6" w:rsidRPr="008A7B57">
        <w:rPr>
          <w:rFonts w:ascii="Times New Roman" w:hAnsi="Times New Roman" w:cs="Times New Roman"/>
        </w:rPr>
        <w:t xml:space="preserve"> </w:t>
      </w:r>
      <w:r w:rsidRPr="008A7B57">
        <w:rPr>
          <w:rFonts w:ascii="Times New Roman" w:hAnsi="Times New Roman" w:cs="Times New Roman"/>
        </w:rPr>
        <w:t>sources: (</w:t>
      </w:r>
      <w:r w:rsidR="00862DF6">
        <w:rPr>
          <w:rFonts w:ascii="Times New Roman" w:hAnsi="Times New Roman" w:cs="Times New Roman"/>
        </w:rPr>
        <w:t>1</w:t>
      </w:r>
      <w:r w:rsidRPr="008A7B57">
        <w:rPr>
          <w:rFonts w:ascii="Times New Roman" w:hAnsi="Times New Roman" w:cs="Times New Roman"/>
        </w:rPr>
        <w:t xml:space="preserve">) a listing, based on </w:t>
      </w:r>
      <w:r w:rsidR="006163DD">
        <w:rPr>
          <w:rFonts w:ascii="Times New Roman" w:hAnsi="Times New Roman" w:cs="Times New Roman"/>
        </w:rPr>
        <w:t>the IMLS mailing list of public libraries</w:t>
      </w:r>
      <w:r w:rsidR="004B4CCA">
        <w:rPr>
          <w:rFonts w:ascii="Times New Roman" w:hAnsi="Times New Roman" w:cs="Times New Roman"/>
        </w:rPr>
        <w:t xml:space="preserve">, used for the Public Library Survey, </w:t>
      </w:r>
      <w:r w:rsidR="006163DD">
        <w:rPr>
          <w:rFonts w:ascii="Times New Roman" w:hAnsi="Times New Roman" w:cs="Times New Roman"/>
        </w:rPr>
        <w:t>merged with the C</w:t>
      </w:r>
      <w:r w:rsidR="004B4CCA">
        <w:rPr>
          <w:rFonts w:ascii="Times New Roman" w:hAnsi="Times New Roman" w:cs="Times New Roman"/>
        </w:rPr>
        <w:t xml:space="preserve">enter for </w:t>
      </w:r>
      <w:r w:rsidR="006163DD">
        <w:rPr>
          <w:rFonts w:ascii="Times New Roman" w:hAnsi="Times New Roman" w:cs="Times New Roman"/>
        </w:rPr>
        <w:t>I</w:t>
      </w:r>
      <w:r w:rsidR="004B4CCA">
        <w:rPr>
          <w:rFonts w:ascii="Times New Roman" w:hAnsi="Times New Roman" w:cs="Times New Roman"/>
        </w:rPr>
        <w:t xml:space="preserve">nformatics </w:t>
      </w:r>
      <w:r w:rsidR="006163DD">
        <w:rPr>
          <w:rFonts w:ascii="Times New Roman" w:hAnsi="Times New Roman" w:cs="Times New Roman"/>
        </w:rPr>
        <w:t>R</w:t>
      </w:r>
      <w:r w:rsidR="004B4CCA">
        <w:rPr>
          <w:rFonts w:ascii="Times New Roman" w:hAnsi="Times New Roman" w:cs="Times New Roman"/>
        </w:rPr>
        <w:t xml:space="preserve">esearch in </w:t>
      </w:r>
      <w:r w:rsidR="006163DD">
        <w:rPr>
          <w:rFonts w:ascii="Times New Roman" w:hAnsi="Times New Roman" w:cs="Times New Roman"/>
        </w:rPr>
        <w:t>S</w:t>
      </w:r>
      <w:r w:rsidR="004B4CCA">
        <w:rPr>
          <w:rFonts w:ascii="Times New Roman" w:hAnsi="Times New Roman" w:cs="Times New Roman"/>
        </w:rPr>
        <w:t xml:space="preserve">cience and </w:t>
      </w:r>
      <w:r w:rsidR="006163DD">
        <w:rPr>
          <w:rFonts w:ascii="Times New Roman" w:hAnsi="Times New Roman" w:cs="Times New Roman"/>
        </w:rPr>
        <w:t>S</w:t>
      </w:r>
      <w:r w:rsidR="004B4CCA">
        <w:rPr>
          <w:rFonts w:ascii="Times New Roman" w:hAnsi="Times New Roman" w:cs="Times New Roman"/>
        </w:rPr>
        <w:t>cholarship</w:t>
      </w:r>
      <w:r w:rsidR="006163DD">
        <w:rPr>
          <w:rFonts w:ascii="Times New Roman" w:hAnsi="Times New Roman" w:cs="Times New Roman"/>
        </w:rPr>
        <w:t xml:space="preserve"> mailing list of public libraries (</w:t>
      </w:r>
      <w:r w:rsidR="004B4CCA">
        <w:rPr>
          <w:rFonts w:ascii="Times New Roman" w:hAnsi="Times New Roman" w:cs="Times New Roman"/>
        </w:rPr>
        <w:t>a more</w:t>
      </w:r>
      <w:r w:rsidR="006163DD">
        <w:rPr>
          <w:rFonts w:ascii="Times New Roman" w:hAnsi="Times New Roman" w:cs="Times New Roman"/>
        </w:rPr>
        <w:t xml:space="preserve"> </w:t>
      </w:r>
      <w:r w:rsidR="00720A6E">
        <w:rPr>
          <w:rFonts w:ascii="Times New Roman" w:hAnsi="Times New Roman" w:cs="Times New Roman"/>
        </w:rPr>
        <w:t xml:space="preserve">accurate </w:t>
      </w:r>
      <w:r w:rsidR="006163DD">
        <w:rPr>
          <w:rFonts w:ascii="Times New Roman" w:hAnsi="Times New Roman" w:cs="Times New Roman"/>
        </w:rPr>
        <w:t xml:space="preserve">listing of public libraries in the </w:t>
      </w:r>
      <w:r w:rsidR="004B4CCA">
        <w:rPr>
          <w:rFonts w:ascii="Times New Roman" w:hAnsi="Times New Roman" w:cs="Times New Roman"/>
        </w:rPr>
        <w:t>U.S. than either list alone</w:t>
      </w:r>
      <w:r w:rsidR="00741F81">
        <w:rPr>
          <w:rFonts w:ascii="Times New Roman" w:hAnsi="Times New Roman" w:cs="Times New Roman"/>
        </w:rPr>
        <w:t>)</w:t>
      </w:r>
      <w:r w:rsidR="00CF2064">
        <w:rPr>
          <w:rFonts w:ascii="Times New Roman" w:hAnsi="Times New Roman" w:cs="Times New Roman"/>
        </w:rPr>
        <w:t>; and</w:t>
      </w:r>
      <w:r w:rsidR="003606C9">
        <w:rPr>
          <w:rFonts w:ascii="Times New Roman" w:hAnsi="Times New Roman" w:cs="Times New Roman"/>
        </w:rPr>
        <w:t xml:space="preserve"> (</w:t>
      </w:r>
      <w:r w:rsidR="00862DF6">
        <w:rPr>
          <w:rFonts w:ascii="Times New Roman" w:hAnsi="Times New Roman" w:cs="Times New Roman"/>
        </w:rPr>
        <w:t>2</w:t>
      </w:r>
      <w:r w:rsidR="003606C9">
        <w:rPr>
          <w:rFonts w:ascii="Times New Roman" w:hAnsi="Times New Roman" w:cs="Times New Roman"/>
        </w:rPr>
        <w:t xml:space="preserve">) </w:t>
      </w:r>
      <w:r w:rsidR="00E11ACA">
        <w:rPr>
          <w:rFonts w:ascii="Times New Roman" w:hAnsi="Times New Roman" w:cs="Times New Roman"/>
        </w:rPr>
        <w:t xml:space="preserve">an </w:t>
      </w:r>
      <w:r w:rsidR="003606C9">
        <w:rPr>
          <w:rFonts w:ascii="Times New Roman" w:hAnsi="Times New Roman" w:cs="Times New Roman"/>
        </w:rPr>
        <w:t xml:space="preserve">NCES </w:t>
      </w:r>
      <w:r w:rsidR="00E11ACA">
        <w:rPr>
          <w:rFonts w:ascii="Times New Roman" w:hAnsi="Times New Roman" w:cs="Times New Roman"/>
        </w:rPr>
        <w:t>listing of</w:t>
      </w:r>
      <w:r w:rsidR="003606C9">
        <w:rPr>
          <w:rFonts w:ascii="Times New Roman" w:hAnsi="Times New Roman" w:cs="Times New Roman"/>
        </w:rPr>
        <w:t xml:space="preserve"> academic libraries</w:t>
      </w:r>
      <w:r w:rsidR="005B0AD2">
        <w:rPr>
          <w:rFonts w:ascii="Times New Roman" w:hAnsi="Times New Roman" w:cs="Times New Roman"/>
        </w:rPr>
        <w:t xml:space="preserve"> from the most recent survey year</w:t>
      </w:r>
      <w:r w:rsidR="00720A6E">
        <w:rPr>
          <w:rFonts w:ascii="Times New Roman" w:hAnsi="Times New Roman" w:cs="Times New Roman"/>
        </w:rPr>
        <w:t>, 2008</w:t>
      </w:r>
      <w:r w:rsidR="003606C9">
        <w:rPr>
          <w:rFonts w:ascii="Times New Roman" w:hAnsi="Times New Roman" w:cs="Times New Roman"/>
        </w:rPr>
        <w:t>.</w:t>
      </w:r>
      <w:r w:rsidR="006163DD">
        <w:rPr>
          <w:rFonts w:ascii="Times New Roman" w:hAnsi="Times New Roman" w:cs="Times New Roman"/>
        </w:rPr>
        <w:t xml:space="preserve"> </w:t>
      </w:r>
      <w:r w:rsidR="007A4892">
        <w:rPr>
          <w:rFonts w:ascii="Times New Roman" w:hAnsi="Times New Roman" w:cs="Times New Roman"/>
        </w:rPr>
        <w:t xml:space="preserve">This data collection </w:t>
      </w:r>
      <w:r w:rsidR="007A4892" w:rsidRPr="00121545">
        <w:rPr>
          <w:rFonts w:ascii="Times New Roman" w:hAnsi="Times New Roman" w:cs="Times New Roman"/>
        </w:rPr>
        <w:t xml:space="preserve">purposefully excludes </w:t>
      </w:r>
      <w:r w:rsidR="007A4892">
        <w:rPr>
          <w:rFonts w:ascii="Times New Roman" w:hAnsi="Times New Roman" w:cs="Times New Roman"/>
        </w:rPr>
        <w:t xml:space="preserve">institutions from the sample that have </w:t>
      </w:r>
      <w:r w:rsidR="007A4892" w:rsidRPr="00121545">
        <w:rPr>
          <w:rFonts w:ascii="Times New Roman" w:hAnsi="Times New Roman" w:cs="Times New Roman"/>
        </w:rPr>
        <w:t>contribut</w:t>
      </w:r>
      <w:r w:rsidR="007A4892">
        <w:rPr>
          <w:rFonts w:ascii="Times New Roman" w:hAnsi="Times New Roman" w:cs="Times New Roman"/>
        </w:rPr>
        <w:t>ed content</w:t>
      </w:r>
      <w:r w:rsidR="007A4892" w:rsidRPr="00121545">
        <w:rPr>
          <w:rFonts w:ascii="Times New Roman" w:hAnsi="Times New Roman" w:cs="Times New Roman"/>
        </w:rPr>
        <w:t xml:space="preserve"> to </w:t>
      </w:r>
      <w:r w:rsidR="007A4892">
        <w:rPr>
          <w:rFonts w:ascii="Times New Roman" w:hAnsi="Times New Roman" w:cs="Times New Roman"/>
        </w:rPr>
        <w:t>the</w:t>
      </w:r>
      <w:r w:rsidR="007A4892" w:rsidRPr="00121545">
        <w:rPr>
          <w:rFonts w:ascii="Times New Roman" w:hAnsi="Times New Roman" w:cs="Times New Roman"/>
        </w:rPr>
        <w:t xml:space="preserve"> aggrega</w:t>
      </w:r>
      <w:r w:rsidR="007A4892">
        <w:rPr>
          <w:rFonts w:ascii="Times New Roman" w:hAnsi="Times New Roman" w:cs="Times New Roman"/>
        </w:rPr>
        <w:t xml:space="preserve">tion. </w:t>
      </w:r>
      <w:r w:rsidR="005B0AD2">
        <w:rPr>
          <w:rFonts w:ascii="Times New Roman" w:hAnsi="Times New Roman" w:cs="Times New Roman"/>
        </w:rPr>
        <w:t xml:space="preserve">We will randomly sample within each of these two frames of reference. Within each frame of reference, size (given as population served </w:t>
      </w:r>
      <w:r w:rsidR="00F81B94">
        <w:rPr>
          <w:rFonts w:ascii="Times New Roman" w:hAnsi="Times New Roman" w:cs="Times New Roman"/>
        </w:rPr>
        <w:t xml:space="preserve">for public libraries and </w:t>
      </w:r>
      <w:r w:rsidR="005B0AD2">
        <w:rPr>
          <w:rFonts w:ascii="Times New Roman" w:hAnsi="Times New Roman" w:cs="Times New Roman"/>
        </w:rPr>
        <w:t>full-time enrollment</w:t>
      </w:r>
      <w:r w:rsidR="00F81B94">
        <w:rPr>
          <w:rFonts w:ascii="Times New Roman" w:hAnsi="Times New Roman" w:cs="Times New Roman"/>
        </w:rPr>
        <w:t xml:space="preserve"> for academic libraries</w:t>
      </w:r>
      <w:r w:rsidR="005B0AD2">
        <w:rPr>
          <w:rFonts w:ascii="Times New Roman" w:hAnsi="Times New Roman" w:cs="Times New Roman"/>
        </w:rPr>
        <w:t xml:space="preserve">, </w:t>
      </w:r>
      <w:r w:rsidR="00F81B94">
        <w:rPr>
          <w:rFonts w:ascii="Times New Roman" w:hAnsi="Times New Roman" w:cs="Times New Roman"/>
        </w:rPr>
        <w:t>standard size categorizations for these two kinds of library institutions</w:t>
      </w:r>
      <w:r w:rsidR="005B0AD2">
        <w:rPr>
          <w:rFonts w:ascii="Times New Roman" w:hAnsi="Times New Roman" w:cs="Times New Roman"/>
        </w:rPr>
        <w:t xml:space="preserve">) will represent a data point. One individual responsible for reference services will be targeted at each institution to represent that institution. Given that the survey comprises 5-point </w:t>
      </w:r>
      <w:proofErr w:type="spellStart"/>
      <w:r w:rsidR="005B0AD2">
        <w:rPr>
          <w:rFonts w:ascii="Times New Roman" w:hAnsi="Times New Roman" w:cs="Times New Roman"/>
        </w:rPr>
        <w:t>Likert</w:t>
      </w:r>
      <w:proofErr w:type="spellEnd"/>
      <w:r w:rsidR="005B0AD2">
        <w:rPr>
          <w:rFonts w:ascii="Times New Roman" w:hAnsi="Times New Roman" w:cs="Times New Roman"/>
        </w:rPr>
        <w:t xml:space="preserve"> scale (categorical) and open-ended questions, we are willing to accept a margin of error of 10% as sufficient to distinguish the overall degree of agreement among respondents. </w:t>
      </w:r>
      <w:r w:rsidR="000237A3">
        <w:rPr>
          <w:rFonts w:ascii="Times New Roman" w:hAnsi="Times New Roman" w:cs="Times New Roman"/>
        </w:rPr>
        <w:t xml:space="preserve">A </w:t>
      </w:r>
      <w:r w:rsidR="005B0AD2">
        <w:rPr>
          <w:rFonts w:ascii="Times New Roman" w:hAnsi="Times New Roman" w:cs="Times New Roman"/>
        </w:rPr>
        <w:t xml:space="preserve">power analysis to calculate </w:t>
      </w:r>
      <w:r w:rsidR="009D48CA">
        <w:rPr>
          <w:rFonts w:ascii="Times New Roman" w:hAnsi="Times New Roman" w:cs="Times New Roman"/>
        </w:rPr>
        <w:t xml:space="preserve">minimum </w:t>
      </w:r>
      <w:r w:rsidR="005B0AD2">
        <w:rPr>
          <w:rFonts w:ascii="Times New Roman" w:hAnsi="Times New Roman" w:cs="Times New Roman"/>
        </w:rPr>
        <w:t xml:space="preserve">sample size </w:t>
      </w:r>
      <w:r w:rsidR="000237A3">
        <w:rPr>
          <w:rFonts w:ascii="Times New Roman" w:hAnsi="Times New Roman" w:cs="Times New Roman"/>
        </w:rPr>
        <w:t xml:space="preserve">is provided </w:t>
      </w:r>
      <w:r w:rsidR="005B0AD2">
        <w:rPr>
          <w:rFonts w:ascii="Times New Roman" w:hAnsi="Times New Roman" w:cs="Times New Roman"/>
        </w:rPr>
        <w:t xml:space="preserve">below (using margin of error 10%; confidence 95%; power .95). </w:t>
      </w:r>
    </w:p>
    <w:p w:rsidR="00AD14C9" w:rsidRDefault="00ED7210" w:rsidP="007811F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Further information provided on the sample design.</w:t>
      </w:r>
      <w:r w:rsidR="00AD14C9">
        <w:rPr>
          <w:rFonts w:ascii="Times New Roman" w:hAnsi="Times New Roman" w:cs="Times New Roman"/>
          <w:b/>
        </w:rPr>
        <w:t xml:space="preserve"> </w:t>
      </w:r>
    </w:p>
    <w:p w:rsidR="00072481" w:rsidRDefault="00072481" w:rsidP="00AD14C9">
      <w:pPr>
        <w:autoSpaceDE w:val="0"/>
        <w:autoSpaceDN w:val="0"/>
        <w:adjustRightInd w:val="0"/>
        <w:spacing w:after="0" w:line="240" w:lineRule="auto"/>
        <w:rPr>
          <w:rFonts w:ascii="Times New Roman" w:hAnsi="Times New Roman" w:cs="Times New Roman"/>
        </w:rPr>
      </w:pPr>
      <w:r w:rsidRPr="001E0E72">
        <w:rPr>
          <w:rFonts w:ascii="Times New Roman" w:hAnsi="Times New Roman" w:cs="Times New Roman"/>
        </w:rPr>
        <w:t xml:space="preserve">The information requested in this comment was included in the original submission. The table, below, has been re-labeled to make this clearer. </w:t>
      </w:r>
      <w:r>
        <w:rPr>
          <w:rFonts w:ascii="Times New Roman" w:hAnsi="Times New Roman" w:cs="Times New Roman"/>
        </w:rPr>
        <w:t>However, w</w:t>
      </w:r>
      <w:r w:rsidRPr="001E0E72">
        <w:rPr>
          <w:rFonts w:ascii="Times New Roman" w:hAnsi="Times New Roman" w:cs="Times New Roman"/>
        </w:rPr>
        <w:t>e have revised our sample sizes and expected response according to the results of a revised power analysis using different software, as explained in the response to the next OMB comment (4). Therefore, numbers in the table below have changed since the original submission (they have been reduced).</w:t>
      </w:r>
    </w:p>
    <w:p w:rsidR="00CE0970" w:rsidRPr="001E0E72" w:rsidRDefault="00CE0970" w:rsidP="00AD14C9">
      <w:pPr>
        <w:autoSpaceDE w:val="0"/>
        <w:autoSpaceDN w:val="0"/>
        <w:adjustRightInd w:val="0"/>
        <w:spacing w:after="0" w:line="240" w:lineRule="auto"/>
        <w:rPr>
          <w:rFonts w:ascii="Times New Roman" w:hAnsi="Times New Roman" w:cs="Times New Roman"/>
          <w:b/>
          <w:sz w:val="20"/>
          <w:szCs w:val="20"/>
        </w:rPr>
      </w:pPr>
    </w:p>
    <w:p w:rsidR="00AD14C9" w:rsidRDefault="00072481" w:rsidP="00072481">
      <w:pPr>
        <w:rPr>
          <w:rFonts w:ascii="Times New Roman" w:hAnsi="Times New Roman" w:cs="Times New Roman"/>
        </w:rPr>
      </w:pPr>
      <w:r w:rsidRPr="001E0E72">
        <w:rPr>
          <w:rFonts w:ascii="Times New Roman" w:hAnsi="Times New Roman" w:cs="Times New Roman"/>
        </w:rPr>
        <w:t xml:space="preserve">As stated in the submission to OMB, within each frame of reference (academic and public), size (given as population served for public libraries and full-time enrollment for academic libraries, standard size categorizations for these two kinds of library institutions) will represent a data point. We are not stratifying by size, but rather using two frames of reference. </w:t>
      </w:r>
    </w:p>
    <w:tbl>
      <w:tblPr>
        <w:tblStyle w:val="TableGrid"/>
        <w:tblW w:w="0" w:type="auto"/>
        <w:tblLook w:val="04A0" w:firstRow="1" w:lastRow="0" w:firstColumn="1" w:lastColumn="0" w:noHBand="0" w:noVBand="1"/>
      </w:tblPr>
      <w:tblGrid>
        <w:gridCol w:w="2628"/>
        <w:gridCol w:w="1890"/>
        <w:gridCol w:w="2160"/>
        <w:gridCol w:w="2898"/>
      </w:tblGrid>
      <w:tr w:rsidR="00072481" w:rsidRPr="001E0E72" w:rsidTr="00AD14C9">
        <w:tc>
          <w:tcPr>
            <w:tcW w:w="2628" w:type="dxa"/>
            <w:shd w:val="clear" w:color="auto" w:fill="D9D9D9" w:themeFill="background1" w:themeFillShade="D9"/>
          </w:tcPr>
          <w:p w:rsidR="00072481" w:rsidRPr="001E0E72" w:rsidRDefault="00072481" w:rsidP="00AD14C9">
            <w:pPr>
              <w:autoSpaceDE w:val="0"/>
              <w:autoSpaceDN w:val="0"/>
              <w:adjustRightInd w:val="0"/>
              <w:rPr>
                <w:rFonts w:ascii="Times New Roman" w:hAnsi="Times New Roman" w:cs="Times New Roman"/>
                <w:b/>
              </w:rPr>
            </w:pPr>
          </w:p>
        </w:tc>
        <w:tc>
          <w:tcPr>
            <w:tcW w:w="1890" w:type="dxa"/>
            <w:shd w:val="clear" w:color="auto" w:fill="D9D9D9" w:themeFill="background1" w:themeFillShade="D9"/>
          </w:tcPr>
          <w:p w:rsidR="00072481" w:rsidRPr="001E0E72" w:rsidRDefault="00072481" w:rsidP="00AD14C9">
            <w:pPr>
              <w:autoSpaceDE w:val="0"/>
              <w:autoSpaceDN w:val="0"/>
              <w:adjustRightInd w:val="0"/>
              <w:rPr>
                <w:rFonts w:ascii="Times New Roman" w:hAnsi="Times New Roman" w:cs="Times New Roman"/>
                <w:b/>
              </w:rPr>
            </w:pPr>
            <w:r w:rsidRPr="001E0E72">
              <w:rPr>
                <w:rFonts w:ascii="Times New Roman" w:hAnsi="Times New Roman" w:cs="Times New Roman"/>
                <w:b/>
              </w:rPr>
              <w:t>Universe</w:t>
            </w:r>
          </w:p>
        </w:tc>
        <w:tc>
          <w:tcPr>
            <w:tcW w:w="2160" w:type="dxa"/>
            <w:shd w:val="clear" w:color="auto" w:fill="D9D9D9" w:themeFill="background1" w:themeFillShade="D9"/>
          </w:tcPr>
          <w:p w:rsidR="00072481" w:rsidRPr="001E0E72" w:rsidRDefault="00072481" w:rsidP="00AD14C9">
            <w:pPr>
              <w:autoSpaceDE w:val="0"/>
              <w:autoSpaceDN w:val="0"/>
              <w:adjustRightInd w:val="0"/>
              <w:rPr>
                <w:rFonts w:ascii="Times New Roman" w:hAnsi="Times New Roman" w:cs="Times New Roman"/>
                <w:b/>
              </w:rPr>
            </w:pPr>
            <w:r w:rsidRPr="001E0E72">
              <w:rPr>
                <w:rFonts w:ascii="Times New Roman" w:hAnsi="Times New Roman" w:cs="Times New Roman"/>
                <w:b/>
              </w:rPr>
              <w:t>Sample Size</w:t>
            </w:r>
          </w:p>
        </w:tc>
        <w:tc>
          <w:tcPr>
            <w:tcW w:w="2898" w:type="dxa"/>
            <w:shd w:val="clear" w:color="auto" w:fill="D9D9D9" w:themeFill="background1" w:themeFillShade="D9"/>
          </w:tcPr>
          <w:p w:rsidR="00072481" w:rsidRPr="001E0E72" w:rsidRDefault="00072481" w:rsidP="00AD14C9">
            <w:pPr>
              <w:autoSpaceDE w:val="0"/>
              <w:autoSpaceDN w:val="0"/>
              <w:adjustRightInd w:val="0"/>
              <w:rPr>
                <w:rFonts w:ascii="Times New Roman" w:hAnsi="Times New Roman" w:cs="Times New Roman"/>
                <w:b/>
              </w:rPr>
            </w:pPr>
          </w:p>
        </w:tc>
      </w:tr>
      <w:tr w:rsidR="00072481" w:rsidRPr="001E0E72" w:rsidTr="00AD14C9">
        <w:tc>
          <w:tcPr>
            <w:tcW w:w="2628" w:type="dxa"/>
            <w:shd w:val="clear" w:color="auto" w:fill="D9D9D9" w:themeFill="background1" w:themeFillShade="D9"/>
          </w:tcPr>
          <w:p w:rsidR="00072481" w:rsidRPr="001E0E72" w:rsidRDefault="00072481" w:rsidP="00AD14C9">
            <w:pPr>
              <w:autoSpaceDE w:val="0"/>
              <w:autoSpaceDN w:val="0"/>
              <w:adjustRightInd w:val="0"/>
              <w:rPr>
                <w:rFonts w:ascii="Times New Roman" w:hAnsi="Times New Roman" w:cs="Times New Roman"/>
                <w:b/>
              </w:rPr>
            </w:pPr>
            <w:r w:rsidRPr="001E0E72">
              <w:rPr>
                <w:rFonts w:ascii="Times New Roman" w:hAnsi="Times New Roman" w:cs="Times New Roman"/>
                <w:b/>
              </w:rPr>
              <w:t>Institution Type</w:t>
            </w:r>
          </w:p>
        </w:tc>
        <w:tc>
          <w:tcPr>
            <w:tcW w:w="1890" w:type="dxa"/>
            <w:shd w:val="clear" w:color="auto" w:fill="D9D9D9" w:themeFill="background1" w:themeFillShade="D9"/>
          </w:tcPr>
          <w:p w:rsidR="00072481" w:rsidRPr="001E0E72" w:rsidRDefault="00072481" w:rsidP="00AD14C9">
            <w:pPr>
              <w:autoSpaceDE w:val="0"/>
              <w:autoSpaceDN w:val="0"/>
              <w:adjustRightInd w:val="0"/>
              <w:rPr>
                <w:rFonts w:ascii="Times New Roman" w:hAnsi="Times New Roman" w:cs="Times New Roman"/>
                <w:b/>
              </w:rPr>
            </w:pPr>
            <w:r w:rsidRPr="001E0E72">
              <w:rPr>
                <w:rFonts w:ascii="Times New Roman" w:hAnsi="Times New Roman" w:cs="Times New Roman"/>
                <w:b/>
              </w:rPr>
              <w:t>Total population</w:t>
            </w:r>
          </w:p>
        </w:tc>
        <w:tc>
          <w:tcPr>
            <w:tcW w:w="2160" w:type="dxa"/>
            <w:shd w:val="clear" w:color="auto" w:fill="D9D9D9" w:themeFill="background1" w:themeFillShade="D9"/>
          </w:tcPr>
          <w:p w:rsidR="00072481" w:rsidRPr="001E0E72" w:rsidRDefault="00072481" w:rsidP="00AD14C9">
            <w:pPr>
              <w:autoSpaceDE w:val="0"/>
              <w:autoSpaceDN w:val="0"/>
              <w:adjustRightInd w:val="0"/>
              <w:rPr>
                <w:rFonts w:ascii="Times New Roman" w:hAnsi="Times New Roman" w:cs="Times New Roman"/>
                <w:b/>
              </w:rPr>
            </w:pPr>
            <w:r w:rsidRPr="001E0E72">
              <w:rPr>
                <w:rFonts w:ascii="Times New Roman" w:hAnsi="Times New Roman" w:cs="Times New Roman"/>
                <w:b/>
              </w:rPr>
              <w:t>Sample population</w:t>
            </w:r>
          </w:p>
        </w:tc>
        <w:tc>
          <w:tcPr>
            <w:tcW w:w="2898" w:type="dxa"/>
            <w:shd w:val="clear" w:color="auto" w:fill="D9D9D9" w:themeFill="background1" w:themeFillShade="D9"/>
          </w:tcPr>
          <w:p w:rsidR="00072481" w:rsidRPr="001E0E72" w:rsidRDefault="00072481" w:rsidP="00AD14C9">
            <w:pPr>
              <w:autoSpaceDE w:val="0"/>
              <w:autoSpaceDN w:val="0"/>
              <w:adjustRightInd w:val="0"/>
              <w:rPr>
                <w:rFonts w:ascii="Times New Roman" w:hAnsi="Times New Roman" w:cs="Times New Roman"/>
                <w:b/>
              </w:rPr>
            </w:pPr>
            <w:r w:rsidRPr="001E0E72">
              <w:rPr>
                <w:rFonts w:ascii="Times New Roman" w:hAnsi="Times New Roman" w:cs="Times New Roman"/>
                <w:b/>
              </w:rPr>
              <w:t>Expected response (50%)</w:t>
            </w:r>
            <w:r w:rsidRPr="001E0E72">
              <w:rPr>
                <w:rFonts w:ascii="Times New Roman" w:hAnsi="Times New Roman" w:cs="Times New Roman"/>
                <w:b/>
                <w:vertAlign w:val="superscript"/>
              </w:rPr>
              <w:t>***</w:t>
            </w:r>
            <w:r w:rsidRPr="001E0E72">
              <w:rPr>
                <w:rFonts w:ascii="Times New Roman" w:hAnsi="Times New Roman" w:cs="Times New Roman"/>
                <w:b/>
              </w:rPr>
              <w:t xml:space="preserve"> </w:t>
            </w:r>
          </w:p>
        </w:tc>
      </w:tr>
      <w:tr w:rsidR="00072481" w:rsidRPr="001E0E72" w:rsidTr="00AD14C9">
        <w:tc>
          <w:tcPr>
            <w:tcW w:w="2628" w:type="dxa"/>
          </w:tcPr>
          <w:p w:rsidR="00072481" w:rsidRPr="001E0E72" w:rsidRDefault="00072481" w:rsidP="00AD14C9">
            <w:pPr>
              <w:autoSpaceDE w:val="0"/>
              <w:autoSpaceDN w:val="0"/>
              <w:adjustRightInd w:val="0"/>
              <w:rPr>
                <w:rFonts w:ascii="Times New Roman" w:hAnsi="Times New Roman" w:cs="Times New Roman"/>
                <w:sz w:val="20"/>
                <w:szCs w:val="20"/>
              </w:rPr>
            </w:pPr>
            <w:r w:rsidRPr="001E0E72">
              <w:rPr>
                <w:rFonts w:ascii="Times New Roman" w:hAnsi="Times New Roman" w:cs="Times New Roman"/>
                <w:b/>
                <w:sz w:val="20"/>
                <w:szCs w:val="20"/>
              </w:rPr>
              <w:t>Public libraries</w:t>
            </w:r>
            <w:r w:rsidRPr="001E0E72">
              <w:rPr>
                <w:rFonts w:ascii="Times New Roman" w:hAnsi="Times New Roman" w:cs="Times New Roman"/>
                <w:b/>
                <w:sz w:val="20"/>
                <w:szCs w:val="20"/>
                <w:vertAlign w:val="superscript"/>
              </w:rPr>
              <w:t>*</w:t>
            </w:r>
          </w:p>
        </w:tc>
        <w:tc>
          <w:tcPr>
            <w:tcW w:w="1890" w:type="dxa"/>
          </w:tcPr>
          <w:p w:rsidR="00072481" w:rsidRPr="001E0E72" w:rsidRDefault="00072481" w:rsidP="00AD14C9">
            <w:pPr>
              <w:autoSpaceDE w:val="0"/>
              <w:autoSpaceDN w:val="0"/>
              <w:adjustRightInd w:val="0"/>
              <w:rPr>
                <w:rFonts w:ascii="Times New Roman" w:hAnsi="Times New Roman" w:cs="Times New Roman"/>
                <w:b/>
                <w:sz w:val="20"/>
                <w:szCs w:val="20"/>
              </w:rPr>
            </w:pPr>
            <w:r w:rsidRPr="001E0E72">
              <w:rPr>
                <w:rFonts w:ascii="Times New Roman" w:hAnsi="Times New Roman" w:cs="Times New Roman"/>
                <w:b/>
                <w:sz w:val="20"/>
                <w:szCs w:val="20"/>
              </w:rPr>
              <w:t>8,870</w:t>
            </w:r>
          </w:p>
        </w:tc>
        <w:tc>
          <w:tcPr>
            <w:tcW w:w="2160" w:type="dxa"/>
          </w:tcPr>
          <w:p w:rsidR="00072481" w:rsidRPr="001E0E72" w:rsidRDefault="00072481" w:rsidP="00AD14C9">
            <w:pPr>
              <w:autoSpaceDE w:val="0"/>
              <w:autoSpaceDN w:val="0"/>
              <w:adjustRightInd w:val="0"/>
              <w:rPr>
                <w:rFonts w:ascii="Times New Roman" w:hAnsi="Times New Roman" w:cs="Times New Roman"/>
                <w:b/>
                <w:sz w:val="20"/>
                <w:szCs w:val="20"/>
              </w:rPr>
            </w:pPr>
            <w:r w:rsidRPr="001E0E72">
              <w:rPr>
                <w:rFonts w:ascii="Times New Roman" w:hAnsi="Times New Roman" w:cs="Times New Roman"/>
                <w:b/>
                <w:sz w:val="20"/>
                <w:szCs w:val="20"/>
              </w:rPr>
              <w:t>540</w:t>
            </w:r>
          </w:p>
        </w:tc>
        <w:tc>
          <w:tcPr>
            <w:tcW w:w="2898" w:type="dxa"/>
          </w:tcPr>
          <w:p w:rsidR="00072481" w:rsidRPr="001E0E72" w:rsidRDefault="00072481" w:rsidP="00AD14C9">
            <w:pPr>
              <w:autoSpaceDE w:val="0"/>
              <w:autoSpaceDN w:val="0"/>
              <w:adjustRightInd w:val="0"/>
              <w:rPr>
                <w:rFonts w:ascii="Times New Roman" w:hAnsi="Times New Roman" w:cs="Times New Roman"/>
                <w:b/>
                <w:sz w:val="20"/>
                <w:szCs w:val="20"/>
              </w:rPr>
            </w:pPr>
            <w:r w:rsidRPr="001E0E72">
              <w:rPr>
                <w:rFonts w:ascii="Times New Roman" w:hAnsi="Times New Roman" w:cs="Times New Roman"/>
                <w:b/>
                <w:sz w:val="20"/>
                <w:szCs w:val="20"/>
              </w:rPr>
              <w:t>270</w:t>
            </w:r>
          </w:p>
        </w:tc>
      </w:tr>
      <w:tr w:rsidR="00072481" w:rsidRPr="001E0E72" w:rsidTr="00AD14C9">
        <w:tc>
          <w:tcPr>
            <w:tcW w:w="2628" w:type="dxa"/>
          </w:tcPr>
          <w:p w:rsidR="00072481" w:rsidRPr="001E0E72" w:rsidRDefault="00072481" w:rsidP="00AD14C9">
            <w:pPr>
              <w:autoSpaceDE w:val="0"/>
              <w:autoSpaceDN w:val="0"/>
              <w:adjustRightInd w:val="0"/>
              <w:rPr>
                <w:rFonts w:ascii="Times New Roman" w:hAnsi="Times New Roman" w:cs="Times New Roman"/>
                <w:b/>
                <w:sz w:val="20"/>
                <w:szCs w:val="20"/>
              </w:rPr>
            </w:pPr>
            <w:r w:rsidRPr="001E0E72">
              <w:rPr>
                <w:rFonts w:ascii="Times New Roman" w:hAnsi="Times New Roman" w:cs="Times New Roman"/>
                <w:b/>
                <w:sz w:val="20"/>
                <w:szCs w:val="20"/>
              </w:rPr>
              <w:lastRenderedPageBreak/>
              <w:t>Academic libraries</w:t>
            </w:r>
            <w:r w:rsidRPr="001E0E72">
              <w:rPr>
                <w:rFonts w:ascii="Times New Roman" w:hAnsi="Times New Roman" w:cs="Times New Roman"/>
                <w:b/>
                <w:sz w:val="20"/>
                <w:szCs w:val="20"/>
                <w:vertAlign w:val="superscript"/>
              </w:rPr>
              <w:t>**</w:t>
            </w:r>
          </w:p>
        </w:tc>
        <w:tc>
          <w:tcPr>
            <w:tcW w:w="1890" w:type="dxa"/>
          </w:tcPr>
          <w:p w:rsidR="00072481" w:rsidRPr="001E0E72" w:rsidRDefault="00072481" w:rsidP="00AD14C9">
            <w:pPr>
              <w:autoSpaceDE w:val="0"/>
              <w:autoSpaceDN w:val="0"/>
              <w:adjustRightInd w:val="0"/>
              <w:rPr>
                <w:rFonts w:ascii="Times New Roman" w:hAnsi="Times New Roman" w:cs="Times New Roman"/>
                <w:b/>
                <w:sz w:val="20"/>
                <w:szCs w:val="20"/>
              </w:rPr>
            </w:pPr>
            <w:r w:rsidRPr="001E0E72">
              <w:rPr>
                <w:rFonts w:ascii="Times New Roman" w:hAnsi="Times New Roman" w:cs="Times New Roman"/>
                <w:b/>
                <w:sz w:val="20"/>
                <w:szCs w:val="20"/>
              </w:rPr>
              <w:t>3,827</w:t>
            </w:r>
          </w:p>
        </w:tc>
        <w:tc>
          <w:tcPr>
            <w:tcW w:w="2160" w:type="dxa"/>
          </w:tcPr>
          <w:p w:rsidR="00072481" w:rsidRPr="001E0E72" w:rsidRDefault="00072481" w:rsidP="00AD14C9">
            <w:pPr>
              <w:autoSpaceDE w:val="0"/>
              <w:autoSpaceDN w:val="0"/>
              <w:adjustRightInd w:val="0"/>
              <w:rPr>
                <w:rFonts w:ascii="Times New Roman" w:hAnsi="Times New Roman" w:cs="Times New Roman"/>
                <w:b/>
                <w:sz w:val="20"/>
                <w:szCs w:val="20"/>
              </w:rPr>
            </w:pPr>
            <w:r w:rsidRPr="001E0E72">
              <w:rPr>
                <w:rFonts w:ascii="Times New Roman" w:hAnsi="Times New Roman" w:cs="Times New Roman"/>
                <w:b/>
                <w:sz w:val="20"/>
                <w:szCs w:val="20"/>
              </w:rPr>
              <w:t>540</w:t>
            </w:r>
          </w:p>
        </w:tc>
        <w:tc>
          <w:tcPr>
            <w:tcW w:w="2898" w:type="dxa"/>
          </w:tcPr>
          <w:p w:rsidR="00072481" w:rsidRPr="001E0E72" w:rsidRDefault="00072481" w:rsidP="00AD14C9">
            <w:pPr>
              <w:autoSpaceDE w:val="0"/>
              <w:autoSpaceDN w:val="0"/>
              <w:adjustRightInd w:val="0"/>
              <w:rPr>
                <w:rFonts w:ascii="Times New Roman" w:hAnsi="Times New Roman" w:cs="Times New Roman"/>
                <w:b/>
                <w:sz w:val="20"/>
                <w:szCs w:val="20"/>
              </w:rPr>
            </w:pPr>
            <w:r w:rsidRPr="001E0E72">
              <w:rPr>
                <w:rFonts w:ascii="Times New Roman" w:hAnsi="Times New Roman" w:cs="Times New Roman"/>
                <w:b/>
                <w:sz w:val="20"/>
                <w:szCs w:val="20"/>
              </w:rPr>
              <w:t>270</w:t>
            </w:r>
          </w:p>
        </w:tc>
      </w:tr>
      <w:tr w:rsidR="00072481" w:rsidRPr="001E0E72" w:rsidTr="00AD14C9">
        <w:trPr>
          <w:trHeight w:val="989"/>
        </w:trPr>
        <w:tc>
          <w:tcPr>
            <w:tcW w:w="9576" w:type="dxa"/>
            <w:gridSpan w:val="4"/>
          </w:tcPr>
          <w:p w:rsidR="00072481" w:rsidRPr="001E0E72" w:rsidRDefault="00072481" w:rsidP="00AD14C9">
            <w:pPr>
              <w:autoSpaceDE w:val="0"/>
              <w:autoSpaceDN w:val="0"/>
              <w:adjustRightInd w:val="0"/>
              <w:jc w:val="both"/>
              <w:rPr>
                <w:rFonts w:ascii="Times New Roman" w:hAnsi="Times New Roman" w:cs="Times New Roman"/>
                <w:sz w:val="20"/>
                <w:szCs w:val="20"/>
              </w:rPr>
            </w:pPr>
            <w:r w:rsidRPr="001E0E72">
              <w:rPr>
                <w:rFonts w:ascii="Times New Roman" w:hAnsi="Times New Roman" w:cs="Times New Roman"/>
                <w:sz w:val="20"/>
                <w:szCs w:val="20"/>
                <w:vertAlign w:val="superscript"/>
              </w:rPr>
              <w:t>*</w:t>
            </w:r>
            <w:r w:rsidRPr="001E0E72">
              <w:rPr>
                <w:rFonts w:ascii="Times New Roman" w:hAnsi="Times New Roman" w:cs="Times New Roman"/>
                <w:sz w:val="20"/>
                <w:szCs w:val="20"/>
              </w:rPr>
              <w:t xml:space="preserve"> According to the aforementioned, combined IMLS and CIRSS listing of public libraries by U.S. state </w:t>
            </w:r>
          </w:p>
          <w:p w:rsidR="00072481" w:rsidRPr="001E0E72" w:rsidRDefault="00072481" w:rsidP="00AD14C9">
            <w:pPr>
              <w:autoSpaceDE w:val="0"/>
              <w:autoSpaceDN w:val="0"/>
              <w:adjustRightInd w:val="0"/>
              <w:jc w:val="both"/>
              <w:rPr>
                <w:rFonts w:ascii="Times New Roman" w:hAnsi="Times New Roman" w:cs="Times New Roman"/>
                <w:sz w:val="20"/>
                <w:szCs w:val="20"/>
              </w:rPr>
            </w:pPr>
          </w:p>
          <w:p w:rsidR="00072481" w:rsidRPr="001E0E72" w:rsidRDefault="00072481" w:rsidP="00AD14C9">
            <w:pPr>
              <w:autoSpaceDE w:val="0"/>
              <w:autoSpaceDN w:val="0"/>
              <w:adjustRightInd w:val="0"/>
              <w:rPr>
                <w:rFonts w:ascii="Times New Roman" w:hAnsi="Times New Roman" w:cs="Times New Roman"/>
                <w:sz w:val="20"/>
                <w:szCs w:val="20"/>
              </w:rPr>
            </w:pPr>
            <w:r w:rsidRPr="001E0E72">
              <w:rPr>
                <w:rFonts w:ascii="Times New Roman" w:hAnsi="Times New Roman" w:cs="Times New Roman"/>
                <w:sz w:val="20"/>
                <w:szCs w:val="20"/>
                <w:vertAlign w:val="superscript"/>
              </w:rPr>
              <w:t>**</w:t>
            </w:r>
            <w:r w:rsidRPr="001E0E72">
              <w:rPr>
                <w:rFonts w:ascii="Times New Roman" w:hAnsi="Times New Roman" w:cs="Times New Roman"/>
                <w:sz w:val="20"/>
                <w:szCs w:val="20"/>
              </w:rPr>
              <w:t xml:space="preserve"> According to the most recent NCES Academic Libraries Survey, collected in 2008 and published in 2009. A well-crafted NCES data set, representing a refined version of the data available online, will be used; the list is corrected for institutions not likely to provide relevant reference services. Contacts for each institution will be gathered from the NCES data center: see </w:t>
            </w:r>
            <w:hyperlink r:id="rId9" w:history="1">
              <w:r w:rsidRPr="001E0E72">
                <w:rPr>
                  <w:rStyle w:val="Hyperlink"/>
                  <w:rFonts w:ascii="Times New Roman" w:hAnsi="Times New Roman" w:cs="Times New Roman"/>
                  <w:sz w:val="20"/>
                  <w:szCs w:val="20"/>
                </w:rPr>
                <w:t>http://nces.ed.gov/ipeds/datacenter/</w:t>
              </w:r>
            </w:hyperlink>
            <w:r w:rsidRPr="001E0E72">
              <w:rPr>
                <w:rFonts w:ascii="Times New Roman" w:hAnsi="Times New Roman" w:cs="Times New Roman"/>
                <w:sz w:val="20"/>
                <w:szCs w:val="20"/>
              </w:rPr>
              <w:t xml:space="preserve"> </w:t>
            </w:r>
          </w:p>
          <w:p w:rsidR="00072481" w:rsidRPr="001E0E72" w:rsidRDefault="00072481" w:rsidP="00AD14C9">
            <w:pPr>
              <w:autoSpaceDE w:val="0"/>
              <w:autoSpaceDN w:val="0"/>
              <w:adjustRightInd w:val="0"/>
              <w:rPr>
                <w:rFonts w:ascii="Times New Roman" w:hAnsi="Times New Roman" w:cs="Times New Roman"/>
                <w:sz w:val="20"/>
                <w:szCs w:val="20"/>
              </w:rPr>
            </w:pPr>
          </w:p>
          <w:p w:rsidR="00072481" w:rsidRPr="001E0E72" w:rsidRDefault="00072481" w:rsidP="00AD14C9">
            <w:pPr>
              <w:autoSpaceDE w:val="0"/>
              <w:autoSpaceDN w:val="0"/>
              <w:adjustRightInd w:val="0"/>
              <w:rPr>
                <w:rFonts w:ascii="Times New Roman" w:hAnsi="Times New Roman" w:cs="Times New Roman"/>
              </w:rPr>
            </w:pPr>
            <w:r w:rsidRPr="001E0E72">
              <w:rPr>
                <w:rFonts w:ascii="Times New Roman" w:hAnsi="Times New Roman" w:cs="Times New Roman"/>
                <w:sz w:val="20"/>
                <w:szCs w:val="20"/>
                <w:vertAlign w:val="superscript"/>
              </w:rPr>
              <w:t xml:space="preserve">*** </w:t>
            </w:r>
            <w:r w:rsidRPr="001E0E72">
              <w:rPr>
                <w:rFonts w:ascii="Times New Roman" w:hAnsi="Times New Roman" w:cs="Times New Roman"/>
                <w:sz w:val="20"/>
                <w:szCs w:val="20"/>
              </w:rPr>
              <w:t xml:space="preserve">This estimated response rate is based on results of the 2009 Public Library Data Service survey, which is a comparable, national survey of public libraries conducted by the Center for Informatics Research in Science and Scholarship at the Graduate School of Library and Information Science at the University of Illinois, Urbana-Champaign. See the report at </w:t>
            </w:r>
            <w:hyperlink r:id="rId10" w:history="1">
              <w:r w:rsidRPr="001E0E72">
                <w:rPr>
                  <w:rStyle w:val="Hyperlink"/>
                  <w:rFonts w:ascii="Times New Roman" w:hAnsi="Times New Roman" w:cs="Times New Roman"/>
                  <w:sz w:val="20"/>
                  <w:szCs w:val="20"/>
                </w:rPr>
                <w:t>http://www.publiclibrariesonline.org/magazines/featured-articles/characteristics-and-trends-public-library-data-service-report</w:t>
              </w:r>
            </w:hyperlink>
            <w:r w:rsidRPr="001E0E72">
              <w:rPr>
                <w:rFonts w:ascii="Times New Roman" w:hAnsi="Times New Roman" w:cs="Times New Roman"/>
                <w:sz w:val="20"/>
                <w:szCs w:val="20"/>
              </w:rPr>
              <w:t xml:space="preserve"> </w:t>
            </w:r>
          </w:p>
        </w:tc>
      </w:tr>
    </w:tbl>
    <w:p w:rsidR="00072481" w:rsidRDefault="00072481" w:rsidP="007811F6">
      <w:pPr>
        <w:autoSpaceDE w:val="0"/>
        <w:autoSpaceDN w:val="0"/>
        <w:adjustRightInd w:val="0"/>
        <w:spacing w:after="0" w:line="240" w:lineRule="auto"/>
        <w:rPr>
          <w:rFonts w:ascii="Times New Roman" w:hAnsi="Times New Roman" w:cs="Times New Roman"/>
          <w:b/>
        </w:rPr>
      </w:pPr>
    </w:p>
    <w:p w:rsidR="00072481" w:rsidRDefault="00072481" w:rsidP="007811F6">
      <w:pPr>
        <w:autoSpaceDE w:val="0"/>
        <w:autoSpaceDN w:val="0"/>
        <w:adjustRightInd w:val="0"/>
        <w:spacing w:after="0" w:line="240" w:lineRule="auto"/>
        <w:rPr>
          <w:rFonts w:ascii="Times New Roman" w:hAnsi="Times New Roman" w:cs="Times New Roman"/>
          <w:b/>
        </w:rPr>
      </w:pPr>
    </w:p>
    <w:p w:rsidR="00072481" w:rsidRPr="00072481" w:rsidRDefault="00072481" w:rsidP="00072481">
      <w:pPr>
        <w:spacing w:after="0"/>
        <w:rPr>
          <w:rFonts w:ascii="Times New Roman" w:hAnsi="Times New Roman" w:cs="Times New Roman"/>
        </w:rPr>
      </w:pPr>
      <w:r>
        <w:rPr>
          <w:rFonts w:ascii="Times New Roman" w:hAnsi="Times New Roman" w:cs="Times New Roman"/>
        </w:rPr>
        <w:t xml:space="preserve">This collection is not part of an IMLS program evaluation.  </w:t>
      </w:r>
      <w:r w:rsidRPr="001E0E72">
        <w:rPr>
          <w:rFonts w:ascii="Times New Roman" w:hAnsi="Times New Roman" w:cs="Times New Roman"/>
        </w:rPr>
        <w:t>The aim of this research is to determine how service providers in libraries perceive the quality and scope of Opening History in respect to the needs of their local user communities, with the ultimate objective of developing and improving Opening History as a resource for history researchers and the general public. The data collection is also intended to help advance the current base of knowledge and practice for digital resource developers and service providers. Therefore, the information from the survey will primarily be used to provide feedback on Opening History and to assess directions for future development, in order to continue to meet the needs of Opening History’s target audiences.</w:t>
      </w:r>
    </w:p>
    <w:p w:rsidR="00072481" w:rsidRDefault="00072481" w:rsidP="007811F6">
      <w:pPr>
        <w:autoSpaceDE w:val="0"/>
        <w:autoSpaceDN w:val="0"/>
        <w:adjustRightInd w:val="0"/>
        <w:spacing w:after="0" w:line="240" w:lineRule="auto"/>
        <w:rPr>
          <w:rFonts w:ascii="Times New Roman" w:hAnsi="Times New Roman"/>
          <w:sz w:val="24"/>
          <w:szCs w:val="24"/>
        </w:rPr>
      </w:pPr>
    </w:p>
    <w:p w:rsidR="007811F6" w:rsidRPr="00435517" w:rsidRDefault="007811F6" w:rsidP="007811F6">
      <w:pPr>
        <w:autoSpaceDE w:val="0"/>
        <w:autoSpaceDN w:val="0"/>
        <w:adjustRightInd w:val="0"/>
        <w:spacing w:after="0" w:line="240" w:lineRule="auto"/>
        <w:rPr>
          <w:rFonts w:ascii="Times New Roman" w:hAnsi="Times New Roman" w:cs="Times New Roman"/>
          <w:b/>
        </w:rPr>
      </w:pPr>
      <w:r w:rsidRPr="00435517">
        <w:rPr>
          <w:rFonts w:ascii="Times New Roman" w:hAnsi="Times New Roman" w:cs="Times New Roman"/>
          <w:b/>
        </w:rPr>
        <w:t>2. Describe the procedures for the collection of information</w:t>
      </w:r>
      <w:r w:rsidR="00203665" w:rsidRPr="00435517">
        <w:rPr>
          <w:rFonts w:ascii="Times New Roman" w:hAnsi="Times New Roman" w:cs="Times New Roman"/>
          <w:b/>
        </w:rPr>
        <w:t xml:space="preserve"> </w:t>
      </w:r>
      <w:r w:rsidRPr="00435517">
        <w:rPr>
          <w:rFonts w:ascii="Times New Roman" w:hAnsi="Times New Roman" w:cs="Times New Roman"/>
          <w:b/>
        </w:rPr>
        <w:t>including:</w:t>
      </w:r>
    </w:p>
    <w:p w:rsidR="007811F6" w:rsidRPr="00435517" w:rsidRDefault="007811F6" w:rsidP="007811F6">
      <w:pPr>
        <w:autoSpaceDE w:val="0"/>
        <w:autoSpaceDN w:val="0"/>
        <w:adjustRightInd w:val="0"/>
        <w:spacing w:after="0" w:line="240" w:lineRule="auto"/>
        <w:rPr>
          <w:rFonts w:ascii="Times New Roman" w:hAnsi="Times New Roman" w:cs="Times New Roman"/>
          <w:b/>
        </w:rPr>
      </w:pPr>
      <w:r w:rsidRPr="00435517">
        <w:rPr>
          <w:rFonts w:ascii="Times New Roman" w:hAnsi="Times New Roman" w:cs="Times New Roman"/>
          <w:b/>
        </w:rPr>
        <w:t>* Statistical methodology for stratification and sample</w:t>
      </w:r>
      <w:r w:rsidR="00203665" w:rsidRPr="00435517">
        <w:rPr>
          <w:rFonts w:ascii="Times New Roman" w:hAnsi="Times New Roman" w:cs="Times New Roman"/>
          <w:b/>
        </w:rPr>
        <w:t xml:space="preserve"> </w:t>
      </w:r>
      <w:r w:rsidRPr="00435517">
        <w:rPr>
          <w:rFonts w:ascii="Times New Roman" w:hAnsi="Times New Roman" w:cs="Times New Roman"/>
          <w:b/>
        </w:rPr>
        <w:t>selection,</w:t>
      </w:r>
    </w:p>
    <w:p w:rsidR="007811F6" w:rsidRPr="00435517" w:rsidRDefault="007811F6" w:rsidP="007811F6">
      <w:pPr>
        <w:autoSpaceDE w:val="0"/>
        <w:autoSpaceDN w:val="0"/>
        <w:adjustRightInd w:val="0"/>
        <w:spacing w:after="0" w:line="240" w:lineRule="auto"/>
        <w:rPr>
          <w:rFonts w:ascii="Times New Roman" w:hAnsi="Times New Roman" w:cs="Times New Roman"/>
          <w:b/>
        </w:rPr>
      </w:pPr>
      <w:r w:rsidRPr="00435517">
        <w:rPr>
          <w:rFonts w:ascii="Times New Roman" w:hAnsi="Times New Roman" w:cs="Times New Roman"/>
          <w:b/>
        </w:rPr>
        <w:t>* Estimation procedure,</w:t>
      </w:r>
    </w:p>
    <w:p w:rsidR="007811F6" w:rsidRPr="00435517" w:rsidRDefault="007811F6" w:rsidP="007811F6">
      <w:pPr>
        <w:autoSpaceDE w:val="0"/>
        <w:autoSpaceDN w:val="0"/>
        <w:adjustRightInd w:val="0"/>
        <w:spacing w:after="0" w:line="240" w:lineRule="auto"/>
        <w:rPr>
          <w:rFonts w:ascii="Times New Roman" w:hAnsi="Times New Roman" w:cs="Times New Roman"/>
          <w:b/>
        </w:rPr>
      </w:pPr>
      <w:r w:rsidRPr="00435517">
        <w:rPr>
          <w:rFonts w:ascii="Times New Roman" w:hAnsi="Times New Roman" w:cs="Times New Roman"/>
          <w:b/>
        </w:rPr>
        <w:t>* Degree of accuracy needed for the purpose described in</w:t>
      </w:r>
      <w:r w:rsidR="00203665" w:rsidRPr="00435517">
        <w:rPr>
          <w:rFonts w:ascii="Times New Roman" w:hAnsi="Times New Roman" w:cs="Times New Roman"/>
          <w:b/>
        </w:rPr>
        <w:t xml:space="preserve"> </w:t>
      </w:r>
      <w:r w:rsidRPr="00435517">
        <w:rPr>
          <w:rFonts w:ascii="Times New Roman" w:hAnsi="Times New Roman" w:cs="Times New Roman"/>
          <w:b/>
        </w:rPr>
        <w:t>the justification,</w:t>
      </w:r>
    </w:p>
    <w:p w:rsidR="007811F6" w:rsidRPr="00435517" w:rsidRDefault="007811F6" w:rsidP="007811F6">
      <w:pPr>
        <w:autoSpaceDE w:val="0"/>
        <w:autoSpaceDN w:val="0"/>
        <w:adjustRightInd w:val="0"/>
        <w:spacing w:after="0" w:line="240" w:lineRule="auto"/>
        <w:rPr>
          <w:rFonts w:ascii="Times New Roman" w:hAnsi="Times New Roman" w:cs="Times New Roman"/>
          <w:b/>
        </w:rPr>
      </w:pPr>
      <w:r w:rsidRPr="00435517">
        <w:rPr>
          <w:rFonts w:ascii="Times New Roman" w:hAnsi="Times New Roman" w:cs="Times New Roman"/>
          <w:b/>
        </w:rPr>
        <w:t>* Unusual problems requiring specialized sampling</w:t>
      </w:r>
      <w:r w:rsidR="00203665" w:rsidRPr="00435517">
        <w:rPr>
          <w:rFonts w:ascii="Times New Roman" w:hAnsi="Times New Roman" w:cs="Times New Roman"/>
          <w:b/>
        </w:rPr>
        <w:t xml:space="preserve"> </w:t>
      </w:r>
      <w:r w:rsidRPr="00435517">
        <w:rPr>
          <w:rFonts w:ascii="Times New Roman" w:hAnsi="Times New Roman" w:cs="Times New Roman"/>
          <w:b/>
        </w:rPr>
        <w:t>procedures, and</w:t>
      </w:r>
    </w:p>
    <w:p w:rsidR="007811F6" w:rsidRPr="00435517" w:rsidRDefault="007811F6" w:rsidP="007811F6">
      <w:pPr>
        <w:autoSpaceDE w:val="0"/>
        <w:autoSpaceDN w:val="0"/>
        <w:adjustRightInd w:val="0"/>
        <w:spacing w:after="0" w:line="240" w:lineRule="auto"/>
        <w:rPr>
          <w:rFonts w:ascii="Times New Roman" w:hAnsi="Times New Roman" w:cs="Times New Roman"/>
          <w:b/>
        </w:rPr>
      </w:pPr>
      <w:r w:rsidRPr="00435517">
        <w:rPr>
          <w:rFonts w:ascii="Times New Roman" w:hAnsi="Times New Roman" w:cs="Times New Roman"/>
          <w:b/>
        </w:rPr>
        <w:t>* Any use of periodic (less frequent than annual) data</w:t>
      </w:r>
      <w:r w:rsidR="00203665" w:rsidRPr="00435517">
        <w:rPr>
          <w:rFonts w:ascii="Times New Roman" w:hAnsi="Times New Roman" w:cs="Times New Roman"/>
          <w:b/>
        </w:rPr>
        <w:t xml:space="preserve"> </w:t>
      </w:r>
      <w:r w:rsidRPr="00435517">
        <w:rPr>
          <w:rFonts w:ascii="Times New Roman" w:hAnsi="Times New Roman" w:cs="Times New Roman"/>
          <w:b/>
        </w:rPr>
        <w:t>collection cycles to reduce burden.</w:t>
      </w:r>
    </w:p>
    <w:p w:rsidR="00203665" w:rsidRDefault="00203665" w:rsidP="007811F6">
      <w:pPr>
        <w:autoSpaceDE w:val="0"/>
        <w:autoSpaceDN w:val="0"/>
        <w:adjustRightInd w:val="0"/>
        <w:spacing w:after="0" w:line="240" w:lineRule="auto"/>
        <w:rPr>
          <w:rFonts w:ascii="Times New Roman" w:hAnsi="Times New Roman" w:cs="Times New Roman"/>
        </w:rPr>
      </w:pPr>
    </w:p>
    <w:p w:rsidR="000F7A0D" w:rsidRDefault="00031557" w:rsidP="00594578">
      <w:pPr>
        <w:autoSpaceDE w:val="0"/>
        <w:autoSpaceDN w:val="0"/>
        <w:adjustRightInd w:val="0"/>
        <w:spacing w:after="0" w:line="240" w:lineRule="auto"/>
        <w:jc w:val="both"/>
        <w:rPr>
          <w:rFonts w:ascii="Times New Roman" w:hAnsi="Times New Roman" w:cs="Times New Roman"/>
        </w:rPr>
      </w:pPr>
      <w:r w:rsidRPr="00CA7DD5">
        <w:rPr>
          <w:rFonts w:ascii="Times New Roman" w:hAnsi="Times New Roman" w:cs="Times New Roman"/>
        </w:rPr>
        <w:t xml:space="preserve">We propose to use a random sampling method within each </w:t>
      </w:r>
      <w:r w:rsidR="0026073D">
        <w:rPr>
          <w:rFonts w:ascii="Times New Roman" w:hAnsi="Times New Roman" w:cs="Times New Roman"/>
        </w:rPr>
        <w:t>frame</w:t>
      </w:r>
      <w:r w:rsidRPr="00CA7DD5">
        <w:rPr>
          <w:rFonts w:ascii="Times New Roman" w:hAnsi="Times New Roman" w:cs="Times New Roman"/>
        </w:rPr>
        <w:t xml:space="preserve">: academic libraries and public libraries. </w:t>
      </w:r>
      <w:r w:rsidR="00CA7DD5" w:rsidRPr="00CA7DD5">
        <w:rPr>
          <w:rFonts w:ascii="Times New Roman" w:hAnsi="Times New Roman" w:cs="Times New Roman"/>
        </w:rPr>
        <w:t xml:space="preserve">The survey instrument is designed to help us determine: (1) </w:t>
      </w:r>
      <w:r w:rsidR="000237A3">
        <w:rPr>
          <w:rFonts w:ascii="Times New Roman" w:hAnsi="Times New Roman" w:cs="Times New Roman"/>
        </w:rPr>
        <w:t>the primary user groups</w:t>
      </w:r>
      <w:r w:rsidR="00CA7DD5" w:rsidRPr="00CA7DD5">
        <w:rPr>
          <w:rFonts w:ascii="Times New Roman" w:hAnsi="Times New Roman" w:cs="Times New Roman"/>
        </w:rPr>
        <w:t xml:space="preserve"> </w:t>
      </w:r>
      <w:r w:rsidR="000237A3">
        <w:rPr>
          <w:rFonts w:ascii="Times New Roman" w:hAnsi="Times New Roman" w:cs="Times New Roman"/>
        </w:rPr>
        <w:t xml:space="preserve">for </w:t>
      </w:r>
      <w:r w:rsidR="00CA7DD5" w:rsidRPr="00CA7DD5">
        <w:rPr>
          <w:rFonts w:ascii="Times New Roman" w:hAnsi="Times New Roman" w:cs="Times New Roman"/>
        </w:rPr>
        <w:t>Opening History</w:t>
      </w:r>
      <w:r w:rsidR="000237A3">
        <w:rPr>
          <w:rFonts w:ascii="Times New Roman" w:hAnsi="Times New Roman" w:cs="Times New Roman"/>
        </w:rPr>
        <w:t xml:space="preserve"> associated with each institution</w:t>
      </w:r>
      <w:r w:rsidR="00CA7DD5" w:rsidRPr="00CA7DD5">
        <w:rPr>
          <w:rFonts w:ascii="Times New Roman" w:hAnsi="Times New Roman" w:cs="Times New Roman"/>
        </w:rPr>
        <w:t xml:space="preserve">; (2) how Opening History compares to other </w:t>
      </w:r>
      <w:r w:rsidR="000237A3">
        <w:rPr>
          <w:rFonts w:ascii="Times New Roman" w:hAnsi="Times New Roman" w:cs="Times New Roman"/>
        </w:rPr>
        <w:t xml:space="preserve">comparable </w:t>
      </w:r>
      <w:r w:rsidR="00CA7DD5" w:rsidRPr="00CA7DD5">
        <w:rPr>
          <w:rFonts w:ascii="Times New Roman" w:hAnsi="Times New Roman" w:cs="Times New Roman"/>
        </w:rPr>
        <w:t>digital resource</w:t>
      </w:r>
      <w:r w:rsidR="000237A3">
        <w:rPr>
          <w:rFonts w:ascii="Times New Roman" w:hAnsi="Times New Roman" w:cs="Times New Roman"/>
        </w:rPr>
        <w:t>s mad</w:t>
      </w:r>
      <w:r w:rsidR="00924726">
        <w:rPr>
          <w:rFonts w:ascii="Times New Roman" w:hAnsi="Times New Roman" w:cs="Times New Roman"/>
        </w:rPr>
        <w:t>e</w:t>
      </w:r>
      <w:r w:rsidR="000237A3">
        <w:rPr>
          <w:rFonts w:ascii="Times New Roman" w:hAnsi="Times New Roman" w:cs="Times New Roman"/>
        </w:rPr>
        <w:t xml:space="preserve">  by the institution,</w:t>
      </w:r>
      <w:r w:rsidR="00CA7DD5" w:rsidRPr="00CA7DD5">
        <w:rPr>
          <w:rFonts w:ascii="Times New Roman" w:hAnsi="Times New Roman" w:cs="Times New Roman"/>
        </w:rPr>
        <w:t xml:space="preserve"> </w:t>
      </w:r>
      <w:r w:rsidR="000237A3">
        <w:rPr>
          <w:rFonts w:ascii="Times New Roman" w:hAnsi="Times New Roman" w:cs="Times New Roman"/>
        </w:rPr>
        <w:t xml:space="preserve">in terms of </w:t>
      </w:r>
      <w:r w:rsidR="00CA7DD5" w:rsidRPr="00CA7DD5">
        <w:rPr>
          <w:rFonts w:ascii="Times New Roman" w:hAnsi="Times New Roman" w:cs="Times New Roman"/>
        </w:rPr>
        <w:t xml:space="preserve">both scope </w:t>
      </w:r>
      <w:r w:rsidR="000237A3">
        <w:rPr>
          <w:rFonts w:ascii="Times New Roman" w:hAnsi="Times New Roman" w:cs="Times New Roman"/>
        </w:rPr>
        <w:t xml:space="preserve">of coverage of history materials </w:t>
      </w:r>
      <w:r w:rsidR="00CA7DD5" w:rsidRPr="00CA7DD5">
        <w:rPr>
          <w:rFonts w:ascii="Times New Roman" w:hAnsi="Times New Roman" w:cs="Times New Roman"/>
        </w:rPr>
        <w:t>and the perceived quality of the resource; (3)</w:t>
      </w:r>
      <w:r w:rsidR="000237A3">
        <w:rPr>
          <w:rFonts w:ascii="Times New Roman" w:hAnsi="Times New Roman" w:cs="Times New Roman"/>
        </w:rPr>
        <w:t xml:space="preserve"> </w:t>
      </w:r>
      <w:r w:rsidR="00CA7DD5" w:rsidRPr="00CA7DD5">
        <w:rPr>
          <w:rFonts w:ascii="Times New Roman" w:hAnsi="Times New Roman" w:cs="Times New Roman"/>
        </w:rPr>
        <w:t xml:space="preserve">the effectiveness of Opening History's collection-level description; and (4) </w:t>
      </w:r>
      <w:r w:rsidR="000237A3">
        <w:rPr>
          <w:rFonts w:ascii="Times New Roman" w:hAnsi="Times New Roman" w:cs="Times New Roman"/>
        </w:rPr>
        <w:t>suggested</w:t>
      </w:r>
      <w:r w:rsidR="000237A3" w:rsidRPr="00CA7DD5">
        <w:rPr>
          <w:rFonts w:ascii="Times New Roman" w:hAnsi="Times New Roman" w:cs="Times New Roman"/>
        </w:rPr>
        <w:t xml:space="preserve"> </w:t>
      </w:r>
      <w:r w:rsidR="00CA7DD5" w:rsidRPr="00CA7DD5">
        <w:rPr>
          <w:rFonts w:ascii="Times New Roman" w:hAnsi="Times New Roman" w:cs="Times New Roman"/>
        </w:rPr>
        <w:t>improvements to increase Opening History's usefulness</w:t>
      </w:r>
      <w:r w:rsidR="000237A3">
        <w:rPr>
          <w:rFonts w:ascii="Times New Roman" w:hAnsi="Times New Roman" w:cs="Times New Roman"/>
        </w:rPr>
        <w:t xml:space="preserve"> for the library’s user communities</w:t>
      </w:r>
      <w:r w:rsidR="00CA7DD5">
        <w:rPr>
          <w:rFonts w:ascii="Times New Roman" w:hAnsi="Times New Roman" w:cs="Times New Roman"/>
        </w:rPr>
        <w:t xml:space="preserve">. </w:t>
      </w:r>
      <w:r w:rsidR="000F7A0D">
        <w:rPr>
          <w:rFonts w:ascii="Times New Roman" w:hAnsi="Times New Roman" w:cs="Times New Roman"/>
        </w:rPr>
        <w:t>The two</w:t>
      </w:r>
      <w:r w:rsidR="000237A3">
        <w:rPr>
          <w:rFonts w:ascii="Times New Roman" w:hAnsi="Times New Roman" w:cs="Times New Roman"/>
        </w:rPr>
        <w:t xml:space="preserve"> </w:t>
      </w:r>
      <w:r w:rsidR="000F7A0D">
        <w:rPr>
          <w:rFonts w:ascii="Times New Roman" w:hAnsi="Times New Roman" w:cs="Times New Roman"/>
        </w:rPr>
        <w:t xml:space="preserve">frames by </w:t>
      </w:r>
      <w:r w:rsidR="00894F60">
        <w:rPr>
          <w:rFonts w:ascii="Times New Roman" w:hAnsi="Times New Roman" w:cs="Times New Roman"/>
        </w:rPr>
        <w:t>library type</w:t>
      </w:r>
      <w:r w:rsidR="000237A3">
        <w:rPr>
          <w:rFonts w:ascii="Times New Roman" w:hAnsi="Times New Roman" w:cs="Times New Roman"/>
        </w:rPr>
        <w:t xml:space="preserve"> </w:t>
      </w:r>
      <w:r w:rsidR="000F7A0D">
        <w:rPr>
          <w:rFonts w:ascii="Times New Roman" w:hAnsi="Times New Roman" w:cs="Times New Roman"/>
        </w:rPr>
        <w:t>are</w:t>
      </w:r>
      <w:r w:rsidR="000237A3">
        <w:rPr>
          <w:rFonts w:ascii="Times New Roman" w:hAnsi="Times New Roman" w:cs="Times New Roman"/>
        </w:rPr>
        <w:t xml:space="preserve"> required to assess if there are important differences </w:t>
      </w:r>
      <w:r w:rsidR="000F7A0D">
        <w:rPr>
          <w:rFonts w:ascii="Times New Roman" w:hAnsi="Times New Roman" w:cs="Times New Roman"/>
        </w:rPr>
        <w:t>between</w:t>
      </w:r>
      <w:r w:rsidR="000237A3">
        <w:rPr>
          <w:rFonts w:ascii="Times New Roman" w:hAnsi="Times New Roman" w:cs="Times New Roman"/>
        </w:rPr>
        <w:t xml:space="preserve"> public and academic libraries</w:t>
      </w:r>
      <w:r w:rsidR="00437A2C">
        <w:rPr>
          <w:rFonts w:ascii="Times New Roman" w:hAnsi="Times New Roman" w:cs="Times New Roman"/>
        </w:rPr>
        <w:t xml:space="preserve"> of varying sizes</w:t>
      </w:r>
      <w:r w:rsidR="000237A3">
        <w:rPr>
          <w:rFonts w:ascii="Times New Roman" w:hAnsi="Times New Roman" w:cs="Times New Roman"/>
        </w:rPr>
        <w:t xml:space="preserve"> that need to be considered in the next stages of development</w:t>
      </w:r>
      <w:r w:rsidR="00894F60">
        <w:rPr>
          <w:rFonts w:ascii="Times New Roman" w:hAnsi="Times New Roman" w:cs="Times New Roman"/>
        </w:rPr>
        <w:t>.</w:t>
      </w:r>
    </w:p>
    <w:p w:rsidR="000F7A0D" w:rsidRDefault="000F7A0D" w:rsidP="00594578">
      <w:pPr>
        <w:autoSpaceDE w:val="0"/>
        <w:autoSpaceDN w:val="0"/>
        <w:adjustRightInd w:val="0"/>
        <w:spacing w:after="0" w:line="240" w:lineRule="auto"/>
        <w:jc w:val="both"/>
        <w:rPr>
          <w:rFonts w:ascii="Times New Roman" w:hAnsi="Times New Roman" w:cs="Times New Roman"/>
        </w:rPr>
      </w:pPr>
    </w:p>
    <w:p w:rsidR="000F7A0D" w:rsidRDefault="00CA7DD5" w:rsidP="005945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We are asking for subjective</w:t>
      </w:r>
      <w:r w:rsidR="000F7A0D">
        <w:rPr>
          <w:rFonts w:ascii="Times New Roman" w:hAnsi="Times New Roman" w:cs="Times New Roman"/>
        </w:rPr>
        <w:t xml:space="preserve"> responses</w:t>
      </w:r>
      <w:r>
        <w:rPr>
          <w:rFonts w:ascii="Times New Roman" w:hAnsi="Times New Roman" w:cs="Times New Roman"/>
        </w:rPr>
        <w:t xml:space="preserve">; the degree of accuracy is flexible, though we do want to be able to draw firm conclusions to guide future development. </w:t>
      </w:r>
      <w:r w:rsidR="00473196" w:rsidRPr="00473196">
        <w:rPr>
          <w:rFonts w:ascii="Times New Roman" w:hAnsi="Times New Roman" w:cs="Times New Roman"/>
        </w:rPr>
        <w:t xml:space="preserve">With the expected response rates shown in the table above, the level of precision for each population is </w:t>
      </w:r>
      <w:r w:rsidR="009D48CA">
        <w:rPr>
          <w:rFonts w:ascii="Times New Roman" w:hAnsi="Times New Roman" w:cs="Times New Roman"/>
        </w:rPr>
        <w:t>10</w:t>
      </w:r>
      <w:r w:rsidR="00473196" w:rsidRPr="00473196">
        <w:rPr>
          <w:rFonts w:ascii="Times New Roman" w:hAnsi="Times New Roman" w:cs="Times New Roman"/>
        </w:rPr>
        <w:t xml:space="preserve">%. Given the subjective nature of the questions, this </w:t>
      </w:r>
      <w:r w:rsidR="00EF5D0E">
        <w:rPr>
          <w:rFonts w:ascii="Times New Roman" w:hAnsi="Times New Roman" w:cs="Times New Roman"/>
        </w:rPr>
        <w:t>will</w:t>
      </w:r>
      <w:r w:rsidR="00EF5D0E" w:rsidRPr="00473196">
        <w:rPr>
          <w:rFonts w:ascii="Times New Roman" w:hAnsi="Times New Roman" w:cs="Times New Roman"/>
        </w:rPr>
        <w:t xml:space="preserve"> </w:t>
      </w:r>
      <w:r w:rsidR="00473196" w:rsidRPr="00473196">
        <w:rPr>
          <w:rFonts w:ascii="Times New Roman" w:hAnsi="Times New Roman" w:cs="Times New Roman"/>
        </w:rPr>
        <w:t>allow sufficient generalization of th</w:t>
      </w:r>
      <w:r w:rsidR="000F7A0D">
        <w:rPr>
          <w:rFonts w:ascii="Times New Roman" w:hAnsi="Times New Roman" w:cs="Times New Roman"/>
        </w:rPr>
        <w:t xml:space="preserve">e </w:t>
      </w:r>
      <w:r w:rsidR="00473196" w:rsidRPr="00473196">
        <w:rPr>
          <w:rFonts w:ascii="Times New Roman" w:hAnsi="Times New Roman" w:cs="Times New Roman"/>
        </w:rPr>
        <w:t>evaluati</w:t>
      </w:r>
      <w:r w:rsidR="009F7FEE">
        <w:rPr>
          <w:rFonts w:ascii="Times New Roman" w:hAnsi="Times New Roman" w:cs="Times New Roman"/>
        </w:rPr>
        <w:t>ve responses</w:t>
      </w:r>
      <w:r w:rsidR="00473196" w:rsidRPr="00473196">
        <w:rPr>
          <w:rFonts w:ascii="Times New Roman" w:hAnsi="Times New Roman" w:cs="Times New Roman"/>
        </w:rPr>
        <w:t xml:space="preserve"> </w:t>
      </w:r>
      <w:r w:rsidR="00E7277F">
        <w:rPr>
          <w:rFonts w:ascii="Times New Roman" w:hAnsi="Times New Roman" w:cs="Times New Roman"/>
        </w:rPr>
        <w:t xml:space="preserve">for </w:t>
      </w:r>
      <w:r w:rsidR="00473196" w:rsidRPr="00473196">
        <w:rPr>
          <w:rFonts w:ascii="Times New Roman" w:hAnsi="Times New Roman" w:cs="Times New Roman"/>
        </w:rPr>
        <w:t>our purpose</w:t>
      </w:r>
      <w:r w:rsidR="00E7277F">
        <w:rPr>
          <w:rFonts w:ascii="Times New Roman" w:hAnsi="Times New Roman" w:cs="Times New Roman"/>
        </w:rPr>
        <w:t xml:space="preserve"> of guiding general directions in development and identifying perceived </w:t>
      </w:r>
      <w:r w:rsidR="000F7A0D">
        <w:rPr>
          <w:rFonts w:ascii="Times New Roman" w:hAnsi="Times New Roman" w:cs="Times New Roman"/>
        </w:rPr>
        <w:t>weaknesses in</w:t>
      </w:r>
      <w:r w:rsidR="00E7277F">
        <w:rPr>
          <w:rFonts w:ascii="Times New Roman" w:hAnsi="Times New Roman" w:cs="Times New Roman"/>
        </w:rPr>
        <w:t xml:space="preserve"> the content or presentation of the content</w:t>
      </w:r>
      <w:r w:rsidR="00473196" w:rsidRPr="00473196">
        <w:rPr>
          <w:rFonts w:ascii="Times New Roman" w:hAnsi="Times New Roman" w:cs="Times New Roman"/>
        </w:rPr>
        <w:t>.</w:t>
      </w:r>
      <w:r w:rsidR="000A4FB4">
        <w:rPr>
          <w:rFonts w:ascii="Times New Roman" w:hAnsi="Times New Roman" w:cs="Times New Roman"/>
        </w:rPr>
        <w:t xml:space="preserve"> </w:t>
      </w:r>
    </w:p>
    <w:p w:rsidR="000F7A0D" w:rsidRDefault="000F7A0D" w:rsidP="00594578">
      <w:pPr>
        <w:autoSpaceDE w:val="0"/>
        <w:autoSpaceDN w:val="0"/>
        <w:adjustRightInd w:val="0"/>
        <w:spacing w:after="0" w:line="240" w:lineRule="auto"/>
        <w:jc w:val="both"/>
        <w:rPr>
          <w:rFonts w:ascii="Times New Roman" w:hAnsi="Times New Roman" w:cs="Times New Roman"/>
        </w:rPr>
      </w:pPr>
    </w:p>
    <w:p w:rsidR="000F7A0D" w:rsidRDefault="00437A2C" w:rsidP="005945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 comment</w:t>
      </w:r>
      <w:r w:rsidR="000F7A0D">
        <w:rPr>
          <w:rFonts w:ascii="Times New Roman" w:hAnsi="Times New Roman" w:cs="Times New Roman"/>
        </w:rPr>
        <w:t xml:space="preserve"> </w:t>
      </w:r>
      <w:r>
        <w:rPr>
          <w:rFonts w:ascii="Times New Roman" w:hAnsi="Times New Roman" w:cs="Times New Roman"/>
        </w:rPr>
        <w:t>box for open-ended comments is</w:t>
      </w:r>
      <w:r w:rsidR="000F7A0D">
        <w:rPr>
          <w:rFonts w:ascii="Times New Roman" w:hAnsi="Times New Roman" w:cs="Times New Roman"/>
        </w:rPr>
        <w:t xml:space="preserve"> offered for most questions to elicit </w:t>
      </w:r>
      <w:r>
        <w:rPr>
          <w:rFonts w:ascii="Times New Roman" w:hAnsi="Times New Roman" w:cs="Times New Roman"/>
        </w:rPr>
        <w:t>un</w:t>
      </w:r>
      <w:r w:rsidR="000F7A0D">
        <w:rPr>
          <w:rFonts w:ascii="Times New Roman" w:hAnsi="Times New Roman" w:cs="Times New Roman"/>
        </w:rPr>
        <w:t xml:space="preserve">anticipated </w:t>
      </w:r>
      <w:r>
        <w:rPr>
          <w:rFonts w:ascii="Times New Roman" w:hAnsi="Times New Roman" w:cs="Times New Roman"/>
        </w:rPr>
        <w:t xml:space="preserve">responses </w:t>
      </w:r>
      <w:r w:rsidR="000F7A0D">
        <w:rPr>
          <w:rFonts w:ascii="Times New Roman" w:hAnsi="Times New Roman" w:cs="Times New Roman"/>
        </w:rPr>
        <w:t>and to allow respondents to offer qualifying and contextual information. T</w:t>
      </w:r>
      <w:r>
        <w:rPr>
          <w:rFonts w:ascii="Times New Roman" w:hAnsi="Times New Roman" w:cs="Times New Roman"/>
        </w:rPr>
        <w:t>his option is important t</w:t>
      </w:r>
      <w:r w:rsidR="000F7A0D">
        <w:rPr>
          <w:rFonts w:ascii="Times New Roman" w:hAnsi="Times New Roman" w:cs="Times New Roman"/>
        </w:rPr>
        <w:t>o fully take advantage of the respondents’ expert professional knowledge and perspectives</w:t>
      </w:r>
      <w:r>
        <w:rPr>
          <w:rFonts w:ascii="Times New Roman" w:hAnsi="Times New Roman" w:cs="Times New Roman"/>
        </w:rPr>
        <w:t>. For the same reason, we</w:t>
      </w:r>
      <w:r w:rsidR="000F7A0D">
        <w:rPr>
          <w:rFonts w:ascii="Times New Roman" w:hAnsi="Times New Roman" w:cs="Times New Roman"/>
        </w:rPr>
        <w:t xml:space="preserve"> include open-ended questions but ha</w:t>
      </w:r>
      <w:r>
        <w:rPr>
          <w:rFonts w:ascii="Times New Roman" w:hAnsi="Times New Roman" w:cs="Times New Roman"/>
        </w:rPr>
        <w:t xml:space="preserve">ve limited the number to </w:t>
      </w:r>
      <w:r w:rsidR="00141EAC">
        <w:rPr>
          <w:rFonts w:ascii="Times New Roman" w:hAnsi="Times New Roman" w:cs="Times New Roman"/>
        </w:rPr>
        <w:t xml:space="preserve">5 (out of 16) </w:t>
      </w:r>
      <w:r>
        <w:rPr>
          <w:rFonts w:ascii="Times New Roman" w:hAnsi="Times New Roman" w:cs="Times New Roman"/>
        </w:rPr>
        <w:t>in order to have</w:t>
      </w:r>
      <w:r w:rsidR="000F7A0D">
        <w:rPr>
          <w:rFonts w:ascii="Times New Roman" w:hAnsi="Times New Roman" w:cs="Times New Roman"/>
        </w:rPr>
        <w:t xml:space="preserve"> minimal </w:t>
      </w:r>
      <w:r w:rsidR="000F7A0D">
        <w:rPr>
          <w:rFonts w:ascii="Times New Roman" w:hAnsi="Times New Roman" w:cs="Times New Roman"/>
        </w:rPr>
        <w:lastRenderedPageBreak/>
        <w:t xml:space="preserve">burden on respondents. The general feedback from these questions will provide important complementary information that will </w:t>
      </w:r>
      <w:r>
        <w:rPr>
          <w:rFonts w:ascii="Times New Roman" w:hAnsi="Times New Roman" w:cs="Times New Roman"/>
        </w:rPr>
        <w:t xml:space="preserve">elicit specific suggestions to improve usefulness of the resource, and to </w:t>
      </w:r>
      <w:r w:rsidR="000F7A0D">
        <w:rPr>
          <w:rFonts w:ascii="Times New Roman" w:hAnsi="Times New Roman" w:cs="Times New Roman"/>
        </w:rPr>
        <w:t xml:space="preserve">help place the closed-ended results in the context of </w:t>
      </w:r>
      <w:r>
        <w:rPr>
          <w:rFonts w:ascii="Times New Roman" w:hAnsi="Times New Roman" w:cs="Times New Roman"/>
        </w:rPr>
        <w:t>the</w:t>
      </w:r>
      <w:r w:rsidR="000F7A0D">
        <w:rPr>
          <w:rFonts w:ascii="Times New Roman" w:hAnsi="Times New Roman" w:cs="Times New Roman"/>
        </w:rPr>
        <w:t xml:space="preserve"> perspective</w:t>
      </w:r>
      <w:r>
        <w:rPr>
          <w:rFonts w:ascii="Times New Roman" w:hAnsi="Times New Roman" w:cs="Times New Roman"/>
        </w:rPr>
        <w:t xml:space="preserve"> of the responding institution.</w:t>
      </w:r>
    </w:p>
    <w:p w:rsidR="000F7A0D" w:rsidRDefault="000F7A0D" w:rsidP="00594578">
      <w:pPr>
        <w:autoSpaceDE w:val="0"/>
        <w:autoSpaceDN w:val="0"/>
        <w:adjustRightInd w:val="0"/>
        <w:spacing w:after="0" w:line="240" w:lineRule="auto"/>
        <w:jc w:val="both"/>
        <w:rPr>
          <w:rFonts w:ascii="Times New Roman" w:hAnsi="Times New Roman" w:cs="Times New Roman"/>
        </w:rPr>
      </w:pPr>
    </w:p>
    <w:p w:rsidR="00AD14C9" w:rsidRPr="00AD14C9" w:rsidRDefault="00ED7210" w:rsidP="00AD14C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Clarification on the results of the power analysis.</w:t>
      </w:r>
    </w:p>
    <w:p w:rsidR="00AD14C9" w:rsidRPr="001E0E72" w:rsidRDefault="00AD14C9" w:rsidP="00AD14C9">
      <w:pPr>
        <w:autoSpaceDE w:val="0"/>
        <w:autoSpaceDN w:val="0"/>
        <w:adjustRightInd w:val="0"/>
        <w:spacing w:after="0" w:line="240" w:lineRule="auto"/>
        <w:rPr>
          <w:rFonts w:ascii="Times New Roman" w:hAnsi="Times New Roman" w:cs="Times New Roman"/>
          <w:b/>
          <w:sz w:val="20"/>
          <w:szCs w:val="20"/>
        </w:rPr>
      </w:pPr>
      <w:r w:rsidRPr="001E0E72">
        <w:rPr>
          <w:rFonts w:ascii="Times New Roman" w:hAnsi="Times New Roman" w:cs="Times New Roman"/>
        </w:rPr>
        <w:t>Several power analyses were performed to determine the minimum required sample sizes to answer potential questions. Of the tests run, the highest required sample size was used for the final required expected sample size. Power analyses were conducted using G*Power 3.1.3</w:t>
      </w:r>
      <w:r w:rsidRPr="001E0E72">
        <w:rPr>
          <w:rFonts w:ascii="Times New Roman" w:hAnsi="Times New Roman" w:cs="Times New Roman"/>
          <w:vertAlign w:val="superscript"/>
        </w:rPr>
        <w:t xml:space="preserve"> (</w:t>
      </w:r>
      <w:hyperlink r:id="rId11" w:tgtFrame="_blank" w:history="1">
        <w:r w:rsidRPr="001E0E72">
          <w:rPr>
            <w:rStyle w:val="Hyperlink"/>
            <w:rFonts w:ascii="Times New Roman" w:hAnsi="Times New Roman" w:cs="Times New Roman"/>
          </w:rPr>
          <w:t>http://www.psycho.uni-duesseldorf.de/abteilungen/aap/gpower3/</w:t>
        </w:r>
      </w:hyperlink>
      <w:r w:rsidRPr="001E0E72">
        <w:rPr>
          <w:rFonts w:ascii="Times New Roman" w:hAnsi="Times New Roman" w:cs="Times New Roman"/>
        </w:rPr>
        <w:t>). When analyzing whether a given value within a single frame a reference might vary from a reference point such as neutrality, an analysis of t-test on means differing from a constant was used.  A minimum sample size of only 54 was required for a medium effect size of 0.5 with α error probability at 0.05 and Power at 0.9 in a two-tailed test.  When analyzing across frames of reference to question whether two independent samples very on a given variable, an analysis of t-test on differences between two independent means was used.  A minimum total sample size of 128 (64 per frame) would be required for a medium effect size of 0.5 with α error probability at 0.05 and Power at 0.9.  When analyzing a question such as whether a grouped variable af</w:t>
      </w:r>
      <w:r>
        <w:rPr>
          <w:rFonts w:ascii="Times New Roman" w:hAnsi="Times New Roman" w:cs="Times New Roman"/>
        </w:rPr>
        <w:t xml:space="preserve">fected a mean, a fixed effects </w:t>
      </w:r>
      <w:proofErr w:type="spellStart"/>
      <w:r>
        <w:rPr>
          <w:rFonts w:ascii="Times New Roman" w:hAnsi="Times New Roman" w:cs="Times New Roman"/>
        </w:rPr>
        <w:t>A</w:t>
      </w:r>
      <w:r w:rsidRPr="001E0E72">
        <w:rPr>
          <w:rFonts w:ascii="Times New Roman" w:hAnsi="Times New Roman" w:cs="Times New Roman"/>
        </w:rPr>
        <w:t>nova</w:t>
      </w:r>
      <w:proofErr w:type="spellEnd"/>
      <w:r w:rsidRPr="001E0E72">
        <w:rPr>
          <w:rFonts w:ascii="Times New Roman" w:hAnsi="Times New Roman" w:cs="Times New Roman"/>
        </w:rPr>
        <w:t xml:space="preserve"> power analysis was used with a maximum of 10 groupings considered to coincide with the user categories. A minimum sample size of 270 was required for a medium effect size of 0.25 with α error probability at 0.05 and Power at 0.8. Therefore, the minimum sample size was set to 270 based on this calculation.</w:t>
      </w:r>
    </w:p>
    <w:p w:rsidR="00AE78E7" w:rsidRDefault="00AE78E7" w:rsidP="007811F6">
      <w:pPr>
        <w:autoSpaceDE w:val="0"/>
        <w:autoSpaceDN w:val="0"/>
        <w:adjustRightInd w:val="0"/>
        <w:spacing w:after="0" w:line="240" w:lineRule="auto"/>
        <w:rPr>
          <w:rFonts w:ascii="Times New Roman" w:hAnsi="Times New Roman" w:cs="Times New Roman"/>
        </w:rPr>
      </w:pPr>
    </w:p>
    <w:p w:rsidR="00AD14C9" w:rsidRPr="00AD14C9" w:rsidRDefault="00ED7210" w:rsidP="00AD14C9">
      <w:pPr>
        <w:pStyle w:val="NormalWeb"/>
        <w:spacing w:before="0" w:beforeAutospacing="0" w:after="0" w:afterAutospacing="0"/>
        <w:rPr>
          <w:b/>
          <w:sz w:val="22"/>
          <w:szCs w:val="22"/>
        </w:rPr>
      </w:pPr>
      <w:r>
        <w:rPr>
          <w:b/>
          <w:sz w:val="22"/>
          <w:szCs w:val="22"/>
        </w:rPr>
        <w:t>Clarification on proposing division of academic libraries to include college vs. K-12.</w:t>
      </w:r>
    </w:p>
    <w:p w:rsidR="00AD14C9" w:rsidRPr="001E0E72" w:rsidRDefault="00AD14C9" w:rsidP="00AD14C9">
      <w:pPr>
        <w:pStyle w:val="NormalWeb"/>
        <w:spacing w:before="0" w:beforeAutospacing="0" w:after="0" w:afterAutospacing="0"/>
        <w:rPr>
          <w:sz w:val="22"/>
          <w:szCs w:val="22"/>
        </w:rPr>
      </w:pPr>
      <w:r w:rsidRPr="001E0E72">
        <w:rPr>
          <w:sz w:val="22"/>
          <w:szCs w:val="22"/>
        </w:rPr>
        <w:t>K-12 libraries are not included in this survey, as they do not represent a primary user group for Opening History. “Academic libraries” is widely understood within the field to refer to libraries at post-secondary institutions. For example, the Academic Libraries Survey (ALS) conducted by the United States Department of Education's National Center for Education Statistics (NCES) defines an academic library as “an entity in a postsecondary institution that provides all of the following: an organized collection of printed or other materials, or a combination thereof; a staff trained to provide and interpret such materials as required to meet the informational, cultural, recreational, or educational needs of the clientele; an established schedule in which services of the staff are available to the clientele; and the physical facilities necessary to support such a collection, staff, and schedule…When academic libraries are referred to in this report, they will always be entities that are informational resources within degree-granting postsecondary institutions in the United States, including institutions that are eligible for Title IV aid and branch campuses of Title IV-eligible institutions” (</w:t>
      </w:r>
      <w:hyperlink r:id="rId12" w:history="1">
        <w:r w:rsidRPr="001E0E72">
          <w:rPr>
            <w:rStyle w:val="Hyperlink"/>
            <w:sz w:val="22"/>
            <w:szCs w:val="22"/>
          </w:rPr>
          <w:t>http://nces.ed.gov/pubs2010/2010348/index.asp</w:t>
        </w:r>
      </w:hyperlink>
      <w:r w:rsidRPr="001E0E72">
        <w:rPr>
          <w:sz w:val="22"/>
          <w:szCs w:val="22"/>
        </w:rPr>
        <w:t xml:space="preserve">).  We use the same definition for this survey. </w:t>
      </w:r>
    </w:p>
    <w:p w:rsidR="00AD14C9" w:rsidRDefault="00AD14C9" w:rsidP="007811F6">
      <w:pPr>
        <w:autoSpaceDE w:val="0"/>
        <w:autoSpaceDN w:val="0"/>
        <w:adjustRightInd w:val="0"/>
        <w:spacing w:after="0" w:line="240" w:lineRule="auto"/>
        <w:rPr>
          <w:rFonts w:ascii="Times New Roman" w:hAnsi="Times New Roman" w:cs="Times New Roman"/>
        </w:rPr>
      </w:pPr>
    </w:p>
    <w:p w:rsidR="00AD14C9" w:rsidRPr="00ED7210" w:rsidRDefault="00ED7210" w:rsidP="00AD14C9">
      <w:pPr>
        <w:autoSpaceDE w:val="0"/>
        <w:autoSpaceDN w:val="0"/>
        <w:adjustRightInd w:val="0"/>
        <w:spacing w:after="0" w:line="240" w:lineRule="auto"/>
        <w:rPr>
          <w:rFonts w:ascii="Times New Roman" w:hAnsi="Times New Roman" w:cs="Times New Roman"/>
          <w:b/>
        </w:rPr>
      </w:pPr>
      <w:r w:rsidRPr="00ED7210">
        <w:rPr>
          <w:rFonts w:ascii="Times New Roman" w:hAnsi="Times New Roman" w:cs="Times New Roman"/>
          <w:b/>
        </w:rPr>
        <w:t>Further information on IMLS use of standard size categories.</w:t>
      </w:r>
    </w:p>
    <w:p w:rsidR="00AD14C9" w:rsidRDefault="00AD14C9" w:rsidP="00AD14C9">
      <w:pPr>
        <w:pStyle w:val="NormalWeb"/>
        <w:spacing w:before="0" w:beforeAutospacing="0" w:after="0" w:afterAutospacing="0"/>
        <w:rPr>
          <w:sz w:val="22"/>
          <w:szCs w:val="22"/>
        </w:rPr>
      </w:pPr>
      <w:r w:rsidRPr="00646D3B">
        <w:t xml:space="preserve">Population served and full-time </w:t>
      </w:r>
      <w:r w:rsidR="00CE0970" w:rsidRPr="00646D3B">
        <w:t>enrollments are</w:t>
      </w:r>
      <w:r w:rsidRPr="00646D3B">
        <w:t xml:space="preserve"> standard size measures for public and academic libraries, respectively. </w:t>
      </w:r>
      <w:r w:rsidRPr="00646D3B">
        <w:rPr>
          <w:sz w:val="22"/>
          <w:szCs w:val="22"/>
        </w:rPr>
        <w:t>Population served (i.e. population of legal service area) is a key demographic metric in the IMLS Public Libraries Survey, the most recent publication of which is available at &lt;http://harvester.census.gov/imls/pubs/Publications/pls200</w:t>
      </w:r>
      <w:r w:rsidR="00ED7210">
        <w:rPr>
          <w:sz w:val="22"/>
          <w:szCs w:val="22"/>
        </w:rPr>
        <w:t>9</w:t>
      </w:r>
      <w:r w:rsidRPr="00646D3B">
        <w:rPr>
          <w:sz w:val="22"/>
          <w:szCs w:val="22"/>
        </w:rPr>
        <w:t>.pdf&gt;. In addition, as discussed below, population served is used by the American Library Association and other organizations as a standard size measure for determining institutional costs of membership. The Academic Libraries Survey (ALS) conducted by the United States Department of Education's National Center for Education Statistics (NCES) reports academic library size in terms of full-time enrollment: &lt;</w:t>
      </w:r>
      <w:hyperlink r:id="rId13" w:history="1">
        <w:r w:rsidRPr="00646D3B">
          <w:rPr>
            <w:sz w:val="22"/>
            <w:szCs w:val="22"/>
          </w:rPr>
          <w:t>http://nces.ed.gov/surveys/libraries/academic.asp</w:t>
        </w:r>
      </w:hyperlink>
      <w:r w:rsidRPr="00646D3B">
        <w:rPr>
          <w:sz w:val="22"/>
          <w:szCs w:val="22"/>
        </w:rPr>
        <w:t>&gt;.</w:t>
      </w:r>
      <w:r w:rsidRPr="0063637A">
        <w:rPr>
          <w:sz w:val="22"/>
          <w:szCs w:val="22"/>
        </w:rPr>
        <w:t xml:space="preserve"> </w:t>
      </w:r>
    </w:p>
    <w:p w:rsidR="00AD14C9" w:rsidRPr="00FB5757" w:rsidRDefault="00AD14C9" w:rsidP="00AD14C9">
      <w:pPr>
        <w:pStyle w:val="NormalWeb"/>
        <w:spacing w:before="0" w:beforeAutospacing="0" w:after="0" w:afterAutospacing="0"/>
        <w:ind w:firstLine="720"/>
        <w:rPr>
          <w:sz w:val="22"/>
          <w:szCs w:val="22"/>
        </w:rPr>
      </w:pPr>
    </w:p>
    <w:p w:rsidR="00AD14C9" w:rsidRPr="001E0E72" w:rsidRDefault="00AD14C9" w:rsidP="00AD14C9">
      <w:pPr>
        <w:autoSpaceDE w:val="0"/>
        <w:autoSpaceDN w:val="0"/>
        <w:adjustRightInd w:val="0"/>
        <w:spacing w:after="0"/>
        <w:rPr>
          <w:rFonts w:ascii="Times New Roman" w:hAnsi="Times New Roman" w:cs="Times New Roman"/>
        </w:rPr>
      </w:pPr>
      <w:r w:rsidRPr="001E0E72">
        <w:rPr>
          <w:rFonts w:ascii="Times New Roman" w:hAnsi="Times New Roman" w:cs="Times New Roman"/>
        </w:rPr>
        <w:t xml:space="preserve">Cutoffs for the categories of small, medium, and large for public libraries have been standardized by the American Library Association’s Definition of Levels for Organizational Membership:  </w:t>
      </w:r>
      <w:hyperlink r:id="rId14" w:history="1">
        <w:r w:rsidRPr="001E0E72">
          <w:rPr>
            <w:rStyle w:val="Hyperlink"/>
            <w:rFonts w:ascii="Times New Roman" w:hAnsi="Times New Roman" w:cs="Times New Roman"/>
          </w:rPr>
          <w:t>http://www.ala.org/ala/membership/aladues/index.cfm</w:t>
        </w:r>
      </w:hyperlink>
      <w:r w:rsidRPr="001E0E72">
        <w:rPr>
          <w:rFonts w:ascii="Times New Roman" w:hAnsi="Times New Roman" w:cs="Times New Roman"/>
        </w:rPr>
        <w:t xml:space="preserve">. The NCES ALS referenced above makes use of 6 </w:t>
      </w:r>
      <w:r w:rsidRPr="001E0E72">
        <w:rPr>
          <w:rFonts w:ascii="Times New Roman" w:hAnsi="Times New Roman" w:cs="Times New Roman"/>
        </w:rPr>
        <w:lastRenderedPageBreak/>
        <w:t xml:space="preserve">size categories for academic libraries (Less than 1,000; 1,000-2,999; 3,000-4,999; 5,000-9,999; 10,000-19,999; 20,000 or more). We </w:t>
      </w:r>
      <w:r>
        <w:rPr>
          <w:rFonts w:ascii="Times New Roman" w:hAnsi="Times New Roman" w:cs="Times New Roman"/>
        </w:rPr>
        <w:t>have collapsed</w:t>
      </w:r>
      <w:r w:rsidRPr="001E0E72">
        <w:rPr>
          <w:rFonts w:ascii="Times New Roman" w:hAnsi="Times New Roman" w:cs="Times New Roman"/>
        </w:rPr>
        <w:t xml:space="preserve"> these into 3 categories (Less than 3,000; 3,000 – 9,999; and 10,000 or more) in part to decrease the navigational, selection, and time burden for the user, in part to parallel the options provided for public library responses, and because we do not need</w:t>
      </w:r>
      <w:r>
        <w:rPr>
          <w:rFonts w:ascii="Times New Roman" w:hAnsi="Times New Roman" w:cs="Times New Roman"/>
        </w:rPr>
        <w:t>ing</w:t>
      </w:r>
      <w:r w:rsidRPr="001E0E72">
        <w:rPr>
          <w:rFonts w:ascii="Times New Roman" w:hAnsi="Times New Roman" w:cs="Times New Roman"/>
        </w:rPr>
        <w:t xml:space="preserve"> </w:t>
      </w:r>
      <w:r>
        <w:rPr>
          <w:rFonts w:ascii="Times New Roman" w:hAnsi="Times New Roman" w:cs="Times New Roman"/>
        </w:rPr>
        <w:t xml:space="preserve">more detailed </w:t>
      </w:r>
      <w:r w:rsidRPr="001E0E72">
        <w:rPr>
          <w:rFonts w:ascii="Times New Roman" w:hAnsi="Times New Roman" w:cs="Times New Roman"/>
        </w:rPr>
        <w:t xml:space="preserve">data to meet the analysis objectives of the </w:t>
      </w:r>
      <w:r>
        <w:rPr>
          <w:rFonts w:ascii="Times New Roman" w:hAnsi="Times New Roman" w:cs="Times New Roman"/>
        </w:rPr>
        <w:t>project</w:t>
      </w:r>
      <w:r w:rsidRPr="001E0E72">
        <w:rPr>
          <w:rFonts w:ascii="Times New Roman" w:hAnsi="Times New Roman" w:cs="Times New Roman"/>
        </w:rPr>
        <w:t>.</w:t>
      </w:r>
    </w:p>
    <w:p w:rsidR="00AD14C9" w:rsidRDefault="00AD14C9" w:rsidP="007811F6">
      <w:pPr>
        <w:autoSpaceDE w:val="0"/>
        <w:autoSpaceDN w:val="0"/>
        <w:adjustRightInd w:val="0"/>
        <w:spacing w:after="0" w:line="240" w:lineRule="auto"/>
        <w:rPr>
          <w:rFonts w:ascii="Times New Roman" w:hAnsi="Times New Roman" w:cs="Times New Roman"/>
          <w:b/>
        </w:rPr>
      </w:pPr>
    </w:p>
    <w:p w:rsidR="00AD14C9" w:rsidRPr="00AD14C9" w:rsidRDefault="00ED7210" w:rsidP="00AD14C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Further information on open ended comment boxes, presentation plan and character limit.</w:t>
      </w:r>
    </w:p>
    <w:p w:rsidR="00AD14C9" w:rsidRPr="00AD14C9" w:rsidRDefault="00AD14C9" w:rsidP="007811F6">
      <w:pPr>
        <w:autoSpaceDE w:val="0"/>
        <w:autoSpaceDN w:val="0"/>
        <w:adjustRightInd w:val="0"/>
        <w:spacing w:after="0" w:line="240" w:lineRule="auto"/>
        <w:rPr>
          <w:rFonts w:ascii="Times New Roman" w:hAnsi="Times New Roman" w:cs="Times New Roman"/>
          <w:sz w:val="20"/>
          <w:szCs w:val="20"/>
        </w:rPr>
      </w:pPr>
      <w:r w:rsidRPr="001E0E72">
        <w:rPr>
          <w:rFonts w:ascii="Times New Roman" w:hAnsi="Times New Roman" w:cs="Times New Roman"/>
        </w:rPr>
        <w:t xml:space="preserve">Comments will be categorized according to a coding schema grounded on themes or patterns present in responses. In this way, the schema will not be predefined or artificially imposed on comments. The schema will be developed through an iterative process of reading and creating or refining categories to summarize and relate open-ended comments. Once comments have been categorized or coded, overarching patterns or trends will be identified and analyzed. In reporting, comments that represent identified categories and themes will be presented. We will only report comments that (1) represent </w:t>
      </w:r>
      <w:r>
        <w:rPr>
          <w:rFonts w:ascii="Times New Roman" w:hAnsi="Times New Roman" w:cs="Times New Roman"/>
        </w:rPr>
        <w:t>modal</w:t>
      </w:r>
      <w:r w:rsidRPr="001E0E72">
        <w:rPr>
          <w:rFonts w:ascii="Times New Roman" w:hAnsi="Times New Roman" w:cs="Times New Roman"/>
        </w:rPr>
        <w:t xml:space="preserve"> responses, or (2) offer insights that might motivate future lines of inquiry or suggest a need for future work. In these cases, excerpted examples may be provided (with no identifying information, as the consent and privacy statements state). We also plan to provide a character limit of 1,000 characters for open-ended responses. </w:t>
      </w:r>
    </w:p>
    <w:p w:rsidR="00AD14C9" w:rsidRPr="008A7B57" w:rsidRDefault="00AD14C9" w:rsidP="007811F6">
      <w:pPr>
        <w:autoSpaceDE w:val="0"/>
        <w:autoSpaceDN w:val="0"/>
        <w:adjustRightInd w:val="0"/>
        <w:spacing w:after="0" w:line="240" w:lineRule="auto"/>
        <w:rPr>
          <w:rFonts w:ascii="Times New Roman" w:hAnsi="Times New Roman" w:cs="Times New Roman"/>
        </w:rPr>
      </w:pPr>
    </w:p>
    <w:p w:rsidR="007811F6" w:rsidRPr="00435517" w:rsidRDefault="007811F6" w:rsidP="007811F6">
      <w:pPr>
        <w:autoSpaceDE w:val="0"/>
        <w:autoSpaceDN w:val="0"/>
        <w:adjustRightInd w:val="0"/>
        <w:spacing w:after="0" w:line="240" w:lineRule="auto"/>
        <w:rPr>
          <w:rFonts w:ascii="Times New Roman" w:hAnsi="Times New Roman" w:cs="Times New Roman"/>
          <w:b/>
        </w:rPr>
      </w:pPr>
      <w:r w:rsidRPr="00435517">
        <w:rPr>
          <w:rFonts w:ascii="Times New Roman" w:hAnsi="Times New Roman" w:cs="Times New Roman"/>
          <w:b/>
        </w:rPr>
        <w:t>3. Describe methods to maximize response rates and to</w:t>
      </w:r>
      <w:r w:rsidR="00473196" w:rsidRPr="00435517">
        <w:rPr>
          <w:rFonts w:ascii="Times New Roman" w:hAnsi="Times New Roman" w:cs="Times New Roman"/>
          <w:b/>
        </w:rPr>
        <w:t xml:space="preserve"> </w:t>
      </w:r>
      <w:r w:rsidRPr="00435517">
        <w:rPr>
          <w:rFonts w:ascii="Times New Roman" w:hAnsi="Times New Roman" w:cs="Times New Roman"/>
          <w:b/>
        </w:rPr>
        <w:t>deal with issues of non-response. The accuracy and</w:t>
      </w:r>
      <w:r w:rsidR="00473196" w:rsidRPr="00435517">
        <w:rPr>
          <w:rFonts w:ascii="Times New Roman" w:hAnsi="Times New Roman" w:cs="Times New Roman"/>
          <w:b/>
        </w:rPr>
        <w:t xml:space="preserve"> </w:t>
      </w:r>
      <w:r w:rsidRPr="00435517">
        <w:rPr>
          <w:rFonts w:ascii="Times New Roman" w:hAnsi="Times New Roman" w:cs="Times New Roman"/>
          <w:b/>
        </w:rPr>
        <w:t>reliability of information collected must be shown to be</w:t>
      </w:r>
      <w:r w:rsidR="00473196" w:rsidRPr="00435517">
        <w:rPr>
          <w:rFonts w:ascii="Times New Roman" w:hAnsi="Times New Roman" w:cs="Times New Roman"/>
          <w:b/>
        </w:rPr>
        <w:t xml:space="preserve"> </w:t>
      </w:r>
      <w:r w:rsidRPr="00435517">
        <w:rPr>
          <w:rFonts w:ascii="Times New Roman" w:hAnsi="Times New Roman" w:cs="Times New Roman"/>
          <w:b/>
        </w:rPr>
        <w:t>adequate for intended uses. For collections based on</w:t>
      </w:r>
      <w:r w:rsidR="00473196" w:rsidRPr="00435517">
        <w:rPr>
          <w:rFonts w:ascii="Times New Roman" w:hAnsi="Times New Roman" w:cs="Times New Roman"/>
          <w:b/>
        </w:rPr>
        <w:t xml:space="preserve"> </w:t>
      </w:r>
      <w:r w:rsidRPr="00435517">
        <w:rPr>
          <w:rFonts w:ascii="Times New Roman" w:hAnsi="Times New Roman" w:cs="Times New Roman"/>
          <w:b/>
        </w:rPr>
        <w:t>sampling, a special justification must be provided for any</w:t>
      </w:r>
      <w:r w:rsidR="00473196" w:rsidRPr="00435517">
        <w:rPr>
          <w:rFonts w:ascii="Times New Roman" w:hAnsi="Times New Roman" w:cs="Times New Roman"/>
          <w:b/>
        </w:rPr>
        <w:t xml:space="preserve"> </w:t>
      </w:r>
      <w:r w:rsidRPr="00435517">
        <w:rPr>
          <w:rFonts w:ascii="Times New Roman" w:hAnsi="Times New Roman" w:cs="Times New Roman"/>
          <w:b/>
        </w:rPr>
        <w:t>collection that will not yield "reliable" data that can be</w:t>
      </w:r>
      <w:r w:rsidR="00473196" w:rsidRPr="00435517">
        <w:rPr>
          <w:rFonts w:ascii="Times New Roman" w:hAnsi="Times New Roman" w:cs="Times New Roman"/>
          <w:b/>
        </w:rPr>
        <w:t xml:space="preserve"> </w:t>
      </w:r>
      <w:r w:rsidRPr="00435517">
        <w:rPr>
          <w:rFonts w:ascii="Times New Roman" w:hAnsi="Times New Roman" w:cs="Times New Roman"/>
          <w:b/>
        </w:rPr>
        <w:t>generalized to the universe studied.</w:t>
      </w:r>
    </w:p>
    <w:p w:rsidR="00473196" w:rsidRDefault="00473196" w:rsidP="007811F6">
      <w:pPr>
        <w:autoSpaceDE w:val="0"/>
        <w:autoSpaceDN w:val="0"/>
        <w:adjustRightInd w:val="0"/>
        <w:spacing w:after="0" w:line="240" w:lineRule="auto"/>
        <w:rPr>
          <w:rFonts w:ascii="Times New Roman" w:hAnsi="Times New Roman" w:cs="Times New Roman"/>
        </w:rPr>
      </w:pPr>
    </w:p>
    <w:p w:rsidR="00325A0E" w:rsidRDefault="00473196" w:rsidP="007811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We will maximize response rates by:</w:t>
      </w:r>
    </w:p>
    <w:p w:rsidR="00441BF3" w:rsidRDefault="00AE4355" w:rsidP="00473196">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T</w:t>
      </w:r>
      <w:r w:rsidR="009F7FEE" w:rsidRPr="009F7FEE">
        <w:rPr>
          <w:rFonts w:ascii="Times New Roman" w:hAnsi="Times New Roman" w:cs="Times New Roman"/>
        </w:rPr>
        <w:t>argeting individual reference service providers at each institution</w:t>
      </w:r>
      <w:r>
        <w:rPr>
          <w:rFonts w:ascii="Times New Roman" w:hAnsi="Times New Roman" w:cs="Times New Roman"/>
        </w:rPr>
        <w:t xml:space="preserve"> for initial contact</w:t>
      </w:r>
      <w:r w:rsidR="009F7FEE" w:rsidRPr="009F7FEE">
        <w:rPr>
          <w:rFonts w:ascii="Times New Roman" w:hAnsi="Times New Roman" w:cs="Times New Roman"/>
        </w:rPr>
        <w:t xml:space="preserve">, and </w:t>
      </w:r>
      <w:r w:rsidR="009F7FEE">
        <w:rPr>
          <w:rFonts w:ascii="Times New Roman" w:hAnsi="Times New Roman" w:cs="Times New Roman"/>
        </w:rPr>
        <w:t>e</w:t>
      </w:r>
      <w:r w:rsidR="00441BF3" w:rsidRPr="009F7FEE">
        <w:rPr>
          <w:rFonts w:ascii="Times New Roman" w:hAnsi="Times New Roman" w:cs="Times New Roman"/>
        </w:rPr>
        <w:t>nsuring</w:t>
      </w:r>
      <w:r w:rsidR="009F7FEE">
        <w:rPr>
          <w:rFonts w:ascii="Times New Roman" w:hAnsi="Times New Roman" w:cs="Times New Roman"/>
        </w:rPr>
        <w:t xml:space="preserve"> in the </w:t>
      </w:r>
      <w:r>
        <w:rPr>
          <w:rFonts w:ascii="Times New Roman" w:hAnsi="Times New Roman" w:cs="Times New Roman"/>
        </w:rPr>
        <w:t>initial contact</w:t>
      </w:r>
      <w:r w:rsidR="009F7FEE">
        <w:rPr>
          <w:rFonts w:ascii="Times New Roman" w:hAnsi="Times New Roman" w:cs="Times New Roman"/>
        </w:rPr>
        <w:t xml:space="preserve"> that th</w:t>
      </w:r>
      <w:r w:rsidR="00441BF3" w:rsidRPr="009F7FEE">
        <w:rPr>
          <w:rFonts w:ascii="Times New Roman" w:hAnsi="Times New Roman" w:cs="Times New Roman"/>
        </w:rPr>
        <w:t>e nature of the burden is clear to potential respondents</w:t>
      </w:r>
    </w:p>
    <w:p w:rsidR="00441BF3" w:rsidRDefault="00441BF3" w:rsidP="00473196">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Relying on a web-based rather than paper survey, all on a single page </w:t>
      </w:r>
    </w:p>
    <w:p w:rsidR="009F7FEE" w:rsidRPr="00AE4355" w:rsidRDefault="00441BF3" w:rsidP="00AE4355">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Reducing </w:t>
      </w:r>
      <w:r w:rsidR="009F7FEE">
        <w:rPr>
          <w:rFonts w:ascii="Times New Roman" w:hAnsi="Times New Roman" w:cs="Times New Roman"/>
        </w:rPr>
        <w:t xml:space="preserve">time </w:t>
      </w:r>
      <w:r>
        <w:rPr>
          <w:rFonts w:ascii="Times New Roman" w:hAnsi="Times New Roman" w:cs="Times New Roman"/>
        </w:rPr>
        <w:t xml:space="preserve">burden by asking only </w:t>
      </w:r>
      <w:r w:rsidR="007C128F">
        <w:rPr>
          <w:rFonts w:ascii="Times New Roman" w:hAnsi="Times New Roman" w:cs="Times New Roman"/>
        </w:rPr>
        <w:t xml:space="preserve">16 </w:t>
      </w:r>
      <w:r w:rsidR="009F7FEE">
        <w:rPr>
          <w:rFonts w:ascii="Times New Roman" w:hAnsi="Times New Roman" w:cs="Times New Roman"/>
        </w:rPr>
        <w:t>questions</w:t>
      </w:r>
      <w:r>
        <w:rPr>
          <w:rFonts w:ascii="Times New Roman" w:hAnsi="Times New Roman" w:cs="Times New Roman"/>
        </w:rPr>
        <w:t xml:space="preserve">, </w:t>
      </w:r>
      <w:r w:rsidR="00325A0E">
        <w:rPr>
          <w:rFonts w:ascii="Times New Roman" w:hAnsi="Times New Roman" w:cs="Times New Roman"/>
        </w:rPr>
        <w:t xml:space="preserve">of which all but </w:t>
      </w:r>
      <w:r w:rsidR="00E85314">
        <w:rPr>
          <w:rFonts w:ascii="Times New Roman" w:hAnsi="Times New Roman" w:cs="Times New Roman"/>
        </w:rPr>
        <w:t>5</w:t>
      </w:r>
      <w:r w:rsidR="007C128F">
        <w:rPr>
          <w:rFonts w:ascii="Times New Roman" w:hAnsi="Times New Roman" w:cs="Times New Roman"/>
        </w:rPr>
        <w:t xml:space="preserve"> </w:t>
      </w:r>
      <w:r w:rsidR="00325A0E">
        <w:rPr>
          <w:rFonts w:ascii="Times New Roman" w:hAnsi="Times New Roman" w:cs="Times New Roman"/>
        </w:rPr>
        <w:t>are</w:t>
      </w:r>
      <w:r w:rsidR="009F7FEE">
        <w:rPr>
          <w:rFonts w:ascii="Times New Roman" w:hAnsi="Times New Roman" w:cs="Times New Roman"/>
        </w:rPr>
        <w:t xml:space="preserve"> </w:t>
      </w:r>
      <w:r>
        <w:rPr>
          <w:rFonts w:ascii="Times New Roman" w:hAnsi="Times New Roman" w:cs="Times New Roman"/>
        </w:rPr>
        <w:t>closed-ended</w:t>
      </w:r>
    </w:p>
    <w:p w:rsidR="00AE4355" w:rsidRDefault="00AE4355" w:rsidP="00AE4355">
      <w:pPr>
        <w:pStyle w:val="ListParagraph"/>
        <w:numPr>
          <w:ilvl w:val="0"/>
          <w:numId w:val="2"/>
        </w:numPr>
        <w:autoSpaceDE w:val="0"/>
        <w:autoSpaceDN w:val="0"/>
        <w:adjustRightInd w:val="0"/>
        <w:spacing w:after="0" w:line="240" w:lineRule="auto"/>
        <w:rPr>
          <w:rFonts w:ascii="Times New Roman" w:hAnsi="Times New Roman" w:cs="Times New Roman"/>
        </w:rPr>
      </w:pPr>
      <w:r w:rsidRPr="00AE4355">
        <w:rPr>
          <w:rFonts w:ascii="Times New Roman" w:hAnsi="Times New Roman" w:cs="Times New Roman"/>
        </w:rPr>
        <w:t>Ensuring that initial contact makes clear the source of the survey and the benefit of participation (exposure to a new resource, potential to improve the resource for the public)</w:t>
      </w:r>
    </w:p>
    <w:p w:rsidR="00456BF2" w:rsidRPr="00456BF2" w:rsidRDefault="003F289C" w:rsidP="00456BF2">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S</w:t>
      </w:r>
      <w:r w:rsidR="00456BF2" w:rsidRPr="00AE4355">
        <w:rPr>
          <w:rFonts w:ascii="Times New Roman" w:hAnsi="Times New Roman" w:cs="Times New Roman"/>
        </w:rPr>
        <w:t xml:space="preserve">ending </w:t>
      </w:r>
      <w:r>
        <w:rPr>
          <w:rFonts w:ascii="Times New Roman" w:hAnsi="Times New Roman" w:cs="Times New Roman"/>
        </w:rPr>
        <w:t xml:space="preserve">a </w:t>
      </w:r>
      <w:r w:rsidR="00456BF2" w:rsidRPr="00AE4355">
        <w:rPr>
          <w:rFonts w:ascii="Times New Roman" w:hAnsi="Times New Roman" w:cs="Times New Roman"/>
        </w:rPr>
        <w:t>follow-up</w:t>
      </w:r>
      <w:r w:rsidR="00456BF2">
        <w:rPr>
          <w:rFonts w:ascii="Times New Roman" w:hAnsi="Times New Roman" w:cs="Times New Roman"/>
        </w:rPr>
        <w:t xml:space="preserve"> reminder </w:t>
      </w:r>
      <w:r>
        <w:rPr>
          <w:rFonts w:ascii="Times New Roman" w:hAnsi="Times New Roman" w:cs="Times New Roman"/>
        </w:rPr>
        <w:t xml:space="preserve">email to non-respondents 2 weeks after issuing initial contacts; sending a second wave of follow-up reminders to remaining non-respondents after one month.  </w:t>
      </w:r>
    </w:p>
    <w:p w:rsidR="00AE4355" w:rsidRPr="00AE4355" w:rsidRDefault="00AE4355" w:rsidP="00AE4355">
      <w:pPr>
        <w:autoSpaceDE w:val="0"/>
        <w:autoSpaceDN w:val="0"/>
        <w:adjustRightInd w:val="0"/>
        <w:spacing w:after="0" w:line="240" w:lineRule="auto"/>
        <w:rPr>
          <w:rFonts w:ascii="Times New Roman" w:hAnsi="Times New Roman" w:cs="Times New Roman"/>
        </w:rPr>
      </w:pPr>
    </w:p>
    <w:p w:rsidR="00010E3F" w:rsidRDefault="00520B68" w:rsidP="007811F6">
      <w:pPr>
        <w:autoSpaceDE w:val="0"/>
        <w:autoSpaceDN w:val="0"/>
        <w:adjustRightInd w:val="0"/>
        <w:spacing w:after="0" w:line="240" w:lineRule="auto"/>
        <w:rPr>
          <w:rFonts w:ascii="Times New Roman" w:hAnsi="Times New Roman" w:cs="Times New Roman"/>
        </w:rPr>
      </w:pPr>
      <w:r w:rsidRPr="00520B68">
        <w:rPr>
          <w:rFonts w:ascii="Times New Roman" w:hAnsi="Times New Roman" w:cs="Times New Roman"/>
        </w:rPr>
        <w:t xml:space="preserve">The data collection will be adequate to </w:t>
      </w:r>
      <w:r>
        <w:rPr>
          <w:rFonts w:ascii="Times New Roman" w:hAnsi="Times New Roman" w:cs="Times New Roman"/>
        </w:rPr>
        <w:t xml:space="preserve">provide a solid </w:t>
      </w:r>
      <w:r w:rsidR="00325A0E">
        <w:rPr>
          <w:rFonts w:ascii="Times New Roman" w:hAnsi="Times New Roman" w:cs="Times New Roman"/>
        </w:rPr>
        <w:t xml:space="preserve">assessment of the content and presentation </w:t>
      </w:r>
      <w:r>
        <w:rPr>
          <w:rFonts w:ascii="Times New Roman" w:hAnsi="Times New Roman" w:cs="Times New Roman"/>
        </w:rPr>
        <w:t xml:space="preserve">of the Opening History resource </w:t>
      </w:r>
      <w:r w:rsidRPr="00520B68">
        <w:rPr>
          <w:rFonts w:ascii="Times New Roman" w:hAnsi="Times New Roman" w:cs="Times New Roman"/>
        </w:rPr>
        <w:t>using descriptive statistics reports</w:t>
      </w:r>
      <w:r>
        <w:rPr>
          <w:rFonts w:ascii="Times New Roman" w:hAnsi="Times New Roman" w:cs="Times New Roman"/>
        </w:rPr>
        <w:t>.</w:t>
      </w:r>
    </w:p>
    <w:p w:rsidR="00520B68" w:rsidRDefault="00520B68" w:rsidP="007811F6">
      <w:pPr>
        <w:autoSpaceDE w:val="0"/>
        <w:autoSpaceDN w:val="0"/>
        <w:adjustRightInd w:val="0"/>
        <w:spacing w:after="0" w:line="240" w:lineRule="auto"/>
        <w:rPr>
          <w:rFonts w:ascii="Times New Roman" w:hAnsi="Times New Roman" w:cs="Times New Roman"/>
        </w:rPr>
      </w:pPr>
    </w:p>
    <w:p w:rsidR="00AD14C9" w:rsidRPr="00AD14C9" w:rsidRDefault="0083598C" w:rsidP="002E0C7B">
      <w:pPr>
        <w:spacing w:after="0" w:line="240" w:lineRule="auto"/>
        <w:rPr>
          <w:rFonts w:ascii="Times New Roman" w:hAnsi="Times New Roman" w:cs="Times New Roman"/>
          <w:b/>
        </w:rPr>
      </w:pPr>
      <w:r>
        <w:rPr>
          <w:rFonts w:ascii="Times New Roman" w:hAnsi="Times New Roman" w:cs="Times New Roman"/>
          <w:b/>
        </w:rPr>
        <w:t xml:space="preserve">Further information on best practices for sending advance letters, frequent reminders to </w:t>
      </w:r>
      <w:proofErr w:type="spellStart"/>
      <w:r>
        <w:rPr>
          <w:rFonts w:ascii="Times New Roman" w:hAnsi="Times New Roman" w:cs="Times New Roman"/>
          <w:b/>
        </w:rPr>
        <w:t>nonrespondents</w:t>
      </w:r>
      <w:proofErr w:type="spellEnd"/>
      <w:r>
        <w:rPr>
          <w:rFonts w:ascii="Times New Roman" w:hAnsi="Times New Roman" w:cs="Times New Roman"/>
          <w:b/>
        </w:rPr>
        <w:t>, “Last Chance” reminders, hardcopy letters/reminders and e-mails.</w:t>
      </w:r>
    </w:p>
    <w:p w:rsidR="00AD14C9" w:rsidRDefault="00AD14C9" w:rsidP="002E0C7B">
      <w:pPr>
        <w:spacing w:after="0" w:line="240" w:lineRule="auto"/>
        <w:rPr>
          <w:rFonts w:ascii="Times New Roman" w:hAnsi="Times New Roman" w:cs="Times New Roman"/>
        </w:rPr>
      </w:pPr>
      <w:r w:rsidRPr="001E0E72">
        <w:rPr>
          <w:rFonts w:ascii="Times New Roman" w:hAnsi="Times New Roman" w:cs="Times New Roman"/>
        </w:rPr>
        <w:t>We will revise our initial follow-up plans to send weekly reminders and a final “Last Chance” reminder before the end of data collection. We will also plan to send the final reminder in hardcopy in addition to email.</w:t>
      </w:r>
    </w:p>
    <w:p w:rsidR="00AD14C9" w:rsidRDefault="00AD14C9" w:rsidP="002E0C7B">
      <w:pPr>
        <w:autoSpaceDE w:val="0"/>
        <w:autoSpaceDN w:val="0"/>
        <w:adjustRightInd w:val="0"/>
        <w:spacing w:after="0" w:line="240" w:lineRule="auto"/>
        <w:rPr>
          <w:rFonts w:ascii="Times New Roman" w:hAnsi="Times New Roman" w:cs="Times New Roman"/>
        </w:rPr>
      </w:pPr>
    </w:p>
    <w:p w:rsidR="002E0C7B" w:rsidRPr="002E0C7B" w:rsidRDefault="00CD0B7D" w:rsidP="0060742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Further information on sampling frames to </w:t>
      </w:r>
      <w:r w:rsidRPr="00607427">
        <w:rPr>
          <w:rFonts w:ascii="Times New Roman" w:hAnsi="Times New Roman" w:cs="Times New Roman"/>
          <w:b/>
        </w:rPr>
        <w:t xml:space="preserve">evaluate potential differences between respondents and </w:t>
      </w:r>
      <w:proofErr w:type="spellStart"/>
      <w:r w:rsidRPr="00607427">
        <w:rPr>
          <w:rFonts w:ascii="Times New Roman" w:hAnsi="Times New Roman" w:cs="Times New Roman"/>
          <w:b/>
        </w:rPr>
        <w:t>nonrespondents</w:t>
      </w:r>
      <w:proofErr w:type="spellEnd"/>
      <w:r>
        <w:rPr>
          <w:rFonts w:ascii="Times New Roman" w:hAnsi="Times New Roman" w:cs="Times New Roman"/>
          <w:b/>
        </w:rPr>
        <w:t>.</w:t>
      </w:r>
    </w:p>
    <w:p w:rsidR="00607427" w:rsidRDefault="00607427" w:rsidP="00607427">
      <w:pPr>
        <w:spacing w:after="0" w:line="240" w:lineRule="auto"/>
        <w:rPr>
          <w:rFonts w:ascii="Times New Roman" w:hAnsi="Times New Roman" w:cs="Times New Roman"/>
        </w:rPr>
      </w:pPr>
      <w:r w:rsidRPr="001E0E72">
        <w:rPr>
          <w:rFonts w:ascii="Times New Roman" w:hAnsi="Times New Roman" w:cs="Times New Roman"/>
        </w:rPr>
        <w:t xml:space="preserve">For public libraries, we have the following pertinent information to evaluate potential differences between respondents and </w:t>
      </w:r>
      <w:proofErr w:type="spellStart"/>
      <w:r w:rsidRPr="001E0E72">
        <w:rPr>
          <w:rFonts w:ascii="Times New Roman" w:hAnsi="Times New Roman" w:cs="Times New Roman"/>
        </w:rPr>
        <w:t>nonrespondents</w:t>
      </w:r>
      <w:proofErr w:type="spellEnd"/>
      <w:r w:rsidRPr="001E0E72">
        <w:rPr>
          <w:rFonts w:ascii="Times New Roman" w:hAnsi="Times New Roman" w:cs="Times New Roman"/>
        </w:rPr>
        <w:t xml:space="preserve">: location, population served, circulation, holdings, expenditures, and </w:t>
      </w:r>
      <w:r>
        <w:rPr>
          <w:rFonts w:ascii="Times New Roman" w:hAnsi="Times New Roman" w:cs="Times New Roman"/>
        </w:rPr>
        <w:t>revenue</w:t>
      </w:r>
      <w:r w:rsidRPr="001E0E72">
        <w:rPr>
          <w:rFonts w:ascii="Times New Roman" w:hAnsi="Times New Roman" w:cs="Times New Roman"/>
        </w:rPr>
        <w:t xml:space="preserve">. For academic libraries, we have the following: location, Carnegie classification, full-time enrollment, circulation, holdings, </w:t>
      </w:r>
      <w:r>
        <w:rPr>
          <w:rFonts w:ascii="Times New Roman" w:hAnsi="Times New Roman" w:cs="Times New Roman"/>
        </w:rPr>
        <w:t xml:space="preserve">and </w:t>
      </w:r>
      <w:r w:rsidRPr="001E0E72">
        <w:rPr>
          <w:rFonts w:ascii="Times New Roman" w:hAnsi="Times New Roman" w:cs="Times New Roman"/>
        </w:rPr>
        <w:t xml:space="preserve">expenditures. </w:t>
      </w:r>
    </w:p>
    <w:p w:rsidR="00607427" w:rsidRDefault="00607427" w:rsidP="00607427">
      <w:pPr>
        <w:spacing w:after="0" w:line="240" w:lineRule="auto"/>
        <w:rPr>
          <w:rFonts w:ascii="Times New Roman" w:hAnsi="Times New Roman" w:cs="Times New Roman"/>
        </w:rPr>
      </w:pPr>
    </w:p>
    <w:p w:rsidR="00607427" w:rsidRDefault="00607427" w:rsidP="00607427">
      <w:pPr>
        <w:spacing w:after="0" w:line="240" w:lineRule="auto"/>
        <w:rPr>
          <w:rFonts w:ascii="Times New Roman" w:hAnsi="Times New Roman" w:cs="Times New Roman"/>
        </w:rPr>
      </w:pPr>
      <w:r w:rsidRPr="00034E47">
        <w:rPr>
          <w:rFonts w:ascii="Times New Roman" w:hAnsi="Times New Roman" w:cs="Times New Roman"/>
        </w:rPr>
        <w:lastRenderedPageBreak/>
        <w:t>We plan to perform supplemental non-response analysis on</w:t>
      </w:r>
      <w:r>
        <w:rPr>
          <w:rFonts w:ascii="Times New Roman" w:hAnsi="Times New Roman" w:cs="Times New Roman"/>
        </w:rPr>
        <w:t xml:space="preserve"> </w:t>
      </w:r>
      <w:r w:rsidRPr="00034E47">
        <w:rPr>
          <w:rFonts w:ascii="Times New Roman" w:hAnsi="Times New Roman" w:cs="Times New Roman"/>
        </w:rPr>
        <w:t xml:space="preserve">the dimensions that </w:t>
      </w:r>
      <w:r>
        <w:rPr>
          <w:rFonts w:ascii="Times New Roman" w:hAnsi="Times New Roman" w:cs="Times New Roman"/>
        </w:rPr>
        <w:t>relate to</w:t>
      </w:r>
      <w:r w:rsidRPr="00034E47">
        <w:rPr>
          <w:rFonts w:ascii="Times New Roman" w:hAnsi="Times New Roman" w:cs="Times New Roman"/>
        </w:rPr>
        <w:t xml:space="preserve"> location and size of institution</w:t>
      </w:r>
      <w:r>
        <w:rPr>
          <w:rFonts w:ascii="Times New Roman" w:hAnsi="Times New Roman" w:cs="Times New Roman"/>
        </w:rPr>
        <w:t xml:space="preserve"> (indicated by </w:t>
      </w:r>
      <w:r w:rsidRPr="00034E47">
        <w:rPr>
          <w:rFonts w:ascii="Times New Roman" w:hAnsi="Times New Roman" w:cs="Times New Roman"/>
        </w:rPr>
        <w:t>population served for public libraries and full-time enrollment for academic libraries</w:t>
      </w:r>
      <w:r>
        <w:rPr>
          <w:rFonts w:ascii="Times New Roman" w:hAnsi="Times New Roman" w:cs="Times New Roman"/>
        </w:rPr>
        <w:t xml:space="preserve">), and expenditures. </w:t>
      </w:r>
      <w:r w:rsidRPr="00034E47">
        <w:rPr>
          <w:rFonts w:ascii="Times New Roman" w:hAnsi="Times New Roman" w:cs="Times New Roman"/>
        </w:rPr>
        <w:t xml:space="preserve">We expect that these </w:t>
      </w:r>
      <w:r>
        <w:rPr>
          <w:rFonts w:ascii="Times New Roman" w:hAnsi="Times New Roman" w:cs="Times New Roman"/>
        </w:rPr>
        <w:t>three</w:t>
      </w:r>
      <w:r w:rsidRPr="00034E47">
        <w:rPr>
          <w:rFonts w:ascii="Times New Roman" w:hAnsi="Times New Roman" w:cs="Times New Roman"/>
        </w:rPr>
        <w:t xml:space="preserve"> dimensions </w:t>
      </w:r>
      <w:r>
        <w:rPr>
          <w:rFonts w:ascii="Times New Roman" w:hAnsi="Times New Roman" w:cs="Times New Roman"/>
        </w:rPr>
        <w:t xml:space="preserve">will reflect possible </w:t>
      </w:r>
      <w:r w:rsidRPr="00034E47">
        <w:rPr>
          <w:rFonts w:ascii="Times New Roman" w:hAnsi="Times New Roman" w:cs="Times New Roman"/>
        </w:rPr>
        <w:t xml:space="preserve">bias </w:t>
      </w:r>
      <w:r>
        <w:rPr>
          <w:rFonts w:ascii="Times New Roman" w:hAnsi="Times New Roman" w:cs="Times New Roman"/>
        </w:rPr>
        <w:t>related to geographic region and institutional resource demands as indicated by extent of service population and resource expenditures.  Expenditures reflect actual resource allocations by institutions and are a commonly referenced indicator (</w:t>
      </w:r>
      <w:hyperlink r:id="rId15" w:history="1">
        <w:r w:rsidRPr="00480B08">
          <w:rPr>
            <w:rStyle w:val="Hyperlink"/>
            <w:rFonts w:ascii="Times New Roman" w:hAnsi="Times New Roman" w:cs="Times New Roman"/>
          </w:rPr>
          <w:t>http://www.ala.org/ala/professionalresources/libfactsheets/alalibraryfactsheet04.cfm</w:t>
        </w:r>
      </w:hyperlink>
      <w:r>
        <w:rPr>
          <w:rFonts w:ascii="Times New Roman" w:hAnsi="Times New Roman" w:cs="Times New Roman"/>
        </w:rPr>
        <w:t xml:space="preserve">).  A </w:t>
      </w:r>
      <w:r w:rsidRPr="00034E47">
        <w:rPr>
          <w:rFonts w:ascii="Times New Roman" w:hAnsi="Times New Roman" w:cs="Times New Roman"/>
        </w:rPr>
        <w:t>nonresponse analysis</w:t>
      </w:r>
      <w:r>
        <w:rPr>
          <w:rFonts w:ascii="Times New Roman" w:hAnsi="Times New Roman" w:cs="Times New Roman"/>
        </w:rPr>
        <w:t xml:space="preserve"> will be performed and shared with OMB within 1.5 months of the data collection closing out period.  </w:t>
      </w:r>
      <w:r w:rsidRPr="00034E47">
        <w:rPr>
          <w:rFonts w:ascii="Times New Roman" w:hAnsi="Times New Roman" w:cs="Times New Roman"/>
        </w:rPr>
        <w:t xml:space="preserve">. </w:t>
      </w:r>
    </w:p>
    <w:p w:rsidR="00607427" w:rsidRPr="008A7B57" w:rsidRDefault="00607427" w:rsidP="007811F6">
      <w:pPr>
        <w:autoSpaceDE w:val="0"/>
        <w:autoSpaceDN w:val="0"/>
        <w:adjustRightInd w:val="0"/>
        <w:spacing w:after="0" w:line="240" w:lineRule="auto"/>
        <w:rPr>
          <w:rFonts w:ascii="Times New Roman" w:hAnsi="Times New Roman" w:cs="Times New Roman"/>
        </w:rPr>
      </w:pPr>
    </w:p>
    <w:p w:rsidR="00520B68" w:rsidRDefault="007811F6" w:rsidP="007811F6">
      <w:pPr>
        <w:autoSpaceDE w:val="0"/>
        <w:autoSpaceDN w:val="0"/>
        <w:adjustRightInd w:val="0"/>
        <w:spacing w:after="0" w:line="240" w:lineRule="auto"/>
        <w:rPr>
          <w:rFonts w:ascii="Times New Roman" w:hAnsi="Times New Roman" w:cs="Times New Roman"/>
        </w:rPr>
      </w:pPr>
      <w:r w:rsidRPr="00435517">
        <w:rPr>
          <w:rFonts w:ascii="Times New Roman" w:hAnsi="Times New Roman" w:cs="Times New Roman"/>
          <w:b/>
        </w:rPr>
        <w:t>4. Describe any tests of procedures or methods to be</w:t>
      </w:r>
      <w:r w:rsidR="00520B68" w:rsidRPr="00435517">
        <w:rPr>
          <w:rFonts w:ascii="Times New Roman" w:hAnsi="Times New Roman" w:cs="Times New Roman"/>
          <w:b/>
        </w:rPr>
        <w:t xml:space="preserve"> </w:t>
      </w:r>
      <w:r w:rsidRPr="00435517">
        <w:rPr>
          <w:rFonts w:ascii="Times New Roman" w:hAnsi="Times New Roman" w:cs="Times New Roman"/>
          <w:b/>
        </w:rPr>
        <w:t>undertaken. Testing is encouraged as an effective means</w:t>
      </w:r>
      <w:r w:rsidR="00520B68" w:rsidRPr="00435517">
        <w:rPr>
          <w:rFonts w:ascii="Times New Roman" w:hAnsi="Times New Roman" w:cs="Times New Roman"/>
          <w:b/>
        </w:rPr>
        <w:t xml:space="preserve"> </w:t>
      </w:r>
      <w:r w:rsidRPr="00435517">
        <w:rPr>
          <w:rFonts w:ascii="Times New Roman" w:hAnsi="Times New Roman" w:cs="Times New Roman"/>
          <w:b/>
        </w:rPr>
        <w:t>of refining collections of information to minimize burden and</w:t>
      </w:r>
      <w:r w:rsidR="00520B68" w:rsidRPr="00435517">
        <w:rPr>
          <w:rFonts w:ascii="Times New Roman" w:hAnsi="Times New Roman" w:cs="Times New Roman"/>
          <w:b/>
        </w:rPr>
        <w:t xml:space="preserve"> </w:t>
      </w:r>
      <w:r w:rsidRPr="00435517">
        <w:rPr>
          <w:rFonts w:ascii="Times New Roman" w:hAnsi="Times New Roman" w:cs="Times New Roman"/>
          <w:b/>
        </w:rPr>
        <w:t>improve utility. Tests must be approved if they call for</w:t>
      </w:r>
      <w:r w:rsidR="00520B68" w:rsidRPr="00435517">
        <w:rPr>
          <w:rFonts w:ascii="Times New Roman" w:hAnsi="Times New Roman" w:cs="Times New Roman"/>
          <w:b/>
        </w:rPr>
        <w:t xml:space="preserve"> </w:t>
      </w:r>
      <w:r w:rsidRPr="00435517">
        <w:rPr>
          <w:rFonts w:ascii="Times New Roman" w:hAnsi="Times New Roman" w:cs="Times New Roman"/>
          <w:b/>
        </w:rPr>
        <w:t>answers to identical questions from 10 or more</w:t>
      </w:r>
      <w:r w:rsidR="00520B68" w:rsidRPr="00435517">
        <w:rPr>
          <w:rFonts w:ascii="Times New Roman" w:hAnsi="Times New Roman" w:cs="Times New Roman"/>
          <w:b/>
        </w:rPr>
        <w:t xml:space="preserve"> </w:t>
      </w:r>
      <w:r w:rsidRPr="00435517">
        <w:rPr>
          <w:rFonts w:ascii="Times New Roman" w:hAnsi="Times New Roman" w:cs="Times New Roman"/>
          <w:b/>
        </w:rPr>
        <w:t>respondents. A proposed test or set of test may be</w:t>
      </w:r>
      <w:r w:rsidR="00520B68" w:rsidRPr="00435517">
        <w:rPr>
          <w:rFonts w:ascii="Times New Roman" w:hAnsi="Times New Roman" w:cs="Times New Roman"/>
          <w:b/>
        </w:rPr>
        <w:t xml:space="preserve"> </w:t>
      </w:r>
      <w:r w:rsidRPr="00435517">
        <w:rPr>
          <w:rFonts w:ascii="Times New Roman" w:hAnsi="Times New Roman" w:cs="Times New Roman"/>
          <w:b/>
        </w:rPr>
        <w:t>submitted for approval separately or in combination with the</w:t>
      </w:r>
      <w:r w:rsidR="00520B68" w:rsidRPr="00435517">
        <w:rPr>
          <w:rFonts w:ascii="Times New Roman" w:hAnsi="Times New Roman" w:cs="Times New Roman"/>
          <w:b/>
        </w:rPr>
        <w:t xml:space="preserve"> </w:t>
      </w:r>
      <w:r w:rsidRPr="00435517">
        <w:rPr>
          <w:rFonts w:ascii="Times New Roman" w:hAnsi="Times New Roman" w:cs="Times New Roman"/>
          <w:b/>
        </w:rPr>
        <w:t>main collection of information.</w:t>
      </w:r>
    </w:p>
    <w:p w:rsidR="00520B68" w:rsidRPr="008A7B57" w:rsidRDefault="00520B68" w:rsidP="007811F6">
      <w:pPr>
        <w:autoSpaceDE w:val="0"/>
        <w:autoSpaceDN w:val="0"/>
        <w:adjustRightInd w:val="0"/>
        <w:spacing w:after="0" w:line="240" w:lineRule="auto"/>
        <w:rPr>
          <w:rFonts w:ascii="Times New Roman" w:hAnsi="Times New Roman" w:cs="Times New Roman"/>
        </w:rPr>
      </w:pPr>
    </w:p>
    <w:p w:rsidR="00982023" w:rsidRDefault="00982023" w:rsidP="00982023">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survey instrument will be pretested </w:t>
      </w:r>
      <w:r w:rsidR="001D5B79">
        <w:rPr>
          <w:rFonts w:ascii="Times New Roman" w:hAnsi="Times New Roman" w:cs="Times New Roman"/>
        </w:rPr>
        <w:t xml:space="preserve">initially </w:t>
      </w:r>
      <w:r>
        <w:rPr>
          <w:rFonts w:ascii="Times New Roman" w:hAnsi="Times New Roman" w:cs="Times New Roman"/>
        </w:rPr>
        <w:t xml:space="preserve">on </w:t>
      </w:r>
      <w:r w:rsidR="001D5B79">
        <w:rPr>
          <w:rFonts w:ascii="Times New Roman" w:hAnsi="Times New Roman" w:cs="Times New Roman"/>
        </w:rPr>
        <w:t xml:space="preserve">2 </w:t>
      </w:r>
      <w:r>
        <w:rPr>
          <w:rFonts w:ascii="Times New Roman" w:hAnsi="Times New Roman" w:cs="Times New Roman"/>
        </w:rPr>
        <w:t xml:space="preserve">local reference service providers. The reference service providers will be asked to complete the survey and then to comment on any confusion, potential ambiguities, navigational problems, or other concerns about any of the directions or questions specified by the instrument. </w:t>
      </w:r>
      <w:r w:rsidR="001D5B79">
        <w:rPr>
          <w:rFonts w:ascii="Times New Roman" w:hAnsi="Times New Roman" w:cs="Times New Roman"/>
        </w:rPr>
        <w:t xml:space="preserve">If modifications are required based on the </w:t>
      </w:r>
      <w:r>
        <w:rPr>
          <w:rFonts w:ascii="Times New Roman" w:hAnsi="Times New Roman" w:cs="Times New Roman"/>
        </w:rPr>
        <w:t>results of the pretest</w:t>
      </w:r>
      <w:r w:rsidR="001D5B79">
        <w:rPr>
          <w:rFonts w:ascii="Times New Roman" w:hAnsi="Times New Roman" w:cs="Times New Roman"/>
        </w:rPr>
        <w:t>, the instrument will be tested a second time on 2 additional service providers.</w:t>
      </w:r>
      <w:r>
        <w:rPr>
          <w:rFonts w:ascii="Times New Roman" w:hAnsi="Times New Roman" w:cs="Times New Roman"/>
        </w:rPr>
        <w:t xml:space="preserve"> Because the survey is not employing new techniques, </w:t>
      </w:r>
      <w:r w:rsidR="001D5B79">
        <w:rPr>
          <w:rFonts w:ascii="Times New Roman" w:hAnsi="Times New Roman" w:cs="Times New Roman"/>
        </w:rPr>
        <w:t xml:space="preserve">it is expected that two phases of pretesting </w:t>
      </w:r>
      <w:r>
        <w:rPr>
          <w:rFonts w:ascii="Times New Roman" w:hAnsi="Times New Roman" w:cs="Times New Roman"/>
        </w:rPr>
        <w:t xml:space="preserve">will be sufficient. </w:t>
      </w:r>
    </w:p>
    <w:p w:rsidR="002E14AE" w:rsidRDefault="002E14AE" w:rsidP="002E14AE">
      <w:pPr>
        <w:autoSpaceDE w:val="0"/>
        <w:autoSpaceDN w:val="0"/>
        <w:adjustRightInd w:val="0"/>
        <w:spacing w:after="0" w:line="240" w:lineRule="auto"/>
        <w:rPr>
          <w:rFonts w:ascii="Times New Roman" w:hAnsi="Times New Roman" w:cs="Times New Roman"/>
          <w:sz w:val="20"/>
          <w:szCs w:val="20"/>
        </w:rPr>
      </w:pPr>
    </w:p>
    <w:p w:rsidR="002E14AE" w:rsidRPr="00607427" w:rsidRDefault="00CD0B7D" w:rsidP="002E14AE">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Further clarification </w:t>
      </w:r>
      <w:r w:rsidRPr="002E14AE">
        <w:rPr>
          <w:rFonts w:ascii="Times New Roman" w:hAnsi="Times New Roman" w:cs="Times New Roman"/>
          <w:b/>
        </w:rPr>
        <w:t>“frequent users”</w:t>
      </w:r>
      <w:r>
        <w:rPr>
          <w:rFonts w:ascii="Times New Roman" w:hAnsi="Times New Roman" w:cs="Times New Roman"/>
          <w:b/>
        </w:rPr>
        <w:t xml:space="preserve"> and their basis.  </w:t>
      </w:r>
    </w:p>
    <w:p w:rsidR="002E14AE" w:rsidRPr="00646D3B" w:rsidRDefault="002E14AE" w:rsidP="002E14AE">
      <w:pPr>
        <w:autoSpaceDE w:val="0"/>
        <w:autoSpaceDN w:val="0"/>
        <w:adjustRightInd w:val="0"/>
        <w:spacing w:after="0" w:line="240" w:lineRule="auto"/>
        <w:ind w:firstLine="720"/>
        <w:rPr>
          <w:rFonts w:ascii="Times New Roman" w:hAnsi="Times New Roman" w:cs="Times New Roman"/>
        </w:rPr>
      </w:pPr>
      <w:r w:rsidRPr="001E0E72">
        <w:rPr>
          <w:rFonts w:ascii="Times New Roman" w:hAnsi="Times New Roman" w:cs="Times New Roman"/>
        </w:rPr>
        <w:t>“General adults” is</w:t>
      </w:r>
      <w:r>
        <w:rPr>
          <w:rFonts w:ascii="Times New Roman" w:hAnsi="Times New Roman" w:cs="Times New Roman"/>
        </w:rPr>
        <w:t xml:space="preserve"> based on the</w:t>
      </w:r>
      <w:r w:rsidRPr="001E0E72">
        <w:rPr>
          <w:rFonts w:ascii="Times New Roman" w:hAnsi="Times New Roman" w:cs="Times New Roman"/>
        </w:rPr>
        <w:t xml:space="preserve"> commonly recognized service </w:t>
      </w:r>
      <w:r w:rsidRPr="00646D3B">
        <w:rPr>
          <w:rFonts w:ascii="Times New Roman" w:hAnsi="Times New Roman" w:cs="Times New Roman"/>
        </w:rPr>
        <w:t xml:space="preserve">category “Adults,” </w:t>
      </w:r>
      <w:r>
        <w:rPr>
          <w:rFonts w:ascii="Times New Roman" w:hAnsi="Times New Roman" w:cs="Times New Roman"/>
        </w:rPr>
        <w:t xml:space="preserve">which is commonly used </w:t>
      </w:r>
      <w:r w:rsidRPr="00646D3B">
        <w:rPr>
          <w:rFonts w:ascii="Times New Roman" w:hAnsi="Times New Roman" w:cs="Times New Roman"/>
        </w:rPr>
        <w:t xml:space="preserve">in public library departmental divisions and referenced in library studies including the following: </w:t>
      </w:r>
    </w:p>
    <w:p w:rsidR="002E14AE" w:rsidRPr="00CE0970" w:rsidRDefault="002E14AE" w:rsidP="002E14AE">
      <w:pPr>
        <w:pStyle w:val="ListParagraph"/>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CE0970">
        <w:rPr>
          <w:rFonts w:ascii="Times New Roman" w:eastAsia="MS PGothic" w:hAnsi="Times New Roman" w:cs="Times New Roman"/>
        </w:rPr>
        <w:t xml:space="preserve">Stephens, A.K. (2006).  Twenty-First Century Public Library Adult Services. Reference &amp; User Services Quarterly. 45(3), p. 223-35, which explores the provision of adult services over the last two decades through an analysis of several studies; </w:t>
      </w:r>
    </w:p>
    <w:p w:rsidR="002E14AE" w:rsidRPr="00CE0970" w:rsidRDefault="002E14AE" w:rsidP="002E14AE">
      <w:pPr>
        <w:pStyle w:val="ListParagraph"/>
        <w:numPr>
          <w:ilvl w:val="0"/>
          <w:numId w:val="3"/>
        </w:numPr>
        <w:spacing w:after="0" w:line="240" w:lineRule="auto"/>
        <w:rPr>
          <w:rFonts w:ascii="Times New Roman" w:hAnsi="Times New Roman" w:cs="Times New Roman"/>
        </w:rPr>
      </w:pPr>
      <w:proofErr w:type="spellStart"/>
      <w:r w:rsidRPr="00CE0970">
        <w:rPr>
          <w:rFonts w:ascii="Times New Roman" w:eastAsia="MS PGothic" w:hAnsi="Times New Roman" w:cs="Times New Roman"/>
          <w:lang w:val="es-MX"/>
        </w:rPr>
        <w:t>McCook</w:t>
      </w:r>
      <w:proofErr w:type="spellEnd"/>
      <w:r w:rsidRPr="00CE0970">
        <w:rPr>
          <w:rFonts w:ascii="Times New Roman" w:eastAsia="MS PGothic" w:hAnsi="Times New Roman" w:cs="Times New Roman"/>
          <w:lang w:val="es-MX"/>
        </w:rPr>
        <w:t xml:space="preserve">, </w:t>
      </w:r>
      <w:proofErr w:type="spellStart"/>
      <w:r w:rsidRPr="00CE0970">
        <w:rPr>
          <w:rFonts w:ascii="Times New Roman" w:eastAsia="MS PGothic" w:hAnsi="Times New Roman" w:cs="Times New Roman"/>
          <w:lang w:val="es-MX"/>
        </w:rPr>
        <w:t>Kathleen</w:t>
      </w:r>
      <w:proofErr w:type="spellEnd"/>
      <w:r w:rsidRPr="00CE0970">
        <w:rPr>
          <w:rFonts w:ascii="Times New Roman" w:eastAsia="MS PGothic" w:hAnsi="Times New Roman" w:cs="Times New Roman"/>
          <w:lang w:val="es-MX"/>
        </w:rPr>
        <w:t xml:space="preserve"> de la Peña (1986). </w:t>
      </w:r>
      <w:r w:rsidRPr="00CE0970">
        <w:rPr>
          <w:rFonts w:ascii="Times New Roman" w:eastAsia="MS PGothic" w:hAnsi="Times New Roman" w:cs="Times New Roman"/>
        </w:rPr>
        <w:t xml:space="preserve"> Adult services as reflective of the changing role of the public library. RQ 26, p. 180-7</w:t>
      </w:r>
      <w:r w:rsidRPr="00CE0970">
        <w:rPr>
          <w:rFonts w:ascii="Times New Roman" w:hAnsi="Times New Roman" w:cs="Times New Roman"/>
        </w:rPr>
        <w:t xml:space="preserve">. </w:t>
      </w:r>
    </w:p>
    <w:p w:rsidR="002E14AE" w:rsidRPr="00646D3B" w:rsidRDefault="002E14AE" w:rsidP="002E14AE">
      <w:pPr>
        <w:autoSpaceDE w:val="0"/>
        <w:autoSpaceDN w:val="0"/>
        <w:adjustRightInd w:val="0"/>
        <w:spacing w:after="0" w:line="240" w:lineRule="auto"/>
        <w:rPr>
          <w:rFonts w:ascii="Times New Roman" w:hAnsi="Times New Roman" w:cs="Times New Roman"/>
        </w:rPr>
      </w:pPr>
      <w:r w:rsidRPr="00646D3B">
        <w:rPr>
          <w:rFonts w:ascii="Times New Roman" w:hAnsi="Times New Roman" w:cs="Times New Roman"/>
        </w:rPr>
        <w:t>We specify general adults to differentiate from the options of more specialized adult groups that follow.</w:t>
      </w:r>
    </w:p>
    <w:p w:rsidR="002E14AE" w:rsidRPr="00646D3B" w:rsidRDefault="002E14AE" w:rsidP="002E14AE">
      <w:pPr>
        <w:autoSpaceDE w:val="0"/>
        <w:autoSpaceDN w:val="0"/>
        <w:adjustRightInd w:val="0"/>
        <w:spacing w:after="0" w:line="240" w:lineRule="auto"/>
        <w:ind w:firstLine="720"/>
        <w:rPr>
          <w:rFonts w:ascii="Times New Roman" w:hAnsi="Times New Roman" w:cs="Times New Roman"/>
        </w:rPr>
      </w:pPr>
    </w:p>
    <w:p w:rsidR="002E14AE" w:rsidRPr="00646D3B" w:rsidRDefault="002E14AE" w:rsidP="002E14AE">
      <w:pPr>
        <w:autoSpaceDE w:val="0"/>
        <w:autoSpaceDN w:val="0"/>
        <w:adjustRightInd w:val="0"/>
        <w:spacing w:after="0" w:line="240" w:lineRule="auto"/>
        <w:ind w:firstLine="720"/>
        <w:rPr>
          <w:rFonts w:ascii="Times New Roman" w:hAnsi="Times New Roman" w:cs="Times New Roman"/>
        </w:rPr>
      </w:pPr>
      <w:r w:rsidRPr="00646D3B">
        <w:rPr>
          <w:rFonts w:ascii="Times New Roman" w:hAnsi="Times New Roman" w:cs="Times New Roman"/>
        </w:rPr>
        <w:t>We presume that the confusion in this question comes from these more general options: “History enthusiasts”, “Genealogists”, and “Professionals.” These three categories were derived directly from the results of previous interviews with resource providers, who identified these as user groups for their cultural heritage materials. These interviews</w:t>
      </w:r>
      <w:r>
        <w:rPr>
          <w:rFonts w:ascii="Times New Roman" w:hAnsi="Times New Roman" w:cs="Times New Roman"/>
        </w:rPr>
        <w:t>, which were part of an earlier study,</w:t>
      </w:r>
      <w:r w:rsidRPr="00646D3B">
        <w:rPr>
          <w:rFonts w:ascii="Times New Roman" w:hAnsi="Times New Roman" w:cs="Times New Roman"/>
        </w:rPr>
        <w:t xml:space="preserve"> served several purposes for the</w:t>
      </w:r>
      <w:r>
        <w:rPr>
          <w:rFonts w:ascii="Times New Roman" w:hAnsi="Times New Roman" w:cs="Times New Roman"/>
        </w:rPr>
        <w:t xml:space="preserve"> current </w:t>
      </w:r>
      <w:r w:rsidRPr="00646D3B">
        <w:rPr>
          <w:rFonts w:ascii="Times New Roman" w:hAnsi="Times New Roman" w:cs="Times New Roman"/>
        </w:rPr>
        <w:t xml:space="preserve">project. The user categories were for internal purposes of understanding the user community we were designing </w:t>
      </w:r>
      <w:r>
        <w:rPr>
          <w:rFonts w:ascii="Times New Roman" w:hAnsi="Times New Roman" w:cs="Times New Roman"/>
        </w:rPr>
        <w:t xml:space="preserve">the portal </w:t>
      </w:r>
      <w:r w:rsidRPr="00646D3B">
        <w:rPr>
          <w:rFonts w:ascii="Times New Roman" w:hAnsi="Times New Roman" w:cs="Times New Roman"/>
        </w:rPr>
        <w:t>for and to inform future stages of usability testing and research; these results were not disseminated in any way. Resource providers (</w:t>
      </w:r>
      <w:r>
        <w:rPr>
          <w:rFonts w:ascii="Times New Roman" w:hAnsi="Times New Roman" w:cs="Times New Roman"/>
        </w:rPr>
        <w:t xml:space="preserve">IMLS National </w:t>
      </w:r>
      <w:r w:rsidRPr="00646D3B">
        <w:rPr>
          <w:rFonts w:ascii="Times New Roman" w:hAnsi="Times New Roman" w:cs="Times New Roman"/>
        </w:rPr>
        <w:t>Leadership</w:t>
      </w:r>
      <w:r>
        <w:rPr>
          <w:rFonts w:ascii="Times New Roman" w:hAnsi="Times New Roman" w:cs="Times New Roman"/>
        </w:rPr>
        <w:t xml:space="preserve"> Grant </w:t>
      </w:r>
      <w:r w:rsidRPr="00646D3B">
        <w:rPr>
          <w:rFonts w:ascii="Times New Roman" w:hAnsi="Times New Roman" w:cs="Times New Roman"/>
        </w:rPr>
        <w:t>grantees) from 19 institutions, mostly libraries, were interviewed on technical aspects and use of their digital collections. Interviews were conducted between June 2003-September 2004 by DCC Research Assistant, Ellen Knutson. In addition, library studies make frequent reference to genealogists and library users interested in genealogy and historical materials, if not as a formal service category than as a common user type. See, for example:</w:t>
      </w:r>
    </w:p>
    <w:p w:rsidR="002E14AE" w:rsidRPr="00646D3B" w:rsidRDefault="002E14AE" w:rsidP="002E14AE">
      <w:pPr>
        <w:pStyle w:val="ListParagraph"/>
        <w:numPr>
          <w:ilvl w:val="0"/>
          <w:numId w:val="4"/>
        </w:numPr>
        <w:autoSpaceDE w:val="0"/>
        <w:autoSpaceDN w:val="0"/>
        <w:adjustRightInd w:val="0"/>
        <w:spacing w:after="0" w:line="240" w:lineRule="auto"/>
        <w:rPr>
          <w:rFonts w:ascii="Times New Roman" w:hAnsi="Times New Roman" w:cs="Times New Roman"/>
        </w:rPr>
      </w:pPr>
      <w:r w:rsidRPr="00646D3B">
        <w:rPr>
          <w:rFonts w:ascii="Times New Roman" w:hAnsi="Times New Roman" w:cs="Times New Roman"/>
          <w:i/>
        </w:rPr>
        <w:t>Library Trends</w:t>
      </w:r>
      <w:r w:rsidRPr="00646D3B">
        <w:rPr>
          <w:rFonts w:ascii="Times New Roman" w:hAnsi="Times New Roman" w:cs="Times New Roman"/>
        </w:rPr>
        <w:t xml:space="preserve"> 32 (1) Summer 1983: Genealogy and Libraries &lt;</w:t>
      </w:r>
      <w:hyperlink r:id="rId16" w:history="1">
        <w:r w:rsidRPr="00646D3B">
          <w:rPr>
            <w:rStyle w:val="Hyperlink"/>
            <w:rFonts w:ascii="Times New Roman" w:hAnsi="Times New Roman" w:cs="Times New Roman"/>
          </w:rPr>
          <w:t>http://www.ideals.illinois.edu/handle/2142/5336/browse?type=dateissued</w:t>
        </w:r>
      </w:hyperlink>
      <w:r w:rsidRPr="00646D3B">
        <w:rPr>
          <w:rFonts w:ascii="Times New Roman" w:hAnsi="Times New Roman" w:cs="Times New Roman"/>
        </w:rPr>
        <w:t>&gt;; and</w:t>
      </w:r>
    </w:p>
    <w:p w:rsidR="002E14AE" w:rsidRPr="00646D3B" w:rsidRDefault="002E14AE" w:rsidP="002E14AE">
      <w:pPr>
        <w:pStyle w:val="ListParagraph"/>
        <w:numPr>
          <w:ilvl w:val="0"/>
          <w:numId w:val="4"/>
        </w:numPr>
        <w:autoSpaceDE w:val="0"/>
        <w:autoSpaceDN w:val="0"/>
        <w:adjustRightInd w:val="0"/>
        <w:spacing w:after="0" w:line="240" w:lineRule="auto"/>
        <w:rPr>
          <w:rFonts w:ascii="Times New Roman" w:hAnsi="Times New Roman" w:cs="Times New Roman"/>
        </w:rPr>
      </w:pPr>
      <w:proofErr w:type="spellStart"/>
      <w:r w:rsidRPr="00646D3B">
        <w:rPr>
          <w:rFonts w:ascii="Times New Roman" w:hAnsi="Times New Roman" w:cs="Times New Roman"/>
        </w:rPr>
        <w:t>Tibbo</w:t>
      </w:r>
      <w:proofErr w:type="spellEnd"/>
      <w:r w:rsidRPr="00646D3B">
        <w:rPr>
          <w:rFonts w:ascii="Times New Roman" w:hAnsi="Times New Roman" w:cs="Times New Roman"/>
        </w:rPr>
        <w:t>, H. (2002). Primarily history: historians and the search for primary source materials. Proceedings of the 2nd ACM/IEEE-CS Joint Conference on Digital Libraries.</w:t>
      </w:r>
    </w:p>
    <w:p w:rsidR="002E14AE" w:rsidRDefault="002E14AE" w:rsidP="002E14AE">
      <w:pPr>
        <w:autoSpaceDE w:val="0"/>
        <w:autoSpaceDN w:val="0"/>
        <w:adjustRightInd w:val="0"/>
        <w:spacing w:after="0" w:line="240" w:lineRule="auto"/>
        <w:rPr>
          <w:rFonts w:ascii="Times New Roman" w:hAnsi="Times New Roman" w:cs="Times New Roman"/>
        </w:rPr>
      </w:pPr>
      <w:r w:rsidRPr="00646D3B">
        <w:rPr>
          <w:rFonts w:ascii="Times New Roman" w:hAnsi="Times New Roman" w:cs="Times New Roman"/>
        </w:rPr>
        <w:lastRenderedPageBreak/>
        <w:t xml:space="preserve">Moreover, libraries promote their programs to “history enthusiasts” and genealogists (see for example, a Seattle Public Library notice at </w:t>
      </w:r>
      <w:hyperlink r:id="rId17" w:history="1">
        <w:r w:rsidRPr="00646D3B">
          <w:rPr>
            <w:rStyle w:val="Hyperlink"/>
            <w:rFonts w:ascii="Times New Roman" w:hAnsi="Times New Roman" w:cs="Times New Roman"/>
          </w:rPr>
          <w:t>http://www.seattlehistory.org/visit_us/calendar.php?type=8</w:t>
        </w:r>
      </w:hyperlink>
      <w:r w:rsidRPr="00646D3B">
        <w:rPr>
          <w:rFonts w:ascii="Times New Roman" w:hAnsi="Times New Roman" w:cs="Times New Roman"/>
        </w:rPr>
        <w:t>; and http://statelibrary.ncdcr.gov/patrons/genealogists.html)</w:t>
      </w:r>
      <w:r>
        <w:rPr>
          <w:rFonts w:ascii="Times New Roman" w:hAnsi="Times New Roman" w:cs="Times New Roman"/>
        </w:rPr>
        <w:t xml:space="preserve"> </w:t>
      </w:r>
    </w:p>
    <w:p w:rsidR="002E14AE" w:rsidRDefault="002E14AE" w:rsidP="002E14AE">
      <w:pPr>
        <w:autoSpaceDE w:val="0"/>
        <w:autoSpaceDN w:val="0"/>
        <w:adjustRightInd w:val="0"/>
        <w:spacing w:after="0" w:line="240" w:lineRule="auto"/>
        <w:rPr>
          <w:rFonts w:ascii="Times New Roman" w:hAnsi="Times New Roman" w:cs="Times New Roman"/>
        </w:rPr>
      </w:pPr>
    </w:p>
    <w:p w:rsidR="002E14AE" w:rsidRDefault="002E14AE" w:rsidP="002E14AE">
      <w:pPr>
        <w:autoSpaceDE w:val="0"/>
        <w:autoSpaceDN w:val="0"/>
        <w:adjustRightInd w:val="0"/>
        <w:spacing w:after="0" w:line="240" w:lineRule="auto"/>
        <w:rPr>
          <w:rFonts w:ascii="Times New Roman" w:hAnsi="Times New Roman" w:cs="Times New Roman"/>
        </w:rPr>
      </w:pPr>
      <w:r w:rsidRPr="001E0E72">
        <w:rPr>
          <w:rFonts w:ascii="Times New Roman" w:hAnsi="Times New Roman" w:cs="Times New Roman"/>
        </w:rPr>
        <w:t>Beyond these first four options, this checklist represents divisions of users into student, teacher/administrator, and faculty/scholar categories. Students are further subdivided by educational stage (primary and middle; high school; undergraduate; and graduate). These are common</w:t>
      </w:r>
      <w:r>
        <w:rPr>
          <w:rFonts w:ascii="Times New Roman" w:hAnsi="Times New Roman" w:cs="Times New Roman"/>
        </w:rPr>
        <w:t xml:space="preserve"> divisions, which have been </w:t>
      </w:r>
      <w:r w:rsidRPr="00646D3B">
        <w:rPr>
          <w:rFonts w:ascii="Times New Roman" w:hAnsi="Times New Roman" w:cs="Times New Roman"/>
        </w:rPr>
        <w:t>used the U.S. Department of Education National Center for Education Statistics. (2011). See the Digest of Education Statistics, 2010 (NCES 2011-015), Chapters 1 and 2 &lt;</w:t>
      </w:r>
      <w:hyperlink r:id="rId18" w:history="1">
        <w:r w:rsidRPr="00646D3B">
          <w:rPr>
            <w:rStyle w:val="Hyperlink"/>
            <w:rFonts w:ascii="Times New Roman" w:hAnsi="Times New Roman" w:cs="Times New Roman"/>
          </w:rPr>
          <w:t>http://nces.ed.gov/fastfacts/display.asp?id=65</w:t>
        </w:r>
      </w:hyperlink>
      <w:r w:rsidRPr="00646D3B">
        <w:rPr>
          <w:rFonts w:ascii="Times New Roman" w:hAnsi="Times New Roman" w:cs="Times New Roman"/>
        </w:rPr>
        <w:t xml:space="preserve"> and</w:t>
      </w:r>
      <w:r w:rsidRPr="00646D3B">
        <w:t xml:space="preserve"> </w:t>
      </w:r>
      <w:hyperlink r:id="rId19" w:history="1">
        <w:r w:rsidRPr="00646D3B">
          <w:rPr>
            <w:rStyle w:val="Hyperlink"/>
            <w:rFonts w:ascii="Times New Roman" w:hAnsi="Times New Roman" w:cs="Times New Roman"/>
          </w:rPr>
          <w:t>http://nces.ed.gov/fastfacts/display.asp?id=84</w:t>
        </w:r>
      </w:hyperlink>
      <w:r w:rsidRPr="00646D3B">
        <w:rPr>
          <w:rFonts w:ascii="Times New Roman" w:hAnsi="Times New Roman" w:cs="Times New Roman"/>
        </w:rPr>
        <w:t>&gt; for examples of divisions into ‘elementary’, and ‘secondary’, i.e., ‘Grades PreK-8’ and ‘Grades 9-12’. See U.S. Department of Education, National Center for Education Statistics. (2009). Digest of Education Statistics, 2008 (NCES 2009-020), Chapter 3 &lt;</w:t>
      </w:r>
      <w:r w:rsidRPr="00646D3B">
        <w:t xml:space="preserve"> </w:t>
      </w:r>
      <w:hyperlink r:id="rId20" w:history="1">
        <w:r w:rsidRPr="00646D3B">
          <w:rPr>
            <w:rStyle w:val="Hyperlink"/>
            <w:rFonts w:ascii="Times New Roman" w:hAnsi="Times New Roman" w:cs="Times New Roman"/>
          </w:rPr>
          <w:t>http://nces.ed.gov/fastfacts/display.asp?id=98</w:t>
        </w:r>
      </w:hyperlink>
      <w:r w:rsidRPr="00646D3B">
        <w:rPr>
          <w:rFonts w:ascii="Times New Roman" w:hAnsi="Times New Roman" w:cs="Times New Roman"/>
        </w:rPr>
        <w:t>&gt; for an example of divisions of post-secondary students into ‘undergraduate’ and ‘graduate’ categories.</w:t>
      </w:r>
      <w:r>
        <w:rPr>
          <w:rFonts w:ascii="Times New Roman" w:hAnsi="Times New Roman" w:cs="Times New Roman"/>
        </w:rPr>
        <w:t xml:space="preserve"> </w:t>
      </w:r>
    </w:p>
    <w:p w:rsidR="002E14AE" w:rsidRDefault="002E14AE" w:rsidP="002E14AE">
      <w:pPr>
        <w:autoSpaceDE w:val="0"/>
        <w:autoSpaceDN w:val="0"/>
        <w:adjustRightInd w:val="0"/>
        <w:spacing w:after="0" w:line="240" w:lineRule="auto"/>
        <w:rPr>
          <w:rFonts w:ascii="Times New Roman" w:hAnsi="Times New Roman" w:cs="Times New Roman"/>
        </w:rPr>
      </w:pPr>
    </w:p>
    <w:p w:rsidR="002E14AE" w:rsidRPr="0004721F" w:rsidRDefault="002E14AE" w:rsidP="002E14AE">
      <w:pPr>
        <w:autoSpaceDE w:val="0"/>
        <w:autoSpaceDN w:val="0"/>
        <w:adjustRightInd w:val="0"/>
        <w:spacing w:after="0" w:line="240" w:lineRule="auto"/>
        <w:rPr>
          <w:rFonts w:ascii="Times New Roman" w:hAnsi="Times New Roman" w:cs="Times New Roman"/>
        </w:rPr>
      </w:pPr>
      <w:r w:rsidRPr="0004721F">
        <w:rPr>
          <w:rFonts w:ascii="Times New Roman" w:hAnsi="Times New Roman" w:cs="Times New Roman"/>
        </w:rPr>
        <w:t>W</w:t>
      </w:r>
      <w:r>
        <w:rPr>
          <w:rFonts w:ascii="Times New Roman" w:hAnsi="Times New Roman" w:cs="Times New Roman"/>
        </w:rPr>
        <w:t>ith this question</w:t>
      </w:r>
      <w:r w:rsidRPr="0004721F">
        <w:rPr>
          <w:rFonts w:ascii="Times New Roman" w:hAnsi="Times New Roman" w:cs="Times New Roman"/>
        </w:rPr>
        <w:t xml:space="preserve">, we are not </w:t>
      </w:r>
      <w:r>
        <w:rPr>
          <w:rFonts w:ascii="Times New Roman" w:hAnsi="Times New Roman" w:cs="Times New Roman"/>
        </w:rPr>
        <w:t xml:space="preserve">asking for numbers of </w:t>
      </w:r>
      <w:r w:rsidRPr="0004721F">
        <w:rPr>
          <w:rFonts w:ascii="Times New Roman" w:hAnsi="Times New Roman" w:cs="Times New Roman"/>
        </w:rPr>
        <w:t xml:space="preserve">users served from </w:t>
      </w:r>
      <w:r>
        <w:rPr>
          <w:rFonts w:ascii="Times New Roman" w:hAnsi="Times New Roman" w:cs="Times New Roman"/>
        </w:rPr>
        <w:t>these</w:t>
      </w:r>
      <w:r w:rsidRPr="0004721F">
        <w:rPr>
          <w:rFonts w:ascii="Times New Roman" w:hAnsi="Times New Roman" w:cs="Times New Roman"/>
        </w:rPr>
        <w:t xml:space="preserve"> group</w:t>
      </w:r>
      <w:r>
        <w:rPr>
          <w:rFonts w:ascii="Times New Roman" w:hAnsi="Times New Roman" w:cs="Times New Roman"/>
        </w:rPr>
        <w:t>s. R</w:t>
      </w:r>
      <w:r w:rsidRPr="0004721F">
        <w:rPr>
          <w:rFonts w:ascii="Times New Roman" w:hAnsi="Times New Roman" w:cs="Times New Roman"/>
        </w:rPr>
        <w:t xml:space="preserve">ather, we </w:t>
      </w:r>
      <w:r>
        <w:rPr>
          <w:rFonts w:ascii="Times New Roman" w:hAnsi="Times New Roman" w:cs="Times New Roman"/>
        </w:rPr>
        <w:t xml:space="preserve">are seeking reference librarians’ general impressions of the most prominent types of users of historical materials in their service communities. We will not produce </w:t>
      </w:r>
      <w:r w:rsidRPr="0004721F">
        <w:rPr>
          <w:rFonts w:ascii="Times New Roman" w:hAnsi="Times New Roman" w:cs="Times New Roman"/>
        </w:rPr>
        <w:t>statistical generalizations about library user demographics.</w:t>
      </w:r>
      <w:r>
        <w:rPr>
          <w:rFonts w:ascii="Times New Roman" w:hAnsi="Times New Roman" w:cs="Times New Roman"/>
        </w:rPr>
        <w:t xml:space="preserve"> T</w:t>
      </w:r>
      <w:r w:rsidRPr="0004721F">
        <w:rPr>
          <w:rFonts w:ascii="Times New Roman" w:hAnsi="Times New Roman" w:cs="Times New Roman"/>
        </w:rPr>
        <w:t xml:space="preserve">his question is intended to help us characterize </w:t>
      </w:r>
      <w:r>
        <w:rPr>
          <w:rFonts w:ascii="Times New Roman" w:hAnsi="Times New Roman" w:cs="Times New Roman"/>
        </w:rPr>
        <w:t xml:space="preserve">the </w:t>
      </w:r>
      <w:r w:rsidRPr="0004721F">
        <w:rPr>
          <w:rFonts w:ascii="Times New Roman" w:hAnsi="Times New Roman" w:cs="Times New Roman"/>
        </w:rPr>
        <w:t xml:space="preserve">service providers’ perspectives on </w:t>
      </w:r>
      <w:r>
        <w:rPr>
          <w:rFonts w:ascii="Times New Roman" w:hAnsi="Times New Roman" w:cs="Times New Roman"/>
        </w:rPr>
        <w:t xml:space="preserve">their history service </w:t>
      </w:r>
      <w:r w:rsidRPr="0004721F">
        <w:rPr>
          <w:rFonts w:ascii="Times New Roman" w:hAnsi="Times New Roman" w:cs="Times New Roman"/>
        </w:rPr>
        <w:t>communit</w:t>
      </w:r>
      <w:r>
        <w:rPr>
          <w:rFonts w:ascii="Times New Roman" w:hAnsi="Times New Roman" w:cs="Times New Roman"/>
        </w:rPr>
        <w:t>y in order to help us gauge the fit between the service community’s orientation to history and the materials provided in the Opening History resource. Reference librarians are responsible for direct interaction with their service communities--</w:t>
      </w:r>
      <w:r w:rsidRPr="0004721F">
        <w:rPr>
          <w:rFonts w:ascii="Times New Roman" w:hAnsi="Times New Roman" w:cs="Times New Roman"/>
        </w:rPr>
        <w:t>in-person, online, and over the phone</w:t>
      </w:r>
      <w:r>
        <w:rPr>
          <w:rFonts w:ascii="Times New Roman" w:hAnsi="Times New Roman" w:cs="Times New Roman"/>
        </w:rPr>
        <w:t xml:space="preserve">--in answering reference questions, building their collections and providing interlibrary loan, and assisting them in the use of information resources. As a routine part of library service practice, they draw on their general knowledge of these communities to </w:t>
      </w:r>
      <w:r w:rsidRPr="0004721F">
        <w:rPr>
          <w:rFonts w:ascii="Times New Roman" w:hAnsi="Times New Roman" w:cs="Times New Roman"/>
        </w:rPr>
        <w:t xml:space="preserve">make decisions </w:t>
      </w:r>
      <w:r>
        <w:rPr>
          <w:rFonts w:ascii="Times New Roman" w:hAnsi="Times New Roman" w:cs="Times New Roman"/>
        </w:rPr>
        <w:t>about developing their</w:t>
      </w:r>
      <w:r w:rsidRPr="0004721F">
        <w:rPr>
          <w:rFonts w:ascii="Times New Roman" w:hAnsi="Times New Roman" w:cs="Times New Roman"/>
        </w:rPr>
        <w:t xml:space="preserve"> collections</w:t>
      </w:r>
      <w:r>
        <w:rPr>
          <w:rFonts w:ascii="Times New Roman" w:hAnsi="Times New Roman" w:cs="Times New Roman"/>
        </w:rPr>
        <w:t xml:space="preserve"> and services. </w:t>
      </w:r>
    </w:p>
    <w:p w:rsidR="00982023" w:rsidRDefault="00982023" w:rsidP="007811F6">
      <w:pPr>
        <w:autoSpaceDE w:val="0"/>
        <w:autoSpaceDN w:val="0"/>
        <w:adjustRightInd w:val="0"/>
        <w:spacing w:after="0" w:line="240" w:lineRule="auto"/>
        <w:rPr>
          <w:rFonts w:ascii="Times New Roman" w:hAnsi="Times New Roman" w:cs="Times New Roman"/>
          <w:b/>
        </w:rPr>
      </w:pPr>
    </w:p>
    <w:p w:rsidR="007811F6" w:rsidRDefault="007811F6" w:rsidP="007811F6">
      <w:pPr>
        <w:autoSpaceDE w:val="0"/>
        <w:autoSpaceDN w:val="0"/>
        <w:adjustRightInd w:val="0"/>
        <w:spacing w:after="0" w:line="240" w:lineRule="auto"/>
        <w:rPr>
          <w:rFonts w:ascii="Times New Roman" w:hAnsi="Times New Roman" w:cs="Times New Roman"/>
          <w:b/>
        </w:rPr>
      </w:pPr>
      <w:r w:rsidRPr="00435517">
        <w:rPr>
          <w:rFonts w:ascii="Times New Roman" w:hAnsi="Times New Roman" w:cs="Times New Roman"/>
          <w:b/>
        </w:rPr>
        <w:t xml:space="preserve">5. Provide the name and telephone number of </w:t>
      </w:r>
      <w:r w:rsidR="00520B68" w:rsidRPr="00435517">
        <w:rPr>
          <w:rFonts w:ascii="Times New Roman" w:hAnsi="Times New Roman" w:cs="Times New Roman"/>
          <w:b/>
        </w:rPr>
        <w:t>i</w:t>
      </w:r>
      <w:r w:rsidRPr="00435517">
        <w:rPr>
          <w:rFonts w:ascii="Times New Roman" w:hAnsi="Times New Roman" w:cs="Times New Roman"/>
          <w:b/>
        </w:rPr>
        <w:t>ndividuals</w:t>
      </w:r>
      <w:r w:rsidR="00C60D08" w:rsidRPr="00435517">
        <w:rPr>
          <w:rFonts w:ascii="Times New Roman" w:hAnsi="Times New Roman" w:cs="Times New Roman"/>
          <w:b/>
        </w:rPr>
        <w:t xml:space="preserve"> </w:t>
      </w:r>
      <w:r w:rsidRPr="00435517">
        <w:rPr>
          <w:rFonts w:ascii="Times New Roman" w:hAnsi="Times New Roman" w:cs="Times New Roman"/>
          <w:b/>
        </w:rPr>
        <w:t>consulted on statistical aspects of the design and the name</w:t>
      </w:r>
      <w:r w:rsidR="00C60D08" w:rsidRPr="00435517">
        <w:rPr>
          <w:rFonts w:ascii="Times New Roman" w:hAnsi="Times New Roman" w:cs="Times New Roman"/>
          <w:b/>
        </w:rPr>
        <w:t xml:space="preserve"> </w:t>
      </w:r>
      <w:r w:rsidRPr="00435517">
        <w:rPr>
          <w:rFonts w:ascii="Times New Roman" w:hAnsi="Times New Roman" w:cs="Times New Roman"/>
          <w:b/>
        </w:rPr>
        <w:t>of the agency unit, contractor(s), grantee(s), or other</w:t>
      </w:r>
      <w:r w:rsidR="00C60D08" w:rsidRPr="00435517">
        <w:rPr>
          <w:rFonts w:ascii="Times New Roman" w:hAnsi="Times New Roman" w:cs="Times New Roman"/>
          <w:b/>
        </w:rPr>
        <w:t xml:space="preserve"> </w:t>
      </w:r>
      <w:r w:rsidRPr="00435517">
        <w:rPr>
          <w:rFonts w:ascii="Times New Roman" w:hAnsi="Times New Roman" w:cs="Times New Roman"/>
          <w:b/>
        </w:rPr>
        <w:t>person(s) who will actually collect and/or analyze the</w:t>
      </w:r>
      <w:r w:rsidR="00C60D08" w:rsidRPr="00435517">
        <w:rPr>
          <w:rFonts w:ascii="Times New Roman" w:hAnsi="Times New Roman" w:cs="Times New Roman"/>
          <w:b/>
        </w:rPr>
        <w:t xml:space="preserve"> </w:t>
      </w:r>
      <w:r w:rsidRPr="00435517">
        <w:rPr>
          <w:rFonts w:ascii="Times New Roman" w:hAnsi="Times New Roman" w:cs="Times New Roman"/>
          <w:b/>
        </w:rPr>
        <w:t>information for the agency.</w:t>
      </w:r>
    </w:p>
    <w:p w:rsidR="004E4539" w:rsidRDefault="004E4539" w:rsidP="007811F6">
      <w:pPr>
        <w:autoSpaceDE w:val="0"/>
        <w:autoSpaceDN w:val="0"/>
        <w:adjustRightInd w:val="0"/>
        <w:spacing w:after="0" w:line="240" w:lineRule="auto"/>
        <w:rPr>
          <w:rFonts w:ascii="Times New Roman" w:hAnsi="Times New Roman" w:cs="Times New Roman"/>
          <w:b/>
        </w:rPr>
      </w:pPr>
    </w:p>
    <w:p w:rsidR="00DA0372" w:rsidRDefault="004E4539" w:rsidP="007811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IMLS DCC project</w:t>
      </w:r>
      <w:r w:rsidR="001D5B79">
        <w:rPr>
          <w:rFonts w:ascii="Times New Roman" w:hAnsi="Times New Roman" w:cs="Times New Roman"/>
        </w:rPr>
        <w:t xml:space="preserve"> team members, who are all </w:t>
      </w:r>
      <w:r w:rsidR="00DA0372">
        <w:rPr>
          <w:rFonts w:ascii="Times New Roman" w:hAnsi="Times New Roman" w:cs="Times New Roman"/>
        </w:rPr>
        <w:t xml:space="preserve">faculty or staff at the Graduate School of Library and Information Science at the University of Illinois, Urbana-Champaign – </w:t>
      </w:r>
      <w:r>
        <w:rPr>
          <w:rFonts w:ascii="Times New Roman" w:hAnsi="Times New Roman" w:cs="Times New Roman"/>
        </w:rPr>
        <w:t>will</w:t>
      </w:r>
      <w:r w:rsidR="00DA0372">
        <w:rPr>
          <w:rFonts w:ascii="Times New Roman" w:hAnsi="Times New Roman" w:cs="Times New Roman"/>
        </w:rPr>
        <w:t xml:space="preserve"> </w:t>
      </w:r>
      <w:r>
        <w:rPr>
          <w:rFonts w:ascii="Times New Roman" w:hAnsi="Times New Roman" w:cs="Times New Roman"/>
        </w:rPr>
        <w:t>conduct the survey</w:t>
      </w:r>
      <w:r w:rsidR="00DA0372">
        <w:rPr>
          <w:rFonts w:ascii="Times New Roman" w:hAnsi="Times New Roman" w:cs="Times New Roman"/>
        </w:rPr>
        <w:t>:</w:t>
      </w:r>
    </w:p>
    <w:p w:rsidR="00DA0372" w:rsidRDefault="00DA0372" w:rsidP="007811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Carole Palmer, </w:t>
      </w:r>
      <w:r w:rsidR="004E4539" w:rsidRPr="004E4539">
        <w:rPr>
          <w:rFonts w:ascii="Times New Roman" w:hAnsi="Times New Roman" w:cs="Times New Roman"/>
        </w:rPr>
        <w:t>Principle Investigator</w:t>
      </w:r>
      <w:r w:rsidR="00AD74B1">
        <w:rPr>
          <w:rFonts w:ascii="Times New Roman" w:hAnsi="Times New Roman" w:cs="Times New Roman"/>
        </w:rPr>
        <w:t>,</w:t>
      </w:r>
      <w:r w:rsidR="00C00CC5">
        <w:rPr>
          <w:rFonts w:ascii="Times New Roman" w:hAnsi="Times New Roman" w:cs="Times New Roman"/>
        </w:rPr>
        <w:t xml:space="preserve"> </w:t>
      </w:r>
      <w:r w:rsidR="00C00CC5" w:rsidRPr="00C00CC5">
        <w:rPr>
          <w:rFonts w:ascii="Times New Roman" w:hAnsi="Times New Roman" w:cs="Times New Roman"/>
          <w:iCs/>
        </w:rPr>
        <w:t>Professor and Director, CIRSS</w:t>
      </w:r>
      <w:r w:rsidR="00C00CC5">
        <w:rPr>
          <w:rFonts w:ascii="Times New Roman" w:hAnsi="Times New Roman" w:cs="Times New Roman"/>
          <w:iCs/>
        </w:rPr>
        <w:t>,</w:t>
      </w:r>
      <w:r w:rsidR="004E4539" w:rsidRPr="004E4539">
        <w:rPr>
          <w:rFonts w:ascii="Times New Roman" w:hAnsi="Times New Roman" w:cs="Times New Roman"/>
        </w:rPr>
        <w:t xml:space="preserve"> </w:t>
      </w:r>
      <w:r w:rsidR="00C00CC5">
        <w:rPr>
          <w:rFonts w:ascii="Times New Roman" w:hAnsi="Times New Roman" w:cs="Times New Roman"/>
        </w:rPr>
        <w:t xml:space="preserve">phone: </w:t>
      </w:r>
      <w:r w:rsidR="00C00CC5" w:rsidRPr="00C00CC5">
        <w:rPr>
          <w:rFonts w:ascii="Times New Roman" w:hAnsi="Times New Roman" w:cs="Times New Roman"/>
        </w:rPr>
        <w:t>(217) 244-0653</w:t>
      </w:r>
      <w:r w:rsidR="00C00CC5">
        <w:rPr>
          <w:rFonts w:ascii="Times New Roman" w:hAnsi="Times New Roman" w:cs="Times New Roman"/>
        </w:rPr>
        <w:t>;</w:t>
      </w:r>
    </w:p>
    <w:p w:rsidR="00DA0372" w:rsidRDefault="00DA0372" w:rsidP="007811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Katrina </w:t>
      </w:r>
      <w:proofErr w:type="spellStart"/>
      <w:r>
        <w:rPr>
          <w:rFonts w:ascii="Times New Roman" w:hAnsi="Times New Roman" w:cs="Times New Roman"/>
        </w:rPr>
        <w:t>Fenlon</w:t>
      </w:r>
      <w:proofErr w:type="spellEnd"/>
      <w:r>
        <w:rPr>
          <w:rFonts w:ascii="Times New Roman" w:hAnsi="Times New Roman" w:cs="Times New Roman"/>
        </w:rPr>
        <w:t xml:space="preserve">, </w:t>
      </w:r>
      <w:r w:rsidR="004E4539" w:rsidRPr="004E4539">
        <w:rPr>
          <w:rFonts w:ascii="Times New Roman" w:hAnsi="Times New Roman" w:cs="Times New Roman"/>
        </w:rPr>
        <w:t>Project Coordinator</w:t>
      </w:r>
      <w:r w:rsidR="00C00CC5">
        <w:rPr>
          <w:rFonts w:ascii="Times New Roman" w:hAnsi="Times New Roman" w:cs="Times New Roman"/>
        </w:rPr>
        <w:t>,</w:t>
      </w:r>
      <w:r w:rsidR="004A6913">
        <w:rPr>
          <w:rFonts w:ascii="Times New Roman" w:hAnsi="Times New Roman" w:cs="Times New Roman"/>
        </w:rPr>
        <w:t xml:space="preserve"> </w:t>
      </w:r>
      <w:r w:rsidR="00C00CC5">
        <w:rPr>
          <w:rFonts w:ascii="Times New Roman" w:hAnsi="Times New Roman" w:cs="Times New Roman"/>
        </w:rPr>
        <w:t xml:space="preserve">phone: </w:t>
      </w:r>
      <w:r w:rsidR="004A6913">
        <w:rPr>
          <w:rFonts w:ascii="Times New Roman" w:hAnsi="Times New Roman" w:cs="Times New Roman"/>
        </w:rPr>
        <w:t>(217) 244-2164</w:t>
      </w:r>
      <w:r w:rsidR="00C00CC5">
        <w:rPr>
          <w:rFonts w:ascii="Times New Roman" w:hAnsi="Times New Roman" w:cs="Times New Roman"/>
        </w:rPr>
        <w:t>;</w:t>
      </w:r>
      <w:r w:rsidR="004E4539" w:rsidRPr="004E4539">
        <w:rPr>
          <w:rFonts w:ascii="Times New Roman" w:hAnsi="Times New Roman" w:cs="Times New Roman"/>
        </w:rPr>
        <w:t xml:space="preserve"> </w:t>
      </w:r>
    </w:p>
    <w:p w:rsidR="00DA0372" w:rsidRDefault="004E4539" w:rsidP="007811F6">
      <w:pPr>
        <w:autoSpaceDE w:val="0"/>
        <w:autoSpaceDN w:val="0"/>
        <w:adjustRightInd w:val="0"/>
        <w:spacing w:after="0" w:line="240" w:lineRule="auto"/>
        <w:rPr>
          <w:rFonts w:ascii="Times New Roman" w:hAnsi="Times New Roman" w:cs="Times New Roman"/>
        </w:rPr>
      </w:pPr>
      <w:r w:rsidRPr="004E4539">
        <w:rPr>
          <w:rFonts w:ascii="Times New Roman" w:hAnsi="Times New Roman" w:cs="Times New Roman"/>
        </w:rPr>
        <w:t>Jacob Jett</w:t>
      </w:r>
      <w:r w:rsidR="00DA0372">
        <w:rPr>
          <w:rFonts w:ascii="Times New Roman" w:hAnsi="Times New Roman" w:cs="Times New Roman"/>
        </w:rPr>
        <w:t>, Collections Coordinator</w:t>
      </w:r>
      <w:r w:rsidR="00C00CC5">
        <w:rPr>
          <w:rFonts w:ascii="Times New Roman" w:hAnsi="Times New Roman" w:cs="Times New Roman"/>
        </w:rPr>
        <w:t xml:space="preserve">, phone: </w:t>
      </w:r>
      <w:r w:rsidR="004A6913">
        <w:rPr>
          <w:rFonts w:ascii="Times New Roman" w:hAnsi="Times New Roman" w:cs="Times New Roman"/>
        </w:rPr>
        <w:t>(217) 244-2164</w:t>
      </w:r>
      <w:r w:rsidR="00C00CC5">
        <w:rPr>
          <w:rFonts w:ascii="Times New Roman" w:hAnsi="Times New Roman" w:cs="Times New Roman"/>
        </w:rPr>
        <w:t>;</w:t>
      </w:r>
      <w:r w:rsidRPr="004E4539">
        <w:rPr>
          <w:rFonts w:ascii="Times New Roman" w:hAnsi="Times New Roman" w:cs="Times New Roman"/>
        </w:rPr>
        <w:t xml:space="preserve"> </w:t>
      </w:r>
      <w:r w:rsidR="00DA0372">
        <w:rPr>
          <w:rFonts w:ascii="Times New Roman" w:hAnsi="Times New Roman" w:cs="Times New Roman"/>
        </w:rPr>
        <w:t>and</w:t>
      </w:r>
    </w:p>
    <w:p w:rsidR="004E4539" w:rsidRDefault="004E4539" w:rsidP="007811F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Virgil </w:t>
      </w:r>
      <w:proofErr w:type="spellStart"/>
      <w:r>
        <w:rPr>
          <w:rFonts w:ascii="Times New Roman" w:hAnsi="Times New Roman" w:cs="Times New Roman"/>
        </w:rPr>
        <w:t>Varvel</w:t>
      </w:r>
      <w:proofErr w:type="spellEnd"/>
      <w:r w:rsidR="00DA0372">
        <w:rPr>
          <w:rFonts w:ascii="Times New Roman" w:hAnsi="Times New Roman" w:cs="Times New Roman"/>
        </w:rPr>
        <w:t xml:space="preserve">, Research Analyst, </w:t>
      </w:r>
      <w:r w:rsidR="00C00CC5">
        <w:rPr>
          <w:rFonts w:ascii="Times New Roman" w:hAnsi="Times New Roman" w:cs="Times New Roman"/>
        </w:rPr>
        <w:t xml:space="preserve">phone: </w:t>
      </w:r>
      <w:r w:rsidR="00DA0372" w:rsidRPr="004A6913">
        <w:rPr>
          <w:rFonts w:ascii="Times New Roman" w:hAnsi="Times New Roman" w:cs="Times New Roman"/>
        </w:rPr>
        <w:t>(217) 333-1980</w:t>
      </w:r>
      <w:r w:rsidR="00C00CC5">
        <w:rPr>
          <w:rFonts w:ascii="Times New Roman" w:hAnsi="Times New Roman" w:cs="Times New Roman"/>
        </w:rPr>
        <w:t>.</w:t>
      </w:r>
      <w:r w:rsidR="007C309E">
        <w:rPr>
          <w:rFonts w:ascii="Times New Roman" w:hAnsi="Times New Roman" w:cs="Times New Roman"/>
        </w:rPr>
        <w:t xml:space="preserve"> </w:t>
      </w:r>
    </w:p>
    <w:p w:rsidR="00927E88" w:rsidRDefault="00927E88" w:rsidP="007811F6">
      <w:pPr>
        <w:autoSpaceDE w:val="0"/>
        <w:autoSpaceDN w:val="0"/>
        <w:adjustRightInd w:val="0"/>
        <w:spacing w:after="0" w:line="240" w:lineRule="auto"/>
        <w:rPr>
          <w:rFonts w:ascii="Times New Roman" w:hAnsi="Times New Roman" w:cs="Times New Roman"/>
        </w:rPr>
      </w:pPr>
    </w:p>
    <w:p w:rsidR="002E0C7B" w:rsidRPr="00927E88" w:rsidRDefault="00CD0B7D" w:rsidP="00927E88">
      <w:pPr>
        <w:spacing w:after="0" w:line="240" w:lineRule="auto"/>
        <w:rPr>
          <w:rFonts w:ascii="Times New Roman" w:hAnsi="Times New Roman" w:cs="Times New Roman"/>
          <w:b/>
        </w:rPr>
      </w:pPr>
      <w:r>
        <w:rPr>
          <w:rFonts w:ascii="Times New Roman" w:hAnsi="Times New Roman" w:cs="Times New Roman"/>
          <w:b/>
        </w:rPr>
        <w:t>Further</w:t>
      </w:r>
      <w:bookmarkStart w:id="0" w:name="_GoBack"/>
      <w:bookmarkEnd w:id="0"/>
      <w:r>
        <w:rPr>
          <w:rFonts w:ascii="Times New Roman" w:hAnsi="Times New Roman" w:cs="Times New Roman"/>
          <w:b/>
        </w:rPr>
        <w:t xml:space="preserve"> information on e-mail addresses for ALL reference service providers and how “</w:t>
      </w:r>
      <w:r w:rsidRPr="00927E88">
        <w:rPr>
          <w:rFonts w:ascii="Times New Roman" w:hAnsi="Times New Roman" w:cs="Times New Roman"/>
          <w:b/>
        </w:rPr>
        <w:t>bounce backs” and invalid e-mail addresses</w:t>
      </w:r>
      <w:r>
        <w:rPr>
          <w:rFonts w:ascii="Times New Roman" w:hAnsi="Times New Roman" w:cs="Times New Roman"/>
          <w:b/>
        </w:rPr>
        <w:t xml:space="preserve"> will be handled.</w:t>
      </w:r>
    </w:p>
    <w:p w:rsidR="00927E88" w:rsidRPr="001E0E72" w:rsidRDefault="00927E88" w:rsidP="00927E88">
      <w:pPr>
        <w:rPr>
          <w:rFonts w:ascii="Times New Roman" w:hAnsi="Times New Roman" w:cs="Times New Roman"/>
        </w:rPr>
      </w:pPr>
      <w:r w:rsidRPr="001E0E72">
        <w:rPr>
          <w:rFonts w:ascii="Times New Roman" w:hAnsi="Times New Roman" w:cs="Times New Roman"/>
        </w:rPr>
        <w:t>We have email addresses for 2,215 of the 8,870 public libraries and 3,034 of the 3,827 academic libraries.  We have postal mail addresses for all of them. Most email addresses are for library directors, who</w:t>
      </w:r>
      <w:r w:rsidR="00943233">
        <w:rPr>
          <w:rFonts w:ascii="Times New Roman" w:hAnsi="Times New Roman" w:cs="Times New Roman"/>
        </w:rPr>
        <w:t xml:space="preserve"> </w:t>
      </w:r>
      <w:r w:rsidRPr="001E0E72">
        <w:rPr>
          <w:rFonts w:ascii="Times New Roman" w:hAnsi="Times New Roman" w:cs="Times New Roman"/>
        </w:rPr>
        <w:t>will be appropriate contacts for each institution, because they are most</w:t>
      </w:r>
      <w:r w:rsidR="00943233">
        <w:rPr>
          <w:rFonts w:ascii="Times New Roman" w:hAnsi="Times New Roman" w:cs="Times New Roman"/>
        </w:rPr>
        <w:t xml:space="preserve"> fit </w:t>
      </w:r>
      <w:r w:rsidRPr="001E0E72">
        <w:rPr>
          <w:rFonts w:ascii="Times New Roman" w:hAnsi="Times New Roman" w:cs="Times New Roman"/>
        </w:rPr>
        <w:t xml:space="preserve">to distribute the survey to an appropriate potential respondent in the library. CIRSS has had good success with response rates among contacts in these directories in previous national surveys. As far as dealing with missing email contacts and “bounce backs”: we will first conduct our random selection across the full population. Among the randomly selected sample population, for institutions for which we do not have email contacts or for which our email contacts are inappropriate (for the purposes of this survey), we will seek a correct and relevant email contact through the institution website, when possible, or through a phone call. As a last </w:t>
      </w:r>
      <w:r w:rsidRPr="001E0E72">
        <w:rPr>
          <w:rFonts w:ascii="Times New Roman" w:hAnsi="Times New Roman" w:cs="Times New Roman"/>
        </w:rPr>
        <w:lastRenderedPageBreak/>
        <w:t xml:space="preserve">resort, should we fail to acquire an email address for a member of the sample population, we will rely on postal mail to distribute the initial contact and consent form, survey instrument, and follow-up contacts. </w:t>
      </w:r>
    </w:p>
    <w:p w:rsidR="00927E88" w:rsidRPr="004E4539" w:rsidRDefault="00927E88" w:rsidP="007811F6">
      <w:pPr>
        <w:autoSpaceDE w:val="0"/>
        <w:autoSpaceDN w:val="0"/>
        <w:adjustRightInd w:val="0"/>
        <w:spacing w:after="0" w:line="240" w:lineRule="auto"/>
        <w:rPr>
          <w:rFonts w:ascii="Times New Roman" w:hAnsi="Times New Roman" w:cs="Times New Roman"/>
        </w:rPr>
      </w:pPr>
    </w:p>
    <w:sectPr w:rsidR="00927E88" w:rsidRPr="004E4539" w:rsidSect="00AD5B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4AE" w:rsidRDefault="002E14AE" w:rsidP="0083479D">
      <w:pPr>
        <w:spacing w:after="0" w:line="240" w:lineRule="auto"/>
      </w:pPr>
      <w:r>
        <w:separator/>
      </w:r>
    </w:p>
  </w:endnote>
  <w:endnote w:type="continuationSeparator" w:id="0">
    <w:p w:rsidR="002E14AE" w:rsidRDefault="002E14AE" w:rsidP="0083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4AE" w:rsidRDefault="002E14AE" w:rsidP="0083479D">
      <w:pPr>
        <w:spacing w:after="0" w:line="240" w:lineRule="auto"/>
      </w:pPr>
      <w:r>
        <w:separator/>
      </w:r>
    </w:p>
  </w:footnote>
  <w:footnote w:type="continuationSeparator" w:id="0">
    <w:p w:rsidR="002E14AE" w:rsidRDefault="002E14AE" w:rsidP="008347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6001"/>
    <w:multiLevelType w:val="hybridMultilevel"/>
    <w:tmpl w:val="A61A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32A88"/>
    <w:multiLevelType w:val="hybridMultilevel"/>
    <w:tmpl w:val="06B6D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73F4D63"/>
    <w:multiLevelType w:val="hybridMultilevel"/>
    <w:tmpl w:val="2FD2D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FCC40CF"/>
    <w:multiLevelType w:val="hybridMultilevel"/>
    <w:tmpl w:val="292AA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F6"/>
    <w:rsid w:val="0000446F"/>
    <w:rsid w:val="000055DA"/>
    <w:rsid w:val="00010E3F"/>
    <w:rsid w:val="000237A3"/>
    <w:rsid w:val="00031557"/>
    <w:rsid w:val="000342B0"/>
    <w:rsid w:val="00042C85"/>
    <w:rsid w:val="00050462"/>
    <w:rsid w:val="000721E5"/>
    <w:rsid w:val="00072481"/>
    <w:rsid w:val="000843EC"/>
    <w:rsid w:val="000877BB"/>
    <w:rsid w:val="000A4FB4"/>
    <w:rsid w:val="000A6B4B"/>
    <w:rsid w:val="000D7524"/>
    <w:rsid w:val="000F312A"/>
    <w:rsid w:val="000F7A0D"/>
    <w:rsid w:val="000F7A15"/>
    <w:rsid w:val="00100E35"/>
    <w:rsid w:val="00127DEC"/>
    <w:rsid w:val="00130C98"/>
    <w:rsid w:val="00141EAC"/>
    <w:rsid w:val="0018534A"/>
    <w:rsid w:val="001A3128"/>
    <w:rsid w:val="001D4C2B"/>
    <w:rsid w:val="001D5B79"/>
    <w:rsid w:val="001D7428"/>
    <w:rsid w:val="001F64FD"/>
    <w:rsid w:val="00203665"/>
    <w:rsid w:val="002073F7"/>
    <w:rsid w:val="00211D6E"/>
    <w:rsid w:val="00226F19"/>
    <w:rsid w:val="00251534"/>
    <w:rsid w:val="0026073D"/>
    <w:rsid w:val="00265FCA"/>
    <w:rsid w:val="00270431"/>
    <w:rsid w:val="00285F6C"/>
    <w:rsid w:val="0029178B"/>
    <w:rsid w:val="002C33E2"/>
    <w:rsid w:val="002E0C7B"/>
    <w:rsid w:val="002E14AE"/>
    <w:rsid w:val="00325A0E"/>
    <w:rsid w:val="00337917"/>
    <w:rsid w:val="003505E9"/>
    <w:rsid w:val="003606C9"/>
    <w:rsid w:val="00384A39"/>
    <w:rsid w:val="00393A89"/>
    <w:rsid w:val="003C762C"/>
    <w:rsid w:val="003D76FB"/>
    <w:rsid w:val="003E1444"/>
    <w:rsid w:val="003E637B"/>
    <w:rsid w:val="003F19D2"/>
    <w:rsid w:val="003F289C"/>
    <w:rsid w:val="003F3C54"/>
    <w:rsid w:val="00433CD1"/>
    <w:rsid w:val="00435517"/>
    <w:rsid w:val="0043581C"/>
    <w:rsid w:val="00436313"/>
    <w:rsid w:val="00437A2C"/>
    <w:rsid w:val="00440CAD"/>
    <w:rsid w:val="00441BF3"/>
    <w:rsid w:val="00456BF2"/>
    <w:rsid w:val="00473196"/>
    <w:rsid w:val="00483AF6"/>
    <w:rsid w:val="00483D64"/>
    <w:rsid w:val="004A6913"/>
    <w:rsid w:val="004B2DF7"/>
    <w:rsid w:val="004B4CCA"/>
    <w:rsid w:val="004C5822"/>
    <w:rsid w:val="004D5867"/>
    <w:rsid w:val="004E4539"/>
    <w:rsid w:val="004E4EFB"/>
    <w:rsid w:val="004E630A"/>
    <w:rsid w:val="004F7482"/>
    <w:rsid w:val="005125BF"/>
    <w:rsid w:val="00520B68"/>
    <w:rsid w:val="00531A68"/>
    <w:rsid w:val="0054170C"/>
    <w:rsid w:val="0054475D"/>
    <w:rsid w:val="00555642"/>
    <w:rsid w:val="005679BA"/>
    <w:rsid w:val="00594578"/>
    <w:rsid w:val="005A5C16"/>
    <w:rsid w:val="005A6E3E"/>
    <w:rsid w:val="005B0AD2"/>
    <w:rsid w:val="005C0817"/>
    <w:rsid w:val="005C78A7"/>
    <w:rsid w:val="005F1D48"/>
    <w:rsid w:val="00606305"/>
    <w:rsid w:val="00607427"/>
    <w:rsid w:val="00610526"/>
    <w:rsid w:val="00612529"/>
    <w:rsid w:val="00613F7E"/>
    <w:rsid w:val="00615A27"/>
    <w:rsid w:val="006163DD"/>
    <w:rsid w:val="006227CE"/>
    <w:rsid w:val="00625B82"/>
    <w:rsid w:val="00647AE2"/>
    <w:rsid w:val="00650B28"/>
    <w:rsid w:val="006705F0"/>
    <w:rsid w:val="0068380B"/>
    <w:rsid w:val="006856EB"/>
    <w:rsid w:val="006D0F1A"/>
    <w:rsid w:val="006F50B2"/>
    <w:rsid w:val="006F5174"/>
    <w:rsid w:val="00705DE6"/>
    <w:rsid w:val="00714661"/>
    <w:rsid w:val="00720A6E"/>
    <w:rsid w:val="00722779"/>
    <w:rsid w:val="00732EA3"/>
    <w:rsid w:val="00741F81"/>
    <w:rsid w:val="007551AC"/>
    <w:rsid w:val="0076773B"/>
    <w:rsid w:val="007811F6"/>
    <w:rsid w:val="00785423"/>
    <w:rsid w:val="00785DF3"/>
    <w:rsid w:val="00795D2D"/>
    <w:rsid w:val="007A4892"/>
    <w:rsid w:val="007B00E1"/>
    <w:rsid w:val="007C08F6"/>
    <w:rsid w:val="007C128F"/>
    <w:rsid w:val="007C309E"/>
    <w:rsid w:val="007D0A18"/>
    <w:rsid w:val="007D1B63"/>
    <w:rsid w:val="00803C94"/>
    <w:rsid w:val="00805FC1"/>
    <w:rsid w:val="0081382C"/>
    <w:rsid w:val="00813962"/>
    <w:rsid w:val="00814017"/>
    <w:rsid w:val="008216A5"/>
    <w:rsid w:val="00830D28"/>
    <w:rsid w:val="00832691"/>
    <w:rsid w:val="00832F52"/>
    <w:rsid w:val="0083479D"/>
    <w:rsid w:val="0083598C"/>
    <w:rsid w:val="0085199B"/>
    <w:rsid w:val="00862DF6"/>
    <w:rsid w:val="00883ADF"/>
    <w:rsid w:val="008901A4"/>
    <w:rsid w:val="00894F60"/>
    <w:rsid w:val="008A7B57"/>
    <w:rsid w:val="008E3484"/>
    <w:rsid w:val="008F5534"/>
    <w:rsid w:val="008F6D73"/>
    <w:rsid w:val="00901DD2"/>
    <w:rsid w:val="00922274"/>
    <w:rsid w:val="00924726"/>
    <w:rsid w:val="00927E88"/>
    <w:rsid w:val="00933FF6"/>
    <w:rsid w:val="00942C61"/>
    <w:rsid w:val="00943233"/>
    <w:rsid w:val="00945D03"/>
    <w:rsid w:val="009635B6"/>
    <w:rsid w:val="0098115B"/>
    <w:rsid w:val="00982023"/>
    <w:rsid w:val="009C4B4B"/>
    <w:rsid w:val="009D48CA"/>
    <w:rsid w:val="009D4E26"/>
    <w:rsid w:val="009E11FB"/>
    <w:rsid w:val="009E17A9"/>
    <w:rsid w:val="009F602A"/>
    <w:rsid w:val="009F7FEE"/>
    <w:rsid w:val="00A046C7"/>
    <w:rsid w:val="00A14B87"/>
    <w:rsid w:val="00A331A0"/>
    <w:rsid w:val="00A63808"/>
    <w:rsid w:val="00A6399E"/>
    <w:rsid w:val="00A63E15"/>
    <w:rsid w:val="00A64B4F"/>
    <w:rsid w:val="00A77324"/>
    <w:rsid w:val="00A83CD3"/>
    <w:rsid w:val="00A93CBC"/>
    <w:rsid w:val="00A95CDB"/>
    <w:rsid w:val="00AA1785"/>
    <w:rsid w:val="00AA1CE9"/>
    <w:rsid w:val="00AA6840"/>
    <w:rsid w:val="00AC2C32"/>
    <w:rsid w:val="00AC3F41"/>
    <w:rsid w:val="00AD14C9"/>
    <w:rsid w:val="00AD5B06"/>
    <w:rsid w:val="00AD5E4B"/>
    <w:rsid w:val="00AD74B1"/>
    <w:rsid w:val="00AE33E8"/>
    <w:rsid w:val="00AE4355"/>
    <w:rsid w:val="00AE503B"/>
    <w:rsid w:val="00AE78E7"/>
    <w:rsid w:val="00B05447"/>
    <w:rsid w:val="00B07B91"/>
    <w:rsid w:val="00B1077D"/>
    <w:rsid w:val="00B20A0C"/>
    <w:rsid w:val="00B40F1A"/>
    <w:rsid w:val="00B425B9"/>
    <w:rsid w:val="00B51DA3"/>
    <w:rsid w:val="00B77267"/>
    <w:rsid w:val="00B8105F"/>
    <w:rsid w:val="00B9124F"/>
    <w:rsid w:val="00B9544C"/>
    <w:rsid w:val="00BC52BC"/>
    <w:rsid w:val="00C00CC5"/>
    <w:rsid w:val="00C0462C"/>
    <w:rsid w:val="00C06EBE"/>
    <w:rsid w:val="00C17E26"/>
    <w:rsid w:val="00C348C6"/>
    <w:rsid w:val="00C51935"/>
    <w:rsid w:val="00C55693"/>
    <w:rsid w:val="00C60D08"/>
    <w:rsid w:val="00C76B02"/>
    <w:rsid w:val="00C93901"/>
    <w:rsid w:val="00CA7DD5"/>
    <w:rsid w:val="00CD0B7D"/>
    <w:rsid w:val="00CE0970"/>
    <w:rsid w:val="00CF2064"/>
    <w:rsid w:val="00D07479"/>
    <w:rsid w:val="00D14B6D"/>
    <w:rsid w:val="00D1667D"/>
    <w:rsid w:val="00D2138E"/>
    <w:rsid w:val="00D266BC"/>
    <w:rsid w:val="00D511B6"/>
    <w:rsid w:val="00D514C6"/>
    <w:rsid w:val="00D63D61"/>
    <w:rsid w:val="00D807CC"/>
    <w:rsid w:val="00D81981"/>
    <w:rsid w:val="00D81FF4"/>
    <w:rsid w:val="00DA0372"/>
    <w:rsid w:val="00DC28C0"/>
    <w:rsid w:val="00DC3D76"/>
    <w:rsid w:val="00E059B2"/>
    <w:rsid w:val="00E11ACA"/>
    <w:rsid w:val="00E35FA8"/>
    <w:rsid w:val="00E479A1"/>
    <w:rsid w:val="00E7277F"/>
    <w:rsid w:val="00E85314"/>
    <w:rsid w:val="00E95F9E"/>
    <w:rsid w:val="00EB5D4C"/>
    <w:rsid w:val="00EB7BBC"/>
    <w:rsid w:val="00ED7210"/>
    <w:rsid w:val="00EE7968"/>
    <w:rsid w:val="00EF2323"/>
    <w:rsid w:val="00EF5D0E"/>
    <w:rsid w:val="00F22648"/>
    <w:rsid w:val="00F322AE"/>
    <w:rsid w:val="00F42692"/>
    <w:rsid w:val="00F81B94"/>
    <w:rsid w:val="00F86162"/>
    <w:rsid w:val="00F94C53"/>
    <w:rsid w:val="00F97273"/>
    <w:rsid w:val="00FC4E5B"/>
    <w:rsid w:val="00FC5129"/>
    <w:rsid w:val="00FD60BD"/>
    <w:rsid w:val="00FE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06"/>
  </w:style>
  <w:style w:type="paragraph" w:styleId="Heading1">
    <w:name w:val="heading 1"/>
    <w:basedOn w:val="Normal"/>
    <w:next w:val="Normal"/>
    <w:link w:val="Heading1Char"/>
    <w:uiPriority w:val="9"/>
    <w:qFormat/>
    <w:rsid w:val="008347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3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6162"/>
    <w:pPr>
      <w:ind w:left="720"/>
      <w:contextualSpacing/>
    </w:pPr>
  </w:style>
  <w:style w:type="paragraph" w:customStyle="1" w:styleId="Default">
    <w:name w:val="Default"/>
    <w:rsid w:val="00483AF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D1B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B7BBC"/>
    <w:rPr>
      <w:color w:val="0000FF" w:themeColor="hyperlink"/>
      <w:u w:val="single"/>
    </w:rPr>
  </w:style>
  <w:style w:type="character" w:customStyle="1" w:styleId="Heading1Char">
    <w:name w:val="Heading 1 Char"/>
    <w:basedOn w:val="DefaultParagraphFont"/>
    <w:link w:val="Heading1"/>
    <w:uiPriority w:val="9"/>
    <w:rsid w:val="0083479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8347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79D"/>
    <w:rPr>
      <w:sz w:val="20"/>
      <w:szCs w:val="20"/>
    </w:rPr>
  </w:style>
  <w:style w:type="character" w:styleId="FootnoteReference">
    <w:name w:val="footnote reference"/>
    <w:basedOn w:val="DefaultParagraphFont"/>
    <w:uiPriority w:val="99"/>
    <w:semiHidden/>
    <w:unhideWhenUsed/>
    <w:rsid w:val="0083479D"/>
    <w:rPr>
      <w:vertAlign w:val="superscript"/>
    </w:rPr>
  </w:style>
  <w:style w:type="paragraph" w:styleId="BalloonText">
    <w:name w:val="Balloon Text"/>
    <w:basedOn w:val="Normal"/>
    <w:link w:val="BalloonTextChar"/>
    <w:uiPriority w:val="99"/>
    <w:semiHidden/>
    <w:unhideWhenUsed/>
    <w:rsid w:val="004F7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482"/>
    <w:rPr>
      <w:rFonts w:ascii="Tahoma" w:hAnsi="Tahoma" w:cs="Tahoma"/>
      <w:sz w:val="16"/>
      <w:szCs w:val="16"/>
    </w:rPr>
  </w:style>
  <w:style w:type="character" w:styleId="CommentReference">
    <w:name w:val="annotation reference"/>
    <w:basedOn w:val="DefaultParagraphFont"/>
    <w:uiPriority w:val="99"/>
    <w:semiHidden/>
    <w:unhideWhenUsed/>
    <w:rsid w:val="00127DEC"/>
    <w:rPr>
      <w:sz w:val="18"/>
      <w:szCs w:val="18"/>
    </w:rPr>
  </w:style>
  <w:style w:type="paragraph" w:styleId="CommentText">
    <w:name w:val="annotation text"/>
    <w:basedOn w:val="Normal"/>
    <w:link w:val="CommentTextChar"/>
    <w:uiPriority w:val="99"/>
    <w:unhideWhenUsed/>
    <w:rsid w:val="00127DEC"/>
    <w:pPr>
      <w:spacing w:line="240" w:lineRule="auto"/>
    </w:pPr>
    <w:rPr>
      <w:sz w:val="24"/>
      <w:szCs w:val="24"/>
    </w:rPr>
  </w:style>
  <w:style w:type="character" w:customStyle="1" w:styleId="CommentTextChar">
    <w:name w:val="Comment Text Char"/>
    <w:basedOn w:val="DefaultParagraphFont"/>
    <w:link w:val="CommentText"/>
    <w:uiPriority w:val="99"/>
    <w:rsid w:val="00127DEC"/>
    <w:rPr>
      <w:sz w:val="24"/>
      <w:szCs w:val="24"/>
    </w:rPr>
  </w:style>
  <w:style w:type="paragraph" w:styleId="CommentSubject">
    <w:name w:val="annotation subject"/>
    <w:basedOn w:val="CommentText"/>
    <w:next w:val="CommentText"/>
    <w:link w:val="CommentSubjectChar"/>
    <w:uiPriority w:val="99"/>
    <w:semiHidden/>
    <w:unhideWhenUsed/>
    <w:rsid w:val="00127DEC"/>
    <w:rPr>
      <w:b/>
      <w:bCs/>
      <w:sz w:val="20"/>
      <w:szCs w:val="20"/>
    </w:rPr>
  </w:style>
  <w:style w:type="character" w:customStyle="1" w:styleId="CommentSubjectChar">
    <w:name w:val="Comment Subject Char"/>
    <w:basedOn w:val="CommentTextChar"/>
    <w:link w:val="CommentSubject"/>
    <w:uiPriority w:val="99"/>
    <w:semiHidden/>
    <w:rsid w:val="00127DEC"/>
    <w:rPr>
      <w:b/>
      <w:bCs/>
      <w:sz w:val="20"/>
      <w:szCs w:val="20"/>
    </w:rPr>
  </w:style>
  <w:style w:type="paragraph" w:styleId="Revision">
    <w:name w:val="Revision"/>
    <w:hidden/>
    <w:uiPriority w:val="99"/>
    <w:semiHidden/>
    <w:rsid w:val="000F7A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06"/>
  </w:style>
  <w:style w:type="paragraph" w:styleId="Heading1">
    <w:name w:val="heading 1"/>
    <w:basedOn w:val="Normal"/>
    <w:next w:val="Normal"/>
    <w:link w:val="Heading1Char"/>
    <w:uiPriority w:val="9"/>
    <w:qFormat/>
    <w:rsid w:val="008347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3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6162"/>
    <w:pPr>
      <w:ind w:left="720"/>
      <w:contextualSpacing/>
    </w:pPr>
  </w:style>
  <w:style w:type="paragraph" w:customStyle="1" w:styleId="Default">
    <w:name w:val="Default"/>
    <w:rsid w:val="00483AF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D1B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B7BBC"/>
    <w:rPr>
      <w:color w:val="0000FF" w:themeColor="hyperlink"/>
      <w:u w:val="single"/>
    </w:rPr>
  </w:style>
  <w:style w:type="character" w:customStyle="1" w:styleId="Heading1Char">
    <w:name w:val="Heading 1 Char"/>
    <w:basedOn w:val="DefaultParagraphFont"/>
    <w:link w:val="Heading1"/>
    <w:uiPriority w:val="9"/>
    <w:rsid w:val="0083479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8347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79D"/>
    <w:rPr>
      <w:sz w:val="20"/>
      <w:szCs w:val="20"/>
    </w:rPr>
  </w:style>
  <w:style w:type="character" w:styleId="FootnoteReference">
    <w:name w:val="footnote reference"/>
    <w:basedOn w:val="DefaultParagraphFont"/>
    <w:uiPriority w:val="99"/>
    <w:semiHidden/>
    <w:unhideWhenUsed/>
    <w:rsid w:val="0083479D"/>
    <w:rPr>
      <w:vertAlign w:val="superscript"/>
    </w:rPr>
  </w:style>
  <w:style w:type="paragraph" w:styleId="BalloonText">
    <w:name w:val="Balloon Text"/>
    <w:basedOn w:val="Normal"/>
    <w:link w:val="BalloonTextChar"/>
    <w:uiPriority w:val="99"/>
    <w:semiHidden/>
    <w:unhideWhenUsed/>
    <w:rsid w:val="004F7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482"/>
    <w:rPr>
      <w:rFonts w:ascii="Tahoma" w:hAnsi="Tahoma" w:cs="Tahoma"/>
      <w:sz w:val="16"/>
      <w:szCs w:val="16"/>
    </w:rPr>
  </w:style>
  <w:style w:type="character" w:styleId="CommentReference">
    <w:name w:val="annotation reference"/>
    <w:basedOn w:val="DefaultParagraphFont"/>
    <w:uiPriority w:val="99"/>
    <w:semiHidden/>
    <w:unhideWhenUsed/>
    <w:rsid w:val="00127DEC"/>
    <w:rPr>
      <w:sz w:val="18"/>
      <w:szCs w:val="18"/>
    </w:rPr>
  </w:style>
  <w:style w:type="paragraph" w:styleId="CommentText">
    <w:name w:val="annotation text"/>
    <w:basedOn w:val="Normal"/>
    <w:link w:val="CommentTextChar"/>
    <w:uiPriority w:val="99"/>
    <w:unhideWhenUsed/>
    <w:rsid w:val="00127DEC"/>
    <w:pPr>
      <w:spacing w:line="240" w:lineRule="auto"/>
    </w:pPr>
    <w:rPr>
      <w:sz w:val="24"/>
      <w:szCs w:val="24"/>
    </w:rPr>
  </w:style>
  <w:style w:type="character" w:customStyle="1" w:styleId="CommentTextChar">
    <w:name w:val="Comment Text Char"/>
    <w:basedOn w:val="DefaultParagraphFont"/>
    <w:link w:val="CommentText"/>
    <w:uiPriority w:val="99"/>
    <w:rsid w:val="00127DEC"/>
    <w:rPr>
      <w:sz w:val="24"/>
      <w:szCs w:val="24"/>
    </w:rPr>
  </w:style>
  <w:style w:type="paragraph" w:styleId="CommentSubject">
    <w:name w:val="annotation subject"/>
    <w:basedOn w:val="CommentText"/>
    <w:next w:val="CommentText"/>
    <w:link w:val="CommentSubjectChar"/>
    <w:uiPriority w:val="99"/>
    <w:semiHidden/>
    <w:unhideWhenUsed/>
    <w:rsid w:val="00127DEC"/>
    <w:rPr>
      <w:b/>
      <w:bCs/>
      <w:sz w:val="20"/>
      <w:szCs w:val="20"/>
    </w:rPr>
  </w:style>
  <w:style w:type="character" w:customStyle="1" w:styleId="CommentSubjectChar">
    <w:name w:val="Comment Subject Char"/>
    <w:basedOn w:val="CommentTextChar"/>
    <w:link w:val="CommentSubject"/>
    <w:uiPriority w:val="99"/>
    <w:semiHidden/>
    <w:rsid w:val="00127DEC"/>
    <w:rPr>
      <w:b/>
      <w:bCs/>
      <w:sz w:val="20"/>
      <w:szCs w:val="20"/>
    </w:rPr>
  </w:style>
  <w:style w:type="paragraph" w:styleId="Revision">
    <w:name w:val="Revision"/>
    <w:hidden/>
    <w:uiPriority w:val="99"/>
    <w:semiHidden/>
    <w:rsid w:val="000F7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79622">
      <w:bodyDiv w:val="1"/>
      <w:marLeft w:val="0"/>
      <w:marRight w:val="0"/>
      <w:marTop w:val="0"/>
      <w:marBottom w:val="0"/>
      <w:divBdr>
        <w:top w:val="none" w:sz="0" w:space="0" w:color="auto"/>
        <w:left w:val="none" w:sz="0" w:space="0" w:color="auto"/>
        <w:bottom w:val="none" w:sz="0" w:space="0" w:color="auto"/>
        <w:right w:val="none" w:sz="0" w:space="0" w:color="auto"/>
      </w:divBdr>
    </w:div>
    <w:div w:id="973486522">
      <w:bodyDiv w:val="1"/>
      <w:marLeft w:val="0"/>
      <w:marRight w:val="0"/>
      <w:marTop w:val="0"/>
      <w:marBottom w:val="0"/>
      <w:divBdr>
        <w:top w:val="none" w:sz="0" w:space="0" w:color="auto"/>
        <w:left w:val="none" w:sz="0" w:space="0" w:color="auto"/>
        <w:bottom w:val="none" w:sz="0" w:space="0" w:color="auto"/>
        <w:right w:val="none" w:sz="0" w:space="0" w:color="auto"/>
      </w:divBdr>
    </w:div>
    <w:div w:id="1261448047">
      <w:bodyDiv w:val="1"/>
      <w:marLeft w:val="0"/>
      <w:marRight w:val="0"/>
      <w:marTop w:val="0"/>
      <w:marBottom w:val="0"/>
      <w:divBdr>
        <w:top w:val="none" w:sz="0" w:space="0" w:color="auto"/>
        <w:left w:val="none" w:sz="0" w:space="0" w:color="auto"/>
        <w:bottom w:val="none" w:sz="0" w:space="0" w:color="auto"/>
        <w:right w:val="none" w:sz="0" w:space="0" w:color="auto"/>
      </w:divBdr>
    </w:div>
    <w:div w:id="1426850793">
      <w:bodyDiv w:val="1"/>
      <w:marLeft w:val="0"/>
      <w:marRight w:val="0"/>
      <w:marTop w:val="0"/>
      <w:marBottom w:val="0"/>
      <w:divBdr>
        <w:top w:val="none" w:sz="0" w:space="0" w:color="auto"/>
        <w:left w:val="none" w:sz="0" w:space="0" w:color="auto"/>
        <w:bottom w:val="none" w:sz="0" w:space="0" w:color="auto"/>
        <w:right w:val="none" w:sz="0" w:space="0" w:color="auto"/>
      </w:divBdr>
    </w:div>
    <w:div w:id="1436631740">
      <w:bodyDiv w:val="1"/>
      <w:marLeft w:val="0"/>
      <w:marRight w:val="0"/>
      <w:marTop w:val="0"/>
      <w:marBottom w:val="0"/>
      <w:divBdr>
        <w:top w:val="none" w:sz="0" w:space="0" w:color="auto"/>
        <w:left w:val="none" w:sz="0" w:space="0" w:color="auto"/>
        <w:bottom w:val="none" w:sz="0" w:space="0" w:color="auto"/>
        <w:right w:val="none" w:sz="0" w:space="0" w:color="auto"/>
      </w:divBdr>
      <w:divsChild>
        <w:div w:id="2077975831">
          <w:marLeft w:val="0"/>
          <w:marRight w:val="0"/>
          <w:marTop w:val="0"/>
          <w:marBottom w:val="0"/>
          <w:divBdr>
            <w:top w:val="none" w:sz="0" w:space="0" w:color="auto"/>
            <w:left w:val="none" w:sz="0" w:space="0" w:color="auto"/>
            <w:bottom w:val="none" w:sz="0" w:space="0" w:color="auto"/>
            <w:right w:val="none" w:sz="0" w:space="0" w:color="auto"/>
          </w:divBdr>
        </w:div>
      </w:divsChild>
    </w:div>
    <w:div w:id="1456484886">
      <w:bodyDiv w:val="1"/>
      <w:marLeft w:val="0"/>
      <w:marRight w:val="0"/>
      <w:marTop w:val="0"/>
      <w:marBottom w:val="0"/>
      <w:divBdr>
        <w:top w:val="none" w:sz="0" w:space="0" w:color="auto"/>
        <w:left w:val="none" w:sz="0" w:space="0" w:color="auto"/>
        <w:bottom w:val="none" w:sz="0" w:space="0" w:color="auto"/>
        <w:right w:val="none" w:sz="0" w:space="0" w:color="auto"/>
      </w:divBdr>
    </w:div>
    <w:div w:id="1717780785">
      <w:bodyDiv w:val="1"/>
      <w:marLeft w:val="0"/>
      <w:marRight w:val="0"/>
      <w:marTop w:val="0"/>
      <w:marBottom w:val="0"/>
      <w:divBdr>
        <w:top w:val="none" w:sz="0" w:space="0" w:color="auto"/>
        <w:left w:val="none" w:sz="0" w:space="0" w:color="auto"/>
        <w:bottom w:val="none" w:sz="0" w:space="0" w:color="auto"/>
        <w:right w:val="none" w:sz="0" w:space="0" w:color="auto"/>
      </w:divBdr>
    </w:div>
    <w:div w:id="1730491127">
      <w:bodyDiv w:val="1"/>
      <w:marLeft w:val="0"/>
      <w:marRight w:val="0"/>
      <w:marTop w:val="0"/>
      <w:marBottom w:val="0"/>
      <w:divBdr>
        <w:top w:val="none" w:sz="0" w:space="0" w:color="auto"/>
        <w:left w:val="none" w:sz="0" w:space="0" w:color="auto"/>
        <w:bottom w:val="none" w:sz="0" w:space="0" w:color="auto"/>
        <w:right w:val="none" w:sz="0" w:space="0" w:color="auto"/>
      </w:divBdr>
    </w:div>
    <w:div w:id="17424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urveys/libraries/academic.asp" TargetMode="External"/><Relationship Id="rId18" Type="http://schemas.openxmlformats.org/officeDocument/2006/relationships/hyperlink" Target="http://nces.ed.gov/fastfacts/display.asp?id=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nces.ed.gov/pubs2010/2010348/index.asp" TargetMode="External"/><Relationship Id="rId17" Type="http://schemas.openxmlformats.org/officeDocument/2006/relationships/hyperlink" Target="http://www.seattlehistory.org/visit_us/calendar.php?type=8" TargetMode="External"/><Relationship Id="rId2" Type="http://schemas.openxmlformats.org/officeDocument/2006/relationships/numbering" Target="numbering.xml"/><Relationship Id="rId16" Type="http://schemas.openxmlformats.org/officeDocument/2006/relationships/hyperlink" Target="http://www.ideals.illinois.edu/handle/2142/5336/browse?type=dateissued" TargetMode="External"/><Relationship Id="rId20" Type="http://schemas.openxmlformats.org/officeDocument/2006/relationships/hyperlink" Target="http://nces.ed.gov/fastfacts/display.asp?id=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ycho.uni-duesseldorf.de/abteilungen/aap/gpower3/" TargetMode="External"/><Relationship Id="rId5" Type="http://schemas.openxmlformats.org/officeDocument/2006/relationships/settings" Target="settings.xml"/><Relationship Id="rId15" Type="http://schemas.openxmlformats.org/officeDocument/2006/relationships/hyperlink" Target="http://www.ala.org/ala/professionalresources/libfactsheets/alalibraryfactsheet04.cfm" TargetMode="External"/><Relationship Id="rId10" Type="http://schemas.openxmlformats.org/officeDocument/2006/relationships/hyperlink" Target="http://www.publiclibrariesonline.org/magazines/featured-articles/characteristics-and-trends-public-library-data-service-report" TargetMode="External"/><Relationship Id="rId19" Type="http://schemas.openxmlformats.org/officeDocument/2006/relationships/hyperlink" Target="http://nces.ed.gov/fastfacts/display.asp?id=84" TargetMode="External"/><Relationship Id="rId4" Type="http://schemas.microsoft.com/office/2007/relationships/stylesWithEffects" Target="stylesWithEffects.xml"/><Relationship Id="rId9" Type="http://schemas.openxmlformats.org/officeDocument/2006/relationships/hyperlink" Target="http://nces.ed.gov/ipeds/datacenter/" TargetMode="External"/><Relationship Id="rId14" Type="http://schemas.openxmlformats.org/officeDocument/2006/relationships/hyperlink" Target="http://www.ala.org/ala/membership/aladues/index.cf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9FB06-9AE4-40D3-907F-B19F6FD7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3737</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kfenlon2</dc:creator>
  <cp:lastModifiedBy>Kim A. Miller</cp:lastModifiedBy>
  <cp:revision>5</cp:revision>
  <cp:lastPrinted>2011-11-29T17:22:00Z</cp:lastPrinted>
  <dcterms:created xsi:type="dcterms:W3CDTF">2011-12-02T15:54:00Z</dcterms:created>
  <dcterms:modified xsi:type="dcterms:W3CDTF">2011-12-02T16:09:00Z</dcterms:modified>
</cp:coreProperties>
</file>