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4E" w:rsidRDefault="00486E4E" w:rsidP="00486E4E">
      <w:pPr>
        <w:pStyle w:val="AbtHeadABar"/>
        <w:ind w:left="0" w:firstLine="0"/>
      </w:pPr>
      <w:bookmarkStart w:id="0" w:name="_Toc294261566"/>
      <w:r>
        <w:t>Part B: Collection of Information Employing Statistical Methods</w:t>
      </w:r>
      <w:bookmarkEnd w:id="0"/>
    </w:p>
    <w:p w:rsidR="00486E4E" w:rsidRDefault="00486E4E" w:rsidP="00486E4E"/>
    <w:p w:rsidR="00486E4E" w:rsidRPr="003329D8" w:rsidRDefault="00486E4E" w:rsidP="00486E4E">
      <w:pPr>
        <w:ind w:left="720" w:hanging="720"/>
        <w:rPr>
          <w:b/>
        </w:rPr>
      </w:pPr>
      <w:r w:rsidRPr="003329D8">
        <w:rPr>
          <w:b/>
        </w:rPr>
        <w:t xml:space="preserve">1. </w:t>
      </w:r>
      <w:r>
        <w:rPr>
          <w:b/>
        </w:rPr>
        <w:tab/>
      </w:r>
      <w:r w:rsidRPr="003329D8">
        <w:rPr>
          <w:b/>
        </w:rPr>
        <w:t>Describe (including a numerical estimate) the potential respondent universe and any sampling or other respondent selection method to be used.  Data on the number of entities (e.g. establishments, State and local governmental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86E4E" w:rsidRDefault="00486E4E" w:rsidP="00486E4E"/>
    <w:p w:rsidR="00486E4E" w:rsidRDefault="00486E4E" w:rsidP="00486E4E">
      <w:r w:rsidRPr="00C921BD">
        <w:t xml:space="preserve">The target populations for both the OUP </w:t>
      </w:r>
      <w:r>
        <w:t>web</w:t>
      </w:r>
      <w:r w:rsidRPr="00C921BD">
        <w:t xml:space="preserve"> survey and telephone interviews </w:t>
      </w:r>
      <w:r>
        <w:t xml:space="preserve">are current and past recipients of grants under the four OUP grant programs mentioned in Part A.  These recipients are all two- or four-year institutions of higher learning who received OUP grants between 2005 and 2008.  There are 102 institutional campuses that received at least one OUP grant during that period, representing 91 institutions across the country.  </w:t>
      </w:r>
      <w:proofErr w:type="spellStart"/>
      <w:r>
        <w:t>Abt</w:t>
      </w:r>
      <w:proofErr w:type="spellEnd"/>
      <w:r>
        <w:t xml:space="preserve"> proposes to select a sample of 67 grantee campuses from the pool of eligible institutions.  This sample will be drawn using </w:t>
      </w:r>
      <w:r w:rsidRPr="00B2002A">
        <w:t>equal probability systematic sampling</w:t>
      </w:r>
      <w:r>
        <w:t>.</w:t>
      </w:r>
    </w:p>
    <w:p w:rsidR="00486E4E" w:rsidRDefault="00486E4E" w:rsidP="00486E4E"/>
    <w:p w:rsidR="00486E4E" w:rsidRPr="00C54566" w:rsidRDefault="00486E4E" w:rsidP="00486E4E">
      <w:pPr>
        <w:pStyle w:val="BodyText"/>
        <w:rPr>
          <w:szCs w:val="22"/>
        </w:rPr>
      </w:pPr>
      <w:r w:rsidRPr="00C54566">
        <w:rPr>
          <w:szCs w:val="22"/>
        </w:rPr>
        <w:t>Exhibit B-1 presents this information for all four programs as a whole, as well as by OUP program type.</w:t>
      </w:r>
    </w:p>
    <w:p w:rsidR="00486E4E" w:rsidRDefault="00486E4E" w:rsidP="00486E4E">
      <w:pPr>
        <w:pStyle w:val="BodyText"/>
      </w:pPr>
    </w:p>
    <w:p w:rsidR="00486E4E" w:rsidRPr="009C2337" w:rsidRDefault="00486E4E" w:rsidP="00486E4E">
      <w:pPr>
        <w:pStyle w:val="ExhibitTitle"/>
      </w:pPr>
      <w:proofErr w:type="gramStart"/>
      <w:r w:rsidRPr="009C2337">
        <w:t>Exhibit B-1</w:t>
      </w:r>
      <w:r>
        <w:t>.</w:t>
      </w:r>
      <w:proofErr w:type="gramEnd"/>
      <w:r>
        <w:tab/>
      </w:r>
      <w:r w:rsidRPr="009C2337">
        <w:t>OUP Grantees</w:t>
      </w:r>
    </w:p>
    <w:tbl>
      <w:tblPr>
        <w:tblW w:w="9059"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tblPr>
      <w:tblGrid>
        <w:gridCol w:w="2982"/>
        <w:gridCol w:w="1058"/>
        <w:gridCol w:w="1440"/>
        <w:gridCol w:w="1193"/>
        <w:gridCol w:w="1193"/>
        <w:gridCol w:w="1193"/>
      </w:tblGrid>
      <w:tr w:rsidR="00486E4E" w:rsidRPr="00804C91" w:rsidTr="00B81003">
        <w:trPr>
          <w:trHeight w:val="331"/>
        </w:trPr>
        <w:tc>
          <w:tcPr>
            <w:tcW w:w="2982" w:type="dxa"/>
            <w:tcBorders>
              <w:top w:val="single" w:sz="12" w:space="0" w:color="auto"/>
              <w:bottom w:val="single" w:sz="12" w:space="0" w:color="auto"/>
            </w:tcBorders>
            <w:noWrap/>
            <w:vAlign w:val="center"/>
          </w:tcPr>
          <w:p w:rsidR="00486E4E" w:rsidRPr="00804C91" w:rsidRDefault="00486E4E" w:rsidP="00B81003">
            <w:pPr>
              <w:rPr>
                <w:rFonts w:ascii="Arial" w:hAnsi="Arial" w:cs="Arial"/>
                <w:b/>
                <w:sz w:val="20"/>
              </w:rPr>
            </w:pPr>
            <w:r w:rsidRPr="00804C91">
              <w:rPr>
                <w:rFonts w:ascii="Arial" w:hAnsi="Arial" w:cs="Arial"/>
                <w:b/>
                <w:sz w:val="20"/>
              </w:rPr>
              <w:t>2005–2008</w:t>
            </w:r>
          </w:p>
        </w:tc>
        <w:tc>
          <w:tcPr>
            <w:tcW w:w="1058" w:type="dxa"/>
            <w:tcBorders>
              <w:top w:val="single" w:sz="12" w:space="0" w:color="auto"/>
              <w:bottom w:val="single" w:sz="12" w:space="0" w:color="auto"/>
            </w:tcBorders>
            <w:noWrap/>
            <w:vAlign w:val="center"/>
          </w:tcPr>
          <w:p w:rsidR="00486E4E" w:rsidRPr="00804C91" w:rsidRDefault="00486E4E" w:rsidP="00B81003">
            <w:pPr>
              <w:jc w:val="center"/>
              <w:rPr>
                <w:rFonts w:ascii="Arial" w:hAnsi="Arial" w:cs="Arial"/>
                <w:b/>
                <w:sz w:val="20"/>
              </w:rPr>
            </w:pPr>
            <w:r w:rsidRPr="00804C91">
              <w:rPr>
                <w:rFonts w:ascii="Arial" w:hAnsi="Arial" w:cs="Arial"/>
                <w:b/>
                <w:sz w:val="20"/>
              </w:rPr>
              <w:t>All</w:t>
            </w:r>
          </w:p>
        </w:tc>
        <w:tc>
          <w:tcPr>
            <w:tcW w:w="1440" w:type="dxa"/>
            <w:tcBorders>
              <w:top w:val="single" w:sz="12" w:space="0" w:color="auto"/>
              <w:bottom w:val="single" w:sz="12" w:space="0" w:color="auto"/>
            </w:tcBorders>
            <w:noWrap/>
            <w:vAlign w:val="center"/>
          </w:tcPr>
          <w:p w:rsidR="00486E4E" w:rsidRPr="00804C91" w:rsidRDefault="00486E4E" w:rsidP="00B81003">
            <w:pPr>
              <w:jc w:val="center"/>
              <w:rPr>
                <w:rFonts w:ascii="Arial" w:hAnsi="Arial" w:cs="Arial"/>
                <w:b/>
                <w:sz w:val="20"/>
              </w:rPr>
            </w:pPr>
            <w:r w:rsidRPr="00804C91">
              <w:rPr>
                <w:rFonts w:ascii="Arial" w:hAnsi="Arial" w:cs="Arial"/>
                <w:b/>
                <w:sz w:val="20"/>
              </w:rPr>
              <w:t>ANNHIAC</w:t>
            </w:r>
          </w:p>
        </w:tc>
        <w:tc>
          <w:tcPr>
            <w:tcW w:w="1193" w:type="dxa"/>
            <w:tcBorders>
              <w:top w:val="single" w:sz="12" w:space="0" w:color="auto"/>
              <w:bottom w:val="single" w:sz="12" w:space="0" w:color="auto"/>
            </w:tcBorders>
            <w:noWrap/>
            <w:vAlign w:val="center"/>
          </w:tcPr>
          <w:p w:rsidR="00486E4E" w:rsidRPr="00804C91" w:rsidRDefault="00486E4E" w:rsidP="00B81003">
            <w:pPr>
              <w:jc w:val="center"/>
              <w:rPr>
                <w:rFonts w:ascii="Arial" w:hAnsi="Arial" w:cs="Arial"/>
                <w:b/>
                <w:sz w:val="20"/>
              </w:rPr>
            </w:pPr>
            <w:r w:rsidRPr="00804C91">
              <w:rPr>
                <w:rFonts w:ascii="Arial" w:hAnsi="Arial" w:cs="Arial"/>
                <w:b/>
                <w:sz w:val="20"/>
              </w:rPr>
              <w:t>HBCU</w:t>
            </w:r>
          </w:p>
        </w:tc>
        <w:tc>
          <w:tcPr>
            <w:tcW w:w="1193" w:type="dxa"/>
            <w:tcBorders>
              <w:top w:val="single" w:sz="12" w:space="0" w:color="auto"/>
              <w:bottom w:val="single" w:sz="12" w:space="0" w:color="auto"/>
            </w:tcBorders>
            <w:noWrap/>
            <w:vAlign w:val="center"/>
          </w:tcPr>
          <w:p w:rsidR="00486E4E" w:rsidRPr="00804C91" w:rsidRDefault="00486E4E" w:rsidP="00B81003">
            <w:pPr>
              <w:jc w:val="center"/>
              <w:rPr>
                <w:rFonts w:ascii="Arial" w:hAnsi="Arial" w:cs="Arial"/>
                <w:b/>
                <w:sz w:val="20"/>
              </w:rPr>
            </w:pPr>
            <w:r w:rsidRPr="00804C91">
              <w:rPr>
                <w:rFonts w:ascii="Arial" w:hAnsi="Arial" w:cs="Arial"/>
                <w:b/>
                <w:sz w:val="20"/>
              </w:rPr>
              <w:t>HSIAC</w:t>
            </w:r>
          </w:p>
        </w:tc>
        <w:tc>
          <w:tcPr>
            <w:tcW w:w="1193" w:type="dxa"/>
            <w:tcBorders>
              <w:top w:val="single" w:sz="12" w:space="0" w:color="auto"/>
              <w:bottom w:val="single" w:sz="12" w:space="0" w:color="auto"/>
            </w:tcBorders>
            <w:noWrap/>
            <w:vAlign w:val="center"/>
          </w:tcPr>
          <w:p w:rsidR="00486E4E" w:rsidRPr="00804C91" w:rsidRDefault="00486E4E" w:rsidP="00B81003">
            <w:pPr>
              <w:jc w:val="center"/>
              <w:rPr>
                <w:rFonts w:ascii="Arial" w:hAnsi="Arial" w:cs="Arial"/>
                <w:b/>
                <w:sz w:val="20"/>
              </w:rPr>
            </w:pPr>
            <w:r w:rsidRPr="00804C91">
              <w:rPr>
                <w:rFonts w:ascii="Arial" w:hAnsi="Arial" w:cs="Arial"/>
                <w:b/>
                <w:sz w:val="20"/>
              </w:rPr>
              <w:t>TCUP</w:t>
            </w:r>
          </w:p>
        </w:tc>
      </w:tr>
      <w:tr w:rsidR="00486E4E" w:rsidRPr="00804C91" w:rsidTr="00B81003">
        <w:trPr>
          <w:trHeight w:val="331"/>
        </w:trPr>
        <w:tc>
          <w:tcPr>
            <w:tcW w:w="2982" w:type="dxa"/>
            <w:tcBorders>
              <w:top w:val="single" w:sz="12" w:space="0" w:color="auto"/>
            </w:tcBorders>
            <w:noWrap/>
            <w:vAlign w:val="center"/>
          </w:tcPr>
          <w:p w:rsidR="00486E4E" w:rsidRPr="00804C91" w:rsidRDefault="00486E4E" w:rsidP="00B81003">
            <w:pPr>
              <w:rPr>
                <w:rFonts w:ascii="Arial" w:hAnsi="Arial" w:cs="Arial"/>
                <w:sz w:val="20"/>
              </w:rPr>
            </w:pPr>
            <w:r w:rsidRPr="00804C91">
              <w:rPr>
                <w:rFonts w:ascii="Arial" w:hAnsi="Arial" w:cs="Arial"/>
                <w:sz w:val="20"/>
              </w:rPr>
              <w:t>Total grants</w:t>
            </w:r>
          </w:p>
        </w:tc>
        <w:tc>
          <w:tcPr>
            <w:tcW w:w="1058" w:type="dxa"/>
            <w:tcBorders>
              <w:top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133</w:t>
            </w:r>
          </w:p>
        </w:tc>
        <w:tc>
          <w:tcPr>
            <w:tcW w:w="1440" w:type="dxa"/>
            <w:tcBorders>
              <w:top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17</w:t>
            </w:r>
          </w:p>
        </w:tc>
        <w:tc>
          <w:tcPr>
            <w:tcW w:w="1193" w:type="dxa"/>
            <w:tcBorders>
              <w:top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53</w:t>
            </w:r>
          </w:p>
        </w:tc>
        <w:tc>
          <w:tcPr>
            <w:tcW w:w="1193" w:type="dxa"/>
            <w:tcBorders>
              <w:top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41</w:t>
            </w:r>
          </w:p>
        </w:tc>
        <w:tc>
          <w:tcPr>
            <w:tcW w:w="1193" w:type="dxa"/>
            <w:tcBorders>
              <w:top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22</w:t>
            </w:r>
          </w:p>
        </w:tc>
      </w:tr>
      <w:tr w:rsidR="00486E4E" w:rsidRPr="00804C91" w:rsidTr="00B81003">
        <w:trPr>
          <w:trHeight w:val="331"/>
        </w:trPr>
        <w:tc>
          <w:tcPr>
            <w:tcW w:w="2982" w:type="dxa"/>
            <w:noWrap/>
            <w:vAlign w:val="center"/>
          </w:tcPr>
          <w:p w:rsidR="00486E4E" w:rsidRPr="00804C91" w:rsidRDefault="00486E4E" w:rsidP="00B81003">
            <w:pPr>
              <w:rPr>
                <w:rFonts w:ascii="Arial" w:hAnsi="Arial" w:cs="Arial"/>
                <w:sz w:val="20"/>
              </w:rPr>
            </w:pPr>
            <w:r w:rsidRPr="00804C91">
              <w:rPr>
                <w:rFonts w:ascii="Arial" w:hAnsi="Arial" w:cs="Arial"/>
                <w:sz w:val="20"/>
              </w:rPr>
              <w:t>Total unique campuses</w:t>
            </w:r>
          </w:p>
        </w:tc>
        <w:tc>
          <w:tcPr>
            <w:tcW w:w="1058" w:type="dxa"/>
            <w:noWrap/>
            <w:vAlign w:val="center"/>
          </w:tcPr>
          <w:p w:rsidR="00486E4E" w:rsidRPr="00804C91" w:rsidRDefault="00486E4E" w:rsidP="00B81003">
            <w:pPr>
              <w:jc w:val="center"/>
              <w:rPr>
                <w:rFonts w:ascii="Arial" w:hAnsi="Arial" w:cs="Arial"/>
                <w:sz w:val="20"/>
              </w:rPr>
            </w:pPr>
            <w:r w:rsidRPr="00804C91">
              <w:rPr>
                <w:rFonts w:ascii="Arial" w:hAnsi="Arial" w:cs="Arial"/>
                <w:sz w:val="20"/>
              </w:rPr>
              <w:t>102</w:t>
            </w:r>
          </w:p>
        </w:tc>
        <w:tc>
          <w:tcPr>
            <w:tcW w:w="1440" w:type="dxa"/>
            <w:noWrap/>
            <w:vAlign w:val="center"/>
          </w:tcPr>
          <w:p w:rsidR="00486E4E" w:rsidRPr="00804C91" w:rsidRDefault="00486E4E" w:rsidP="00B81003">
            <w:pPr>
              <w:jc w:val="center"/>
              <w:rPr>
                <w:rFonts w:ascii="Arial" w:hAnsi="Arial" w:cs="Arial"/>
                <w:sz w:val="20"/>
              </w:rPr>
            </w:pPr>
            <w:r w:rsidRPr="00804C91">
              <w:rPr>
                <w:rFonts w:ascii="Arial" w:hAnsi="Arial" w:cs="Arial"/>
                <w:sz w:val="20"/>
              </w:rPr>
              <w:t>13</w:t>
            </w:r>
          </w:p>
        </w:tc>
        <w:tc>
          <w:tcPr>
            <w:tcW w:w="1193" w:type="dxa"/>
            <w:noWrap/>
            <w:vAlign w:val="center"/>
          </w:tcPr>
          <w:p w:rsidR="00486E4E" w:rsidRPr="00804C91" w:rsidRDefault="00486E4E" w:rsidP="00B81003">
            <w:pPr>
              <w:jc w:val="center"/>
              <w:rPr>
                <w:rFonts w:ascii="Arial" w:hAnsi="Arial" w:cs="Arial"/>
                <w:sz w:val="20"/>
              </w:rPr>
            </w:pPr>
            <w:r w:rsidRPr="00804C91">
              <w:rPr>
                <w:rFonts w:ascii="Arial" w:hAnsi="Arial" w:cs="Arial"/>
                <w:sz w:val="20"/>
              </w:rPr>
              <w:t>35</w:t>
            </w:r>
          </w:p>
        </w:tc>
        <w:tc>
          <w:tcPr>
            <w:tcW w:w="1193" w:type="dxa"/>
            <w:noWrap/>
            <w:vAlign w:val="center"/>
          </w:tcPr>
          <w:p w:rsidR="00486E4E" w:rsidRPr="00804C91" w:rsidRDefault="00486E4E" w:rsidP="00B81003">
            <w:pPr>
              <w:jc w:val="center"/>
              <w:rPr>
                <w:rFonts w:ascii="Arial" w:hAnsi="Arial" w:cs="Arial"/>
                <w:sz w:val="20"/>
              </w:rPr>
            </w:pPr>
            <w:r w:rsidRPr="00804C91">
              <w:rPr>
                <w:rFonts w:ascii="Arial" w:hAnsi="Arial" w:cs="Arial"/>
                <w:sz w:val="20"/>
              </w:rPr>
              <w:t>37</w:t>
            </w:r>
          </w:p>
        </w:tc>
        <w:tc>
          <w:tcPr>
            <w:tcW w:w="1193" w:type="dxa"/>
            <w:noWrap/>
            <w:vAlign w:val="center"/>
          </w:tcPr>
          <w:p w:rsidR="00486E4E" w:rsidRPr="00804C91" w:rsidRDefault="00486E4E" w:rsidP="00B81003">
            <w:pPr>
              <w:jc w:val="center"/>
              <w:rPr>
                <w:rFonts w:ascii="Arial" w:hAnsi="Arial" w:cs="Arial"/>
                <w:sz w:val="20"/>
              </w:rPr>
            </w:pPr>
            <w:r w:rsidRPr="00804C91">
              <w:rPr>
                <w:rFonts w:ascii="Arial" w:hAnsi="Arial" w:cs="Arial"/>
                <w:sz w:val="20"/>
              </w:rPr>
              <w:t>17</w:t>
            </w:r>
          </w:p>
        </w:tc>
      </w:tr>
      <w:tr w:rsidR="00486E4E" w:rsidRPr="00804C91" w:rsidTr="00B81003">
        <w:trPr>
          <w:trHeight w:val="331"/>
        </w:trPr>
        <w:tc>
          <w:tcPr>
            <w:tcW w:w="2982" w:type="dxa"/>
            <w:tcBorders>
              <w:bottom w:val="single" w:sz="12" w:space="0" w:color="auto"/>
            </w:tcBorders>
            <w:noWrap/>
            <w:vAlign w:val="center"/>
          </w:tcPr>
          <w:p w:rsidR="00486E4E" w:rsidRPr="00804C91" w:rsidRDefault="00486E4E" w:rsidP="00B81003">
            <w:pPr>
              <w:rPr>
                <w:rFonts w:ascii="Arial" w:hAnsi="Arial" w:cs="Arial"/>
                <w:sz w:val="20"/>
              </w:rPr>
            </w:pPr>
            <w:r w:rsidRPr="00804C91">
              <w:rPr>
                <w:rFonts w:ascii="Arial" w:hAnsi="Arial" w:cs="Arial"/>
                <w:sz w:val="20"/>
              </w:rPr>
              <w:t>Total unique institutions</w:t>
            </w:r>
          </w:p>
        </w:tc>
        <w:tc>
          <w:tcPr>
            <w:tcW w:w="1058" w:type="dxa"/>
            <w:tcBorders>
              <w:bottom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91</w:t>
            </w:r>
          </w:p>
        </w:tc>
        <w:tc>
          <w:tcPr>
            <w:tcW w:w="1440" w:type="dxa"/>
            <w:tcBorders>
              <w:bottom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8</w:t>
            </w:r>
          </w:p>
        </w:tc>
        <w:tc>
          <w:tcPr>
            <w:tcW w:w="1193" w:type="dxa"/>
            <w:tcBorders>
              <w:bottom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35</w:t>
            </w:r>
          </w:p>
        </w:tc>
        <w:tc>
          <w:tcPr>
            <w:tcW w:w="1193" w:type="dxa"/>
            <w:tcBorders>
              <w:bottom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31</w:t>
            </w:r>
          </w:p>
        </w:tc>
        <w:tc>
          <w:tcPr>
            <w:tcW w:w="1193" w:type="dxa"/>
            <w:tcBorders>
              <w:bottom w:val="single" w:sz="12" w:space="0" w:color="auto"/>
            </w:tcBorders>
            <w:noWrap/>
            <w:vAlign w:val="center"/>
          </w:tcPr>
          <w:p w:rsidR="00486E4E" w:rsidRPr="00804C91" w:rsidRDefault="00486E4E" w:rsidP="00B81003">
            <w:pPr>
              <w:jc w:val="center"/>
              <w:rPr>
                <w:rFonts w:ascii="Arial" w:hAnsi="Arial" w:cs="Arial"/>
                <w:sz w:val="20"/>
              </w:rPr>
            </w:pPr>
            <w:r w:rsidRPr="00804C91">
              <w:rPr>
                <w:rFonts w:ascii="Arial" w:hAnsi="Arial" w:cs="Arial"/>
                <w:sz w:val="20"/>
              </w:rPr>
              <w:t>17</w:t>
            </w:r>
          </w:p>
        </w:tc>
      </w:tr>
    </w:tbl>
    <w:p w:rsidR="00486E4E" w:rsidRPr="00804C91" w:rsidRDefault="00486E4E" w:rsidP="00486E4E"/>
    <w:p w:rsidR="00486E4E" w:rsidRDefault="00486E4E" w:rsidP="00486E4E">
      <w:r>
        <w:t xml:space="preserve">Based on the contractor’s experience recruiting grantees to participate in studies of this type, </w:t>
      </w:r>
      <w:proofErr w:type="spellStart"/>
      <w:r>
        <w:t>Abt</w:t>
      </w:r>
      <w:proofErr w:type="spellEnd"/>
      <w:r>
        <w:t xml:space="preserve"> anticipates making initial mail and telephone contact with 75 campuses, leading to 67 participating.  The expectation is that about ninety percent of all grantees in the sample will agree to participate in the study, given that the time commitment to participate in </w:t>
      </w:r>
      <w:r w:rsidRPr="00BA6831">
        <w:t xml:space="preserve">the OUP </w:t>
      </w:r>
      <w:r>
        <w:t>web</w:t>
      </w:r>
      <w:r w:rsidRPr="00BA6831">
        <w:t xml:space="preserve"> survey and telephone interview is relati</w:t>
      </w:r>
      <w:r>
        <w:t xml:space="preserve">vely low.  The main challenge </w:t>
      </w:r>
      <w:proofErr w:type="spellStart"/>
      <w:r>
        <w:t>Abt</w:t>
      </w:r>
      <w:proofErr w:type="spellEnd"/>
      <w:r w:rsidRPr="00BA6831">
        <w:t xml:space="preserve"> anticipate</w:t>
      </w:r>
      <w:r>
        <w:t>s</w:t>
      </w:r>
      <w:r w:rsidRPr="00BA6831">
        <w:t xml:space="preserve"> facing is </w:t>
      </w:r>
      <w:r>
        <w:t>finding one or more respondents at the grantee institution who are familiar with the grant, since there is likely to be staff turnover at the g</w:t>
      </w:r>
      <w:r w:rsidRPr="00BA6831">
        <w:t>rantee</w:t>
      </w:r>
      <w:r>
        <w:t xml:space="preserve"> institutions.  For example, they may find grantee sites at which no one with knowledge of the grants received between 2005 and 2008 still works at the institution.  For grantees that are not able to participate in the study, </w:t>
      </w:r>
      <w:proofErr w:type="spellStart"/>
      <w:r>
        <w:t>Abt</w:t>
      </w:r>
      <w:proofErr w:type="spellEnd"/>
      <w:r>
        <w:t xml:space="preserve"> will pick a substitute grantee within the same program type and the same sampling stratum.  </w:t>
      </w:r>
    </w:p>
    <w:p w:rsidR="00486E4E" w:rsidRDefault="00486E4E" w:rsidP="00486E4E"/>
    <w:p w:rsidR="00486E4E" w:rsidRPr="00804C91" w:rsidRDefault="00486E4E" w:rsidP="00486E4E">
      <w:r w:rsidRPr="00804C91">
        <w:t>This is a new collection.</w:t>
      </w:r>
    </w:p>
    <w:p w:rsidR="00486E4E" w:rsidRPr="00804C91" w:rsidRDefault="00486E4E" w:rsidP="00486E4E"/>
    <w:p w:rsidR="00486E4E" w:rsidRPr="003329D8" w:rsidRDefault="00486E4E" w:rsidP="00486E4E">
      <w:pPr>
        <w:ind w:left="720" w:hanging="720"/>
        <w:rPr>
          <w:b/>
        </w:rPr>
      </w:pPr>
      <w:r w:rsidRPr="003329D8">
        <w:rPr>
          <w:b/>
        </w:rPr>
        <w:lastRenderedPageBreak/>
        <w:t>2.</w:t>
      </w:r>
      <w:r>
        <w:rPr>
          <w:b/>
        </w:rPr>
        <w:tab/>
      </w:r>
      <w:r w:rsidRPr="003329D8">
        <w:rPr>
          <w:b/>
        </w:rPr>
        <w:t xml:space="preserve">Describe the procedures for the collection, including: </w:t>
      </w:r>
    </w:p>
    <w:p w:rsidR="00486E4E" w:rsidRPr="00225171" w:rsidRDefault="00486E4E" w:rsidP="00486E4E">
      <w:pPr>
        <w:autoSpaceDE w:val="0"/>
        <w:autoSpaceDN w:val="0"/>
        <w:adjustRightInd w:val="0"/>
        <w:jc w:val="both"/>
        <w:rPr>
          <w:b/>
          <w:bCs/>
        </w:rPr>
      </w:pPr>
      <w:r>
        <w:rPr>
          <w:b/>
          <w:bCs/>
        </w:rPr>
        <w:tab/>
      </w:r>
      <w:r w:rsidRPr="009B3DFA">
        <w:rPr>
          <w:b/>
          <w:bCs/>
        </w:rPr>
        <w:t xml:space="preserve">*Statistical methodology for stratification and sample selection; </w:t>
      </w:r>
    </w:p>
    <w:p w:rsidR="00486E4E" w:rsidRPr="00804C91" w:rsidRDefault="00486E4E" w:rsidP="00486E4E">
      <w:pPr>
        <w:ind w:left="720" w:hanging="720"/>
        <w:rPr>
          <w:b/>
        </w:rPr>
      </w:pPr>
      <w:r>
        <w:rPr>
          <w:b/>
        </w:rPr>
        <w:tab/>
      </w:r>
      <w:r w:rsidRPr="00804C91">
        <w:rPr>
          <w:b/>
        </w:rPr>
        <w:t xml:space="preserve">* Estimation procedure; </w:t>
      </w:r>
    </w:p>
    <w:p w:rsidR="00486E4E" w:rsidRPr="00804C91" w:rsidRDefault="00486E4E" w:rsidP="00486E4E">
      <w:pPr>
        <w:ind w:left="720" w:hanging="720"/>
        <w:rPr>
          <w:b/>
        </w:rPr>
      </w:pPr>
      <w:r>
        <w:rPr>
          <w:b/>
        </w:rPr>
        <w:tab/>
      </w:r>
      <w:r w:rsidRPr="00804C91">
        <w:rPr>
          <w:b/>
        </w:rPr>
        <w:t xml:space="preserve">* Degree of accuracy needed for the purpose described in the justification; </w:t>
      </w:r>
    </w:p>
    <w:p w:rsidR="00486E4E" w:rsidRPr="00804C91" w:rsidRDefault="00486E4E" w:rsidP="00486E4E">
      <w:pPr>
        <w:ind w:left="720" w:hanging="720"/>
        <w:rPr>
          <w:b/>
        </w:rPr>
      </w:pPr>
      <w:r>
        <w:rPr>
          <w:b/>
        </w:rPr>
        <w:tab/>
      </w:r>
      <w:r w:rsidRPr="00804C91">
        <w:rPr>
          <w:b/>
        </w:rPr>
        <w:t xml:space="preserve">*Unusual problems requiring specialized sampling procedures; and </w:t>
      </w:r>
    </w:p>
    <w:p w:rsidR="00486E4E" w:rsidRPr="00804C91" w:rsidRDefault="00486E4E" w:rsidP="00486E4E">
      <w:pPr>
        <w:ind w:left="720" w:hanging="720"/>
        <w:rPr>
          <w:b/>
        </w:rPr>
      </w:pPr>
      <w:r>
        <w:rPr>
          <w:b/>
        </w:rPr>
        <w:tab/>
      </w:r>
      <w:r w:rsidRPr="00804C91">
        <w:rPr>
          <w:b/>
        </w:rPr>
        <w:t>*Any use of periodic (less frequent than annual) data collection cycles to reduce burden.</w:t>
      </w:r>
    </w:p>
    <w:p w:rsidR="00486E4E" w:rsidRPr="00804C91" w:rsidRDefault="00486E4E" w:rsidP="00486E4E"/>
    <w:p w:rsidR="00486E4E" w:rsidRPr="00804C91" w:rsidRDefault="00486E4E" w:rsidP="00486E4E">
      <w:r>
        <w:t>As stated earlier, t</w:t>
      </w:r>
      <w:r w:rsidRPr="00804C91">
        <w:t>he evaluation sampling frame will be the 102 institutional campuses that received at least one OUP grant between 2005 and 2008.  These 102 campuses represent 91 institutions across the country</w:t>
      </w:r>
      <w:r>
        <w:t xml:space="preserve">.  </w:t>
      </w:r>
      <w:proofErr w:type="spellStart"/>
      <w:r w:rsidRPr="00804C91">
        <w:t>Abt</w:t>
      </w:r>
      <w:proofErr w:type="spellEnd"/>
      <w:r w:rsidRPr="00804C91">
        <w:t xml:space="preserve"> will conduct its analysis at the campus level rather than the institution level because the campuses typically function independently</w:t>
      </w:r>
      <w:r>
        <w:t xml:space="preserve">.  </w:t>
      </w:r>
      <w:r w:rsidRPr="00804C91">
        <w:t>For example, although the University of Alaska–Fairbanks, Interior-Aleutians Campus and the University of Alaska–Fairbanks, Kuskokwim Campus are both part of the University of Alaska system, the grants each campus received were unrelated and completely independent</w:t>
      </w:r>
      <w:r>
        <w:t xml:space="preserve">.  </w:t>
      </w:r>
      <w:r w:rsidRPr="00804C91">
        <w:t>In total, the 102 campuses received 133 grants during the target time period.  Exhibit B-1 above presents this information for all four programs as a whole, as well as by OUP program type.</w:t>
      </w:r>
    </w:p>
    <w:p w:rsidR="00486E4E" w:rsidRPr="00804C91" w:rsidRDefault="00486E4E" w:rsidP="00486E4E"/>
    <w:p w:rsidR="00486E4E" w:rsidRDefault="00486E4E" w:rsidP="00486E4E">
      <w:r w:rsidRPr="00F60E55">
        <w:t xml:space="preserve">From the sample, </w:t>
      </w:r>
      <w:proofErr w:type="spellStart"/>
      <w:r w:rsidRPr="00F60E55">
        <w:t>Abt</w:t>
      </w:r>
      <w:proofErr w:type="spellEnd"/>
      <w:r w:rsidRPr="00F60E55">
        <w:t xml:space="preserve"> will collect information on outputs and outcomes related to two randomly selected activities for each of the sample grantees. </w:t>
      </w:r>
      <w:r w:rsidRPr="00F60E55">
        <w:rPr>
          <w:szCs w:val="22"/>
        </w:rPr>
        <w:t xml:space="preserve">Collecting data on all the activities associated with a grantee would be time consuming and a response burden to the grantees.  To simplify data collection, it was decided to </w:t>
      </w:r>
      <w:r>
        <w:rPr>
          <w:szCs w:val="22"/>
        </w:rPr>
        <w:t xml:space="preserve">randomly </w:t>
      </w:r>
      <w:r w:rsidRPr="00F60E55">
        <w:rPr>
          <w:szCs w:val="22"/>
        </w:rPr>
        <w:t xml:space="preserve">select activities </w:t>
      </w:r>
      <w:r>
        <w:rPr>
          <w:szCs w:val="22"/>
        </w:rPr>
        <w:t xml:space="preserve">for each grantee </w:t>
      </w:r>
      <w:r w:rsidRPr="00F60E55">
        <w:rPr>
          <w:szCs w:val="22"/>
        </w:rPr>
        <w:t xml:space="preserve">from </w:t>
      </w:r>
      <w:r>
        <w:rPr>
          <w:szCs w:val="22"/>
        </w:rPr>
        <w:t>their activities listed in the OUP database (the database contains a record of the activities each grantee proposed in their initial grant application)</w:t>
      </w:r>
      <w:r w:rsidRPr="00F60E55">
        <w:rPr>
          <w:szCs w:val="22"/>
        </w:rPr>
        <w:t xml:space="preserve">.  </w:t>
      </w:r>
      <w:r w:rsidRPr="00F60E55">
        <w:t xml:space="preserve">This approach fits with the study’s exploratory nature and its multiple goals of documenting outcomes achieved, </w:t>
      </w:r>
      <w:r>
        <w:t xml:space="preserve">documenting </w:t>
      </w:r>
      <w:r w:rsidRPr="00F60E55">
        <w:t xml:space="preserve">outcome data available, and understanding challenges faced in implementing grant activities. To </w:t>
      </w:r>
      <w:r>
        <w:t xml:space="preserve">counterbalance the narrowing of </w:t>
      </w:r>
      <w:r w:rsidRPr="00F60E55">
        <w:t xml:space="preserve">the study’s focus, </w:t>
      </w:r>
      <w:proofErr w:type="spellStart"/>
      <w:r w:rsidRPr="00F60E55">
        <w:t>Abt</w:t>
      </w:r>
      <w:proofErr w:type="spellEnd"/>
      <w:r w:rsidRPr="00F60E55">
        <w:t xml:space="preserve"> will seek to understand how the </w:t>
      </w:r>
      <w:r>
        <w:t xml:space="preserve">randomly </w:t>
      </w:r>
      <w:r w:rsidRPr="00F60E55">
        <w:t>selected activities relate to previous</w:t>
      </w:r>
      <w:r>
        <w:t>ly</w:t>
      </w:r>
      <w:r w:rsidRPr="00F60E55">
        <w:t xml:space="preserve"> funded activities.  If activities are a continuation of previously funded OUP activities, </w:t>
      </w:r>
      <w:proofErr w:type="spellStart"/>
      <w:r>
        <w:t>Abt</w:t>
      </w:r>
      <w:proofErr w:type="spellEnd"/>
      <w:r w:rsidRPr="00F60E55">
        <w:t xml:space="preserve"> will record all outcome data available and report on any long-term trends associated with larger projects that encompass activities funded by OUP between 2005 and 2008.  For example, if four housing units built with a 2006 HBCU grant are part of</w:t>
      </w:r>
      <w:r>
        <w:t xml:space="preserve"> a</w:t>
      </w:r>
      <w:r w:rsidRPr="00F60E55">
        <w:t xml:space="preserve"> larger affordable housing initiative</w:t>
      </w:r>
      <w:r w:rsidRPr="00804C91">
        <w:t xml:space="preserve"> that was started in 2002, </w:t>
      </w:r>
      <w:proofErr w:type="spellStart"/>
      <w:r w:rsidRPr="00804C91">
        <w:t>Abt</w:t>
      </w:r>
      <w:proofErr w:type="spellEnd"/>
      <w:r w:rsidRPr="00804C91">
        <w:t xml:space="preserve"> will capture the outcomes for the larger initiative, in addition to the outcomes achieved by the specific 2006 OUP grant. </w:t>
      </w:r>
    </w:p>
    <w:p w:rsidR="00486E4E" w:rsidRDefault="00486E4E" w:rsidP="00486E4E"/>
    <w:p w:rsidR="00486E4E" w:rsidRDefault="00486E4E" w:rsidP="00486E4E">
      <w:r>
        <w:t xml:space="preserve">Additionally, if either or both of the selected </w:t>
      </w:r>
      <w:r w:rsidRPr="00F60E55">
        <w:t>activities were</w:t>
      </w:r>
      <w:r>
        <w:t xml:space="preserve"> one of many activities included within a larger multi-purpose center or university facility, the telephone interview will capture data on all activities related to the center or facility. The evaluation team decided to take this approach because the pre-test interviews showed that grantees perceive their “center” or “facility” efforts as a complete project.  To ask about one activity and not the rest of a center’s activities could be frustrating or confusing to the grantee.  Additionally, a more comprehensive approach provides the evaluators with a more complete understanding of the interconnectedness of grant activities. </w:t>
      </w:r>
    </w:p>
    <w:p w:rsidR="00486E4E" w:rsidRDefault="00486E4E" w:rsidP="00486E4E"/>
    <w:p w:rsidR="00486E4E" w:rsidRPr="00804C91" w:rsidRDefault="00486E4E" w:rsidP="00486E4E">
      <w:r>
        <w:t xml:space="preserve">To accurately capture independent activities (i.e., those not included as part of a multi-purpose center or campus facility) as well as co-located activities, we have developed two versions of the telephone instrument, Format A and Format B.  Format A will be used to gather information about the independent activities.  Format B will be used when one of a grantee’s randomly selected activities was part of a multi-purpose center or campus facility.  Format B is designed to provide a coherent </w:t>
      </w:r>
      <w:r>
        <w:lastRenderedPageBreak/>
        <w:t xml:space="preserve">way for grantees to describe all of the interconnected activities they implemented as part of a multi-purpose center or campus facility.   </w:t>
      </w:r>
      <w:proofErr w:type="spellStart"/>
      <w:r>
        <w:t>Abt</w:t>
      </w:r>
      <w:proofErr w:type="spellEnd"/>
      <w:r>
        <w:t xml:space="preserve"> will use grantees’ responses to web survey questions 2.1–2.3 (Appendix 4) to determine which question format will be used for each activity.</w:t>
      </w:r>
    </w:p>
    <w:p w:rsidR="00486E4E" w:rsidRPr="00804C91" w:rsidRDefault="00486E4E" w:rsidP="00486E4E"/>
    <w:p w:rsidR="00486E4E" w:rsidRDefault="00486E4E" w:rsidP="00486E4E">
      <w:pPr>
        <w:pStyle w:val="AbtHeadB"/>
        <w:rPr>
          <w:sz w:val="24"/>
          <w:szCs w:val="24"/>
        </w:rPr>
      </w:pPr>
      <w:bookmarkStart w:id="1" w:name="_Toc294261567"/>
      <w:r w:rsidRPr="009B3DFA">
        <w:t xml:space="preserve">Statistical </w:t>
      </w:r>
      <w:r>
        <w:t>M</w:t>
      </w:r>
      <w:r w:rsidRPr="009B3DFA">
        <w:t xml:space="preserve">ethodology for </w:t>
      </w:r>
      <w:r>
        <w:t>S</w:t>
      </w:r>
      <w:r w:rsidRPr="009B3DFA">
        <w:t xml:space="preserve">tratification and </w:t>
      </w:r>
      <w:r>
        <w:t>S</w:t>
      </w:r>
      <w:r w:rsidRPr="009B3DFA">
        <w:t xml:space="preserve">ample </w:t>
      </w:r>
      <w:r>
        <w:t>S</w:t>
      </w:r>
      <w:r w:rsidRPr="009B3DFA">
        <w:t>election</w:t>
      </w:r>
      <w:bookmarkEnd w:id="1"/>
    </w:p>
    <w:p w:rsidR="00486E4E" w:rsidRPr="00F95726" w:rsidRDefault="00486E4E" w:rsidP="00486E4E">
      <w:pPr>
        <w:pStyle w:val="AbtHeadC"/>
      </w:pPr>
      <w:bookmarkStart w:id="2" w:name="_Toc294261568"/>
      <w:r>
        <w:t>Selection of Grantees</w:t>
      </w:r>
      <w:bookmarkEnd w:id="2"/>
    </w:p>
    <w:p w:rsidR="00486E4E" w:rsidRDefault="00486E4E" w:rsidP="00486E4E">
      <w:r w:rsidRPr="00804C91">
        <w:t xml:space="preserve">Given available resources, </w:t>
      </w:r>
      <w:proofErr w:type="spellStart"/>
      <w:r w:rsidRPr="00804C91">
        <w:t>Abt</w:t>
      </w:r>
      <w:proofErr w:type="spellEnd"/>
      <w:r w:rsidRPr="00804C91">
        <w:t xml:space="preserve"> plans to conduct telephone interviews with 67 campuses that received OUP funds between 2005 and 2008.  Exhibit B-2 illustrates the expected distribution of grantees among OUP programs.</w:t>
      </w:r>
    </w:p>
    <w:p w:rsidR="00486E4E" w:rsidRPr="00804C91" w:rsidRDefault="00486E4E" w:rsidP="00486E4E"/>
    <w:p w:rsidR="00486E4E" w:rsidRPr="00B2002A" w:rsidRDefault="00486E4E" w:rsidP="00486E4E">
      <w:pPr>
        <w:pStyle w:val="ExhibitTitle"/>
      </w:pPr>
      <w:proofErr w:type="gramStart"/>
      <w:r w:rsidRPr="00B2002A">
        <w:t xml:space="preserve">Exhibit </w:t>
      </w:r>
      <w:r>
        <w:t>B-2.</w:t>
      </w:r>
      <w:proofErr w:type="gramEnd"/>
      <w:r>
        <w:tab/>
      </w:r>
      <w:r w:rsidRPr="00B2002A">
        <w:t>Sampling Design</w:t>
      </w:r>
    </w:p>
    <w:tbl>
      <w:tblPr>
        <w:tblW w:w="9000" w:type="dxa"/>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tblPr>
      <w:tblGrid>
        <w:gridCol w:w="3209"/>
        <w:gridCol w:w="1010"/>
        <w:gridCol w:w="1370"/>
        <w:gridCol w:w="1137"/>
        <w:gridCol w:w="1137"/>
        <w:gridCol w:w="1137"/>
      </w:tblGrid>
      <w:tr w:rsidR="00486E4E" w:rsidRPr="007104C3" w:rsidTr="00B81003">
        <w:trPr>
          <w:trHeight w:val="331"/>
        </w:trPr>
        <w:tc>
          <w:tcPr>
            <w:tcW w:w="3394" w:type="dxa"/>
            <w:tcBorders>
              <w:top w:val="single" w:sz="12" w:space="0" w:color="auto"/>
            </w:tcBorders>
            <w:noWrap/>
            <w:vAlign w:val="center"/>
          </w:tcPr>
          <w:p w:rsidR="00486E4E" w:rsidRPr="007104C3" w:rsidRDefault="00486E4E" w:rsidP="00B81003">
            <w:pPr>
              <w:rPr>
                <w:rFonts w:ascii="Arial" w:hAnsi="Arial" w:cs="Arial"/>
                <w:b/>
                <w:sz w:val="20"/>
              </w:rPr>
            </w:pPr>
            <w:r w:rsidRPr="007104C3">
              <w:rPr>
                <w:rFonts w:ascii="Arial" w:hAnsi="Arial" w:cs="Arial"/>
                <w:b/>
                <w:sz w:val="20"/>
              </w:rPr>
              <w:t>2005–2008</w:t>
            </w:r>
          </w:p>
        </w:tc>
        <w:tc>
          <w:tcPr>
            <w:tcW w:w="1058" w:type="dxa"/>
            <w:tcBorders>
              <w:top w:val="single" w:sz="12" w:space="0" w:color="auto"/>
            </w:tcBorders>
            <w:noWrap/>
            <w:vAlign w:val="center"/>
          </w:tcPr>
          <w:p w:rsidR="00486E4E" w:rsidRPr="007104C3" w:rsidRDefault="00486E4E" w:rsidP="00B81003">
            <w:pPr>
              <w:jc w:val="center"/>
              <w:rPr>
                <w:rFonts w:ascii="Arial" w:hAnsi="Arial" w:cs="Arial"/>
                <w:b/>
                <w:sz w:val="20"/>
              </w:rPr>
            </w:pPr>
            <w:r w:rsidRPr="007104C3">
              <w:rPr>
                <w:rFonts w:ascii="Arial" w:hAnsi="Arial" w:cs="Arial"/>
                <w:b/>
                <w:sz w:val="20"/>
              </w:rPr>
              <w:t>All</w:t>
            </w:r>
          </w:p>
        </w:tc>
        <w:tc>
          <w:tcPr>
            <w:tcW w:w="1440" w:type="dxa"/>
            <w:tcBorders>
              <w:top w:val="single" w:sz="12" w:space="0" w:color="auto"/>
            </w:tcBorders>
            <w:noWrap/>
            <w:vAlign w:val="center"/>
          </w:tcPr>
          <w:p w:rsidR="00486E4E" w:rsidRPr="007104C3" w:rsidRDefault="00486E4E" w:rsidP="00B81003">
            <w:pPr>
              <w:jc w:val="center"/>
              <w:rPr>
                <w:rFonts w:ascii="Arial" w:hAnsi="Arial" w:cs="Arial"/>
                <w:b/>
                <w:sz w:val="20"/>
              </w:rPr>
            </w:pPr>
            <w:r w:rsidRPr="007104C3">
              <w:rPr>
                <w:rFonts w:ascii="Arial" w:hAnsi="Arial" w:cs="Arial"/>
                <w:b/>
                <w:sz w:val="20"/>
              </w:rPr>
              <w:t>ANNHIAC</w:t>
            </w:r>
          </w:p>
        </w:tc>
        <w:tc>
          <w:tcPr>
            <w:tcW w:w="1193" w:type="dxa"/>
            <w:tcBorders>
              <w:top w:val="single" w:sz="12" w:space="0" w:color="auto"/>
            </w:tcBorders>
            <w:noWrap/>
            <w:vAlign w:val="center"/>
          </w:tcPr>
          <w:p w:rsidR="00486E4E" w:rsidRPr="007104C3" w:rsidRDefault="00486E4E" w:rsidP="00B81003">
            <w:pPr>
              <w:jc w:val="center"/>
              <w:rPr>
                <w:rFonts w:ascii="Arial" w:hAnsi="Arial" w:cs="Arial"/>
                <w:b/>
                <w:sz w:val="20"/>
              </w:rPr>
            </w:pPr>
            <w:r w:rsidRPr="007104C3">
              <w:rPr>
                <w:rFonts w:ascii="Arial" w:hAnsi="Arial" w:cs="Arial"/>
                <w:b/>
                <w:sz w:val="20"/>
              </w:rPr>
              <w:t>HBCU</w:t>
            </w:r>
          </w:p>
        </w:tc>
        <w:tc>
          <w:tcPr>
            <w:tcW w:w="1193" w:type="dxa"/>
            <w:tcBorders>
              <w:top w:val="single" w:sz="12" w:space="0" w:color="auto"/>
            </w:tcBorders>
            <w:noWrap/>
            <w:vAlign w:val="center"/>
          </w:tcPr>
          <w:p w:rsidR="00486E4E" w:rsidRPr="007104C3" w:rsidRDefault="00486E4E" w:rsidP="00B81003">
            <w:pPr>
              <w:jc w:val="center"/>
              <w:rPr>
                <w:rFonts w:ascii="Arial" w:hAnsi="Arial" w:cs="Arial"/>
                <w:b/>
                <w:sz w:val="20"/>
              </w:rPr>
            </w:pPr>
            <w:r w:rsidRPr="007104C3">
              <w:rPr>
                <w:rFonts w:ascii="Arial" w:hAnsi="Arial" w:cs="Arial"/>
                <w:b/>
                <w:sz w:val="20"/>
              </w:rPr>
              <w:t>HSIAC</w:t>
            </w:r>
          </w:p>
        </w:tc>
        <w:tc>
          <w:tcPr>
            <w:tcW w:w="1193" w:type="dxa"/>
            <w:tcBorders>
              <w:top w:val="single" w:sz="12" w:space="0" w:color="auto"/>
            </w:tcBorders>
            <w:noWrap/>
            <w:vAlign w:val="center"/>
          </w:tcPr>
          <w:p w:rsidR="00486E4E" w:rsidRPr="007104C3" w:rsidRDefault="00486E4E" w:rsidP="00B81003">
            <w:pPr>
              <w:jc w:val="center"/>
              <w:rPr>
                <w:rFonts w:ascii="Arial" w:hAnsi="Arial" w:cs="Arial"/>
                <w:b/>
                <w:sz w:val="20"/>
              </w:rPr>
            </w:pPr>
            <w:r w:rsidRPr="007104C3">
              <w:rPr>
                <w:rFonts w:ascii="Arial" w:hAnsi="Arial" w:cs="Arial"/>
                <w:b/>
                <w:sz w:val="20"/>
              </w:rPr>
              <w:t>TCUP</w:t>
            </w:r>
          </w:p>
        </w:tc>
      </w:tr>
      <w:tr w:rsidR="00486E4E" w:rsidRPr="007104C3" w:rsidTr="00B81003">
        <w:trPr>
          <w:trHeight w:val="331"/>
        </w:trPr>
        <w:tc>
          <w:tcPr>
            <w:tcW w:w="3394" w:type="dxa"/>
            <w:noWrap/>
            <w:vAlign w:val="center"/>
          </w:tcPr>
          <w:p w:rsidR="00486E4E" w:rsidRPr="007104C3" w:rsidRDefault="00486E4E" w:rsidP="00B81003">
            <w:pPr>
              <w:rPr>
                <w:rFonts w:ascii="Arial" w:hAnsi="Arial" w:cs="Arial"/>
                <w:sz w:val="20"/>
              </w:rPr>
            </w:pPr>
            <w:r w:rsidRPr="007104C3">
              <w:rPr>
                <w:rFonts w:ascii="Arial" w:hAnsi="Arial" w:cs="Arial"/>
                <w:sz w:val="20"/>
              </w:rPr>
              <w:t>Total unique campuses</w:t>
            </w:r>
          </w:p>
        </w:tc>
        <w:tc>
          <w:tcPr>
            <w:tcW w:w="1058" w:type="dxa"/>
            <w:noWrap/>
            <w:vAlign w:val="center"/>
          </w:tcPr>
          <w:p w:rsidR="00486E4E" w:rsidRPr="007104C3" w:rsidRDefault="00486E4E" w:rsidP="00B81003">
            <w:pPr>
              <w:jc w:val="center"/>
              <w:rPr>
                <w:rFonts w:ascii="Arial" w:hAnsi="Arial" w:cs="Arial"/>
                <w:sz w:val="20"/>
              </w:rPr>
            </w:pPr>
            <w:r w:rsidRPr="007104C3">
              <w:rPr>
                <w:rFonts w:ascii="Arial" w:hAnsi="Arial" w:cs="Arial"/>
                <w:sz w:val="20"/>
              </w:rPr>
              <w:t>102</w:t>
            </w:r>
          </w:p>
        </w:tc>
        <w:tc>
          <w:tcPr>
            <w:tcW w:w="1440" w:type="dxa"/>
            <w:noWrap/>
            <w:vAlign w:val="center"/>
          </w:tcPr>
          <w:p w:rsidR="00486E4E" w:rsidRPr="007104C3" w:rsidRDefault="00486E4E" w:rsidP="00B81003">
            <w:pPr>
              <w:jc w:val="center"/>
              <w:rPr>
                <w:rFonts w:ascii="Arial" w:hAnsi="Arial" w:cs="Arial"/>
                <w:sz w:val="20"/>
              </w:rPr>
            </w:pPr>
            <w:r w:rsidRPr="007104C3">
              <w:rPr>
                <w:rFonts w:ascii="Arial" w:hAnsi="Arial" w:cs="Arial"/>
                <w:sz w:val="20"/>
              </w:rPr>
              <w:t>13</w:t>
            </w:r>
          </w:p>
        </w:tc>
        <w:tc>
          <w:tcPr>
            <w:tcW w:w="1193" w:type="dxa"/>
            <w:noWrap/>
            <w:vAlign w:val="center"/>
          </w:tcPr>
          <w:p w:rsidR="00486E4E" w:rsidRPr="007104C3" w:rsidRDefault="00486E4E" w:rsidP="00B81003">
            <w:pPr>
              <w:jc w:val="center"/>
              <w:rPr>
                <w:rFonts w:ascii="Arial" w:hAnsi="Arial" w:cs="Arial"/>
                <w:sz w:val="20"/>
              </w:rPr>
            </w:pPr>
            <w:r w:rsidRPr="007104C3">
              <w:rPr>
                <w:rFonts w:ascii="Arial" w:hAnsi="Arial" w:cs="Arial"/>
                <w:sz w:val="20"/>
              </w:rPr>
              <w:t>35</w:t>
            </w:r>
          </w:p>
        </w:tc>
        <w:tc>
          <w:tcPr>
            <w:tcW w:w="1193" w:type="dxa"/>
            <w:noWrap/>
            <w:vAlign w:val="center"/>
          </w:tcPr>
          <w:p w:rsidR="00486E4E" w:rsidRPr="007104C3" w:rsidRDefault="00486E4E" w:rsidP="00B81003">
            <w:pPr>
              <w:jc w:val="center"/>
              <w:rPr>
                <w:rFonts w:ascii="Arial" w:hAnsi="Arial" w:cs="Arial"/>
                <w:sz w:val="20"/>
              </w:rPr>
            </w:pPr>
            <w:r w:rsidRPr="007104C3">
              <w:rPr>
                <w:rFonts w:ascii="Arial" w:hAnsi="Arial" w:cs="Arial"/>
                <w:sz w:val="20"/>
              </w:rPr>
              <w:t>37</w:t>
            </w:r>
          </w:p>
        </w:tc>
        <w:tc>
          <w:tcPr>
            <w:tcW w:w="1193" w:type="dxa"/>
            <w:noWrap/>
            <w:vAlign w:val="center"/>
          </w:tcPr>
          <w:p w:rsidR="00486E4E" w:rsidRPr="007104C3" w:rsidRDefault="00486E4E" w:rsidP="00B81003">
            <w:pPr>
              <w:jc w:val="center"/>
              <w:rPr>
                <w:rFonts w:ascii="Arial" w:hAnsi="Arial" w:cs="Arial"/>
                <w:sz w:val="20"/>
              </w:rPr>
            </w:pPr>
            <w:r w:rsidRPr="007104C3">
              <w:rPr>
                <w:rFonts w:ascii="Arial" w:hAnsi="Arial" w:cs="Arial"/>
                <w:sz w:val="20"/>
              </w:rPr>
              <w:t>17</w:t>
            </w:r>
          </w:p>
        </w:tc>
      </w:tr>
      <w:tr w:rsidR="00486E4E" w:rsidRPr="007104C3" w:rsidTr="00B81003">
        <w:trPr>
          <w:trHeight w:val="331"/>
        </w:trPr>
        <w:tc>
          <w:tcPr>
            <w:tcW w:w="3394" w:type="dxa"/>
            <w:tcBorders>
              <w:bottom w:val="single" w:sz="12" w:space="0" w:color="auto"/>
            </w:tcBorders>
            <w:noWrap/>
            <w:vAlign w:val="center"/>
          </w:tcPr>
          <w:p w:rsidR="00486E4E" w:rsidRPr="007104C3" w:rsidRDefault="00486E4E" w:rsidP="00B81003">
            <w:pPr>
              <w:rPr>
                <w:rFonts w:ascii="Arial" w:hAnsi="Arial" w:cs="Arial"/>
                <w:sz w:val="20"/>
              </w:rPr>
            </w:pPr>
            <w:r w:rsidRPr="007104C3">
              <w:rPr>
                <w:rFonts w:ascii="Arial" w:hAnsi="Arial" w:cs="Arial"/>
                <w:sz w:val="20"/>
              </w:rPr>
              <w:t xml:space="preserve">Sample: </w:t>
            </w:r>
            <w:r>
              <w:rPr>
                <w:rFonts w:ascii="Arial" w:hAnsi="Arial" w:cs="Arial"/>
                <w:sz w:val="20"/>
              </w:rPr>
              <w:t>web</w:t>
            </w:r>
            <w:r w:rsidRPr="007104C3">
              <w:rPr>
                <w:rFonts w:ascii="Arial" w:hAnsi="Arial" w:cs="Arial"/>
                <w:sz w:val="20"/>
              </w:rPr>
              <w:t xml:space="preserve"> survey and telephone</w:t>
            </w:r>
            <w:r>
              <w:rPr>
                <w:rFonts w:ascii="Arial" w:hAnsi="Arial" w:cs="Arial"/>
                <w:sz w:val="20"/>
              </w:rPr>
              <w:t xml:space="preserve"> interview</w:t>
            </w:r>
          </w:p>
        </w:tc>
        <w:tc>
          <w:tcPr>
            <w:tcW w:w="1058" w:type="dxa"/>
            <w:tcBorders>
              <w:bottom w:val="single" w:sz="12" w:space="0" w:color="auto"/>
            </w:tcBorders>
            <w:noWrap/>
            <w:vAlign w:val="center"/>
          </w:tcPr>
          <w:p w:rsidR="00486E4E" w:rsidRPr="007104C3" w:rsidRDefault="00486E4E" w:rsidP="00B81003">
            <w:pPr>
              <w:jc w:val="center"/>
              <w:rPr>
                <w:rFonts w:ascii="Arial" w:hAnsi="Arial" w:cs="Arial"/>
                <w:sz w:val="20"/>
              </w:rPr>
            </w:pPr>
            <w:r w:rsidRPr="007104C3">
              <w:rPr>
                <w:rFonts w:ascii="Arial" w:hAnsi="Arial" w:cs="Arial"/>
                <w:sz w:val="20"/>
              </w:rPr>
              <w:t>67</w:t>
            </w:r>
          </w:p>
        </w:tc>
        <w:tc>
          <w:tcPr>
            <w:tcW w:w="1440" w:type="dxa"/>
            <w:tcBorders>
              <w:bottom w:val="single" w:sz="12" w:space="0" w:color="auto"/>
            </w:tcBorders>
            <w:noWrap/>
            <w:vAlign w:val="center"/>
          </w:tcPr>
          <w:p w:rsidR="00486E4E" w:rsidRPr="007104C3" w:rsidRDefault="00486E4E" w:rsidP="00B81003">
            <w:pPr>
              <w:jc w:val="center"/>
              <w:rPr>
                <w:rFonts w:ascii="Arial" w:hAnsi="Arial" w:cs="Arial"/>
                <w:sz w:val="20"/>
              </w:rPr>
            </w:pPr>
            <w:r w:rsidRPr="007104C3">
              <w:rPr>
                <w:rFonts w:ascii="Arial" w:hAnsi="Arial" w:cs="Arial"/>
                <w:sz w:val="20"/>
              </w:rPr>
              <w:t>9</w:t>
            </w:r>
          </w:p>
        </w:tc>
        <w:tc>
          <w:tcPr>
            <w:tcW w:w="1193" w:type="dxa"/>
            <w:tcBorders>
              <w:bottom w:val="single" w:sz="12" w:space="0" w:color="auto"/>
            </w:tcBorders>
            <w:noWrap/>
            <w:vAlign w:val="center"/>
          </w:tcPr>
          <w:p w:rsidR="00486E4E" w:rsidRPr="007104C3" w:rsidRDefault="00486E4E" w:rsidP="00B81003">
            <w:pPr>
              <w:jc w:val="center"/>
              <w:rPr>
                <w:rFonts w:ascii="Arial" w:hAnsi="Arial" w:cs="Arial"/>
                <w:sz w:val="20"/>
              </w:rPr>
            </w:pPr>
            <w:r w:rsidRPr="007104C3">
              <w:rPr>
                <w:rFonts w:ascii="Arial" w:hAnsi="Arial" w:cs="Arial"/>
                <w:sz w:val="20"/>
              </w:rPr>
              <w:t>23</w:t>
            </w:r>
          </w:p>
        </w:tc>
        <w:tc>
          <w:tcPr>
            <w:tcW w:w="1193" w:type="dxa"/>
            <w:tcBorders>
              <w:bottom w:val="single" w:sz="12" w:space="0" w:color="auto"/>
            </w:tcBorders>
            <w:noWrap/>
            <w:vAlign w:val="center"/>
          </w:tcPr>
          <w:p w:rsidR="00486E4E" w:rsidRPr="007104C3" w:rsidRDefault="00486E4E" w:rsidP="00B81003">
            <w:pPr>
              <w:jc w:val="center"/>
              <w:rPr>
                <w:rFonts w:ascii="Arial" w:hAnsi="Arial" w:cs="Arial"/>
                <w:sz w:val="20"/>
              </w:rPr>
            </w:pPr>
            <w:r w:rsidRPr="007104C3">
              <w:rPr>
                <w:rFonts w:ascii="Arial" w:hAnsi="Arial" w:cs="Arial"/>
                <w:sz w:val="20"/>
              </w:rPr>
              <w:t>24</w:t>
            </w:r>
          </w:p>
        </w:tc>
        <w:tc>
          <w:tcPr>
            <w:tcW w:w="1193" w:type="dxa"/>
            <w:tcBorders>
              <w:bottom w:val="single" w:sz="12" w:space="0" w:color="auto"/>
            </w:tcBorders>
            <w:noWrap/>
            <w:vAlign w:val="center"/>
          </w:tcPr>
          <w:p w:rsidR="00486E4E" w:rsidRPr="007104C3" w:rsidRDefault="00486E4E" w:rsidP="00B81003">
            <w:pPr>
              <w:jc w:val="center"/>
              <w:rPr>
                <w:rFonts w:ascii="Arial" w:hAnsi="Arial" w:cs="Arial"/>
                <w:sz w:val="20"/>
              </w:rPr>
            </w:pPr>
            <w:r w:rsidRPr="007104C3">
              <w:rPr>
                <w:rFonts w:ascii="Arial" w:hAnsi="Arial" w:cs="Arial"/>
                <w:sz w:val="20"/>
              </w:rPr>
              <w:t>11</w:t>
            </w:r>
          </w:p>
        </w:tc>
      </w:tr>
    </w:tbl>
    <w:p w:rsidR="00486E4E" w:rsidRDefault="00486E4E" w:rsidP="00486E4E">
      <w:pPr>
        <w:pStyle w:val="BodyText"/>
        <w:rPr>
          <w:sz w:val="24"/>
          <w:szCs w:val="24"/>
        </w:rPr>
      </w:pPr>
    </w:p>
    <w:p w:rsidR="00486E4E" w:rsidRDefault="00486E4E" w:rsidP="00486E4E">
      <w:pPr>
        <w:pStyle w:val="BodyText"/>
        <w:rPr>
          <w:sz w:val="24"/>
          <w:szCs w:val="24"/>
        </w:rPr>
      </w:pPr>
    </w:p>
    <w:p w:rsidR="00486E4E" w:rsidRDefault="00486E4E" w:rsidP="00486E4E">
      <w:proofErr w:type="spellStart"/>
      <w:r w:rsidRPr="007104C3">
        <w:t>Abt</w:t>
      </w:r>
      <w:proofErr w:type="spellEnd"/>
      <w:r w:rsidRPr="007104C3">
        <w:t xml:space="preserve"> will select a stratified simple random sample of 67 campuses from a population of 102 campuses.  Specifically, their approach will be to stratify by program type (ANNHIAC, HBCU, HSIAC, and TCUP) and then allocate the sample to each stratum in proportion to the number of grantees in that stratum.  Once this is completed, an equal probability systematic sample will be selected in each stratum from the list of grantees after sorting the list by number of planned activities and earliest grant year (Exhibit </w:t>
      </w:r>
      <w:r>
        <w:t>B-3</w:t>
      </w:r>
      <w:r w:rsidRPr="007104C3">
        <w:t xml:space="preserve">).  This </w:t>
      </w:r>
      <w:r>
        <w:t xml:space="preserve">sampling approach will help to </w:t>
      </w:r>
      <w:r w:rsidRPr="007104C3">
        <w:t xml:space="preserve">ensure </w:t>
      </w:r>
      <w:r>
        <w:t>that grantee characteristics expected to be key to our analysis are represented</w:t>
      </w:r>
      <w:r w:rsidRPr="007104C3">
        <w:t>.</w:t>
      </w:r>
    </w:p>
    <w:p w:rsidR="00486E4E" w:rsidRPr="007104C3" w:rsidRDefault="00486E4E" w:rsidP="00486E4E"/>
    <w:p w:rsidR="00486E4E" w:rsidRPr="00B2002A" w:rsidRDefault="00486E4E" w:rsidP="00486E4E">
      <w:pPr>
        <w:pStyle w:val="ExhibitTitle"/>
      </w:pPr>
      <w:bookmarkStart w:id="3" w:name="_Toc279152192"/>
      <w:proofErr w:type="gramStart"/>
      <w:r w:rsidRPr="00B2002A">
        <w:t xml:space="preserve">Exhibit </w:t>
      </w:r>
      <w:r>
        <w:t>B-3.</w:t>
      </w:r>
      <w:proofErr w:type="gramEnd"/>
      <w:r>
        <w:tab/>
      </w:r>
      <w:r w:rsidRPr="00B2002A">
        <w:t xml:space="preserve">Selection Criteria for the </w:t>
      </w:r>
      <w:bookmarkEnd w:id="3"/>
      <w:r w:rsidRPr="00B2002A">
        <w:t>Telephone Interviews</w:t>
      </w:r>
    </w:p>
    <w:tbl>
      <w:tblPr>
        <w:tblW w:w="936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tblPr>
      <w:tblGrid>
        <w:gridCol w:w="2767"/>
        <w:gridCol w:w="6593"/>
      </w:tblGrid>
      <w:tr w:rsidR="00486E4E" w:rsidRPr="007104C3" w:rsidTr="00B81003">
        <w:trPr>
          <w:cantSplit/>
          <w:trHeight w:val="360"/>
        </w:trPr>
        <w:tc>
          <w:tcPr>
            <w:tcW w:w="2767" w:type="dxa"/>
            <w:tcBorders>
              <w:top w:val="single" w:sz="12" w:space="0" w:color="auto"/>
            </w:tcBorders>
            <w:vAlign w:val="center"/>
          </w:tcPr>
          <w:p w:rsidR="00486E4E" w:rsidRPr="00AE49FD" w:rsidRDefault="00486E4E" w:rsidP="00B81003">
            <w:pPr>
              <w:rPr>
                <w:rFonts w:ascii="Arial" w:hAnsi="Arial" w:cs="Arial"/>
                <w:b/>
                <w:sz w:val="20"/>
              </w:rPr>
            </w:pPr>
            <w:r w:rsidRPr="00AE49FD">
              <w:rPr>
                <w:rFonts w:ascii="Arial" w:hAnsi="Arial" w:cs="Arial"/>
                <w:b/>
                <w:sz w:val="20"/>
              </w:rPr>
              <w:t>Program</w:t>
            </w:r>
          </w:p>
        </w:tc>
        <w:tc>
          <w:tcPr>
            <w:tcW w:w="6593" w:type="dxa"/>
            <w:tcBorders>
              <w:top w:val="single" w:sz="12" w:space="0" w:color="auto"/>
            </w:tcBorders>
            <w:vAlign w:val="center"/>
          </w:tcPr>
          <w:p w:rsidR="00486E4E" w:rsidRPr="007104C3" w:rsidRDefault="00486E4E" w:rsidP="00B81003">
            <w:pPr>
              <w:rPr>
                <w:rFonts w:ascii="Arial" w:hAnsi="Arial" w:cs="Arial"/>
                <w:sz w:val="20"/>
              </w:rPr>
            </w:pPr>
            <w:r w:rsidRPr="007104C3">
              <w:rPr>
                <w:rFonts w:ascii="Arial" w:hAnsi="Arial" w:cs="Arial"/>
                <w:sz w:val="20"/>
              </w:rPr>
              <w:t>OUP’s four university programs—ANNHIAC, HBCU, HSIAC, TCUP</w:t>
            </w:r>
          </w:p>
        </w:tc>
      </w:tr>
      <w:tr w:rsidR="00486E4E" w:rsidRPr="007104C3" w:rsidTr="00B81003">
        <w:trPr>
          <w:cantSplit/>
          <w:trHeight w:val="360"/>
        </w:trPr>
        <w:tc>
          <w:tcPr>
            <w:tcW w:w="2767" w:type="dxa"/>
            <w:vAlign w:val="center"/>
          </w:tcPr>
          <w:p w:rsidR="00486E4E" w:rsidRPr="00AE49FD" w:rsidRDefault="00486E4E" w:rsidP="00B81003">
            <w:pPr>
              <w:rPr>
                <w:rFonts w:ascii="Arial" w:hAnsi="Arial" w:cs="Arial"/>
                <w:b/>
                <w:sz w:val="20"/>
              </w:rPr>
            </w:pPr>
            <w:r w:rsidRPr="00AE49FD">
              <w:rPr>
                <w:rFonts w:ascii="Arial" w:hAnsi="Arial" w:cs="Arial"/>
                <w:b/>
                <w:sz w:val="20"/>
              </w:rPr>
              <w:t xml:space="preserve">Number of </w:t>
            </w:r>
            <w:r w:rsidRPr="005D4B12">
              <w:rPr>
                <w:rFonts w:ascii="Arial" w:hAnsi="Arial" w:cs="Arial"/>
                <w:b/>
                <w:sz w:val="20"/>
              </w:rPr>
              <w:t>Planned Activitie</w:t>
            </w:r>
            <w:r w:rsidRPr="00AE49FD">
              <w:rPr>
                <w:rFonts w:ascii="Arial" w:hAnsi="Arial" w:cs="Arial"/>
                <w:b/>
                <w:sz w:val="20"/>
              </w:rPr>
              <w:t>s</w:t>
            </w:r>
          </w:p>
        </w:tc>
        <w:tc>
          <w:tcPr>
            <w:tcW w:w="6593" w:type="dxa"/>
            <w:vAlign w:val="center"/>
          </w:tcPr>
          <w:p w:rsidR="00486E4E" w:rsidRPr="007104C3" w:rsidRDefault="00486E4E" w:rsidP="00B81003">
            <w:pPr>
              <w:rPr>
                <w:rFonts w:ascii="Arial" w:hAnsi="Arial" w:cs="Arial"/>
                <w:sz w:val="20"/>
              </w:rPr>
            </w:pPr>
            <w:r w:rsidRPr="007104C3">
              <w:rPr>
                <w:rFonts w:ascii="Arial" w:hAnsi="Arial" w:cs="Arial"/>
                <w:sz w:val="20"/>
              </w:rPr>
              <w:t>To ensure that varying grant complexities are represented (defined as the number of planned grant activities)</w:t>
            </w:r>
            <w:proofErr w:type="gramStart"/>
            <w:r w:rsidRPr="007104C3">
              <w:rPr>
                <w:rFonts w:ascii="Arial" w:hAnsi="Arial" w:cs="Arial"/>
                <w:sz w:val="20"/>
              </w:rPr>
              <w:t>,</w:t>
            </w:r>
            <w:proofErr w:type="gramEnd"/>
            <w:r w:rsidRPr="007104C3">
              <w:rPr>
                <w:rFonts w:ascii="Arial" w:hAnsi="Arial" w:cs="Arial"/>
                <w:sz w:val="20"/>
              </w:rPr>
              <w:t xml:space="preserve"> the evaluation will ensure that grants with a range of activities are included.</w:t>
            </w:r>
          </w:p>
        </w:tc>
      </w:tr>
      <w:tr w:rsidR="00486E4E" w:rsidRPr="007104C3" w:rsidTr="00B81003">
        <w:trPr>
          <w:cantSplit/>
          <w:trHeight w:val="360"/>
        </w:trPr>
        <w:tc>
          <w:tcPr>
            <w:tcW w:w="2767" w:type="dxa"/>
            <w:tcBorders>
              <w:bottom w:val="single" w:sz="12" w:space="0" w:color="auto"/>
            </w:tcBorders>
            <w:vAlign w:val="center"/>
          </w:tcPr>
          <w:p w:rsidR="00486E4E" w:rsidRPr="00AE49FD" w:rsidRDefault="00486E4E" w:rsidP="00B81003">
            <w:pPr>
              <w:rPr>
                <w:rFonts w:ascii="Arial" w:hAnsi="Arial" w:cs="Arial"/>
                <w:b/>
                <w:sz w:val="20"/>
              </w:rPr>
            </w:pPr>
            <w:r w:rsidRPr="00AE49FD">
              <w:rPr>
                <w:rFonts w:ascii="Arial" w:hAnsi="Arial" w:cs="Arial"/>
                <w:b/>
                <w:sz w:val="20"/>
              </w:rPr>
              <w:t xml:space="preserve">Earliest </w:t>
            </w:r>
            <w:r w:rsidRPr="005D4B12">
              <w:rPr>
                <w:rFonts w:ascii="Arial" w:hAnsi="Arial" w:cs="Arial"/>
                <w:b/>
                <w:sz w:val="20"/>
              </w:rPr>
              <w:t>Grant Y</w:t>
            </w:r>
            <w:r w:rsidRPr="00AE49FD">
              <w:rPr>
                <w:rFonts w:ascii="Arial" w:hAnsi="Arial" w:cs="Arial"/>
                <w:b/>
                <w:sz w:val="20"/>
              </w:rPr>
              <w:t>ear</w:t>
            </w:r>
          </w:p>
        </w:tc>
        <w:tc>
          <w:tcPr>
            <w:tcW w:w="6593" w:type="dxa"/>
            <w:tcBorders>
              <w:bottom w:val="single" w:sz="12" w:space="0" w:color="auto"/>
            </w:tcBorders>
            <w:vAlign w:val="center"/>
          </w:tcPr>
          <w:p w:rsidR="00486E4E" w:rsidRPr="007104C3" w:rsidRDefault="00486E4E" w:rsidP="00B81003">
            <w:pPr>
              <w:rPr>
                <w:rFonts w:ascii="Arial" w:hAnsi="Arial" w:cs="Arial"/>
                <w:sz w:val="20"/>
              </w:rPr>
            </w:pPr>
            <w:r w:rsidRPr="007104C3">
              <w:rPr>
                <w:rFonts w:ascii="Arial" w:hAnsi="Arial" w:cs="Arial"/>
                <w:sz w:val="20"/>
              </w:rPr>
              <w:t>To examine whether projects achieve long-term outcomes, the evaluation will ensure that campuses with grants from 2005 are included.</w:t>
            </w:r>
          </w:p>
        </w:tc>
      </w:tr>
    </w:tbl>
    <w:p w:rsidR="00486E4E" w:rsidRPr="007104C3" w:rsidRDefault="00486E4E" w:rsidP="00486E4E"/>
    <w:p w:rsidR="00486E4E" w:rsidRPr="007104C3" w:rsidRDefault="00486E4E" w:rsidP="00486E4E"/>
    <w:p w:rsidR="00486E4E" w:rsidRDefault="00486E4E" w:rsidP="00486E4E">
      <w:proofErr w:type="spellStart"/>
      <w:r w:rsidRPr="007104C3">
        <w:t>Abt</w:t>
      </w:r>
      <w:proofErr w:type="spellEnd"/>
      <w:r w:rsidRPr="007104C3">
        <w:t xml:space="preserve"> </w:t>
      </w:r>
      <w:r>
        <w:t xml:space="preserve">anticipates </w:t>
      </w:r>
      <w:r w:rsidRPr="007104C3">
        <w:t>draw</w:t>
      </w:r>
      <w:r>
        <w:t>ing</w:t>
      </w:r>
      <w:r w:rsidRPr="007104C3">
        <w:t xml:space="preserve"> the telephone interview sample </w:t>
      </w:r>
      <w:r>
        <w:t xml:space="preserve">in July or </w:t>
      </w:r>
      <w:r w:rsidRPr="007104C3">
        <w:t xml:space="preserve">August </w:t>
      </w:r>
      <w:r>
        <w:t xml:space="preserve">of </w:t>
      </w:r>
      <w:r w:rsidRPr="007104C3">
        <w:t xml:space="preserve">2011. </w:t>
      </w:r>
    </w:p>
    <w:p w:rsidR="00486E4E" w:rsidRDefault="00486E4E" w:rsidP="00486E4E">
      <w:bookmarkStart w:id="4" w:name="_GoBack"/>
      <w:bookmarkEnd w:id="4"/>
    </w:p>
    <w:p w:rsidR="00486E4E" w:rsidRPr="00C870E4" w:rsidRDefault="00486E4E" w:rsidP="00486E4E">
      <w:pPr>
        <w:pStyle w:val="AbtHeadC"/>
      </w:pPr>
      <w:bookmarkStart w:id="5" w:name="_Toc294261569"/>
      <w:r w:rsidRPr="00C870E4">
        <w:t>Selection of Activities</w:t>
      </w:r>
      <w:bookmarkEnd w:id="5"/>
    </w:p>
    <w:p w:rsidR="00486E4E" w:rsidRPr="00ED4093" w:rsidRDefault="00486E4E" w:rsidP="00486E4E">
      <w:r w:rsidRPr="00ED4093">
        <w:t>The evaluation’s Activity Sampling Plan will be to sample two</w:t>
      </w:r>
      <w:r>
        <w:t xml:space="preserve"> non-trivial</w:t>
      </w:r>
      <w:r w:rsidRPr="00ED4093">
        <w:t xml:space="preserve"> activities from each grantee with one activity each from two different types or categories of activity.</w:t>
      </w:r>
      <w:r>
        <w:rPr>
          <w:rStyle w:val="FootnoteReference"/>
        </w:rPr>
        <w:footnoteReference w:id="1"/>
      </w:r>
      <w:r w:rsidRPr="00ED4093">
        <w:t xml:space="preserve">  Since there are a </w:t>
      </w:r>
      <w:r w:rsidRPr="00ED4093">
        <w:lastRenderedPageBreak/>
        <w:t xml:space="preserve">large number of activities implemented by OUP grantees and some of these are related in nature, the activities will be grouped into </w:t>
      </w:r>
      <w:r>
        <w:t>six</w:t>
      </w:r>
      <w:r w:rsidRPr="00ED4093">
        <w:t xml:space="preserve"> broad categories</w:t>
      </w:r>
      <w:r>
        <w:t xml:space="preserve"> (</w:t>
      </w:r>
      <w:r w:rsidRPr="006D6897">
        <w:t>Housing: New construction and rehabilitation</w:t>
      </w:r>
      <w:r>
        <w:t xml:space="preserve">, </w:t>
      </w:r>
      <w:r w:rsidRPr="006D6897">
        <w:t>Public Facilities: New construction and rehabilitation</w:t>
      </w:r>
      <w:r>
        <w:t xml:space="preserve">, </w:t>
      </w:r>
      <w:r w:rsidRPr="006D6897">
        <w:t>Training and Education</w:t>
      </w:r>
      <w:r>
        <w:t xml:space="preserve">, </w:t>
      </w:r>
      <w:r w:rsidRPr="006D6897">
        <w:t>Planning and TA</w:t>
      </w:r>
      <w:r>
        <w:t xml:space="preserve">, </w:t>
      </w:r>
      <w:r w:rsidRPr="006D6897">
        <w:t>Housing Assistance</w:t>
      </w:r>
      <w:r>
        <w:t xml:space="preserve">, </w:t>
      </w:r>
      <w:r w:rsidRPr="006D6897">
        <w:t>Business Development</w:t>
      </w:r>
      <w:r>
        <w:t>).</w:t>
      </w:r>
      <w:r w:rsidRPr="00ED4093">
        <w:t xml:space="preserve">  Additionally, the number of activities implemented by each grantee varies widely.  Some grantees may have implemented activities in all six of the categories and some may have only implemented activities in one category.   </w:t>
      </w:r>
      <w:r w:rsidRPr="00ED4093">
        <w:rPr>
          <w:szCs w:val="22"/>
        </w:rPr>
        <w:t xml:space="preserve">The objective of the sampling plan is to ensure that the total sample of activities across the 67 grantees is representative of the population of activities associated with the 67 grantees.    </w:t>
      </w:r>
    </w:p>
    <w:p w:rsidR="00486E4E" w:rsidRDefault="00486E4E" w:rsidP="00486E4E"/>
    <w:p w:rsidR="00486E4E" w:rsidRDefault="00486E4E" w:rsidP="00486E4E">
      <w:r w:rsidRPr="009077BE">
        <w:t xml:space="preserve">In order to ensure a representative random </w:t>
      </w:r>
      <w:r w:rsidRPr="00ED4093">
        <w:t xml:space="preserve">sample of activities, the </w:t>
      </w:r>
      <w:proofErr w:type="spellStart"/>
      <w:r w:rsidRPr="00ED4093">
        <w:t>Abt</w:t>
      </w:r>
      <w:proofErr w:type="spellEnd"/>
      <w:r w:rsidRPr="00ED4093">
        <w:t xml:space="preserve"> team will implement the following steps when selecting the sample:</w:t>
      </w:r>
    </w:p>
    <w:p w:rsidR="00486E4E" w:rsidRPr="00ED4093" w:rsidRDefault="00486E4E" w:rsidP="00486E4E"/>
    <w:p w:rsidR="00486E4E" w:rsidRPr="00ED4093" w:rsidRDefault="00486E4E" w:rsidP="00486E4E">
      <w:pPr>
        <w:numPr>
          <w:ilvl w:val="0"/>
          <w:numId w:val="1"/>
        </w:numPr>
        <w:tabs>
          <w:tab w:val="clear" w:pos="720"/>
          <w:tab w:val="clear" w:pos="1080"/>
          <w:tab w:val="clear" w:pos="1440"/>
          <w:tab w:val="clear" w:pos="1800"/>
        </w:tabs>
        <w:spacing w:after="120" w:line="276" w:lineRule="auto"/>
        <w:ind w:left="1080"/>
      </w:pPr>
      <w:r w:rsidRPr="00ED4093">
        <w:t>Identify all grantees with only one or two types of activities.  Select these activity types with certainty.   From grantees with only one activity type, select two activities from that activity type. For grantees with two activity types, select one activity from each activity type.</w:t>
      </w:r>
    </w:p>
    <w:p w:rsidR="00486E4E" w:rsidRPr="00ED4093" w:rsidRDefault="00486E4E" w:rsidP="00486E4E">
      <w:pPr>
        <w:numPr>
          <w:ilvl w:val="0"/>
          <w:numId w:val="1"/>
        </w:numPr>
        <w:tabs>
          <w:tab w:val="clear" w:pos="720"/>
          <w:tab w:val="clear" w:pos="1080"/>
          <w:tab w:val="clear" w:pos="1440"/>
          <w:tab w:val="clear" w:pos="1800"/>
        </w:tabs>
        <w:spacing w:after="120" w:line="276" w:lineRule="auto"/>
        <w:ind w:left="1080"/>
      </w:pPr>
      <w:r w:rsidRPr="00ED4093">
        <w:t xml:space="preserve">Look at the distribution of grantees with more than two activity types by the number of activity types. If </w:t>
      </w:r>
      <w:r>
        <w:t>we</w:t>
      </w:r>
      <w:r w:rsidRPr="00ED4093">
        <w:t xml:space="preserve"> assume that there are “n” grantees with more than two activity types and we want a sample of two activity types from each grantee, then the evaluation will need a total sample of 2 x n activity types from these grantees</w:t>
      </w:r>
      <w:r>
        <w:t>.</w:t>
      </w:r>
    </w:p>
    <w:p w:rsidR="00486E4E" w:rsidRPr="00ED4093" w:rsidRDefault="00486E4E" w:rsidP="00486E4E">
      <w:pPr>
        <w:numPr>
          <w:ilvl w:val="0"/>
          <w:numId w:val="1"/>
        </w:numPr>
        <w:tabs>
          <w:tab w:val="clear" w:pos="720"/>
          <w:tab w:val="clear" w:pos="1080"/>
          <w:tab w:val="clear" w:pos="1440"/>
          <w:tab w:val="clear" w:pos="1800"/>
        </w:tabs>
        <w:spacing w:after="120" w:line="276" w:lineRule="auto"/>
        <w:ind w:left="1080"/>
      </w:pPr>
      <w:r w:rsidRPr="00ED4093">
        <w:t xml:space="preserve">Allocate the total sample of activities to each type in proportion to the total number of grantees under that activity type. This means there will be a larger sample of an activity type associated with a larger number of grantees and a smaller sample of an activity type associated with a smaller number of grantees.   </w:t>
      </w:r>
    </w:p>
    <w:p w:rsidR="00486E4E" w:rsidRPr="00ED4093" w:rsidRDefault="00486E4E" w:rsidP="00486E4E">
      <w:pPr>
        <w:numPr>
          <w:ilvl w:val="0"/>
          <w:numId w:val="1"/>
        </w:numPr>
        <w:tabs>
          <w:tab w:val="clear" w:pos="720"/>
          <w:tab w:val="clear" w:pos="1080"/>
          <w:tab w:val="clear" w:pos="1440"/>
          <w:tab w:val="clear" w:pos="1800"/>
        </w:tabs>
        <w:spacing w:line="276" w:lineRule="auto"/>
        <w:ind w:left="1080"/>
      </w:pPr>
      <w:r w:rsidRPr="00ED4093">
        <w:t xml:space="preserve">Start with the activity type with the smallest sample size and select that number of grantees with this activity type at random.  This identifies grantees from which this activity type will be selected.   Now select grantees at random who have the activity type with </w:t>
      </w:r>
      <w:r>
        <w:t xml:space="preserve">the </w:t>
      </w:r>
      <w:r w:rsidRPr="00ED4093">
        <w:t xml:space="preserve">second smallest sample size. At the end of the second round of selection, identify those grantees that have two activity types selected.  These grantees will not be considered for further sample selection as they already have two types of activities selected.  Continue selecting grantees for the third type of activity from the remaining grantees and so on.   At the end of each selection, grantees in the sample with two types of activities selected will not be considered for further selection of activity types. The selection will be done from the remaining grantees.  </w:t>
      </w:r>
    </w:p>
    <w:p w:rsidR="00486E4E" w:rsidRPr="009077BE" w:rsidRDefault="00486E4E" w:rsidP="00486E4E">
      <w:pPr>
        <w:contextualSpacing/>
      </w:pPr>
    </w:p>
    <w:p w:rsidR="00486E4E" w:rsidRPr="009077BE" w:rsidRDefault="00486E4E" w:rsidP="00486E4E">
      <w:pPr>
        <w:contextualSpacing/>
      </w:pPr>
      <w:r w:rsidRPr="009077BE">
        <w:t xml:space="preserve">At the end of the selection process the evaluation will have a sample with proportional representation </w:t>
      </w:r>
      <w:r>
        <w:t>for</w:t>
      </w:r>
      <w:r w:rsidRPr="009077BE">
        <w:t xml:space="preserve"> each type of activity, with two activity types selected for each grantee.</w:t>
      </w:r>
    </w:p>
    <w:p w:rsidR="00486E4E" w:rsidRPr="009077BE" w:rsidRDefault="00486E4E" w:rsidP="00486E4E">
      <w:pPr>
        <w:contextualSpacing/>
      </w:pPr>
    </w:p>
    <w:p w:rsidR="00486E4E" w:rsidRDefault="00486E4E" w:rsidP="00486E4E">
      <w:pPr>
        <w:contextualSpacing/>
      </w:pPr>
      <w:r w:rsidRPr="009077BE">
        <w:t xml:space="preserve">The final consideration in sample selection will be the amount of OUP grant resources that were dedicated to the randomly selected activities.  To ensure that the evaluation focuses on non-trivial activities, the </w:t>
      </w:r>
      <w:proofErr w:type="spellStart"/>
      <w:r w:rsidRPr="009077BE">
        <w:t>Abt</w:t>
      </w:r>
      <w:proofErr w:type="spellEnd"/>
      <w:r w:rsidRPr="009077BE">
        <w:t xml:space="preserve"> team will review each grantee’s response to web survey question 2.3</w:t>
      </w:r>
      <w:r>
        <w:t>,</w:t>
      </w:r>
      <w:r w:rsidRPr="009077BE">
        <w:t xml:space="preserve"> “total activity cost” and “amount of OUP funds used for this activity”; this review will be completed prior to sending out the </w:t>
      </w:r>
      <w:r>
        <w:t xml:space="preserve">“Follow-up Email Prior to Telephone Interview” </w:t>
      </w:r>
      <w:r w:rsidRPr="009077BE">
        <w:t xml:space="preserve">email (Appendix </w:t>
      </w:r>
      <w:r>
        <w:t>3</w:t>
      </w:r>
      <w:r w:rsidRPr="009077BE">
        <w:t xml:space="preserve">.3) which alerts the grantee to the specific activities that will be the focus of the </w:t>
      </w:r>
      <w:r>
        <w:t>telephone</w:t>
      </w:r>
      <w:r w:rsidRPr="009077BE">
        <w:t xml:space="preserve"> interview.  If less than</w:t>
      </w:r>
      <w:r>
        <w:t xml:space="preserve"> 20 </w:t>
      </w:r>
      <w:r w:rsidRPr="009077BE">
        <w:lastRenderedPageBreak/>
        <w:t xml:space="preserve">percent of an OUP grant was used to implement one of the randomly selected activities, the activity will be considered trivial and the </w:t>
      </w:r>
      <w:proofErr w:type="spellStart"/>
      <w:r w:rsidRPr="009077BE">
        <w:t>Abt</w:t>
      </w:r>
      <w:proofErr w:type="spellEnd"/>
      <w:r w:rsidRPr="009077BE">
        <w:t xml:space="preserve"> team will randomly select a different activity for the grantee.  If possible, the evaluators will select an activity from the same activity type.  If no other activities were implemented within the same type, an activity will be selected at random from all </w:t>
      </w:r>
      <w:r>
        <w:t>of</w:t>
      </w:r>
      <w:r w:rsidRPr="009077BE">
        <w:t xml:space="preserve"> the remaining activities implemented by the grantee.</w:t>
      </w:r>
      <w:r w:rsidRPr="009077BE">
        <w:rPr>
          <w:color w:val="FF0000"/>
        </w:rPr>
        <w:t xml:space="preserve"> </w:t>
      </w:r>
      <w:r w:rsidRPr="009077BE">
        <w:t>This final substitution step will diminish the randomness of the sample slightly but this loss is offset by the assurance that the evaluation is focused on activities where sizable OUP investments actually occurred.</w:t>
      </w:r>
    </w:p>
    <w:p w:rsidR="00486E4E" w:rsidRDefault="00486E4E" w:rsidP="00486E4E">
      <w:pPr>
        <w:contextualSpacing/>
      </w:pPr>
    </w:p>
    <w:p w:rsidR="00486E4E" w:rsidRPr="005A5FE2" w:rsidRDefault="00486E4E" w:rsidP="00486E4E">
      <w:pPr>
        <w:contextualSpacing/>
      </w:pPr>
      <w:r>
        <w:t xml:space="preserve">As a precautionary step, the </w:t>
      </w:r>
      <w:proofErr w:type="spellStart"/>
      <w:r>
        <w:t>Abt</w:t>
      </w:r>
      <w:proofErr w:type="spellEnd"/>
      <w:r>
        <w:t xml:space="preserve"> team will monitor the congruency between the activity information from the OUP database that will be used to select activities for the phone interviews and the actual activities grantees report undertaking on their web surveys.  If the team finds that grantees are reporting activities on the web survey that were not in the OUP database, sampling procedures will be adjusted to ensure that the activity sample remains representative.</w:t>
      </w:r>
    </w:p>
    <w:p w:rsidR="00486E4E" w:rsidRPr="007104C3" w:rsidRDefault="00486E4E" w:rsidP="00486E4E"/>
    <w:p w:rsidR="00486E4E" w:rsidRPr="003329D8" w:rsidRDefault="00486E4E" w:rsidP="00486E4E">
      <w:pPr>
        <w:ind w:left="720" w:hanging="720"/>
        <w:rPr>
          <w:b/>
        </w:rPr>
      </w:pPr>
      <w:r>
        <w:rPr>
          <w:b/>
        </w:rPr>
        <w:t>3.</w:t>
      </w:r>
      <w:r>
        <w:rPr>
          <w:b/>
        </w:rPr>
        <w:tab/>
      </w:r>
      <w:r w:rsidRPr="003329D8">
        <w:rPr>
          <w: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86E4E" w:rsidRDefault="00486E4E" w:rsidP="00486E4E"/>
    <w:p w:rsidR="00486E4E" w:rsidRDefault="00486E4E" w:rsidP="00486E4E">
      <w:r>
        <w:t xml:space="preserve">Grantees sampled for the OUP web survey and telephone interviews will be notified by OUP via a mailing that they have been selected to be interviewed about activities funded through OUP grants (see Appendix 2).  This letter will explain the benefits and purposes of the study, describing what will be required of the grantee, and encouraging the grantee to participate.  A key part of recruiting grantees to participate in the study will be providing a clear explanation of what staff will be required to do after receiving the letter. </w:t>
      </w:r>
    </w:p>
    <w:p w:rsidR="00486E4E" w:rsidRDefault="00486E4E" w:rsidP="00486E4E"/>
    <w:p w:rsidR="00486E4E" w:rsidRDefault="00486E4E" w:rsidP="00486E4E">
      <w:proofErr w:type="spellStart"/>
      <w:r>
        <w:t>Abt</w:t>
      </w:r>
      <w:proofErr w:type="spellEnd"/>
      <w:r>
        <w:t xml:space="preserve"> will then begin contacting the grantees by telephone to explain the study in more detail, answer questions, and secure their participation or contact information for an individual better positioned to participate in the study. </w:t>
      </w:r>
      <w:r w:rsidRPr="00722322">
        <w:t xml:space="preserve"> </w:t>
      </w:r>
      <w:r>
        <w:t xml:space="preserve">Grantees will be encouraged to recommend the individual(s) most knowledgeable about the outcomes accomplished and the challenges faced during grant implementation.  </w:t>
      </w:r>
    </w:p>
    <w:p w:rsidR="00486E4E" w:rsidRDefault="00486E4E" w:rsidP="00486E4E"/>
    <w:p w:rsidR="00486E4E" w:rsidRDefault="00486E4E" w:rsidP="00486E4E">
      <w:r>
        <w:t xml:space="preserve">Depending on the structure of each institution, the survey and interview respondents may differ from institution to institution.  However, the participants likely will be those who work directly with grant implementation or performance measurement at the grantee institution. Once </w:t>
      </w:r>
      <w:proofErr w:type="spellStart"/>
      <w:r>
        <w:t>Abt</w:t>
      </w:r>
      <w:proofErr w:type="spellEnd"/>
      <w:r>
        <w:t xml:space="preserve"> staff has identified the correct individual or individuals, </w:t>
      </w:r>
      <w:proofErr w:type="spellStart"/>
      <w:r>
        <w:t>Abt</w:t>
      </w:r>
      <w:proofErr w:type="spellEnd"/>
      <w:r>
        <w:t xml:space="preserve"> will set up one group interview or a series of individual interviews, with each subsequent interview after the initial interview only focusing on the questions that the previous interviewee was unable to answer.  In the event that a single point of contact was identified and that individual is unable to respond to all interview questions, the telephone interviewer will request contact information for other individuals who might be able to provide the missing information.  </w:t>
      </w:r>
      <w:proofErr w:type="spellStart"/>
      <w:r>
        <w:t>Abt</w:t>
      </w:r>
      <w:proofErr w:type="spellEnd"/>
      <w:r>
        <w:t xml:space="preserve"> staff will contact these additional individuals after the interview to collect the missing data.</w:t>
      </w:r>
    </w:p>
    <w:p w:rsidR="00486E4E" w:rsidRDefault="00486E4E" w:rsidP="00486E4E"/>
    <w:p w:rsidR="00486E4E" w:rsidRDefault="00486E4E" w:rsidP="00486E4E">
      <w:r>
        <w:t xml:space="preserve">The main response rate challenge </w:t>
      </w:r>
      <w:proofErr w:type="spellStart"/>
      <w:r>
        <w:t>Abt</w:t>
      </w:r>
      <w:proofErr w:type="spellEnd"/>
      <w:r w:rsidRPr="00BA6831">
        <w:t xml:space="preserve"> anticipate</w:t>
      </w:r>
      <w:r>
        <w:t>s</w:t>
      </w:r>
      <w:r w:rsidRPr="00BA6831">
        <w:t xml:space="preserve"> facing is </w:t>
      </w:r>
      <w:r>
        <w:t xml:space="preserve">finding one or more respondents at the grantee institution who are familiar with the grant, since there is likely to be staff turnover at the </w:t>
      </w:r>
      <w:r>
        <w:lastRenderedPageBreak/>
        <w:t>g</w:t>
      </w:r>
      <w:r w:rsidRPr="00BA6831">
        <w:t>rantee</w:t>
      </w:r>
      <w:r>
        <w:t xml:space="preserve"> institutions.  For example, they may find grantee sites at which no one with knowledge of the grants received between 2005 and 2008 still works at the institution.  For these grantees without a knowledgeable contact person, </w:t>
      </w:r>
      <w:proofErr w:type="spellStart"/>
      <w:r>
        <w:t>Abt</w:t>
      </w:r>
      <w:proofErr w:type="spellEnd"/>
      <w:r>
        <w:t xml:space="preserve"> will pick a substitute/replacement grantee within the same program type and the same sampling stratum.  </w:t>
      </w:r>
    </w:p>
    <w:p w:rsidR="00486E4E" w:rsidRDefault="00486E4E" w:rsidP="00486E4E"/>
    <w:p w:rsidR="00486E4E" w:rsidRDefault="00486E4E" w:rsidP="00486E4E">
      <w:r>
        <w:t>B</w:t>
      </w:r>
      <w:r w:rsidRPr="00CB624F">
        <w:t>ecause the objective of the survey is mainly to provide descriptive analysis of the projects rather than produc</w:t>
      </w:r>
      <w:r>
        <w:t>e</w:t>
      </w:r>
      <w:r w:rsidRPr="00CB624F">
        <w:t xml:space="preserve"> estimates</w:t>
      </w:r>
      <w:r>
        <w:t xml:space="preserve">, the greatest concern is </w:t>
      </w:r>
      <w:r w:rsidRPr="00CB624F">
        <w:t>ensuring that the sample</w:t>
      </w:r>
      <w:r>
        <w:t>, both of grantees and of their activities,</w:t>
      </w:r>
      <w:r w:rsidRPr="00CB624F">
        <w:t xml:space="preserve"> is </w:t>
      </w:r>
      <w:r>
        <w:t>sufficiently diverse to cover all activity types</w:t>
      </w:r>
      <w:r w:rsidRPr="00CB624F">
        <w:t>.  Therefore, what is essential is that the sample is representative of important subgroups in the population</w:t>
      </w:r>
      <w:r>
        <w:t xml:space="preserve">.  </w:t>
      </w:r>
      <w:r w:rsidRPr="00CB624F">
        <w:t xml:space="preserve">The </w:t>
      </w:r>
      <w:r>
        <w:t xml:space="preserve">recommended </w:t>
      </w:r>
      <w:r w:rsidRPr="00CB624F">
        <w:t xml:space="preserve">stratified sampling approach </w:t>
      </w:r>
      <w:r>
        <w:t xml:space="preserve">outlined above </w:t>
      </w:r>
      <w:r w:rsidRPr="00CB624F">
        <w:t>provides for the needed representation.</w:t>
      </w:r>
    </w:p>
    <w:p w:rsidR="00486E4E" w:rsidRDefault="00486E4E" w:rsidP="00486E4E">
      <w:pPr>
        <w:ind w:left="720" w:hanging="720"/>
        <w:rPr>
          <w:b/>
        </w:rPr>
      </w:pPr>
    </w:p>
    <w:p w:rsidR="00486E4E" w:rsidRPr="003329D8" w:rsidRDefault="00486E4E" w:rsidP="00486E4E">
      <w:pPr>
        <w:ind w:left="720" w:hanging="720"/>
        <w:rPr>
          <w:b/>
        </w:rPr>
      </w:pPr>
      <w:r w:rsidRPr="003329D8">
        <w:rPr>
          <w:b/>
        </w:rPr>
        <w:t>4.</w:t>
      </w:r>
      <w:r>
        <w:rPr>
          <w:b/>
        </w:rPr>
        <w:tab/>
      </w:r>
      <w:r w:rsidRPr="009B3DFA">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486E4E" w:rsidRDefault="00486E4E" w:rsidP="00486E4E"/>
    <w:p w:rsidR="00486E4E" w:rsidRDefault="00486E4E" w:rsidP="00486E4E">
      <w:r w:rsidRPr="005C404D">
        <w:t xml:space="preserve">The OUP data collection process </w:t>
      </w:r>
      <w:r>
        <w:t xml:space="preserve">was pre-tested with one grantee from each of the four programs.  These pre-tests allowed </w:t>
      </w:r>
      <w:proofErr w:type="spellStart"/>
      <w:r>
        <w:t>Abt</w:t>
      </w:r>
      <w:proofErr w:type="spellEnd"/>
      <w:r>
        <w:t xml:space="preserve"> to test the questions on grantees as well as assess the extent to which respondents would be able to report on measureable outcomes.  The testing also helped </w:t>
      </w:r>
      <w:proofErr w:type="spellStart"/>
      <w:r>
        <w:t>Abt</w:t>
      </w:r>
      <w:proofErr w:type="spellEnd"/>
      <w:r>
        <w:t xml:space="preserve"> to clarify question wording and to refine the timing estimates used in determining respondent burden.</w:t>
      </w:r>
    </w:p>
    <w:p w:rsidR="00486E4E" w:rsidRDefault="00486E4E" w:rsidP="00486E4E"/>
    <w:p w:rsidR="00486E4E" w:rsidRPr="003329D8" w:rsidRDefault="00486E4E" w:rsidP="00486E4E">
      <w:pPr>
        <w:ind w:left="720" w:hanging="720"/>
        <w:rPr>
          <w:b/>
        </w:rPr>
      </w:pPr>
      <w:r w:rsidRPr="003329D8">
        <w:rPr>
          <w:b/>
        </w:rPr>
        <w:t>5.</w:t>
      </w:r>
      <w:r>
        <w:rPr>
          <w:b/>
        </w:rPr>
        <w:tab/>
      </w:r>
      <w:r w:rsidRPr="003329D8">
        <w:rPr>
          <w:b/>
        </w:rPr>
        <w:t>Provide the name and telephone number of individuals consulted on the statistical aspects of the design, and the name of the agency unit, contractor(s), grantee(s), or other person(s) who will actually collect and/or analyze the information for the agency.</w:t>
      </w:r>
    </w:p>
    <w:p w:rsidR="00486E4E" w:rsidRDefault="00486E4E" w:rsidP="00486E4E"/>
    <w:p w:rsidR="00486E4E" w:rsidRDefault="00486E4E" w:rsidP="00486E4E">
      <w:r>
        <w:t xml:space="preserve">The individuals in Exhibit B-4 assisted HUD with the statistical design of this data collection on OUP Grant Outcomes.  HUD has contracted with </w:t>
      </w:r>
      <w:proofErr w:type="spellStart"/>
      <w:r>
        <w:t>Abt</w:t>
      </w:r>
      <w:proofErr w:type="spellEnd"/>
      <w:r>
        <w:t xml:space="preserve"> Associates Inc. to conduct the data collection and analysis.</w:t>
      </w:r>
    </w:p>
    <w:p w:rsidR="00486E4E" w:rsidRDefault="00486E4E" w:rsidP="00486E4E"/>
    <w:p w:rsidR="00486E4E" w:rsidRPr="001E3AAC" w:rsidRDefault="00486E4E" w:rsidP="00486E4E">
      <w:pPr>
        <w:pStyle w:val="ExhibitTitle"/>
      </w:pPr>
      <w:proofErr w:type="gramStart"/>
      <w:r w:rsidRPr="001E3AAC">
        <w:t>Exhibit B-4</w:t>
      </w:r>
      <w:r>
        <w:t>.</w:t>
      </w:r>
      <w:proofErr w:type="gramEnd"/>
      <w:r>
        <w:tab/>
      </w:r>
      <w:r w:rsidRPr="001E3AAC">
        <w:t>Individuals Consulted on the Study Design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93"/>
        <w:gridCol w:w="2271"/>
        <w:gridCol w:w="2194"/>
        <w:gridCol w:w="2558"/>
      </w:tblGrid>
      <w:tr w:rsidR="00486E4E" w:rsidRPr="00E76B55" w:rsidTr="00B81003">
        <w:trPr>
          <w:trHeight w:val="331"/>
        </w:trPr>
        <w:tc>
          <w:tcPr>
            <w:tcW w:w="2193" w:type="dxa"/>
            <w:tcBorders>
              <w:top w:val="single" w:sz="12" w:space="0" w:color="auto"/>
              <w:bottom w:val="single" w:sz="12" w:space="0" w:color="auto"/>
            </w:tcBorders>
            <w:vAlign w:val="center"/>
          </w:tcPr>
          <w:p w:rsidR="00486E4E" w:rsidRPr="00E76B55" w:rsidRDefault="00486E4E" w:rsidP="00B81003">
            <w:pPr>
              <w:rPr>
                <w:rFonts w:ascii="Arial" w:hAnsi="Arial" w:cs="Arial"/>
                <w:b/>
                <w:sz w:val="20"/>
              </w:rPr>
            </w:pPr>
            <w:r w:rsidRPr="00E76B55">
              <w:rPr>
                <w:rFonts w:ascii="Arial" w:hAnsi="Arial" w:cs="Arial"/>
                <w:b/>
                <w:sz w:val="20"/>
              </w:rPr>
              <w:t>Name</w:t>
            </w:r>
          </w:p>
        </w:tc>
        <w:tc>
          <w:tcPr>
            <w:tcW w:w="2271" w:type="dxa"/>
            <w:tcBorders>
              <w:top w:val="single" w:sz="12" w:space="0" w:color="auto"/>
              <w:bottom w:val="single" w:sz="12" w:space="0" w:color="auto"/>
            </w:tcBorders>
            <w:vAlign w:val="center"/>
          </w:tcPr>
          <w:p w:rsidR="00486E4E" w:rsidRPr="00E76B55" w:rsidRDefault="00486E4E" w:rsidP="00B81003">
            <w:pPr>
              <w:rPr>
                <w:rFonts w:ascii="Arial" w:hAnsi="Arial" w:cs="Arial"/>
                <w:b/>
                <w:sz w:val="20"/>
              </w:rPr>
            </w:pPr>
            <w:r w:rsidRPr="00E76B55">
              <w:rPr>
                <w:rFonts w:ascii="Arial" w:hAnsi="Arial" w:cs="Arial"/>
                <w:b/>
                <w:sz w:val="20"/>
              </w:rPr>
              <w:t>Telephone Number</w:t>
            </w:r>
          </w:p>
        </w:tc>
        <w:tc>
          <w:tcPr>
            <w:tcW w:w="2194" w:type="dxa"/>
            <w:tcBorders>
              <w:top w:val="single" w:sz="12" w:space="0" w:color="auto"/>
              <w:bottom w:val="single" w:sz="12" w:space="0" w:color="auto"/>
            </w:tcBorders>
          </w:tcPr>
          <w:p w:rsidR="00486E4E" w:rsidRPr="00E76B55" w:rsidRDefault="00486E4E" w:rsidP="00B81003">
            <w:pPr>
              <w:rPr>
                <w:rFonts w:ascii="Arial" w:hAnsi="Arial" w:cs="Arial"/>
                <w:b/>
                <w:sz w:val="20"/>
              </w:rPr>
            </w:pPr>
            <w:r>
              <w:rPr>
                <w:rFonts w:ascii="Arial" w:hAnsi="Arial" w:cs="Arial"/>
                <w:b/>
                <w:sz w:val="20"/>
              </w:rPr>
              <w:t>Affiliation</w:t>
            </w:r>
          </w:p>
        </w:tc>
        <w:tc>
          <w:tcPr>
            <w:tcW w:w="2558" w:type="dxa"/>
            <w:tcBorders>
              <w:top w:val="single" w:sz="12" w:space="0" w:color="auto"/>
              <w:bottom w:val="single" w:sz="12" w:space="0" w:color="auto"/>
            </w:tcBorders>
            <w:vAlign w:val="center"/>
          </w:tcPr>
          <w:p w:rsidR="00486E4E" w:rsidRPr="00E76B55" w:rsidRDefault="00486E4E" w:rsidP="00B81003">
            <w:pPr>
              <w:rPr>
                <w:rFonts w:ascii="Arial" w:hAnsi="Arial" w:cs="Arial"/>
                <w:b/>
                <w:sz w:val="20"/>
              </w:rPr>
            </w:pPr>
            <w:r w:rsidRPr="00E76B55">
              <w:rPr>
                <w:rFonts w:ascii="Arial" w:hAnsi="Arial" w:cs="Arial"/>
                <w:b/>
                <w:sz w:val="20"/>
              </w:rPr>
              <w:t>Role in Study</w:t>
            </w:r>
          </w:p>
        </w:tc>
      </w:tr>
      <w:tr w:rsidR="00486E4E" w:rsidRPr="00E76B55" w:rsidTr="00B81003">
        <w:trPr>
          <w:trHeight w:val="331"/>
        </w:trPr>
        <w:tc>
          <w:tcPr>
            <w:tcW w:w="2193" w:type="dxa"/>
            <w:tcBorders>
              <w:top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Judson James</w:t>
            </w:r>
          </w:p>
        </w:tc>
        <w:tc>
          <w:tcPr>
            <w:tcW w:w="2271" w:type="dxa"/>
            <w:tcBorders>
              <w:top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202-402-5707</w:t>
            </w:r>
          </w:p>
        </w:tc>
        <w:tc>
          <w:tcPr>
            <w:tcW w:w="2194" w:type="dxa"/>
            <w:tcBorders>
              <w:top w:val="single" w:sz="12" w:space="0" w:color="auto"/>
            </w:tcBorders>
          </w:tcPr>
          <w:p w:rsidR="00486E4E" w:rsidRPr="00E76B55" w:rsidRDefault="00486E4E" w:rsidP="00B81003">
            <w:pPr>
              <w:rPr>
                <w:rFonts w:ascii="Arial" w:hAnsi="Arial" w:cs="Arial"/>
                <w:sz w:val="20"/>
              </w:rPr>
            </w:pPr>
            <w:r>
              <w:rPr>
                <w:rFonts w:ascii="Arial" w:hAnsi="Arial" w:cs="Arial"/>
                <w:sz w:val="20"/>
              </w:rPr>
              <w:t>HUD</w:t>
            </w:r>
          </w:p>
        </w:tc>
        <w:tc>
          <w:tcPr>
            <w:tcW w:w="2558" w:type="dxa"/>
            <w:tcBorders>
              <w:top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HUD GTR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Ndeye Jackson</w:t>
            </w:r>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202-402-5737</w:t>
            </w:r>
          </w:p>
        </w:tc>
        <w:tc>
          <w:tcPr>
            <w:tcW w:w="2194" w:type="dxa"/>
          </w:tcPr>
          <w:p w:rsidR="00486E4E" w:rsidRPr="00E76B55" w:rsidRDefault="00486E4E" w:rsidP="00B81003">
            <w:pPr>
              <w:rPr>
                <w:rFonts w:ascii="Arial" w:hAnsi="Arial" w:cs="Arial"/>
                <w:sz w:val="20"/>
              </w:rPr>
            </w:pPr>
            <w:r>
              <w:rPr>
                <w:rFonts w:ascii="Arial" w:hAnsi="Arial" w:cs="Arial"/>
                <w:sz w:val="20"/>
              </w:rPr>
              <w:t>HUD</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HUD GTM</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Barbara Haley</w:t>
            </w:r>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202-402-5708</w:t>
            </w:r>
          </w:p>
        </w:tc>
        <w:tc>
          <w:tcPr>
            <w:tcW w:w="2194" w:type="dxa"/>
          </w:tcPr>
          <w:p w:rsidR="00486E4E" w:rsidRPr="00E76B55" w:rsidRDefault="00486E4E" w:rsidP="00B81003">
            <w:pPr>
              <w:rPr>
                <w:rFonts w:ascii="Arial" w:hAnsi="Arial" w:cs="Arial"/>
                <w:sz w:val="20"/>
              </w:rPr>
            </w:pPr>
            <w:r>
              <w:rPr>
                <w:rFonts w:ascii="Arial" w:hAnsi="Arial" w:cs="Arial"/>
                <w:sz w:val="20"/>
              </w:rPr>
              <w:t>HUD</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HUD GTM</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Pr>
                <w:rFonts w:ascii="Arial" w:hAnsi="Arial" w:cs="Arial"/>
                <w:sz w:val="20"/>
              </w:rPr>
              <w:t>David Chase</w:t>
            </w:r>
          </w:p>
        </w:tc>
        <w:tc>
          <w:tcPr>
            <w:tcW w:w="2271" w:type="dxa"/>
            <w:vAlign w:val="center"/>
          </w:tcPr>
          <w:p w:rsidR="00486E4E" w:rsidRPr="00E76B55" w:rsidRDefault="00486E4E" w:rsidP="00B81003">
            <w:pPr>
              <w:rPr>
                <w:rFonts w:ascii="Arial" w:hAnsi="Arial" w:cs="Arial"/>
                <w:sz w:val="20"/>
              </w:rPr>
            </w:pPr>
            <w:r>
              <w:rPr>
                <w:rFonts w:ascii="Arial" w:hAnsi="Arial" w:cs="Arial"/>
                <w:sz w:val="20"/>
              </w:rPr>
              <w:t>202-402-5733</w:t>
            </w:r>
          </w:p>
        </w:tc>
        <w:tc>
          <w:tcPr>
            <w:tcW w:w="2194" w:type="dxa"/>
          </w:tcPr>
          <w:p w:rsidR="00486E4E" w:rsidRDefault="00486E4E" w:rsidP="00B81003">
            <w:pPr>
              <w:rPr>
                <w:rFonts w:ascii="Arial" w:hAnsi="Arial" w:cs="Arial"/>
                <w:sz w:val="20"/>
              </w:rPr>
            </w:pPr>
            <w:r>
              <w:rPr>
                <w:rFonts w:ascii="Arial" w:hAnsi="Arial" w:cs="Arial"/>
                <w:sz w:val="20"/>
              </w:rPr>
              <w:t>HUD</w:t>
            </w:r>
          </w:p>
        </w:tc>
        <w:tc>
          <w:tcPr>
            <w:tcW w:w="2558" w:type="dxa"/>
            <w:vAlign w:val="center"/>
          </w:tcPr>
          <w:p w:rsidR="00486E4E" w:rsidRPr="00E76B55" w:rsidRDefault="00486E4E" w:rsidP="00B81003">
            <w:pPr>
              <w:rPr>
                <w:rFonts w:ascii="Arial" w:hAnsi="Arial" w:cs="Arial"/>
                <w:sz w:val="20"/>
              </w:rPr>
            </w:pPr>
            <w:r>
              <w:rPr>
                <w:rFonts w:ascii="Arial" w:hAnsi="Arial" w:cs="Arial"/>
                <w:sz w:val="20"/>
              </w:rPr>
              <w:t>Technical Reviewer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Amy Minzner</w:t>
            </w:r>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617-349-2314</w:t>
            </w:r>
          </w:p>
        </w:tc>
        <w:tc>
          <w:tcPr>
            <w:tcW w:w="2194" w:type="dxa"/>
          </w:tcPr>
          <w:p w:rsidR="00486E4E" w:rsidRPr="00E76B55" w:rsidRDefault="00486E4E" w:rsidP="00B81003">
            <w:pPr>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Project Director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 xml:space="preserve">K.P. </w:t>
            </w:r>
            <w:proofErr w:type="spellStart"/>
            <w:r w:rsidRPr="00E76B55">
              <w:rPr>
                <w:rFonts w:ascii="Arial" w:hAnsi="Arial" w:cs="Arial"/>
                <w:sz w:val="20"/>
              </w:rPr>
              <w:t>Srinath</w:t>
            </w:r>
            <w:proofErr w:type="spellEnd"/>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301-634-1836</w:t>
            </w:r>
          </w:p>
        </w:tc>
        <w:tc>
          <w:tcPr>
            <w:tcW w:w="2194" w:type="dxa"/>
          </w:tcPr>
          <w:p w:rsidR="00486E4E" w:rsidRPr="00E76B55" w:rsidRDefault="00486E4E" w:rsidP="00B81003">
            <w:pPr>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Sampling Statistician</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Jill Khadduri</w:t>
            </w:r>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301-634-1745</w:t>
            </w:r>
          </w:p>
        </w:tc>
        <w:tc>
          <w:tcPr>
            <w:tcW w:w="2194" w:type="dxa"/>
          </w:tcPr>
          <w:p w:rsidR="00486E4E" w:rsidRPr="00E76B55" w:rsidRDefault="00486E4E" w:rsidP="00B81003">
            <w:pPr>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Jennifer Turnham</w:t>
            </w:r>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410-382-4837</w:t>
            </w:r>
          </w:p>
        </w:tc>
        <w:tc>
          <w:tcPr>
            <w:tcW w:w="2194" w:type="dxa"/>
          </w:tcPr>
          <w:p w:rsidR="00486E4E" w:rsidRPr="00E76B55" w:rsidRDefault="00486E4E" w:rsidP="00B81003">
            <w:pPr>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 xml:space="preserve">Priscilla </w:t>
            </w:r>
            <w:proofErr w:type="spellStart"/>
            <w:r w:rsidRPr="00E76B55">
              <w:rPr>
                <w:rFonts w:ascii="Arial" w:hAnsi="Arial" w:cs="Arial"/>
                <w:sz w:val="20"/>
              </w:rPr>
              <w:t>Prunella</w:t>
            </w:r>
            <w:proofErr w:type="spellEnd"/>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240-333-0243</w:t>
            </w:r>
          </w:p>
        </w:tc>
        <w:tc>
          <w:tcPr>
            <w:tcW w:w="2194" w:type="dxa"/>
          </w:tcPr>
          <w:p w:rsidR="00486E4E" w:rsidRPr="00E76B55" w:rsidRDefault="00486E4E" w:rsidP="00B81003">
            <w:pPr>
              <w:rPr>
                <w:rFonts w:ascii="Arial" w:hAnsi="Arial" w:cs="Arial"/>
                <w:sz w:val="20"/>
              </w:rPr>
            </w:pPr>
            <w:proofErr w:type="spellStart"/>
            <w:r>
              <w:rPr>
                <w:rFonts w:ascii="Arial" w:hAnsi="Arial" w:cs="Arial"/>
                <w:sz w:val="20"/>
              </w:rPr>
              <w:t>Econometrica</w:t>
            </w:r>
            <w:proofErr w:type="spellEnd"/>
            <w:r>
              <w:rPr>
                <w:rFonts w:ascii="Arial" w:hAnsi="Arial" w:cs="Arial"/>
                <w:sz w:val="20"/>
              </w:rPr>
              <w:t xml:space="preserve"> Inc.</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 xml:space="preserve">Armand </w:t>
            </w:r>
            <w:proofErr w:type="spellStart"/>
            <w:r w:rsidRPr="00E76B55">
              <w:rPr>
                <w:rFonts w:ascii="Arial" w:hAnsi="Arial" w:cs="Arial"/>
                <w:sz w:val="20"/>
              </w:rPr>
              <w:t>Carriere</w:t>
            </w:r>
            <w:proofErr w:type="spellEnd"/>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774-262-5331</w:t>
            </w:r>
          </w:p>
        </w:tc>
        <w:tc>
          <w:tcPr>
            <w:tcW w:w="2194" w:type="dxa"/>
          </w:tcPr>
          <w:p w:rsidR="00486E4E" w:rsidRPr="00E76B55" w:rsidRDefault="00486E4E" w:rsidP="00B81003">
            <w:pPr>
              <w:rPr>
                <w:rFonts w:ascii="Arial" w:hAnsi="Arial" w:cs="Arial"/>
                <w:sz w:val="20"/>
              </w:rPr>
            </w:pPr>
            <w:r>
              <w:rPr>
                <w:rFonts w:ascii="Arial" w:hAnsi="Arial" w:cs="Arial"/>
                <w:sz w:val="20"/>
              </w:rPr>
              <w:t>Consultant</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t xml:space="preserve">George </w:t>
            </w:r>
            <w:proofErr w:type="spellStart"/>
            <w:r w:rsidRPr="00E76B55">
              <w:rPr>
                <w:rFonts w:ascii="Arial" w:hAnsi="Arial" w:cs="Arial"/>
                <w:sz w:val="20"/>
              </w:rPr>
              <w:t>Galster</w:t>
            </w:r>
            <w:proofErr w:type="spellEnd"/>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313-577-9084</w:t>
            </w:r>
          </w:p>
        </w:tc>
        <w:tc>
          <w:tcPr>
            <w:tcW w:w="2194" w:type="dxa"/>
          </w:tcPr>
          <w:p w:rsidR="00486E4E" w:rsidRPr="00E76B55" w:rsidRDefault="00486E4E" w:rsidP="00B81003">
            <w:pPr>
              <w:rPr>
                <w:rFonts w:ascii="Arial" w:hAnsi="Arial" w:cs="Arial"/>
                <w:sz w:val="20"/>
              </w:rPr>
            </w:pPr>
            <w:r>
              <w:rPr>
                <w:rFonts w:ascii="Arial" w:hAnsi="Arial" w:cs="Arial"/>
                <w:sz w:val="20"/>
              </w:rPr>
              <w:t>Consultant</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vAlign w:val="center"/>
          </w:tcPr>
          <w:p w:rsidR="00486E4E" w:rsidRPr="00E76B55" w:rsidRDefault="00486E4E" w:rsidP="00B81003">
            <w:pPr>
              <w:rPr>
                <w:rFonts w:ascii="Arial" w:hAnsi="Arial" w:cs="Arial"/>
                <w:sz w:val="20"/>
              </w:rPr>
            </w:pPr>
            <w:r w:rsidRPr="00E76B55">
              <w:rPr>
                <w:rFonts w:ascii="Arial" w:hAnsi="Arial" w:cs="Arial"/>
                <w:sz w:val="20"/>
              </w:rPr>
              <w:lastRenderedPageBreak/>
              <w:t xml:space="preserve">Dan </w:t>
            </w:r>
            <w:proofErr w:type="spellStart"/>
            <w:r w:rsidRPr="00E76B55">
              <w:rPr>
                <w:rFonts w:ascii="Arial" w:hAnsi="Arial" w:cs="Arial"/>
                <w:sz w:val="20"/>
              </w:rPr>
              <w:t>Van</w:t>
            </w:r>
            <w:r>
              <w:rPr>
                <w:rFonts w:ascii="Arial" w:hAnsi="Arial" w:cs="Arial"/>
                <w:sz w:val="20"/>
              </w:rPr>
              <w:t>O</w:t>
            </w:r>
            <w:r w:rsidRPr="00E76B55">
              <w:rPr>
                <w:rFonts w:ascii="Arial" w:hAnsi="Arial" w:cs="Arial"/>
                <w:sz w:val="20"/>
              </w:rPr>
              <w:t>tten</w:t>
            </w:r>
            <w:proofErr w:type="spellEnd"/>
          </w:p>
        </w:tc>
        <w:tc>
          <w:tcPr>
            <w:tcW w:w="2271" w:type="dxa"/>
            <w:vAlign w:val="center"/>
          </w:tcPr>
          <w:p w:rsidR="00486E4E" w:rsidRPr="00E76B55" w:rsidRDefault="00486E4E" w:rsidP="00B81003">
            <w:pPr>
              <w:rPr>
                <w:rFonts w:ascii="Arial" w:hAnsi="Arial" w:cs="Arial"/>
                <w:sz w:val="20"/>
              </w:rPr>
            </w:pPr>
            <w:r w:rsidRPr="00E76B55">
              <w:rPr>
                <w:rFonts w:ascii="Arial" w:hAnsi="Arial" w:cs="Arial"/>
                <w:sz w:val="20"/>
              </w:rPr>
              <w:t>503-835-8023</w:t>
            </w:r>
          </w:p>
        </w:tc>
        <w:tc>
          <w:tcPr>
            <w:tcW w:w="2194" w:type="dxa"/>
          </w:tcPr>
          <w:p w:rsidR="00486E4E" w:rsidRPr="00E76B55" w:rsidRDefault="00486E4E" w:rsidP="00B81003">
            <w:pPr>
              <w:rPr>
                <w:rFonts w:ascii="Arial" w:hAnsi="Arial" w:cs="Arial"/>
                <w:sz w:val="20"/>
              </w:rPr>
            </w:pPr>
            <w:r>
              <w:rPr>
                <w:rFonts w:ascii="Arial" w:hAnsi="Arial" w:cs="Arial"/>
                <w:sz w:val="20"/>
              </w:rPr>
              <w:t>ACKCO</w:t>
            </w:r>
          </w:p>
        </w:tc>
        <w:tc>
          <w:tcPr>
            <w:tcW w:w="2558" w:type="dxa"/>
            <w:vAlign w:val="center"/>
          </w:tcPr>
          <w:p w:rsidR="00486E4E" w:rsidRPr="00E76B55" w:rsidRDefault="00486E4E" w:rsidP="00B81003">
            <w:pPr>
              <w:rPr>
                <w:rFonts w:ascii="Arial" w:hAnsi="Arial" w:cs="Arial"/>
                <w:sz w:val="20"/>
              </w:rPr>
            </w:pPr>
            <w:r w:rsidRPr="00E76B55">
              <w:rPr>
                <w:rFonts w:ascii="Arial" w:hAnsi="Arial" w:cs="Arial"/>
                <w:sz w:val="20"/>
              </w:rPr>
              <w:t>Technical Advisor</w:t>
            </w:r>
          </w:p>
        </w:tc>
      </w:tr>
      <w:tr w:rsidR="00486E4E" w:rsidRPr="00E76B55" w:rsidTr="00B81003">
        <w:trPr>
          <w:trHeight w:val="331"/>
        </w:trPr>
        <w:tc>
          <w:tcPr>
            <w:tcW w:w="2193" w:type="dxa"/>
            <w:tcBorders>
              <w:bottom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Stephen Whitlow</w:t>
            </w:r>
          </w:p>
        </w:tc>
        <w:tc>
          <w:tcPr>
            <w:tcW w:w="2271" w:type="dxa"/>
            <w:tcBorders>
              <w:bottom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301-347-5503</w:t>
            </w:r>
          </w:p>
        </w:tc>
        <w:tc>
          <w:tcPr>
            <w:tcW w:w="2194" w:type="dxa"/>
            <w:tcBorders>
              <w:bottom w:val="single" w:sz="12" w:space="0" w:color="auto"/>
            </w:tcBorders>
          </w:tcPr>
          <w:p w:rsidR="00486E4E" w:rsidRPr="00E76B55" w:rsidRDefault="00486E4E" w:rsidP="00B81003">
            <w:pPr>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558" w:type="dxa"/>
            <w:tcBorders>
              <w:bottom w:val="single" w:sz="12" w:space="0" w:color="auto"/>
            </w:tcBorders>
            <w:vAlign w:val="center"/>
          </w:tcPr>
          <w:p w:rsidR="00486E4E" w:rsidRPr="00E76B55" w:rsidRDefault="00486E4E" w:rsidP="00B81003">
            <w:pPr>
              <w:rPr>
                <w:rFonts w:ascii="Arial" w:hAnsi="Arial" w:cs="Arial"/>
                <w:sz w:val="20"/>
              </w:rPr>
            </w:pPr>
            <w:r w:rsidRPr="00E76B55">
              <w:rPr>
                <w:rFonts w:ascii="Arial" w:hAnsi="Arial" w:cs="Arial"/>
                <w:sz w:val="20"/>
              </w:rPr>
              <w:t>Task Leader of Data Collection</w:t>
            </w:r>
          </w:p>
        </w:tc>
      </w:tr>
    </w:tbl>
    <w:p w:rsidR="00486E4E" w:rsidRDefault="00486E4E" w:rsidP="00486E4E"/>
    <w:p w:rsidR="00486E4E" w:rsidRDefault="00486E4E" w:rsidP="00486E4E"/>
    <w:p w:rsidR="00486E4E" w:rsidRDefault="00486E4E" w:rsidP="00486E4E">
      <w:r>
        <w:t>Inquiries regarding the statistical aspects of the study’s planned analysis should be directed to:</w:t>
      </w:r>
    </w:p>
    <w:p w:rsidR="00486E4E" w:rsidRDefault="00486E4E" w:rsidP="00486E4E"/>
    <w:p w:rsidR="00486E4E" w:rsidRDefault="00486E4E" w:rsidP="00486E4E">
      <w:pPr>
        <w:sectPr w:rsidR="00486E4E" w:rsidSect="006C58DC">
          <w:footerReference w:type="default" r:id="rId7"/>
          <w:pgSz w:w="12240" w:h="15840" w:code="1"/>
          <w:pgMar w:top="1440" w:right="1440" w:bottom="1440" w:left="1800" w:header="720" w:footer="576" w:gutter="0"/>
          <w:cols w:space="720"/>
          <w:docGrid w:linePitch="299"/>
        </w:sectPr>
      </w:pPr>
      <w:r>
        <w:t>Amy Minzner</w:t>
      </w:r>
      <w:r>
        <w:tab/>
      </w:r>
      <w:r>
        <w:tab/>
        <w:t>Project Director</w:t>
      </w:r>
      <w:r>
        <w:tab/>
      </w:r>
      <w:proofErr w:type="spellStart"/>
      <w:r>
        <w:t>Abt</w:t>
      </w:r>
      <w:proofErr w:type="spellEnd"/>
      <w:r>
        <w:t xml:space="preserve"> Associates Inc.</w:t>
      </w:r>
      <w:r>
        <w:tab/>
      </w:r>
      <w:r>
        <w:tab/>
        <w:t>Telephone: 617-349-2314</w:t>
      </w:r>
    </w:p>
    <w:p w:rsidR="00CB2067" w:rsidRDefault="00835B68" w:rsidP="00486E4E"/>
    <w:sectPr w:rsidR="00CB2067" w:rsidSect="008E711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B68" w:rsidRDefault="00835B68" w:rsidP="00486E4E">
      <w:pPr>
        <w:spacing w:line="240" w:lineRule="auto"/>
      </w:pPr>
      <w:r>
        <w:separator/>
      </w:r>
    </w:p>
  </w:endnote>
  <w:endnote w:type="continuationSeparator" w:id="0">
    <w:p w:rsidR="00835B68" w:rsidRDefault="00835B68" w:rsidP="00486E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4E" w:rsidRDefault="00486E4E" w:rsidP="00E13BD4">
    <w:pPr>
      <w:pStyle w:val="Footer"/>
      <w:tabs>
        <w:tab w:val="clear" w:pos="7560"/>
        <w:tab w:val="right" w:pos="7920"/>
      </w:tabs>
    </w:pPr>
    <w:proofErr w:type="spellStart"/>
    <w:r>
      <w:t>Abt</w:t>
    </w:r>
    <w:proofErr w:type="spellEnd"/>
    <w:r>
      <w:t xml:space="preserve"> Associates Inc.</w:t>
    </w:r>
    <w:r>
      <w:tab/>
    </w:r>
    <w:r w:rsidRPr="00144A51">
      <w:t>Part B: Collection of Information Employing Statistical Methods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B68" w:rsidRDefault="00835B68" w:rsidP="00486E4E">
      <w:pPr>
        <w:spacing w:line="240" w:lineRule="auto"/>
      </w:pPr>
      <w:r>
        <w:separator/>
      </w:r>
    </w:p>
  </w:footnote>
  <w:footnote w:type="continuationSeparator" w:id="0">
    <w:p w:rsidR="00835B68" w:rsidRDefault="00835B68" w:rsidP="00486E4E">
      <w:pPr>
        <w:spacing w:line="240" w:lineRule="auto"/>
      </w:pPr>
      <w:r>
        <w:continuationSeparator/>
      </w:r>
    </w:p>
  </w:footnote>
  <w:footnote w:id="1">
    <w:p w:rsidR="00486E4E" w:rsidRDefault="00486E4E" w:rsidP="00486E4E">
      <w:pPr>
        <w:pStyle w:val="FootnoteText"/>
      </w:pPr>
      <w:r>
        <w:rPr>
          <w:rStyle w:val="FootnoteReference"/>
        </w:rPr>
        <w:footnoteRef/>
      </w:r>
      <w:r>
        <w:t xml:space="preserve"> A non-trivial activity is one that received at least 20percent of a grantee’s OUP funds in a given grant cycle.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34072"/>
    <w:multiLevelType w:val="hybridMultilevel"/>
    <w:tmpl w:val="17CC5DD2"/>
    <w:lvl w:ilvl="0" w:tplc="0409000F">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86E4E"/>
    <w:rsid w:val="00440494"/>
    <w:rsid w:val="00486E4E"/>
    <w:rsid w:val="00510AF9"/>
    <w:rsid w:val="00521690"/>
    <w:rsid w:val="00835B68"/>
    <w:rsid w:val="008E711A"/>
    <w:rsid w:val="00B20936"/>
    <w:rsid w:val="00BB361F"/>
    <w:rsid w:val="00CE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4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6E4E"/>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86E4E"/>
    <w:rPr>
      <w:rFonts w:ascii="Arial" w:eastAsia="Times New Roman" w:hAnsi="Arial" w:cs="Times New Roman"/>
      <w:b/>
      <w:sz w:val="18"/>
      <w:szCs w:val="20"/>
    </w:rPr>
  </w:style>
  <w:style w:type="paragraph" w:customStyle="1" w:styleId="AbtHeadA">
    <w:name w:val="AbtHead A"/>
    <w:basedOn w:val="Normal"/>
    <w:next w:val="BodyText"/>
    <w:link w:val="AbtHeadAChar"/>
    <w:rsid w:val="00486E4E"/>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paragraph" w:customStyle="1" w:styleId="AbtHeadABar">
    <w:name w:val="AbtHead A Bar"/>
    <w:basedOn w:val="AbtHeadA"/>
    <w:next w:val="BodyText"/>
    <w:uiPriority w:val="99"/>
    <w:rsid w:val="00486E4E"/>
    <w:pPr>
      <w:shd w:val="clear" w:color="auto" w:fill="333399"/>
      <w:tabs>
        <w:tab w:val="clear" w:pos="2160"/>
        <w:tab w:val="left" w:pos="1620"/>
      </w:tabs>
      <w:spacing w:before="240" w:after="240"/>
      <w:ind w:left="1620" w:hanging="1620"/>
    </w:pPr>
    <w:rPr>
      <w:color w:val="FFFFFF"/>
    </w:rPr>
  </w:style>
  <w:style w:type="character" w:styleId="PageNumber">
    <w:name w:val="page number"/>
    <w:basedOn w:val="DefaultParagraphFont"/>
    <w:uiPriority w:val="99"/>
    <w:rsid w:val="00486E4E"/>
    <w:rPr>
      <w:rFonts w:ascii="Arial" w:hAnsi="Arial" w:cs="Times New Roman"/>
      <w:color w:val="auto"/>
      <w:sz w:val="18"/>
      <w:vertAlign w:val="baseline"/>
    </w:rPr>
  </w:style>
  <w:style w:type="paragraph" w:customStyle="1" w:styleId="AbtHeadB">
    <w:name w:val="AbtHead B"/>
    <w:basedOn w:val="Normal"/>
    <w:next w:val="BodyText"/>
    <w:uiPriority w:val="99"/>
    <w:rsid w:val="00486E4E"/>
    <w:pPr>
      <w:keepNext/>
      <w:keepLines/>
      <w:spacing w:after="280"/>
      <w:outlineLvl w:val="1"/>
    </w:pPr>
    <w:rPr>
      <w:rFonts w:ascii="Arial" w:hAnsi="Arial" w:cs="Arial"/>
      <w:b/>
      <w:sz w:val="28"/>
    </w:rPr>
  </w:style>
  <w:style w:type="paragraph" w:customStyle="1" w:styleId="AbtHeadC">
    <w:name w:val="AbtHead C"/>
    <w:basedOn w:val="Normal"/>
    <w:next w:val="BodyText"/>
    <w:uiPriority w:val="99"/>
    <w:rsid w:val="00486E4E"/>
    <w:pPr>
      <w:keepNext/>
      <w:keepLines/>
      <w:spacing w:after="240"/>
      <w:outlineLvl w:val="2"/>
    </w:pPr>
    <w:rPr>
      <w:rFonts w:ascii="Arial" w:hAnsi="Arial" w:cs="Arial"/>
      <w:b/>
    </w:rPr>
  </w:style>
  <w:style w:type="paragraph" w:styleId="BodyText">
    <w:name w:val="Body Text"/>
    <w:basedOn w:val="Normal"/>
    <w:link w:val="BodyTextChar"/>
    <w:uiPriority w:val="99"/>
    <w:rsid w:val="00486E4E"/>
  </w:style>
  <w:style w:type="character" w:customStyle="1" w:styleId="BodyTextChar">
    <w:name w:val="Body Text Char"/>
    <w:basedOn w:val="DefaultParagraphFont"/>
    <w:link w:val="BodyText"/>
    <w:uiPriority w:val="99"/>
    <w:rsid w:val="00486E4E"/>
    <w:rPr>
      <w:rFonts w:ascii="Times New Roman" w:eastAsia="Times New Roman" w:hAnsi="Times New Roman" w:cs="Times New Roman"/>
      <w:szCs w:val="20"/>
    </w:rPr>
  </w:style>
  <w:style w:type="paragraph" w:styleId="FootnoteText">
    <w:name w:val="footnote text"/>
    <w:basedOn w:val="Normal"/>
    <w:link w:val="FootnoteTextChar"/>
    <w:uiPriority w:val="99"/>
    <w:rsid w:val="00486E4E"/>
    <w:pPr>
      <w:spacing w:after="120"/>
      <w:ind w:left="360" w:hanging="360"/>
    </w:pPr>
    <w:rPr>
      <w:sz w:val="20"/>
    </w:rPr>
  </w:style>
  <w:style w:type="character" w:customStyle="1" w:styleId="FootnoteTextChar">
    <w:name w:val="Footnote Text Char"/>
    <w:basedOn w:val="DefaultParagraphFont"/>
    <w:link w:val="FootnoteText"/>
    <w:uiPriority w:val="99"/>
    <w:rsid w:val="00486E4E"/>
    <w:rPr>
      <w:rFonts w:ascii="Times New Roman" w:eastAsia="Times New Roman" w:hAnsi="Times New Roman" w:cs="Times New Roman"/>
      <w:sz w:val="20"/>
      <w:szCs w:val="20"/>
    </w:rPr>
  </w:style>
  <w:style w:type="paragraph" w:customStyle="1" w:styleId="ExhibitTitle">
    <w:name w:val="ExhibitTitle"/>
    <w:basedOn w:val="Normal"/>
    <w:next w:val="Normal"/>
    <w:uiPriority w:val="99"/>
    <w:rsid w:val="00486E4E"/>
    <w:pPr>
      <w:keepNext/>
      <w:spacing w:after="120"/>
      <w:ind w:left="1440" w:hanging="1440"/>
    </w:pPr>
    <w:rPr>
      <w:rFonts w:ascii="Arial" w:hAnsi="Arial" w:cs="Arial"/>
      <w:b/>
      <w:bCs/>
      <w:sz w:val="20"/>
    </w:rPr>
  </w:style>
  <w:style w:type="character" w:styleId="FootnoteReference">
    <w:name w:val="footnote reference"/>
    <w:basedOn w:val="DefaultParagraphFont"/>
    <w:uiPriority w:val="99"/>
    <w:rsid w:val="00486E4E"/>
    <w:rPr>
      <w:rFonts w:cs="Times New Roman"/>
      <w:vertAlign w:val="superscript"/>
    </w:rPr>
  </w:style>
  <w:style w:type="character" w:customStyle="1" w:styleId="AbtHeadAChar">
    <w:name w:val="AbtHead A Char"/>
    <w:basedOn w:val="DefaultParagraphFont"/>
    <w:link w:val="AbtHeadA"/>
    <w:locked/>
    <w:rsid w:val="00486E4E"/>
    <w:rPr>
      <w:rFonts w:ascii="Arial" w:eastAsia="Times New Roman" w:hAnsi="Arial" w:cs="Arial"/>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2799</Words>
  <Characters>15958</Characters>
  <Application>Microsoft Office Word</Application>
  <DocSecurity>0</DocSecurity>
  <Lines>132</Lines>
  <Paragraphs>37</Paragraphs>
  <ScaleCrop>false</ScaleCrop>
  <Company>Housing and Urban Development</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2011-12-12T20:00:00Z</dcterms:created>
  <dcterms:modified xsi:type="dcterms:W3CDTF">2011-12-12T20:04:00Z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1093253939</vt:i4>
  </property>
  <property fmtid="{D5CDD505-2E9C-101B-9397-08002B2CF9AE}" pid="3" name="_NewReviewCycle">
    <vt:lpwstr/>
  </property>
  <property fmtid="{D5CDD505-2E9C-101B-9397-08002B2CF9AE}" pid="4" name="_EmailSubject">
    <vt:lpwstr>OUP</vt:lpwstr>
  </property>
  <property fmtid="{D5CDD505-2E9C-101B-9397-08002B2CF9AE}" pid="5" name="_AuthorEmail">
    <vt:lpwstr>Ndeye.J.Jackson@hud.gov</vt:lpwstr>
  </property>
  <property fmtid="{D5CDD505-2E9C-101B-9397-08002B2CF9AE}" pid="6" name="_AuthorEmailDisplayName">
    <vt:lpwstr>Jackson, Ndeye J</vt:lpwstr>
  </property>
</Properties>
</file>