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EF" w:rsidRPr="00342D73" w:rsidRDefault="00044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342D73">
        <w:rPr>
          <w:rFonts w:ascii="Helvetica" w:hAnsi="Helvetica"/>
          <w:b/>
          <w:sz w:val="28"/>
        </w:rPr>
        <w:t>Supporting Statement for Paperwork Reduction Act Submissions</w:t>
      </w:r>
    </w:p>
    <w:p w:rsidR="000442EF" w:rsidRPr="00342D73"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0442EF" w:rsidRPr="00342D73"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342D73">
        <w:rPr>
          <w:b/>
          <w:sz w:val="24"/>
          <w:szCs w:val="24"/>
        </w:rPr>
        <w:t>OMB Control Number 2502-</w:t>
      </w:r>
      <w:r w:rsidR="006D23F8">
        <w:rPr>
          <w:b/>
          <w:sz w:val="24"/>
          <w:szCs w:val="24"/>
        </w:rPr>
        <w:t>New</w:t>
      </w:r>
    </w:p>
    <w:p w:rsidR="00B26CE5" w:rsidRPr="00342D73" w:rsidRDefault="00B26CE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0442EF" w:rsidRPr="00342D73"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rPr>
      </w:pPr>
      <w:r w:rsidRPr="00342D73">
        <w:rPr>
          <w:rFonts w:ascii="Helvetica" w:hAnsi="Helvetica"/>
          <w:b/>
          <w:sz w:val="24"/>
        </w:rPr>
        <w:t xml:space="preserve">A. </w:t>
      </w:r>
      <w:r w:rsidRPr="00342D73">
        <w:rPr>
          <w:rFonts w:ascii="Helvetica" w:hAnsi="Helvetica"/>
          <w:b/>
          <w:sz w:val="24"/>
        </w:rPr>
        <w:tab/>
        <w:t>Justification</w:t>
      </w:r>
    </w:p>
    <w:p w:rsidR="000442EF" w:rsidRPr="00342D73" w:rsidRDefault="00044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0442EF" w:rsidRPr="00342D73" w:rsidRDefault="000442EF">
      <w:pPr>
        <w:ind w:left="360" w:hanging="360"/>
        <w:rPr>
          <w:sz w:val="24"/>
        </w:rPr>
      </w:pPr>
      <w:r w:rsidRPr="00342D73">
        <w:rPr>
          <w:sz w:val="24"/>
        </w:rPr>
        <w:t>1.</w:t>
      </w:r>
      <w:r w:rsidRPr="00342D73">
        <w:rPr>
          <w:sz w:val="24"/>
        </w:rPr>
        <w:tab/>
      </w:r>
      <w:r w:rsidR="008B6A71" w:rsidRPr="00342D73">
        <w:rPr>
          <w:sz w:val="24"/>
          <w:szCs w:val="24"/>
          <w:u w:val="single"/>
        </w:rPr>
        <w:t>Circumstances that make the collection of information necessary</w:t>
      </w:r>
      <w:r w:rsidRPr="00342D73">
        <w:rPr>
          <w:sz w:val="24"/>
        </w:rPr>
        <w:t>:</w:t>
      </w:r>
    </w:p>
    <w:p w:rsidR="002C5F19" w:rsidRPr="00342D73" w:rsidRDefault="002C5F19" w:rsidP="0012309A">
      <w:pPr>
        <w:pStyle w:val="NoSpacing"/>
        <w:tabs>
          <w:tab w:val="left" w:pos="0"/>
          <w:tab w:val="left" w:pos="450"/>
          <w:tab w:val="left" w:pos="1440"/>
        </w:tabs>
        <w:ind w:left="480"/>
      </w:pPr>
      <w:r w:rsidRPr="00342D73">
        <w:t xml:space="preserve">The primary purpose of the Program is to </w:t>
      </w:r>
      <w:r w:rsidR="00486080">
        <w:t xml:space="preserve">implement the provisions of </w:t>
      </w:r>
      <w:r w:rsidR="00486080" w:rsidRPr="00486080">
        <w:t>the “Consolidated Appropriations Act of 2010”</w:t>
      </w:r>
      <w:r w:rsidR="00486080">
        <w:t xml:space="preserve"> which authorizes HUD to create a grant program to </w:t>
      </w:r>
      <w:r w:rsidRPr="00486080">
        <w:t>s</w:t>
      </w:r>
      <w:r w:rsidRPr="00342D73">
        <w:t>timulate innovative approaches for increasing the energy efficiency of existing multifamily residential properties that can be replicated by others.  Awards will be made in each of two different categories: a. Financing Demonstrations, and b. Applied Research Demonstrations. A Notice of Funding Availability</w:t>
      </w:r>
      <w:r w:rsidR="009E1054" w:rsidRPr="00342D73">
        <w:t xml:space="preserve"> (NOFA)</w:t>
      </w:r>
      <w:r w:rsidRPr="00342D73">
        <w:t>, number FR-5505-N-01,</w:t>
      </w:r>
      <w:r w:rsidR="000442EF" w:rsidRPr="00342D73">
        <w:t xml:space="preserve"> published in </w:t>
      </w:r>
      <w:r w:rsidR="001A2653">
        <w:t>the Federal Register on June 20, 2011</w:t>
      </w:r>
      <w:r w:rsidR="000442EF" w:rsidRPr="00342D73">
        <w:t xml:space="preserve"> require</w:t>
      </w:r>
      <w:r w:rsidRPr="00342D73">
        <w:t>s</w:t>
      </w:r>
      <w:r w:rsidR="000442EF" w:rsidRPr="00342D73">
        <w:t xml:space="preserve"> </w:t>
      </w:r>
      <w:r w:rsidRPr="00342D73">
        <w:t>that applicants for grant funds provide specific information that will allow HUD to evaluate, score and rank proposals.</w:t>
      </w:r>
    </w:p>
    <w:p w:rsidR="002C5F19" w:rsidRPr="00342D73" w:rsidRDefault="002C5F19" w:rsidP="002C5F19">
      <w:pPr>
        <w:tabs>
          <w:tab w:val="left" w:pos="450"/>
        </w:tabs>
        <w:ind w:left="480" w:hanging="390"/>
        <w:rPr>
          <w:sz w:val="24"/>
        </w:rPr>
      </w:pPr>
    </w:p>
    <w:p w:rsidR="000442EF" w:rsidRPr="00342D73" w:rsidRDefault="000442EF">
      <w:pPr>
        <w:ind w:left="360" w:hanging="360"/>
        <w:rPr>
          <w:sz w:val="24"/>
        </w:rPr>
      </w:pPr>
      <w:r w:rsidRPr="00342D73">
        <w:rPr>
          <w:sz w:val="24"/>
        </w:rPr>
        <w:t>2.</w:t>
      </w:r>
      <w:r w:rsidRPr="00342D73">
        <w:rPr>
          <w:sz w:val="24"/>
        </w:rPr>
        <w:tab/>
      </w:r>
      <w:r w:rsidR="008B6A71" w:rsidRPr="00342D73">
        <w:rPr>
          <w:sz w:val="24"/>
          <w:szCs w:val="24"/>
          <w:u w:val="single"/>
        </w:rPr>
        <w:t>How, by whom, and for what purpose the information will be used</w:t>
      </w:r>
      <w:r w:rsidRPr="00342D73">
        <w:rPr>
          <w:sz w:val="24"/>
        </w:rPr>
        <w:t>:</w:t>
      </w:r>
    </w:p>
    <w:p w:rsidR="000442EF" w:rsidRPr="00342D73" w:rsidRDefault="00A66E1D" w:rsidP="00B55D8D">
      <w:pPr>
        <w:tabs>
          <w:tab w:val="left" w:pos="1080"/>
        </w:tabs>
        <w:ind w:left="360"/>
        <w:rPr>
          <w:sz w:val="24"/>
        </w:rPr>
      </w:pPr>
      <w:r w:rsidRPr="00342D73">
        <w:rPr>
          <w:sz w:val="24"/>
        </w:rPr>
        <w:t xml:space="preserve">The information is being collected in order for respondents to compete for receipt of a benefit.  </w:t>
      </w:r>
      <w:r w:rsidR="00486080">
        <w:rPr>
          <w:sz w:val="24"/>
        </w:rPr>
        <w:t xml:space="preserve">There is only one category of respondents and that is applicants for grant benefits.  The information will </w:t>
      </w:r>
      <w:proofErr w:type="gramStart"/>
      <w:r w:rsidR="00486080">
        <w:rPr>
          <w:sz w:val="24"/>
        </w:rPr>
        <w:t>be  used</w:t>
      </w:r>
      <w:proofErr w:type="gramEnd"/>
      <w:r w:rsidR="00486080">
        <w:rPr>
          <w:sz w:val="24"/>
        </w:rPr>
        <w:t xml:space="preserve"> to rate and rank applications, will be collected electronically on grants.gov, and will not be shared with parties other than HUD.  </w:t>
      </w:r>
      <w:r w:rsidR="002C5F19" w:rsidRPr="00342D73">
        <w:rPr>
          <w:sz w:val="24"/>
        </w:rPr>
        <w:t>The application will contain the following items:</w:t>
      </w:r>
    </w:p>
    <w:p w:rsidR="002C5F19" w:rsidRPr="00342D73" w:rsidRDefault="002C5F19" w:rsidP="002C5F19">
      <w:pPr>
        <w:tabs>
          <w:tab w:val="left" w:pos="1080"/>
        </w:tabs>
        <w:rPr>
          <w:sz w:val="24"/>
        </w:rPr>
      </w:pPr>
    </w:p>
    <w:p w:rsidR="002C5F19" w:rsidRPr="00342D73" w:rsidRDefault="002C5F19" w:rsidP="008E7358">
      <w:pPr>
        <w:ind w:left="540" w:hanging="450"/>
      </w:pPr>
      <w:r w:rsidRPr="00342D73">
        <w:rPr>
          <w:b/>
          <w:sz w:val="24"/>
          <w:szCs w:val="24"/>
        </w:rPr>
        <w:t>a.</w:t>
      </w:r>
      <w:r w:rsidRPr="00342D73">
        <w:rPr>
          <w:sz w:val="24"/>
          <w:szCs w:val="24"/>
        </w:rPr>
        <w:t xml:space="preserve"> </w:t>
      </w:r>
      <w:r w:rsidR="00386050" w:rsidRPr="00342D73">
        <w:rPr>
          <w:sz w:val="24"/>
          <w:szCs w:val="24"/>
        </w:rPr>
        <w:t xml:space="preserve">    </w:t>
      </w:r>
      <w:r w:rsidRPr="00342D73">
        <w:rPr>
          <w:sz w:val="24"/>
          <w:szCs w:val="24"/>
        </w:rPr>
        <w:t xml:space="preserve">Abstract.  Consisting of up to four-pages, </w:t>
      </w:r>
      <w:r w:rsidR="00B44633" w:rsidRPr="00342D73">
        <w:rPr>
          <w:sz w:val="24"/>
          <w:szCs w:val="24"/>
        </w:rPr>
        <w:t xml:space="preserve">it is </w:t>
      </w:r>
      <w:r w:rsidRPr="00342D73">
        <w:rPr>
          <w:sz w:val="24"/>
          <w:szCs w:val="24"/>
        </w:rPr>
        <w:t xml:space="preserve">a summary of the proposed project, which will not be scored and does not count toward the narrative page limit. </w:t>
      </w:r>
    </w:p>
    <w:p w:rsidR="002C5F19" w:rsidRPr="00342D73" w:rsidRDefault="002C5F19" w:rsidP="00386050">
      <w:pPr>
        <w:ind w:left="540" w:hanging="360"/>
        <w:rPr>
          <w:sz w:val="24"/>
          <w:szCs w:val="24"/>
        </w:rPr>
      </w:pPr>
      <w:proofErr w:type="gramStart"/>
      <w:r w:rsidRPr="00342D73">
        <w:rPr>
          <w:b/>
          <w:sz w:val="24"/>
          <w:szCs w:val="24"/>
        </w:rPr>
        <w:t>b</w:t>
      </w:r>
      <w:proofErr w:type="gramEnd"/>
      <w:r w:rsidRPr="00342D73">
        <w:rPr>
          <w:sz w:val="24"/>
          <w:szCs w:val="24"/>
        </w:rPr>
        <w:t>. a list of documents for each zip file; first for the abstract/summary and factor narratives file and second for the supporting document and forms file.</w:t>
      </w:r>
    </w:p>
    <w:p w:rsidR="002C5F19" w:rsidRPr="00342D73" w:rsidRDefault="002C5F19" w:rsidP="00386050">
      <w:pPr>
        <w:ind w:left="540" w:hanging="360"/>
        <w:rPr>
          <w:bCs/>
          <w:sz w:val="24"/>
          <w:szCs w:val="24"/>
        </w:rPr>
      </w:pPr>
      <w:r w:rsidRPr="00342D73">
        <w:rPr>
          <w:b/>
          <w:sz w:val="24"/>
          <w:szCs w:val="24"/>
        </w:rPr>
        <w:t>c</w:t>
      </w:r>
      <w:r w:rsidRPr="00342D73">
        <w:rPr>
          <w:sz w:val="24"/>
          <w:szCs w:val="24"/>
        </w:rPr>
        <w:t>. SF424_Application_for_Federal_Assistance.</w:t>
      </w:r>
      <w:r w:rsidR="006D23F8">
        <w:rPr>
          <w:sz w:val="24"/>
          <w:szCs w:val="24"/>
        </w:rPr>
        <w:t xml:space="preserve"> </w:t>
      </w:r>
    </w:p>
    <w:p w:rsidR="002C5F19" w:rsidRPr="00342D73" w:rsidRDefault="002C5F19" w:rsidP="00386050">
      <w:pPr>
        <w:ind w:left="540" w:hanging="360"/>
        <w:rPr>
          <w:sz w:val="24"/>
          <w:szCs w:val="24"/>
        </w:rPr>
      </w:pPr>
      <w:proofErr w:type="gramStart"/>
      <w:r w:rsidRPr="00342D73">
        <w:rPr>
          <w:b/>
          <w:sz w:val="24"/>
          <w:szCs w:val="24"/>
        </w:rPr>
        <w:t>d</w:t>
      </w:r>
      <w:r w:rsidRPr="00342D73">
        <w:rPr>
          <w:sz w:val="24"/>
          <w:szCs w:val="24"/>
        </w:rPr>
        <w:t>. SF424</w:t>
      </w:r>
      <w:proofErr w:type="gramEnd"/>
      <w:r w:rsidRPr="00342D73">
        <w:rPr>
          <w:sz w:val="24"/>
          <w:szCs w:val="24"/>
        </w:rPr>
        <w:t xml:space="preserve"> Supplement Survey on Equal Opportunity for Applicants titled “Faith Based EEO Survey” (SF424SUPP) on Grants.gov (optional submission).</w:t>
      </w:r>
    </w:p>
    <w:p w:rsidR="002C5F19" w:rsidRPr="00342D73" w:rsidRDefault="002C5F19" w:rsidP="00386050">
      <w:pPr>
        <w:ind w:left="540" w:hanging="360"/>
        <w:rPr>
          <w:sz w:val="24"/>
          <w:szCs w:val="24"/>
        </w:rPr>
      </w:pPr>
      <w:r w:rsidRPr="00342D73">
        <w:rPr>
          <w:b/>
          <w:sz w:val="24"/>
          <w:szCs w:val="24"/>
        </w:rPr>
        <w:t>e</w:t>
      </w:r>
      <w:r w:rsidRPr="00342D73">
        <w:rPr>
          <w:sz w:val="24"/>
          <w:szCs w:val="24"/>
        </w:rPr>
        <w:t xml:space="preserve">. SFLLL_Disclosure_of_Lobbying_Activities.  </w:t>
      </w:r>
    </w:p>
    <w:p w:rsidR="002C5F19" w:rsidRPr="00342D73" w:rsidRDefault="002C5F19" w:rsidP="00386050">
      <w:pPr>
        <w:ind w:left="540" w:hanging="360"/>
        <w:rPr>
          <w:sz w:val="24"/>
          <w:szCs w:val="24"/>
        </w:rPr>
      </w:pPr>
      <w:proofErr w:type="gramStart"/>
      <w:r w:rsidRPr="00342D73">
        <w:rPr>
          <w:b/>
          <w:sz w:val="24"/>
          <w:szCs w:val="24"/>
        </w:rPr>
        <w:t>f</w:t>
      </w:r>
      <w:r w:rsidRPr="00342D73">
        <w:rPr>
          <w:sz w:val="24"/>
          <w:szCs w:val="24"/>
        </w:rPr>
        <w:t xml:space="preserve">. </w:t>
      </w:r>
      <w:r w:rsidR="00386050" w:rsidRPr="00342D73">
        <w:rPr>
          <w:sz w:val="24"/>
          <w:szCs w:val="24"/>
        </w:rPr>
        <w:t xml:space="preserve"> </w:t>
      </w:r>
      <w:r w:rsidRPr="00342D73">
        <w:rPr>
          <w:sz w:val="24"/>
          <w:szCs w:val="24"/>
        </w:rPr>
        <w:t>HUD2880</w:t>
      </w:r>
      <w:proofErr w:type="gramEnd"/>
      <w:r w:rsidRPr="00342D73">
        <w:rPr>
          <w:sz w:val="24"/>
          <w:szCs w:val="24"/>
        </w:rPr>
        <w:t>_Applicant_Recipient_Disclosure_Update_Report titled “HUD Applicant Recipient Disclosure Report” on Grants.gov.</w:t>
      </w:r>
    </w:p>
    <w:p w:rsidR="002C5F19" w:rsidRPr="00342D73" w:rsidRDefault="002C5F19" w:rsidP="00386050">
      <w:pPr>
        <w:ind w:left="540" w:hanging="360"/>
        <w:rPr>
          <w:sz w:val="24"/>
          <w:szCs w:val="24"/>
        </w:rPr>
      </w:pPr>
      <w:proofErr w:type="gramStart"/>
      <w:r w:rsidRPr="00342D73">
        <w:rPr>
          <w:b/>
          <w:sz w:val="24"/>
          <w:szCs w:val="24"/>
        </w:rPr>
        <w:t>g</w:t>
      </w:r>
      <w:r w:rsidRPr="00342D73">
        <w:rPr>
          <w:sz w:val="24"/>
          <w:szCs w:val="24"/>
        </w:rPr>
        <w:t xml:space="preserve">. </w:t>
      </w:r>
      <w:r w:rsidR="00386050" w:rsidRPr="00342D73">
        <w:rPr>
          <w:sz w:val="24"/>
          <w:szCs w:val="24"/>
        </w:rPr>
        <w:t xml:space="preserve"> </w:t>
      </w:r>
      <w:r w:rsidRPr="00342D73">
        <w:rPr>
          <w:sz w:val="24"/>
          <w:szCs w:val="24"/>
        </w:rPr>
        <w:t>HUD424CB</w:t>
      </w:r>
      <w:proofErr w:type="gramEnd"/>
      <w:r w:rsidRPr="00342D73">
        <w:rPr>
          <w:sz w:val="24"/>
          <w:szCs w:val="24"/>
        </w:rPr>
        <w:t>_Detailed_Budget, which is a budget for all funds (federal and non-federal</w:t>
      </w:r>
      <w:r w:rsidR="00AF5B73" w:rsidRPr="00342D73">
        <w:rPr>
          <w:sz w:val="24"/>
          <w:szCs w:val="24"/>
        </w:rPr>
        <w:t>)</w:t>
      </w:r>
      <w:r w:rsidRPr="00342D73">
        <w:rPr>
          <w:sz w:val="24"/>
          <w:szCs w:val="24"/>
        </w:rPr>
        <w:t xml:space="preserve"> </w:t>
      </w:r>
    </w:p>
    <w:p w:rsidR="002C5F19" w:rsidRPr="00342D73" w:rsidRDefault="002C5F19" w:rsidP="0060130B">
      <w:pPr>
        <w:ind w:left="540" w:hanging="360"/>
        <w:rPr>
          <w:sz w:val="24"/>
          <w:szCs w:val="24"/>
        </w:rPr>
      </w:pPr>
      <w:proofErr w:type="gramStart"/>
      <w:r w:rsidRPr="00342D73">
        <w:rPr>
          <w:b/>
          <w:sz w:val="24"/>
          <w:szCs w:val="24"/>
        </w:rPr>
        <w:t>h</w:t>
      </w:r>
      <w:r w:rsidRPr="00342D73">
        <w:rPr>
          <w:sz w:val="24"/>
          <w:szCs w:val="24"/>
        </w:rPr>
        <w:t xml:space="preserve">. </w:t>
      </w:r>
      <w:r w:rsidR="00386050" w:rsidRPr="00342D73">
        <w:rPr>
          <w:sz w:val="24"/>
          <w:szCs w:val="24"/>
        </w:rPr>
        <w:t xml:space="preserve"> </w:t>
      </w:r>
      <w:r w:rsidRPr="00342D73">
        <w:rPr>
          <w:sz w:val="24"/>
          <w:szCs w:val="24"/>
        </w:rPr>
        <w:t>Sources</w:t>
      </w:r>
      <w:proofErr w:type="gramEnd"/>
      <w:r w:rsidRPr="00342D73">
        <w:rPr>
          <w:sz w:val="24"/>
          <w:szCs w:val="24"/>
        </w:rPr>
        <w:t xml:space="preserve"> and Uses. Each major activity that will be undertaken </w:t>
      </w:r>
      <w:r w:rsidR="0060130B" w:rsidRPr="00342D73">
        <w:rPr>
          <w:sz w:val="24"/>
          <w:szCs w:val="24"/>
        </w:rPr>
        <w:t>must</w:t>
      </w:r>
      <w:r w:rsidRPr="00342D73">
        <w:rPr>
          <w:sz w:val="24"/>
          <w:szCs w:val="24"/>
        </w:rPr>
        <w:t xml:space="preserve"> be identified as a part of the comprehensive project </w:t>
      </w:r>
      <w:r w:rsidR="0060130B" w:rsidRPr="00342D73">
        <w:rPr>
          <w:sz w:val="24"/>
          <w:szCs w:val="24"/>
        </w:rPr>
        <w:t xml:space="preserve">on the appropriate budget sheet. </w:t>
      </w:r>
      <w:r w:rsidRPr="00342D73">
        <w:rPr>
          <w:sz w:val="24"/>
          <w:szCs w:val="24"/>
        </w:rPr>
        <w:t xml:space="preserve"> Each activity described must be related specifically to work described in the proposed Work Plan.  Use that document to identify the source of funding and the amount of funds that will be used to carry out that particular source's share of the activities identified. Also prepare and maintain a Sources and Uses Table</w:t>
      </w:r>
      <w:r w:rsidR="0060130B" w:rsidRPr="00342D73">
        <w:rPr>
          <w:sz w:val="24"/>
          <w:szCs w:val="24"/>
        </w:rPr>
        <w:t>.</w:t>
      </w:r>
      <w:r w:rsidRPr="00342D73">
        <w:rPr>
          <w:sz w:val="24"/>
          <w:szCs w:val="24"/>
        </w:rPr>
        <w:t xml:space="preserve"> </w:t>
      </w:r>
    </w:p>
    <w:p w:rsidR="002C5F19" w:rsidRPr="00342D73" w:rsidRDefault="002C5F19" w:rsidP="00386050">
      <w:pPr>
        <w:ind w:left="450" w:hanging="360"/>
        <w:rPr>
          <w:sz w:val="24"/>
          <w:szCs w:val="24"/>
        </w:rPr>
      </w:pPr>
      <w:proofErr w:type="gramStart"/>
      <w:r w:rsidRPr="00342D73">
        <w:rPr>
          <w:b/>
          <w:sz w:val="24"/>
          <w:szCs w:val="24"/>
        </w:rPr>
        <w:t>i</w:t>
      </w:r>
      <w:r w:rsidRPr="00342D73">
        <w:rPr>
          <w:sz w:val="24"/>
          <w:szCs w:val="24"/>
        </w:rPr>
        <w:t>.</w:t>
      </w:r>
      <w:r w:rsidR="00386050" w:rsidRPr="00342D73">
        <w:rPr>
          <w:sz w:val="24"/>
          <w:szCs w:val="24"/>
        </w:rPr>
        <w:t xml:space="preserve"> </w:t>
      </w:r>
      <w:r w:rsidRPr="00342D73">
        <w:rPr>
          <w:sz w:val="24"/>
          <w:szCs w:val="24"/>
        </w:rPr>
        <w:t xml:space="preserve"> HUD2993</w:t>
      </w:r>
      <w:proofErr w:type="gramEnd"/>
      <w:r w:rsidRPr="00342D73">
        <w:rPr>
          <w:sz w:val="24"/>
          <w:szCs w:val="24"/>
        </w:rPr>
        <w:t>_Acknowledgment_of_Application_Receipt, for applicants sub</w:t>
      </w:r>
      <w:r w:rsidR="0060130B" w:rsidRPr="00342D73">
        <w:rPr>
          <w:sz w:val="24"/>
          <w:szCs w:val="24"/>
        </w:rPr>
        <w:t>mitting paper applications only.</w:t>
      </w:r>
    </w:p>
    <w:p w:rsidR="002C5F19" w:rsidRPr="00342D73" w:rsidRDefault="002C5F19" w:rsidP="00386050">
      <w:pPr>
        <w:ind w:left="450" w:hanging="360"/>
        <w:rPr>
          <w:sz w:val="24"/>
          <w:szCs w:val="24"/>
        </w:rPr>
      </w:pPr>
      <w:r w:rsidRPr="00342D73">
        <w:rPr>
          <w:b/>
          <w:sz w:val="24"/>
          <w:szCs w:val="24"/>
        </w:rPr>
        <w:t>j</w:t>
      </w:r>
      <w:r w:rsidRPr="00342D73">
        <w:rPr>
          <w:sz w:val="24"/>
          <w:szCs w:val="24"/>
        </w:rPr>
        <w:t xml:space="preserve">. </w:t>
      </w:r>
      <w:r w:rsidR="00386050" w:rsidRPr="00342D73">
        <w:rPr>
          <w:sz w:val="24"/>
          <w:szCs w:val="24"/>
        </w:rPr>
        <w:t xml:space="preserve"> </w:t>
      </w:r>
      <w:r w:rsidRPr="00342D73">
        <w:rPr>
          <w:sz w:val="24"/>
          <w:szCs w:val="24"/>
        </w:rPr>
        <w:t>Documentation of Letters of Intent provided by third parties on their letterhead in support of Rating Factor 3, “</w:t>
      </w:r>
      <w:r w:rsidRPr="00342D73">
        <w:rPr>
          <w:bCs/>
          <w:sz w:val="24"/>
          <w:szCs w:val="24"/>
        </w:rPr>
        <w:t>Matching Funds and Leveraging above the Matching Funds Requirement.</w:t>
      </w:r>
      <w:r w:rsidRPr="00342D73">
        <w:rPr>
          <w:sz w:val="24"/>
          <w:szCs w:val="24"/>
        </w:rPr>
        <w:t xml:space="preserve">" </w:t>
      </w:r>
    </w:p>
    <w:p w:rsidR="002C5F19" w:rsidRPr="00342D73" w:rsidRDefault="002C5F19" w:rsidP="00386050">
      <w:pPr>
        <w:ind w:left="450" w:hanging="360"/>
        <w:rPr>
          <w:sz w:val="24"/>
          <w:szCs w:val="24"/>
        </w:rPr>
      </w:pPr>
      <w:proofErr w:type="gramStart"/>
      <w:r w:rsidRPr="00342D73">
        <w:rPr>
          <w:b/>
          <w:sz w:val="24"/>
          <w:szCs w:val="24"/>
        </w:rPr>
        <w:t>k</w:t>
      </w:r>
      <w:r w:rsidRPr="00342D73">
        <w:rPr>
          <w:sz w:val="24"/>
          <w:szCs w:val="24"/>
        </w:rPr>
        <w:t>.</w:t>
      </w:r>
      <w:r w:rsidR="00386050" w:rsidRPr="00342D73">
        <w:rPr>
          <w:sz w:val="24"/>
          <w:szCs w:val="24"/>
        </w:rPr>
        <w:t xml:space="preserve">  </w:t>
      </w:r>
      <w:r w:rsidRPr="00342D73">
        <w:rPr>
          <w:sz w:val="24"/>
          <w:szCs w:val="24"/>
        </w:rPr>
        <w:t>If</w:t>
      </w:r>
      <w:proofErr w:type="gramEnd"/>
      <w:r w:rsidRPr="00342D73">
        <w:rPr>
          <w:sz w:val="24"/>
          <w:szCs w:val="24"/>
        </w:rPr>
        <w:t xml:space="preserve"> the applicant is a private nonprofit organization, a copy of its organization’s IRS ruling providing tax-exempt status, as amended</w:t>
      </w:r>
      <w:r w:rsidR="008E7358" w:rsidRPr="00342D73">
        <w:rPr>
          <w:sz w:val="24"/>
          <w:szCs w:val="24"/>
        </w:rPr>
        <w:t>,</w:t>
      </w:r>
      <w:r w:rsidRPr="00342D73">
        <w:rPr>
          <w:sz w:val="24"/>
          <w:szCs w:val="24"/>
        </w:rPr>
        <w:t xml:space="preserve"> and a current certificate of good standing.</w:t>
      </w:r>
    </w:p>
    <w:p w:rsidR="002C5F19" w:rsidRPr="00342D73" w:rsidRDefault="002C5F19" w:rsidP="00386050">
      <w:pPr>
        <w:ind w:left="450" w:hanging="360"/>
        <w:rPr>
          <w:sz w:val="24"/>
          <w:szCs w:val="24"/>
        </w:rPr>
      </w:pPr>
      <w:proofErr w:type="gramStart"/>
      <w:r w:rsidRPr="00342D73">
        <w:rPr>
          <w:b/>
          <w:sz w:val="24"/>
          <w:szCs w:val="24"/>
        </w:rPr>
        <w:t>l</w:t>
      </w:r>
      <w:r w:rsidRPr="00342D73">
        <w:rPr>
          <w:sz w:val="24"/>
          <w:szCs w:val="24"/>
        </w:rPr>
        <w:t xml:space="preserve">. </w:t>
      </w:r>
      <w:r w:rsidR="00853E98" w:rsidRPr="00342D73">
        <w:rPr>
          <w:sz w:val="24"/>
          <w:szCs w:val="24"/>
        </w:rPr>
        <w:t xml:space="preserve"> </w:t>
      </w:r>
      <w:r w:rsidRPr="00342D73">
        <w:rPr>
          <w:sz w:val="24"/>
          <w:szCs w:val="24"/>
        </w:rPr>
        <w:t>If</w:t>
      </w:r>
      <w:proofErr w:type="gramEnd"/>
      <w:r w:rsidRPr="00342D73">
        <w:rPr>
          <w:sz w:val="24"/>
          <w:szCs w:val="24"/>
        </w:rPr>
        <w:t xml:space="preserve"> the applicant is applying as a consortium, it must provide a copy of the consortium agreement, which must be executed by all consortium members. </w:t>
      </w:r>
    </w:p>
    <w:p w:rsidR="002C5F19" w:rsidRPr="00342D73" w:rsidRDefault="002C5F19" w:rsidP="00386050">
      <w:pPr>
        <w:ind w:left="450" w:hanging="360"/>
        <w:rPr>
          <w:sz w:val="24"/>
          <w:szCs w:val="24"/>
        </w:rPr>
      </w:pPr>
      <w:proofErr w:type="gramStart"/>
      <w:r w:rsidRPr="00342D73">
        <w:rPr>
          <w:b/>
          <w:sz w:val="24"/>
          <w:szCs w:val="24"/>
        </w:rPr>
        <w:t>m</w:t>
      </w:r>
      <w:r w:rsidRPr="00342D73">
        <w:rPr>
          <w:sz w:val="24"/>
          <w:szCs w:val="24"/>
        </w:rPr>
        <w:t>.</w:t>
      </w:r>
      <w:r w:rsidR="00853E98" w:rsidRPr="00342D73">
        <w:rPr>
          <w:sz w:val="24"/>
          <w:szCs w:val="24"/>
        </w:rPr>
        <w:t xml:space="preserve"> </w:t>
      </w:r>
      <w:r w:rsidRPr="00342D73">
        <w:rPr>
          <w:sz w:val="24"/>
          <w:szCs w:val="24"/>
        </w:rPr>
        <w:t xml:space="preserve"> Narrative</w:t>
      </w:r>
      <w:proofErr w:type="gramEnd"/>
      <w:r w:rsidRPr="00342D73">
        <w:rPr>
          <w:sz w:val="24"/>
          <w:szCs w:val="24"/>
        </w:rPr>
        <w:t xml:space="preserve"> response to Factors for Award. The total narrative response cannot exceed </w:t>
      </w:r>
      <w:r w:rsidRPr="00342D73">
        <w:rPr>
          <w:bCs/>
          <w:sz w:val="24"/>
          <w:szCs w:val="24"/>
        </w:rPr>
        <w:t xml:space="preserve">the equivalent of 30 single-sided standard 8-1/2” x 11” pages total in 12 point font, not including attachments. </w:t>
      </w:r>
    </w:p>
    <w:p w:rsidR="002C5F19" w:rsidRPr="00342D73" w:rsidRDefault="002C5F19" w:rsidP="00386050">
      <w:pPr>
        <w:pStyle w:val="NoSpacing"/>
        <w:ind w:left="450" w:hanging="360"/>
      </w:pPr>
      <w:proofErr w:type="gramStart"/>
      <w:r w:rsidRPr="00342D73">
        <w:rPr>
          <w:b/>
        </w:rPr>
        <w:t>n.</w:t>
      </w:r>
      <w:r w:rsidRPr="00342D73">
        <w:t xml:space="preserve"> </w:t>
      </w:r>
      <w:r w:rsidR="00853E98" w:rsidRPr="00342D73">
        <w:t xml:space="preserve"> </w:t>
      </w:r>
      <w:r w:rsidRPr="00342D73">
        <w:t>Work</w:t>
      </w:r>
      <w:proofErr w:type="gramEnd"/>
      <w:r w:rsidRPr="00342D73">
        <w:t xml:space="preserve"> Plan. A proposed Work Plan as described in </w:t>
      </w:r>
      <w:r w:rsidR="0060130B" w:rsidRPr="00342D73">
        <w:t xml:space="preserve">the NOFA </w:t>
      </w:r>
      <w:r w:rsidRPr="00342D73">
        <w:t>must be submitted by the a</w:t>
      </w:r>
      <w:r w:rsidR="008E7358" w:rsidRPr="00342D73">
        <w:t>pplicant with its application.</w:t>
      </w:r>
      <w:r w:rsidRPr="00342D73">
        <w:t xml:space="preserve"> HUD will approve the Final Work Plan and it will be incorporated into the Grant Documents.</w:t>
      </w:r>
    </w:p>
    <w:p w:rsidR="002C5F19" w:rsidRPr="00342D73" w:rsidRDefault="002C5F19" w:rsidP="00386050">
      <w:pPr>
        <w:ind w:left="450" w:hanging="360"/>
        <w:rPr>
          <w:b/>
          <w:sz w:val="24"/>
          <w:szCs w:val="24"/>
        </w:rPr>
      </w:pPr>
      <w:proofErr w:type="gramStart"/>
      <w:r w:rsidRPr="00342D73">
        <w:rPr>
          <w:b/>
          <w:sz w:val="24"/>
          <w:szCs w:val="24"/>
        </w:rPr>
        <w:t>o</w:t>
      </w:r>
      <w:r w:rsidRPr="00342D73">
        <w:rPr>
          <w:sz w:val="24"/>
          <w:szCs w:val="24"/>
        </w:rPr>
        <w:t xml:space="preserve">. </w:t>
      </w:r>
      <w:r w:rsidR="00853E98" w:rsidRPr="00342D73">
        <w:rPr>
          <w:sz w:val="24"/>
          <w:szCs w:val="24"/>
        </w:rPr>
        <w:t xml:space="preserve"> </w:t>
      </w:r>
      <w:r w:rsidRPr="00342D73">
        <w:rPr>
          <w:sz w:val="24"/>
          <w:szCs w:val="24"/>
        </w:rPr>
        <w:t>Fair</w:t>
      </w:r>
      <w:proofErr w:type="gramEnd"/>
      <w:r w:rsidRPr="00342D73">
        <w:rPr>
          <w:sz w:val="24"/>
          <w:szCs w:val="24"/>
        </w:rPr>
        <w:t xml:space="preserve"> Housing Requirements. Applicants must describe how they will addr</w:t>
      </w:r>
      <w:r w:rsidR="008E7358" w:rsidRPr="00342D73">
        <w:rPr>
          <w:sz w:val="24"/>
          <w:szCs w:val="24"/>
        </w:rPr>
        <w:t>ess impediments to fair housing</w:t>
      </w:r>
      <w:proofErr w:type="gramStart"/>
      <w:r w:rsidR="008E7358" w:rsidRPr="00342D73">
        <w:rPr>
          <w:sz w:val="24"/>
          <w:szCs w:val="24"/>
        </w:rPr>
        <w:t>.</w:t>
      </w:r>
      <w:r w:rsidRPr="00342D73">
        <w:rPr>
          <w:sz w:val="24"/>
          <w:szCs w:val="24"/>
        </w:rPr>
        <w:t>.</w:t>
      </w:r>
      <w:proofErr w:type="gramEnd"/>
      <w:r w:rsidRPr="00342D73">
        <w:rPr>
          <w:sz w:val="24"/>
          <w:szCs w:val="24"/>
        </w:rPr>
        <w:t xml:space="preserve"> </w:t>
      </w:r>
    </w:p>
    <w:p w:rsidR="002C5F19" w:rsidRPr="00342D73" w:rsidRDefault="002C5F19" w:rsidP="00386050">
      <w:pPr>
        <w:ind w:left="450" w:hanging="360"/>
        <w:rPr>
          <w:sz w:val="24"/>
          <w:szCs w:val="24"/>
        </w:rPr>
      </w:pPr>
      <w:proofErr w:type="gramStart"/>
      <w:r w:rsidRPr="00342D73">
        <w:rPr>
          <w:b/>
          <w:sz w:val="24"/>
          <w:szCs w:val="24"/>
        </w:rPr>
        <w:t>p.</w:t>
      </w:r>
      <w:r w:rsidRPr="00342D73">
        <w:rPr>
          <w:sz w:val="24"/>
          <w:szCs w:val="24"/>
        </w:rPr>
        <w:t xml:space="preserve"> </w:t>
      </w:r>
      <w:r w:rsidR="00853E98" w:rsidRPr="00342D73">
        <w:rPr>
          <w:sz w:val="24"/>
          <w:szCs w:val="24"/>
        </w:rPr>
        <w:t xml:space="preserve"> </w:t>
      </w:r>
      <w:r w:rsidRPr="00342D73">
        <w:rPr>
          <w:sz w:val="24"/>
          <w:szCs w:val="24"/>
        </w:rPr>
        <w:t>Form</w:t>
      </w:r>
      <w:proofErr w:type="gramEnd"/>
      <w:r w:rsidRPr="00342D73">
        <w:rPr>
          <w:sz w:val="24"/>
          <w:szCs w:val="24"/>
        </w:rPr>
        <w:t xml:space="preserve"> HUD2990, certified by the designated official for the RC/EZ/EC if the applicant is applying for bonus points pursuant to the General Section. </w:t>
      </w:r>
    </w:p>
    <w:p w:rsidR="000442EF" w:rsidRPr="00342D73" w:rsidRDefault="006148D4">
      <w:pPr>
        <w:numPr>
          <w:ilvl w:val="0"/>
          <w:numId w:val="13"/>
        </w:numPr>
        <w:rPr>
          <w:sz w:val="24"/>
        </w:rPr>
      </w:pPr>
      <w:r w:rsidRPr="00342D73">
        <w:rPr>
          <w:sz w:val="24"/>
          <w:szCs w:val="24"/>
          <w:u w:val="single"/>
        </w:rPr>
        <w:lastRenderedPageBreak/>
        <w:t>Whether, and to what extent, the collection of information involves the use of automated, electronic, mechanical, or other technological collection techniques or other forms of information technology</w:t>
      </w:r>
      <w:r w:rsidR="008B6A71" w:rsidRPr="00342D73">
        <w:rPr>
          <w:rFonts w:ascii="Arial" w:hAnsi="Arial" w:cs="Arial"/>
        </w:rPr>
        <w:t xml:space="preserve">:  </w:t>
      </w:r>
    </w:p>
    <w:p w:rsidR="00B55D8D" w:rsidRPr="00342D73" w:rsidRDefault="00B55D8D" w:rsidP="00CF3544">
      <w:pPr>
        <w:ind w:left="360"/>
      </w:pPr>
      <w:r w:rsidRPr="00342D73">
        <w:rPr>
          <w:sz w:val="24"/>
          <w:szCs w:val="24"/>
        </w:rPr>
        <w:t>Applications must be submitted electronically, as prescribed in the General Section using the grants.gov website.   Applicants must follow the instructions included in the General Section, unless granted a waiver for cause to the required electronic application requirement.  The request for a waiver must provide a justification for cause in accordance with HUD’s waiver policy of 24 CFR 5.1005</w:t>
      </w:r>
      <w:r w:rsidRPr="00342D73">
        <w:t xml:space="preserve">.  </w:t>
      </w:r>
    </w:p>
    <w:p w:rsidR="00853E98" w:rsidRPr="00342D73" w:rsidRDefault="00853E98" w:rsidP="00CF3544">
      <w:pPr>
        <w:ind w:left="360"/>
        <w:rPr>
          <w:sz w:val="24"/>
          <w:szCs w:val="24"/>
        </w:rPr>
      </w:pPr>
    </w:p>
    <w:p w:rsidR="00CF3544" w:rsidRPr="00342D73" w:rsidRDefault="00CF3544" w:rsidP="00CF3544">
      <w:pPr>
        <w:ind w:left="360"/>
        <w:rPr>
          <w:sz w:val="24"/>
          <w:szCs w:val="24"/>
        </w:rPr>
      </w:pPr>
      <w:r w:rsidRPr="00342D73">
        <w:rPr>
          <w:sz w:val="24"/>
          <w:szCs w:val="24"/>
        </w:rPr>
        <w:t xml:space="preserve">Applicants must be eligible to acquire rights and access under HUD's Electronic Line of Credit Control System (eLOCCS). This is the sole mechanism for obtaining grant funds. </w:t>
      </w:r>
      <w:r w:rsidRPr="00342D73">
        <w:rPr>
          <w:bCs/>
          <w:spacing w:val="-9"/>
          <w:sz w:val="24"/>
          <w:szCs w:val="24"/>
        </w:rPr>
        <w:t>Grantees are required to have HUD approval before making any withdrawal of grant funds from the eLOCCS system.</w:t>
      </w:r>
    </w:p>
    <w:p w:rsidR="001471B8" w:rsidRPr="00342D73" w:rsidRDefault="006148D4" w:rsidP="001471B8">
      <w:pPr>
        <w:numPr>
          <w:ilvl w:val="0"/>
          <w:numId w:val="14"/>
        </w:numPr>
        <w:rPr>
          <w:sz w:val="24"/>
        </w:rPr>
      </w:pPr>
      <w:r w:rsidRPr="00342D73">
        <w:rPr>
          <w:sz w:val="24"/>
          <w:szCs w:val="24"/>
          <w:u w:val="single"/>
        </w:rPr>
        <w:t>Describe efforts to identify duplication</w:t>
      </w:r>
      <w:r w:rsidR="00C74A44" w:rsidRPr="00342D73">
        <w:rPr>
          <w:sz w:val="24"/>
          <w:szCs w:val="24"/>
          <w:u w:val="single"/>
        </w:rPr>
        <w:t>.</w:t>
      </w:r>
      <w:r w:rsidRPr="00342D73">
        <w:rPr>
          <w:sz w:val="24"/>
        </w:rPr>
        <w:t xml:space="preserve"> </w:t>
      </w:r>
      <w:r w:rsidR="005910BB" w:rsidRPr="00342D73">
        <w:rPr>
          <w:sz w:val="24"/>
        </w:rPr>
        <w:t xml:space="preserve"> </w:t>
      </w:r>
      <w:r w:rsidR="001471B8" w:rsidRPr="00342D73">
        <w:rPr>
          <w:sz w:val="24"/>
        </w:rPr>
        <w:t xml:space="preserve">The program is a pilot with new requirements for application submission, grant award, and reporting.  It is anticipated that </w:t>
      </w:r>
      <w:r w:rsidR="006729CE" w:rsidRPr="00342D73">
        <w:rPr>
          <w:sz w:val="24"/>
        </w:rPr>
        <w:t>most</w:t>
      </w:r>
      <w:r w:rsidR="001471B8" w:rsidRPr="00342D73">
        <w:rPr>
          <w:sz w:val="24"/>
        </w:rPr>
        <w:t xml:space="preserve"> items will only be required once for each </w:t>
      </w:r>
      <w:r w:rsidR="006729CE" w:rsidRPr="00342D73">
        <w:rPr>
          <w:sz w:val="24"/>
        </w:rPr>
        <w:t>applicant</w:t>
      </w:r>
      <w:r w:rsidR="001471B8" w:rsidRPr="00342D73">
        <w:rPr>
          <w:sz w:val="24"/>
        </w:rPr>
        <w:t>.</w:t>
      </w:r>
      <w:r w:rsidR="006729CE" w:rsidRPr="00342D73">
        <w:rPr>
          <w:sz w:val="24"/>
        </w:rPr>
        <w:t xml:space="preserve">  The Work Plans, Letters of Intent, and Narrative Statements will be required once as part of the initial application, and again as finalized at the conclusion of negotiations with grant recipients. </w:t>
      </w:r>
    </w:p>
    <w:p w:rsidR="00AF5B73" w:rsidRPr="00342D73" w:rsidRDefault="006148D4" w:rsidP="00AF5B73">
      <w:pPr>
        <w:numPr>
          <w:ilvl w:val="0"/>
          <w:numId w:val="14"/>
        </w:numPr>
        <w:rPr>
          <w:sz w:val="24"/>
        </w:rPr>
      </w:pPr>
      <w:r w:rsidRPr="00342D73">
        <w:rPr>
          <w:sz w:val="24"/>
          <w:szCs w:val="24"/>
          <w:u w:val="single"/>
        </w:rPr>
        <w:t>If the collection of information impacts small businesses or other small entities (Item 5 of OMB Form 83-I), describe any methods used to minimize burden</w:t>
      </w:r>
      <w:r w:rsidR="00C74A44" w:rsidRPr="00342D73">
        <w:rPr>
          <w:sz w:val="24"/>
          <w:szCs w:val="24"/>
          <w:u w:val="single"/>
        </w:rPr>
        <w:t>.</w:t>
      </w:r>
      <w:r w:rsidRPr="00342D73">
        <w:rPr>
          <w:sz w:val="24"/>
        </w:rPr>
        <w:t xml:space="preserve"> </w:t>
      </w:r>
      <w:r w:rsidR="000442EF" w:rsidRPr="00342D73">
        <w:rPr>
          <w:sz w:val="24"/>
        </w:rPr>
        <w:t xml:space="preserve">The Department minimizes the burden on small businesses by requiring the collection of information </w:t>
      </w:r>
      <w:r w:rsidR="001471B8" w:rsidRPr="00342D73">
        <w:rPr>
          <w:sz w:val="24"/>
        </w:rPr>
        <w:t xml:space="preserve">in the application </w:t>
      </w:r>
      <w:r w:rsidR="000442EF" w:rsidRPr="00342D73">
        <w:rPr>
          <w:sz w:val="24"/>
        </w:rPr>
        <w:t xml:space="preserve">only once.  </w:t>
      </w:r>
    </w:p>
    <w:p w:rsidR="000442EF" w:rsidRPr="00342D73" w:rsidRDefault="006148D4" w:rsidP="004313FF">
      <w:pPr>
        <w:numPr>
          <w:ilvl w:val="0"/>
          <w:numId w:val="14"/>
        </w:numPr>
        <w:rPr>
          <w:sz w:val="24"/>
        </w:rPr>
      </w:pPr>
      <w:r w:rsidRPr="00342D73">
        <w:rPr>
          <w:sz w:val="24"/>
          <w:szCs w:val="24"/>
          <w:u w:val="single"/>
        </w:rPr>
        <w:t>Describe the consequence to Federal program or policy activities if the collection is not conducted or is conducted less frequently, as well as any technical or legal obstacles to reducing burden</w:t>
      </w:r>
      <w:r w:rsidR="00C74A44" w:rsidRPr="00342D73">
        <w:rPr>
          <w:sz w:val="24"/>
          <w:szCs w:val="24"/>
          <w:u w:val="single"/>
        </w:rPr>
        <w:t>.</w:t>
      </w:r>
      <w:r w:rsidR="005910BB" w:rsidRPr="00342D73">
        <w:rPr>
          <w:sz w:val="24"/>
        </w:rPr>
        <w:t xml:space="preserve"> This is a new pilot program seeking innovative </w:t>
      </w:r>
      <w:r w:rsidR="005910BB" w:rsidRPr="00342D73">
        <w:rPr>
          <w:sz w:val="24"/>
          <w:szCs w:val="24"/>
        </w:rPr>
        <w:t>proposals for increasing the energy efficiency of Multifamily Housing</w:t>
      </w:r>
      <w:r w:rsidR="005910BB" w:rsidRPr="00342D73">
        <w:t>.</w:t>
      </w:r>
      <w:r w:rsidR="005910BB" w:rsidRPr="00342D73">
        <w:rPr>
          <w:sz w:val="24"/>
        </w:rPr>
        <w:t xml:space="preserve">  The application package uses standard OPM and HUD</w:t>
      </w:r>
      <w:r w:rsidR="007B6586" w:rsidRPr="00342D73">
        <w:rPr>
          <w:sz w:val="24"/>
        </w:rPr>
        <w:t xml:space="preserve"> forms to the extent possible. </w:t>
      </w:r>
      <w:r w:rsidR="005910BB" w:rsidRPr="00342D73">
        <w:rPr>
          <w:sz w:val="24"/>
        </w:rPr>
        <w:t xml:space="preserve"> No </w:t>
      </w:r>
      <w:r w:rsidR="007B6586" w:rsidRPr="00342D73">
        <w:rPr>
          <w:sz w:val="24"/>
        </w:rPr>
        <w:t>othe</w:t>
      </w:r>
      <w:r w:rsidR="005910BB" w:rsidRPr="00342D73">
        <w:rPr>
          <w:sz w:val="24"/>
        </w:rPr>
        <w:t xml:space="preserve">r existing forms can be substituted to obtain the required information for </w:t>
      </w:r>
      <w:r w:rsidR="007B6586" w:rsidRPr="00342D73">
        <w:rPr>
          <w:sz w:val="24"/>
        </w:rPr>
        <w:t>proposals included in the application</w:t>
      </w:r>
      <w:r w:rsidR="005910BB" w:rsidRPr="00342D73">
        <w:rPr>
          <w:sz w:val="24"/>
        </w:rPr>
        <w:t>.</w:t>
      </w:r>
      <w:r w:rsidR="004313FF" w:rsidRPr="00342D73">
        <w:rPr>
          <w:sz w:val="24"/>
        </w:rPr>
        <w:t xml:space="preserve"> </w:t>
      </w:r>
      <w:r w:rsidR="007B6586" w:rsidRPr="00342D73">
        <w:rPr>
          <w:sz w:val="24"/>
        </w:rPr>
        <w:t xml:space="preserve"> The collection of application and grant information occurs only once for each grant award.  The Department could not comply with the provisions of the law and Federal regulations if the collection were eliminated.</w:t>
      </w:r>
    </w:p>
    <w:p w:rsidR="000442EF" w:rsidRPr="00342D73" w:rsidRDefault="006148D4">
      <w:pPr>
        <w:numPr>
          <w:ilvl w:val="0"/>
          <w:numId w:val="17"/>
        </w:numPr>
        <w:rPr>
          <w:sz w:val="24"/>
        </w:rPr>
      </w:pPr>
      <w:r w:rsidRPr="00342D73">
        <w:rPr>
          <w:sz w:val="24"/>
          <w:szCs w:val="24"/>
          <w:u w:val="single"/>
        </w:rPr>
        <w:t>Explain any special circumstances that would cause an information collection to be conducted in a manner inconsistent with 5CFR 1320.8(d)</w:t>
      </w:r>
      <w:r w:rsidRPr="00342D73">
        <w:rPr>
          <w:sz w:val="24"/>
          <w:szCs w:val="24"/>
        </w:rPr>
        <w:t>:</w:t>
      </w:r>
      <w:r w:rsidRPr="00342D73">
        <w:t xml:space="preserve">  </w:t>
      </w:r>
      <w:r w:rsidR="000442EF" w:rsidRPr="00342D73">
        <w:rPr>
          <w:sz w:val="24"/>
        </w:rPr>
        <w:t>There are no special circumstances that apply to this information collection.</w:t>
      </w:r>
    </w:p>
    <w:p w:rsidR="000442EF" w:rsidRPr="00342D73" w:rsidRDefault="006148D4" w:rsidP="006148D4">
      <w:pPr>
        <w:pStyle w:val="Default"/>
        <w:numPr>
          <w:ilvl w:val="0"/>
          <w:numId w:val="18"/>
        </w:numPr>
        <w:rPr>
          <w:rFonts w:ascii="Times New Roman" w:hAnsi="Times New Roman"/>
          <w:color w:val="auto"/>
        </w:rPr>
      </w:pPr>
      <w:r w:rsidRPr="00342D73">
        <w:rPr>
          <w:rFonts w:ascii="Times New Roman" w:hAnsi="Times New Roman"/>
          <w:color w:val="auto"/>
          <w:u w:val="single"/>
        </w:rPr>
        <w:t>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C74A44" w:rsidRPr="00342D73">
        <w:rPr>
          <w:rFonts w:ascii="Times New Roman" w:hAnsi="Times New Roman"/>
          <w:color w:val="auto"/>
          <w:u w:val="single"/>
        </w:rPr>
        <w:t>.</w:t>
      </w:r>
      <w:r w:rsidR="00C74A44" w:rsidRPr="00342D73">
        <w:rPr>
          <w:rFonts w:ascii="Times New Roman" w:hAnsi="Times New Roman"/>
          <w:color w:val="auto"/>
        </w:rPr>
        <w:t xml:space="preserve"> </w:t>
      </w:r>
      <w:r w:rsidR="008B6A71" w:rsidRPr="00342D73">
        <w:rPr>
          <w:color w:val="auto"/>
        </w:rPr>
        <w:t xml:space="preserve"> </w:t>
      </w:r>
      <w:r w:rsidR="008B6A71" w:rsidRPr="00342D73">
        <w:rPr>
          <w:rFonts w:ascii="Arial" w:hAnsi="Arial" w:cs="Arial"/>
          <w:color w:val="auto"/>
        </w:rPr>
        <w:t xml:space="preserve"> </w:t>
      </w:r>
      <w:r w:rsidR="000442EF" w:rsidRPr="00342D73">
        <w:rPr>
          <w:rFonts w:ascii="Times New Roman" w:hAnsi="Times New Roman"/>
          <w:color w:val="auto"/>
        </w:rPr>
        <w:t xml:space="preserve">In accordance with 5 CFR 1320.8(d), this information collection soliciting public comments was announced in the </w:t>
      </w:r>
      <w:r w:rsidR="000442EF" w:rsidRPr="00342D73">
        <w:rPr>
          <w:rFonts w:ascii="Times New Roman" w:hAnsi="Times New Roman"/>
          <w:i/>
          <w:iCs/>
          <w:color w:val="auto"/>
        </w:rPr>
        <w:t>Federal Register</w:t>
      </w:r>
      <w:r w:rsidR="000442EF" w:rsidRPr="00342D73">
        <w:rPr>
          <w:rFonts w:ascii="Times New Roman" w:hAnsi="Times New Roman"/>
          <w:color w:val="auto"/>
        </w:rPr>
        <w:t xml:space="preserve"> on</w:t>
      </w:r>
      <w:r w:rsidR="00D01019">
        <w:rPr>
          <w:rFonts w:ascii="Times New Roman" w:hAnsi="Times New Roman"/>
          <w:color w:val="auto"/>
        </w:rPr>
        <w:t xml:space="preserve"> June 2, 2011, </w:t>
      </w:r>
      <w:proofErr w:type="spellStart"/>
      <w:r w:rsidR="00D01019">
        <w:rPr>
          <w:rFonts w:ascii="Times New Roman" w:hAnsi="Times New Roman"/>
          <w:color w:val="auto"/>
        </w:rPr>
        <w:t>Vol</w:t>
      </w:r>
      <w:proofErr w:type="spellEnd"/>
      <w:r w:rsidR="00D01019">
        <w:rPr>
          <w:rFonts w:ascii="Times New Roman" w:hAnsi="Times New Roman"/>
          <w:color w:val="auto"/>
        </w:rPr>
        <w:t xml:space="preserve"> 76, </w:t>
      </w:r>
      <w:proofErr w:type="gramStart"/>
      <w:r w:rsidR="00D01019">
        <w:rPr>
          <w:rFonts w:ascii="Times New Roman" w:hAnsi="Times New Roman"/>
          <w:color w:val="auto"/>
        </w:rPr>
        <w:t>No</w:t>
      </w:r>
      <w:proofErr w:type="gramEnd"/>
      <w:r w:rsidR="00D01019">
        <w:rPr>
          <w:rFonts w:ascii="Times New Roman" w:hAnsi="Times New Roman"/>
          <w:color w:val="auto"/>
        </w:rPr>
        <w:t>. 118</w:t>
      </w:r>
      <w:r w:rsidR="00D01019" w:rsidRPr="00D01019">
        <w:rPr>
          <w:rFonts w:ascii="Times New Roman" w:hAnsi="Times New Roman"/>
          <w:color w:val="auto"/>
        </w:rPr>
        <w:t xml:space="preserve"> pages </w:t>
      </w:r>
      <w:r w:rsidR="00D01019">
        <w:rPr>
          <w:rFonts w:ascii="Times New Roman" w:hAnsi="Times New Roman"/>
          <w:b/>
          <w:bCs/>
          <w:color w:val="auto"/>
        </w:rPr>
        <w:t>35904</w:t>
      </w:r>
      <w:r w:rsidR="00D01019" w:rsidRPr="00D01019">
        <w:rPr>
          <w:rFonts w:ascii="Times New Roman" w:hAnsi="Times New Roman"/>
          <w:color w:val="auto"/>
        </w:rPr>
        <w:t>. No comments were received.</w:t>
      </w:r>
    </w:p>
    <w:p w:rsidR="000442EF" w:rsidRPr="00342D73" w:rsidRDefault="000442EF">
      <w:pPr>
        <w:rPr>
          <w:sz w:val="24"/>
        </w:rPr>
      </w:pPr>
    </w:p>
    <w:p w:rsidR="00CB4154" w:rsidRPr="00342D73" w:rsidRDefault="00FE74B0" w:rsidP="00CB4154">
      <w:pPr>
        <w:ind w:left="360"/>
        <w:rPr>
          <w:sz w:val="24"/>
          <w:szCs w:val="24"/>
        </w:rPr>
      </w:pPr>
      <w:r w:rsidRPr="00342D73">
        <w:rPr>
          <w:sz w:val="24"/>
          <w:szCs w:val="24"/>
        </w:rPr>
        <w:t>HUD has consulted extensively with persons outside the agency with regard to this pilot program.  The following people, representing stakeholders from the multifamily industry, are among the non-governmental entities consulted:</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Jeanne Engel, consultant, former Clinton Foundation and FHA</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David Abromowitz, Goulston and Storrs</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Tom Amdur, National Housing and Redevelopment Association</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Sharon Dworkin Bell, National Association of Homebuilders</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Lisa Blackwell, National Multi Housing Council</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Lane Burt, Natural Resources Defense Council</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Heather Clark, Winn Development</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Anne Evans, Center for Neighborhood Technologies</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Jonathan Goldstein, Sunwheel Energy</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Dick Jones, Boston Community Capital</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Bill Kelly, Stewards of Affordable Housing for the Future</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Mike Lappin, Community Preservation Corporation</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Chuck Laven, Forsyth Street Advisors</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Dan Mendelson, Consultant</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Denise Muha, National Multi Housing Council</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Jeff Perlman, Bright Power</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Roger Platt, US Green Building Council</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Jonathan Rose, Jonathan Rose Companies</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Bruce Schlein, Citi</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Julieann Summerford, Heschong Mahone Group</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Paul Weech, Housing Partnership Network</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Catherine Merschel, Build it Green</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Kim Latimer, LIIF</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Cary Hirschstein, HR&amp;A Advisors, Inc.</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Margot Brandenburg, Rockefeller Foundation</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Kelly Caffarelli, Home Depot Foundation</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Lois DeBacker, Kresge Foundation</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Sam Marks, Deutsche Bank Americas Foundation</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Debra Schwartz, Macarthur Foundation</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John Wilson, Energy Foundation</w:t>
      </w:r>
    </w:p>
    <w:p w:rsidR="00FE74B0" w:rsidRPr="00342D73" w:rsidRDefault="00FE74B0" w:rsidP="00FE74B0">
      <w:pPr>
        <w:pStyle w:val="PlainText"/>
        <w:tabs>
          <w:tab w:val="left" w:pos="360"/>
        </w:tabs>
        <w:ind w:left="360"/>
        <w:rPr>
          <w:rFonts w:ascii="Times New Roman" w:hAnsi="Times New Roman" w:cs="Times New Roman"/>
          <w:sz w:val="24"/>
          <w:szCs w:val="24"/>
        </w:rPr>
      </w:pPr>
      <w:r w:rsidRPr="00342D73">
        <w:rPr>
          <w:rFonts w:ascii="Times New Roman" w:hAnsi="Times New Roman" w:cs="Times New Roman"/>
          <w:sz w:val="24"/>
          <w:szCs w:val="24"/>
        </w:rPr>
        <w:t>Dana Bourland, Enterprise Community Partners</w:t>
      </w:r>
    </w:p>
    <w:p w:rsidR="00F87E7D" w:rsidRDefault="00F87E7D" w:rsidP="00CB4154">
      <w:pPr>
        <w:ind w:left="360"/>
        <w:rPr>
          <w:sz w:val="24"/>
          <w:szCs w:val="24"/>
        </w:rPr>
      </w:pPr>
    </w:p>
    <w:p w:rsidR="00FE74B0" w:rsidRPr="00342D73" w:rsidRDefault="00FE74B0" w:rsidP="00CB4154">
      <w:pPr>
        <w:ind w:left="360"/>
        <w:rPr>
          <w:sz w:val="24"/>
          <w:szCs w:val="24"/>
        </w:rPr>
      </w:pPr>
      <w:r w:rsidRPr="00342D73">
        <w:rPr>
          <w:sz w:val="24"/>
          <w:szCs w:val="24"/>
        </w:rPr>
        <w:t>HUD has also consulted with other Federal governmental entities, among them the Treasury Department and the Environmental Protection Agency.</w:t>
      </w:r>
    </w:p>
    <w:p w:rsidR="000442EF" w:rsidRPr="00342D73" w:rsidRDefault="006148D4">
      <w:pPr>
        <w:numPr>
          <w:ilvl w:val="0"/>
          <w:numId w:val="19"/>
        </w:numPr>
        <w:rPr>
          <w:sz w:val="24"/>
        </w:rPr>
      </w:pPr>
      <w:r w:rsidRPr="00342D73">
        <w:rPr>
          <w:sz w:val="24"/>
          <w:szCs w:val="24"/>
          <w:u w:val="single"/>
        </w:rPr>
        <w:t>Explain any decision to provide any payment or gift to respondents, other than remuneration of contractors or grantees</w:t>
      </w:r>
      <w:r w:rsidR="00C74A44" w:rsidRPr="00342D73">
        <w:rPr>
          <w:sz w:val="24"/>
          <w:szCs w:val="24"/>
          <w:u w:val="single"/>
        </w:rPr>
        <w:t>.</w:t>
      </w:r>
      <w:r w:rsidRPr="00342D73">
        <w:rPr>
          <w:sz w:val="24"/>
        </w:rPr>
        <w:t xml:space="preserve"> </w:t>
      </w:r>
      <w:r w:rsidR="00316863" w:rsidRPr="00342D73">
        <w:rPr>
          <w:sz w:val="24"/>
        </w:rPr>
        <w:t>No gifts or payments</w:t>
      </w:r>
      <w:r w:rsidR="000442EF" w:rsidRPr="00342D73">
        <w:rPr>
          <w:sz w:val="24"/>
        </w:rPr>
        <w:t xml:space="preserve"> are provided to respondents.</w:t>
      </w:r>
    </w:p>
    <w:p w:rsidR="000442EF" w:rsidRPr="00342D73" w:rsidRDefault="006148D4" w:rsidP="006C73CB">
      <w:pPr>
        <w:numPr>
          <w:ilvl w:val="0"/>
          <w:numId w:val="20"/>
        </w:numPr>
        <w:rPr>
          <w:sz w:val="24"/>
          <w:szCs w:val="24"/>
        </w:rPr>
      </w:pPr>
      <w:r w:rsidRPr="00342D73">
        <w:rPr>
          <w:sz w:val="24"/>
          <w:szCs w:val="24"/>
          <w:u w:val="single"/>
        </w:rPr>
        <w:t>Describe any assurance of confidentiality provided to respondents and the basis for the assurance in statute, regulation, or agency policy</w:t>
      </w:r>
      <w:r w:rsidR="00C74A44" w:rsidRPr="00342D73">
        <w:rPr>
          <w:sz w:val="24"/>
          <w:szCs w:val="24"/>
          <w:u w:val="single"/>
        </w:rPr>
        <w:t>.</w:t>
      </w:r>
      <w:r w:rsidRPr="00342D73">
        <w:rPr>
          <w:sz w:val="24"/>
        </w:rPr>
        <w:t xml:space="preserve"> </w:t>
      </w:r>
      <w:r w:rsidR="00487B47" w:rsidRPr="00342D73">
        <w:rPr>
          <w:sz w:val="24"/>
        </w:rPr>
        <w:t xml:space="preserve"> </w:t>
      </w:r>
      <w:r w:rsidR="00B96D81" w:rsidRPr="00342D73">
        <w:rPr>
          <w:sz w:val="24"/>
        </w:rPr>
        <w:t xml:space="preserve">The applicants have not been given any assurance of confidentiality beyond what is available under the OPM and HUD forms submitted as part of the application.  </w:t>
      </w:r>
      <w:r w:rsidR="006C73CB" w:rsidRPr="00342D73">
        <w:rPr>
          <w:sz w:val="24"/>
        </w:rPr>
        <w:t>The NOFA specifically states that, b</w:t>
      </w:r>
      <w:r w:rsidR="006C73CB" w:rsidRPr="00342D73">
        <w:rPr>
          <w:sz w:val="24"/>
          <w:szCs w:val="24"/>
        </w:rPr>
        <w:t>ecause the replicability of proposed solutions is a desired outcome of the Energy Innovation Program, HUD will not award grants to an applicant who proposes a proprietary solution.  This prohibition on award includes proposing to use as a platform or create after development, a tool, system or methodology that is proprietary to the Grantee or any third party, or that relies on protected intellectual property.  The use of widely available technical systems (e.g. ACCESS or EXCEL) is generally permitted</w:t>
      </w:r>
      <w:proofErr w:type="gramStart"/>
      <w:r w:rsidR="006C73CB" w:rsidRPr="00342D73">
        <w:rPr>
          <w:sz w:val="24"/>
          <w:szCs w:val="24"/>
        </w:rPr>
        <w:t>.</w:t>
      </w:r>
      <w:r w:rsidR="000442EF" w:rsidRPr="00342D73">
        <w:rPr>
          <w:sz w:val="24"/>
          <w:szCs w:val="24"/>
        </w:rPr>
        <w:t>.</w:t>
      </w:r>
      <w:proofErr w:type="gramEnd"/>
      <w:r w:rsidR="000442EF" w:rsidRPr="00342D73">
        <w:rPr>
          <w:sz w:val="24"/>
          <w:szCs w:val="24"/>
        </w:rPr>
        <w:t xml:space="preserve"> </w:t>
      </w:r>
    </w:p>
    <w:p w:rsidR="000442EF" w:rsidRPr="00342D73" w:rsidRDefault="006148D4" w:rsidP="004313FF">
      <w:pPr>
        <w:pStyle w:val="ListParagraph"/>
        <w:numPr>
          <w:ilvl w:val="0"/>
          <w:numId w:val="22"/>
        </w:numPr>
      </w:pPr>
      <w:r w:rsidRPr="00342D73">
        <w:rPr>
          <w:u w:val="single"/>
        </w:rPr>
        <w:t>Provide additional justification for any questions of a sensitive nature, such as sexual behavior and attitudes, religious beliefs, and other matters that are commonly considered private</w:t>
      </w:r>
      <w:r w:rsidR="00C74A44" w:rsidRPr="00342D73">
        <w:rPr>
          <w:u w:val="single"/>
        </w:rPr>
        <w:t>.</w:t>
      </w:r>
      <w:r w:rsidRPr="00342D73">
        <w:t xml:space="preserve"> </w:t>
      </w:r>
      <w:r w:rsidR="000442EF" w:rsidRPr="00342D73">
        <w:t>No questions of a sensitive nature apply.</w:t>
      </w:r>
    </w:p>
    <w:p w:rsidR="00E40B42" w:rsidRPr="00F87E7D" w:rsidRDefault="00E40B42" w:rsidP="00E40B42">
      <w:pPr>
        <w:pStyle w:val="ListParagraph"/>
        <w:numPr>
          <w:ilvl w:val="0"/>
          <w:numId w:val="22"/>
        </w:numPr>
      </w:pPr>
      <w:r w:rsidRPr="00F87E7D">
        <w:rPr>
          <w:u w:val="single"/>
        </w:rPr>
        <w:t>Provide estimates of the hour burden of the collection of information</w:t>
      </w:r>
      <w:r w:rsidRPr="00F87E7D">
        <w:t>.</w:t>
      </w:r>
      <w:r w:rsidR="005C27BB" w:rsidRPr="00F87E7D">
        <w:rPr>
          <w:b/>
          <w:u w:val="single"/>
        </w:rPr>
        <w:t>and</w:t>
      </w:r>
      <w:r w:rsidR="005C27BB" w:rsidRPr="00F87E7D">
        <w:rPr>
          <w:u w:val="single"/>
        </w:rPr>
        <w:t xml:space="preserve"> 13 </w:t>
      </w:r>
      <w:proofErr w:type="gramStart"/>
      <w:r w:rsidR="005C27BB" w:rsidRPr="00F87E7D">
        <w:rPr>
          <w:u w:val="single"/>
        </w:rPr>
        <w:t>Provide</w:t>
      </w:r>
      <w:proofErr w:type="gramEnd"/>
      <w:r w:rsidR="005C27BB" w:rsidRPr="00F87E7D">
        <w:rPr>
          <w:u w:val="single"/>
        </w:rPr>
        <w:t xml:space="preserve"> an estimate of the annual cost burden to respondents.</w:t>
      </w:r>
      <w:r w:rsidRPr="00F87E7D">
        <w:rPr>
          <w:u w:val="single"/>
        </w:rPr>
        <w:t xml:space="preserve"> </w:t>
      </w:r>
      <w:r w:rsidRPr="00F87E7D">
        <w:t>Based on the assumption that clerical staff and professional/supervisory staff will share this burden.  HUD estimates the applicable hourly rate will be $25</w:t>
      </w:r>
    </w:p>
    <w:tbl>
      <w:tblPr>
        <w:tblW w:w="10635" w:type="dxa"/>
        <w:tblInd w:w="93" w:type="dxa"/>
        <w:tblLayout w:type="fixed"/>
        <w:tblLook w:val="04A0"/>
      </w:tblPr>
      <w:tblGrid>
        <w:gridCol w:w="1535"/>
        <w:gridCol w:w="1090"/>
        <w:gridCol w:w="1260"/>
        <w:gridCol w:w="1260"/>
        <w:gridCol w:w="1080"/>
        <w:gridCol w:w="1170"/>
        <w:gridCol w:w="1170"/>
        <w:gridCol w:w="2070"/>
      </w:tblGrid>
      <w:tr w:rsidR="00A07CC7" w:rsidRPr="00F87E7D" w:rsidTr="00A07CC7">
        <w:trPr>
          <w:trHeight w:val="300"/>
        </w:trPr>
        <w:tc>
          <w:tcPr>
            <w:tcW w:w="153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Information Collection</w:t>
            </w:r>
          </w:p>
        </w:tc>
        <w:tc>
          <w:tcPr>
            <w:tcW w:w="109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Number of Respondents</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Frequency of Response</w:t>
            </w:r>
          </w:p>
        </w:tc>
        <w:tc>
          <w:tcPr>
            <w:tcW w:w="1260" w:type="dxa"/>
            <w:tcBorders>
              <w:top w:val="single" w:sz="8" w:space="0" w:color="auto"/>
              <w:left w:val="nil"/>
              <w:bottom w:val="nil"/>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Responses</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Burden Hour Per Response</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Annual Burden Hours</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Hourly Cost Per Response</w:t>
            </w:r>
          </w:p>
        </w:tc>
        <w:tc>
          <w:tcPr>
            <w:tcW w:w="20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Annual Cost</w:t>
            </w:r>
          </w:p>
        </w:tc>
      </w:tr>
      <w:tr w:rsidR="00A07CC7" w:rsidRPr="00F87E7D" w:rsidTr="00A07CC7">
        <w:trPr>
          <w:trHeight w:val="405"/>
        </w:trPr>
        <w:tc>
          <w:tcPr>
            <w:tcW w:w="1535" w:type="dxa"/>
            <w:vMerge/>
            <w:tcBorders>
              <w:top w:val="single" w:sz="8" w:space="0" w:color="auto"/>
              <w:left w:val="single" w:sz="8" w:space="0" w:color="auto"/>
              <w:bottom w:val="single" w:sz="8" w:space="0" w:color="000000"/>
              <w:right w:val="single" w:sz="8" w:space="0" w:color="auto"/>
            </w:tcBorders>
            <w:vAlign w:val="center"/>
            <w:hideMark/>
          </w:tcPr>
          <w:p w:rsidR="00A07CC7" w:rsidRPr="00F87E7D" w:rsidRDefault="00A07CC7" w:rsidP="009F6A58">
            <w:pPr>
              <w:overflowPunct/>
              <w:autoSpaceDE/>
              <w:autoSpaceDN/>
              <w:adjustRightInd/>
              <w:textAlignment w:val="auto"/>
              <w:rPr>
                <w:rFonts w:ascii="Arial" w:hAnsi="Arial" w:cs="Arial"/>
                <w:b/>
                <w:bCs/>
                <w:sz w:val="18"/>
                <w:szCs w:val="18"/>
              </w:rPr>
            </w:pPr>
          </w:p>
        </w:tc>
        <w:tc>
          <w:tcPr>
            <w:tcW w:w="1090" w:type="dxa"/>
            <w:vMerge/>
            <w:tcBorders>
              <w:top w:val="single" w:sz="8" w:space="0" w:color="auto"/>
              <w:left w:val="single" w:sz="8" w:space="0" w:color="auto"/>
              <w:bottom w:val="single" w:sz="8" w:space="0" w:color="000000"/>
              <w:right w:val="single" w:sz="8" w:space="0" w:color="auto"/>
            </w:tcBorders>
            <w:vAlign w:val="center"/>
            <w:hideMark/>
          </w:tcPr>
          <w:p w:rsidR="00A07CC7" w:rsidRPr="00F87E7D" w:rsidRDefault="00A07CC7" w:rsidP="009F6A58">
            <w:pPr>
              <w:overflowPunct/>
              <w:autoSpaceDE/>
              <w:autoSpaceDN/>
              <w:adjustRightInd/>
              <w:textAlignment w:val="auto"/>
              <w:rPr>
                <w:rFonts w:ascii="Arial" w:hAnsi="Arial" w:cs="Arial"/>
                <w:b/>
                <w:bCs/>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A07CC7" w:rsidRPr="00F87E7D" w:rsidRDefault="00A07CC7" w:rsidP="009F6A58">
            <w:pPr>
              <w:overflowPunct/>
              <w:autoSpaceDE/>
              <w:autoSpaceDN/>
              <w:adjustRightInd/>
              <w:textAlignment w:val="auto"/>
              <w:rPr>
                <w:rFonts w:ascii="Arial" w:hAnsi="Arial" w:cs="Arial"/>
                <w:b/>
                <w:bCs/>
                <w:sz w:val="18"/>
                <w:szCs w:val="18"/>
              </w:rPr>
            </w:pP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Per Annum</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A07CC7" w:rsidRPr="00F87E7D" w:rsidRDefault="00A07CC7" w:rsidP="009F6A58">
            <w:pPr>
              <w:overflowPunct/>
              <w:autoSpaceDE/>
              <w:autoSpaceDN/>
              <w:adjustRightInd/>
              <w:textAlignment w:val="auto"/>
              <w:rPr>
                <w:rFonts w:ascii="Arial" w:hAnsi="Arial" w:cs="Arial"/>
                <w:b/>
                <w:bCs/>
                <w:sz w:val="18"/>
                <w:szCs w:val="18"/>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A07CC7" w:rsidRPr="00F87E7D" w:rsidRDefault="00A07CC7" w:rsidP="009F6A58">
            <w:pPr>
              <w:overflowPunct/>
              <w:autoSpaceDE/>
              <w:autoSpaceDN/>
              <w:adjustRightInd/>
              <w:textAlignment w:val="auto"/>
              <w:rPr>
                <w:rFonts w:ascii="Arial" w:hAnsi="Arial" w:cs="Arial"/>
                <w:b/>
                <w:bCs/>
                <w:sz w:val="18"/>
                <w:szCs w:val="18"/>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A07CC7" w:rsidRPr="00F87E7D" w:rsidRDefault="00A07CC7" w:rsidP="009F6A58">
            <w:pPr>
              <w:overflowPunct/>
              <w:autoSpaceDE/>
              <w:autoSpaceDN/>
              <w:adjustRightInd/>
              <w:textAlignment w:val="auto"/>
              <w:rPr>
                <w:rFonts w:ascii="Arial" w:hAnsi="Arial" w:cs="Arial"/>
                <w:b/>
                <w:bCs/>
                <w:sz w:val="18"/>
                <w:szCs w:val="18"/>
              </w:rPr>
            </w:pPr>
          </w:p>
        </w:tc>
        <w:tc>
          <w:tcPr>
            <w:tcW w:w="2070" w:type="dxa"/>
            <w:vMerge/>
            <w:tcBorders>
              <w:top w:val="single" w:sz="8" w:space="0" w:color="auto"/>
              <w:left w:val="single" w:sz="8" w:space="0" w:color="auto"/>
              <w:bottom w:val="single" w:sz="8" w:space="0" w:color="000000"/>
              <w:right w:val="single" w:sz="8" w:space="0" w:color="auto"/>
            </w:tcBorders>
            <w:vAlign w:val="center"/>
            <w:hideMark/>
          </w:tcPr>
          <w:p w:rsidR="00A07CC7" w:rsidRPr="00F87E7D" w:rsidRDefault="00A07CC7" w:rsidP="009F6A58">
            <w:pPr>
              <w:overflowPunct/>
              <w:autoSpaceDE/>
              <w:autoSpaceDN/>
              <w:adjustRightInd/>
              <w:textAlignment w:val="auto"/>
              <w:rPr>
                <w:rFonts w:ascii="Arial" w:hAnsi="Arial" w:cs="Arial"/>
                <w:b/>
                <w:bCs/>
                <w:sz w:val="18"/>
                <w:szCs w:val="18"/>
              </w:rPr>
            </w:pPr>
          </w:p>
        </w:tc>
      </w:tr>
      <w:tr w:rsidR="00A07CC7" w:rsidRPr="00F87E7D" w:rsidTr="00A07CC7">
        <w:trPr>
          <w:trHeight w:val="330"/>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szCs w:val="24"/>
              </w:rPr>
              <w:t>Abstract</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20</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20</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2</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40</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 xml:space="preserve"> $      50.00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1,000.00 </w:t>
            </w:r>
          </w:p>
        </w:tc>
      </w:tr>
      <w:tr w:rsidR="00A07CC7" w:rsidRPr="00F87E7D" w:rsidTr="00A07CC7">
        <w:trPr>
          <w:trHeight w:val="330"/>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szCs w:val="24"/>
              </w:rPr>
              <w:t>Document list</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20</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20</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20</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 xml:space="preserve"> $      25.00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500.00 </w:t>
            </w:r>
          </w:p>
        </w:tc>
      </w:tr>
      <w:tr w:rsidR="00A07CC7" w:rsidRPr="00F87E7D" w:rsidTr="00A07CC7">
        <w:trPr>
          <w:trHeight w:val="330"/>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szCs w:val="24"/>
              </w:rPr>
              <w:t>SF424</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20</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25.00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500.00 </w:t>
            </w:r>
          </w:p>
        </w:tc>
      </w:tr>
      <w:tr w:rsidR="00A07CC7" w:rsidRPr="00F87E7D" w:rsidTr="00A07CC7">
        <w:trPr>
          <w:trHeight w:val="645"/>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szCs w:val="24"/>
              </w:rPr>
              <w:t>SF424 Supplement</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20</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0.25</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5</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6.25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125.00 </w:t>
            </w:r>
          </w:p>
        </w:tc>
      </w:tr>
      <w:tr w:rsidR="00A07CC7" w:rsidRPr="00F87E7D" w:rsidTr="00A07CC7">
        <w:trPr>
          <w:trHeight w:val="330"/>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szCs w:val="24"/>
              </w:rPr>
              <w:t>SFLLL</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20</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0.25</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5</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6.25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125.00 </w:t>
            </w:r>
          </w:p>
        </w:tc>
      </w:tr>
      <w:tr w:rsidR="00A07CC7" w:rsidRPr="00F87E7D" w:rsidTr="00A07CC7">
        <w:trPr>
          <w:trHeight w:val="330"/>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szCs w:val="24"/>
              </w:rPr>
              <w:t>HUD2880</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20</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2</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40</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50.00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1,000.00 </w:t>
            </w:r>
          </w:p>
        </w:tc>
      </w:tr>
      <w:tr w:rsidR="00A07CC7" w:rsidRPr="00F87E7D" w:rsidTr="00A07CC7">
        <w:trPr>
          <w:trHeight w:val="315"/>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szCs w:val="24"/>
              </w:rPr>
              <w:t>HUD424CB</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27</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27</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3</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81</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75.00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2,025.00 </w:t>
            </w:r>
          </w:p>
        </w:tc>
      </w:tr>
      <w:tr w:rsidR="00A07CC7" w:rsidRPr="00F87E7D" w:rsidTr="00A07CC7">
        <w:trPr>
          <w:trHeight w:val="645"/>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szCs w:val="24"/>
              </w:rPr>
              <w:t>Sources and Uses</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20</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25.00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500.00 </w:t>
            </w:r>
          </w:p>
        </w:tc>
      </w:tr>
      <w:tr w:rsidR="00A07CC7" w:rsidRPr="00F87E7D" w:rsidTr="00A07CC7">
        <w:trPr>
          <w:trHeight w:val="345"/>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szCs w:val="24"/>
              </w:rPr>
              <w:t>HUD2993_</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20</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0.25</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5</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6.25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125.00 </w:t>
            </w:r>
          </w:p>
        </w:tc>
      </w:tr>
      <w:tr w:rsidR="00A07CC7" w:rsidRPr="00F87E7D" w:rsidTr="00A07CC7">
        <w:trPr>
          <w:trHeight w:val="645"/>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szCs w:val="24"/>
              </w:rPr>
              <w:t>Letters of Intent</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27</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27</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1.5</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40.5</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37.50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1,012.50 </w:t>
            </w:r>
          </w:p>
        </w:tc>
      </w:tr>
      <w:tr w:rsidR="00A07CC7" w:rsidRPr="00F87E7D" w:rsidTr="00A07CC7">
        <w:trPr>
          <w:trHeight w:val="345"/>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szCs w:val="24"/>
              </w:rPr>
              <w:t>501c3 letter</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20</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0.25</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5</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6.25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125.00 </w:t>
            </w:r>
          </w:p>
        </w:tc>
      </w:tr>
      <w:tr w:rsidR="00A07CC7" w:rsidRPr="00F87E7D" w:rsidTr="00A07CC7">
        <w:trPr>
          <w:trHeight w:val="645"/>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szCs w:val="24"/>
              </w:rPr>
              <w:t>consortium agreement</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20</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0.25</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5</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6.25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125.00 </w:t>
            </w:r>
          </w:p>
        </w:tc>
      </w:tr>
      <w:tr w:rsidR="00A07CC7" w:rsidRPr="00F87E7D" w:rsidTr="00A07CC7">
        <w:trPr>
          <w:trHeight w:val="645"/>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szCs w:val="24"/>
              </w:rPr>
              <w:t>Narrative response</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27</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27</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40</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1080</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$1,000.00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27,000.00 </w:t>
            </w:r>
          </w:p>
        </w:tc>
      </w:tr>
      <w:tr w:rsidR="00A07CC7" w:rsidRPr="00F87E7D" w:rsidTr="00A07CC7">
        <w:trPr>
          <w:trHeight w:val="300"/>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szCs w:val="24"/>
              </w:rPr>
              <w:t>Work Plan</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27</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27</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25</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675</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625.00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16,875.00 </w:t>
            </w:r>
          </w:p>
        </w:tc>
      </w:tr>
      <w:tr w:rsidR="00A07CC7" w:rsidRPr="00F87E7D" w:rsidTr="00A07CC7">
        <w:trPr>
          <w:trHeight w:val="615"/>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szCs w:val="24"/>
              </w:rPr>
              <w:t>Fair Housing Requirements</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20</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25.00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500.00 </w:t>
            </w:r>
          </w:p>
        </w:tc>
      </w:tr>
      <w:tr w:rsidR="00A07CC7" w:rsidRPr="00F87E7D" w:rsidTr="00A07CC7">
        <w:trPr>
          <w:trHeight w:val="315"/>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szCs w:val="24"/>
              </w:rPr>
              <w:t>HUD2991</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20</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0.5</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10</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12.50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250.00 </w:t>
            </w:r>
          </w:p>
        </w:tc>
      </w:tr>
      <w:tr w:rsidR="00A07CC7" w:rsidRPr="00F87E7D" w:rsidTr="00A07CC7">
        <w:trPr>
          <w:trHeight w:val="615"/>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rPr>
              <w:t>Cooperative Agreement</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7</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7</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7</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25.00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175.00 </w:t>
            </w:r>
          </w:p>
        </w:tc>
      </w:tr>
      <w:tr w:rsidR="00A07CC7" w:rsidRPr="00F87E7D" w:rsidTr="00A07CC7">
        <w:trPr>
          <w:trHeight w:val="645"/>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rPr>
              <w:t>Monthly reports</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7</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12</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84</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2</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168</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50.00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4,200.00 </w:t>
            </w:r>
          </w:p>
        </w:tc>
      </w:tr>
      <w:tr w:rsidR="00A07CC7" w:rsidRPr="00F87E7D" w:rsidTr="00A07CC7">
        <w:trPr>
          <w:trHeight w:val="645"/>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rPr>
              <w:t>Quarterly reports</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7</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4</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28</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6</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168</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150.00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4,200.00 </w:t>
            </w:r>
          </w:p>
        </w:tc>
      </w:tr>
      <w:tr w:rsidR="00A07CC7" w:rsidRPr="00F87E7D" w:rsidTr="00A07CC7">
        <w:trPr>
          <w:trHeight w:val="300"/>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rPr>
              <w:t>Final report</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7</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7</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4</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28</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100.00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700.00 </w:t>
            </w:r>
          </w:p>
        </w:tc>
      </w:tr>
      <w:tr w:rsidR="00A07CC7" w:rsidRPr="00F87E7D" w:rsidTr="00A07CC7">
        <w:trPr>
          <w:trHeight w:val="645"/>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sz w:val="24"/>
                <w:szCs w:val="24"/>
              </w:rPr>
            </w:pPr>
            <w:r w:rsidRPr="00F87E7D">
              <w:rPr>
                <w:sz w:val="24"/>
                <w:szCs w:val="24"/>
              </w:rPr>
              <w:t>Section 3 reporting</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7</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4</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28</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center"/>
              <w:textAlignment w:val="auto"/>
              <w:rPr>
                <w:rFonts w:ascii="Arial" w:hAnsi="Arial" w:cs="Arial"/>
                <w:sz w:val="18"/>
                <w:szCs w:val="18"/>
              </w:rPr>
            </w:pPr>
            <w:r w:rsidRPr="00F87E7D">
              <w:rPr>
                <w:rFonts w:ascii="Arial" w:hAnsi="Arial" w:cs="Arial"/>
                <w:sz w:val="18"/>
              </w:rPr>
              <w:t>1</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rPr>
              <w:t>28</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 xml:space="preserve"> $      25.00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sz w:val="18"/>
                <w:szCs w:val="18"/>
              </w:rPr>
            </w:pPr>
            <w:r w:rsidRPr="00F87E7D">
              <w:rPr>
                <w:rFonts w:ascii="Arial" w:hAnsi="Arial" w:cs="Arial"/>
                <w:sz w:val="18"/>
                <w:szCs w:val="18"/>
              </w:rPr>
              <w:t xml:space="preserve"> $            700.00 </w:t>
            </w:r>
          </w:p>
        </w:tc>
      </w:tr>
      <w:tr w:rsidR="00A07CC7" w:rsidRPr="00F87E7D" w:rsidTr="00A07CC7">
        <w:trPr>
          <w:trHeight w:val="315"/>
        </w:trPr>
        <w:tc>
          <w:tcPr>
            <w:tcW w:w="1535" w:type="dxa"/>
            <w:tcBorders>
              <w:top w:val="nil"/>
              <w:left w:val="single" w:sz="8" w:space="0" w:color="auto"/>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textAlignment w:val="auto"/>
              <w:rPr>
                <w:rFonts w:ascii="Arial" w:hAnsi="Arial" w:cs="Arial"/>
                <w:b/>
                <w:bCs/>
                <w:sz w:val="18"/>
                <w:szCs w:val="18"/>
              </w:rPr>
            </w:pPr>
            <w:r w:rsidRPr="00F87E7D">
              <w:rPr>
                <w:rFonts w:ascii="Arial" w:hAnsi="Arial" w:cs="Arial"/>
                <w:b/>
                <w:bCs/>
                <w:sz w:val="18"/>
              </w:rPr>
              <w:t xml:space="preserve">   Totals</w:t>
            </w:r>
          </w:p>
        </w:tc>
        <w:tc>
          <w:tcPr>
            <w:tcW w:w="109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b/>
                <w:bCs/>
                <w:sz w:val="18"/>
                <w:szCs w:val="18"/>
              </w:rPr>
            </w:pPr>
            <w:r w:rsidRPr="00F87E7D">
              <w:rPr>
                <w:rFonts w:ascii="Arial" w:hAnsi="Arial" w:cs="Arial"/>
                <w:b/>
                <w:bCs/>
                <w:sz w:val="18"/>
              </w:rPr>
              <w:t>383</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b/>
                <w:bCs/>
                <w:sz w:val="18"/>
                <w:szCs w:val="18"/>
              </w:rPr>
            </w:pPr>
            <w:r w:rsidRPr="00F87E7D">
              <w:rPr>
                <w:rFonts w:ascii="Arial" w:hAnsi="Arial" w:cs="Arial"/>
                <w:b/>
                <w:bCs/>
                <w:sz w:val="18"/>
              </w:rPr>
              <w:t>38</w:t>
            </w:r>
          </w:p>
        </w:tc>
        <w:tc>
          <w:tcPr>
            <w:tcW w:w="126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b/>
                <w:bCs/>
                <w:sz w:val="18"/>
                <w:szCs w:val="18"/>
              </w:rPr>
            </w:pPr>
            <w:r w:rsidRPr="00F87E7D">
              <w:rPr>
                <w:rFonts w:ascii="Arial" w:hAnsi="Arial" w:cs="Arial"/>
                <w:b/>
                <w:bCs/>
                <w:sz w:val="18"/>
              </w:rPr>
              <w:t>502</w:t>
            </w:r>
          </w:p>
        </w:tc>
        <w:tc>
          <w:tcPr>
            <w:tcW w:w="108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b/>
                <w:bCs/>
                <w:sz w:val="18"/>
                <w:szCs w:val="18"/>
              </w:rPr>
            </w:pPr>
            <w:r w:rsidRPr="00F87E7D">
              <w:rPr>
                <w:rFonts w:ascii="Arial" w:hAnsi="Arial" w:cs="Arial"/>
                <w:b/>
                <w:bCs/>
                <w:sz w:val="18"/>
              </w:rPr>
              <w:t>93.25</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b/>
                <w:bCs/>
                <w:sz w:val="18"/>
                <w:szCs w:val="18"/>
              </w:rPr>
            </w:pPr>
            <w:r w:rsidRPr="00F87E7D">
              <w:rPr>
                <w:rFonts w:ascii="Arial" w:hAnsi="Arial" w:cs="Arial"/>
                <w:b/>
                <w:bCs/>
                <w:sz w:val="18"/>
              </w:rPr>
              <w:t>2470.5</w:t>
            </w:r>
          </w:p>
        </w:tc>
        <w:tc>
          <w:tcPr>
            <w:tcW w:w="1170" w:type="dxa"/>
            <w:tcBorders>
              <w:top w:val="nil"/>
              <w:left w:val="nil"/>
              <w:bottom w:val="single" w:sz="8" w:space="0" w:color="auto"/>
              <w:right w:val="single" w:sz="8" w:space="0" w:color="auto"/>
            </w:tcBorders>
            <w:shd w:val="clear" w:color="auto" w:fill="auto"/>
            <w:hideMark/>
          </w:tcPr>
          <w:p w:rsidR="00A07CC7" w:rsidRPr="00F87E7D" w:rsidRDefault="00A07CC7" w:rsidP="009F6A58">
            <w:pPr>
              <w:overflowPunct/>
              <w:autoSpaceDE/>
              <w:autoSpaceDN/>
              <w:adjustRightInd/>
              <w:jc w:val="right"/>
              <w:textAlignment w:val="auto"/>
              <w:rPr>
                <w:rFonts w:ascii="Arial" w:hAnsi="Arial" w:cs="Arial"/>
                <w:b/>
                <w:bCs/>
                <w:sz w:val="18"/>
                <w:szCs w:val="18"/>
              </w:rPr>
            </w:pPr>
            <w:r w:rsidRPr="00F87E7D">
              <w:rPr>
                <w:rFonts w:ascii="Arial" w:hAnsi="Arial" w:cs="Arial"/>
                <w:b/>
                <w:bCs/>
                <w:sz w:val="18"/>
              </w:rPr>
              <w:t xml:space="preserve"> $2,331.25 </w:t>
            </w:r>
          </w:p>
        </w:tc>
        <w:tc>
          <w:tcPr>
            <w:tcW w:w="2070" w:type="dxa"/>
            <w:tcBorders>
              <w:top w:val="nil"/>
              <w:left w:val="nil"/>
              <w:bottom w:val="single" w:sz="8" w:space="0" w:color="auto"/>
              <w:right w:val="single" w:sz="8" w:space="0" w:color="auto"/>
            </w:tcBorders>
            <w:shd w:val="clear" w:color="auto" w:fill="auto"/>
            <w:hideMark/>
          </w:tcPr>
          <w:p w:rsidR="00A07CC7" w:rsidRPr="00F87E7D" w:rsidRDefault="00A07CC7" w:rsidP="009F6A58">
            <w:pPr>
              <w:jc w:val="right"/>
              <w:rPr>
                <w:rFonts w:ascii="Arial" w:hAnsi="Arial" w:cs="Arial"/>
                <w:b/>
                <w:bCs/>
                <w:sz w:val="18"/>
                <w:szCs w:val="18"/>
              </w:rPr>
            </w:pPr>
            <w:r w:rsidRPr="00F87E7D">
              <w:rPr>
                <w:rFonts w:ascii="Arial" w:hAnsi="Arial" w:cs="Arial"/>
                <w:b/>
                <w:bCs/>
                <w:sz w:val="18"/>
                <w:szCs w:val="18"/>
              </w:rPr>
              <w:t xml:space="preserve"> $      61,762.50 </w:t>
            </w:r>
          </w:p>
        </w:tc>
      </w:tr>
    </w:tbl>
    <w:p w:rsidR="004313FF" w:rsidRPr="00F87E7D" w:rsidRDefault="004313FF">
      <w:pPr>
        <w:rPr>
          <w:sz w:val="24"/>
        </w:rPr>
      </w:pPr>
    </w:p>
    <w:p w:rsidR="009F6A58" w:rsidRPr="00F87E7D" w:rsidRDefault="009F6A58" w:rsidP="009F6A58">
      <w:pPr>
        <w:rPr>
          <w:b/>
          <w:sz w:val="24"/>
          <w:u w:val="single"/>
        </w:rPr>
      </w:pPr>
      <w:r w:rsidRPr="00F87E7D">
        <w:rPr>
          <w:b/>
          <w:sz w:val="24"/>
          <w:u w:val="single"/>
        </w:rPr>
        <w:t xml:space="preserve">Forms </w:t>
      </w:r>
      <w:r w:rsidR="00D260A8" w:rsidRPr="00F87E7D">
        <w:rPr>
          <w:b/>
          <w:sz w:val="24"/>
          <w:u w:val="single"/>
        </w:rPr>
        <w:t>SF 424, SF 424 Supp, SF LLL,</w:t>
      </w:r>
      <w:r w:rsidR="00D260A8" w:rsidRPr="00F87E7D">
        <w:rPr>
          <w:sz w:val="24"/>
        </w:rPr>
        <w:t xml:space="preserve"> </w:t>
      </w:r>
      <w:r w:rsidRPr="00F87E7D">
        <w:rPr>
          <w:b/>
          <w:sz w:val="24"/>
          <w:u w:val="single"/>
        </w:rPr>
        <w:t>HUD-2880, HUD-424CB, HUD-2993 and HUD-2990:</w:t>
      </w:r>
    </w:p>
    <w:p w:rsidR="009F6A58" w:rsidRPr="00F87E7D" w:rsidRDefault="009F6A58" w:rsidP="009F6A58">
      <w:pPr>
        <w:rPr>
          <w:b/>
          <w:sz w:val="24"/>
          <w:u w:val="single"/>
        </w:rPr>
      </w:pPr>
    </w:p>
    <w:p w:rsidR="009F6A58" w:rsidRPr="00F87E7D" w:rsidRDefault="009F6A58" w:rsidP="009F6A58">
      <w:pPr>
        <w:rPr>
          <w:sz w:val="24"/>
        </w:rPr>
      </w:pPr>
      <w:r w:rsidRPr="00F87E7D">
        <w:rPr>
          <w:sz w:val="24"/>
        </w:rPr>
        <w:t xml:space="preserve">It is estimated that there will be approximately 20 respondents who will submit the standard forms </w:t>
      </w:r>
      <w:r w:rsidR="00D260A8" w:rsidRPr="00F87E7D">
        <w:rPr>
          <w:sz w:val="24"/>
        </w:rPr>
        <w:t xml:space="preserve">SF 424, SF 424 Supp, SF LLL, </w:t>
      </w:r>
      <w:r w:rsidRPr="00F87E7D">
        <w:rPr>
          <w:sz w:val="24"/>
        </w:rPr>
        <w:t>HUD-2880</w:t>
      </w:r>
      <w:r w:rsidRPr="00F87E7D">
        <w:rPr>
          <w:b/>
          <w:sz w:val="24"/>
          <w:u w:val="single"/>
        </w:rPr>
        <w:t xml:space="preserve"> </w:t>
      </w:r>
      <w:r w:rsidRPr="00F87E7D">
        <w:rPr>
          <w:sz w:val="24"/>
        </w:rPr>
        <w:t>HUD-424CB, HUD-2993 and HUD-2990 once at the application stage of processing.  .</w:t>
      </w:r>
    </w:p>
    <w:p w:rsidR="009F6A58" w:rsidRPr="00F87E7D" w:rsidRDefault="009F6A58" w:rsidP="009F6A58">
      <w:pPr>
        <w:rPr>
          <w:sz w:val="24"/>
        </w:rPr>
      </w:pPr>
    </w:p>
    <w:p w:rsidR="009F6A58" w:rsidRPr="00F87E7D" w:rsidRDefault="009F6A58" w:rsidP="009F6A58">
      <w:pPr>
        <w:rPr>
          <w:b/>
          <w:sz w:val="24"/>
          <w:u w:val="single"/>
        </w:rPr>
      </w:pPr>
      <w:r w:rsidRPr="00F87E7D">
        <w:rPr>
          <w:b/>
          <w:sz w:val="24"/>
          <w:u w:val="single"/>
        </w:rPr>
        <w:t>All remaining application materials and exhibits:</w:t>
      </w:r>
    </w:p>
    <w:p w:rsidR="009F6A58" w:rsidRPr="00F87E7D" w:rsidRDefault="009F6A58" w:rsidP="009F6A58">
      <w:pPr>
        <w:rPr>
          <w:b/>
          <w:sz w:val="24"/>
          <w:u w:val="single"/>
        </w:rPr>
      </w:pPr>
    </w:p>
    <w:p w:rsidR="009F6A58" w:rsidRPr="00F87E7D" w:rsidRDefault="009F6A58" w:rsidP="009F6A58">
      <w:pPr>
        <w:pStyle w:val="BodyText2"/>
        <w:rPr>
          <w:color w:val="auto"/>
        </w:rPr>
      </w:pPr>
      <w:r w:rsidRPr="00F87E7D">
        <w:rPr>
          <w:color w:val="auto"/>
        </w:rPr>
        <w:t>It is estimated that there will be approximately 20 respondents who will submit the remaining application materials once at the application stage of processing.</w:t>
      </w:r>
    </w:p>
    <w:p w:rsidR="009F6A58" w:rsidRPr="00F87E7D" w:rsidRDefault="009F6A58" w:rsidP="009F6A58">
      <w:pPr>
        <w:pStyle w:val="BodyText2"/>
        <w:rPr>
          <w:color w:val="auto"/>
        </w:rPr>
      </w:pPr>
    </w:p>
    <w:p w:rsidR="009F6A58" w:rsidRPr="00F87E7D" w:rsidRDefault="009F6A58" w:rsidP="009F6A58">
      <w:pPr>
        <w:pStyle w:val="BodyText2"/>
        <w:rPr>
          <w:b/>
          <w:color w:val="auto"/>
          <w:u w:val="single"/>
        </w:rPr>
      </w:pPr>
      <w:r w:rsidRPr="00F87E7D">
        <w:rPr>
          <w:b/>
          <w:color w:val="auto"/>
          <w:u w:val="single"/>
        </w:rPr>
        <w:t>Additional document submissions for grant recipients:</w:t>
      </w:r>
    </w:p>
    <w:p w:rsidR="009F6A58" w:rsidRPr="00F87E7D" w:rsidRDefault="009F6A58" w:rsidP="009F6A58">
      <w:pPr>
        <w:pStyle w:val="BodyText2"/>
        <w:rPr>
          <w:b/>
          <w:color w:val="auto"/>
          <w:u w:val="single"/>
        </w:rPr>
      </w:pPr>
    </w:p>
    <w:p w:rsidR="009F6A58" w:rsidRPr="00F87E7D" w:rsidRDefault="009F6A58" w:rsidP="009F6A58">
      <w:pPr>
        <w:pStyle w:val="BodyText2"/>
        <w:rPr>
          <w:color w:val="auto"/>
        </w:rPr>
      </w:pPr>
      <w:r w:rsidRPr="00F87E7D">
        <w:rPr>
          <w:color w:val="auto"/>
        </w:rPr>
        <w:t xml:space="preserve">An additional Letter of Intent will have to be submitted by approximately 5-7 applicants in order to finalize ranking of applications based on the number of grants HUD anticipates awarding due to the limited funding available for the pilot program. </w:t>
      </w:r>
    </w:p>
    <w:p w:rsidR="009F6A58" w:rsidRPr="00F87E7D" w:rsidRDefault="009F6A58" w:rsidP="009F6A58">
      <w:pPr>
        <w:rPr>
          <w:sz w:val="24"/>
        </w:rPr>
      </w:pPr>
    </w:p>
    <w:p w:rsidR="009F6A58" w:rsidRPr="00F87E7D" w:rsidRDefault="009F6A58" w:rsidP="009F6A58">
      <w:pPr>
        <w:pStyle w:val="BodyText"/>
        <w:rPr>
          <w:b/>
          <w:u w:val="single"/>
        </w:rPr>
      </w:pPr>
      <w:r w:rsidRPr="00F87E7D">
        <w:rPr>
          <w:b/>
          <w:u w:val="single"/>
        </w:rPr>
        <w:t>Reporting requirements:</w:t>
      </w:r>
    </w:p>
    <w:p w:rsidR="009F6A58" w:rsidRPr="00F87E7D" w:rsidRDefault="009F6A58" w:rsidP="009F6A58">
      <w:pPr>
        <w:pStyle w:val="BodyText"/>
        <w:rPr>
          <w:b/>
          <w:u w:val="single"/>
        </w:rPr>
      </w:pPr>
    </w:p>
    <w:p w:rsidR="00D260A8" w:rsidRPr="00F87E7D" w:rsidRDefault="009F6A58" w:rsidP="00D260A8">
      <w:pPr>
        <w:pStyle w:val="BodyText"/>
      </w:pPr>
      <w:r w:rsidRPr="00F87E7D">
        <w:t>The estimated number of respondents is 5-7 based on the number of grants HUD anticipates awarding due to the limited funding available for the pilot program</w:t>
      </w:r>
    </w:p>
    <w:p w:rsidR="00D260A8" w:rsidRPr="00F87E7D" w:rsidRDefault="00D260A8" w:rsidP="00D260A8">
      <w:pPr>
        <w:pStyle w:val="BodyText"/>
      </w:pPr>
    </w:p>
    <w:p w:rsidR="009F6A58" w:rsidRPr="00F87E7D" w:rsidRDefault="00D260A8" w:rsidP="00D260A8">
      <w:pPr>
        <w:pStyle w:val="BodyText"/>
        <w:numPr>
          <w:ilvl w:val="0"/>
          <w:numId w:val="33"/>
        </w:numPr>
        <w:ind w:left="360"/>
      </w:pPr>
      <w:r w:rsidRPr="00F87E7D">
        <w:t xml:space="preserve"> </w:t>
      </w:r>
      <w:r w:rsidR="009F6A58" w:rsidRPr="00F87E7D">
        <w:rPr>
          <w:u w:val="single"/>
        </w:rPr>
        <w:t>Provide estimates of annualized costs to the Federal government.</w:t>
      </w:r>
      <w:r w:rsidR="009F6A58" w:rsidRPr="00F87E7D">
        <w:t xml:space="preserve"> Costs are based on an hourly rate of $50.41, representing the pay rate of a GS-14, step-1.  There are no operational expenses.</w:t>
      </w:r>
    </w:p>
    <w:tbl>
      <w:tblPr>
        <w:tblW w:w="10635" w:type="dxa"/>
        <w:tblInd w:w="93" w:type="dxa"/>
        <w:tblLayout w:type="fixed"/>
        <w:tblLook w:val="04A0"/>
      </w:tblPr>
      <w:tblGrid>
        <w:gridCol w:w="1535"/>
        <w:gridCol w:w="1450"/>
        <w:gridCol w:w="1170"/>
        <w:gridCol w:w="1004"/>
        <w:gridCol w:w="1156"/>
        <w:gridCol w:w="900"/>
        <w:gridCol w:w="1260"/>
        <w:gridCol w:w="2160"/>
      </w:tblGrid>
      <w:tr w:rsidR="009F6A58" w:rsidRPr="00F87E7D" w:rsidTr="009F6A58">
        <w:trPr>
          <w:trHeight w:val="480"/>
        </w:trPr>
        <w:tc>
          <w:tcPr>
            <w:tcW w:w="153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Information Collection</w:t>
            </w:r>
          </w:p>
        </w:tc>
        <w:tc>
          <w:tcPr>
            <w:tcW w:w="14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Number of Respondents</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Frequency of Response</w:t>
            </w:r>
          </w:p>
        </w:tc>
        <w:tc>
          <w:tcPr>
            <w:tcW w:w="1004" w:type="dxa"/>
            <w:tcBorders>
              <w:top w:val="single" w:sz="8" w:space="0" w:color="auto"/>
              <w:left w:val="nil"/>
              <w:bottom w:val="nil"/>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Responses</w:t>
            </w:r>
          </w:p>
        </w:tc>
        <w:tc>
          <w:tcPr>
            <w:tcW w:w="11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Burden Hour Per Response</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Annual Burden Hours</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Hourly Cost Per Response</w:t>
            </w:r>
          </w:p>
        </w:tc>
        <w:tc>
          <w:tcPr>
            <w:tcW w:w="216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Annual Cost</w:t>
            </w:r>
          </w:p>
        </w:tc>
      </w:tr>
      <w:tr w:rsidR="009F6A58" w:rsidRPr="00F87E7D" w:rsidTr="009F6A58">
        <w:trPr>
          <w:trHeight w:val="315"/>
        </w:trPr>
        <w:tc>
          <w:tcPr>
            <w:tcW w:w="1535" w:type="dxa"/>
            <w:vMerge/>
            <w:tcBorders>
              <w:top w:val="single" w:sz="8" w:space="0" w:color="auto"/>
              <w:left w:val="single" w:sz="8" w:space="0" w:color="auto"/>
              <w:bottom w:val="single" w:sz="8" w:space="0" w:color="000000"/>
              <w:right w:val="single" w:sz="8" w:space="0" w:color="auto"/>
            </w:tcBorders>
            <w:vAlign w:val="center"/>
            <w:hideMark/>
          </w:tcPr>
          <w:p w:rsidR="009F6A58" w:rsidRPr="00F87E7D" w:rsidRDefault="009F6A58" w:rsidP="009F6A58">
            <w:pPr>
              <w:overflowPunct/>
              <w:autoSpaceDE/>
              <w:autoSpaceDN/>
              <w:adjustRightInd/>
              <w:textAlignment w:val="auto"/>
              <w:rPr>
                <w:rFonts w:ascii="Arial" w:hAnsi="Arial" w:cs="Arial"/>
                <w:b/>
                <w:bCs/>
                <w:sz w:val="18"/>
                <w:szCs w:val="18"/>
              </w:rPr>
            </w:pPr>
          </w:p>
        </w:tc>
        <w:tc>
          <w:tcPr>
            <w:tcW w:w="1450" w:type="dxa"/>
            <w:vMerge/>
            <w:tcBorders>
              <w:top w:val="single" w:sz="8" w:space="0" w:color="auto"/>
              <w:left w:val="single" w:sz="8" w:space="0" w:color="auto"/>
              <w:bottom w:val="single" w:sz="8" w:space="0" w:color="000000"/>
              <w:right w:val="single" w:sz="8" w:space="0" w:color="auto"/>
            </w:tcBorders>
            <w:vAlign w:val="center"/>
            <w:hideMark/>
          </w:tcPr>
          <w:p w:rsidR="009F6A58" w:rsidRPr="00F87E7D" w:rsidRDefault="009F6A58" w:rsidP="009F6A58">
            <w:pPr>
              <w:overflowPunct/>
              <w:autoSpaceDE/>
              <w:autoSpaceDN/>
              <w:adjustRightInd/>
              <w:textAlignment w:val="auto"/>
              <w:rPr>
                <w:rFonts w:ascii="Arial" w:hAnsi="Arial" w:cs="Arial"/>
                <w:b/>
                <w:bCs/>
                <w:sz w:val="18"/>
                <w:szCs w:val="18"/>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9F6A58" w:rsidRPr="00F87E7D" w:rsidRDefault="009F6A58" w:rsidP="009F6A58">
            <w:pPr>
              <w:overflowPunct/>
              <w:autoSpaceDE/>
              <w:autoSpaceDN/>
              <w:adjustRightInd/>
              <w:textAlignment w:val="auto"/>
              <w:rPr>
                <w:rFonts w:ascii="Arial" w:hAnsi="Arial" w:cs="Arial"/>
                <w:b/>
                <w:bCs/>
                <w:sz w:val="18"/>
                <w:szCs w:val="18"/>
              </w:rPr>
            </w:pP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rPr>
              <w:t>Per Annum</w:t>
            </w:r>
          </w:p>
        </w:tc>
        <w:tc>
          <w:tcPr>
            <w:tcW w:w="1156" w:type="dxa"/>
            <w:vMerge/>
            <w:tcBorders>
              <w:top w:val="single" w:sz="8" w:space="0" w:color="auto"/>
              <w:left w:val="single" w:sz="8" w:space="0" w:color="auto"/>
              <w:bottom w:val="single" w:sz="8" w:space="0" w:color="000000"/>
              <w:right w:val="single" w:sz="8" w:space="0" w:color="auto"/>
            </w:tcBorders>
            <w:vAlign w:val="center"/>
            <w:hideMark/>
          </w:tcPr>
          <w:p w:rsidR="009F6A58" w:rsidRPr="00F87E7D" w:rsidRDefault="009F6A58" w:rsidP="009F6A58">
            <w:pPr>
              <w:overflowPunct/>
              <w:autoSpaceDE/>
              <w:autoSpaceDN/>
              <w:adjustRightInd/>
              <w:textAlignment w:val="auto"/>
              <w:rPr>
                <w:rFonts w:ascii="Arial" w:hAnsi="Arial" w:cs="Arial"/>
                <w:b/>
                <w:bCs/>
                <w:sz w:val="18"/>
                <w:szCs w:val="18"/>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9F6A58" w:rsidRPr="00F87E7D" w:rsidRDefault="009F6A58" w:rsidP="009F6A58">
            <w:pPr>
              <w:overflowPunct/>
              <w:autoSpaceDE/>
              <w:autoSpaceDN/>
              <w:adjustRightInd/>
              <w:textAlignment w:val="auto"/>
              <w:rPr>
                <w:rFonts w:ascii="Arial" w:hAnsi="Arial" w:cs="Arial"/>
                <w:b/>
                <w:bCs/>
                <w:sz w:val="18"/>
                <w:szCs w:val="18"/>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9F6A58" w:rsidRPr="00F87E7D" w:rsidRDefault="009F6A58" w:rsidP="009F6A58">
            <w:pPr>
              <w:overflowPunct/>
              <w:autoSpaceDE/>
              <w:autoSpaceDN/>
              <w:adjustRightInd/>
              <w:textAlignment w:val="auto"/>
              <w:rPr>
                <w:rFonts w:ascii="Arial" w:hAnsi="Arial" w:cs="Arial"/>
                <w:b/>
                <w:bCs/>
                <w:sz w:val="18"/>
                <w:szCs w:val="18"/>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rsidR="009F6A58" w:rsidRPr="00F87E7D" w:rsidRDefault="009F6A58" w:rsidP="009F6A58">
            <w:pPr>
              <w:overflowPunct/>
              <w:autoSpaceDE/>
              <w:autoSpaceDN/>
              <w:adjustRightInd/>
              <w:textAlignment w:val="auto"/>
              <w:rPr>
                <w:rFonts w:ascii="Arial" w:hAnsi="Arial" w:cs="Arial"/>
                <w:b/>
                <w:bCs/>
                <w:sz w:val="18"/>
                <w:szCs w:val="18"/>
              </w:rPr>
            </w:pPr>
          </w:p>
        </w:tc>
      </w:tr>
      <w:tr w:rsidR="009F6A58" w:rsidRPr="00F87E7D" w:rsidTr="009F6A58">
        <w:trPr>
          <w:trHeight w:val="330"/>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szCs w:val="24"/>
              </w:rPr>
              <w:t>Abstract</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20</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5</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100</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252.05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5,041.00 </w:t>
            </w:r>
          </w:p>
        </w:tc>
      </w:tr>
      <w:tr w:rsidR="009F6A58" w:rsidRPr="00F87E7D" w:rsidTr="009F6A58">
        <w:trPr>
          <w:trHeight w:val="315"/>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szCs w:val="24"/>
              </w:rPr>
              <w:t>Document list</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20</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0.4</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8</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20.16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403.28 </w:t>
            </w:r>
          </w:p>
        </w:tc>
      </w:tr>
      <w:tr w:rsidR="009F6A58" w:rsidRPr="00F87E7D" w:rsidTr="009F6A58">
        <w:trPr>
          <w:trHeight w:val="330"/>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szCs w:val="24"/>
              </w:rPr>
              <w:t>SF424</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20</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2.5</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50</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126.03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2,520.50 </w:t>
            </w:r>
          </w:p>
        </w:tc>
      </w:tr>
      <w:tr w:rsidR="009F6A58" w:rsidRPr="00F87E7D" w:rsidTr="009F6A58">
        <w:trPr>
          <w:trHeight w:val="645"/>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szCs w:val="24"/>
              </w:rPr>
              <w:t>SF424 Supplement</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20</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0.1</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5.04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100.82 </w:t>
            </w:r>
          </w:p>
        </w:tc>
      </w:tr>
      <w:tr w:rsidR="009F6A58" w:rsidRPr="00F87E7D" w:rsidTr="009F6A58">
        <w:trPr>
          <w:trHeight w:val="330"/>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szCs w:val="24"/>
              </w:rPr>
              <w:t>SFLLL</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20</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0.1</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5.04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100.82 </w:t>
            </w:r>
          </w:p>
        </w:tc>
      </w:tr>
      <w:tr w:rsidR="009F6A58" w:rsidRPr="00F87E7D" w:rsidTr="009F6A58">
        <w:trPr>
          <w:trHeight w:val="330"/>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szCs w:val="24"/>
              </w:rPr>
              <w:t>HUD2880</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20</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0.2</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4</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10.08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201.64 </w:t>
            </w:r>
          </w:p>
        </w:tc>
      </w:tr>
      <w:tr w:rsidR="009F6A58" w:rsidRPr="00F87E7D" w:rsidTr="009F6A58">
        <w:trPr>
          <w:trHeight w:val="330"/>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szCs w:val="24"/>
              </w:rPr>
              <w:t>HUD424CB</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27</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27</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4</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108</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201.64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5,444.28 </w:t>
            </w:r>
          </w:p>
        </w:tc>
      </w:tr>
      <w:tr w:rsidR="009F6A58" w:rsidRPr="00F87E7D" w:rsidTr="009F6A58">
        <w:trPr>
          <w:trHeight w:val="645"/>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szCs w:val="24"/>
              </w:rPr>
              <w:t>Sources and Uses</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20</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2.5</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50</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126.03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2,520.50 </w:t>
            </w:r>
          </w:p>
        </w:tc>
      </w:tr>
      <w:tr w:rsidR="009F6A58" w:rsidRPr="00F87E7D" w:rsidTr="009F6A58">
        <w:trPr>
          <w:trHeight w:val="330"/>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szCs w:val="24"/>
              </w:rPr>
              <w:t>HUD2993_</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20</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0.1</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5.04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100.82 </w:t>
            </w:r>
          </w:p>
        </w:tc>
      </w:tr>
      <w:tr w:rsidR="009F6A58" w:rsidRPr="00F87E7D" w:rsidTr="009F6A58">
        <w:trPr>
          <w:trHeight w:val="645"/>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szCs w:val="24"/>
              </w:rPr>
              <w:t>Letters of Intent</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27</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27</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10</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270</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504.10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13,610.70 </w:t>
            </w:r>
          </w:p>
        </w:tc>
      </w:tr>
      <w:tr w:rsidR="009F6A58" w:rsidRPr="00F87E7D" w:rsidTr="009F6A58">
        <w:trPr>
          <w:trHeight w:val="330"/>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szCs w:val="24"/>
              </w:rPr>
              <w:t>501c3 letter</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20</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0.1</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5.04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100.82 </w:t>
            </w:r>
          </w:p>
        </w:tc>
      </w:tr>
      <w:tr w:rsidR="009F6A58" w:rsidRPr="00F87E7D" w:rsidTr="009F6A58">
        <w:trPr>
          <w:trHeight w:val="645"/>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szCs w:val="24"/>
              </w:rPr>
              <w:t>consortium agreement</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20</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0.2</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4</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10.08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201.64 </w:t>
            </w:r>
          </w:p>
        </w:tc>
      </w:tr>
      <w:tr w:rsidR="009F6A58" w:rsidRPr="00F87E7D" w:rsidTr="009F6A58">
        <w:trPr>
          <w:trHeight w:val="645"/>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szCs w:val="24"/>
              </w:rPr>
              <w:t>Narrative response</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27</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27</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15</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405</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756.15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20,416.05 </w:t>
            </w:r>
          </w:p>
        </w:tc>
      </w:tr>
      <w:tr w:rsidR="009F6A58" w:rsidRPr="00F87E7D" w:rsidTr="009F6A58">
        <w:trPr>
          <w:trHeight w:val="330"/>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szCs w:val="24"/>
              </w:rPr>
              <w:t>Work Plan</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27</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27</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15</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405</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756.15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20,416.05 </w:t>
            </w:r>
          </w:p>
        </w:tc>
      </w:tr>
      <w:tr w:rsidR="009F6A58" w:rsidRPr="00F87E7D" w:rsidTr="009F6A58">
        <w:trPr>
          <w:trHeight w:val="645"/>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szCs w:val="24"/>
              </w:rPr>
              <w:t>Fair Housing Requirements</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20</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10</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200</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504.10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10,082.00 </w:t>
            </w:r>
          </w:p>
        </w:tc>
      </w:tr>
      <w:tr w:rsidR="009F6A58" w:rsidRPr="00F87E7D" w:rsidTr="009F6A58">
        <w:trPr>
          <w:trHeight w:val="330"/>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szCs w:val="24"/>
              </w:rPr>
              <w:t>HUD2991</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20</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20</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0.4</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8</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20.16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403.28 </w:t>
            </w:r>
          </w:p>
        </w:tc>
      </w:tr>
      <w:tr w:rsidR="009F6A58" w:rsidRPr="00F87E7D" w:rsidTr="009F6A58">
        <w:trPr>
          <w:trHeight w:val="630"/>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rPr>
              <w:t>Cooperative Agreement</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7</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7</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14</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100.82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705.74 </w:t>
            </w:r>
          </w:p>
        </w:tc>
      </w:tr>
      <w:tr w:rsidR="009F6A58" w:rsidRPr="00F87E7D" w:rsidTr="009F6A58">
        <w:trPr>
          <w:trHeight w:val="645"/>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rPr>
              <w:t>Monthly reports</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7</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12</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84</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4</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336</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201.64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16,937.76 </w:t>
            </w:r>
          </w:p>
        </w:tc>
      </w:tr>
      <w:tr w:rsidR="009F6A58" w:rsidRPr="00F87E7D" w:rsidTr="009F6A58">
        <w:trPr>
          <w:trHeight w:val="645"/>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rPr>
              <w:t>Quarterly reports</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7</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4</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28</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15</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420</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756.15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21,172.20 </w:t>
            </w:r>
          </w:p>
        </w:tc>
      </w:tr>
      <w:tr w:rsidR="009F6A58" w:rsidRPr="00F87E7D" w:rsidTr="009F6A58">
        <w:trPr>
          <w:trHeight w:val="330"/>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rPr>
              <w:t>Final report</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7</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7</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15</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105</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756.15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5,293.05 </w:t>
            </w:r>
          </w:p>
        </w:tc>
      </w:tr>
      <w:tr w:rsidR="009F6A58" w:rsidRPr="00F87E7D" w:rsidTr="009F6A58">
        <w:trPr>
          <w:trHeight w:val="645"/>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sz w:val="24"/>
                <w:szCs w:val="24"/>
              </w:rPr>
            </w:pPr>
            <w:r w:rsidRPr="00F87E7D">
              <w:rPr>
                <w:sz w:val="24"/>
                <w:szCs w:val="24"/>
              </w:rPr>
              <w:t>Section 3 reporting</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7</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4</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right"/>
              <w:textAlignment w:val="auto"/>
              <w:rPr>
                <w:rFonts w:ascii="Arial" w:hAnsi="Arial" w:cs="Arial"/>
                <w:sz w:val="18"/>
                <w:szCs w:val="18"/>
              </w:rPr>
            </w:pPr>
            <w:r w:rsidRPr="00F87E7D">
              <w:rPr>
                <w:rFonts w:ascii="Arial" w:hAnsi="Arial" w:cs="Arial"/>
                <w:sz w:val="18"/>
                <w:szCs w:val="18"/>
              </w:rPr>
              <w:t>28</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10</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sz w:val="18"/>
                <w:szCs w:val="18"/>
              </w:rPr>
            </w:pPr>
            <w:r w:rsidRPr="00F87E7D">
              <w:rPr>
                <w:rFonts w:ascii="Arial" w:hAnsi="Arial" w:cs="Arial"/>
                <w:sz w:val="18"/>
                <w:szCs w:val="18"/>
              </w:rPr>
              <w:t>280</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sz w:val="18"/>
                <w:szCs w:val="18"/>
              </w:rPr>
            </w:pPr>
            <w:r w:rsidRPr="00F87E7D">
              <w:rPr>
                <w:rFonts w:ascii="Arial" w:hAnsi="Arial" w:cs="Arial"/>
                <w:sz w:val="18"/>
                <w:szCs w:val="18"/>
              </w:rPr>
              <w:t xml:space="preserve"> $    504.10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right"/>
              <w:rPr>
                <w:rFonts w:ascii="Arial" w:hAnsi="Arial" w:cs="Arial"/>
                <w:sz w:val="18"/>
                <w:szCs w:val="18"/>
              </w:rPr>
            </w:pPr>
            <w:r w:rsidRPr="00F87E7D">
              <w:rPr>
                <w:rFonts w:ascii="Arial" w:hAnsi="Arial" w:cs="Arial"/>
                <w:sz w:val="18"/>
                <w:szCs w:val="18"/>
              </w:rPr>
              <w:t xml:space="preserve"> $      14,114.80 </w:t>
            </w:r>
          </w:p>
        </w:tc>
      </w:tr>
      <w:tr w:rsidR="009F6A58" w:rsidRPr="00F87E7D" w:rsidTr="009F6A58">
        <w:trPr>
          <w:trHeight w:val="315"/>
        </w:trPr>
        <w:tc>
          <w:tcPr>
            <w:tcW w:w="1535" w:type="dxa"/>
            <w:tcBorders>
              <w:top w:val="nil"/>
              <w:left w:val="single" w:sz="8" w:space="0" w:color="auto"/>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textAlignment w:val="auto"/>
              <w:rPr>
                <w:rFonts w:ascii="Arial" w:hAnsi="Arial" w:cs="Arial"/>
                <w:b/>
                <w:bCs/>
                <w:sz w:val="18"/>
                <w:szCs w:val="18"/>
              </w:rPr>
            </w:pPr>
            <w:r w:rsidRPr="00F87E7D">
              <w:rPr>
                <w:rFonts w:ascii="Arial" w:hAnsi="Arial" w:cs="Arial"/>
                <w:b/>
                <w:bCs/>
                <w:sz w:val="18"/>
              </w:rPr>
              <w:t xml:space="preserve">   Totals</w:t>
            </w:r>
          </w:p>
        </w:tc>
        <w:tc>
          <w:tcPr>
            <w:tcW w:w="145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szCs w:val="18"/>
              </w:rPr>
              <w:t>383</w:t>
            </w:r>
          </w:p>
        </w:tc>
        <w:tc>
          <w:tcPr>
            <w:tcW w:w="117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szCs w:val="18"/>
              </w:rPr>
              <w:t>38</w:t>
            </w:r>
          </w:p>
        </w:tc>
        <w:tc>
          <w:tcPr>
            <w:tcW w:w="1004"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szCs w:val="18"/>
              </w:rPr>
              <w:t>502</w:t>
            </w:r>
          </w:p>
        </w:tc>
        <w:tc>
          <w:tcPr>
            <w:tcW w:w="1156"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szCs w:val="18"/>
              </w:rPr>
              <w:t>111.6</w:t>
            </w:r>
          </w:p>
        </w:tc>
        <w:tc>
          <w:tcPr>
            <w:tcW w:w="90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szCs w:val="18"/>
              </w:rPr>
              <w:t>2775</w:t>
            </w:r>
          </w:p>
        </w:tc>
        <w:tc>
          <w:tcPr>
            <w:tcW w:w="1260" w:type="dxa"/>
            <w:tcBorders>
              <w:top w:val="nil"/>
              <w:left w:val="nil"/>
              <w:bottom w:val="single" w:sz="8" w:space="0" w:color="auto"/>
              <w:right w:val="single" w:sz="8" w:space="0" w:color="auto"/>
            </w:tcBorders>
            <w:shd w:val="clear" w:color="auto" w:fill="auto"/>
            <w:hideMark/>
          </w:tcPr>
          <w:p w:rsidR="009F6A58" w:rsidRPr="00F87E7D" w:rsidRDefault="009F6A58" w:rsidP="009F6A58">
            <w:pPr>
              <w:overflowPunct/>
              <w:autoSpaceDE/>
              <w:autoSpaceDN/>
              <w:adjustRightInd/>
              <w:jc w:val="center"/>
              <w:textAlignment w:val="auto"/>
              <w:rPr>
                <w:rFonts w:ascii="Arial" w:hAnsi="Arial" w:cs="Arial"/>
                <w:b/>
                <w:bCs/>
                <w:sz w:val="18"/>
                <w:szCs w:val="18"/>
              </w:rPr>
            </w:pPr>
            <w:r w:rsidRPr="00F87E7D">
              <w:rPr>
                <w:rFonts w:ascii="Arial" w:hAnsi="Arial" w:cs="Arial"/>
                <w:b/>
                <w:bCs/>
                <w:sz w:val="18"/>
                <w:szCs w:val="18"/>
              </w:rPr>
              <w:t xml:space="preserve"> $5,625.76 </w:t>
            </w:r>
          </w:p>
        </w:tc>
        <w:tc>
          <w:tcPr>
            <w:tcW w:w="2160" w:type="dxa"/>
            <w:tcBorders>
              <w:top w:val="nil"/>
              <w:left w:val="nil"/>
              <w:bottom w:val="single" w:sz="8" w:space="0" w:color="auto"/>
              <w:right w:val="single" w:sz="8" w:space="0" w:color="auto"/>
            </w:tcBorders>
            <w:shd w:val="clear" w:color="auto" w:fill="auto"/>
            <w:hideMark/>
          </w:tcPr>
          <w:p w:rsidR="009F6A58" w:rsidRPr="00F87E7D" w:rsidRDefault="009F6A58" w:rsidP="009F6A58">
            <w:pPr>
              <w:jc w:val="center"/>
              <w:rPr>
                <w:rFonts w:ascii="Arial" w:hAnsi="Arial" w:cs="Arial"/>
                <w:b/>
                <w:bCs/>
                <w:sz w:val="18"/>
                <w:szCs w:val="18"/>
              </w:rPr>
            </w:pPr>
            <w:r w:rsidRPr="00F87E7D">
              <w:rPr>
                <w:rFonts w:ascii="Arial" w:hAnsi="Arial" w:cs="Arial"/>
                <w:b/>
                <w:bCs/>
                <w:sz w:val="18"/>
                <w:szCs w:val="18"/>
              </w:rPr>
              <w:t xml:space="preserve"> $    139,887.75 </w:t>
            </w:r>
          </w:p>
        </w:tc>
      </w:tr>
    </w:tbl>
    <w:p w:rsidR="00E40B42" w:rsidRPr="00342D73" w:rsidRDefault="00E40B42" w:rsidP="00E40B42">
      <w:pPr>
        <w:rPr>
          <w:sz w:val="24"/>
        </w:rPr>
      </w:pPr>
    </w:p>
    <w:p w:rsidR="000442EF" w:rsidRPr="00342D73" w:rsidRDefault="005C27BB" w:rsidP="005C27BB">
      <w:pPr>
        <w:rPr>
          <w:sz w:val="24"/>
          <w:szCs w:val="24"/>
        </w:rPr>
      </w:pPr>
      <w:r w:rsidRPr="00342D73">
        <w:rPr>
          <w:sz w:val="24"/>
          <w:szCs w:val="24"/>
        </w:rPr>
        <w:t>15</w:t>
      </w:r>
      <w:r w:rsidR="006148D4" w:rsidRPr="00342D73">
        <w:rPr>
          <w:sz w:val="24"/>
          <w:szCs w:val="24"/>
        </w:rPr>
        <w:t xml:space="preserve"> </w:t>
      </w:r>
      <w:r w:rsidR="006148D4" w:rsidRPr="00342D73">
        <w:rPr>
          <w:sz w:val="24"/>
          <w:szCs w:val="24"/>
          <w:u w:val="single"/>
        </w:rPr>
        <w:t>Explain the reasons for any program changes or adjustments reported in Items 13 or 14 of the OMB Form 83</w:t>
      </w:r>
      <w:r w:rsidR="006148D4" w:rsidRPr="00342D73">
        <w:rPr>
          <w:sz w:val="24"/>
          <w:szCs w:val="24"/>
          <w:u w:val="single"/>
        </w:rPr>
        <w:noBreakHyphen/>
        <w:t>I</w:t>
      </w:r>
      <w:r w:rsidR="00C74A44" w:rsidRPr="00342D73">
        <w:rPr>
          <w:sz w:val="24"/>
          <w:szCs w:val="24"/>
          <w:u w:val="single"/>
        </w:rPr>
        <w:t>.</w:t>
      </w:r>
      <w:r w:rsidR="006148D4" w:rsidRPr="00342D73">
        <w:rPr>
          <w:sz w:val="24"/>
          <w:szCs w:val="24"/>
        </w:rPr>
        <w:t xml:space="preserve">   </w:t>
      </w:r>
      <w:r w:rsidR="00EF632C" w:rsidRPr="00342D73">
        <w:rPr>
          <w:sz w:val="24"/>
          <w:szCs w:val="24"/>
        </w:rPr>
        <w:t>This is a new collection.</w:t>
      </w:r>
    </w:p>
    <w:p w:rsidR="002D636B" w:rsidRPr="00342D73" w:rsidRDefault="005C27BB" w:rsidP="005C27BB">
      <w:pPr>
        <w:rPr>
          <w:sz w:val="24"/>
          <w:szCs w:val="24"/>
        </w:rPr>
      </w:pPr>
      <w:proofErr w:type="gramStart"/>
      <w:r w:rsidRPr="00342D73">
        <w:rPr>
          <w:sz w:val="24"/>
          <w:szCs w:val="24"/>
        </w:rPr>
        <w:t xml:space="preserve">16  </w:t>
      </w:r>
      <w:r w:rsidR="006148D4" w:rsidRPr="00342D73">
        <w:rPr>
          <w:sz w:val="24"/>
          <w:szCs w:val="24"/>
          <w:u w:val="single"/>
        </w:rPr>
        <w:t>For</w:t>
      </w:r>
      <w:proofErr w:type="gramEnd"/>
      <w:r w:rsidR="006148D4" w:rsidRPr="00342D73">
        <w:rPr>
          <w:sz w:val="24"/>
          <w:szCs w:val="24"/>
          <w:u w:val="single"/>
        </w:rPr>
        <w:t xml:space="preserve"> collections of information whose results will be published, outline plans for tabulation and publication</w:t>
      </w:r>
      <w:r w:rsidR="00C74A44" w:rsidRPr="00342D73">
        <w:rPr>
          <w:sz w:val="24"/>
          <w:szCs w:val="24"/>
          <w:u w:val="single"/>
        </w:rPr>
        <w:t>.</w:t>
      </w:r>
      <w:r w:rsidR="006148D4" w:rsidRPr="00342D73">
        <w:rPr>
          <w:sz w:val="24"/>
          <w:szCs w:val="24"/>
        </w:rPr>
        <w:t xml:space="preserve"> </w:t>
      </w:r>
      <w:r w:rsidR="000442EF" w:rsidRPr="00342D73">
        <w:rPr>
          <w:sz w:val="24"/>
          <w:szCs w:val="24"/>
        </w:rPr>
        <w:t xml:space="preserve">The results of this collection </w:t>
      </w:r>
      <w:r w:rsidR="002D636B" w:rsidRPr="00342D73">
        <w:rPr>
          <w:sz w:val="24"/>
          <w:szCs w:val="24"/>
        </w:rPr>
        <w:t>may</w:t>
      </w:r>
      <w:r w:rsidR="000442EF" w:rsidRPr="00342D73">
        <w:rPr>
          <w:sz w:val="24"/>
          <w:szCs w:val="24"/>
        </w:rPr>
        <w:t xml:space="preserve"> be published</w:t>
      </w:r>
      <w:r w:rsidR="00EF632C" w:rsidRPr="00342D73">
        <w:rPr>
          <w:sz w:val="24"/>
          <w:szCs w:val="24"/>
        </w:rPr>
        <w:t xml:space="preserve"> </w:t>
      </w:r>
      <w:r w:rsidR="002D636B" w:rsidRPr="00342D73">
        <w:rPr>
          <w:sz w:val="24"/>
          <w:szCs w:val="24"/>
        </w:rPr>
        <w:t>if it is determined that data on the costs, benefits, challenges, and opportunities associated with retrofitting such properties will be useful to others and approaches for retrofitting such properties can be scaled up, applied more widely and adopted by other parties.</w:t>
      </w:r>
    </w:p>
    <w:p w:rsidR="000442EF" w:rsidRPr="00342D73" w:rsidRDefault="005C27BB" w:rsidP="005C27BB">
      <w:pPr>
        <w:rPr>
          <w:sz w:val="24"/>
          <w:szCs w:val="24"/>
        </w:rPr>
      </w:pPr>
      <w:proofErr w:type="gramStart"/>
      <w:r w:rsidRPr="00342D73">
        <w:rPr>
          <w:sz w:val="24"/>
          <w:szCs w:val="24"/>
        </w:rPr>
        <w:t xml:space="preserve">17  </w:t>
      </w:r>
      <w:r w:rsidR="006148D4" w:rsidRPr="00342D73">
        <w:rPr>
          <w:sz w:val="24"/>
          <w:szCs w:val="24"/>
          <w:u w:val="single"/>
        </w:rPr>
        <w:t>If</w:t>
      </w:r>
      <w:proofErr w:type="gramEnd"/>
      <w:r w:rsidR="006148D4" w:rsidRPr="00342D73">
        <w:rPr>
          <w:sz w:val="24"/>
          <w:szCs w:val="24"/>
          <w:u w:val="single"/>
        </w:rPr>
        <w:t xml:space="preserve"> seeking approval to not display the expiration date for OMB approval of the information collection, explain the reasons that display would be inappropriate</w:t>
      </w:r>
      <w:r w:rsidR="00C74A44" w:rsidRPr="00342D73">
        <w:rPr>
          <w:sz w:val="24"/>
          <w:szCs w:val="24"/>
          <w:u w:val="single"/>
        </w:rPr>
        <w:t>.</w:t>
      </w:r>
      <w:r w:rsidR="006148D4" w:rsidRPr="00342D73">
        <w:rPr>
          <w:sz w:val="24"/>
          <w:szCs w:val="24"/>
        </w:rPr>
        <w:t xml:space="preserve"> </w:t>
      </w:r>
      <w:r w:rsidR="000442EF" w:rsidRPr="00342D73">
        <w:rPr>
          <w:sz w:val="24"/>
          <w:szCs w:val="24"/>
        </w:rPr>
        <w:t>The OMB expiration dates will be displayed on the appropriate forms.</w:t>
      </w:r>
    </w:p>
    <w:p w:rsidR="000442EF" w:rsidRPr="00342D73" w:rsidRDefault="005C27BB" w:rsidP="005C27BB">
      <w:pPr>
        <w:rPr>
          <w:sz w:val="24"/>
          <w:szCs w:val="24"/>
        </w:rPr>
      </w:pPr>
      <w:proofErr w:type="gramStart"/>
      <w:r w:rsidRPr="00342D73">
        <w:rPr>
          <w:sz w:val="24"/>
          <w:szCs w:val="24"/>
        </w:rPr>
        <w:t xml:space="preserve">18  </w:t>
      </w:r>
      <w:r w:rsidR="006148D4" w:rsidRPr="00342D73">
        <w:rPr>
          <w:sz w:val="24"/>
          <w:szCs w:val="24"/>
          <w:u w:val="single"/>
        </w:rPr>
        <w:t>Explain</w:t>
      </w:r>
      <w:proofErr w:type="gramEnd"/>
      <w:r w:rsidR="006148D4" w:rsidRPr="00342D73">
        <w:rPr>
          <w:sz w:val="24"/>
          <w:szCs w:val="24"/>
          <w:u w:val="single"/>
        </w:rPr>
        <w:t xml:space="preserve"> each exception to the certification statement identified in Item 19, "Certification for Paperwork Reduction Act Submissions," of OMB Form 83-I</w:t>
      </w:r>
      <w:r w:rsidR="00C74A44" w:rsidRPr="00342D73">
        <w:rPr>
          <w:sz w:val="24"/>
          <w:szCs w:val="24"/>
          <w:u w:val="single"/>
        </w:rPr>
        <w:t>.</w:t>
      </w:r>
      <w:r w:rsidR="00C74A44" w:rsidRPr="00342D73">
        <w:rPr>
          <w:sz w:val="24"/>
          <w:szCs w:val="24"/>
        </w:rPr>
        <w:t xml:space="preserve">  </w:t>
      </w:r>
      <w:r w:rsidR="006148D4" w:rsidRPr="00342D73">
        <w:rPr>
          <w:sz w:val="24"/>
          <w:szCs w:val="24"/>
        </w:rPr>
        <w:t xml:space="preserve"> </w:t>
      </w:r>
      <w:r w:rsidR="000442EF" w:rsidRPr="00342D73">
        <w:rPr>
          <w:sz w:val="24"/>
          <w:szCs w:val="24"/>
        </w:rPr>
        <w:t>There are no exceptions to the Certification Statement identified in item 19 of the OMB 83-I.</w:t>
      </w:r>
    </w:p>
    <w:p w:rsidR="00D76A46" w:rsidRPr="00342D73" w:rsidRDefault="00D76A46" w:rsidP="00D76A46">
      <w:pPr>
        <w:ind w:left="360"/>
        <w:rPr>
          <w:sz w:val="24"/>
          <w:szCs w:val="24"/>
        </w:rPr>
      </w:pPr>
    </w:p>
    <w:p w:rsidR="000442EF" w:rsidRPr="00342D73" w:rsidRDefault="000442EF">
      <w:pPr>
        <w:numPr>
          <w:ilvl w:val="0"/>
          <w:numId w:val="29"/>
        </w:numPr>
        <w:rPr>
          <w:b/>
          <w:sz w:val="24"/>
          <w:u w:val="single"/>
        </w:rPr>
      </w:pPr>
      <w:r w:rsidRPr="00342D73">
        <w:rPr>
          <w:b/>
          <w:sz w:val="24"/>
          <w:szCs w:val="24"/>
          <w:u w:val="single"/>
        </w:rPr>
        <w:t>Collection of Information Employing Statistical Methods</w:t>
      </w:r>
      <w:r w:rsidRPr="00342D73">
        <w:rPr>
          <w:b/>
          <w:sz w:val="24"/>
          <w:u w:val="single"/>
        </w:rPr>
        <w:t>.</w:t>
      </w:r>
    </w:p>
    <w:p w:rsidR="000442EF" w:rsidRPr="00342D73" w:rsidRDefault="000442EF">
      <w:pPr>
        <w:rPr>
          <w:b/>
          <w:sz w:val="24"/>
          <w:u w:val="single"/>
        </w:rPr>
      </w:pPr>
    </w:p>
    <w:p w:rsidR="000442EF" w:rsidRPr="00342D73" w:rsidRDefault="000442EF">
      <w:pPr>
        <w:ind w:firstLine="360"/>
        <w:rPr>
          <w:b/>
        </w:rPr>
      </w:pPr>
      <w:r w:rsidRPr="00342D73">
        <w:rPr>
          <w:sz w:val="24"/>
        </w:rPr>
        <w:t>This collection of information does not employ statistical methods.</w:t>
      </w:r>
    </w:p>
    <w:p w:rsidR="000442EF" w:rsidRPr="00342D73" w:rsidRDefault="000442EF">
      <w:pPr>
        <w:rPr>
          <w:sz w:val="24"/>
        </w:rPr>
      </w:pPr>
    </w:p>
    <w:sectPr w:rsidR="000442EF" w:rsidRPr="00342D73" w:rsidSect="00621B38">
      <w:footerReference w:type="default" r:id="rId8"/>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A58" w:rsidRDefault="009F6A58">
      <w:r>
        <w:separator/>
      </w:r>
    </w:p>
  </w:endnote>
  <w:endnote w:type="continuationSeparator" w:id="0">
    <w:p w:rsidR="009F6A58" w:rsidRDefault="009F6A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A00002EF" w:usb1="40002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A58" w:rsidRDefault="00216FC8">
    <w:pPr>
      <w:pStyle w:val="Footer"/>
      <w:framePr w:wrap="around" w:vAnchor="text" w:hAnchor="margin" w:xAlign="center" w:y="1"/>
      <w:rPr>
        <w:rStyle w:val="PageNumber"/>
      </w:rPr>
    </w:pPr>
    <w:r>
      <w:rPr>
        <w:rStyle w:val="PageNumber"/>
      </w:rPr>
      <w:fldChar w:fldCharType="begin"/>
    </w:r>
    <w:r w:rsidR="009F6A58">
      <w:rPr>
        <w:rStyle w:val="PageNumber"/>
      </w:rPr>
      <w:instrText xml:space="preserve">PAGE  </w:instrText>
    </w:r>
    <w:r>
      <w:rPr>
        <w:rStyle w:val="PageNumber"/>
      </w:rPr>
      <w:fldChar w:fldCharType="separate"/>
    </w:r>
    <w:r w:rsidR="00D01019">
      <w:rPr>
        <w:rStyle w:val="PageNumber"/>
        <w:noProof/>
      </w:rPr>
      <w:t>2</w:t>
    </w:r>
    <w:r>
      <w:rPr>
        <w:rStyle w:val="PageNumber"/>
      </w:rPr>
      <w:fldChar w:fldCharType="end"/>
    </w:r>
  </w:p>
  <w:p w:rsidR="009F6A58" w:rsidRDefault="009F6A58" w:rsidP="00272EF9">
    <w:pPr>
      <w:pStyle w:val="Footer"/>
      <w:pBdr>
        <w:top w:val="single" w:sz="6" w:space="1" w:color="auto"/>
      </w:pBdr>
      <w:tabs>
        <w:tab w:val="clear" w:pos="4320"/>
        <w:tab w:val="clear" w:pos="8640"/>
        <w:tab w:val="right" w:pos="10920"/>
      </w:tabs>
      <w:ind w:left="-120" w:right="-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A58" w:rsidRDefault="009F6A58">
      <w:r>
        <w:separator/>
      </w:r>
    </w:p>
  </w:footnote>
  <w:footnote w:type="continuationSeparator" w:id="0">
    <w:p w:rsidR="009F6A58" w:rsidRDefault="009F6A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1A9369E"/>
    <w:multiLevelType w:val="singleLevel"/>
    <w:tmpl w:val="02CEFF04"/>
    <w:lvl w:ilvl="0">
      <w:start w:val="4"/>
      <w:numFmt w:val="decimal"/>
      <w:lvlText w:val="%1. "/>
      <w:legacy w:legacy="1" w:legacySpace="0" w:legacyIndent="360"/>
      <w:lvlJc w:val="left"/>
      <w:pPr>
        <w:ind w:left="360" w:hanging="360"/>
      </w:pPr>
      <w:rPr>
        <w:b w:val="0"/>
        <w:i w:val="0"/>
        <w:sz w:val="24"/>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A881166"/>
    <w:multiLevelType w:val="singleLevel"/>
    <w:tmpl w:val="54B4D5EC"/>
    <w:lvl w:ilvl="0">
      <w:start w:val="1"/>
      <w:numFmt w:val="lowerLetter"/>
      <w:lvlText w:val="%1."/>
      <w:legacy w:legacy="1" w:legacySpace="120" w:legacyIndent="360"/>
      <w:lvlJc w:val="left"/>
      <w:pPr>
        <w:ind w:left="1080" w:hanging="360"/>
      </w:pPr>
    </w:lvl>
  </w:abstractNum>
  <w:abstractNum w:abstractNumId="5">
    <w:nsid w:val="1DC30924"/>
    <w:multiLevelType w:val="singleLevel"/>
    <w:tmpl w:val="BFD4C45C"/>
    <w:lvl w:ilvl="0">
      <w:start w:val="13"/>
      <w:numFmt w:val="decimal"/>
      <w:lvlText w:val="%1. "/>
      <w:legacy w:legacy="1" w:legacySpace="0" w:legacyIndent="360"/>
      <w:lvlJc w:val="left"/>
      <w:pPr>
        <w:ind w:left="360" w:hanging="360"/>
      </w:pPr>
      <w:rPr>
        <w:b w:val="0"/>
        <w:i w:val="0"/>
        <w:sz w:val="24"/>
      </w:rPr>
    </w:lvl>
  </w:abstractNum>
  <w:abstractNum w:abstractNumId="6">
    <w:nsid w:val="22E55A4E"/>
    <w:multiLevelType w:val="singleLevel"/>
    <w:tmpl w:val="6C1C0BF0"/>
    <w:lvl w:ilvl="0">
      <w:start w:val="16"/>
      <w:numFmt w:val="decimal"/>
      <w:lvlText w:val="%1. "/>
      <w:legacy w:legacy="1" w:legacySpace="0" w:legacyIndent="360"/>
      <w:lvlJc w:val="left"/>
      <w:pPr>
        <w:ind w:left="360" w:hanging="360"/>
      </w:pPr>
      <w:rPr>
        <w:b w:val="0"/>
        <w:i w:val="0"/>
        <w:sz w:val="24"/>
      </w:rPr>
    </w:lvl>
  </w:abstractNum>
  <w:abstractNum w:abstractNumId="7">
    <w:nsid w:val="273733B4"/>
    <w:multiLevelType w:val="singleLevel"/>
    <w:tmpl w:val="78002294"/>
    <w:lvl w:ilvl="0">
      <w:start w:val="6"/>
      <w:numFmt w:val="decimal"/>
      <w:lvlText w:val="%1. "/>
      <w:legacy w:legacy="1" w:legacySpace="0" w:legacyIndent="360"/>
      <w:lvlJc w:val="left"/>
      <w:pPr>
        <w:ind w:left="360" w:hanging="360"/>
      </w:pPr>
      <w:rPr>
        <w:b w:val="0"/>
        <w:i w:val="0"/>
        <w:sz w:val="24"/>
      </w:rPr>
    </w:lvl>
  </w:abstractNum>
  <w:abstractNum w:abstractNumId="8">
    <w:nsid w:val="2E6A491E"/>
    <w:multiLevelType w:val="singleLevel"/>
    <w:tmpl w:val="8CB0C730"/>
    <w:lvl w:ilvl="0">
      <w:start w:val="1"/>
      <w:numFmt w:val="lowerLetter"/>
      <w:lvlText w:val="%1."/>
      <w:legacy w:legacy="1" w:legacySpace="120" w:legacyIndent="360"/>
      <w:lvlJc w:val="left"/>
      <w:pPr>
        <w:ind w:left="1080" w:hanging="360"/>
      </w:pPr>
    </w:lvl>
  </w:abstractNum>
  <w:abstractNum w:abstractNumId="9">
    <w:nsid w:val="32024277"/>
    <w:multiLevelType w:val="singleLevel"/>
    <w:tmpl w:val="15F48188"/>
    <w:lvl w:ilvl="0">
      <w:start w:val="11"/>
      <w:numFmt w:val="decimal"/>
      <w:lvlText w:val="%1. "/>
      <w:legacy w:legacy="1" w:legacySpace="0" w:legacyIndent="360"/>
      <w:lvlJc w:val="left"/>
      <w:pPr>
        <w:ind w:left="360" w:hanging="360"/>
      </w:pPr>
      <w:rPr>
        <w:b w:val="0"/>
        <w:i w:val="0"/>
        <w:sz w:val="24"/>
      </w:rPr>
    </w:lvl>
  </w:abstractNum>
  <w:abstractNum w:abstractNumId="10">
    <w:nsid w:val="37FC7C35"/>
    <w:multiLevelType w:val="singleLevel"/>
    <w:tmpl w:val="9C62FACA"/>
    <w:lvl w:ilvl="0">
      <w:start w:val="14"/>
      <w:numFmt w:val="decimal"/>
      <w:lvlText w:val="%1. "/>
      <w:legacy w:legacy="1" w:legacySpace="0" w:legacyIndent="360"/>
      <w:lvlJc w:val="left"/>
      <w:pPr>
        <w:ind w:left="360" w:hanging="360"/>
      </w:pPr>
      <w:rPr>
        <w:b w:val="0"/>
        <w:i w:val="0"/>
        <w:sz w:val="24"/>
      </w:rPr>
    </w:lvl>
  </w:abstractNum>
  <w:abstractNum w:abstractNumId="11">
    <w:nsid w:val="385A0674"/>
    <w:multiLevelType w:val="singleLevel"/>
    <w:tmpl w:val="7700CAB8"/>
    <w:lvl w:ilvl="0">
      <w:start w:val="17"/>
      <w:numFmt w:val="decimal"/>
      <w:lvlText w:val="%1. "/>
      <w:legacy w:legacy="1" w:legacySpace="0" w:legacyIndent="360"/>
      <w:lvlJc w:val="left"/>
      <w:pPr>
        <w:ind w:left="360" w:hanging="360"/>
      </w:pPr>
      <w:rPr>
        <w:b w:val="0"/>
        <w:i w:val="0"/>
        <w:sz w:val="24"/>
      </w:rPr>
    </w:lvl>
  </w:abstractNum>
  <w:abstractNum w:abstractNumId="12">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3">
    <w:nsid w:val="42C24217"/>
    <w:multiLevelType w:val="hybridMultilevel"/>
    <w:tmpl w:val="861672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04155D"/>
    <w:multiLevelType w:val="singleLevel"/>
    <w:tmpl w:val="950A3B6C"/>
    <w:lvl w:ilvl="0">
      <w:start w:val="3"/>
      <w:numFmt w:val="decimal"/>
      <w:lvlText w:val="%1. "/>
      <w:legacy w:legacy="1" w:legacySpace="0" w:legacyIndent="360"/>
      <w:lvlJc w:val="left"/>
      <w:pPr>
        <w:ind w:left="360" w:hanging="360"/>
      </w:pPr>
      <w:rPr>
        <w:b w:val="0"/>
        <w:i w:val="0"/>
        <w:sz w:val="24"/>
      </w:rPr>
    </w:lvl>
  </w:abstractNum>
  <w:abstractNum w:abstractNumId="1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147741"/>
    <w:multiLevelType w:val="singleLevel"/>
    <w:tmpl w:val="A60A7726"/>
    <w:lvl w:ilvl="0">
      <w:start w:val="10"/>
      <w:numFmt w:val="decimal"/>
      <w:lvlText w:val="%1. "/>
      <w:legacy w:legacy="1" w:legacySpace="0" w:legacyIndent="360"/>
      <w:lvlJc w:val="left"/>
      <w:pPr>
        <w:ind w:left="360" w:hanging="360"/>
      </w:pPr>
      <w:rPr>
        <w:b w:val="0"/>
        <w:i w:val="0"/>
        <w:sz w:val="24"/>
      </w:rPr>
    </w:lvl>
  </w:abstractNum>
  <w:abstractNum w:abstractNumId="18">
    <w:nsid w:val="565957B9"/>
    <w:multiLevelType w:val="singleLevel"/>
    <w:tmpl w:val="45845754"/>
    <w:lvl w:ilvl="0">
      <w:start w:val="18"/>
      <w:numFmt w:val="decimal"/>
      <w:lvlText w:val="%1. "/>
      <w:legacy w:legacy="1" w:legacySpace="0" w:legacyIndent="360"/>
      <w:lvlJc w:val="left"/>
      <w:pPr>
        <w:ind w:left="360" w:hanging="360"/>
      </w:pPr>
      <w:rPr>
        <w:b w:val="0"/>
        <w:i w:val="0"/>
        <w:sz w:val="24"/>
      </w:rPr>
    </w:lvl>
  </w:abstractNum>
  <w:abstractNum w:abstractNumId="19">
    <w:nsid w:val="576B6792"/>
    <w:multiLevelType w:val="singleLevel"/>
    <w:tmpl w:val="56E06B8C"/>
    <w:lvl w:ilvl="0">
      <w:start w:val="15"/>
      <w:numFmt w:val="decimal"/>
      <w:lvlText w:val="%1. "/>
      <w:legacy w:legacy="1" w:legacySpace="0" w:legacyIndent="360"/>
      <w:lvlJc w:val="left"/>
      <w:pPr>
        <w:ind w:left="360" w:hanging="360"/>
      </w:pPr>
      <w:rPr>
        <w:b w:val="0"/>
        <w:i w:val="0"/>
        <w:sz w:val="24"/>
      </w:rPr>
    </w:lvl>
  </w:abstractNum>
  <w:abstractNum w:abstractNumId="20">
    <w:nsid w:val="59A024ED"/>
    <w:multiLevelType w:val="hybridMultilevel"/>
    <w:tmpl w:val="E3AA837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A60D86"/>
    <w:multiLevelType w:val="singleLevel"/>
    <w:tmpl w:val="DC22C1A0"/>
    <w:lvl w:ilvl="0">
      <w:start w:val="9"/>
      <w:numFmt w:val="decimal"/>
      <w:lvlText w:val="%1. "/>
      <w:legacy w:legacy="1" w:legacySpace="0" w:legacyIndent="360"/>
      <w:lvlJc w:val="left"/>
      <w:pPr>
        <w:ind w:left="360" w:hanging="360"/>
      </w:pPr>
      <w:rPr>
        <w:b w:val="0"/>
        <w:i w:val="0"/>
        <w:sz w:val="24"/>
      </w:rPr>
    </w:lvl>
  </w:abstractNum>
  <w:abstractNum w:abstractNumId="22">
    <w:nsid w:val="5D9B5035"/>
    <w:multiLevelType w:val="singleLevel"/>
    <w:tmpl w:val="B2FCEB46"/>
    <w:lvl w:ilvl="0">
      <w:start w:val="2"/>
      <w:numFmt w:val="upperLetter"/>
      <w:lvlText w:val="%1. "/>
      <w:legacy w:legacy="1" w:legacySpace="0" w:legacyIndent="360"/>
      <w:lvlJc w:val="left"/>
      <w:pPr>
        <w:ind w:left="360" w:hanging="360"/>
      </w:pPr>
      <w:rPr>
        <w:b/>
        <w:i w:val="0"/>
        <w:sz w:val="24"/>
      </w:rPr>
    </w:lvl>
  </w:abstractNum>
  <w:abstractNum w:abstractNumId="23">
    <w:nsid w:val="611D58AF"/>
    <w:multiLevelType w:val="singleLevel"/>
    <w:tmpl w:val="D4FA1E6A"/>
    <w:lvl w:ilvl="0">
      <w:start w:val="5"/>
      <w:numFmt w:val="decimal"/>
      <w:lvlText w:val="%1. "/>
      <w:legacy w:legacy="1" w:legacySpace="0" w:legacyIndent="360"/>
      <w:lvlJc w:val="left"/>
      <w:pPr>
        <w:ind w:left="360" w:hanging="360"/>
      </w:pPr>
      <w:rPr>
        <w:b w:val="0"/>
        <w:i w:val="0"/>
        <w:sz w:val="24"/>
      </w:rPr>
    </w:lvl>
  </w:abstractNum>
  <w:abstractNum w:abstractNumId="24">
    <w:nsid w:val="638F2620"/>
    <w:multiLevelType w:val="singleLevel"/>
    <w:tmpl w:val="930E1F9C"/>
    <w:lvl w:ilvl="0">
      <w:start w:val="11"/>
      <w:numFmt w:val="decimal"/>
      <w:lvlText w:val="%1. "/>
      <w:legacy w:legacy="1" w:legacySpace="0" w:legacyIndent="360"/>
      <w:lvlJc w:val="left"/>
      <w:pPr>
        <w:ind w:left="360" w:hanging="360"/>
      </w:pPr>
      <w:rPr>
        <w:b w:val="0"/>
        <w:i w:val="0"/>
        <w:sz w:val="24"/>
      </w:rPr>
    </w:lvl>
  </w:abstractNum>
  <w:abstractNum w:abstractNumId="25">
    <w:nsid w:val="655237E8"/>
    <w:multiLevelType w:val="singleLevel"/>
    <w:tmpl w:val="D766E136"/>
    <w:lvl w:ilvl="0">
      <w:start w:val="7"/>
      <w:numFmt w:val="decimal"/>
      <w:lvlText w:val="%1. "/>
      <w:legacy w:legacy="1" w:legacySpace="0" w:legacyIndent="360"/>
      <w:lvlJc w:val="left"/>
      <w:pPr>
        <w:ind w:left="360" w:hanging="360"/>
      </w:pPr>
      <w:rPr>
        <w:b w:val="0"/>
        <w:i w:val="0"/>
        <w:sz w:val="24"/>
      </w:rPr>
    </w:lvl>
  </w:abstractNum>
  <w:abstractNum w:abstractNumId="2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7">
    <w:nsid w:val="73861E55"/>
    <w:multiLevelType w:val="hybridMultilevel"/>
    <w:tmpl w:val="5E765A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7FF37A4"/>
    <w:multiLevelType w:val="hybridMultilevel"/>
    <w:tmpl w:val="E1ECD456"/>
    <w:lvl w:ilvl="0" w:tplc="A47841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1">
    <w:nsid w:val="7BE3004D"/>
    <w:multiLevelType w:val="singleLevel"/>
    <w:tmpl w:val="54B4D5EC"/>
    <w:lvl w:ilvl="0">
      <w:start w:val="1"/>
      <w:numFmt w:val="lowerLetter"/>
      <w:lvlText w:val="%1."/>
      <w:legacy w:legacy="1" w:legacySpace="120" w:legacyIndent="360"/>
      <w:lvlJc w:val="left"/>
      <w:pPr>
        <w:ind w:left="1080" w:hanging="360"/>
      </w:pPr>
    </w:lvl>
  </w:abstractNum>
  <w:num w:numId="1">
    <w:abstractNumId w:val="3"/>
  </w:num>
  <w:num w:numId="2">
    <w:abstractNumId w:val="30"/>
  </w:num>
  <w:num w:numId="3">
    <w:abstractNumId w:val="1"/>
  </w:num>
  <w:num w:numId="4">
    <w:abstractNumId w:val="29"/>
  </w:num>
  <w:num w:numId="5">
    <w:abstractNumId w:val="26"/>
  </w:num>
  <w:num w:numId="6">
    <w:abstractNumId w:val="2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6"/>
  </w:num>
  <w:num w:numId="10">
    <w:abstractNumId w:val="4"/>
  </w:num>
  <w:num w:numId="11">
    <w:abstractNumId w:val="8"/>
  </w:num>
  <w:num w:numId="12">
    <w:abstractNumId w:val="31"/>
  </w:num>
  <w:num w:numId="13">
    <w:abstractNumId w:val="14"/>
  </w:num>
  <w:num w:numId="14">
    <w:abstractNumId w:val="2"/>
  </w:num>
  <w:num w:numId="15">
    <w:abstractNumId w:val="23"/>
  </w:num>
  <w:num w:numId="16">
    <w:abstractNumId w:val="7"/>
  </w:num>
  <w:num w:numId="17">
    <w:abstractNumId w:val="25"/>
  </w:num>
  <w:num w:numId="18">
    <w:abstractNumId w:val="12"/>
  </w:num>
  <w:num w:numId="19">
    <w:abstractNumId w:val="21"/>
  </w:num>
  <w:num w:numId="20">
    <w:abstractNumId w:val="17"/>
  </w:num>
  <w:num w:numId="21">
    <w:abstractNumId w:val="9"/>
  </w:num>
  <w:num w:numId="22">
    <w:abstractNumId w:val="24"/>
  </w:num>
  <w:num w:numId="23">
    <w:abstractNumId w:val="5"/>
  </w:num>
  <w:num w:numId="24">
    <w:abstractNumId w:val="10"/>
  </w:num>
  <w:num w:numId="25">
    <w:abstractNumId w:val="19"/>
  </w:num>
  <w:num w:numId="26">
    <w:abstractNumId w:val="6"/>
  </w:num>
  <w:num w:numId="27">
    <w:abstractNumId w:val="11"/>
  </w:num>
  <w:num w:numId="28">
    <w:abstractNumId w:val="18"/>
  </w:num>
  <w:num w:numId="29">
    <w:abstractNumId w:val="22"/>
  </w:num>
  <w:num w:numId="30">
    <w:abstractNumId w:val="27"/>
  </w:num>
  <w:num w:numId="31">
    <w:abstractNumId w:val="28"/>
  </w:num>
  <w:num w:numId="32">
    <w:abstractNumId w:val="13"/>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compat>
  <w:rsids>
    <w:rsidRoot w:val="00300FEB"/>
    <w:rsid w:val="00007FB8"/>
    <w:rsid w:val="00015FB3"/>
    <w:rsid w:val="00023BD4"/>
    <w:rsid w:val="000442EF"/>
    <w:rsid w:val="00067937"/>
    <w:rsid w:val="00067BBE"/>
    <w:rsid w:val="00071793"/>
    <w:rsid w:val="00085C94"/>
    <w:rsid w:val="000C5CFF"/>
    <w:rsid w:val="000F5F44"/>
    <w:rsid w:val="000F70FE"/>
    <w:rsid w:val="0011087D"/>
    <w:rsid w:val="0012309A"/>
    <w:rsid w:val="00146B0A"/>
    <w:rsid w:val="001471B8"/>
    <w:rsid w:val="001A2653"/>
    <w:rsid w:val="001B013F"/>
    <w:rsid w:val="001E1231"/>
    <w:rsid w:val="00216FC8"/>
    <w:rsid w:val="00235A16"/>
    <w:rsid w:val="00272EF9"/>
    <w:rsid w:val="002C5F19"/>
    <w:rsid w:val="002D4B5D"/>
    <w:rsid w:val="002D636B"/>
    <w:rsid w:val="00300DF6"/>
    <w:rsid w:val="00300FEB"/>
    <w:rsid w:val="00316863"/>
    <w:rsid w:val="0034220D"/>
    <w:rsid w:val="00342D73"/>
    <w:rsid w:val="00386050"/>
    <w:rsid w:val="00421F48"/>
    <w:rsid w:val="004313FF"/>
    <w:rsid w:val="0044286D"/>
    <w:rsid w:val="00472FEB"/>
    <w:rsid w:val="004758E4"/>
    <w:rsid w:val="00484597"/>
    <w:rsid w:val="00486080"/>
    <w:rsid w:val="00487B47"/>
    <w:rsid w:val="004A2931"/>
    <w:rsid w:val="004B5FEA"/>
    <w:rsid w:val="004B7255"/>
    <w:rsid w:val="005910BB"/>
    <w:rsid w:val="005C27BB"/>
    <w:rsid w:val="005C4621"/>
    <w:rsid w:val="005D47AB"/>
    <w:rsid w:val="005F07B4"/>
    <w:rsid w:val="0060130B"/>
    <w:rsid w:val="006148D4"/>
    <w:rsid w:val="006212ED"/>
    <w:rsid w:val="00621B38"/>
    <w:rsid w:val="006574E0"/>
    <w:rsid w:val="006729CE"/>
    <w:rsid w:val="0069280E"/>
    <w:rsid w:val="006B17B0"/>
    <w:rsid w:val="006C73CB"/>
    <w:rsid w:val="006D23F8"/>
    <w:rsid w:val="007B6586"/>
    <w:rsid w:val="007F2E84"/>
    <w:rsid w:val="00822B49"/>
    <w:rsid w:val="00834519"/>
    <w:rsid w:val="00846C95"/>
    <w:rsid w:val="00853E98"/>
    <w:rsid w:val="008B6A71"/>
    <w:rsid w:val="008E7358"/>
    <w:rsid w:val="00945685"/>
    <w:rsid w:val="009B0C7A"/>
    <w:rsid w:val="009E1054"/>
    <w:rsid w:val="009F3000"/>
    <w:rsid w:val="009F41AD"/>
    <w:rsid w:val="009F6A58"/>
    <w:rsid w:val="00A03257"/>
    <w:rsid w:val="00A07CC7"/>
    <w:rsid w:val="00A66E1D"/>
    <w:rsid w:val="00A9273D"/>
    <w:rsid w:val="00AA4B10"/>
    <w:rsid w:val="00AE03DD"/>
    <w:rsid w:val="00AF5B73"/>
    <w:rsid w:val="00B26CE5"/>
    <w:rsid w:val="00B44633"/>
    <w:rsid w:val="00B55D8D"/>
    <w:rsid w:val="00B57B3E"/>
    <w:rsid w:val="00B96D81"/>
    <w:rsid w:val="00BB5DE1"/>
    <w:rsid w:val="00C360A8"/>
    <w:rsid w:val="00C74A44"/>
    <w:rsid w:val="00CB4154"/>
    <w:rsid w:val="00CF1124"/>
    <w:rsid w:val="00CF3544"/>
    <w:rsid w:val="00D01019"/>
    <w:rsid w:val="00D25505"/>
    <w:rsid w:val="00D260A8"/>
    <w:rsid w:val="00D32809"/>
    <w:rsid w:val="00D55D87"/>
    <w:rsid w:val="00D76A46"/>
    <w:rsid w:val="00E104F9"/>
    <w:rsid w:val="00E40B42"/>
    <w:rsid w:val="00E42A33"/>
    <w:rsid w:val="00E44425"/>
    <w:rsid w:val="00E82149"/>
    <w:rsid w:val="00EA59D4"/>
    <w:rsid w:val="00ED64DB"/>
    <w:rsid w:val="00EF632C"/>
    <w:rsid w:val="00F46BEB"/>
    <w:rsid w:val="00F83F65"/>
    <w:rsid w:val="00F87E7D"/>
    <w:rsid w:val="00FD4D2A"/>
    <w:rsid w:val="00FE0D26"/>
    <w:rsid w:val="00FE74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1B38"/>
    <w:pPr>
      <w:overflowPunct w:val="0"/>
      <w:autoSpaceDE w:val="0"/>
      <w:autoSpaceDN w:val="0"/>
      <w:adjustRightInd w:val="0"/>
      <w:textAlignment w:val="baseline"/>
    </w:pPr>
  </w:style>
  <w:style w:type="paragraph" w:styleId="Heading1">
    <w:name w:val="heading 1"/>
    <w:basedOn w:val="Normal"/>
    <w:next w:val="Normal"/>
    <w:qFormat/>
    <w:rsid w:val="00621B38"/>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621B38"/>
    <w:pPr>
      <w:keepNext/>
      <w:tabs>
        <w:tab w:val="left" w:pos="240"/>
      </w:tabs>
      <w:spacing w:after="40"/>
      <w:ind w:left="120" w:right="-120"/>
      <w:outlineLvl w:val="1"/>
    </w:pPr>
    <w:rPr>
      <w:rFonts w:ascii="Helvetica" w:hAnsi="Helvetica"/>
      <w:b/>
      <w:color w:val="FF0000"/>
      <w:sz w:val="18"/>
    </w:rPr>
  </w:style>
  <w:style w:type="paragraph" w:styleId="Heading4">
    <w:name w:val="heading 4"/>
    <w:basedOn w:val="Normal"/>
    <w:next w:val="Normal"/>
    <w:link w:val="Heading4Char"/>
    <w:semiHidden/>
    <w:unhideWhenUsed/>
    <w:qFormat/>
    <w:rsid w:val="0011087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1B38"/>
    <w:pPr>
      <w:tabs>
        <w:tab w:val="center" w:pos="4320"/>
        <w:tab w:val="right" w:pos="8640"/>
      </w:tabs>
    </w:pPr>
  </w:style>
  <w:style w:type="paragraph" w:styleId="Footer">
    <w:name w:val="footer"/>
    <w:basedOn w:val="Normal"/>
    <w:rsid w:val="00621B38"/>
    <w:pPr>
      <w:tabs>
        <w:tab w:val="center" w:pos="4320"/>
        <w:tab w:val="right" w:pos="8640"/>
      </w:tabs>
    </w:pPr>
  </w:style>
  <w:style w:type="character" w:styleId="PageNumber">
    <w:name w:val="page number"/>
    <w:basedOn w:val="DefaultParagraphFont"/>
    <w:rsid w:val="00621B38"/>
  </w:style>
  <w:style w:type="paragraph" w:styleId="Title">
    <w:name w:val="Title"/>
    <w:basedOn w:val="Normal"/>
    <w:qFormat/>
    <w:rsid w:val="00621B38"/>
    <w:pPr>
      <w:jc w:val="center"/>
    </w:pPr>
    <w:rPr>
      <w:rFonts w:ascii="Helvetica" w:hAnsi="Helvetica"/>
      <w:b/>
      <w:sz w:val="28"/>
    </w:rPr>
  </w:style>
  <w:style w:type="paragraph" w:styleId="BodyText">
    <w:name w:val="Body Text"/>
    <w:basedOn w:val="Normal"/>
    <w:rsid w:val="00621B38"/>
    <w:rPr>
      <w:sz w:val="24"/>
    </w:rPr>
  </w:style>
  <w:style w:type="paragraph" w:styleId="BodyTextIndent">
    <w:name w:val="Body Text Indent"/>
    <w:basedOn w:val="Normal"/>
    <w:rsid w:val="00621B38"/>
    <w:pPr>
      <w:ind w:left="360"/>
    </w:pPr>
    <w:rPr>
      <w:sz w:val="24"/>
    </w:rPr>
  </w:style>
  <w:style w:type="paragraph" w:styleId="BlockText">
    <w:name w:val="Block Text"/>
    <w:basedOn w:val="Normal"/>
    <w:rsid w:val="00621B38"/>
    <w:pPr>
      <w:tabs>
        <w:tab w:val="left" w:pos="240"/>
      </w:tabs>
      <w:spacing w:after="60"/>
      <w:ind w:left="120" w:right="-120"/>
    </w:pPr>
    <w:rPr>
      <w:color w:val="000000"/>
      <w:sz w:val="22"/>
    </w:rPr>
  </w:style>
  <w:style w:type="paragraph" w:styleId="BodyText2">
    <w:name w:val="Body Text 2"/>
    <w:basedOn w:val="Normal"/>
    <w:rsid w:val="00621B38"/>
    <w:rPr>
      <w:color w:val="FF0000"/>
      <w:sz w:val="24"/>
    </w:rPr>
  </w:style>
  <w:style w:type="character" w:customStyle="1" w:styleId="Heading4Char">
    <w:name w:val="Heading 4 Char"/>
    <w:basedOn w:val="DefaultParagraphFont"/>
    <w:link w:val="Heading4"/>
    <w:semiHidden/>
    <w:rsid w:val="0011087D"/>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2C5F19"/>
    <w:rPr>
      <w:rFonts w:eastAsia="Calibri"/>
      <w:sz w:val="24"/>
      <w:szCs w:val="24"/>
    </w:rPr>
  </w:style>
  <w:style w:type="character" w:customStyle="1" w:styleId="NoSpacingChar">
    <w:name w:val="No Spacing Char"/>
    <w:basedOn w:val="DefaultParagraphFont"/>
    <w:link w:val="NoSpacing"/>
    <w:uiPriority w:val="1"/>
    <w:rsid w:val="002C5F19"/>
    <w:rPr>
      <w:rFonts w:eastAsia="Calibri"/>
      <w:sz w:val="24"/>
      <w:szCs w:val="24"/>
    </w:rPr>
  </w:style>
  <w:style w:type="paragraph" w:styleId="ListParagraph">
    <w:name w:val="List Paragraph"/>
    <w:basedOn w:val="Normal"/>
    <w:uiPriority w:val="34"/>
    <w:qFormat/>
    <w:rsid w:val="002C5F19"/>
    <w:pPr>
      <w:overflowPunct/>
      <w:autoSpaceDE/>
      <w:autoSpaceDN/>
      <w:adjustRightInd/>
      <w:spacing w:after="200" w:line="276" w:lineRule="auto"/>
      <w:ind w:left="720"/>
      <w:contextualSpacing/>
      <w:textAlignment w:val="auto"/>
    </w:pPr>
    <w:rPr>
      <w:rFonts w:eastAsia="Calibri"/>
      <w:sz w:val="24"/>
      <w:szCs w:val="24"/>
    </w:rPr>
  </w:style>
  <w:style w:type="character" w:styleId="Hyperlink">
    <w:name w:val="Hyperlink"/>
    <w:basedOn w:val="DefaultParagraphFont"/>
    <w:uiPriority w:val="99"/>
    <w:rsid w:val="002C5F19"/>
    <w:rPr>
      <w:rFonts w:cs="Times New Roman"/>
      <w:color w:val="0000FF"/>
      <w:u w:val="single"/>
    </w:rPr>
  </w:style>
  <w:style w:type="paragraph" w:customStyle="1" w:styleId="Default">
    <w:name w:val="Default"/>
    <w:rsid w:val="006148D4"/>
    <w:pPr>
      <w:autoSpaceDE w:val="0"/>
      <w:autoSpaceDN w:val="0"/>
      <w:adjustRightInd w:val="0"/>
    </w:pPr>
    <w:rPr>
      <w:rFonts w:ascii="Arial Narrow" w:hAnsi="Arial Narrow"/>
      <w:color w:val="000000"/>
      <w:sz w:val="24"/>
      <w:szCs w:val="24"/>
    </w:rPr>
  </w:style>
  <w:style w:type="paragraph" w:styleId="PlainText">
    <w:name w:val="Plain Text"/>
    <w:basedOn w:val="Normal"/>
    <w:link w:val="PlainTextChar"/>
    <w:uiPriority w:val="99"/>
    <w:unhideWhenUsed/>
    <w:rsid w:val="00FE74B0"/>
    <w:pPr>
      <w:overflowPunct/>
      <w:autoSpaceDE/>
      <w:autoSpaceDN/>
      <w:adjustRightInd/>
      <w:textAlignment w:val="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E74B0"/>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72413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79487-7C77-4E6E-A2AA-C1DD1F0C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2495</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h18889</cp:lastModifiedBy>
  <cp:revision>5</cp:revision>
  <cp:lastPrinted>2011-06-09T14:57:00Z</cp:lastPrinted>
  <dcterms:created xsi:type="dcterms:W3CDTF">2011-06-21T15:56:00Z</dcterms:created>
  <dcterms:modified xsi:type="dcterms:W3CDTF">2011-06-21T16:01:00Z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-966120688</vt:i4>
  </property>
  <property fmtid="{D5CDD505-2E9C-101B-9397-08002B2CF9AE}" pid="3" name="_NewReviewCycle">
    <vt:lpwstr/>
  </property>
  <property fmtid="{D5CDD505-2E9C-101B-9397-08002B2CF9AE}" pid="4" name="_EmailSubject">
    <vt:lpwstr>2502-New-80 Emergency Package </vt:lpwstr>
  </property>
  <property fmtid="{D5CDD505-2E9C-101B-9397-08002B2CF9AE}" pid="5" name="_AuthorEmail">
    <vt:lpwstr>Patricia.P.Casey@hud.gov</vt:lpwstr>
  </property>
  <property fmtid="{D5CDD505-2E9C-101B-9397-08002B2CF9AE}" pid="6" name="_AuthorEmailDisplayName">
    <vt:lpwstr>Casey, Patricia P</vt:lpwstr>
  </property>
  <property fmtid="{D5CDD505-2E9C-101B-9397-08002B2CF9AE}" pid="7" name="_PreviousAdHocReviewCycleID">
    <vt:i4>-1508019206</vt:i4>
  </property>
  <property fmtid="{D5CDD505-2E9C-101B-9397-08002B2CF9AE}" pid="8" name="_ReviewingToolsShownOnce">
    <vt:lpwstr/>
  </property>
</Properties>
</file>