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BF2" w:rsidRPr="0021437D" w:rsidRDefault="00BD1BF2">
      <w:pPr>
        <w:pStyle w:val="NormalWeb"/>
        <w:jc w:val="center"/>
        <w:rPr>
          <w:rFonts w:ascii="Arial" w:hAnsi="Arial" w:cs="Arial"/>
          <w:b/>
          <w:bCs/>
        </w:rPr>
      </w:pPr>
      <w:r w:rsidRPr="0021437D">
        <w:rPr>
          <w:rFonts w:ascii="Arial" w:hAnsi="Arial" w:cs="Arial"/>
          <w:b/>
          <w:bCs/>
        </w:rPr>
        <w:t xml:space="preserve">Supporting Statement </w:t>
      </w:r>
    </w:p>
    <w:p w:rsidR="000C2DFF" w:rsidRPr="0021437D" w:rsidRDefault="000766E3">
      <w:pPr>
        <w:pStyle w:val="NormalWeb"/>
        <w:jc w:val="center"/>
        <w:rPr>
          <w:rFonts w:ascii="Arial" w:hAnsi="Arial" w:cs="Arial"/>
          <w:b/>
          <w:bCs/>
        </w:rPr>
      </w:pPr>
      <w:r w:rsidRPr="0021437D">
        <w:rPr>
          <w:rFonts w:ascii="Arial" w:hAnsi="Arial" w:cs="Arial"/>
          <w:b/>
          <w:i/>
        </w:rPr>
        <w:t xml:space="preserve">Focus Groups as used by the Exploratory Advanced Research </w:t>
      </w:r>
      <w:r w:rsidR="001F5DBA">
        <w:rPr>
          <w:rFonts w:ascii="Arial" w:hAnsi="Arial" w:cs="Arial"/>
          <w:b/>
          <w:i/>
        </w:rPr>
        <w:t>P</w:t>
      </w:r>
      <w:r w:rsidRPr="0021437D">
        <w:rPr>
          <w:rFonts w:ascii="Arial" w:hAnsi="Arial" w:cs="Arial"/>
          <w:b/>
          <w:i/>
        </w:rPr>
        <w:t xml:space="preserve">rogram </w:t>
      </w:r>
      <w:r w:rsidR="000C2DFF" w:rsidRPr="0021437D">
        <w:rPr>
          <w:rFonts w:ascii="Arial" w:hAnsi="Arial" w:cs="Arial"/>
          <w:b/>
          <w:i/>
        </w:rPr>
        <w:t xml:space="preserve">on the </w:t>
      </w:r>
      <w:r w:rsidR="001F5DBA">
        <w:rPr>
          <w:rFonts w:ascii="Arial" w:hAnsi="Arial" w:cs="Arial"/>
          <w:b/>
          <w:i/>
        </w:rPr>
        <w:t>T</w:t>
      </w:r>
      <w:r w:rsidR="000C2DFF" w:rsidRPr="0021437D">
        <w:rPr>
          <w:rFonts w:ascii="Arial" w:hAnsi="Arial" w:cs="Arial"/>
          <w:b/>
          <w:i/>
        </w:rPr>
        <w:t>opic of Dynamic Ridesharing</w:t>
      </w:r>
      <w:r w:rsidR="000C2DFF" w:rsidRPr="0021437D">
        <w:rPr>
          <w:rFonts w:ascii="Arial" w:hAnsi="Arial" w:cs="Arial"/>
          <w:b/>
        </w:rPr>
        <w:t xml:space="preserve">  </w:t>
      </w:r>
    </w:p>
    <w:p w:rsidR="00BD1BF2" w:rsidRDefault="00BD1BF2">
      <w:pPr>
        <w:pStyle w:val="NormalWeb"/>
        <w:rPr>
          <w:rFonts w:ascii="Arial" w:hAnsi="Arial" w:cs="Arial"/>
          <w:sz w:val="20"/>
          <w:szCs w:val="20"/>
        </w:rPr>
      </w:pPr>
      <w:r w:rsidRPr="00767616">
        <w:rPr>
          <w:rFonts w:ascii="Arial" w:hAnsi="Arial" w:cs="Arial"/>
          <w:b/>
          <w:sz w:val="20"/>
          <w:szCs w:val="20"/>
        </w:rPr>
        <w:t>Part A. Justification</w:t>
      </w:r>
    </w:p>
    <w:p w:rsidR="00BD1BF2" w:rsidRDefault="00BD1BF2">
      <w:pPr>
        <w:pStyle w:val="NormalWeb"/>
        <w:rPr>
          <w:rFonts w:ascii="Arial" w:hAnsi="Arial" w:cs="Arial"/>
          <w:sz w:val="20"/>
          <w:szCs w:val="20"/>
        </w:rPr>
      </w:pPr>
      <w:r w:rsidRPr="00767616">
        <w:rPr>
          <w:rFonts w:ascii="Arial" w:hAnsi="Arial" w:cs="Arial"/>
          <w:b/>
          <w:sz w:val="20"/>
          <w:szCs w:val="20"/>
        </w:rPr>
        <w:t>1. Circumstances that make collection of information necessary</w:t>
      </w:r>
      <w:r>
        <w:rPr>
          <w:rFonts w:ascii="Arial" w:hAnsi="Arial" w:cs="Arial"/>
          <w:sz w:val="20"/>
          <w:szCs w:val="20"/>
        </w:rPr>
        <w:t>:</w:t>
      </w:r>
    </w:p>
    <w:p w:rsidR="00A9681A" w:rsidRDefault="00A9681A" w:rsidP="00E3335B">
      <w:pPr>
        <w:pStyle w:val="NormalWeb"/>
        <w:spacing w:before="0" w:beforeAutospacing="0" w:after="0" w:afterAutospacing="0"/>
        <w:rPr>
          <w:rFonts w:ascii="Arial" w:hAnsi="Arial" w:cs="Arial"/>
          <w:sz w:val="20"/>
          <w:szCs w:val="20"/>
        </w:rPr>
      </w:pPr>
      <w:r w:rsidRPr="00E3335B">
        <w:rPr>
          <w:rFonts w:ascii="Arial" w:hAnsi="Arial" w:cs="Arial"/>
          <w:sz w:val="20"/>
          <w:szCs w:val="20"/>
        </w:rPr>
        <w:t xml:space="preserve">The </w:t>
      </w:r>
      <w:r w:rsidR="00DD2678">
        <w:rPr>
          <w:rFonts w:ascii="Arial" w:hAnsi="Arial" w:cs="Arial"/>
          <w:sz w:val="20"/>
          <w:szCs w:val="20"/>
        </w:rPr>
        <w:t xml:space="preserve">Federal Highway Administration’s </w:t>
      </w:r>
      <w:r w:rsidRPr="00E3335B">
        <w:rPr>
          <w:rFonts w:ascii="Arial" w:hAnsi="Arial" w:cs="Arial"/>
          <w:sz w:val="20"/>
          <w:szCs w:val="20"/>
        </w:rPr>
        <w:t xml:space="preserve">Exploratory Advanced Research (EAR) Program </w:t>
      </w:r>
      <w:r w:rsidR="000766E3">
        <w:rPr>
          <w:rFonts w:ascii="Arial" w:hAnsi="Arial" w:cs="Arial"/>
          <w:sz w:val="20"/>
          <w:szCs w:val="20"/>
        </w:rPr>
        <w:t xml:space="preserve">is requesting approval for the information collection requirements through the use of focus groups.  </w:t>
      </w:r>
      <w:r w:rsidR="00DD2678">
        <w:rPr>
          <w:rFonts w:ascii="Arial" w:hAnsi="Arial" w:cs="Arial"/>
          <w:sz w:val="20"/>
          <w:szCs w:val="20"/>
        </w:rPr>
        <w:t xml:space="preserve">The </w:t>
      </w:r>
      <w:r w:rsidR="000766E3">
        <w:rPr>
          <w:rFonts w:ascii="Arial" w:hAnsi="Arial" w:cs="Arial"/>
          <w:sz w:val="20"/>
          <w:szCs w:val="20"/>
        </w:rPr>
        <w:t xml:space="preserve">EAR </w:t>
      </w:r>
      <w:r w:rsidR="00DD2678">
        <w:rPr>
          <w:rFonts w:ascii="Arial" w:hAnsi="Arial" w:cs="Arial"/>
          <w:sz w:val="20"/>
          <w:szCs w:val="20"/>
        </w:rPr>
        <w:t xml:space="preserve">Program </w:t>
      </w:r>
      <w:r w:rsidRPr="00E3335B">
        <w:rPr>
          <w:rFonts w:ascii="Arial" w:hAnsi="Arial" w:cs="Arial"/>
          <w:sz w:val="20"/>
          <w:szCs w:val="20"/>
        </w:rPr>
        <w:t xml:space="preserve">was established to conduct longer term, higher risk research that will result in potentially dramatic breakthrough for improving the durability, efficiency, environmental impact, productivity, and safety of highway and intermodal transportation systems. To facilitate identification and assessment of higher-risk, breakthrough research topics, the </w:t>
      </w:r>
      <w:r w:rsidR="00DD2678">
        <w:rPr>
          <w:rFonts w:ascii="Arial" w:hAnsi="Arial" w:cs="Arial"/>
          <w:sz w:val="20"/>
          <w:szCs w:val="20"/>
        </w:rPr>
        <w:t xml:space="preserve">EAR </w:t>
      </w:r>
      <w:r w:rsidRPr="00E3335B">
        <w:rPr>
          <w:rFonts w:ascii="Arial" w:hAnsi="Arial" w:cs="Arial"/>
          <w:sz w:val="20"/>
          <w:szCs w:val="20"/>
        </w:rPr>
        <w:t xml:space="preserve">Program conducts literature reviews, event scanning, and targeted convening.  As part of an assessment of potential high-risk, breakthrough research on dynamic ridesharing, the EAR Program is funding collection of behavioral preferences using focus groups. </w:t>
      </w:r>
    </w:p>
    <w:p w:rsidR="000766E3" w:rsidRDefault="000766E3" w:rsidP="00E3335B">
      <w:pPr>
        <w:pStyle w:val="NormalWeb"/>
        <w:spacing w:before="0" w:beforeAutospacing="0" w:after="0" w:afterAutospacing="0"/>
        <w:rPr>
          <w:rFonts w:ascii="Arial" w:hAnsi="Arial" w:cs="Arial"/>
          <w:sz w:val="20"/>
          <w:szCs w:val="20"/>
        </w:rPr>
      </w:pPr>
    </w:p>
    <w:p w:rsidR="000766E3" w:rsidRPr="00E3335B" w:rsidRDefault="000766E3" w:rsidP="00E3335B">
      <w:pPr>
        <w:pStyle w:val="NormalWeb"/>
        <w:spacing w:before="0" w:beforeAutospacing="0" w:after="0" w:afterAutospacing="0"/>
        <w:rPr>
          <w:rFonts w:ascii="Arial" w:hAnsi="Arial" w:cs="Arial"/>
          <w:sz w:val="20"/>
          <w:szCs w:val="20"/>
        </w:rPr>
      </w:pPr>
      <w:r>
        <w:rPr>
          <w:rFonts w:ascii="Arial" w:hAnsi="Arial" w:cs="Arial"/>
          <w:sz w:val="20"/>
          <w:szCs w:val="20"/>
        </w:rPr>
        <w:t>Focus groups provide an important role in gathering information because they allow for more in-depth understanding of the attitudes, beliefs</w:t>
      </w:r>
      <w:r w:rsidR="00DD2678">
        <w:rPr>
          <w:rFonts w:ascii="Arial" w:hAnsi="Arial" w:cs="Arial"/>
          <w:sz w:val="20"/>
          <w:szCs w:val="20"/>
        </w:rPr>
        <w:t>,</w:t>
      </w:r>
      <w:r>
        <w:rPr>
          <w:rFonts w:ascii="Arial" w:hAnsi="Arial" w:cs="Arial"/>
          <w:sz w:val="20"/>
          <w:szCs w:val="20"/>
        </w:rPr>
        <w:t xml:space="preserve"> and motivations of the public than do quantitative studies.  The information from these focus groups will be used to </w:t>
      </w:r>
      <w:r w:rsidR="00C8420F">
        <w:rPr>
          <w:rFonts w:ascii="Arial" w:hAnsi="Arial" w:cs="Arial"/>
          <w:sz w:val="20"/>
          <w:szCs w:val="20"/>
        </w:rPr>
        <w:t>improve understanding of human behavior and develop more effective protocols for research that could lead to increased mobility and conservation of energy and natural resources.</w:t>
      </w:r>
      <w:r>
        <w:rPr>
          <w:rFonts w:ascii="Arial" w:hAnsi="Arial" w:cs="Arial"/>
          <w:sz w:val="20"/>
          <w:szCs w:val="20"/>
        </w:rPr>
        <w:t xml:space="preserve">  </w:t>
      </w:r>
    </w:p>
    <w:p w:rsidR="00A9681A" w:rsidRDefault="00365DFB" w:rsidP="00E3335B">
      <w:pPr>
        <w:pStyle w:val="NormalWeb"/>
        <w:rPr>
          <w:rFonts w:ascii="Arial" w:hAnsi="Arial" w:cs="Arial"/>
          <w:sz w:val="20"/>
          <w:szCs w:val="20"/>
        </w:rPr>
      </w:pPr>
      <w:r w:rsidRPr="00E3335B">
        <w:rPr>
          <w:rFonts w:ascii="Arial" w:hAnsi="Arial" w:cs="Arial"/>
          <w:sz w:val="20"/>
          <w:szCs w:val="20"/>
        </w:rPr>
        <w:t xml:space="preserve">As a response to the opening of High Occupancy Vehicle </w:t>
      </w:r>
      <w:r>
        <w:rPr>
          <w:rFonts w:ascii="Arial" w:hAnsi="Arial" w:cs="Arial"/>
          <w:sz w:val="20"/>
          <w:szCs w:val="20"/>
        </w:rPr>
        <w:t xml:space="preserve">(HOV) </w:t>
      </w:r>
      <w:r w:rsidRPr="00E3335B">
        <w:rPr>
          <w:rFonts w:ascii="Arial" w:hAnsi="Arial" w:cs="Arial"/>
          <w:sz w:val="20"/>
          <w:szCs w:val="20"/>
        </w:rPr>
        <w:t xml:space="preserve">lanes in the Washington, DC metro area in the mid-1970s, a unique commuting phenomenon developed: slugging. </w:t>
      </w:r>
      <w:r w:rsidR="00A9681A" w:rsidRPr="00E3335B">
        <w:rPr>
          <w:rFonts w:ascii="Arial" w:hAnsi="Arial" w:cs="Arial"/>
          <w:sz w:val="20"/>
          <w:szCs w:val="20"/>
        </w:rPr>
        <w:t>This type of dynamic carpooling evolved from drivers and passengers coming together to fulfill each party’s needs. Academic and entrepreneurial types alike are looking at ways to facilitate dynamic ridesharing (“slugging”) through techno</w:t>
      </w:r>
      <w:r w:rsidR="00E3335B">
        <w:rPr>
          <w:rFonts w:ascii="Arial" w:hAnsi="Arial" w:cs="Arial"/>
          <w:sz w:val="20"/>
          <w:szCs w:val="20"/>
        </w:rPr>
        <w:t xml:space="preserve">logical means. Some suggestions </w:t>
      </w:r>
      <w:r w:rsidR="00A9681A" w:rsidRPr="00E3335B">
        <w:rPr>
          <w:rFonts w:ascii="Arial" w:hAnsi="Arial" w:cs="Arial"/>
          <w:sz w:val="20"/>
          <w:szCs w:val="20"/>
        </w:rPr>
        <w:t xml:space="preserve">for enhancing dynamic ridesharing include website forums that connect drivers with slugs and Smartphone applications that would allow drivers and slugs to register and connect with each other. </w:t>
      </w:r>
      <w:r w:rsidR="00E3335B">
        <w:rPr>
          <w:rFonts w:ascii="Arial" w:hAnsi="Arial" w:cs="Arial"/>
          <w:sz w:val="20"/>
          <w:szCs w:val="20"/>
        </w:rPr>
        <w:t>Dynamic carpooling has</w:t>
      </w:r>
      <w:r w:rsidR="00A9681A" w:rsidRPr="00E3335B">
        <w:rPr>
          <w:rFonts w:ascii="Arial" w:hAnsi="Arial" w:cs="Arial"/>
          <w:sz w:val="20"/>
          <w:szCs w:val="20"/>
        </w:rPr>
        <w:t xml:space="preserve"> no formal leade</w:t>
      </w:r>
      <w:r w:rsidR="00E3335B">
        <w:rPr>
          <w:rFonts w:ascii="Arial" w:hAnsi="Arial" w:cs="Arial"/>
          <w:sz w:val="20"/>
          <w:szCs w:val="20"/>
        </w:rPr>
        <w:t>rship or management; rather the practice</w:t>
      </w:r>
      <w:r w:rsidR="00A9681A" w:rsidRPr="00E3335B">
        <w:rPr>
          <w:rFonts w:ascii="Arial" w:hAnsi="Arial" w:cs="Arial"/>
          <w:sz w:val="20"/>
          <w:szCs w:val="20"/>
        </w:rPr>
        <w:t xml:space="preserve"> ha</w:t>
      </w:r>
      <w:r w:rsidR="00E3335B">
        <w:rPr>
          <w:rFonts w:ascii="Arial" w:hAnsi="Arial" w:cs="Arial"/>
          <w:sz w:val="20"/>
          <w:szCs w:val="20"/>
        </w:rPr>
        <w:t>s</w:t>
      </w:r>
      <w:r w:rsidR="00A9681A" w:rsidRPr="00E3335B">
        <w:rPr>
          <w:rFonts w:ascii="Arial" w:hAnsi="Arial" w:cs="Arial"/>
          <w:sz w:val="20"/>
          <w:szCs w:val="20"/>
        </w:rPr>
        <w:t xml:space="preserve"> evolved to fulfill a need for carpools created by the presence of HOV lanes.  These naturally occurring dynamic ridesharing systems operate by having drivers and riders meet at central, easily accessible locations such as park and ride lots where they create instantaneous carpools based on desired destinations.  The lines are highly successful, long lasting (30+ years in the case of DC), and robust commuting systems for thousands of people each weekday.  Despite their success and interesting nature they have been severely understudied by academics and transportation professionals.  </w:t>
      </w:r>
    </w:p>
    <w:p w:rsidR="00A9681A" w:rsidRPr="00E3335B" w:rsidRDefault="00E3335B" w:rsidP="00E3335B">
      <w:pPr>
        <w:pStyle w:val="NormalWeb"/>
        <w:rPr>
          <w:rFonts w:ascii="Arial" w:hAnsi="Arial" w:cs="Arial"/>
          <w:sz w:val="20"/>
          <w:szCs w:val="20"/>
        </w:rPr>
      </w:pPr>
      <w:r>
        <w:rPr>
          <w:rFonts w:ascii="Arial" w:hAnsi="Arial" w:cs="Arial"/>
          <w:sz w:val="20"/>
          <w:szCs w:val="20"/>
        </w:rPr>
        <w:t xml:space="preserve">While there is not a legal requirement to conduct this research, the effort will support the DOT strategic goal of </w:t>
      </w:r>
      <w:r w:rsidR="006A3E9E">
        <w:rPr>
          <w:rFonts w:ascii="Arial" w:hAnsi="Arial" w:cs="Arial"/>
          <w:sz w:val="20"/>
          <w:szCs w:val="20"/>
        </w:rPr>
        <w:t>“Reduce Congestion and other Impediments to Using the Nation’s Transportation system.”  The practice of dynamic ridesharing is not prevalent in the United States; cities with HOV lanes in which it has been successful (e.g., Houston</w:t>
      </w:r>
      <w:r w:rsidR="00DD2678">
        <w:rPr>
          <w:rFonts w:ascii="Arial" w:hAnsi="Arial" w:cs="Arial"/>
          <w:sz w:val="20"/>
          <w:szCs w:val="20"/>
        </w:rPr>
        <w:t>, TX</w:t>
      </w:r>
      <w:r w:rsidR="006A3E9E">
        <w:rPr>
          <w:rFonts w:ascii="Arial" w:hAnsi="Arial" w:cs="Arial"/>
          <w:sz w:val="20"/>
          <w:szCs w:val="20"/>
        </w:rPr>
        <w:t>, Washington, DC, and San Francisco</w:t>
      </w:r>
      <w:r w:rsidR="00DD2678">
        <w:rPr>
          <w:rFonts w:ascii="Arial" w:hAnsi="Arial" w:cs="Arial"/>
          <w:sz w:val="20"/>
          <w:szCs w:val="20"/>
        </w:rPr>
        <w:t>, CA</w:t>
      </w:r>
      <w:r w:rsidR="006A3E9E">
        <w:rPr>
          <w:rFonts w:ascii="Arial" w:hAnsi="Arial" w:cs="Arial"/>
          <w:sz w:val="20"/>
          <w:szCs w:val="20"/>
        </w:rPr>
        <w:t xml:space="preserve">), have benefited </w:t>
      </w:r>
      <w:r w:rsidR="00365DFB">
        <w:rPr>
          <w:rFonts w:ascii="Arial" w:hAnsi="Arial" w:cs="Arial"/>
          <w:sz w:val="20"/>
          <w:szCs w:val="20"/>
        </w:rPr>
        <w:t>from increased</w:t>
      </w:r>
      <w:r w:rsidR="006A3E9E">
        <w:rPr>
          <w:rFonts w:ascii="Arial" w:hAnsi="Arial" w:cs="Arial"/>
          <w:sz w:val="20"/>
          <w:szCs w:val="20"/>
        </w:rPr>
        <w:t xml:space="preserve"> use of those lanes</w:t>
      </w:r>
      <w:r w:rsidR="00DD2678">
        <w:rPr>
          <w:rFonts w:ascii="Arial" w:hAnsi="Arial" w:cs="Arial"/>
          <w:sz w:val="20"/>
          <w:szCs w:val="20"/>
        </w:rPr>
        <w:t>, reduced traffic congestion,  thus helping the DOT Strategic Goal dealing with mobility</w:t>
      </w:r>
      <w:r w:rsidR="006A3E9E">
        <w:rPr>
          <w:rFonts w:ascii="Arial" w:hAnsi="Arial" w:cs="Arial"/>
          <w:sz w:val="20"/>
          <w:szCs w:val="20"/>
        </w:rPr>
        <w:t>.  This research will provide the insight and understanding about the practice so that programs and related te</w:t>
      </w:r>
      <w:r w:rsidR="00693F9A">
        <w:rPr>
          <w:rFonts w:ascii="Arial" w:hAnsi="Arial" w:cs="Arial"/>
          <w:sz w:val="20"/>
          <w:szCs w:val="20"/>
        </w:rPr>
        <w:t xml:space="preserve">chnologies can be developed to </w:t>
      </w:r>
      <w:r w:rsidR="006A3E9E">
        <w:rPr>
          <w:rFonts w:ascii="Arial" w:hAnsi="Arial" w:cs="Arial"/>
          <w:sz w:val="20"/>
          <w:szCs w:val="20"/>
        </w:rPr>
        <w:t>encourage more communities to facilitate dynamic carpooling and thereby reduce congestion.</w:t>
      </w:r>
    </w:p>
    <w:p w:rsidR="00BD1BF2" w:rsidRDefault="00BD1BF2">
      <w:pPr>
        <w:pStyle w:val="NormalWeb"/>
        <w:rPr>
          <w:rFonts w:ascii="Arial" w:hAnsi="Arial" w:cs="Arial"/>
          <w:sz w:val="20"/>
          <w:szCs w:val="20"/>
        </w:rPr>
      </w:pPr>
      <w:r w:rsidRPr="00767616">
        <w:rPr>
          <w:rFonts w:ascii="Arial" w:hAnsi="Arial" w:cs="Arial"/>
          <w:b/>
          <w:sz w:val="20"/>
          <w:szCs w:val="20"/>
        </w:rPr>
        <w:t>2. How, by whom, and for what purpose is the information used</w:t>
      </w:r>
      <w:r>
        <w:rPr>
          <w:rFonts w:ascii="Arial" w:hAnsi="Arial" w:cs="Arial"/>
          <w:sz w:val="20"/>
          <w:szCs w:val="20"/>
        </w:rPr>
        <w:t>:</w:t>
      </w:r>
    </w:p>
    <w:p w:rsidR="00DF591E" w:rsidRDefault="007C2970" w:rsidP="006A3E9E">
      <w:pPr>
        <w:autoSpaceDE w:val="0"/>
        <w:autoSpaceDN w:val="0"/>
        <w:adjustRightInd w:val="0"/>
        <w:rPr>
          <w:rFonts w:ascii="TimesNewRomanPSMT" w:hAnsi="TimesNewRomanPSMT" w:cs="TimesNewRomanPSMT"/>
          <w:sz w:val="20"/>
          <w:szCs w:val="20"/>
        </w:rPr>
      </w:pPr>
      <w:r>
        <w:rPr>
          <w:rFonts w:ascii="Arial" w:hAnsi="Arial" w:cs="Arial"/>
          <w:color w:val="000000"/>
          <w:sz w:val="20"/>
          <w:szCs w:val="20"/>
        </w:rPr>
        <w:t>The information collection</w:t>
      </w:r>
      <w:r w:rsidRPr="00C2080B">
        <w:rPr>
          <w:rFonts w:ascii="Arial" w:hAnsi="Arial" w:cs="Arial"/>
          <w:color w:val="000000"/>
          <w:sz w:val="20"/>
          <w:szCs w:val="20"/>
        </w:rPr>
        <w:t xml:space="preserve"> will provide insight and knowledge into the process of slugging to determine the potential for additional research and opportunities for enhancing the process </w:t>
      </w:r>
      <w:r w:rsidRPr="00C2080B">
        <w:rPr>
          <w:rFonts w:ascii="Arial" w:hAnsi="Arial" w:cs="Arial"/>
          <w:color w:val="000000"/>
          <w:sz w:val="20"/>
          <w:szCs w:val="20"/>
        </w:rPr>
        <w:lastRenderedPageBreak/>
        <w:t xml:space="preserve">through technological means. </w:t>
      </w:r>
      <w:r w:rsidR="00DF591E">
        <w:rPr>
          <w:rFonts w:ascii="TimesNewRomanPSMT" w:hAnsi="TimesNewRomanPSMT" w:cs="TimesNewRomanPSMT"/>
          <w:sz w:val="20"/>
          <w:szCs w:val="20"/>
        </w:rPr>
        <w:t xml:space="preserve">The </w:t>
      </w:r>
      <w:r w:rsidR="000766E3">
        <w:rPr>
          <w:rFonts w:ascii="TimesNewRomanPSMT" w:hAnsi="TimesNewRomanPSMT" w:cs="TimesNewRomanPSMT"/>
          <w:sz w:val="20"/>
          <w:szCs w:val="20"/>
        </w:rPr>
        <w:t xml:space="preserve">focus group </w:t>
      </w:r>
      <w:r w:rsidR="00DF591E">
        <w:rPr>
          <w:rFonts w:ascii="TimesNewRomanPSMT" w:hAnsi="TimesNewRomanPSMT" w:cs="TimesNewRomanPSMT"/>
          <w:sz w:val="20"/>
          <w:szCs w:val="20"/>
        </w:rPr>
        <w:t xml:space="preserve">findings will be </w:t>
      </w:r>
      <w:r w:rsidR="000766E3">
        <w:rPr>
          <w:rFonts w:ascii="TimesNewRomanPSMT" w:hAnsi="TimesNewRomanPSMT" w:cs="TimesNewRomanPSMT"/>
          <w:sz w:val="20"/>
          <w:szCs w:val="20"/>
        </w:rPr>
        <w:t xml:space="preserve">used by </w:t>
      </w:r>
      <w:r w:rsidR="00C8420F">
        <w:rPr>
          <w:rFonts w:ascii="TimesNewRomanPSMT" w:hAnsi="TimesNewRomanPSMT" w:cs="TimesNewRomanPSMT"/>
          <w:sz w:val="20"/>
          <w:szCs w:val="20"/>
        </w:rPr>
        <w:t>FHWA to</w:t>
      </w:r>
      <w:r w:rsidR="00C20D4F">
        <w:rPr>
          <w:rFonts w:ascii="TimesNewRomanPSMT" w:hAnsi="TimesNewRomanPSMT" w:cs="TimesNewRomanPSMT"/>
          <w:sz w:val="20"/>
          <w:szCs w:val="20"/>
        </w:rPr>
        <w:t xml:space="preserve"> understand how dynamic carpooling is being utilized in the United States.</w:t>
      </w:r>
      <w:r w:rsidR="000766E3">
        <w:rPr>
          <w:rFonts w:ascii="TimesNewRomanPSMT" w:hAnsi="TimesNewRomanPSMT" w:cs="TimesNewRomanPSMT"/>
          <w:sz w:val="20"/>
          <w:szCs w:val="20"/>
        </w:rPr>
        <w:t xml:space="preserve"> If the information is not collected, </w:t>
      </w:r>
      <w:r w:rsidR="00C8420F">
        <w:rPr>
          <w:rFonts w:ascii="TimesNewRomanPSMT" w:hAnsi="TimesNewRomanPSMT" w:cs="TimesNewRomanPSMT"/>
          <w:sz w:val="20"/>
          <w:szCs w:val="20"/>
        </w:rPr>
        <w:t>FHWA’s</w:t>
      </w:r>
      <w:r w:rsidR="00DD2678">
        <w:rPr>
          <w:rFonts w:ascii="TimesNewRomanPSMT" w:hAnsi="TimesNewRomanPSMT" w:cs="TimesNewRomanPSMT"/>
          <w:sz w:val="20"/>
          <w:szCs w:val="20"/>
        </w:rPr>
        <w:t xml:space="preserve"> </w:t>
      </w:r>
      <w:r w:rsidR="000766E3">
        <w:rPr>
          <w:rFonts w:ascii="TimesNewRomanPSMT" w:hAnsi="TimesNewRomanPSMT" w:cs="TimesNewRomanPSMT"/>
          <w:sz w:val="20"/>
          <w:szCs w:val="20"/>
        </w:rPr>
        <w:t xml:space="preserve">EAR </w:t>
      </w:r>
      <w:r w:rsidR="00DD2678">
        <w:rPr>
          <w:rFonts w:ascii="TimesNewRomanPSMT" w:hAnsi="TimesNewRomanPSMT" w:cs="TimesNewRomanPSMT"/>
          <w:sz w:val="20"/>
          <w:szCs w:val="20"/>
        </w:rPr>
        <w:t xml:space="preserve">Program </w:t>
      </w:r>
      <w:r w:rsidR="000766E3">
        <w:rPr>
          <w:rFonts w:ascii="TimesNewRomanPSMT" w:hAnsi="TimesNewRomanPSMT" w:cs="TimesNewRomanPSMT"/>
          <w:sz w:val="20"/>
          <w:szCs w:val="20"/>
        </w:rPr>
        <w:t xml:space="preserve">will miss a vital link in gathering information for policy development or result in delays in furthering the subsequent research necessary to expand dynamic carpooling practices in the United States and beyond. </w:t>
      </w:r>
    </w:p>
    <w:p w:rsidR="00DF591E" w:rsidRDefault="00DF591E" w:rsidP="006A3E9E">
      <w:pPr>
        <w:autoSpaceDE w:val="0"/>
        <w:autoSpaceDN w:val="0"/>
        <w:adjustRightInd w:val="0"/>
        <w:rPr>
          <w:rFonts w:ascii="TimesNewRomanPSMT" w:hAnsi="TimesNewRomanPSMT" w:cs="TimesNewRomanPSMT"/>
          <w:sz w:val="20"/>
          <w:szCs w:val="20"/>
        </w:rPr>
      </w:pPr>
    </w:p>
    <w:p w:rsidR="004D16C5" w:rsidRDefault="00DF591E" w:rsidP="00C2080B">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 xml:space="preserve">The </w:t>
      </w:r>
      <w:r w:rsidR="00C20D4F">
        <w:rPr>
          <w:rFonts w:ascii="TimesNewRomanPSMT" w:hAnsi="TimesNewRomanPSMT" w:cs="TimesNewRomanPSMT"/>
          <w:sz w:val="20"/>
          <w:szCs w:val="20"/>
        </w:rPr>
        <w:t>information collected through the focus groups will provide important information about the nature and operations of programs currently in place and the social systems that facilitate their continued operations</w:t>
      </w:r>
      <w:r w:rsidR="00C20D4F" w:rsidRPr="00C2080B">
        <w:rPr>
          <w:rFonts w:ascii="Arial" w:hAnsi="Arial" w:cs="Arial"/>
          <w:sz w:val="20"/>
          <w:szCs w:val="20"/>
        </w:rPr>
        <w:t xml:space="preserve">.  </w:t>
      </w:r>
      <w:r w:rsidR="00C2080B">
        <w:rPr>
          <w:rFonts w:ascii="Arial" w:hAnsi="Arial" w:cs="Arial"/>
          <w:sz w:val="20"/>
          <w:szCs w:val="20"/>
        </w:rPr>
        <w:t xml:space="preserve">DOT </w:t>
      </w:r>
      <w:r w:rsidR="00C2080B" w:rsidRPr="00C2080B">
        <w:rPr>
          <w:rFonts w:ascii="Arial" w:hAnsi="Arial" w:cs="Arial"/>
          <w:sz w:val="20"/>
          <w:szCs w:val="20"/>
        </w:rPr>
        <w:t xml:space="preserve">plans to use the results of the </w:t>
      </w:r>
      <w:r w:rsidR="00C2080B">
        <w:rPr>
          <w:rFonts w:ascii="Arial" w:hAnsi="Arial" w:cs="Arial"/>
          <w:sz w:val="20"/>
          <w:szCs w:val="20"/>
        </w:rPr>
        <w:t xml:space="preserve">focus groups to explore and further inform the findings resulting from a national scan of dynamic ridesharing. </w:t>
      </w:r>
      <w:r w:rsidR="00C2080B" w:rsidRPr="00C2080B">
        <w:rPr>
          <w:rFonts w:ascii="Arial" w:hAnsi="Arial" w:cs="Arial"/>
          <w:sz w:val="20"/>
          <w:szCs w:val="20"/>
        </w:rPr>
        <w:t xml:space="preserve"> Specifically, </w:t>
      </w:r>
      <w:r w:rsidR="00A17523">
        <w:rPr>
          <w:rFonts w:ascii="Arial" w:hAnsi="Arial" w:cs="Arial"/>
          <w:sz w:val="20"/>
          <w:szCs w:val="20"/>
        </w:rPr>
        <w:t>focus groups will allow for a more in-depth understanding of the nature of dynamic carpooling than quantities research.  The information</w:t>
      </w:r>
      <w:r w:rsidR="00C20D4F">
        <w:rPr>
          <w:rFonts w:ascii="TimesNewRomanPSMT" w:hAnsi="TimesNewRomanPSMT" w:cs="TimesNewRomanPSMT"/>
          <w:sz w:val="20"/>
          <w:szCs w:val="20"/>
        </w:rPr>
        <w:t xml:space="preserve"> will be useful for DOT, </w:t>
      </w:r>
      <w:r w:rsidR="00DD2678">
        <w:rPr>
          <w:rFonts w:ascii="TimesNewRomanPSMT" w:hAnsi="TimesNewRomanPSMT" w:cs="TimesNewRomanPSMT"/>
          <w:sz w:val="20"/>
          <w:szCs w:val="20"/>
        </w:rPr>
        <w:t>G</w:t>
      </w:r>
      <w:r>
        <w:rPr>
          <w:rFonts w:ascii="TimesNewRomanPSMT" w:hAnsi="TimesNewRomanPSMT" w:cs="TimesNewRomanPSMT"/>
          <w:sz w:val="20"/>
          <w:szCs w:val="20"/>
        </w:rPr>
        <w:t>overnment agencies</w:t>
      </w:r>
      <w:r w:rsidR="00C20D4F">
        <w:rPr>
          <w:rFonts w:ascii="TimesNewRomanPSMT" w:hAnsi="TimesNewRomanPSMT" w:cs="TimesNewRomanPSMT"/>
          <w:sz w:val="20"/>
          <w:szCs w:val="20"/>
        </w:rPr>
        <w:t>,</w:t>
      </w:r>
      <w:r w:rsidR="0063066F">
        <w:rPr>
          <w:rFonts w:ascii="TimesNewRomanPSMT" w:hAnsi="TimesNewRomanPSMT" w:cs="TimesNewRomanPSMT"/>
          <w:sz w:val="20"/>
          <w:szCs w:val="20"/>
        </w:rPr>
        <w:t xml:space="preserve"> </w:t>
      </w:r>
      <w:r w:rsidR="004D16C5">
        <w:rPr>
          <w:rFonts w:ascii="TimesNewRomanPSMT" w:hAnsi="TimesNewRomanPSMT" w:cs="TimesNewRomanPSMT"/>
          <w:sz w:val="20"/>
          <w:szCs w:val="20"/>
        </w:rPr>
        <w:t xml:space="preserve">transportation planning </w:t>
      </w:r>
      <w:r w:rsidR="0063066F">
        <w:rPr>
          <w:rFonts w:ascii="TimesNewRomanPSMT" w:hAnsi="TimesNewRomanPSMT" w:cs="TimesNewRomanPSMT"/>
          <w:sz w:val="20"/>
          <w:szCs w:val="20"/>
        </w:rPr>
        <w:t>organizations</w:t>
      </w:r>
      <w:r w:rsidR="00DD2678">
        <w:rPr>
          <w:rFonts w:ascii="TimesNewRomanPSMT" w:hAnsi="TimesNewRomanPSMT" w:cs="TimesNewRomanPSMT"/>
          <w:sz w:val="20"/>
          <w:szCs w:val="20"/>
        </w:rPr>
        <w:t>,</w:t>
      </w:r>
      <w:r w:rsidR="00C20D4F">
        <w:rPr>
          <w:rFonts w:ascii="TimesNewRomanPSMT" w:hAnsi="TimesNewRomanPSMT" w:cs="TimesNewRomanPSMT"/>
          <w:sz w:val="20"/>
          <w:szCs w:val="20"/>
        </w:rPr>
        <w:t xml:space="preserve"> and others </w:t>
      </w:r>
      <w:r>
        <w:rPr>
          <w:rFonts w:ascii="TimesNewRomanPSMT" w:hAnsi="TimesNewRomanPSMT" w:cs="TimesNewRomanPSMT"/>
          <w:sz w:val="20"/>
          <w:szCs w:val="20"/>
        </w:rPr>
        <w:t xml:space="preserve">who want </w:t>
      </w:r>
      <w:r w:rsidR="00DD2678">
        <w:rPr>
          <w:rFonts w:ascii="TimesNewRomanPSMT" w:hAnsi="TimesNewRomanPSMT" w:cs="TimesNewRomanPSMT"/>
          <w:sz w:val="20"/>
          <w:szCs w:val="20"/>
        </w:rPr>
        <w:t xml:space="preserve">to </w:t>
      </w:r>
      <w:r>
        <w:rPr>
          <w:rFonts w:ascii="TimesNewRomanPSMT" w:hAnsi="TimesNewRomanPSMT" w:cs="TimesNewRomanPSMT"/>
          <w:sz w:val="20"/>
          <w:szCs w:val="20"/>
        </w:rPr>
        <w:t>introduce or expand</w:t>
      </w:r>
      <w:r w:rsidR="004D16C5">
        <w:rPr>
          <w:rFonts w:ascii="TimesNewRomanPSMT" w:hAnsi="TimesNewRomanPSMT" w:cs="TimesNewRomanPSMT"/>
          <w:sz w:val="20"/>
          <w:szCs w:val="20"/>
        </w:rPr>
        <w:t xml:space="preserve"> their dynamic carpooling systems.  </w:t>
      </w:r>
      <w:r>
        <w:rPr>
          <w:rFonts w:ascii="TimesNewRomanPSMT" w:hAnsi="TimesNewRomanPSMT" w:cs="TimesNewRomanPSMT"/>
          <w:sz w:val="20"/>
          <w:szCs w:val="20"/>
        </w:rPr>
        <w:t xml:space="preserve"> </w:t>
      </w:r>
      <w:r w:rsidR="004D16C5">
        <w:rPr>
          <w:rFonts w:ascii="TimesNewRomanPSMT" w:hAnsi="TimesNewRomanPSMT" w:cs="TimesNewRomanPSMT"/>
          <w:sz w:val="20"/>
          <w:szCs w:val="20"/>
        </w:rPr>
        <w:t xml:space="preserve">The research will be useful to planners </w:t>
      </w:r>
      <w:r w:rsidR="00DD2678">
        <w:rPr>
          <w:rFonts w:ascii="TimesNewRomanPSMT" w:hAnsi="TimesNewRomanPSMT" w:cs="TimesNewRomanPSMT"/>
          <w:sz w:val="20"/>
          <w:szCs w:val="20"/>
        </w:rPr>
        <w:t xml:space="preserve">who </w:t>
      </w:r>
      <w:r w:rsidR="004D16C5">
        <w:rPr>
          <w:rFonts w:ascii="TimesNewRomanPSMT" w:hAnsi="TimesNewRomanPSMT" w:cs="TimesNewRomanPSMT"/>
          <w:sz w:val="20"/>
          <w:szCs w:val="20"/>
        </w:rPr>
        <w:t>need to go beyond the traditional ways of scheduling carpools.  The research will inform planning on (1) technology/software that is needed to facilitate web-based and real-time rider/driver matching, payment</w:t>
      </w:r>
      <w:r w:rsidR="003A289E">
        <w:rPr>
          <w:rFonts w:ascii="TimesNewRomanPSMT" w:hAnsi="TimesNewRomanPSMT" w:cs="TimesNewRomanPSMT"/>
          <w:sz w:val="20"/>
          <w:szCs w:val="20"/>
        </w:rPr>
        <w:t>,</w:t>
      </w:r>
      <w:r w:rsidR="004D16C5">
        <w:rPr>
          <w:rFonts w:ascii="TimesNewRomanPSMT" w:hAnsi="TimesNewRomanPSMT" w:cs="TimesNewRomanPSMT"/>
          <w:sz w:val="20"/>
          <w:szCs w:val="20"/>
        </w:rPr>
        <w:t xml:space="preserve"> and route selection</w:t>
      </w:r>
      <w:r w:rsidR="003A289E">
        <w:rPr>
          <w:rFonts w:ascii="TimesNewRomanPSMT" w:hAnsi="TimesNewRomanPSMT" w:cs="TimesNewRomanPSMT"/>
          <w:sz w:val="20"/>
          <w:szCs w:val="20"/>
        </w:rPr>
        <w:t>;</w:t>
      </w:r>
      <w:r w:rsidR="004D16C5">
        <w:rPr>
          <w:rFonts w:ascii="TimesNewRomanPSMT" w:hAnsi="TimesNewRomanPSMT" w:cs="TimesNewRomanPSMT"/>
          <w:sz w:val="20"/>
          <w:szCs w:val="20"/>
        </w:rPr>
        <w:t xml:space="preserve"> and (2) infrastructure considerations such as determining the placement of dynamic carpooling loading zones (e.g., marked curbs or designated lanes).</w:t>
      </w:r>
    </w:p>
    <w:p w:rsidR="00C20D4F" w:rsidRDefault="00C20D4F" w:rsidP="004D16C5">
      <w:pPr>
        <w:autoSpaceDE w:val="0"/>
        <w:autoSpaceDN w:val="0"/>
        <w:adjustRightInd w:val="0"/>
        <w:rPr>
          <w:rFonts w:ascii="TimesNewRomanPSMT" w:hAnsi="TimesNewRomanPSMT" w:cs="TimesNewRomanPSMT"/>
          <w:sz w:val="20"/>
          <w:szCs w:val="20"/>
        </w:rPr>
      </w:pPr>
    </w:p>
    <w:p w:rsidR="00C20D4F" w:rsidRDefault="00C20D4F" w:rsidP="004D16C5">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The data may also be used by other Federal agencies, the public, academics as well as foreign governments and international organizations.</w:t>
      </w:r>
    </w:p>
    <w:p w:rsidR="00BD1BF2" w:rsidRDefault="00BD1BF2">
      <w:pPr>
        <w:pStyle w:val="NormalWeb"/>
        <w:rPr>
          <w:rFonts w:ascii="Arial" w:hAnsi="Arial" w:cs="Arial"/>
          <w:sz w:val="20"/>
          <w:szCs w:val="20"/>
        </w:rPr>
      </w:pPr>
      <w:r w:rsidRPr="00767616">
        <w:rPr>
          <w:rFonts w:ascii="Arial" w:hAnsi="Arial" w:cs="Arial"/>
          <w:b/>
          <w:sz w:val="20"/>
          <w:szCs w:val="20"/>
        </w:rPr>
        <w:t>3. Extent of automated information collection</w:t>
      </w:r>
      <w:r>
        <w:rPr>
          <w:rFonts w:ascii="Arial" w:hAnsi="Arial" w:cs="Arial"/>
          <w:sz w:val="20"/>
          <w:szCs w:val="20"/>
        </w:rPr>
        <w:t>:</w:t>
      </w:r>
    </w:p>
    <w:p w:rsidR="0019540B" w:rsidRDefault="0019540B" w:rsidP="0019540B">
      <w:pPr>
        <w:rPr>
          <w:rFonts w:ascii="Arial" w:hAnsi="Arial" w:cs="Arial"/>
          <w:sz w:val="20"/>
          <w:szCs w:val="20"/>
        </w:rPr>
      </w:pPr>
      <w:r>
        <w:rPr>
          <w:rFonts w:ascii="Arial" w:hAnsi="Arial" w:cs="Arial"/>
          <w:sz w:val="20"/>
          <w:szCs w:val="20"/>
        </w:rPr>
        <w:t xml:space="preserve">This data collection does not involve the use of automated, electronic, and mechanical or other </w:t>
      </w:r>
      <w:r w:rsidR="00A513E1">
        <w:rPr>
          <w:rFonts w:ascii="Arial" w:hAnsi="Arial" w:cs="Arial"/>
          <w:sz w:val="20"/>
          <w:szCs w:val="20"/>
        </w:rPr>
        <w:t>technological collection techniques.  Focus groups were chosen as the research method for this study because they allow for in-depth discussion of issues important to this research with individuals of interest, namely persons who participate in dynamic carpooling.  The focus groups</w:t>
      </w:r>
      <w:r w:rsidR="007C2970">
        <w:rPr>
          <w:rFonts w:ascii="Arial" w:hAnsi="Arial" w:cs="Arial"/>
          <w:sz w:val="20"/>
          <w:szCs w:val="20"/>
        </w:rPr>
        <w:t>, which will not involve automated information collection,</w:t>
      </w:r>
      <w:r w:rsidR="00A513E1">
        <w:rPr>
          <w:rFonts w:ascii="Arial" w:hAnsi="Arial" w:cs="Arial"/>
          <w:sz w:val="20"/>
          <w:szCs w:val="20"/>
        </w:rPr>
        <w:t xml:space="preserve"> will be a one-time discussion of relatively short durations with these individuals in three locations (Washington, DC; Houston, TX</w:t>
      </w:r>
      <w:r w:rsidR="007C2970">
        <w:rPr>
          <w:rFonts w:ascii="Arial" w:hAnsi="Arial" w:cs="Arial"/>
          <w:sz w:val="20"/>
          <w:szCs w:val="20"/>
        </w:rPr>
        <w:t>;</w:t>
      </w:r>
      <w:r w:rsidR="00A513E1">
        <w:rPr>
          <w:rFonts w:ascii="Arial" w:hAnsi="Arial" w:cs="Arial"/>
          <w:sz w:val="20"/>
          <w:szCs w:val="20"/>
        </w:rPr>
        <w:t xml:space="preserve"> and San Francisco, CA). </w:t>
      </w:r>
      <w:r w:rsidR="007C2970">
        <w:rPr>
          <w:rFonts w:ascii="Arial" w:hAnsi="Arial" w:cs="Arial"/>
          <w:sz w:val="20"/>
          <w:szCs w:val="20"/>
        </w:rPr>
        <w:t>The focus groups would also minimize the Government use of paper for this effort.</w:t>
      </w:r>
      <w:r w:rsidR="00A513E1">
        <w:rPr>
          <w:rFonts w:ascii="Arial" w:hAnsi="Arial" w:cs="Arial"/>
          <w:sz w:val="20"/>
          <w:szCs w:val="20"/>
        </w:rPr>
        <w:t xml:space="preserve"> </w:t>
      </w:r>
    </w:p>
    <w:p w:rsidR="00A513E1" w:rsidRPr="0019540B" w:rsidRDefault="00A513E1" w:rsidP="0019540B">
      <w:pPr>
        <w:rPr>
          <w:rFonts w:ascii="Arial" w:hAnsi="Arial" w:cs="Arial"/>
          <w:sz w:val="20"/>
          <w:szCs w:val="20"/>
        </w:rPr>
      </w:pPr>
    </w:p>
    <w:p w:rsidR="00A17523" w:rsidRPr="0019540B" w:rsidRDefault="00A17523">
      <w:pPr>
        <w:rPr>
          <w:rFonts w:ascii="Arial" w:hAnsi="Arial" w:cs="Arial"/>
          <w:color w:val="000000"/>
          <w:sz w:val="20"/>
          <w:szCs w:val="20"/>
        </w:rPr>
      </w:pPr>
      <w:r w:rsidRPr="0019540B">
        <w:rPr>
          <w:rFonts w:ascii="Arial" w:hAnsi="Arial" w:cs="Arial"/>
          <w:color w:val="000000"/>
          <w:sz w:val="20"/>
          <w:szCs w:val="20"/>
        </w:rPr>
        <w:t xml:space="preserve">Focus group studies are directed group discussions that do not produce quantitative data; rather skilled moderators and observers infer the </w:t>
      </w:r>
      <w:r w:rsidR="00A513E1">
        <w:rPr>
          <w:rFonts w:ascii="Arial" w:hAnsi="Arial" w:cs="Arial"/>
          <w:color w:val="000000"/>
          <w:sz w:val="20"/>
          <w:szCs w:val="20"/>
        </w:rPr>
        <w:t xml:space="preserve">findings of the group that were </w:t>
      </w:r>
      <w:r w:rsidRPr="0019540B">
        <w:rPr>
          <w:rFonts w:ascii="Arial" w:hAnsi="Arial" w:cs="Arial"/>
          <w:color w:val="000000"/>
          <w:sz w:val="20"/>
          <w:szCs w:val="20"/>
        </w:rPr>
        <w:t xml:space="preserve">expressed during the discussion.  To facilitate the interpretation, the discussions are recorded and videotaped so that </w:t>
      </w:r>
      <w:r w:rsidR="00365DFB" w:rsidRPr="0019540B">
        <w:rPr>
          <w:rFonts w:ascii="Arial" w:hAnsi="Arial" w:cs="Arial"/>
          <w:color w:val="000000"/>
          <w:sz w:val="20"/>
          <w:szCs w:val="20"/>
        </w:rPr>
        <w:t>an</w:t>
      </w:r>
      <w:r w:rsidRPr="0019540B">
        <w:rPr>
          <w:rFonts w:ascii="Arial" w:hAnsi="Arial" w:cs="Arial"/>
          <w:color w:val="000000"/>
          <w:sz w:val="20"/>
          <w:szCs w:val="20"/>
        </w:rPr>
        <w:t xml:space="preserve"> </w:t>
      </w:r>
      <w:r w:rsidR="00A513E1">
        <w:rPr>
          <w:rFonts w:ascii="Arial" w:hAnsi="Arial" w:cs="Arial"/>
          <w:color w:val="000000"/>
          <w:sz w:val="20"/>
          <w:szCs w:val="20"/>
        </w:rPr>
        <w:t xml:space="preserve">audio and </w:t>
      </w:r>
      <w:r w:rsidRPr="0019540B">
        <w:rPr>
          <w:rFonts w:ascii="Arial" w:hAnsi="Arial" w:cs="Arial"/>
          <w:color w:val="000000"/>
          <w:sz w:val="20"/>
          <w:szCs w:val="20"/>
        </w:rPr>
        <w:t>visual record is available for review.</w:t>
      </w:r>
    </w:p>
    <w:p w:rsidR="00BD1BF2" w:rsidRDefault="00BD1BF2">
      <w:pPr>
        <w:pStyle w:val="NormalWeb"/>
        <w:rPr>
          <w:rFonts w:ascii="Arial" w:hAnsi="Arial" w:cs="Arial"/>
          <w:sz w:val="20"/>
          <w:szCs w:val="20"/>
        </w:rPr>
      </w:pPr>
      <w:r w:rsidRPr="00767616">
        <w:rPr>
          <w:rFonts w:ascii="Arial" w:hAnsi="Arial" w:cs="Arial"/>
          <w:b/>
          <w:sz w:val="20"/>
          <w:szCs w:val="20"/>
        </w:rPr>
        <w:t>4. Efforts to identify duplication</w:t>
      </w:r>
      <w:r>
        <w:rPr>
          <w:rFonts w:ascii="Arial" w:hAnsi="Arial" w:cs="Arial"/>
          <w:sz w:val="20"/>
          <w:szCs w:val="20"/>
        </w:rPr>
        <w:t>:</w:t>
      </w:r>
    </w:p>
    <w:p w:rsidR="00C2080B" w:rsidRDefault="00C8420F" w:rsidP="00C2080B">
      <w:pPr>
        <w:autoSpaceDE w:val="0"/>
        <w:autoSpaceDN w:val="0"/>
        <w:adjustRightInd w:val="0"/>
        <w:rPr>
          <w:rFonts w:ascii="Arial" w:hAnsi="Arial" w:cs="Arial"/>
          <w:color w:val="000000"/>
          <w:sz w:val="20"/>
          <w:szCs w:val="20"/>
        </w:rPr>
      </w:pPr>
      <w:r>
        <w:rPr>
          <w:rFonts w:ascii="Arial" w:hAnsi="Arial" w:cs="Arial"/>
          <w:color w:val="000000"/>
          <w:sz w:val="20"/>
          <w:szCs w:val="20"/>
        </w:rPr>
        <w:t xml:space="preserve">The EAR Program conducted reference searches and </w:t>
      </w:r>
      <w:r w:rsidR="00C2080B" w:rsidRPr="00C2080B">
        <w:rPr>
          <w:rFonts w:ascii="Arial" w:hAnsi="Arial" w:cs="Arial"/>
          <w:color w:val="000000"/>
          <w:sz w:val="20"/>
          <w:szCs w:val="20"/>
        </w:rPr>
        <w:t xml:space="preserve">has not identified any </w:t>
      </w:r>
      <w:r w:rsidR="00C2080B">
        <w:rPr>
          <w:rFonts w:ascii="Arial" w:hAnsi="Arial" w:cs="Arial"/>
          <w:color w:val="000000"/>
          <w:sz w:val="20"/>
          <w:szCs w:val="20"/>
        </w:rPr>
        <w:t xml:space="preserve">studies that offer the information and insights sought through this information </w:t>
      </w:r>
      <w:r w:rsidR="00A17523">
        <w:rPr>
          <w:rFonts w:ascii="Arial" w:hAnsi="Arial" w:cs="Arial"/>
          <w:color w:val="000000"/>
          <w:sz w:val="20"/>
          <w:szCs w:val="20"/>
        </w:rPr>
        <w:t>collection effort, nor is this data already in the possession of the Federal Government.</w:t>
      </w:r>
      <w:r w:rsidR="00C2080B">
        <w:rPr>
          <w:rFonts w:ascii="Arial" w:hAnsi="Arial" w:cs="Arial"/>
          <w:color w:val="000000"/>
          <w:sz w:val="20"/>
          <w:szCs w:val="20"/>
        </w:rPr>
        <w:t xml:space="preserve">  </w:t>
      </w:r>
      <w:r w:rsidR="00C2080B" w:rsidRPr="00C2080B">
        <w:rPr>
          <w:rFonts w:ascii="Arial" w:hAnsi="Arial" w:cs="Arial"/>
          <w:color w:val="000000"/>
          <w:sz w:val="20"/>
          <w:szCs w:val="20"/>
        </w:rPr>
        <w:t xml:space="preserve">Dynamic ridesharing has been severely understudied by academics and transportation professionals; as such, there is no similar information or research available from which the research objectives can be drawn. This IC constitutes a unique qualitative research effort to predominately study federal employees who engage in casual carpooling, either as a slug or as a driver.  </w:t>
      </w:r>
    </w:p>
    <w:p w:rsidR="00C2080B" w:rsidRDefault="00C2080B" w:rsidP="00C2080B">
      <w:pPr>
        <w:autoSpaceDE w:val="0"/>
        <w:autoSpaceDN w:val="0"/>
        <w:adjustRightInd w:val="0"/>
        <w:rPr>
          <w:rFonts w:ascii="Arial" w:hAnsi="Arial" w:cs="Arial"/>
          <w:color w:val="000000"/>
          <w:sz w:val="20"/>
          <w:szCs w:val="20"/>
        </w:rPr>
      </w:pPr>
    </w:p>
    <w:p w:rsidR="00C2080B" w:rsidRPr="00C2080B" w:rsidRDefault="00C2080B" w:rsidP="00C2080B">
      <w:pPr>
        <w:autoSpaceDE w:val="0"/>
        <w:autoSpaceDN w:val="0"/>
        <w:adjustRightInd w:val="0"/>
        <w:rPr>
          <w:rFonts w:ascii="Arial" w:hAnsi="Arial" w:cs="Arial"/>
          <w:color w:val="000000"/>
          <w:sz w:val="20"/>
          <w:szCs w:val="20"/>
        </w:rPr>
      </w:pPr>
      <w:r>
        <w:rPr>
          <w:rFonts w:ascii="Arial" w:hAnsi="Arial" w:cs="Arial"/>
          <w:color w:val="000000"/>
          <w:sz w:val="20"/>
          <w:szCs w:val="20"/>
        </w:rPr>
        <w:t>Therefore, to the best of our knowledge</w:t>
      </w:r>
      <w:r w:rsidR="007C2970">
        <w:rPr>
          <w:rFonts w:ascii="Arial" w:hAnsi="Arial" w:cs="Arial"/>
          <w:color w:val="000000"/>
          <w:sz w:val="20"/>
          <w:szCs w:val="20"/>
        </w:rPr>
        <w:t>,</w:t>
      </w:r>
      <w:r>
        <w:rPr>
          <w:rFonts w:ascii="Arial" w:hAnsi="Arial" w:cs="Arial"/>
          <w:color w:val="000000"/>
          <w:sz w:val="20"/>
          <w:szCs w:val="20"/>
        </w:rPr>
        <w:t xml:space="preserve"> this focus group study is unique and does not duplicate other efforts.   </w:t>
      </w:r>
    </w:p>
    <w:p w:rsidR="00BD1BF2" w:rsidRDefault="00BD1BF2">
      <w:pPr>
        <w:pStyle w:val="NormalWeb"/>
        <w:rPr>
          <w:rFonts w:ascii="Arial" w:hAnsi="Arial" w:cs="Arial"/>
          <w:sz w:val="20"/>
          <w:szCs w:val="20"/>
        </w:rPr>
      </w:pPr>
      <w:r w:rsidRPr="00767616">
        <w:rPr>
          <w:rFonts w:ascii="Arial" w:hAnsi="Arial" w:cs="Arial"/>
          <w:b/>
          <w:sz w:val="20"/>
          <w:szCs w:val="20"/>
        </w:rPr>
        <w:t>5. Efforts to minimize the burden on small businesses</w:t>
      </w:r>
      <w:r>
        <w:rPr>
          <w:rFonts w:ascii="Arial" w:hAnsi="Arial" w:cs="Arial"/>
          <w:sz w:val="20"/>
          <w:szCs w:val="20"/>
        </w:rPr>
        <w:t>:</w:t>
      </w:r>
    </w:p>
    <w:p w:rsidR="00BD1BF2" w:rsidRDefault="00A17523">
      <w:pPr>
        <w:rPr>
          <w:rFonts w:ascii="Arial" w:hAnsi="Arial" w:cs="Arial"/>
          <w:color w:val="FF0000"/>
          <w:sz w:val="20"/>
          <w:szCs w:val="20"/>
        </w:rPr>
      </w:pPr>
      <w:r>
        <w:rPr>
          <w:rFonts w:ascii="Arial" w:hAnsi="Arial" w:cs="Arial"/>
          <w:color w:val="000000"/>
          <w:sz w:val="20"/>
          <w:szCs w:val="20"/>
        </w:rPr>
        <w:t>Not applicable.</w:t>
      </w:r>
      <w:r w:rsidR="007C2970">
        <w:rPr>
          <w:rFonts w:ascii="Arial" w:hAnsi="Arial" w:cs="Arial"/>
          <w:color w:val="000000"/>
          <w:sz w:val="20"/>
          <w:szCs w:val="20"/>
        </w:rPr>
        <w:t xml:space="preserve">  No small businesses will be involved in this information collection, as it strictly focuses on people who participate in dynamic carpooling.</w:t>
      </w:r>
    </w:p>
    <w:p w:rsidR="00BD1BF2" w:rsidRDefault="00BD1BF2">
      <w:pPr>
        <w:pStyle w:val="NormalWeb"/>
        <w:rPr>
          <w:rFonts w:ascii="Arial" w:hAnsi="Arial" w:cs="Arial"/>
          <w:sz w:val="20"/>
          <w:szCs w:val="20"/>
        </w:rPr>
      </w:pPr>
      <w:r w:rsidRPr="00767616">
        <w:rPr>
          <w:rFonts w:ascii="Arial" w:hAnsi="Arial" w:cs="Arial"/>
          <w:b/>
          <w:sz w:val="20"/>
          <w:szCs w:val="20"/>
        </w:rPr>
        <w:lastRenderedPageBreak/>
        <w:t>6. Impact of less frequent collection of information</w:t>
      </w:r>
      <w:r>
        <w:rPr>
          <w:rFonts w:ascii="Arial" w:hAnsi="Arial" w:cs="Arial"/>
          <w:sz w:val="20"/>
          <w:szCs w:val="20"/>
        </w:rPr>
        <w:t>:</w:t>
      </w:r>
    </w:p>
    <w:p w:rsidR="00C20D4F" w:rsidRPr="00C20D4F" w:rsidRDefault="00C20D4F" w:rsidP="00C20D4F">
      <w:pPr>
        <w:autoSpaceDE w:val="0"/>
        <w:autoSpaceDN w:val="0"/>
        <w:adjustRightInd w:val="0"/>
        <w:rPr>
          <w:rFonts w:ascii="Arial" w:hAnsi="Arial" w:cs="Arial"/>
          <w:sz w:val="20"/>
          <w:szCs w:val="20"/>
        </w:rPr>
      </w:pPr>
      <w:r>
        <w:rPr>
          <w:rFonts w:ascii="Arial" w:hAnsi="Arial" w:cs="Arial"/>
          <w:sz w:val="20"/>
          <w:szCs w:val="20"/>
        </w:rPr>
        <w:t xml:space="preserve">This is a voluntary, one-time information collection request and less frequent collection of information would mean that respondents would not submit data at all.  </w:t>
      </w:r>
    </w:p>
    <w:p w:rsidR="00BD1BF2" w:rsidRDefault="00BD1BF2">
      <w:pPr>
        <w:pStyle w:val="NormalWeb"/>
        <w:rPr>
          <w:rFonts w:ascii="Arial" w:hAnsi="Arial" w:cs="Arial"/>
          <w:sz w:val="20"/>
          <w:szCs w:val="20"/>
        </w:rPr>
      </w:pPr>
      <w:r w:rsidRPr="00767616">
        <w:rPr>
          <w:rFonts w:ascii="Arial" w:hAnsi="Arial" w:cs="Arial"/>
          <w:b/>
          <w:sz w:val="20"/>
          <w:szCs w:val="20"/>
        </w:rPr>
        <w:t>7. Special circumstances</w:t>
      </w:r>
      <w:r>
        <w:rPr>
          <w:rFonts w:ascii="Arial" w:hAnsi="Arial" w:cs="Arial"/>
          <w:sz w:val="20"/>
          <w:szCs w:val="20"/>
        </w:rPr>
        <w:t>:</w:t>
      </w:r>
    </w:p>
    <w:p w:rsidR="00BD1BF2" w:rsidRDefault="00C2080B">
      <w:pPr>
        <w:pStyle w:val="BodyText"/>
      </w:pPr>
      <w:r w:rsidRPr="00C2080B">
        <w:rPr>
          <w:color w:val="000000"/>
        </w:rPr>
        <w:t>There are no special circumstances associated with this</w:t>
      </w:r>
      <w:r w:rsidR="00A513E1">
        <w:rPr>
          <w:color w:val="000000"/>
        </w:rPr>
        <w:t xml:space="preserve"> one-time</w:t>
      </w:r>
      <w:r w:rsidRPr="00C2080B">
        <w:rPr>
          <w:color w:val="000000"/>
        </w:rPr>
        <w:t xml:space="preserve"> information collection</w:t>
      </w:r>
      <w:r>
        <w:t xml:space="preserve">.  </w:t>
      </w:r>
    </w:p>
    <w:p w:rsidR="00BD1BF2" w:rsidRDefault="00BD1BF2">
      <w:pPr>
        <w:pStyle w:val="NormalWeb"/>
        <w:rPr>
          <w:rFonts w:ascii="Arial" w:hAnsi="Arial" w:cs="Arial"/>
          <w:sz w:val="20"/>
          <w:szCs w:val="20"/>
        </w:rPr>
      </w:pPr>
      <w:r w:rsidRPr="00767616">
        <w:rPr>
          <w:rFonts w:ascii="Arial" w:hAnsi="Arial" w:cs="Arial"/>
          <w:b/>
          <w:sz w:val="20"/>
          <w:szCs w:val="20"/>
        </w:rPr>
        <w:t>8. Compliance with 5 CFR 1320.8</w:t>
      </w:r>
      <w:r>
        <w:rPr>
          <w:rFonts w:ascii="Arial" w:hAnsi="Arial" w:cs="Arial"/>
          <w:sz w:val="20"/>
          <w:szCs w:val="20"/>
        </w:rPr>
        <w:t>:</w:t>
      </w:r>
    </w:p>
    <w:p w:rsidR="000C2DFF" w:rsidRPr="000C2DFF" w:rsidRDefault="00C2080B" w:rsidP="00A17523">
      <w:pPr>
        <w:autoSpaceDE w:val="0"/>
        <w:autoSpaceDN w:val="0"/>
        <w:adjustRightInd w:val="0"/>
        <w:rPr>
          <w:rFonts w:ascii="Arial" w:hAnsi="Arial" w:cs="Arial"/>
          <w:color w:val="000000"/>
          <w:sz w:val="20"/>
          <w:szCs w:val="20"/>
        </w:rPr>
      </w:pPr>
      <w:r w:rsidRPr="000C2DFF">
        <w:rPr>
          <w:rFonts w:ascii="Arial" w:hAnsi="Arial" w:cs="Arial"/>
          <w:color w:val="000000"/>
          <w:sz w:val="20"/>
          <w:szCs w:val="20"/>
        </w:rPr>
        <w:t xml:space="preserve">In accordance with </w:t>
      </w:r>
      <w:r w:rsidR="00A17523">
        <w:rPr>
          <w:rFonts w:ascii="Arial" w:hAnsi="Arial" w:cs="Arial"/>
          <w:color w:val="000000"/>
          <w:sz w:val="20"/>
          <w:szCs w:val="20"/>
        </w:rPr>
        <w:t xml:space="preserve">5 CFR 1320.8(d), EAR </w:t>
      </w:r>
      <w:r w:rsidRPr="000C2DFF">
        <w:rPr>
          <w:rFonts w:ascii="Arial" w:hAnsi="Arial" w:cs="Arial"/>
          <w:color w:val="000000"/>
          <w:sz w:val="20"/>
          <w:szCs w:val="20"/>
        </w:rPr>
        <w:t>published a notice in the Federal Register</w:t>
      </w:r>
      <w:r w:rsidR="00A17523">
        <w:rPr>
          <w:rFonts w:ascii="Arial" w:hAnsi="Arial" w:cs="Arial"/>
          <w:color w:val="000000"/>
          <w:sz w:val="20"/>
          <w:szCs w:val="20"/>
        </w:rPr>
        <w:t xml:space="preserve"> </w:t>
      </w:r>
      <w:r w:rsidRPr="000C2DFF">
        <w:rPr>
          <w:rFonts w:ascii="Arial" w:hAnsi="Arial" w:cs="Arial"/>
          <w:color w:val="000000"/>
          <w:sz w:val="20"/>
          <w:szCs w:val="20"/>
        </w:rPr>
        <w:t xml:space="preserve">on </w:t>
      </w:r>
      <w:r w:rsidR="000C2DFF" w:rsidRPr="000C2DFF">
        <w:rPr>
          <w:rFonts w:ascii="Arial" w:hAnsi="Arial" w:cs="Arial"/>
          <w:color w:val="000000"/>
          <w:sz w:val="20"/>
          <w:szCs w:val="20"/>
        </w:rPr>
        <w:t>December 29, 2010</w:t>
      </w:r>
      <w:r w:rsidR="00A17523">
        <w:rPr>
          <w:rFonts w:ascii="Arial" w:hAnsi="Arial" w:cs="Arial"/>
          <w:color w:val="000000"/>
          <w:sz w:val="20"/>
          <w:szCs w:val="20"/>
        </w:rPr>
        <w:t xml:space="preserve"> to which no comments were received.  See docket number FHWA-2010-0171-0001.</w:t>
      </w:r>
    </w:p>
    <w:p w:rsidR="00BD1BF2" w:rsidRDefault="00BD1BF2">
      <w:pPr>
        <w:pStyle w:val="NormalWeb"/>
        <w:rPr>
          <w:rFonts w:ascii="Arial" w:hAnsi="Arial" w:cs="Arial"/>
          <w:sz w:val="20"/>
          <w:szCs w:val="20"/>
        </w:rPr>
      </w:pPr>
      <w:r w:rsidRPr="00767616">
        <w:rPr>
          <w:rFonts w:ascii="Arial" w:hAnsi="Arial" w:cs="Arial"/>
          <w:b/>
          <w:sz w:val="20"/>
          <w:szCs w:val="20"/>
        </w:rPr>
        <w:t>9. Payments or gifts to respondents</w:t>
      </w:r>
      <w:r>
        <w:rPr>
          <w:rFonts w:ascii="Arial" w:hAnsi="Arial" w:cs="Arial"/>
          <w:sz w:val="20"/>
          <w:szCs w:val="20"/>
        </w:rPr>
        <w:t>:</w:t>
      </w:r>
    </w:p>
    <w:p w:rsidR="00A513E1" w:rsidRDefault="00A17523" w:rsidP="00A513E1">
      <w:pPr>
        <w:rPr>
          <w:color w:val="FF0000"/>
        </w:rPr>
      </w:pPr>
      <w:r w:rsidRPr="00A513E1">
        <w:rPr>
          <w:rFonts w:ascii="Arial" w:hAnsi="Arial" w:cs="Arial"/>
          <w:color w:val="000000"/>
          <w:sz w:val="20"/>
          <w:szCs w:val="20"/>
        </w:rPr>
        <w:t>It is a standard practice to reimburse focus group respondents for their time</w:t>
      </w:r>
      <w:r w:rsidR="00A513E1">
        <w:rPr>
          <w:rFonts w:ascii="Arial" w:hAnsi="Arial" w:cs="Arial"/>
          <w:color w:val="000000"/>
          <w:sz w:val="20"/>
          <w:szCs w:val="20"/>
        </w:rPr>
        <w:t xml:space="preserve">. </w:t>
      </w:r>
      <w:r w:rsidR="00A513E1" w:rsidRPr="00A513E1">
        <w:rPr>
          <w:rFonts w:ascii="Arial" w:hAnsi="Arial" w:cs="Arial"/>
          <w:sz w:val="20"/>
          <w:szCs w:val="20"/>
        </w:rPr>
        <w:t xml:space="preserve"> A payment </w:t>
      </w:r>
      <w:r w:rsidR="00F01423">
        <w:rPr>
          <w:rFonts w:ascii="Arial" w:hAnsi="Arial" w:cs="Arial"/>
          <w:sz w:val="20"/>
          <w:szCs w:val="20"/>
        </w:rPr>
        <w:t xml:space="preserve">of $100 </w:t>
      </w:r>
      <w:r w:rsidR="00A513E1" w:rsidRPr="00A513E1">
        <w:rPr>
          <w:rFonts w:ascii="Arial" w:hAnsi="Arial" w:cs="Arial"/>
          <w:sz w:val="20"/>
          <w:szCs w:val="20"/>
        </w:rPr>
        <w:t>will be made to respondents for their participation</w:t>
      </w:r>
      <w:r w:rsidR="00A513E1">
        <w:t>.</w:t>
      </w:r>
      <w:r w:rsidR="00767616">
        <w:t xml:space="preserve">  </w:t>
      </w:r>
    </w:p>
    <w:p w:rsidR="00F01423" w:rsidRPr="00A513E1" w:rsidRDefault="00F01423" w:rsidP="00A513E1">
      <w:pPr>
        <w:rPr>
          <w:color w:val="000000"/>
        </w:rPr>
      </w:pPr>
    </w:p>
    <w:p w:rsidR="00BD1BF2" w:rsidRPr="00A513E1" w:rsidRDefault="00BD1BF2" w:rsidP="00A513E1">
      <w:pPr>
        <w:pStyle w:val="BodyText"/>
        <w:rPr>
          <w:color w:val="000000"/>
        </w:rPr>
      </w:pPr>
      <w:r w:rsidRPr="00767616">
        <w:rPr>
          <w:b/>
          <w:color w:val="000000"/>
        </w:rPr>
        <w:t>10. Assurance of confidentiality</w:t>
      </w:r>
      <w:r w:rsidRPr="00A513E1">
        <w:rPr>
          <w:color w:val="000000"/>
        </w:rPr>
        <w:t>:</w:t>
      </w:r>
    </w:p>
    <w:p w:rsidR="008E02F4" w:rsidRDefault="008E02F4" w:rsidP="00693F9A">
      <w:pPr>
        <w:pStyle w:val="NormalWeb"/>
        <w:rPr>
          <w:rFonts w:ascii="Arial" w:eastAsia="Times New Roman" w:hAnsi="Arial" w:cs="Arial"/>
          <w:color w:val="000000"/>
          <w:sz w:val="20"/>
          <w:szCs w:val="20"/>
        </w:rPr>
      </w:pPr>
      <w:r w:rsidRPr="008E02F4">
        <w:rPr>
          <w:rFonts w:ascii="Arial" w:eastAsia="Times New Roman" w:hAnsi="Arial" w:cs="Arial"/>
          <w:color w:val="000000"/>
          <w:sz w:val="20"/>
          <w:szCs w:val="20"/>
        </w:rPr>
        <w:t xml:space="preserve">The FHWA will follow Federal guidelines for handling confidential and sensitive information, but we do not provide assurance of confidentiality (DOT Order 1351.20 CIOP 20 U.S. Department of Transportation Rules Of Conduct And Consequences Policy Relative To Safeguarding Personally Identifiable Information). </w:t>
      </w:r>
    </w:p>
    <w:p w:rsidR="00693F9A" w:rsidRDefault="00693F9A" w:rsidP="00693F9A">
      <w:pPr>
        <w:pStyle w:val="NormalWeb"/>
        <w:rPr>
          <w:rFonts w:ascii="Arial" w:hAnsi="Arial" w:cs="Arial"/>
          <w:sz w:val="20"/>
          <w:szCs w:val="20"/>
        </w:rPr>
      </w:pPr>
      <w:r w:rsidRPr="00767616">
        <w:rPr>
          <w:rFonts w:ascii="Arial" w:hAnsi="Arial" w:cs="Arial"/>
          <w:b/>
          <w:sz w:val="20"/>
          <w:szCs w:val="20"/>
        </w:rPr>
        <w:t>11. Justification for collection of sensitive information</w:t>
      </w:r>
      <w:r>
        <w:rPr>
          <w:rFonts w:ascii="Arial" w:hAnsi="Arial" w:cs="Arial"/>
          <w:sz w:val="20"/>
          <w:szCs w:val="20"/>
        </w:rPr>
        <w:t>:</w:t>
      </w:r>
    </w:p>
    <w:p w:rsidR="00693F9A" w:rsidRPr="00A17523" w:rsidRDefault="00693F9A" w:rsidP="00693F9A">
      <w:pPr>
        <w:pStyle w:val="BodyText"/>
        <w:rPr>
          <w:color w:val="000000"/>
        </w:rPr>
      </w:pPr>
      <w:r>
        <w:rPr>
          <w:color w:val="000000"/>
        </w:rPr>
        <w:t xml:space="preserve">No personal or sensitive </w:t>
      </w:r>
      <w:r w:rsidR="00DC00B2">
        <w:rPr>
          <w:color w:val="000000"/>
        </w:rPr>
        <w:t>information will be collected</w:t>
      </w:r>
      <w:r>
        <w:rPr>
          <w:color w:val="000000"/>
        </w:rPr>
        <w:t>.</w:t>
      </w:r>
    </w:p>
    <w:p w:rsidR="00693F9A" w:rsidRDefault="00693F9A" w:rsidP="00693F9A">
      <w:pPr>
        <w:pStyle w:val="NormalWeb"/>
        <w:rPr>
          <w:rFonts w:ascii="Arial" w:hAnsi="Arial" w:cs="Arial"/>
          <w:sz w:val="20"/>
          <w:szCs w:val="20"/>
        </w:rPr>
      </w:pPr>
      <w:r w:rsidRPr="00767616">
        <w:rPr>
          <w:rFonts w:ascii="Arial" w:hAnsi="Arial" w:cs="Arial"/>
          <w:b/>
          <w:sz w:val="20"/>
          <w:szCs w:val="20"/>
        </w:rPr>
        <w:t>12. Estimate of burden hours for information requested</w:t>
      </w:r>
      <w:r>
        <w:rPr>
          <w:rFonts w:ascii="Arial" w:hAnsi="Arial" w:cs="Arial"/>
          <w:sz w:val="20"/>
          <w:szCs w:val="20"/>
        </w:rPr>
        <w:t>:</w:t>
      </w:r>
    </w:p>
    <w:p w:rsidR="00A513E1" w:rsidRPr="00693F9A" w:rsidRDefault="00A513E1" w:rsidP="00A513E1">
      <w:pPr>
        <w:rPr>
          <w:rFonts w:ascii="Arial" w:hAnsi="Arial" w:cs="Arial"/>
          <w:sz w:val="20"/>
          <w:szCs w:val="20"/>
        </w:rPr>
      </w:pPr>
      <w:r w:rsidRPr="00693F9A">
        <w:rPr>
          <w:rFonts w:ascii="Arial" w:hAnsi="Arial" w:cs="Arial"/>
          <w:sz w:val="20"/>
          <w:szCs w:val="20"/>
        </w:rPr>
        <w:t xml:space="preserve">The total burden hours for the data collection with </w:t>
      </w:r>
      <w:r w:rsidR="00552F85" w:rsidRPr="00693F9A">
        <w:rPr>
          <w:rFonts w:ascii="Arial" w:hAnsi="Arial" w:cs="Arial"/>
          <w:sz w:val="20"/>
          <w:szCs w:val="20"/>
        </w:rPr>
        <w:t>participants in dynamic carpooling programs as drivers or riders</w:t>
      </w:r>
      <w:r w:rsidRPr="00693F9A">
        <w:rPr>
          <w:rFonts w:ascii="Arial" w:hAnsi="Arial" w:cs="Arial"/>
          <w:sz w:val="20"/>
          <w:szCs w:val="20"/>
        </w:rPr>
        <w:t xml:space="preserve">, is based on an estimated sample of no more than </w:t>
      </w:r>
      <w:r w:rsidR="00552F85" w:rsidRPr="00693F9A">
        <w:rPr>
          <w:rFonts w:ascii="Arial" w:hAnsi="Arial" w:cs="Arial"/>
          <w:sz w:val="20"/>
          <w:szCs w:val="20"/>
        </w:rPr>
        <w:t>108</w:t>
      </w:r>
      <w:r w:rsidR="00DC00B2">
        <w:rPr>
          <w:rFonts w:ascii="Arial" w:hAnsi="Arial" w:cs="Arial"/>
          <w:sz w:val="20"/>
          <w:szCs w:val="20"/>
        </w:rPr>
        <w:t xml:space="preserve"> focus group participants</w:t>
      </w:r>
      <w:r w:rsidRPr="00693F9A">
        <w:rPr>
          <w:rFonts w:ascii="Arial" w:hAnsi="Arial" w:cs="Arial"/>
          <w:sz w:val="20"/>
          <w:szCs w:val="20"/>
        </w:rPr>
        <w:t>. We expect the length o</w:t>
      </w:r>
      <w:r w:rsidR="00552F85" w:rsidRPr="00693F9A">
        <w:rPr>
          <w:rFonts w:ascii="Arial" w:hAnsi="Arial" w:cs="Arial"/>
          <w:sz w:val="20"/>
          <w:szCs w:val="20"/>
        </w:rPr>
        <w:t>f the focus groups to be 90 minutes.</w:t>
      </w:r>
    </w:p>
    <w:p w:rsidR="00552F85" w:rsidRDefault="00552F85" w:rsidP="00A513E1"/>
    <w:p w:rsidR="00A513E1" w:rsidRDefault="00A513E1" w:rsidP="00A513E1">
      <w:pPr>
        <w:jc w:val="center"/>
        <w:rPr>
          <w:b/>
          <w:sz w:val="22"/>
          <w:szCs w:val="22"/>
        </w:rPr>
      </w:pPr>
      <w:proofErr w:type="gramStart"/>
      <w:r>
        <w:rPr>
          <w:b/>
          <w:sz w:val="22"/>
          <w:szCs w:val="22"/>
        </w:rPr>
        <w:t>Table 1.</w:t>
      </w:r>
      <w:proofErr w:type="gramEnd"/>
      <w:r>
        <w:rPr>
          <w:b/>
          <w:sz w:val="22"/>
          <w:szCs w:val="22"/>
        </w:rPr>
        <w:t xml:space="preserve"> Participant Burden Estimate</w:t>
      </w:r>
    </w:p>
    <w:tbl>
      <w:tblPr>
        <w:tblW w:w="9557"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2"/>
        <w:gridCol w:w="1435"/>
        <w:gridCol w:w="1170"/>
        <w:gridCol w:w="1260"/>
        <w:gridCol w:w="1252"/>
        <w:gridCol w:w="1178"/>
        <w:gridCol w:w="1530"/>
      </w:tblGrid>
      <w:tr w:rsidR="00552F85" w:rsidRPr="00365DFB" w:rsidTr="00365DFB">
        <w:trPr>
          <w:jc w:val="center"/>
        </w:trPr>
        <w:tc>
          <w:tcPr>
            <w:tcW w:w="1732" w:type="dxa"/>
            <w:vAlign w:val="center"/>
          </w:tcPr>
          <w:p w:rsidR="00552F85" w:rsidRPr="00365DFB" w:rsidRDefault="00552F85" w:rsidP="00693F9A">
            <w:pPr>
              <w:spacing w:before="40" w:after="40"/>
              <w:jc w:val="center"/>
              <w:rPr>
                <w:rFonts w:ascii="Arial Narrow" w:hAnsi="Arial Narrow"/>
                <w:b/>
                <w:sz w:val="20"/>
                <w:szCs w:val="20"/>
              </w:rPr>
            </w:pPr>
            <w:r w:rsidRPr="00365DFB">
              <w:rPr>
                <w:rFonts w:ascii="Arial Narrow" w:hAnsi="Arial Narrow"/>
                <w:b/>
                <w:sz w:val="20"/>
                <w:szCs w:val="20"/>
              </w:rPr>
              <w:t>General locations of the focus groups</w:t>
            </w:r>
          </w:p>
          <w:p w:rsidR="00552F85" w:rsidRPr="00365DFB" w:rsidRDefault="00552F85" w:rsidP="00693F9A">
            <w:pPr>
              <w:spacing w:before="40" w:after="40"/>
              <w:jc w:val="center"/>
              <w:rPr>
                <w:rFonts w:ascii="Arial Narrow" w:hAnsi="Arial Narrow"/>
                <w:b/>
                <w:sz w:val="20"/>
                <w:szCs w:val="20"/>
              </w:rPr>
            </w:pPr>
            <w:r w:rsidRPr="00365DFB">
              <w:rPr>
                <w:rFonts w:ascii="Arial Narrow" w:hAnsi="Arial Narrow"/>
                <w:b/>
                <w:sz w:val="20"/>
                <w:szCs w:val="20"/>
              </w:rPr>
              <w:t>(by location)</w:t>
            </w:r>
          </w:p>
        </w:tc>
        <w:tc>
          <w:tcPr>
            <w:tcW w:w="1435" w:type="dxa"/>
            <w:vAlign w:val="center"/>
          </w:tcPr>
          <w:p w:rsidR="00552F85" w:rsidRPr="00365DFB" w:rsidRDefault="00552F85" w:rsidP="00365DFB">
            <w:pPr>
              <w:spacing w:before="40" w:after="40"/>
              <w:jc w:val="center"/>
              <w:rPr>
                <w:rFonts w:ascii="Arial Narrow" w:hAnsi="Arial Narrow"/>
                <w:b/>
                <w:sz w:val="20"/>
                <w:szCs w:val="20"/>
              </w:rPr>
            </w:pPr>
            <w:r w:rsidRPr="00365DFB">
              <w:rPr>
                <w:rFonts w:ascii="Arial Narrow" w:hAnsi="Arial Narrow"/>
                <w:b/>
                <w:sz w:val="20"/>
                <w:szCs w:val="20"/>
              </w:rPr>
              <w:t>Focus group participants</w:t>
            </w:r>
          </w:p>
          <w:p w:rsidR="00552F85" w:rsidRPr="00365DFB" w:rsidRDefault="00552F85" w:rsidP="00365DFB">
            <w:pPr>
              <w:spacing w:before="40" w:after="40"/>
              <w:jc w:val="center"/>
              <w:rPr>
                <w:rFonts w:ascii="Arial Narrow" w:hAnsi="Arial Narrow"/>
                <w:b/>
                <w:sz w:val="20"/>
                <w:szCs w:val="20"/>
              </w:rPr>
            </w:pPr>
            <w:r w:rsidRPr="00365DFB">
              <w:rPr>
                <w:rFonts w:ascii="Arial Narrow" w:hAnsi="Arial Narrow"/>
                <w:b/>
                <w:sz w:val="20"/>
                <w:szCs w:val="20"/>
              </w:rPr>
              <w:t>(Per group)</w:t>
            </w:r>
          </w:p>
        </w:tc>
        <w:tc>
          <w:tcPr>
            <w:tcW w:w="1170" w:type="dxa"/>
            <w:vAlign w:val="center"/>
          </w:tcPr>
          <w:p w:rsidR="00552F85" w:rsidRPr="00365DFB" w:rsidRDefault="00552F85" w:rsidP="00693F9A">
            <w:pPr>
              <w:spacing w:before="40" w:after="40"/>
              <w:jc w:val="center"/>
              <w:rPr>
                <w:rFonts w:ascii="Arial Narrow" w:hAnsi="Arial Narrow"/>
                <w:b/>
                <w:sz w:val="20"/>
                <w:szCs w:val="20"/>
              </w:rPr>
            </w:pPr>
            <w:r w:rsidRPr="00365DFB">
              <w:rPr>
                <w:rFonts w:ascii="Arial Narrow" w:hAnsi="Arial Narrow"/>
                <w:b/>
                <w:sz w:val="20"/>
                <w:szCs w:val="20"/>
              </w:rPr>
              <w:t>Number of</w:t>
            </w:r>
          </w:p>
          <w:p w:rsidR="00552F85" w:rsidRPr="00365DFB" w:rsidRDefault="00552F85" w:rsidP="00693F9A">
            <w:pPr>
              <w:spacing w:before="40" w:after="40"/>
              <w:jc w:val="center"/>
              <w:rPr>
                <w:rFonts w:ascii="Arial Narrow" w:hAnsi="Arial Narrow"/>
                <w:b/>
                <w:sz w:val="20"/>
                <w:szCs w:val="20"/>
              </w:rPr>
            </w:pPr>
            <w:r w:rsidRPr="00365DFB">
              <w:rPr>
                <w:rFonts w:ascii="Arial Narrow" w:hAnsi="Arial Narrow"/>
                <w:b/>
                <w:sz w:val="20"/>
                <w:szCs w:val="20"/>
              </w:rPr>
              <w:t>groups</w:t>
            </w:r>
          </w:p>
        </w:tc>
        <w:tc>
          <w:tcPr>
            <w:tcW w:w="1260" w:type="dxa"/>
            <w:vAlign w:val="center"/>
          </w:tcPr>
          <w:p w:rsidR="00552F85" w:rsidRPr="00365DFB" w:rsidRDefault="00552F85" w:rsidP="00693F9A">
            <w:pPr>
              <w:spacing w:before="40" w:after="40"/>
              <w:jc w:val="center"/>
              <w:rPr>
                <w:rFonts w:ascii="Arial Narrow" w:hAnsi="Arial Narrow"/>
                <w:b/>
                <w:sz w:val="20"/>
                <w:szCs w:val="20"/>
              </w:rPr>
            </w:pPr>
            <w:r w:rsidRPr="00365DFB">
              <w:rPr>
                <w:rFonts w:ascii="Arial Narrow" w:hAnsi="Arial Narrow"/>
                <w:b/>
                <w:sz w:val="20"/>
                <w:szCs w:val="20"/>
              </w:rPr>
              <w:t>Frequency of response</w:t>
            </w:r>
          </w:p>
        </w:tc>
        <w:tc>
          <w:tcPr>
            <w:tcW w:w="1252" w:type="dxa"/>
            <w:vAlign w:val="center"/>
          </w:tcPr>
          <w:p w:rsidR="00552F85" w:rsidRPr="00365DFB" w:rsidRDefault="00552F85" w:rsidP="00693F9A">
            <w:pPr>
              <w:spacing w:before="40" w:after="40"/>
              <w:jc w:val="center"/>
              <w:rPr>
                <w:rFonts w:ascii="Arial Narrow" w:hAnsi="Arial Narrow"/>
                <w:b/>
                <w:sz w:val="20"/>
                <w:szCs w:val="20"/>
              </w:rPr>
            </w:pPr>
            <w:r w:rsidRPr="00365DFB">
              <w:rPr>
                <w:rFonts w:ascii="Arial Narrow" w:hAnsi="Arial Narrow"/>
                <w:b/>
                <w:sz w:val="20"/>
                <w:szCs w:val="20"/>
              </w:rPr>
              <w:t>Total participants</w:t>
            </w:r>
          </w:p>
        </w:tc>
        <w:tc>
          <w:tcPr>
            <w:tcW w:w="1178" w:type="dxa"/>
            <w:vAlign w:val="center"/>
          </w:tcPr>
          <w:p w:rsidR="00552F85" w:rsidRPr="00365DFB" w:rsidRDefault="00552F85" w:rsidP="00693F9A">
            <w:pPr>
              <w:spacing w:before="40" w:after="40"/>
              <w:jc w:val="center"/>
              <w:rPr>
                <w:rFonts w:ascii="Arial Narrow" w:hAnsi="Arial Narrow"/>
                <w:b/>
                <w:sz w:val="20"/>
                <w:szCs w:val="20"/>
              </w:rPr>
            </w:pPr>
            <w:r w:rsidRPr="00365DFB">
              <w:rPr>
                <w:rFonts w:ascii="Arial Narrow" w:hAnsi="Arial Narrow"/>
                <w:b/>
                <w:sz w:val="20"/>
                <w:szCs w:val="20"/>
              </w:rPr>
              <w:t>Hours per group</w:t>
            </w:r>
          </w:p>
        </w:tc>
        <w:tc>
          <w:tcPr>
            <w:tcW w:w="1530" w:type="dxa"/>
            <w:vAlign w:val="center"/>
          </w:tcPr>
          <w:p w:rsidR="00552F85" w:rsidRPr="00365DFB" w:rsidRDefault="00552F85" w:rsidP="00693F9A">
            <w:pPr>
              <w:spacing w:before="40" w:after="40"/>
              <w:jc w:val="center"/>
              <w:rPr>
                <w:rFonts w:ascii="Arial Narrow" w:hAnsi="Arial Narrow"/>
                <w:b/>
                <w:sz w:val="20"/>
                <w:szCs w:val="20"/>
              </w:rPr>
            </w:pPr>
            <w:r w:rsidRPr="00365DFB">
              <w:rPr>
                <w:rFonts w:ascii="Arial Narrow" w:hAnsi="Arial Narrow"/>
                <w:b/>
                <w:sz w:val="20"/>
                <w:szCs w:val="20"/>
              </w:rPr>
              <w:t>Participant burden hours</w:t>
            </w:r>
          </w:p>
        </w:tc>
      </w:tr>
      <w:tr w:rsidR="00552F85" w:rsidRPr="00365DFB" w:rsidTr="00365DFB">
        <w:trPr>
          <w:jc w:val="center"/>
        </w:trPr>
        <w:tc>
          <w:tcPr>
            <w:tcW w:w="1732" w:type="dxa"/>
            <w:vAlign w:val="center"/>
          </w:tcPr>
          <w:p w:rsidR="00552F85" w:rsidRPr="00365DFB" w:rsidRDefault="00552F85" w:rsidP="00693F9A">
            <w:pPr>
              <w:tabs>
                <w:tab w:val="decimal" w:pos="632"/>
              </w:tabs>
              <w:spacing w:before="40" w:after="40"/>
              <w:jc w:val="center"/>
              <w:rPr>
                <w:rFonts w:ascii="Arial Narrow" w:hAnsi="Arial Narrow"/>
                <w:sz w:val="20"/>
                <w:szCs w:val="20"/>
              </w:rPr>
            </w:pPr>
            <w:r w:rsidRPr="00365DFB">
              <w:rPr>
                <w:rFonts w:ascii="Arial Narrow" w:hAnsi="Arial Narrow"/>
                <w:sz w:val="20"/>
                <w:szCs w:val="20"/>
              </w:rPr>
              <w:t>Washington, DC</w:t>
            </w:r>
          </w:p>
        </w:tc>
        <w:tc>
          <w:tcPr>
            <w:tcW w:w="1435" w:type="dxa"/>
            <w:vAlign w:val="center"/>
          </w:tcPr>
          <w:p w:rsidR="00552F85" w:rsidRPr="00365DFB" w:rsidRDefault="00DC00B2" w:rsidP="00365DFB">
            <w:pPr>
              <w:tabs>
                <w:tab w:val="decimal" w:pos="59"/>
              </w:tabs>
              <w:spacing w:before="40" w:after="40"/>
              <w:jc w:val="center"/>
              <w:rPr>
                <w:rFonts w:ascii="Arial Narrow" w:hAnsi="Arial Narrow"/>
                <w:sz w:val="20"/>
                <w:szCs w:val="20"/>
              </w:rPr>
            </w:pPr>
            <w:r>
              <w:rPr>
                <w:rFonts w:ascii="Arial Narrow" w:hAnsi="Arial Narrow"/>
                <w:sz w:val="20"/>
                <w:szCs w:val="20"/>
              </w:rPr>
              <w:t>12</w:t>
            </w:r>
          </w:p>
        </w:tc>
        <w:tc>
          <w:tcPr>
            <w:tcW w:w="1170" w:type="dxa"/>
            <w:vAlign w:val="center"/>
          </w:tcPr>
          <w:p w:rsidR="00552F85" w:rsidRPr="00365DFB" w:rsidRDefault="00552F85" w:rsidP="00365DFB">
            <w:pPr>
              <w:tabs>
                <w:tab w:val="decimal" w:pos="0"/>
              </w:tabs>
              <w:spacing w:before="40" w:after="40"/>
              <w:jc w:val="center"/>
              <w:rPr>
                <w:rFonts w:ascii="Arial Narrow" w:hAnsi="Arial Narrow"/>
                <w:sz w:val="20"/>
                <w:szCs w:val="20"/>
              </w:rPr>
            </w:pPr>
            <w:r w:rsidRPr="00365DFB">
              <w:rPr>
                <w:rFonts w:ascii="Arial Narrow" w:hAnsi="Arial Narrow"/>
                <w:sz w:val="20"/>
                <w:szCs w:val="20"/>
              </w:rPr>
              <w:t>3</w:t>
            </w:r>
          </w:p>
        </w:tc>
        <w:tc>
          <w:tcPr>
            <w:tcW w:w="1260" w:type="dxa"/>
            <w:vAlign w:val="center"/>
          </w:tcPr>
          <w:p w:rsidR="00552F85" w:rsidRPr="00365DFB" w:rsidRDefault="00552F85" w:rsidP="00365DFB">
            <w:pPr>
              <w:tabs>
                <w:tab w:val="decimal" w:pos="0"/>
              </w:tabs>
              <w:spacing w:before="40" w:after="40"/>
              <w:jc w:val="center"/>
              <w:rPr>
                <w:rFonts w:ascii="Arial Narrow" w:hAnsi="Arial Narrow"/>
                <w:sz w:val="20"/>
                <w:szCs w:val="20"/>
              </w:rPr>
            </w:pPr>
            <w:r w:rsidRPr="00365DFB">
              <w:rPr>
                <w:rFonts w:ascii="Arial Narrow" w:hAnsi="Arial Narrow"/>
                <w:sz w:val="20"/>
                <w:szCs w:val="20"/>
              </w:rPr>
              <w:t>1</w:t>
            </w:r>
          </w:p>
        </w:tc>
        <w:tc>
          <w:tcPr>
            <w:tcW w:w="1252" w:type="dxa"/>
            <w:vAlign w:val="center"/>
          </w:tcPr>
          <w:p w:rsidR="00552F85" w:rsidRPr="00365DFB" w:rsidRDefault="00552F85" w:rsidP="00365DFB">
            <w:pPr>
              <w:tabs>
                <w:tab w:val="decimal" w:pos="-26"/>
              </w:tabs>
              <w:spacing w:before="40" w:after="40"/>
              <w:jc w:val="center"/>
              <w:rPr>
                <w:rFonts w:ascii="Arial Narrow" w:hAnsi="Arial Narrow"/>
                <w:sz w:val="20"/>
                <w:szCs w:val="20"/>
              </w:rPr>
            </w:pPr>
            <w:r w:rsidRPr="00365DFB">
              <w:rPr>
                <w:rFonts w:ascii="Arial Narrow" w:hAnsi="Arial Narrow"/>
                <w:sz w:val="20"/>
                <w:szCs w:val="20"/>
              </w:rPr>
              <w:t>36</w:t>
            </w:r>
          </w:p>
        </w:tc>
        <w:tc>
          <w:tcPr>
            <w:tcW w:w="1178" w:type="dxa"/>
            <w:vAlign w:val="center"/>
          </w:tcPr>
          <w:p w:rsidR="00552F85" w:rsidRPr="00365DFB" w:rsidRDefault="00552F85" w:rsidP="00365DFB">
            <w:pPr>
              <w:tabs>
                <w:tab w:val="decimal" w:pos="-26"/>
              </w:tabs>
              <w:spacing w:before="40" w:after="40"/>
              <w:jc w:val="center"/>
              <w:rPr>
                <w:rFonts w:ascii="Arial Narrow" w:hAnsi="Arial Narrow"/>
                <w:sz w:val="20"/>
                <w:szCs w:val="20"/>
              </w:rPr>
            </w:pPr>
            <w:r w:rsidRPr="00365DFB">
              <w:rPr>
                <w:rFonts w:ascii="Arial Narrow" w:hAnsi="Arial Narrow"/>
                <w:sz w:val="20"/>
                <w:szCs w:val="20"/>
              </w:rPr>
              <w:t>1.5</w:t>
            </w:r>
          </w:p>
        </w:tc>
        <w:tc>
          <w:tcPr>
            <w:tcW w:w="1530" w:type="dxa"/>
            <w:vAlign w:val="center"/>
          </w:tcPr>
          <w:p w:rsidR="00552F85" w:rsidRPr="00365DFB" w:rsidRDefault="00552F85" w:rsidP="00365DFB">
            <w:pPr>
              <w:tabs>
                <w:tab w:val="decimal" w:pos="-26"/>
              </w:tabs>
              <w:spacing w:before="40" w:after="40"/>
              <w:jc w:val="center"/>
              <w:rPr>
                <w:rFonts w:ascii="Arial Narrow" w:hAnsi="Arial Narrow"/>
                <w:sz w:val="20"/>
                <w:szCs w:val="20"/>
              </w:rPr>
            </w:pPr>
            <w:r w:rsidRPr="00365DFB">
              <w:rPr>
                <w:rFonts w:ascii="Arial Narrow" w:hAnsi="Arial Narrow"/>
                <w:sz w:val="20"/>
                <w:szCs w:val="20"/>
              </w:rPr>
              <w:t>54</w:t>
            </w:r>
          </w:p>
        </w:tc>
      </w:tr>
      <w:tr w:rsidR="00552F85" w:rsidRPr="00365DFB" w:rsidTr="00365DFB">
        <w:trPr>
          <w:jc w:val="center"/>
        </w:trPr>
        <w:tc>
          <w:tcPr>
            <w:tcW w:w="1732" w:type="dxa"/>
            <w:vAlign w:val="center"/>
          </w:tcPr>
          <w:p w:rsidR="00552F85" w:rsidRPr="00365DFB" w:rsidRDefault="00552F85" w:rsidP="00693F9A">
            <w:pPr>
              <w:tabs>
                <w:tab w:val="decimal" w:pos="632"/>
              </w:tabs>
              <w:spacing w:before="40" w:after="40"/>
              <w:jc w:val="center"/>
              <w:rPr>
                <w:rFonts w:ascii="Arial Narrow" w:hAnsi="Arial Narrow"/>
                <w:sz w:val="20"/>
                <w:szCs w:val="20"/>
              </w:rPr>
            </w:pPr>
            <w:r w:rsidRPr="00365DFB">
              <w:rPr>
                <w:rFonts w:ascii="Arial Narrow" w:hAnsi="Arial Narrow"/>
                <w:sz w:val="20"/>
                <w:szCs w:val="20"/>
              </w:rPr>
              <w:t>Houston, TX</w:t>
            </w:r>
          </w:p>
        </w:tc>
        <w:tc>
          <w:tcPr>
            <w:tcW w:w="1435" w:type="dxa"/>
            <w:vAlign w:val="center"/>
          </w:tcPr>
          <w:p w:rsidR="00552F85" w:rsidRPr="00365DFB" w:rsidRDefault="00DC00B2" w:rsidP="00365DFB">
            <w:pPr>
              <w:tabs>
                <w:tab w:val="decimal" w:pos="59"/>
              </w:tabs>
              <w:spacing w:before="40" w:after="40"/>
              <w:jc w:val="center"/>
              <w:rPr>
                <w:rFonts w:ascii="Arial Narrow" w:hAnsi="Arial Narrow"/>
                <w:sz w:val="20"/>
                <w:szCs w:val="20"/>
              </w:rPr>
            </w:pPr>
            <w:r>
              <w:rPr>
                <w:rFonts w:ascii="Arial Narrow" w:hAnsi="Arial Narrow"/>
                <w:sz w:val="20"/>
                <w:szCs w:val="20"/>
              </w:rPr>
              <w:t>12</w:t>
            </w:r>
          </w:p>
        </w:tc>
        <w:tc>
          <w:tcPr>
            <w:tcW w:w="1170" w:type="dxa"/>
            <w:vAlign w:val="center"/>
          </w:tcPr>
          <w:p w:rsidR="00552F85" w:rsidRPr="00365DFB" w:rsidRDefault="00552F85" w:rsidP="00365DFB">
            <w:pPr>
              <w:tabs>
                <w:tab w:val="decimal" w:pos="0"/>
              </w:tabs>
              <w:spacing w:before="40" w:after="40"/>
              <w:jc w:val="center"/>
              <w:rPr>
                <w:rFonts w:ascii="Arial Narrow" w:hAnsi="Arial Narrow"/>
                <w:sz w:val="20"/>
                <w:szCs w:val="20"/>
              </w:rPr>
            </w:pPr>
            <w:r w:rsidRPr="00365DFB">
              <w:rPr>
                <w:rFonts w:ascii="Arial Narrow" w:hAnsi="Arial Narrow"/>
                <w:sz w:val="20"/>
                <w:szCs w:val="20"/>
              </w:rPr>
              <w:t>3</w:t>
            </w:r>
          </w:p>
        </w:tc>
        <w:tc>
          <w:tcPr>
            <w:tcW w:w="1260" w:type="dxa"/>
            <w:vAlign w:val="center"/>
          </w:tcPr>
          <w:p w:rsidR="00552F85" w:rsidRPr="00365DFB" w:rsidRDefault="00552F85" w:rsidP="00365DFB">
            <w:pPr>
              <w:tabs>
                <w:tab w:val="decimal" w:pos="0"/>
              </w:tabs>
              <w:spacing w:before="40" w:after="40"/>
              <w:jc w:val="center"/>
              <w:rPr>
                <w:rFonts w:ascii="Arial Narrow" w:hAnsi="Arial Narrow"/>
                <w:sz w:val="20"/>
                <w:szCs w:val="20"/>
              </w:rPr>
            </w:pPr>
            <w:r w:rsidRPr="00365DFB">
              <w:rPr>
                <w:rFonts w:ascii="Arial Narrow" w:hAnsi="Arial Narrow"/>
                <w:sz w:val="20"/>
                <w:szCs w:val="20"/>
              </w:rPr>
              <w:t>1</w:t>
            </w:r>
          </w:p>
        </w:tc>
        <w:tc>
          <w:tcPr>
            <w:tcW w:w="1252" w:type="dxa"/>
            <w:vAlign w:val="center"/>
          </w:tcPr>
          <w:p w:rsidR="00552F85" w:rsidRPr="00365DFB" w:rsidRDefault="00552F85" w:rsidP="00365DFB">
            <w:pPr>
              <w:tabs>
                <w:tab w:val="decimal" w:pos="-26"/>
              </w:tabs>
              <w:spacing w:before="40" w:after="40"/>
              <w:jc w:val="center"/>
              <w:rPr>
                <w:rFonts w:ascii="Arial Narrow" w:hAnsi="Arial Narrow"/>
                <w:sz w:val="20"/>
                <w:szCs w:val="20"/>
              </w:rPr>
            </w:pPr>
            <w:r w:rsidRPr="00365DFB">
              <w:rPr>
                <w:rFonts w:ascii="Arial Narrow" w:hAnsi="Arial Narrow"/>
                <w:sz w:val="20"/>
                <w:szCs w:val="20"/>
              </w:rPr>
              <w:t>36</w:t>
            </w:r>
          </w:p>
        </w:tc>
        <w:tc>
          <w:tcPr>
            <w:tcW w:w="1178" w:type="dxa"/>
            <w:vAlign w:val="center"/>
          </w:tcPr>
          <w:p w:rsidR="00552F85" w:rsidRPr="00365DFB" w:rsidRDefault="00552F85" w:rsidP="00365DFB">
            <w:pPr>
              <w:tabs>
                <w:tab w:val="decimal" w:pos="-26"/>
              </w:tabs>
              <w:spacing w:before="40" w:after="40"/>
              <w:jc w:val="center"/>
              <w:rPr>
                <w:rFonts w:ascii="Arial Narrow" w:hAnsi="Arial Narrow"/>
                <w:sz w:val="20"/>
                <w:szCs w:val="20"/>
              </w:rPr>
            </w:pPr>
            <w:r w:rsidRPr="00365DFB">
              <w:rPr>
                <w:rFonts w:ascii="Arial Narrow" w:hAnsi="Arial Narrow"/>
                <w:sz w:val="20"/>
                <w:szCs w:val="20"/>
              </w:rPr>
              <w:t>1.5</w:t>
            </w:r>
          </w:p>
        </w:tc>
        <w:tc>
          <w:tcPr>
            <w:tcW w:w="1530" w:type="dxa"/>
            <w:vAlign w:val="center"/>
          </w:tcPr>
          <w:p w:rsidR="00552F85" w:rsidRPr="00365DFB" w:rsidRDefault="00552F85" w:rsidP="00365DFB">
            <w:pPr>
              <w:tabs>
                <w:tab w:val="decimal" w:pos="-26"/>
              </w:tabs>
              <w:spacing w:before="40" w:after="40"/>
              <w:jc w:val="center"/>
              <w:rPr>
                <w:rFonts w:ascii="Arial Narrow" w:hAnsi="Arial Narrow"/>
                <w:sz w:val="20"/>
                <w:szCs w:val="20"/>
              </w:rPr>
            </w:pPr>
            <w:r w:rsidRPr="00365DFB">
              <w:rPr>
                <w:rFonts w:ascii="Arial Narrow" w:hAnsi="Arial Narrow"/>
                <w:sz w:val="20"/>
                <w:szCs w:val="20"/>
              </w:rPr>
              <w:t>54</w:t>
            </w:r>
          </w:p>
        </w:tc>
      </w:tr>
      <w:tr w:rsidR="00552F85" w:rsidRPr="00365DFB" w:rsidTr="00365DFB">
        <w:trPr>
          <w:jc w:val="center"/>
        </w:trPr>
        <w:tc>
          <w:tcPr>
            <w:tcW w:w="1732" w:type="dxa"/>
            <w:tcBorders>
              <w:bottom w:val="thinThickSmallGap" w:sz="18" w:space="0" w:color="auto"/>
            </w:tcBorders>
            <w:vAlign w:val="center"/>
          </w:tcPr>
          <w:p w:rsidR="00552F85" w:rsidRPr="00365DFB" w:rsidRDefault="00552F85" w:rsidP="00693F9A">
            <w:pPr>
              <w:tabs>
                <w:tab w:val="decimal" w:pos="632"/>
              </w:tabs>
              <w:spacing w:before="40" w:after="40"/>
              <w:jc w:val="center"/>
              <w:rPr>
                <w:rFonts w:ascii="Arial Narrow" w:hAnsi="Arial Narrow"/>
                <w:sz w:val="20"/>
                <w:szCs w:val="20"/>
              </w:rPr>
            </w:pPr>
            <w:r w:rsidRPr="00365DFB">
              <w:rPr>
                <w:rFonts w:ascii="Arial Narrow" w:hAnsi="Arial Narrow"/>
                <w:sz w:val="20"/>
                <w:szCs w:val="20"/>
              </w:rPr>
              <w:t>San Francisco, CA</w:t>
            </w:r>
          </w:p>
        </w:tc>
        <w:tc>
          <w:tcPr>
            <w:tcW w:w="1435" w:type="dxa"/>
            <w:tcBorders>
              <w:bottom w:val="thinThickSmallGap" w:sz="18" w:space="0" w:color="auto"/>
            </w:tcBorders>
            <w:vAlign w:val="center"/>
          </w:tcPr>
          <w:p w:rsidR="00552F85" w:rsidRPr="00365DFB" w:rsidRDefault="00DC00B2" w:rsidP="00365DFB">
            <w:pPr>
              <w:tabs>
                <w:tab w:val="decimal" w:pos="59"/>
              </w:tabs>
              <w:spacing w:before="40" w:after="40"/>
              <w:jc w:val="center"/>
              <w:rPr>
                <w:rFonts w:ascii="Arial Narrow" w:hAnsi="Arial Narrow"/>
                <w:sz w:val="20"/>
                <w:szCs w:val="20"/>
              </w:rPr>
            </w:pPr>
            <w:r>
              <w:rPr>
                <w:rFonts w:ascii="Arial Narrow" w:hAnsi="Arial Narrow"/>
                <w:sz w:val="20"/>
                <w:szCs w:val="20"/>
              </w:rPr>
              <w:t>12</w:t>
            </w:r>
          </w:p>
        </w:tc>
        <w:tc>
          <w:tcPr>
            <w:tcW w:w="1170" w:type="dxa"/>
            <w:tcBorders>
              <w:bottom w:val="thinThickSmallGap" w:sz="18" w:space="0" w:color="auto"/>
            </w:tcBorders>
            <w:vAlign w:val="center"/>
          </w:tcPr>
          <w:p w:rsidR="00552F85" w:rsidRPr="00365DFB" w:rsidRDefault="00552F85" w:rsidP="00365DFB">
            <w:pPr>
              <w:tabs>
                <w:tab w:val="decimal" w:pos="0"/>
              </w:tabs>
              <w:spacing w:before="40" w:after="40"/>
              <w:jc w:val="center"/>
              <w:rPr>
                <w:rFonts w:ascii="Arial Narrow" w:hAnsi="Arial Narrow"/>
                <w:sz w:val="20"/>
                <w:szCs w:val="20"/>
              </w:rPr>
            </w:pPr>
            <w:r w:rsidRPr="00365DFB">
              <w:rPr>
                <w:rFonts w:ascii="Arial Narrow" w:hAnsi="Arial Narrow"/>
                <w:sz w:val="20"/>
                <w:szCs w:val="20"/>
              </w:rPr>
              <w:t>3</w:t>
            </w:r>
          </w:p>
        </w:tc>
        <w:tc>
          <w:tcPr>
            <w:tcW w:w="1260" w:type="dxa"/>
            <w:tcBorders>
              <w:bottom w:val="thinThickSmallGap" w:sz="18" w:space="0" w:color="auto"/>
            </w:tcBorders>
            <w:vAlign w:val="center"/>
          </w:tcPr>
          <w:p w:rsidR="00552F85" w:rsidRPr="00365DFB" w:rsidRDefault="00552F85" w:rsidP="00365DFB">
            <w:pPr>
              <w:tabs>
                <w:tab w:val="decimal" w:pos="0"/>
              </w:tabs>
              <w:spacing w:before="40" w:after="40"/>
              <w:jc w:val="center"/>
              <w:rPr>
                <w:rFonts w:ascii="Arial Narrow" w:hAnsi="Arial Narrow"/>
                <w:sz w:val="20"/>
                <w:szCs w:val="20"/>
              </w:rPr>
            </w:pPr>
            <w:r w:rsidRPr="00365DFB">
              <w:rPr>
                <w:rFonts w:ascii="Arial Narrow" w:hAnsi="Arial Narrow"/>
                <w:sz w:val="20"/>
                <w:szCs w:val="20"/>
              </w:rPr>
              <w:t>1</w:t>
            </w:r>
          </w:p>
        </w:tc>
        <w:tc>
          <w:tcPr>
            <w:tcW w:w="1252" w:type="dxa"/>
            <w:tcBorders>
              <w:bottom w:val="thinThickSmallGap" w:sz="18" w:space="0" w:color="auto"/>
            </w:tcBorders>
            <w:vAlign w:val="center"/>
          </w:tcPr>
          <w:p w:rsidR="00552F85" w:rsidRPr="00365DFB" w:rsidRDefault="00552F85" w:rsidP="00365DFB">
            <w:pPr>
              <w:tabs>
                <w:tab w:val="decimal" w:pos="-26"/>
              </w:tabs>
              <w:spacing w:before="40" w:after="40"/>
              <w:jc w:val="center"/>
              <w:rPr>
                <w:rFonts w:ascii="Arial Narrow" w:hAnsi="Arial Narrow"/>
                <w:sz w:val="20"/>
                <w:szCs w:val="20"/>
              </w:rPr>
            </w:pPr>
            <w:r w:rsidRPr="00365DFB">
              <w:rPr>
                <w:rFonts w:ascii="Arial Narrow" w:hAnsi="Arial Narrow"/>
                <w:sz w:val="20"/>
                <w:szCs w:val="20"/>
              </w:rPr>
              <w:t>36</w:t>
            </w:r>
          </w:p>
        </w:tc>
        <w:tc>
          <w:tcPr>
            <w:tcW w:w="1178" w:type="dxa"/>
            <w:tcBorders>
              <w:bottom w:val="thinThickSmallGap" w:sz="18" w:space="0" w:color="auto"/>
            </w:tcBorders>
            <w:vAlign w:val="center"/>
          </w:tcPr>
          <w:p w:rsidR="00552F85" w:rsidRPr="00365DFB" w:rsidRDefault="00552F85" w:rsidP="00365DFB">
            <w:pPr>
              <w:tabs>
                <w:tab w:val="decimal" w:pos="-26"/>
              </w:tabs>
              <w:spacing w:before="40" w:after="40"/>
              <w:jc w:val="center"/>
              <w:rPr>
                <w:rFonts w:ascii="Arial Narrow" w:hAnsi="Arial Narrow"/>
                <w:sz w:val="20"/>
                <w:szCs w:val="20"/>
              </w:rPr>
            </w:pPr>
            <w:r w:rsidRPr="00365DFB">
              <w:rPr>
                <w:rFonts w:ascii="Arial Narrow" w:hAnsi="Arial Narrow"/>
                <w:sz w:val="20"/>
                <w:szCs w:val="20"/>
              </w:rPr>
              <w:t>1.5</w:t>
            </w:r>
          </w:p>
        </w:tc>
        <w:tc>
          <w:tcPr>
            <w:tcW w:w="1530" w:type="dxa"/>
            <w:tcBorders>
              <w:bottom w:val="thinThickSmallGap" w:sz="18" w:space="0" w:color="auto"/>
            </w:tcBorders>
            <w:vAlign w:val="center"/>
          </w:tcPr>
          <w:p w:rsidR="00552F85" w:rsidRPr="00365DFB" w:rsidRDefault="00552F85" w:rsidP="00365DFB">
            <w:pPr>
              <w:tabs>
                <w:tab w:val="decimal" w:pos="-26"/>
              </w:tabs>
              <w:spacing w:before="40" w:after="40"/>
              <w:jc w:val="center"/>
              <w:rPr>
                <w:rFonts w:ascii="Arial Narrow" w:hAnsi="Arial Narrow"/>
                <w:sz w:val="20"/>
                <w:szCs w:val="20"/>
              </w:rPr>
            </w:pPr>
            <w:r w:rsidRPr="00365DFB">
              <w:rPr>
                <w:rFonts w:ascii="Arial Narrow" w:hAnsi="Arial Narrow"/>
                <w:sz w:val="20"/>
                <w:szCs w:val="20"/>
              </w:rPr>
              <w:t>54</w:t>
            </w:r>
          </w:p>
        </w:tc>
      </w:tr>
      <w:tr w:rsidR="00552F85" w:rsidTr="00365DFB">
        <w:trPr>
          <w:jc w:val="center"/>
        </w:trPr>
        <w:tc>
          <w:tcPr>
            <w:tcW w:w="1732" w:type="dxa"/>
            <w:tcBorders>
              <w:top w:val="thinThickSmallGap" w:sz="18" w:space="0" w:color="auto"/>
            </w:tcBorders>
            <w:vAlign w:val="center"/>
          </w:tcPr>
          <w:p w:rsidR="00552F85" w:rsidRPr="00365DFB" w:rsidRDefault="00552F85" w:rsidP="00693F9A">
            <w:pPr>
              <w:tabs>
                <w:tab w:val="decimal" w:pos="632"/>
              </w:tabs>
              <w:spacing w:before="40" w:after="40"/>
              <w:jc w:val="center"/>
              <w:rPr>
                <w:rFonts w:ascii="Arial Narrow" w:hAnsi="Arial Narrow"/>
                <w:b/>
                <w:sz w:val="20"/>
                <w:szCs w:val="20"/>
              </w:rPr>
            </w:pPr>
            <w:r w:rsidRPr="00365DFB">
              <w:rPr>
                <w:rFonts w:ascii="Arial Narrow" w:hAnsi="Arial Narrow"/>
                <w:b/>
                <w:sz w:val="20"/>
                <w:szCs w:val="20"/>
              </w:rPr>
              <w:t>Total</w:t>
            </w:r>
          </w:p>
        </w:tc>
        <w:tc>
          <w:tcPr>
            <w:tcW w:w="1435" w:type="dxa"/>
            <w:tcBorders>
              <w:top w:val="thinThickSmallGap" w:sz="18" w:space="0" w:color="auto"/>
            </w:tcBorders>
            <w:vAlign w:val="center"/>
          </w:tcPr>
          <w:p w:rsidR="00552F85" w:rsidRPr="00365DFB" w:rsidRDefault="00552F85" w:rsidP="00693F9A">
            <w:pPr>
              <w:spacing w:before="40" w:after="40"/>
              <w:jc w:val="center"/>
              <w:rPr>
                <w:rFonts w:ascii="Arial Narrow" w:hAnsi="Arial Narrow"/>
                <w:b/>
                <w:sz w:val="20"/>
                <w:szCs w:val="20"/>
              </w:rPr>
            </w:pPr>
          </w:p>
        </w:tc>
        <w:tc>
          <w:tcPr>
            <w:tcW w:w="1170" w:type="dxa"/>
            <w:tcBorders>
              <w:top w:val="thinThickSmallGap" w:sz="18" w:space="0" w:color="auto"/>
            </w:tcBorders>
            <w:vAlign w:val="center"/>
          </w:tcPr>
          <w:p w:rsidR="00552F85" w:rsidRPr="00365DFB" w:rsidRDefault="00552F85" w:rsidP="00693F9A">
            <w:pPr>
              <w:spacing w:before="40" w:after="40"/>
              <w:jc w:val="center"/>
              <w:rPr>
                <w:rFonts w:ascii="Arial Narrow" w:hAnsi="Arial Narrow"/>
                <w:b/>
                <w:sz w:val="20"/>
                <w:szCs w:val="20"/>
              </w:rPr>
            </w:pPr>
          </w:p>
        </w:tc>
        <w:tc>
          <w:tcPr>
            <w:tcW w:w="1260" w:type="dxa"/>
            <w:tcBorders>
              <w:top w:val="thinThickSmallGap" w:sz="18" w:space="0" w:color="auto"/>
            </w:tcBorders>
            <w:vAlign w:val="center"/>
          </w:tcPr>
          <w:p w:rsidR="00552F85" w:rsidRPr="00365DFB" w:rsidRDefault="00552F85" w:rsidP="00693F9A">
            <w:pPr>
              <w:tabs>
                <w:tab w:val="decimal" w:pos="617"/>
              </w:tabs>
              <w:spacing w:before="40" w:after="40"/>
              <w:jc w:val="center"/>
              <w:rPr>
                <w:rFonts w:ascii="Arial Narrow" w:hAnsi="Arial Narrow"/>
                <w:b/>
                <w:sz w:val="20"/>
                <w:szCs w:val="20"/>
              </w:rPr>
            </w:pPr>
          </w:p>
        </w:tc>
        <w:tc>
          <w:tcPr>
            <w:tcW w:w="1252" w:type="dxa"/>
            <w:tcBorders>
              <w:top w:val="thinThickSmallGap" w:sz="18" w:space="0" w:color="auto"/>
            </w:tcBorders>
            <w:vAlign w:val="center"/>
          </w:tcPr>
          <w:p w:rsidR="00552F85" w:rsidRPr="00365DFB" w:rsidRDefault="00552F85" w:rsidP="00693F9A">
            <w:pPr>
              <w:tabs>
                <w:tab w:val="decimal" w:pos="617"/>
              </w:tabs>
              <w:spacing w:before="40" w:after="40"/>
              <w:jc w:val="center"/>
              <w:rPr>
                <w:rFonts w:ascii="Arial Narrow" w:hAnsi="Arial Narrow"/>
                <w:b/>
                <w:sz w:val="20"/>
                <w:szCs w:val="20"/>
              </w:rPr>
            </w:pPr>
          </w:p>
        </w:tc>
        <w:tc>
          <w:tcPr>
            <w:tcW w:w="1178" w:type="dxa"/>
            <w:tcBorders>
              <w:top w:val="thinThickSmallGap" w:sz="18" w:space="0" w:color="auto"/>
            </w:tcBorders>
            <w:vAlign w:val="center"/>
          </w:tcPr>
          <w:p w:rsidR="00552F85" w:rsidRPr="00365DFB" w:rsidRDefault="00552F85" w:rsidP="00693F9A">
            <w:pPr>
              <w:tabs>
                <w:tab w:val="decimal" w:pos="617"/>
              </w:tabs>
              <w:spacing w:before="40" w:after="40"/>
              <w:jc w:val="center"/>
              <w:rPr>
                <w:rFonts w:ascii="Arial Narrow" w:hAnsi="Arial Narrow"/>
                <w:b/>
                <w:sz w:val="20"/>
                <w:szCs w:val="20"/>
              </w:rPr>
            </w:pPr>
          </w:p>
        </w:tc>
        <w:tc>
          <w:tcPr>
            <w:tcW w:w="1530" w:type="dxa"/>
            <w:tcBorders>
              <w:top w:val="thinThickSmallGap" w:sz="18" w:space="0" w:color="auto"/>
            </w:tcBorders>
            <w:vAlign w:val="center"/>
          </w:tcPr>
          <w:p w:rsidR="00552F85" w:rsidRPr="00365DFB" w:rsidRDefault="00552F85" w:rsidP="00365DFB">
            <w:pPr>
              <w:tabs>
                <w:tab w:val="decimal" w:pos="0"/>
              </w:tabs>
              <w:spacing w:before="40" w:after="40"/>
              <w:jc w:val="center"/>
              <w:rPr>
                <w:rFonts w:ascii="Arial Narrow" w:hAnsi="Arial Narrow"/>
                <w:b/>
                <w:sz w:val="20"/>
                <w:szCs w:val="20"/>
              </w:rPr>
            </w:pPr>
            <w:r w:rsidRPr="00365DFB">
              <w:rPr>
                <w:rFonts w:ascii="Arial Narrow" w:hAnsi="Arial Narrow"/>
                <w:b/>
                <w:sz w:val="20"/>
                <w:szCs w:val="20"/>
              </w:rPr>
              <w:t>162</w:t>
            </w:r>
          </w:p>
        </w:tc>
      </w:tr>
    </w:tbl>
    <w:p w:rsidR="00A513E1" w:rsidRPr="00693F9A" w:rsidRDefault="00A513E1" w:rsidP="00A513E1">
      <w:pPr>
        <w:rPr>
          <w:rFonts w:ascii="Arial" w:hAnsi="Arial" w:cs="Arial"/>
          <w:sz w:val="20"/>
          <w:szCs w:val="20"/>
        </w:rPr>
      </w:pPr>
    </w:p>
    <w:p w:rsidR="008E02F4" w:rsidRDefault="008E02F4">
      <w:pPr>
        <w:pStyle w:val="NormalWeb"/>
        <w:rPr>
          <w:rFonts w:ascii="Arial" w:hAnsi="Arial" w:cs="Arial"/>
          <w:b/>
          <w:sz w:val="20"/>
          <w:szCs w:val="20"/>
        </w:rPr>
      </w:pPr>
    </w:p>
    <w:p w:rsidR="00BD1BF2" w:rsidRDefault="00BD1BF2">
      <w:pPr>
        <w:pStyle w:val="NormalWeb"/>
        <w:rPr>
          <w:rFonts w:ascii="Arial" w:hAnsi="Arial" w:cs="Arial"/>
          <w:sz w:val="20"/>
          <w:szCs w:val="20"/>
        </w:rPr>
      </w:pPr>
      <w:r w:rsidRPr="00767616">
        <w:rPr>
          <w:rFonts w:ascii="Arial" w:hAnsi="Arial" w:cs="Arial"/>
          <w:b/>
          <w:sz w:val="20"/>
          <w:szCs w:val="20"/>
        </w:rPr>
        <w:t>13. Estimate of total annual costs to respondents</w:t>
      </w:r>
      <w:r>
        <w:rPr>
          <w:rFonts w:ascii="Arial" w:hAnsi="Arial" w:cs="Arial"/>
          <w:sz w:val="20"/>
          <w:szCs w:val="20"/>
        </w:rPr>
        <w:t>:</w:t>
      </w:r>
    </w:p>
    <w:p w:rsidR="00BD1BF2" w:rsidRPr="00A17523" w:rsidRDefault="00A17523">
      <w:pPr>
        <w:pStyle w:val="BodyText"/>
        <w:rPr>
          <w:color w:val="000000"/>
        </w:rPr>
      </w:pPr>
      <w:r>
        <w:rPr>
          <w:color w:val="000000"/>
        </w:rPr>
        <w:t>Not applicable.  Respondents</w:t>
      </w:r>
      <w:r w:rsidR="00693F9A">
        <w:rPr>
          <w:color w:val="000000"/>
        </w:rPr>
        <w:t xml:space="preserve"> will have no additional burden</w:t>
      </w:r>
      <w:r>
        <w:rPr>
          <w:color w:val="000000"/>
        </w:rPr>
        <w:t xml:space="preserve"> beyond the hou</w:t>
      </w:r>
      <w:r w:rsidR="00DC00B2">
        <w:rPr>
          <w:color w:val="000000"/>
        </w:rPr>
        <w:t>rs of burden shown in item 12</w:t>
      </w:r>
      <w:r>
        <w:rPr>
          <w:color w:val="000000"/>
        </w:rPr>
        <w:t>.</w:t>
      </w:r>
    </w:p>
    <w:p w:rsidR="00BD1BF2" w:rsidRDefault="00BD1BF2">
      <w:pPr>
        <w:pStyle w:val="NormalWeb"/>
        <w:rPr>
          <w:rFonts w:ascii="Arial" w:hAnsi="Arial" w:cs="Arial"/>
          <w:sz w:val="20"/>
          <w:szCs w:val="20"/>
        </w:rPr>
      </w:pPr>
      <w:r w:rsidRPr="00767616">
        <w:rPr>
          <w:rFonts w:ascii="Arial" w:hAnsi="Arial" w:cs="Arial"/>
          <w:b/>
          <w:sz w:val="20"/>
          <w:szCs w:val="20"/>
        </w:rPr>
        <w:t xml:space="preserve">14. Estimate of cost to the Federal </w:t>
      </w:r>
      <w:r w:rsidR="00743941" w:rsidRPr="00767616">
        <w:rPr>
          <w:rFonts w:ascii="Arial" w:hAnsi="Arial" w:cs="Arial"/>
          <w:b/>
          <w:sz w:val="20"/>
          <w:szCs w:val="20"/>
        </w:rPr>
        <w:t>G</w:t>
      </w:r>
      <w:r w:rsidRPr="00767616">
        <w:rPr>
          <w:rFonts w:ascii="Arial" w:hAnsi="Arial" w:cs="Arial"/>
          <w:b/>
          <w:sz w:val="20"/>
          <w:szCs w:val="20"/>
        </w:rPr>
        <w:t>overnment</w:t>
      </w:r>
      <w:r>
        <w:rPr>
          <w:rFonts w:ascii="Arial" w:hAnsi="Arial" w:cs="Arial"/>
          <w:sz w:val="20"/>
          <w:szCs w:val="20"/>
        </w:rPr>
        <w:t>:</w:t>
      </w:r>
    </w:p>
    <w:p w:rsidR="0021437D" w:rsidRPr="008E02F4" w:rsidRDefault="00767616" w:rsidP="0019540B">
      <w:pPr>
        <w:autoSpaceDE w:val="0"/>
        <w:autoSpaceDN w:val="0"/>
        <w:adjustRightInd w:val="0"/>
        <w:rPr>
          <w:rFonts w:ascii="Arial" w:hAnsi="Arial" w:cs="Arial"/>
          <w:sz w:val="20"/>
          <w:szCs w:val="20"/>
        </w:rPr>
      </w:pPr>
      <w:r>
        <w:rPr>
          <w:rFonts w:ascii="Arial" w:hAnsi="Arial" w:cs="Arial"/>
          <w:sz w:val="20"/>
          <w:szCs w:val="20"/>
        </w:rPr>
        <w:t>The estimated cost to the F</w:t>
      </w:r>
      <w:r w:rsidR="0019540B" w:rsidRPr="0019540B">
        <w:rPr>
          <w:rFonts w:ascii="Arial" w:hAnsi="Arial" w:cs="Arial"/>
          <w:sz w:val="20"/>
          <w:szCs w:val="20"/>
        </w:rPr>
        <w:t xml:space="preserve">ederal </w:t>
      </w:r>
      <w:r>
        <w:rPr>
          <w:rFonts w:ascii="Arial" w:hAnsi="Arial" w:cs="Arial"/>
          <w:sz w:val="20"/>
          <w:szCs w:val="20"/>
        </w:rPr>
        <w:t>G</w:t>
      </w:r>
      <w:r w:rsidR="0019540B" w:rsidRPr="0019540B">
        <w:rPr>
          <w:rFonts w:ascii="Arial" w:hAnsi="Arial" w:cs="Arial"/>
          <w:sz w:val="20"/>
          <w:szCs w:val="20"/>
        </w:rPr>
        <w:t>overnment is $</w:t>
      </w:r>
      <w:r w:rsidR="00693F9A">
        <w:rPr>
          <w:rFonts w:ascii="Arial" w:hAnsi="Arial" w:cs="Arial"/>
          <w:sz w:val="20"/>
          <w:szCs w:val="20"/>
        </w:rPr>
        <w:t>50,826</w:t>
      </w:r>
      <w:r w:rsidR="0019540B" w:rsidRPr="0019540B">
        <w:rPr>
          <w:rFonts w:ascii="Arial" w:hAnsi="Arial" w:cs="Arial"/>
          <w:sz w:val="20"/>
          <w:szCs w:val="20"/>
        </w:rPr>
        <w:t>. This includes the costs paid to the</w:t>
      </w:r>
      <w:r w:rsidR="008E02F4">
        <w:rPr>
          <w:rFonts w:ascii="Arial" w:hAnsi="Arial" w:cs="Arial"/>
          <w:sz w:val="20"/>
          <w:szCs w:val="20"/>
        </w:rPr>
        <w:t xml:space="preserve"> </w:t>
      </w:r>
      <w:r w:rsidR="0019540B" w:rsidRPr="0019540B">
        <w:rPr>
          <w:rFonts w:ascii="Arial" w:hAnsi="Arial" w:cs="Arial"/>
          <w:sz w:val="20"/>
          <w:szCs w:val="20"/>
        </w:rPr>
        <w:t xml:space="preserve">contractor to </w:t>
      </w:r>
      <w:r w:rsidR="0019540B">
        <w:rPr>
          <w:rFonts w:ascii="Arial" w:hAnsi="Arial" w:cs="Arial"/>
          <w:sz w:val="20"/>
          <w:szCs w:val="20"/>
        </w:rPr>
        <w:t xml:space="preserve">set up the focus group, renting meeting space, recruit participants, moderate the groups (includes travel and subsistence), payment of incentive, and analyze the data and draft a report.  Time is also incurred by </w:t>
      </w:r>
      <w:r w:rsidR="00C8420F">
        <w:rPr>
          <w:rFonts w:ascii="Arial" w:hAnsi="Arial" w:cs="Arial"/>
          <w:sz w:val="20"/>
          <w:szCs w:val="20"/>
        </w:rPr>
        <w:t xml:space="preserve">the </w:t>
      </w:r>
      <w:r w:rsidR="0019540B">
        <w:rPr>
          <w:rFonts w:ascii="Arial" w:hAnsi="Arial" w:cs="Arial"/>
          <w:sz w:val="20"/>
          <w:szCs w:val="20"/>
        </w:rPr>
        <w:t xml:space="preserve">EAR </w:t>
      </w:r>
      <w:r w:rsidR="00C8420F">
        <w:rPr>
          <w:rFonts w:ascii="Arial" w:hAnsi="Arial" w:cs="Arial"/>
          <w:sz w:val="20"/>
          <w:szCs w:val="20"/>
        </w:rPr>
        <w:t xml:space="preserve">Program </w:t>
      </w:r>
      <w:r w:rsidR="0019540B">
        <w:rPr>
          <w:rFonts w:ascii="Arial" w:hAnsi="Arial" w:cs="Arial"/>
          <w:sz w:val="20"/>
          <w:szCs w:val="20"/>
        </w:rPr>
        <w:t>staff to manage the contract and review deliverables.</w:t>
      </w:r>
    </w:p>
    <w:p w:rsidR="00BD1BF2" w:rsidRDefault="00BD1BF2">
      <w:pPr>
        <w:pStyle w:val="NormalWeb"/>
        <w:rPr>
          <w:rFonts w:ascii="Arial" w:hAnsi="Arial" w:cs="Arial"/>
          <w:sz w:val="20"/>
          <w:szCs w:val="20"/>
        </w:rPr>
      </w:pPr>
      <w:r w:rsidRPr="00767616">
        <w:rPr>
          <w:rFonts w:ascii="Arial" w:hAnsi="Arial" w:cs="Arial"/>
          <w:b/>
          <w:sz w:val="20"/>
          <w:szCs w:val="20"/>
        </w:rPr>
        <w:t>15. Explanation of program changes or adjustments</w:t>
      </w:r>
      <w:r>
        <w:rPr>
          <w:rFonts w:ascii="Arial" w:hAnsi="Arial" w:cs="Arial"/>
          <w:sz w:val="20"/>
          <w:szCs w:val="20"/>
        </w:rPr>
        <w:t>:</w:t>
      </w:r>
    </w:p>
    <w:p w:rsidR="00BD1BF2" w:rsidRPr="00693F9A" w:rsidRDefault="00A17523">
      <w:pPr>
        <w:pStyle w:val="BodyText"/>
        <w:rPr>
          <w:color w:val="000000"/>
        </w:rPr>
      </w:pPr>
      <w:r w:rsidRPr="00693F9A">
        <w:rPr>
          <w:color w:val="000000"/>
        </w:rPr>
        <w:t>Not Applica</w:t>
      </w:r>
      <w:r w:rsidR="00693F9A" w:rsidRPr="00693F9A">
        <w:rPr>
          <w:color w:val="000000"/>
        </w:rPr>
        <w:t>ble.  This is a new collection.</w:t>
      </w:r>
    </w:p>
    <w:p w:rsidR="00BD1BF2" w:rsidRDefault="00BD1BF2">
      <w:pPr>
        <w:pStyle w:val="NormalWeb"/>
        <w:rPr>
          <w:rFonts w:ascii="Arial" w:hAnsi="Arial" w:cs="Arial"/>
          <w:sz w:val="20"/>
          <w:szCs w:val="20"/>
        </w:rPr>
      </w:pPr>
      <w:r w:rsidRPr="00CC1633">
        <w:rPr>
          <w:rFonts w:ascii="Arial" w:hAnsi="Arial" w:cs="Arial"/>
          <w:b/>
          <w:sz w:val="20"/>
          <w:szCs w:val="20"/>
        </w:rPr>
        <w:t>16. Publication of results of data collection</w:t>
      </w:r>
      <w:r>
        <w:rPr>
          <w:rFonts w:ascii="Arial" w:hAnsi="Arial" w:cs="Arial"/>
          <w:sz w:val="20"/>
          <w:szCs w:val="20"/>
        </w:rPr>
        <w:t>:</w:t>
      </w:r>
    </w:p>
    <w:p w:rsidR="0010320C" w:rsidRPr="0010320C" w:rsidRDefault="0010320C">
      <w:pPr>
        <w:pStyle w:val="BodyText"/>
        <w:rPr>
          <w:color w:val="000000"/>
        </w:rPr>
      </w:pPr>
      <w:r w:rsidRPr="0010320C">
        <w:rPr>
          <w:color w:val="000000"/>
        </w:rPr>
        <w:t xml:space="preserve">There are no tabulated results for the information collection.  Information is qualitative in nature.  </w:t>
      </w:r>
    </w:p>
    <w:p w:rsidR="0010320C" w:rsidRPr="0010320C" w:rsidRDefault="0010320C">
      <w:pPr>
        <w:pStyle w:val="BodyText"/>
        <w:rPr>
          <w:color w:val="000000"/>
        </w:rPr>
      </w:pPr>
    </w:p>
    <w:p w:rsidR="0010320C" w:rsidRPr="0010320C" w:rsidRDefault="0010320C">
      <w:pPr>
        <w:pStyle w:val="BodyText"/>
        <w:rPr>
          <w:color w:val="000000"/>
        </w:rPr>
      </w:pPr>
      <w:r w:rsidRPr="0010320C">
        <w:rPr>
          <w:color w:val="000000"/>
        </w:rPr>
        <w:t xml:space="preserve">With this in mind, </w:t>
      </w:r>
      <w:r w:rsidR="00C8420F">
        <w:rPr>
          <w:color w:val="000000"/>
        </w:rPr>
        <w:t xml:space="preserve">the </w:t>
      </w:r>
      <w:r w:rsidRPr="0010320C">
        <w:rPr>
          <w:color w:val="000000"/>
        </w:rPr>
        <w:t xml:space="preserve">EAR </w:t>
      </w:r>
      <w:r w:rsidR="00C8420F">
        <w:rPr>
          <w:color w:val="000000"/>
        </w:rPr>
        <w:t xml:space="preserve">Program </w:t>
      </w:r>
      <w:r w:rsidRPr="0010320C">
        <w:rPr>
          <w:color w:val="000000"/>
        </w:rPr>
        <w:t>will disseminate focus group findings when appropriate and will include specific discussion of the limitations of focus group results with regard to be</w:t>
      </w:r>
      <w:r w:rsidR="00693F9A">
        <w:rPr>
          <w:color w:val="000000"/>
        </w:rPr>
        <w:t>ing non-</w:t>
      </w:r>
      <w:r w:rsidR="00365DFB">
        <w:rPr>
          <w:color w:val="000000"/>
        </w:rPr>
        <w:t>qualitative</w:t>
      </w:r>
      <w:r w:rsidR="00693F9A">
        <w:rPr>
          <w:color w:val="000000"/>
        </w:rPr>
        <w:t xml:space="preserve"> and non-</w:t>
      </w:r>
      <w:proofErr w:type="spellStart"/>
      <w:r w:rsidR="00693F9A">
        <w:rPr>
          <w:color w:val="000000"/>
        </w:rPr>
        <w:t>gener</w:t>
      </w:r>
      <w:r w:rsidR="00CC1633">
        <w:rPr>
          <w:color w:val="000000"/>
        </w:rPr>
        <w:t>alizeable</w:t>
      </w:r>
      <w:proofErr w:type="spellEnd"/>
      <w:r w:rsidR="00CC1633">
        <w:rPr>
          <w:color w:val="000000"/>
        </w:rPr>
        <w:t xml:space="preserve"> </w:t>
      </w:r>
      <w:r w:rsidRPr="0010320C">
        <w:rPr>
          <w:color w:val="000000"/>
        </w:rPr>
        <w:t xml:space="preserve">to the population as a whole.   </w:t>
      </w:r>
    </w:p>
    <w:p w:rsidR="00BD1BF2" w:rsidRDefault="00BD1BF2">
      <w:pPr>
        <w:pStyle w:val="NormalWeb"/>
        <w:rPr>
          <w:rFonts w:ascii="Arial" w:hAnsi="Arial" w:cs="Arial"/>
          <w:sz w:val="20"/>
          <w:szCs w:val="20"/>
        </w:rPr>
      </w:pPr>
      <w:r w:rsidRPr="00CC1633">
        <w:rPr>
          <w:rFonts w:ascii="Arial" w:hAnsi="Arial" w:cs="Arial"/>
          <w:b/>
          <w:sz w:val="20"/>
          <w:szCs w:val="20"/>
        </w:rPr>
        <w:t>17. Approval for not displaying the expiration date of OMB approval</w:t>
      </w:r>
      <w:r>
        <w:rPr>
          <w:rFonts w:ascii="Arial" w:hAnsi="Arial" w:cs="Arial"/>
          <w:sz w:val="20"/>
          <w:szCs w:val="20"/>
        </w:rPr>
        <w:t>:</w:t>
      </w:r>
    </w:p>
    <w:p w:rsidR="00BD1BF2" w:rsidRPr="0010320C" w:rsidRDefault="00C8420F">
      <w:pPr>
        <w:pStyle w:val="BodyText"/>
        <w:rPr>
          <w:color w:val="000000"/>
        </w:rPr>
      </w:pPr>
      <w:r>
        <w:rPr>
          <w:color w:val="000000"/>
        </w:rPr>
        <w:t xml:space="preserve">The EAR Program </w:t>
      </w:r>
      <w:r w:rsidR="0010320C" w:rsidRPr="0010320C">
        <w:rPr>
          <w:color w:val="000000"/>
        </w:rPr>
        <w:t xml:space="preserve">is </w:t>
      </w:r>
      <w:r w:rsidR="00365DFB">
        <w:rPr>
          <w:color w:val="000000"/>
        </w:rPr>
        <w:t>not seeking this approval.</w:t>
      </w:r>
    </w:p>
    <w:p w:rsidR="00BD1BF2" w:rsidRDefault="00BD1BF2">
      <w:pPr>
        <w:pStyle w:val="NormalWeb"/>
        <w:rPr>
          <w:rFonts w:ascii="Arial" w:hAnsi="Arial" w:cs="Arial"/>
          <w:sz w:val="20"/>
          <w:szCs w:val="20"/>
        </w:rPr>
      </w:pPr>
      <w:r w:rsidRPr="000F3D72">
        <w:rPr>
          <w:rFonts w:ascii="Arial" w:hAnsi="Arial" w:cs="Arial"/>
          <w:b/>
          <w:sz w:val="20"/>
          <w:szCs w:val="20"/>
        </w:rPr>
        <w:t xml:space="preserve">18. </w:t>
      </w:r>
      <w:r w:rsidR="000F3D72" w:rsidRPr="000F3D72">
        <w:rPr>
          <w:rFonts w:ascii="Arial" w:hAnsi="Arial" w:cs="Arial"/>
          <w:b/>
          <w:sz w:val="20"/>
          <w:szCs w:val="20"/>
        </w:rPr>
        <w:t xml:space="preserve">Exceptions to certification </w:t>
      </w:r>
      <w:r w:rsidRPr="000F3D72">
        <w:rPr>
          <w:rFonts w:ascii="Arial" w:hAnsi="Arial" w:cs="Arial"/>
          <w:b/>
          <w:sz w:val="20"/>
          <w:szCs w:val="20"/>
        </w:rPr>
        <w:t>statement</w:t>
      </w:r>
      <w:r>
        <w:rPr>
          <w:rFonts w:ascii="Arial" w:hAnsi="Arial" w:cs="Arial"/>
          <w:sz w:val="20"/>
          <w:szCs w:val="20"/>
        </w:rPr>
        <w:t>:</w:t>
      </w:r>
    </w:p>
    <w:p w:rsidR="00BD1BF2" w:rsidRPr="0010320C" w:rsidRDefault="0010320C">
      <w:pPr>
        <w:rPr>
          <w:rFonts w:ascii="Arial" w:hAnsi="Arial" w:cs="Arial"/>
          <w:color w:val="000000"/>
          <w:sz w:val="20"/>
          <w:szCs w:val="20"/>
        </w:rPr>
      </w:pPr>
      <w:r w:rsidRPr="0010320C">
        <w:rPr>
          <w:rFonts w:ascii="Arial" w:hAnsi="Arial" w:cs="Arial"/>
          <w:color w:val="000000"/>
          <w:sz w:val="20"/>
          <w:szCs w:val="20"/>
        </w:rPr>
        <w:t xml:space="preserve">No exemptions are required; these </w:t>
      </w:r>
      <w:r w:rsidR="00693F9A" w:rsidRPr="0010320C">
        <w:rPr>
          <w:rFonts w:ascii="Arial" w:hAnsi="Arial" w:cs="Arial"/>
          <w:color w:val="000000"/>
          <w:sz w:val="20"/>
          <w:szCs w:val="20"/>
        </w:rPr>
        <w:t>activities</w:t>
      </w:r>
      <w:r w:rsidRPr="0010320C">
        <w:rPr>
          <w:rFonts w:ascii="Arial" w:hAnsi="Arial" w:cs="Arial"/>
          <w:color w:val="000000"/>
          <w:sz w:val="20"/>
          <w:szCs w:val="20"/>
        </w:rPr>
        <w:t xml:space="preserve"> will comply with the requirements in 5 CFR 1320.9.</w:t>
      </w:r>
    </w:p>
    <w:p w:rsidR="00BD1BF2" w:rsidRPr="00CC1633" w:rsidRDefault="00BD1BF2">
      <w:pPr>
        <w:pStyle w:val="NormalWeb"/>
        <w:rPr>
          <w:rFonts w:ascii="Arial" w:hAnsi="Arial" w:cs="Arial"/>
          <w:b/>
          <w:sz w:val="20"/>
          <w:szCs w:val="20"/>
        </w:rPr>
      </w:pPr>
      <w:r w:rsidRPr="00CC1633">
        <w:rPr>
          <w:rFonts w:ascii="Arial" w:hAnsi="Arial" w:cs="Arial"/>
          <w:b/>
          <w:sz w:val="20"/>
          <w:szCs w:val="20"/>
        </w:rPr>
        <w:t>Part B. Collections of Information Employing Statistical Methods</w:t>
      </w:r>
    </w:p>
    <w:p w:rsidR="00BD1BF2" w:rsidRPr="0010320C" w:rsidRDefault="00E137A0">
      <w:pPr>
        <w:pStyle w:val="BodyText"/>
        <w:rPr>
          <w:color w:val="000000"/>
        </w:rPr>
      </w:pPr>
      <w:r>
        <w:rPr>
          <w:color w:val="000000"/>
        </w:rPr>
        <w:t xml:space="preserve">Not applicable. </w:t>
      </w:r>
    </w:p>
    <w:p w:rsidR="00BD1BF2" w:rsidRDefault="00BD1BF2">
      <w:pPr>
        <w:rPr>
          <w:color w:val="FF0000"/>
        </w:rPr>
      </w:pPr>
      <w:r>
        <w:rPr>
          <w:color w:val="FF0000"/>
        </w:rPr>
        <w:br/>
      </w:r>
      <w:r>
        <w:rPr>
          <w:color w:val="FF0000"/>
        </w:rPr>
        <w:br/>
      </w:r>
      <w:r>
        <w:rPr>
          <w:color w:val="FF0000"/>
        </w:rPr>
        <w:br/>
      </w:r>
    </w:p>
    <w:sectPr w:rsidR="00BD1BF2" w:rsidSect="000B204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A40" w:rsidRDefault="00F83A40" w:rsidP="00A513E1">
      <w:r>
        <w:separator/>
      </w:r>
    </w:p>
  </w:endnote>
  <w:endnote w:type="continuationSeparator" w:id="0">
    <w:p w:rsidR="00F83A40" w:rsidRDefault="00F83A40" w:rsidP="00A513E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D72" w:rsidRDefault="00E161C1">
    <w:pPr>
      <w:pStyle w:val="Footer"/>
      <w:pBdr>
        <w:top w:val="single" w:sz="4" w:space="1" w:color="D9D9D9"/>
      </w:pBdr>
      <w:jc w:val="right"/>
    </w:pPr>
    <w:fldSimple w:instr=" PAGE   \* MERGEFORMAT ">
      <w:r w:rsidR="008E02F4">
        <w:rPr>
          <w:noProof/>
        </w:rPr>
        <w:t>4</w:t>
      </w:r>
    </w:fldSimple>
    <w:r w:rsidR="000F3D72">
      <w:t xml:space="preserve"> | </w:t>
    </w:r>
    <w:r w:rsidR="000F3D72">
      <w:rPr>
        <w:color w:val="7F7F7F"/>
        <w:spacing w:val="60"/>
      </w:rPr>
      <w:t>Page</w:t>
    </w:r>
  </w:p>
  <w:p w:rsidR="000F3D72" w:rsidRDefault="000F3D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A40" w:rsidRDefault="00F83A40" w:rsidP="00A513E1">
      <w:r>
        <w:separator/>
      </w:r>
    </w:p>
  </w:footnote>
  <w:footnote w:type="continuationSeparator" w:id="0">
    <w:p w:rsidR="00F83A40" w:rsidRDefault="00F83A40" w:rsidP="00A513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9774CA"/>
    <w:multiLevelType w:val="hybridMultilevel"/>
    <w:tmpl w:val="AE185C7E"/>
    <w:lvl w:ilvl="0" w:tplc="E19E0276">
      <w:start w:val="1"/>
      <w:numFmt w:val="bullet"/>
      <w:pStyle w:val="bullet7"/>
      <w:lvlText w:val=""/>
      <w:lvlJc w:val="left"/>
      <w:pPr>
        <w:tabs>
          <w:tab w:val="num" w:pos="900"/>
        </w:tabs>
        <w:ind w:left="900" w:hanging="360"/>
      </w:pPr>
      <w:rPr>
        <w:rFonts w:ascii="Wingdings" w:hAnsi="Wingdings" w:hint="default"/>
        <w:color w:val="auto"/>
      </w:rPr>
    </w:lvl>
    <w:lvl w:ilvl="1" w:tplc="04090003" w:tentative="1">
      <w:start w:val="1"/>
      <w:numFmt w:val="bullet"/>
      <w:lvlText w:val="o"/>
      <w:lvlJc w:val="left"/>
      <w:pPr>
        <w:tabs>
          <w:tab w:val="num" w:pos="2916"/>
        </w:tabs>
        <w:ind w:left="2916" w:hanging="360"/>
      </w:pPr>
      <w:rPr>
        <w:rFonts w:ascii="Courier New" w:hAnsi="Courier New" w:hint="default"/>
      </w:rPr>
    </w:lvl>
    <w:lvl w:ilvl="2" w:tplc="04090005" w:tentative="1">
      <w:start w:val="1"/>
      <w:numFmt w:val="bullet"/>
      <w:lvlText w:val=""/>
      <w:lvlJc w:val="left"/>
      <w:pPr>
        <w:tabs>
          <w:tab w:val="num" w:pos="3636"/>
        </w:tabs>
        <w:ind w:left="3636" w:hanging="360"/>
      </w:pPr>
      <w:rPr>
        <w:rFonts w:ascii="Wingdings" w:hAnsi="Wingdings" w:hint="default"/>
      </w:rPr>
    </w:lvl>
    <w:lvl w:ilvl="3" w:tplc="04090001" w:tentative="1">
      <w:start w:val="1"/>
      <w:numFmt w:val="bullet"/>
      <w:lvlText w:val=""/>
      <w:lvlJc w:val="left"/>
      <w:pPr>
        <w:tabs>
          <w:tab w:val="num" w:pos="4356"/>
        </w:tabs>
        <w:ind w:left="4356" w:hanging="360"/>
      </w:pPr>
      <w:rPr>
        <w:rFonts w:ascii="Symbol" w:hAnsi="Symbol" w:hint="default"/>
      </w:rPr>
    </w:lvl>
    <w:lvl w:ilvl="4" w:tplc="04090003" w:tentative="1">
      <w:start w:val="1"/>
      <w:numFmt w:val="bullet"/>
      <w:lvlText w:val="o"/>
      <w:lvlJc w:val="left"/>
      <w:pPr>
        <w:tabs>
          <w:tab w:val="num" w:pos="5076"/>
        </w:tabs>
        <w:ind w:left="5076" w:hanging="360"/>
      </w:pPr>
      <w:rPr>
        <w:rFonts w:ascii="Courier New" w:hAnsi="Courier New" w:hint="default"/>
      </w:rPr>
    </w:lvl>
    <w:lvl w:ilvl="5" w:tplc="04090005" w:tentative="1">
      <w:start w:val="1"/>
      <w:numFmt w:val="bullet"/>
      <w:lvlText w:val=""/>
      <w:lvlJc w:val="left"/>
      <w:pPr>
        <w:tabs>
          <w:tab w:val="num" w:pos="5796"/>
        </w:tabs>
        <w:ind w:left="5796" w:hanging="360"/>
      </w:pPr>
      <w:rPr>
        <w:rFonts w:ascii="Wingdings" w:hAnsi="Wingdings" w:hint="default"/>
      </w:rPr>
    </w:lvl>
    <w:lvl w:ilvl="6" w:tplc="04090001" w:tentative="1">
      <w:start w:val="1"/>
      <w:numFmt w:val="bullet"/>
      <w:lvlText w:val=""/>
      <w:lvlJc w:val="left"/>
      <w:pPr>
        <w:tabs>
          <w:tab w:val="num" w:pos="6516"/>
        </w:tabs>
        <w:ind w:left="6516" w:hanging="360"/>
      </w:pPr>
      <w:rPr>
        <w:rFonts w:ascii="Symbol" w:hAnsi="Symbol" w:hint="default"/>
      </w:rPr>
    </w:lvl>
    <w:lvl w:ilvl="7" w:tplc="04090003" w:tentative="1">
      <w:start w:val="1"/>
      <w:numFmt w:val="bullet"/>
      <w:lvlText w:val="o"/>
      <w:lvlJc w:val="left"/>
      <w:pPr>
        <w:tabs>
          <w:tab w:val="num" w:pos="7236"/>
        </w:tabs>
        <w:ind w:left="7236" w:hanging="360"/>
      </w:pPr>
      <w:rPr>
        <w:rFonts w:ascii="Courier New" w:hAnsi="Courier New" w:hint="default"/>
      </w:rPr>
    </w:lvl>
    <w:lvl w:ilvl="8" w:tplc="04090005" w:tentative="1">
      <w:start w:val="1"/>
      <w:numFmt w:val="bullet"/>
      <w:lvlText w:val=""/>
      <w:lvlJc w:val="left"/>
      <w:pPr>
        <w:tabs>
          <w:tab w:val="num" w:pos="7956"/>
        </w:tabs>
        <w:ind w:left="795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663648"/>
    <w:rsid w:val="000766E3"/>
    <w:rsid w:val="000B2042"/>
    <w:rsid w:val="000C2DFF"/>
    <w:rsid w:val="000F3D72"/>
    <w:rsid w:val="0010320C"/>
    <w:rsid w:val="00167FF6"/>
    <w:rsid w:val="0019540B"/>
    <w:rsid w:val="001F5DBA"/>
    <w:rsid w:val="0021437D"/>
    <w:rsid w:val="00365DFB"/>
    <w:rsid w:val="003678C5"/>
    <w:rsid w:val="003A289E"/>
    <w:rsid w:val="004C0B75"/>
    <w:rsid w:val="004D16C5"/>
    <w:rsid w:val="00552F85"/>
    <w:rsid w:val="0063066F"/>
    <w:rsid w:val="00663648"/>
    <w:rsid w:val="00693F9A"/>
    <w:rsid w:val="006A3E9E"/>
    <w:rsid w:val="00743941"/>
    <w:rsid w:val="00767616"/>
    <w:rsid w:val="007C2970"/>
    <w:rsid w:val="008E02F4"/>
    <w:rsid w:val="008F42D9"/>
    <w:rsid w:val="00A1214D"/>
    <w:rsid w:val="00A17523"/>
    <w:rsid w:val="00A513E1"/>
    <w:rsid w:val="00A9681A"/>
    <w:rsid w:val="00AB4075"/>
    <w:rsid w:val="00B0611E"/>
    <w:rsid w:val="00BC6723"/>
    <w:rsid w:val="00BD100C"/>
    <w:rsid w:val="00BD1BF2"/>
    <w:rsid w:val="00C2080B"/>
    <w:rsid w:val="00C20D4F"/>
    <w:rsid w:val="00C8420F"/>
    <w:rsid w:val="00CC1633"/>
    <w:rsid w:val="00DC00B2"/>
    <w:rsid w:val="00DC1199"/>
    <w:rsid w:val="00DD2678"/>
    <w:rsid w:val="00DF591E"/>
    <w:rsid w:val="00E137A0"/>
    <w:rsid w:val="00E161C1"/>
    <w:rsid w:val="00E3335B"/>
    <w:rsid w:val="00F01423"/>
    <w:rsid w:val="00F83A40"/>
    <w:rsid w:val="00FA4D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04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B2042"/>
    <w:rPr>
      <w:b/>
      <w:bCs/>
    </w:rPr>
  </w:style>
  <w:style w:type="paragraph" w:styleId="NormalWeb">
    <w:name w:val="Normal (Web)"/>
    <w:basedOn w:val="Normal"/>
    <w:uiPriority w:val="99"/>
    <w:rsid w:val="000B2042"/>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rsid w:val="000B2042"/>
    <w:rPr>
      <w:color w:val="0000FF"/>
      <w:u w:val="single"/>
    </w:rPr>
  </w:style>
  <w:style w:type="character" w:styleId="FollowedHyperlink">
    <w:name w:val="FollowedHyperlink"/>
    <w:basedOn w:val="DefaultParagraphFont"/>
    <w:rsid w:val="000B2042"/>
    <w:rPr>
      <w:color w:val="800080"/>
      <w:u w:val="single"/>
    </w:rPr>
  </w:style>
  <w:style w:type="paragraph" w:styleId="BodyText">
    <w:name w:val="Body Text"/>
    <w:basedOn w:val="Normal"/>
    <w:rsid w:val="000B2042"/>
    <w:rPr>
      <w:rFonts w:ascii="Arial" w:hAnsi="Arial" w:cs="Arial"/>
      <w:color w:val="FF0000"/>
      <w:sz w:val="20"/>
      <w:szCs w:val="20"/>
    </w:rPr>
  </w:style>
  <w:style w:type="paragraph" w:customStyle="1" w:styleId="bullet7">
    <w:name w:val="bullet7"/>
    <w:aliases w:val="b7"/>
    <w:basedOn w:val="BodyText"/>
    <w:rsid w:val="00E3335B"/>
    <w:pPr>
      <w:numPr>
        <w:numId w:val="1"/>
      </w:numPr>
      <w:spacing w:before="120"/>
    </w:pPr>
    <w:rPr>
      <w:rFonts w:ascii="Century Schoolbook" w:hAnsi="Century Schoolbook" w:cs="Times New Roman"/>
      <w:color w:val="auto"/>
      <w:sz w:val="24"/>
    </w:rPr>
  </w:style>
  <w:style w:type="table" w:styleId="TableGrid">
    <w:name w:val="Table Grid"/>
    <w:basedOn w:val="TableNormal"/>
    <w:rsid w:val="00B061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A513E1"/>
    <w:rPr>
      <w:sz w:val="20"/>
      <w:szCs w:val="20"/>
    </w:rPr>
  </w:style>
  <w:style w:type="character" w:customStyle="1" w:styleId="FootnoteTextChar">
    <w:name w:val="Footnote Text Char"/>
    <w:basedOn w:val="DefaultParagraphFont"/>
    <w:link w:val="FootnoteText"/>
    <w:rsid w:val="00A513E1"/>
  </w:style>
  <w:style w:type="character" w:styleId="FootnoteReference">
    <w:name w:val="footnote reference"/>
    <w:basedOn w:val="DefaultParagraphFont"/>
    <w:rsid w:val="00A513E1"/>
    <w:rPr>
      <w:vertAlign w:val="superscript"/>
    </w:rPr>
  </w:style>
  <w:style w:type="character" w:styleId="CommentReference">
    <w:name w:val="annotation reference"/>
    <w:basedOn w:val="DefaultParagraphFont"/>
    <w:rsid w:val="00693F9A"/>
    <w:rPr>
      <w:sz w:val="16"/>
      <w:szCs w:val="16"/>
    </w:rPr>
  </w:style>
  <w:style w:type="paragraph" w:styleId="CommentText">
    <w:name w:val="annotation text"/>
    <w:basedOn w:val="Normal"/>
    <w:link w:val="CommentTextChar"/>
    <w:rsid w:val="00693F9A"/>
    <w:rPr>
      <w:sz w:val="20"/>
      <w:szCs w:val="20"/>
    </w:rPr>
  </w:style>
  <w:style w:type="character" w:customStyle="1" w:styleId="CommentTextChar">
    <w:name w:val="Comment Text Char"/>
    <w:basedOn w:val="DefaultParagraphFont"/>
    <w:link w:val="CommentText"/>
    <w:rsid w:val="00693F9A"/>
  </w:style>
  <w:style w:type="paragraph" w:styleId="CommentSubject">
    <w:name w:val="annotation subject"/>
    <w:basedOn w:val="CommentText"/>
    <w:next w:val="CommentText"/>
    <w:link w:val="CommentSubjectChar"/>
    <w:rsid w:val="00693F9A"/>
    <w:rPr>
      <w:b/>
      <w:bCs/>
    </w:rPr>
  </w:style>
  <w:style w:type="character" w:customStyle="1" w:styleId="CommentSubjectChar">
    <w:name w:val="Comment Subject Char"/>
    <w:basedOn w:val="CommentTextChar"/>
    <w:link w:val="CommentSubject"/>
    <w:rsid w:val="00693F9A"/>
    <w:rPr>
      <w:b/>
      <w:bCs/>
    </w:rPr>
  </w:style>
  <w:style w:type="paragraph" w:styleId="BalloonText">
    <w:name w:val="Balloon Text"/>
    <w:basedOn w:val="Normal"/>
    <w:link w:val="BalloonTextChar"/>
    <w:rsid w:val="00693F9A"/>
    <w:rPr>
      <w:rFonts w:ascii="Tahoma" w:hAnsi="Tahoma" w:cs="Tahoma"/>
      <w:sz w:val="16"/>
      <w:szCs w:val="16"/>
    </w:rPr>
  </w:style>
  <w:style w:type="character" w:customStyle="1" w:styleId="BalloonTextChar">
    <w:name w:val="Balloon Text Char"/>
    <w:basedOn w:val="DefaultParagraphFont"/>
    <w:link w:val="BalloonText"/>
    <w:rsid w:val="00693F9A"/>
    <w:rPr>
      <w:rFonts w:ascii="Tahoma" w:hAnsi="Tahoma" w:cs="Tahoma"/>
      <w:sz w:val="16"/>
      <w:szCs w:val="16"/>
    </w:rPr>
  </w:style>
  <w:style w:type="paragraph" w:styleId="Header">
    <w:name w:val="header"/>
    <w:basedOn w:val="Normal"/>
    <w:link w:val="HeaderChar"/>
    <w:rsid w:val="000F3D72"/>
    <w:pPr>
      <w:tabs>
        <w:tab w:val="center" w:pos="4680"/>
        <w:tab w:val="right" w:pos="9360"/>
      </w:tabs>
    </w:pPr>
  </w:style>
  <w:style w:type="character" w:customStyle="1" w:styleId="HeaderChar">
    <w:name w:val="Header Char"/>
    <w:basedOn w:val="DefaultParagraphFont"/>
    <w:link w:val="Header"/>
    <w:rsid w:val="000F3D72"/>
    <w:rPr>
      <w:sz w:val="24"/>
      <w:szCs w:val="24"/>
    </w:rPr>
  </w:style>
  <w:style w:type="paragraph" w:styleId="Footer">
    <w:name w:val="footer"/>
    <w:basedOn w:val="Normal"/>
    <w:link w:val="FooterChar"/>
    <w:uiPriority w:val="99"/>
    <w:rsid w:val="000F3D72"/>
    <w:pPr>
      <w:tabs>
        <w:tab w:val="center" w:pos="4680"/>
        <w:tab w:val="right" w:pos="9360"/>
      </w:tabs>
    </w:pPr>
  </w:style>
  <w:style w:type="character" w:customStyle="1" w:styleId="FooterChar">
    <w:name w:val="Footer Char"/>
    <w:basedOn w:val="DefaultParagraphFont"/>
    <w:link w:val="Footer"/>
    <w:uiPriority w:val="99"/>
    <w:rsid w:val="000F3D7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1586</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The Supporting Statement</vt:lpstr>
    </vt:vector>
  </TitlesOfParts>
  <Company>DOT</Company>
  <LinksUpToDate>false</LinksUpToDate>
  <CharactersWithSpaces>10764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Supporting Statement</dc:title>
  <dc:subject/>
  <dc:creator>FHWA</dc:creator>
  <cp:keywords/>
  <cp:lastModifiedBy>USDOT User</cp:lastModifiedBy>
  <cp:revision>4</cp:revision>
  <cp:lastPrinted>2011-04-20T18:25:00Z</cp:lastPrinted>
  <dcterms:created xsi:type="dcterms:W3CDTF">2011-05-25T19:49:00Z</dcterms:created>
  <dcterms:modified xsi:type="dcterms:W3CDTF">2011-08-04T19:06:00Z</dcterms:modified>
</cp:coreProperties>
</file>