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69" w:rsidRPr="00753051" w:rsidRDefault="001B3469">
      <w:pPr>
        <w:tabs>
          <w:tab w:val="center" w:pos="4680"/>
        </w:tabs>
        <w:jc w:val="center"/>
        <w:rPr>
          <w:b/>
          <w:bCs/>
        </w:rPr>
      </w:pPr>
      <w:r w:rsidRPr="00753051">
        <w:rPr>
          <w:b/>
          <w:bCs/>
        </w:rPr>
        <w:t>SUPPORTING STATEMENT</w:t>
      </w:r>
    </w:p>
    <w:p w:rsidR="001B3469" w:rsidRPr="00753051" w:rsidRDefault="001B3469">
      <w:pPr>
        <w:tabs>
          <w:tab w:val="center" w:pos="4680"/>
        </w:tabs>
        <w:jc w:val="center"/>
      </w:pPr>
      <w:r w:rsidRPr="00753051">
        <w:rPr>
          <w:b/>
          <w:bCs/>
        </w:rPr>
        <w:t>ENVIRONMENTAL PROTECTION AGENCY</w:t>
      </w:r>
    </w:p>
    <w:p w:rsidR="001B3469" w:rsidRPr="00753051" w:rsidRDefault="001B3469">
      <w:pPr>
        <w:tabs>
          <w:tab w:val="center" w:pos="4680"/>
        </w:tabs>
      </w:pPr>
    </w:p>
    <w:p w:rsidR="001B3469" w:rsidRPr="00753051" w:rsidRDefault="001B3469">
      <w:r w:rsidRPr="00753051">
        <w:rPr>
          <w:b/>
          <w:bCs/>
        </w:rPr>
        <w:t>NESHAP for Pharmaceuticals Production (40 CFR Part 63, Subpart GGG) (</w:t>
      </w:r>
      <w:r w:rsidR="009F496C">
        <w:rPr>
          <w:b/>
          <w:bCs/>
        </w:rPr>
        <w:t>Final Rule</w:t>
      </w:r>
      <w:r w:rsidRPr="00753051">
        <w:rPr>
          <w:b/>
          <w:bCs/>
        </w:rPr>
        <w:t>)</w:t>
      </w:r>
    </w:p>
    <w:p w:rsidR="001B3469" w:rsidRPr="00753051" w:rsidRDefault="001B3469"/>
    <w:p w:rsidR="001B3469" w:rsidRPr="00753051" w:rsidRDefault="001B3469">
      <w:pPr>
        <w:rPr>
          <w:b/>
          <w:bCs/>
        </w:rPr>
      </w:pPr>
      <w:r w:rsidRPr="00753051">
        <w:rPr>
          <w:b/>
          <w:bCs/>
        </w:rPr>
        <w:t>1.  Identification of the Information Collection</w:t>
      </w:r>
    </w:p>
    <w:p w:rsidR="001B3469" w:rsidRPr="00753051" w:rsidRDefault="001B3469"/>
    <w:p w:rsidR="001B3469" w:rsidRPr="00753051" w:rsidRDefault="001B3469">
      <w:pPr>
        <w:ind w:firstLine="720"/>
      </w:pPr>
      <w:r w:rsidRPr="00753051">
        <w:rPr>
          <w:b/>
          <w:bCs/>
        </w:rPr>
        <w:t>1(a)  Title of the Information Collection</w:t>
      </w:r>
    </w:p>
    <w:p w:rsidR="001B3469" w:rsidRPr="00753051" w:rsidRDefault="001B3469"/>
    <w:p w:rsidR="001B3469" w:rsidRPr="00753051" w:rsidRDefault="001B3469">
      <w:r w:rsidRPr="00753051">
        <w:t xml:space="preserve">NESHAP for Pharmaceuticals Production (40 CFR Part 63, Subpart GGG) </w:t>
      </w:r>
      <w:r w:rsidR="003A47A2" w:rsidRPr="00753051">
        <w:rPr>
          <w:bCs/>
        </w:rPr>
        <w:t xml:space="preserve">.  </w:t>
      </w:r>
      <w:r w:rsidR="003A47A2" w:rsidRPr="00753051">
        <w:t xml:space="preserve">This is a revised information collection request (ICR).  The </w:t>
      </w:r>
      <w:r w:rsidRPr="00753051">
        <w:t xml:space="preserve">EPA ICR </w:t>
      </w:r>
      <w:r w:rsidR="003A47A2" w:rsidRPr="00753051">
        <w:t xml:space="preserve">tracking number is </w:t>
      </w:r>
      <w:r w:rsidR="00844ED9">
        <w:t>1781.06</w:t>
      </w:r>
      <w:r w:rsidR="003A47A2" w:rsidRPr="00753051">
        <w:t xml:space="preserve">, and the </w:t>
      </w:r>
      <w:r w:rsidRPr="00753051">
        <w:t>OMB Control Number 2060-0358</w:t>
      </w:r>
      <w:r w:rsidR="003A47A2" w:rsidRPr="00753051">
        <w:t>.</w:t>
      </w:r>
    </w:p>
    <w:p w:rsidR="001B3469" w:rsidRPr="00753051" w:rsidRDefault="001B3469"/>
    <w:p w:rsidR="001B3469" w:rsidRPr="00753051" w:rsidRDefault="001B3469">
      <w:pPr>
        <w:ind w:firstLine="720"/>
        <w:rPr>
          <w:b/>
          <w:bCs/>
        </w:rPr>
      </w:pPr>
      <w:r w:rsidRPr="00753051">
        <w:rPr>
          <w:b/>
          <w:bCs/>
        </w:rPr>
        <w:t>1(b)  Short Characterization/Abstract</w:t>
      </w:r>
    </w:p>
    <w:p w:rsidR="001B3469" w:rsidRPr="00753051" w:rsidRDefault="001B3469">
      <w:pPr>
        <w:ind w:firstLine="720"/>
      </w:pPr>
    </w:p>
    <w:p w:rsidR="001B3469" w:rsidRPr="00753051" w:rsidRDefault="00D14AA7" w:rsidP="00816231">
      <w:pPr>
        <w:widowControl/>
        <w:ind w:firstLine="720"/>
      </w:pPr>
      <w:r w:rsidRPr="00753051">
        <w:t>This ICR is prepared for a U.S. Environmental Protection Agency (EPA) rulemaking developed under authority of section 112 of the Clean Air Act (CAA).  The rulemaking amends title 40, chapter I, part 63, subpart GGG, National Emission Standards for Hazardous Air Pollutants from Pharmaceuticals Production, of the Code of Federal Regulations (CFR).</w:t>
      </w:r>
      <w:r w:rsidR="00816231" w:rsidRPr="00753051">
        <w:t xml:space="preserve">  </w:t>
      </w:r>
      <w:r w:rsidR="001B3469" w:rsidRPr="00753051">
        <w:t xml:space="preserve">The </w:t>
      </w:r>
      <w:r w:rsidR="00816231" w:rsidRPr="00753051">
        <w:t xml:space="preserve">current </w:t>
      </w:r>
      <w:r w:rsidR="001B3469" w:rsidRPr="00753051">
        <w:t xml:space="preserve">Pharmaceuticals Production </w:t>
      </w:r>
      <w:r w:rsidR="00816231" w:rsidRPr="00753051">
        <w:t xml:space="preserve">NESHAP </w:t>
      </w:r>
      <w:r w:rsidR="001B3469" w:rsidRPr="00753051">
        <w:t>were proposed on April 2, 1997, and promulgated on September 21, 1998.  These standards apply to facilities in the pharmaceuticals manufacturing operations that are major sources of hazardous air pollutants (HAP).  The affected facilities encompass all pharmaceuticals manufacturing operations that include process vents, storage tanks, equipment components, and wastewater systems commencing construction or reconstruction after the date of that proposal.  This information is being collected to assure compliance with 40 CFR part 63, subpart GGG.  HAP emissions are the pollutants regulated under this subpart.</w:t>
      </w:r>
      <w:r w:rsidR="00816231" w:rsidRPr="00753051">
        <w:t xml:space="preserve">  The amendments to the rule eliminate the startup, shutdown, and malfunction exemption, remove the SSM plan requirement, add provisions to provide an affirmative defense against civil penalties for exceedances of emission standards caused by malfunctions, and a requirement for electronic submittal of performance test data, and correct an editorial error.  The remaining portions of the NESHAP remain unchanged.  </w:t>
      </w:r>
    </w:p>
    <w:p w:rsidR="001B3469" w:rsidRPr="00753051" w:rsidRDefault="001B3469">
      <w:pPr>
        <w:ind w:firstLine="720"/>
      </w:pPr>
    </w:p>
    <w:p w:rsidR="001B3469" w:rsidRPr="00753051" w:rsidRDefault="001B3469" w:rsidP="00045146">
      <w:pPr>
        <w:ind w:firstLine="720"/>
      </w:pPr>
      <w:r w:rsidRPr="00753051">
        <w:t>In general, all NESHAP standards require initial notifications, performance tests, and periodic reports.  Owners or operators are also required to maintain records of the occurrence and duration of any malfunction</w:t>
      </w:r>
      <w:r w:rsidR="00045146" w:rsidRPr="00753051">
        <w:t>s</w:t>
      </w:r>
      <w:r w:rsidRPr="00753051">
        <w:t xml:space="preserve"> in the operation of an affected facility, or any period during which the monitoring system is inoperative.  These notifications, reports, and records are essential in determining compliance and, in general, are required of all sources subject to NESHAP.  This information is used by the Agency to identify sources subject to the standards to insure that the maximum achievable control technologies are being applied.  Semiannual summary reports are also required.</w:t>
      </w:r>
    </w:p>
    <w:p w:rsidR="001B3469" w:rsidRPr="00753051" w:rsidRDefault="001B3469">
      <w:pPr>
        <w:ind w:firstLine="720"/>
      </w:pPr>
    </w:p>
    <w:p w:rsidR="001B3469" w:rsidRPr="00753051" w:rsidRDefault="001B3469">
      <w:pPr>
        <w:ind w:firstLine="720"/>
      </w:pPr>
      <w:r w:rsidRPr="00753051">
        <w:t>Any owner or operator subject to the provisions of this part will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1B3469" w:rsidRPr="00753051" w:rsidRDefault="001B3469"/>
    <w:p w:rsidR="001B3469" w:rsidRPr="00753051" w:rsidRDefault="001B3469">
      <w:pPr>
        <w:ind w:firstLine="720"/>
      </w:pPr>
      <w:r w:rsidRPr="00753051">
        <w:t>Based on our consultations with industry representatives, there is an average of one affected facility at each plant site and that each plant site has only one respondent (i.e., the owner/operator of the plant site).</w:t>
      </w:r>
    </w:p>
    <w:p w:rsidR="001B3469" w:rsidRPr="00753051" w:rsidRDefault="001B3469">
      <w:pPr>
        <w:ind w:firstLine="720"/>
      </w:pPr>
      <w:bookmarkStart w:id="0" w:name="OLE_LINK3"/>
      <w:bookmarkStart w:id="1" w:name="OLE_LINK4"/>
    </w:p>
    <w:p w:rsidR="001B3469" w:rsidRPr="00753051" w:rsidRDefault="001B3469">
      <w:pPr>
        <w:ind w:firstLine="720"/>
      </w:pPr>
      <w:r w:rsidRPr="00753051">
        <w:t>We have determined that there are an estimated 27 respondents currently subject to this rule.</w:t>
      </w:r>
      <w:bookmarkEnd w:id="0"/>
      <w:bookmarkEnd w:id="1"/>
      <w:r w:rsidRPr="00753051">
        <w:t xml:space="preserve">  It is estimated that no additional sources will become subject to the standard over the next three years.</w:t>
      </w:r>
    </w:p>
    <w:p w:rsidR="001B3469" w:rsidRPr="00753051" w:rsidRDefault="001B3469"/>
    <w:p w:rsidR="001B3469" w:rsidRPr="00753051" w:rsidRDefault="001B3469">
      <w:pPr>
        <w:ind w:firstLine="720"/>
        <w:rPr>
          <w:bCs/>
        </w:rPr>
      </w:pPr>
      <w:r w:rsidRPr="00753051">
        <w:t xml:space="preserve">All of the pharmaceutical production facilities in the United States are owned and operated by the pharmaceutical industry (the “Affected Public”).  None of the facilities in the United States are owned by state, local, tribal or the Federal government.  They are all privately, owned for-profit businesses.  The burden to the “Affected Public” is listed below in Table 1: Annual Respondent Burden and Cost - NESHAP for Pharmaceutical Production </w:t>
      </w:r>
      <w:r w:rsidRPr="00753051">
        <w:rPr>
          <w:bCs/>
        </w:rPr>
        <w:t>(40 CFR Part 63, Subpart GGG</w:t>
      </w:r>
      <w:r w:rsidRPr="00753051">
        <w:t>) (Re</w:t>
      </w:r>
      <w:r w:rsidR="009D4B86" w:rsidRPr="00753051">
        <w:t>vision</w:t>
      </w:r>
      <w:r w:rsidRPr="00753051">
        <w:t xml:space="preserve">).  The Federal government burden associated with the review of reports submitted by the respondent is shown below in Table 2: Average Annual EPA Burden - NESHAP for Pharmaceutical Production </w:t>
      </w:r>
      <w:r w:rsidRPr="00753051">
        <w:rPr>
          <w:bCs/>
        </w:rPr>
        <w:t>(40 CFR Part 63, Subpart GGG</w:t>
      </w:r>
      <w:r w:rsidRPr="00753051">
        <w:t>) (Re</w:t>
      </w:r>
      <w:r w:rsidR="001E1707" w:rsidRPr="00753051">
        <w:t>vision</w:t>
      </w:r>
      <w:r w:rsidRPr="00753051">
        <w:t>).</w:t>
      </w:r>
    </w:p>
    <w:p w:rsidR="001B3469" w:rsidRPr="00753051" w:rsidRDefault="001B3469"/>
    <w:p w:rsidR="001B3469" w:rsidRPr="00753051" w:rsidRDefault="001B3469">
      <w:r w:rsidRPr="00753051">
        <w:rPr>
          <w:b/>
          <w:bCs/>
        </w:rPr>
        <w:t>2.  Need for and Use of the Collection</w:t>
      </w:r>
    </w:p>
    <w:p w:rsidR="001B3469" w:rsidRPr="00753051" w:rsidRDefault="001B3469"/>
    <w:p w:rsidR="001B3469" w:rsidRPr="00753051" w:rsidRDefault="001B3469">
      <w:pPr>
        <w:ind w:firstLine="720"/>
      </w:pPr>
      <w:r w:rsidRPr="00753051">
        <w:rPr>
          <w:b/>
          <w:bCs/>
        </w:rPr>
        <w:t>2(a)  Need/Authority for the Collection</w:t>
      </w:r>
    </w:p>
    <w:p w:rsidR="001B3469" w:rsidRPr="00753051" w:rsidRDefault="001B3469"/>
    <w:p w:rsidR="001B3469" w:rsidRPr="00753051" w:rsidRDefault="001B3469">
      <w:pPr>
        <w:ind w:firstLine="720"/>
      </w:pPr>
      <w:r w:rsidRPr="00753051">
        <w:t>The EPA is charged under section 112 of the Clean Air Act, as amended, to establish standards of performance for each category or subcategory of major sources and area sources of HAP.  These standards are applicable to new or existing sources of HAP and shall require the maximum degree of emission reduction.  In addition, section 114(a) states that the Administrator may require any owner or operator subject to any requirement of this Act to:</w:t>
      </w:r>
    </w:p>
    <w:p w:rsidR="001B3469" w:rsidRPr="00753051" w:rsidRDefault="001B3469"/>
    <w:p w:rsidR="001B3469" w:rsidRPr="00753051" w:rsidRDefault="001B3469">
      <w:pPr>
        <w:ind w:left="1440" w:right="1440"/>
      </w:pPr>
      <w:r w:rsidRPr="00753051">
        <w:t xml:space="preserve">(A) Establish and maintain such records; (B) make such reports; </w:t>
      </w:r>
      <w:r w:rsidR="007D7EE4" w:rsidRPr="00753051">
        <w:t xml:space="preserve">   </w:t>
      </w:r>
      <w:r w:rsidRPr="00753051">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7D7EE4" w:rsidRPr="00753051">
        <w:t xml:space="preserve">  </w:t>
      </w:r>
      <w:r w:rsidRPr="00753051">
        <w:t>and (G) provide such other information as the Administrator may reasonably require.</w:t>
      </w:r>
    </w:p>
    <w:p w:rsidR="001B3469" w:rsidRPr="00753051" w:rsidRDefault="001B3469">
      <w:pPr>
        <w:ind w:left="1440" w:right="1440"/>
      </w:pPr>
    </w:p>
    <w:p w:rsidR="001B3469" w:rsidRPr="00753051" w:rsidRDefault="001B3469">
      <w:pPr>
        <w:ind w:firstLine="720"/>
      </w:pPr>
      <w:r w:rsidRPr="00753051">
        <w:t>In the Administrator's judgment, HAP pollutant emissions from pharmaceuticals production (predominately methanol, methylene chloride and toluene) cause, or contribute to air pollution that may reasonably be anticipated to endanger public health or welfare.  Therefore, the NESHAP standards were promulgated for this source category at 40 CFR part 63, subpart GGG</w:t>
      </w:r>
      <w:r w:rsidR="007D7EE4" w:rsidRPr="00753051">
        <w:t>.</w:t>
      </w:r>
    </w:p>
    <w:p w:rsidR="001B3469" w:rsidRPr="00753051" w:rsidRDefault="001B3469"/>
    <w:p w:rsidR="001B3469" w:rsidRPr="00753051" w:rsidRDefault="001B3469">
      <w:pPr>
        <w:ind w:firstLine="720"/>
        <w:rPr>
          <w:b/>
          <w:bCs/>
        </w:rPr>
      </w:pPr>
      <w:r w:rsidRPr="00753051">
        <w:rPr>
          <w:b/>
          <w:bCs/>
        </w:rPr>
        <w:t>2(b)  Practical Utility/Users of the Data</w:t>
      </w:r>
    </w:p>
    <w:p w:rsidR="001B3469" w:rsidRPr="00753051" w:rsidRDefault="001B3469">
      <w:pPr>
        <w:ind w:firstLine="720"/>
      </w:pPr>
    </w:p>
    <w:p w:rsidR="001B3469" w:rsidRPr="00753051" w:rsidRDefault="001B3469">
      <w:pPr>
        <w:ind w:firstLine="720"/>
      </w:pPr>
      <w:r w:rsidRPr="00753051">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1B3469" w:rsidRPr="00753051" w:rsidRDefault="001B3469">
      <w:pPr>
        <w:ind w:firstLine="720"/>
      </w:pPr>
    </w:p>
    <w:p w:rsidR="001B3469" w:rsidRPr="00753051" w:rsidRDefault="001B3469">
      <w:pPr>
        <w:ind w:firstLine="720"/>
      </w:pPr>
      <w:r w:rsidRPr="00753051">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1B3469" w:rsidRPr="00753051" w:rsidRDefault="001B3469">
      <w:pPr>
        <w:ind w:firstLine="720"/>
      </w:pPr>
    </w:p>
    <w:p w:rsidR="001B3469" w:rsidRPr="00753051" w:rsidRDefault="001B3469">
      <w:pPr>
        <w:ind w:firstLine="720"/>
      </w:pPr>
      <w:r w:rsidRPr="00753051">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1B3469" w:rsidRPr="00753051" w:rsidRDefault="001B3469">
      <w:pPr>
        <w:ind w:firstLine="720"/>
      </w:pPr>
    </w:p>
    <w:p w:rsidR="001B3469" w:rsidRPr="00753051" w:rsidRDefault="001B3469">
      <w:pPr>
        <w:ind w:firstLine="720"/>
      </w:pPr>
      <w:r w:rsidRPr="00753051">
        <w:t>The required semiannual reports are used to determine periods of excess emissions, identify problems at the facility, verify operation/maintenance procedures, and for compliance determinations.</w:t>
      </w:r>
    </w:p>
    <w:p w:rsidR="001B3469" w:rsidRPr="00753051" w:rsidRDefault="001B3469"/>
    <w:p w:rsidR="001B3469" w:rsidRPr="00753051" w:rsidRDefault="001B3469">
      <w:r w:rsidRPr="00753051">
        <w:tab/>
        <w:t>The information generated by the monitoring, recordkeeping and reporting requirements described in this ICR is used by the Agency to ensure that facilities affected by the NESHAP continues to operate the control equipment in compliance with the regulation.</w:t>
      </w:r>
    </w:p>
    <w:p w:rsidR="001B3469" w:rsidRPr="00753051" w:rsidRDefault="001B3469"/>
    <w:p w:rsidR="001B3469" w:rsidRPr="00753051" w:rsidRDefault="001B3469">
      <w:r w:rsidRPr="00753051">
        <w:rPr>
          <w:b/>
          <w:bCs/>
        </w:rPr>
        <w:t>3.  Non-duplication, Consultations, and Other Collection Criteria</w:t>
      </w:r>
    </w:p>
    <w:p w:rsidR="001B3469" w:rsidRPr="00753051" w:rsidRDefault="001B3469"/>
    <w:p w:rsidR="001B3469" w:rsidRPr="00753051" w:rsidRDefault="001B3469">
      <w:pPr>
        <w:ind w:firstLine="720"/>
      </w:pPr>
      <w:r w:rsidRPr="00753051">
        <w:t>The requested recordkeeping and reporting are required under 40 CFR part 63, subpart GGG.</w:t>
      </w:r>
    </w:p>
    <w:p w:rsidR="001B3469" w:rsidRPr="00753051" w:rsidRDefault="001B3469"/>
    <w:p w:rsidR="001B3469" w:rsidRPr="00753051" w:rsidRDefault="001B3469">
      <w:pPr>
        <w:ind w:firstLine="720"/>
      </w:pPr>
      <w:r w:rsidRPr="00753051">
        <w:rPr>
          <w:b/>
          <w:bCs/>
        </w:rPr>
        <w:t>3(a)  Non-duplication</w:t>
      </w:r>
    </w:p>
    <w:p w:rsidR="001B3469" w:rsidRPr="00753051" w:rsidRDefault="001B3469"/>
    <w:p w:rsidR="001B3469" w:rsidRPr="00753051" w:rsidRDefault="001B3469">
      <w:pPr>
        <w:ind w:firstLine="720"/>
      </w:pPr>
      <w:r w:rsidRPr="00753051">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1B3469" w:rsidRPr="00753051" w:rsidRDefault="001B3469"/>
    <w:p w:rsidR="001B3469" w:rsidRPr="00753051" w:rsidRDefault="001B3469">
      <w:pPr>
        <w:ind w:firstLine="720"/>
      </w:pPr>
      <w:r w:rsidRPr="00753051">
        <w:rPr>
          <w:b/>
          <w:bCs/>
        </w:rPr>
        <w:t>3(b)  Public Notice Required Prior to ICR Submission to OMB</w:t>
      </w:r>
    </w:p>
    <w:p w:rsidR="00CD799C" w:rsidRPr="00753051" w:rsidRDefault="00CD799C" w:rsidP="00CD799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pPr>
      <w:r w:rsidRPr="00753051">
        <w:t>This is a rule-related ICR and comments were solicited on the proposal package and the proposed ICR, which included no revisions.  This ICR contains revisions from the proposed ICR to include burden associated with the provisions for affirmative defense.</w:t>
      </w:r>
    </w:p>
    <w:p w:rsidR="001B3469" w:rsidRPr="00753051" w:rsidRDefault="001B3469"/>
    <w:p w:rsidR="001B3469" w:rsidRPr="00753051" w:rsidRDefault="001B3469">
      <w:pPr>
        <w:ind w:firstLine="720"/>
        <w:rPr>
          <w:b/>
          <w:bCs/>
        </w:rPr>
      </w:pPr>
      <w:r w:rsidRPr="00753051">
        <w:rPr>
          <w:b/>
          <w:bCs/>
        </w:rPr>
        <w:t>3(c)  Consultations</w:t>
      </w:r>
    </w:p>
    <w:p w:rsidR="001B3469" w:rsidRPr="00753051" w:rsidRDefault="001B3469">
      <w:pPr>
        <w:ind w:firstLine="720"/>
      </w:pPr>
    </w:p>
    <w:p w:rsidR="001B3469" w:rsidRPr="00753051" w:rsidRDefault="001B3469">
      <w:pPr>
        <w:widowControl/>
        <w:ind w:firstLine="720"/>
      </w:pPr>
      <w:r w:rsidRPr="00753051">
        <w:t>T</w:t>
      </w:r>
      <w:r w:rsidRPr="00753051">
        <w:rPr>
          <w:bCs/>
        </w:rPr>
        <w:t xml:space="preserve">he Agency’s industry experts have been consulted, and the Agency’s internal data sources and projections of industry growth over the next three years have been considered.  </w:t>
      </w:r>
      <w:r w:rsidRPr="00753051">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rsidR="001B3469" w:rsidRPr="00753051" w:rsidRDefault="001B3469">
      <w:pPr>
        <w:widowControl/>
      </w:pPr>
    </w:p>
    <w:p w:rsidR="001B3469" w:rsidRPr="00753051" w:rsidRDefault="001B3469">
      <w:pPr>
        <w:ind w:firstLine="720"/>
      </w:pPr>
      <w:r w:rsidRPr="00753051">
        <w:t xml:space="preserve">Industry trade associations and other interested parties were provided an opportunity to comment on the burden associated with the standard as it was being developed.  </w:t>
      </w:r>
      <w:r w:rsidR="00816231" w:rsidRPr="00753051">
        <w:t xml:space="preserve">During development of the </w:t>
      </w:r>
      <w:r w:rsidR="00EE2951" w:rsidRPr="00753051">
        <w:t xml:space="preserve">original </w:t>
      </w:r>
      <w:r w:rsidR="00816231" w:rsidRPr="00753051">
        <w:t>standards, w</w:t>
      </w:r>
      <w:r w:rsidRPr="00753051">
        <w:t>e contacted the Pharmaceutical Research and Manufacturers of America (PhRMA), at (202) 835-3400, and Noramco Incorporated, at (302) 652-3840.</w:t>
      </w:r>
    </w:p>
    <w:p w:rsidR="001B3469" w:rsidRPr="00753051" w:rsidRDefault="001B3469">
      <w:pPr>
        <w:ind w:firstLine="720"/>
      </w:pPr>
    </w:p>
    <w:p w:rsidR="001B3469" w:rsidRPr="00753051" w:rsidRDefault="001B3469">
      <w:pPr>
        <w:ind w:firstLine="720"/>
      </w:pPr>
      <w:r w:rsidRPr="00753051">
        <w:t xml:space="preserve">The number of sources was obtained by information gathered and public comments for pharmaceutical facilities subject to 40 CFR part 63, subpart GGG on the Residual Risk and Technology Review that was completed in October of 2008, by </w:t>
      </w:r>
      <w:r w:rsidR="00816231" w:rsidRPr="00753051">
        <w:t>EPA’s Office of Air Quality Planning and Standards</w:t>
      </w:r>
    </w:p>
    <w:p w:rsidR="001B3469" w:rsidRPr="00753051" w:rsidRDefault="001B3469"/>
    <w:p w:rsidR="001B3469" w:rsidRPr="00753051" w:rsidRDefault="001B3469">
      <w:pPr>
        <w:ind w:firstLine="720"/>
      </w:pPr>
      <w:r w:rsidRPr="00753051">
        <w:rPr>
          <w:b/>
          <w:bCs/>
        </w:rPr>
        <w:t>3(d)  Effects of Less Frequent Collection</w:t>
      </w:r>
    </w:p>
    <w:p w:rsidR="001B3469" w:rsidRPr="00753051" w:rsidRDefault="001B3469"/>
    <w:p w:rsidR="001B3469" w:rsidRPr="00753051" w:rsidRDefault="001B3469">
      <w:pPr>
        <w:ind w:firstLine="720"/>
      </w:pPr>
      <w:r w:rsidRPr="00753051">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1B3469" w:rsidRPr="00753051" w:rsidRDefault="001B3469"/>
    <w:p w:rsidR="001B3469" w:rsidRPr="00753051" w:rsidRDefault="001B3469">
      <w:pPr>
        <w:ind w:firstLine="720"/>
      </w:pPr>
      <w:r w:rsidRPr="00753051">
        <w:rPr>
          <w:b/>
          <w:bCs/>
        </w:rPr>
        <w:t>3(e)  General Guidelines</w:t>
      </w:r>
    </w:p>
    <w:p w:rsidR="001B3469" w:rsidRPr="00753051" w:rsidRDefault="001B3469"/>
    <w:p w:rsidR="001B3469" w:rsidRPr="00753051" w:rsidRDefault="001B3469">
      <w:pPr>
        <w:ind w:firstLine="720"/>
      </w:pPr>
      <w:r w:rsidRPr="00753051">
        <w:t>None of these reporting or recordkeeping requirements violate any of the regulations established by OMB at 5 CFR part 1320, section 1320.5.</w:t>
      </w:r>
    </w:p>
    <w:p w:rsidR="001B3469" w:rsidRPr="00753051" w:rsidRDefault="001B3469">
      <w:pPr>
        <w:tabs>
          <w:tab w:val="left" w:pos="-1440"/>
        </w:tabs>
        <w:ind w:left="720" w:hanging="720"/>
      </w:pPr>
    </w:p>
    <w:p w:rsidR="001B3469" w:rsidRPr="00753051" w:rsidRDefault="001B3469">
      <w:pPr>
        <w:ind w:firstLine="720"/>
      </w:pPr>
      <w:r w:rsidRPr="00753051">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w:t>
      </w:r>
      <w:r w:rsidRPr="00753051">
        <w:rPr>
          <w:rFonts w:eastAsia="Times New Roman"/>
          <w:lang w:eastAsia="en-US"/>
        </w:rPr>
        <w:t>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Without the five-year record retention, EPA would be prevented from pursuing the violators due to the destruction or nonexistence of essential records.</w:t>
      </w:r>
    </w:p>
    <w:p w:rsidR="001B3469" w:rsidRPr="00753051" w:rsidRDefault="001B3469"/>
    <w:p w:rsidR="001B3469" w:rsidRPr="00753051" w:rsidRDefault="001B3469">
      <w:pPr>
        <w:ind w:firstLine="720"/>
        <w:rPr>
          <w:b/>
          <w:bCs/>
        </w:rPr>
      </w:pPr>
      <w:r w:rsidRPr="00753051">
        <w:rPr>
          <w:b/>
          <w:bCs/>
        </w:rPr>
        <w:t>3(f)  Confidentiality</w:t>
      </w:r>
    </w:p>
    <w:p w:rsidR="001B3469" w:rsidRPr="00753051" w:rsidRDefault="001B3469">
      <w:pPr>
        <w:ind w:firstLine="720"/>
      </w:pPr>
    </w:p>
    <w:p w:rsidR="001B3469" w:rsidRPr="00753051" w:rsidRDefault="001B3469">
      <w:pPr>
        <w:ind w:firstLine="720"/>
      </w:pPr>
      <w:r w:rsidRPr="00753051">
        <w:lastRenderedPageBreak/>
        <w:t>Any information submitted to the Agency for which a claim of confidentiality is made will be safeguarded according to the Agency policies set forth in title 40, chapter 1, part 2, subpart B - Confidentiality of Business Information</w:t>
      </w:r>
      <w:r w:rsidR="006B19CD" w:rsidRPr="00753051">
        <w:t xml:space="preserve"> (CBI)</w:t>
      </w:r>
      <w:r w:rsidRPr="00753051">
        <w:t xml:space="preserve"> (see 40 CFR 2; 41 </w:t>
      </w:r>
      <w:r w:rsidRPr="00753051">
        <w:rPr>
          <w:u w:val="single"/>
        </w:rPr>
        <w:t>FR</w:t>
      </w:r>
      <w:r w:rsidRPr="00753051">
        <w:t xml:space="preserve"> 36902, September 1, 1976; amended by 43 </w:t>
      </w:r>
      <w:r w:rsidRPr="00753051">
        <w:rPr>
          <w:u w:val="single"/>
        </w:rPr>
        <w:t>FR</w:t>
      </w:r>
      <w:r w:rsidRPr="00753051">
        <w:t xml:space="preserve"> 40000, September 8, 1978; 43 </w:t>
      </w:r>
      <w:r w:rsidRPr="00753051">
        <w:rPr>
          <w:u w:val="single"/>
        </w:rPr>
        <w:t>FR</w:t>
      </w:r>
      <w:r w:rsidRPr="00753051">
        <w:t xml:space="preserve"> 42251, September 20, 1978; 44 </w:t>
      </w:r>
      <w:r w:rsidRPr="00753051">
        <w:rPr>
          <w:u w:val="single"/>
        </w:rPr>
        <w:t>FR</w:t>
      </w:r>
      <w:r w:rsidRPr="00753051">
        <w:t xml:space="preserve"> 17674, March 23, 1979).</w:t>
      </w:r>
    </w:p>
    <w:p w:rsidR="006B19CD" w:rsidRPr="00753051" w:rsidRDefault="006B19CD">
      <w:pPr>
        <w:ind w:firstLine="720"/>
        <w:rPr>
          <w:b/>
          <w:bCs/>
        </w:rPr>
      </w:pPr>
    </w:p>
    <w:p w:rsidR="001B3469" w:rsidRPr="00753051" w:rsidRDefault="001B3469">
      <w:pPr>
        <w:ind w:firstLine="720"/>
      </w:pPr>
      <w:r w:rsidRPr="00753051">
        <w:rPr>
          <w:b/>
          <w:bCs/>
        </w:rPr>
        <w:t>3(g)  Sensitive Questions</w:t>
      </w:r>
    </w:p>
    <w:p w:rsidR="001B3469" w:rsidRPr="00753051" w:rsidRDefault="001B3469">
      <w:pPr>
        <w:ind w:firstLine="720"/>
      </w:pPr>
    </w:p>
    <w:p w:rsidR="001B3469" w:rsidRPr="00753051" w:rsidRDefault="001B3469">
      <w:pPr>
        <w:ind w:firstLine="720"/>
      </w:pPr>
      <w:r w:rsidRPr="00753051">
        <w:t>None of the reporting or recordkeeping requirements contain sensitive questions.</w:t>
      </w:r>
    </w:p>
    <w:p w:rsidR="001B3469" w:rsidRPr="00753051" w:rsidRDefault="001B3469">
      <w:pPr>
        <w:ind w:firstLine="720"/>
      </w:pPr>
    </w:p>
    <w:p w:rsidR="001B3469" w:rsidRPr="00753051" w:rsidRDefault="001B3469">
      <w:pPr>
        <w:rPr>
          <w:b/>
          <w:bCs/>
        </w:rPr>
      </w:pPr>
      <w:r w:rsidRPr="00753051">
        <w:rPr>
          <w:b/>
          <w:bCs/>
        </w:rPr>
        <w:t>4.  The Respondents and the Information Requested</w:t>
      </w:r>
    </w:p>
    <w:p w:rsidR="001B3469" w:rsidRPr="00753051" w:rsidRDefault="001B3469">
      <w:pPr>
        <w:rPr>
          <w:b/>
          <w:bCs/>
        </w:rPr>
      </w:pPr>
    </w:p>
    <w:p w:rsidR="001B3469" w:rsidRPr="00753051" w:rsidRDefault="001B3469">
      <w:pPr>
        <w:ind w:firstLine="720"/>
        <w:rPr>
          <w:b/>
          <w:bCs/>
        </w:rPr>
      </w:pPr>
      <w:r w:rsidRPr="00753051">
        <w:rPr>
          <w:b/>
          <w:bCs/>
        </w:rPr>
        <w:t>4(a)  Respondents/SIC Codes</w:t>
      </w:r>
    </w:p>
    <w:p w:rsidR="001B3469" w:rsidRPr="00753051" w:rsidRDefault="001B3469">
      <w:pPr>
        <w:ind w:firstLine="720"/>
        <w:rPr>
          <w:b/>
          <w:bCs/>
        </w:rPr>
      </w:pPr>
    </w:p>
    <w:p w:rsidR="001B3469" w:rsidRPr="00753051" w:rsidRDefault="001B3469">
      <w:pPr>
        <w:ind w:firstLine="720"/>
      </w:pPr>
      <w:r w:rsidRPr="00753051">
        <w:t>The respondents to the recordkeeping and reporting requirements are pharmaceutical production facilities.  The North American Industry Classification System (NAICS) codes are listed below for each source category description.</w:t>
      </w:r>
    </w:p>
    <w:p w:rsidR="001B3469" w:rsidRPr="00753051" w:rsidRDefault="001B3469"/>
    <w:tbl>
      <w:tblPr>
        <w:tblW w:w="9360" w:type="dxa"/>
        <w:jc w:val="center"/>
        <w:tblLayout w:type="fixed"/>
        <w:tblCellMar>
          <w:left w:w="112" w:type="dxa"/>
          <w:right w:w="112" w:type="dxa"/>
        </w:tblCellMar>
        <w:tblLook w:val="0000"/>
      </w:tblPr>
      <w:tblGrid>
        <w:gridCol w:w="7650"/>
        <w:gridCol w:w="1710"/>
      </w:tblGrid>
      <w:tr w:rsidR="001B3469" w:rsidRPr="00753051">
        <w:trPr>
          <w:cantSplit/>
          <w:tblHeader/>
          <w:jc w:val="center"/>
        </w:trPr>
        <w:tc>
          <w:tcPr>
            <w:tcW w:w="7650" w:type="dxa"/>
            <w:tcBorders>
              <w:top w:val="single" w:sz="7" w:space="0" w:color="000000"/>
              <w:left w:val="single" w:sz="7" w:space="0" w:color="000000"/>
              <w:bottom w:val="single" w:sz="6" w:space="0" w:color="FFFFFF"/>
              <w:right w:val="single" w:sz="6" w:space="0" w:color="FFFFFF"/>
            </w:tcBorders>
            <w:vAlign w:val="center"/>
          </w:tcPr>
          <w:p w:rsidR="001B3469" w:rsidRPr="00753051" w:rsidRDefault="001B3469">
            <w:pPr>
              <w:spacing w:after="54"/>
              <w:jc w:val="center"/>
              <w:rPr>
                <w:b/>
                <w:bCs/>
              </w:rPr>
            </w:pPr>
            <w:r w:rsidRPr="00753051">
              <w:rPr>
                <w:b/>
                <w:bCs/>
              </w:rPr>
              <w:t>Standard (40 CFR, part 63, subpart GGG)</w:t>
            </w:r>
          </w:p>
        </w:tc>
        <w:tc>
          <w:tcPr>
            <w:tcW w:w="1710" w:type="dxa"/>
            <w:tcBorders>
              <w:top w:val="single" w:sz="7" w:space="0" w:color="000000"/>
              <w:left w:val="single" w:sz="7" w:space="0" w:color="000000"/>
              <w:bottom w:val="single" w:sz="6" w:space="0" w:color="FFFFFF"/>
              <w:right w:val="single" w:sz="7" w:space="0" w:color="000000"/>
            </w:tcBorders>
            <w:vAlign w:val="center"/>
          </w:tcPr>
          <w:p w:rsidR="001B3469" w:rsidRPr="00753051" w:rsidRDefault="001B3469">
            <w:pPr>
              <w:spacing w:after="54"/>
              <w:jc w:val="center"/>
              <w:rPr>
                <w:b/>
                <w:bCs/>
              </w:rPr>
            </w:pPr>
            <w:r w:rsidRPr="00753051">
              <w:rPr>
                <w:b/>
                <w:bCs/>
              </w:rPr>
              <w:t>NAICS Codes</w:t>
            </w:r>
          </w:p>
        </w:tc>
      </w:tr>
      <w:tr w:rsidR="001B3469" w:rsidRPr="00753051">
        <w:trPr>
          <w:cantSplit/>
          <w:jc w:val="center"/>
        </w:trPr>
        <w:tc>
          <w:tcPr>
            <w:tcW w:w="765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after="54"/>
            </w:pPr>
            <w:r w:rsidRPr="00753051">
              <w:t>Pharmaceutical Preparation Manufacturing</w:t>
            </w:r>
          </w:p>
        </w:tc>
        <w:tc>
          <w:tcPr>
            <w:tcW w:w="1710" w:type="dxa"/>
            <w:tcBorders>
              <w:top w:val="single" w:sz="7" w:space="0" w:color="000000"/>
              <w:left w:val="single" w:sz="7" w:space="0" w:color="000000"/>
              <w:bottom w:val="single" w:sz="8" w:space="0" w:color="000000"/>
              <w:right w:val="single" w:sz="7" w:space="0" w:color="000000"/>
            </w:tcBorders>
            <w:vAlign w:val="center"/>
          </w:tcPr>
          <w:p w:rsidR="001B3469" w:rsidRPr="00753051" w:rsidRDefault="001B3469">
            <w:pPr>
              <w:spacing w:after="54"/>
              <w:jc w:val="center"/>
            </w:pPr>
            <w:r w:rsidRPr="00753051">
              <w:t>325412</w:t>
            </w:r>
          </w:p>
        </w:tc>
      </w:tr>
      <w:tr w:rsidR="001B3469" w:rsidRPr="00753051">
        <w:trPr>
          <w:cantSplit/>
          <w:jc w:val="center"/>
        </w:trPr>
        <w:tc>
          <w:tcPr>
            <w:tcW w:w="7650" w:type="dxa"/>
            <w:tcBorders>
              <w:top w:val="single" w:sz="8" w:space="0" w:color="000000"/>
              <w:left w:val="single" w:sz="8" w:space="0" w:color="000000"/>
              <w:bottom w:val="single" w:sz="4" w:space="0" w:color="auto"/>
              <w:right w:val="single" w:sz="8" w:space="0" w:color="000000"/>
            </w:tcBorders>
          </w:tcPr>
          <w:p w:rsidR="001B3469" w:rsidRPr="00753051" w:rsidRDefault="001B3469">
            <w:pPr>
              <w:spacing w:after="54"/>
            </w:pPr>
            <w:r w:rsidRPr="00753051">
              <w:t>Medicinal and Botanical Manufacturing</w:t>
            </w:r>
          </w:p>
        </w:tc>
        <w:tc>
          <w:tcPr>
            <w:tcW w:w="171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4"/>
              <w:jc w:val="center"/>
            </w:pPr>
            <w:r w:rsidRPr="00753051">
              <w:t>325411</w:t>
            </w:r>
          </w:p>
        </w:tc>
      </w:tr>
    </w:tbl>
    <w:p w:rsidR="001B3469" w:rsidRPr="00753051" w:rsidRDefault="001B3469"/>
    <w:p w:rsidR="001B3469" w:rsidRPr="00753051" w:rsidRDefault="001B3469">
      <w:pPr>
        <w:ind w:firstLine="720"/>
      </w:pPr>
      <w:r w:rsidRPr="00753051">
        <w:rPr>
          <w:b/>
          <w:bCs/>
        </w:rPr>
        <w:t>4(b)  Information Requested</w:t>
      </w:r>
    </w:p>
    <w:p w:rsidR="001B3469" w:rsidRPr="00753051" w:rsidRDefault="001B3469"/>
    <w:p w:rsidR="001B3469" w:rsidRPr="00753051" w:rsidRDefault="001B3469">
      <w:pPr>
        <w:ind w:firstLine="720"/>
      </w:pPr>
      <w:r w:rsidRPr="00753051">
        <w:t>None of these reporting or recordkeeping requirements violate any of the regulations established by OMB at 5 CFR part 1320, section 1320.5.</w:t>
      </w:r>
    </w:p>
    <w:p w:rsidR="001B3469" w:rsidRPr="00753051" w:rsidRDefault="001B3469"/>
    <w:p w:rsidR="001B3469" w:rsidRPr="00753051" w:rsidRDefault="001B3469">
      <w:pPr>
        <w:ind w:firstLine="1440"/>
        <w:rPr>
          <w:rStyle w:val="1"/>
          <w:rFonts w:ascii="Agency FB" w:hAnsi="Agency FB"/>
        </w:rPr>
      </w:pPr>
      <w:r w:rsidRPr="00753051">
        <w:rPr>
          <w:b/>
          <w:bCs/>
        </w:rPr>
        <w:t>(i)  Data Items</w:t>
      </w:r>
    </w:p>
    <w:p w:rsidR="001B3469" w:rsidRPr="00753051" w:rsidRDefault="001B3469"/>
    <w:p w:rsidR="001B3469" w:rsidRPr="00753051" w:rsidRDefault="001B3469">
      <w:pPr>
        <w:ind w:firstLine="720"/>
      </w:pPr>
      <w:r w:rsidRPr="00753051">
        <w:t xml:space="preserve">In this ICR, all the data recorded or reported is required by the NESHAP for Pharmaceuticals Production </w:t>
      </w:r>
      <w:r w:rsidRPr="00753051">
        <w:rPr>
          <w:bCs/>
        </w:rPr>
        <w:t>(40 CFR Part 63, Subpart GGG</w:t>
      </w:r>
      <w:r w:rsidRPr="00753051">
        <w:t>).</w:t>
      </w:r>
    </w:p>
    <w:p w:rsidR="001B3469" w:rsidRPr="00753051" w:rsidRDefault="001B3469">
      <w:pPr>
        <w:ind w:firstLine="720"/>
      </w:pPr>
    </w:p>
    <w:p w:rsidR="001B3469" w:rsidRPr="00753051" w:rsidRDefault="001B3469">
      <w:pPr>
        <w:ind w:firstLine="720"/>
      </w:pPr>
      <w:r w:rsidRPr="00753051">
        <w:t>A source must make the following reports:</w:t>
      </w:r>
    </w:p>
    <w:p w:rsidR="001B3469" w:rsidRPr="00753051" w:rsidRDefault="001B3469"/>
    <w:tbl>
      <w:tblPr>
        <w:tblW w:w="0" w:type="auto"/>
        <w:jc w:val="center"/>
        <w:tblLayout w:type="fixed"/>
        <w:tblCellMar>
          <w:left w:w="120" w:type="dxa"/>
          <w:right w:w="120" w:type="dxa"/>
        </w:tblCellMar>
        <w:tblLook w:val="0000"/>
      </w:tblPr>
      <w:tblGrid>
        <w:gridCol w:w="6570"/>
        <w:gridCol w:w="2790"/>
      </w:tblGrid>
      <w:tr w:rsidR="001B3469" w:rsidRPr="00753051">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1B3469" w:rsidRPr="00753051" w:rsidRDefault="001B3469">
            <w:pPr>
              <w:spacing w:after="58"/>
              <w:jc w:val="center"/>
              <w:rPr>
                <w:b/>
              </w:rPr>
            </w:pPr>
            <w:r w:rsidRPr="00753051">
              <w:rPr>
                <w:b/>
              </w:rPr>
              <w:t>Notifications</w:t>
            </w:r>
          </w:p>
        </w:tc>
      </w:tr>
      <w:tr w:rsidR="001B3469" w:rsidRPr="00753051">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1B3469" w:rsidRPr="00753051" w:rsidRDefault="001B3469">
            <w:pPr>
              <w:spacing w:after="58"/>
            </w:pPr>
            <w:r w:rsidRPr="00753051">
              <w:t>Change in area source status (as applicable)</w:t>
            </w:r>
          </w:p>
        </w:tc>
        <w:tc>
          <w:tcPr>
            <w:tcW w:w="2790" w:type="dxa"/>
            <w:tcBorders>
              <w:top w:val="single" w:sz="8" w:space="0" w:color="000000"/>
              <w:left w:val="single" w:sz="7" w:space="0" w:color="000000"/>
              <w:bottom w:val="single" w:sz="7" w:space="0" w:color="000000"/>
              <w:right w:val="single" w:sz="7" w:space="0" w:color="000000"/>
            </w:tcBorders>
            <w:vAlign w:val="center"/>
          </w:tcPr>
          <w:p w:rsidR="001B3469" w:rsidRPr="00753051" w:rsidRDefault="001B3469">
            <w:pPr>
              <w:spacing w:after="58"/>
            </w:pPr>
            <w:r w:rsidRPr="00753051">
              <w:t xml:space="preserve">63.1(c)(5) </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 xml:space="preserve">Application and notification of construction/reconstruction </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 xml:space="preserve">63.5(b)(4), 63.5(d), 63.1260(c) </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applicability</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63.9(a), 63.1260(b)</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initial startup</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63.9(b), 63.9(d), 63.1260(b)</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initial performance test, submittal of test plan, request of waiver of performance test</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63.7(b)(1-2), 63.7(c), 63.7(f), 63.7(h), 63.9(e), 63.1257(b)(8), 63.1260(1)</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lastRenderedPageBreak/>
              <w:t>Notification of delay (reschedule) of initial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63.7(b)(2)</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CMS performance evaluation and results</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63.8(e)(2), 63.9(e)(5), 63.9(g)(1), 63.10(e)(2), 63.1260(d)</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continue use of alternative to relative accuracy testing has been exceeded</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63.9(g)(3), 63.1260(d)</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compliance status report (NOCSR)</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63.9(h), 63.1260(f)</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Initial performance test results</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63.10(d)(2), 63.7(g) 63.1260(f)</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Request for compliance extension and progress reports for compliance extension (as applicable)</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63.10(d)(4), 63.1250(f)(6), 63.1260(m)</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rsidP="00045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Reports of  malfunction</w:t>
            </w:r>
            <w:r w:rsidR="00045146" w:rsidRPr="00753051">
              <w:t>s</w:t>
            </w:r>
            <w:r w:rsidRPr="00753051">
              <w:t xml:space="preserve"> </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63.1260(i)</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Pre-compliance report (as applicable)</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63.1260(e)</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Notification of process change</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63.1260(h)</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Periodic reports</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63.1260(g)</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Reports of leak detection and repair (LDAR)</w:t>
            </w:r>
          </w:p>
        </w:tc>
        <w:tc>
          <w:tcPr>
            <w:tcW w:w="279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63.1260(j), 63.1255(h)</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Reports of emissions averaging</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63.1260(k)</w:t>
            </w:r>
          </w:p>
        </w:tc>
      </w:tr>
      <w:tr w:rsidR="00865D9B"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865D9B" w:rsidRPr="00753051" w:rsidRDefault="00865D9B" w:rsidP="00816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Reports of malfunctions that result in an exceedances of the standard</w:t>
            </w:r>
            <w:r w:rsidR="00816231" w:rsidRPr="00753051">
              <w:t xml:space="preserve"> for the purpose of affirmative defense</w:t>
            </w:r>
          </w:p>
        </w:tc>
        <w:tc>
          <w:tcPr>
            <w:tcW w:w="2790" w:type="dxa"/>
            <w:tcBorders>
              <w:top w:val="single" w:sz="7" w:space="0" w:color="000000"/>
              <w:left w:val="single" w:sz="7" w:space="0" w:color="000000"/>
              <w:bottom w:val="single" w:sz="7" w:space="0" w:color="000000"/>
              <w:right w:val="single" w:sz="7" w:space="0" w:color="000000"/>
            </w:tcBorders>
            <w:vAlign w:val="center"/>
          </w:tcPr>
          <w:p w:rsidR="00865D9B" w:rsidRPr="00753051" w:rsidRDefault="00865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63.1250(g)(4)</w:t>
            </w:r>
          </w:p>
        </w:tc>
      </w:tr>
    </w:tbl>
    <w:p w:rsidR="001B3469" w:rsidRPr="00753051" w:rsidRDefault="001B3469"/>
    <w:p w:rsidR="001B3469" w:rsidRPr="00753051" w:rsidRDefault="001B3469">
      <w:pPr>
        <w:ind w:firstLine="720"/>
      </w:pPr>
      <w:r w:rsidRPr="00753051">
        <w:t>A source must keep the following records:</w:t>
      </w:r>
    </w:p>
    <w:p w:rsidR="001B3469" w:rsidRPr="00753051" w:rsidRDefault="001B3469"/>
    <w:tbl>
      <w:tblPr>
        <w:tblW w:w="0" w:type="auto"/>
        <w:jc w:val="center"/>
        <w:tblLayout w:type="fixed"/>
        <w:tblCellMar>
          <w:left w:w="120" w:type="dxa"/>
          <w:right w:w="120" w:type="dxa"/>
        </w:tblCellMar>
        <w:tblLook w:val="0000"/>
      </w:tblPr>
      <w:tblGrid>
        <w:gridCol w:w="6570"/>
        <w:gridCol w:w="2790"/>
      </w:tblGrid>
      <w:tr w:rsidR="001B3469" w:rsidRPr="00753051">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spacing w:after="58"/>
              <w:jc w:val="center"/>
              <w:rPr>
                <w:b/>
              </w:rPr>
            </w:pPr>
            <w:r w:rsidRPr="00753051">
              <w:rPr>
                <w:b/>
              </w:rPr>
              <w:t xml:space="preserve">Recordkeeping </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Recordkeeping requirements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63.10(a), 63.1259(a)</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8"/>
            </w:pPr>
            <w:r w:rsidRPr="00753051">
              <w:t>All reports and notifications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spacing w:after="58"/>
            </w:pPr>
            <w:r w:rsidRPr="00753051">
              <w:t xml:space="preserve">63.10(b)(1), 63.1259(a)(1)  </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8"/>
            </w:pPr>
            <w:r w:rsidRPr="00753051">
              <w:t>Record of applicability</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spacing w:after="58"/>
            </w:pPr>
            <w:r w:rsidRPr="00753051">
              <w:t>63.10(b)(3), 63.1259(a)(2)</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8"/>
            </w:pP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spacing w:after="58"/>
            </w:pP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sources with continuous monitoring systems (CMS)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63.10(c)(1-14),</w:t>
            </w:r>
          </w:p>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63.1259(a)(4)</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Application for approval of construction/reconstruction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63.1259(a)(5)</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equipment operation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63.1259(b)</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operating scenarios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63.1259(c)</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LDAR programs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63.1259(d), 63.1255(g)</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emissions averaging</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63.1259(e)</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delay of repair</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63.1259(f)</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wastewater stream or residual transfer</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63.1259(g)</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of extensions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63.1259(h)</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lastRenderedPageBreak/>
              <w:t>Records of inspections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63.1259(i)</w:t>
            </w:r>
          </w:p>
        </w:tc>
      </w:tr>
      <w:tr w:rsidR="001B3469" w:rsidRPr="00753051">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Records should be retained for 5 years</w:t>
            </w:r>
          </w:p>
        </w:tc>
        <w:tc>
          <w:tcPr>
            <w:tcW w:w="2790" w:type="dxa"/>
            <w:tcBorders>
              <w:top w:val="single" w:sz="7" w:space="0" w:color="000000"/>
              <w:left w:val="single" w:sz="7" w:space="0" w:color="000000"/>
              <w:bottom w:val="single" w:sz="7" w:space="0" w:color="000000"/>
              <w:right w:val="single" w:sz="7" w:space="0" w:color="000000"/>
            </w:tcBorders>
            <w:vAlign w:val="center"/>
          </w:tcPr>
          <w:p w:rsidR="001B3469" w:rsidRPr="00753051" w:rsidRDefault="001B3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753051">
              <w:t>63.10(b)(1), 63.1259(a)(1)</w:t>
            </w:r>
          </w:p>
        </w:tc>
      </w:tr>
    </w:tbl>
    <w:p w:rsidR="001B3469" w:rsidRPr="00753051" w:rsidRDefault="001B3469"/>
    <w:p w:rsidR="001B3469" w:rsidRPr="00753051" w:rsidRDefault="001B3469">
      <w:r w:rsidRPr="00753051">
        <w:rPr>
          <w:u w:val="single"/>
        </w:rPr>
        <w:t>Electronic Reporting</w:t>
      </w:r>
    </w:p>
    <w:p w:rsidR="001B3469" w:rsidRPr="00753051" w:rsidRDefault="001B3469"/>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1B3469" w:rsidRPr="00753051" w:rsidRDefault="001B3469">
      <w:pPr>
        <w:pBdr>
          <w:top w:val="single" w:sz="6" w:space="0" w:color="FFFFFF"/>
          <w:left w:val="single" w:sz="6" w:space="0" w:color="FFFFFF"/>
          <w:bottom w:val="single" w:sz="6" w:space="0" w:color="FFFFFF"/>
          <w:right w:val="single" w:sz="6" w:space="0" w:color="FFFFFF"/>
        </w:pBdr>
        <w:ind w:firstLine="720"/>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Also, regulatory agencies, in cooperation with the respondents, continue to create reporting systems to transmit data electronically.  However, electronic reporting systems are not widely used.  At this time, it is estimated that approximately 20 percent of the respondents are reporting electronically.</w:t>
      </w:r>
    </w:p>
    <w:p w:rsidR="00816231" w:rsidRPr="00753051" w:rsidRDefault="00816231">
      <w:pPr>
        <w:pBdr>
          <w:top w:val="single" w:sz="6" w:space="0" w:color="FFFFFF"/>
          <w:left w:val="single" w:sz="6" w:space="0" w:color="FFFFFF"/>
          <w:bottom w:val="single" w:sz="6" w:space="0" w:color="FFFFFF"/>
          <w:right w:val="single" w:sz="6" w:space="0" w:color="FFFFFF"/>
        </w:pBdr>
        <w:ind w:firstLine="720"/>
      </w:pPr>
    </w:p>
    <w:p w:rsidR="001B3469" w:rsidRPr="00753051" w:rsidRDefault="00816231">
      <w:pPr>
        <w:pBdr>
          <w:top w:val="single" w:sz="6" w:space="0" w:color="FFFFFF"/>
          <w:left w:val="single" w:sz="6" w:space="0" w:color="FFFFFF"/>
          <w:bottom w:val="single" w:sz="6" w:space="0" w:color="FFFFFF"/>
          <w:right w:val="single" w:sz="6" w:space="0" w:color="FFFFFF"/>
        </w:pBdr>
        <w:ind w:firstLine="720"/>
      </w:pPr>
      <w:r w:rsidRPr="00753051">
        <w:t>The amendments to the NESHAP require that any performance tests performed after December 31, 2011 be submitted electronically to EPA’s Central Data Exchange by using the Electronic Reporting Tool (ERT) for test methods that are compatible with ERT.  This new requirement to submit the data to the ERT is in addition to the other existing submission requirements for this data.</w:t>
      </w:r>
    </w:p>
    <w:p w:rsidR="001B3469" w:rsidRPr="00753051" w:rsidRDefault="001B3469">
      <w:pPr>
        <w:pBdr>
          <w:top w:val="single" w:sz="6" w:space="0" w:color="FFFFFF"/>
          <w:left w:val="single" w:sz="6" w:space="0" w:color="FFFFFF"/>
          <w:bottom w:val="single" w:sz="6" w:space="0" w:color="FFFFFF"/>
          <w:right w:val="single" w:sz="6" w:space="0" w:color="FFFFFF"/>
        </w:pBdr>
        <w:ind w:firstLine="1440"/>
        <w:rPr>
          <w:b/>
          <w:bCs/>
        </w:rPr>
      </w:pPr>
      <w:r w:rsidRPr="00753051">
        <w:rPr>
          <w:b/>
          <w:bCs/>
        </w:rPr>
        <w:t>(ii)  Respondent Activities</w:t>
      </w:r>
    </w:p>
    <w:p w:rsidR="001B3469" w:rsidRPr="00753051" w:rsidRDefault="001B3469">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20" w:type="dxa"/>
          <w:right w:w="120" w:type="dxa"/>
        </w:tblCellMar>
        <w:tblLook w:val="0000"/>
      </w:tblPr>
      <w:tblGrid>
        <w:gridCol w:w="9360"/>
      </w:tblGrid>
      <w:tr w:rsidR="001B3469" w:rsidRPr="00753051">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1B3469" w:rsidRPr="00753051" w:rsidRDefault="001B3469">
            <w:pPr>
              <w:spacing w:after="55"/>
              <w:jc w:val="center"/>
              <w:rPr>
                <w:b/>
                <w:bCs/>
              </w:rPr>
            </w:pPr>
            <w:r w:rsidRPr="00753051">
              <w:rPr>
                <w:b/>
                <w:bCs/>
              </w:rPr>
              <w:t>Respondent Activities</w:t>
            </w:r>
          </w:p>
        </w:tc>
      </w:tr>
      <w:tr w:rsidR="001B3469" w:rsidRPr="0075305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5"/>
            </w:pPr>
            <w:r w:rsidRPr="00753051">
              <w:t>Read instructions.</w:t>
            </w:r>
          </w:p>
        </w:tc>
      </w:tr>
      <w:tr w:rsidR="001B3469" w:rsidRPr="0075305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5"/>
            </w:pPr>
            <w:r w:rsidRPr="00753051">
              <w:t>Plan compliance strategy (includes preparing implementation plans)</w:t>
            </w:r>
          </w:p>
        </w:tc>
      </w:tr>
      <w:tr w:rsidR="001B3469" w:rsidRPr="0075305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5"/>
            </w:pPr>
            <w:r w:rsidRPr="00753051">
              <w:t>Perform initial performance test and repeat performance tests if necessary.</w:t>
            </w:r>
          </w:p>
        </w:tc>
      </w:tr>
      <w:tr w:rsidR="001B3469" w:rsidRPr="0075305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5"/>
            </w:pPr>
            <w:r w:rsidRPr="00753051">
              <w:t>Perform initial performance test, Reference Methods 1, 2, 3, 4, 18, 25, and 26 test, and repeat performance test if necessary.</w:t>
            </w:r>
          </w:p>
        </w:tc>
      </w:tr>
      <w:tr w:rsidR="001B3469" w:rsidRPr="00753051">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1B3469" w:rsidRPr="00753051" w:rsidRDefault="001B3469">
            <w:pPr>
              <w:spacing w:after="55"/>
            </w:pPr>
            <w:r w:rsidRPr="00753051">
              <w:t xml:space="preserve">Write the notifications and reports listed above. </w:t>
            </w:r>
          </w:p>
        </w:tc>
      </w:tr>
      <w:tr w:rsidR="001B3469" w:rsidRPr="00753051">
        <w:trPr>
          <w:cantSplit/>
          <w:jc w:val="center"/>
        </w:trPr>
        <w:tc>
          <w:tcPr>
            <w:tcW w:w="9360" w:type="dxa"/>
            <w:tcBorders>
              <w:top w:val="single" w:sz="4" w:space="0" w:color="auto"/>
              <w:left w:val="single" w:sz="4" w:space="0" w:color="auto"/>
              <w:bottom w:val="single" w:sz="4" w:space="0" w:color="auto"/>
              <w:right w:val="single" w:sz="4" w:space="0" w:color="auto"/>
            </w:tcBorders>
          </w:tcPr>
          <w:p w:rsidR="001B3469" w:rsidRPr="00753051" w:rsidRDefault="001B3469">
            <w:pPr>
              <w:spacing w:after="55"/>
            </w:pPr>
            <w:r w:rsidRPr="00753051">
              <w:t>Enter information required to be recorded above.</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1B3469" w:rsidRPr="00753051" w:rsidRDefault="001B3469">
            <w:pPr>
              <w:spacing w:after="55"/>
            </w:pPr>
            <w:r w:rsidRPr="00753051">
              <w:t>Submit the required reports developing, acquiring, installing, and utilizing technology and systems for the purpose of collecting, validating, and verifying information.</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1B3469" w:rsidRPr="00753051" w:rsidRDefault="001B3469">
            <w:pPr>
              <w:spacing w:after="55"/>
            </w:pPr>
            <w:r w:rsidRPr="00753051">
              <w:t>Develop, acquire, install, and utilize technology and systems for the purpose of processing and maintaining information.</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1B3469" w:rsidRPr="00753051" w:rsidRDefault="001B3469">
            <w:pPr>
              <w:spacing w:after="55"/>
            </w:pPr>
            <w:r w:rsidRPr="00753051">
              <w:t>Develop, acquire, install, and utilize technology and systems for the purpose of disclosing and providing information.</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1B3469" w:rsidRPr="00753051" w:rsidRDefault="001B3469">
            <w:pPr>
              <w:spacing w:after="55"/>
            </w:pPr>
            <w:r w:rsidRPr="00753051">
              <w:t>Adjust the existing ways to comply with any previously applicable instructions and requirements.</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1B3469" w:rsidRPr="00753051" w:rsidRDefault="001B3469">
            <w:pPr>
              <w:spacing w:after="55"/>
            </w:pPr>
            <w:r w:rsidRPr="00753051">
              <w:t>Train personnel to be able to respond to a collection of information.</w:t>
            </w:r>
          </w:p>
        </w:tc>
      </w:tr>
      <w:tr w:rsidR="001B3469" w:rsidRPr="00753051">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1B3469" w:rsidRPr="00753051" w:rsidRDefault="001B3469">
            <w:pPr>
              <w:spacing w:after="55"/>
            </w:pPr>
            <w:r w:rsidRPr="00753051">
              <w:t>Transmit, or otherwise disclose the information.</w:t>
            </w:r>
          </w:p>
        </w:tc>
      </w:tr>
    </w:tbl>
    <w:p w:rsidR="001B3469" w:rsidRPr="00753051" w:rsidRDefault="001B3469"/>
    <w:p w:rsidR="001B3469" w:rsidRPr="00753051" w:rsidRDefault="001B3469">
      <w:r w:rsidRPr="00753051">
        <w:lastRenderedPageBreak/>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B61FBD" w:rsidRPr="00753051" w:rsidRDefault="00B61FBD"/>
    <w:p w:rsidR="00B61FBD" w:rsidRPr="00753051" w:rsidRDefault="00B61FBD" w:rsidP="00B61FBD">
      <w:pPr>
        <w:ind w:firstLine="720"/>
      </w:pPr>
      <w:r w:rsidRPr="00753051">
        <w:t xml:space="preserve">EPA is including in Table 3 (located at the end of this supporting statement) 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B61FBD" w:rsidRPr="00753051" w:rsidRDefault="00B61FBD" w:rsidP="00B61FBD">
      <w:pPr>
        <w:ind w:firstLine="720"/>
      </w:pPr>
    </w:p>
    <w:p w:rsidR="00B61FBD" w:rsidRPr="00753051" w:rsidRDefault="00B61FBD" w:rsidP="00B61FBD">
      <w:pPr>
        <w:ind w:firstLine="720"/>
      </w:pPr>
      <w:r w:rsidRPr="00753051">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B61FBD" w:rsidRPr="00753051" w:rsidRDefault="00B61FBD" w:rsidP="00B61FBD">
      <w:pPr>
        <w:ind w:firstLine="720"/>
      </w:pPr>
    </w:p>
    <w:p w:rsidR="00B61FBD" w:rsidRPr="00753051" w:rsidRDefault="00B61FBD" w:rsidP="00B61FBD">
      <w:pPr>
        <w:ind w:firstLine="720"/>
      </w:pPr>
      <w:r w:rsidRPr="00753051">
        <w:t>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w:t>
      </w:r>
      <w:r w:rsidR="00631A8B" w:rsidRPr="00753051">
        <w:t>3,141</w:t>
      </w:r>
      <w:r w:rsidRPr="00753051">
        <w:t xml:space="preserve">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B61FBD" w:rsidRPr="00753051" w:rsidRDefault="00B61FBD" w:rsidP="00B61FBD">
      <w:pPr>
        <w:ind w:firstLine="720"/>
      </w:pPr>
    </w:p>
    <w:p w:rsidR="00B61FBD" w:rsidRPr="00753051" w:rsidRDefault="00B61FBD" w:rsidP="00B61FBD">
      <w:pPr>
        <w:ind w:firstLine="720"/>
      </w:pPr>
      <w:r w:rsidRPr="00753051">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  </w:t>
      </w:r>
    </w:p>
    <w:p w:rsidR="001B3469" w:rsidRPr="00753051" w:rsidRDefault="001B3469"/>
    <w:p w:rsidR="001B3469" w:rsidRPr="00753051" w:rsidRDefault="001B3469">
      <w:pPr>
        <w:rPr>
          <w:b/>
          <w:bCs/>
        </w:rPr>
      </w:pPr>
      <w:r w:rsidRPr="00753051">
        <w:rPr>
          <w:b/>
          <w:bCs/>
        </w:rPr>
        <w:t>5.  The Information Collected: Agency Activities, Collection Methodology, and Information Management</w:t>
      </w:r>
    </w:p>
    <w:p w:rsidR="001B3469" w:rsidRPr="00753051" w:rsidRDefault="001B3469">
      <w:pPr>
        <w:rPr>
          <w:b/>
          <w:bCs/>
        </w:rPr>
      </w:pPr>
    </w:p>
    <w:p w:rsidR="001B3469" w:rsidRPr="00753051" w:rsidRDefault="001B3469">
      <w:pPr>
        <w:ind w:firstLine="720"/>
      </w:pPr>
      <w:r w:rsidRPr="00753051">
        <w:rPr>
          <w:b/>
          <w:bCs/>
        </w:rPr>
        <w:t>5(a)  Agency Activities</w:t>
      </w:r>
    </w:p>
    <w:p w:rsidR="001B3469" w:rsidRPr="00753051" w:rsidRDefault="001B3469"/>
    <w:p w:rsidR="001B3469" w:rsidRPr="00753051" w:rsidRDefault="001B3469">
      <w:pPr>
        <w:ind w:firstLine="720"/>
      </w:pPr>
      <w:r w:rsidRPr="00753051">
        <w:t>EPA conducts the following activities in connection with the acquisition, analysis, storage, and distribution of the required information.</w:t>
      </w:r>
    </w:p>
    <w:p w:rsidR="006B19CD" w:rsidRPr="00753051" w:rsidRDefault="006B19CD">
      <w:pPr>
        <w:ind w:firstLine="720"/>
      </w:pPr>
    </w:p>
    <w:p w:rsidR="001B3469" w:rsidRPr="00753051" w:rsidRDefault="001B3469"/>
    <w:tbl>
      <w:tblPr>
        <w:tblW w:w="0" w:type="auto"/>
        <w:jc w:val="center"/>
        <w:tblLayout w:type="fixed"/>
        <w:tblCellMar>
          <w:left w:w="120" w:type="dxa"/>
          <w:right w:w="120" w:type="dxa"/>
        </w:tblCellMar>
        <w:tblLook w:val="0000"/>
      </w:tblPr>
      <w:tblGrid>
        <w:gridCol w:w="9360"/>
      </w:tblGrid>
      <w:tr w:rsidR="001B3469" w:rsidRPr="00753051">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1B3469" w:rsidRPr="00753051" w:rsidRDefault="001B3469">
            <w:pPr>
              <w:spacing w:after="52"/>
              <w:jc w:val="center"/>
              <w:rPr>
                <w:b/>
                <w:bCs/>
              </w:rPr>
            </w:pPr>
            <w:r w:rsidRPr="00753051">
              <w:rPr>
                <w:b/>
                <w:bCs/>
              </w:rPr>
              <w:t>Agency Activities</w:t>
            </w:r>
          </w:p>
        </w:tc>
      </w:tr>
      <w:tr w:rsidR="006B19CD" w:rsidRPr="00753051">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6B19CD" w:rsidRPr="00753051" w:rsidRDefault="006B19CD" w:rsidP="006B19CD">
            <w:pPr>
              <w:spacing w:after="52"/>
              <w:rPr>
                <w:b/>
                <w:bCs/>
              </w:rPr>
            </w:pPr>
          </w:p>
        </w:tc>
      </w:tr>
      <w:tr w:rsidR="001B3469" w:rsidRPr="00753051">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1B3469" w:rsidRPr="00753051" w:rsidRDefault="001B3469">
            <w:pPr>
              <w:spacing w:after="52"/>
            </w:pPr>
            <w:r w:rsidRPr="00753051">
              <w:t>Observe initial performance tests and repeat performance tests if necessary.</w:t>
            </w:r>
          </w:p>
        </w:tc>
      </w:tr>
      <w:tr w:rsidR="001B3469" w:rsidRPr="00753051">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1B3469" w:rsidRPr="00753051" w:rsidRDefault="001B3469">
            <w:pPr>
              <w:spacing w:after="52"/>
            </w:pPr>
            <w:r w:rsidRPr="00753051">
              <w:t>Review notifications and reports, including performance test reports, excess emissions reports, required to be submitted by industry.</w:t>
            </w:r>
          </w:p>
        </w:tc>
      </w:tr>
      <w:tr w:rsidR="001B3469" w:rsidRPr="00753051">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spacing w:after="52"/>
            </w:pPr>
            <w:r w:rsidRPr="00753051">
              <w:t>Audit facility records.</w:t>
            </w:r>
          </w:p>
        </w:tc>
      </w:tr>
      <w:tr w:rsidR="001B3469" w:rsidRPr="00753051">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1B3469" w:rsidRPr="00753051" w:rsidRDefault="001B3469">
            <w:pPr>
              <w:spacing w:after="72"/>
            </w:pPr>
            <w:r w:rsidRPr="00753051">
              <w:t>Input, analyze, and maintain data in the OTIS.</w:t>
            </w:r>
          </w:p>
        </w:tc>
      </w:tr>
    </w:tbl>
    <w:p w:rsidR="001B3469" w:rsidRPr="00753051" w:rsidRDefault="001B3469">
      <w:pPr>
        <w:ind w:firstLine="720"/>
        <w:rPr>
          <w:b/>
          <w:bCs/>
        </w:rPr>
      </w:pPr>
    </w:p>
    <w:p w:rsidR="001B3469" w:rsidRPr="00753051" w:rsidRDefault="001B3469">
      <w:pPr>
        <w:ind w:firstLine="720"/>
      </w:pPr>
      <w:r w:rsidRPr="00753051">
        <w:rPr>
          <w:b/>
          <w:bCs/>
        </w:rPr>
        <w:t>5(b)  Collection Methodology and Management</w:t>
      </w:r>
    </w:p>
    <w:p w:rsidR="001B3469" w:rsidRPr="00753051" w:rsidRDefault="001B3469"/>
    <w:p w:rsidR="001B3469" w:rsidRPr="00753051" w:rsidRDefault="001B3469">
      <w:pPr>
        <w:ind w:right="-180" w:firstLine="720"/>
      </w:pPr>
      <w:r w:rsidRPr="00753051">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1B3469" w:rsidRPr="00753051" w:rsidRDefault="001B3469">
      <w:pPr>
        <w:ind w:right="-180" w:firstLine="720"/>
      </w:pPr>
    </w:p>
    <w:p w:rsidR="001B3469" w:rsidRPr="00753051" w:rsidRDefault="001B3469">
      <w:pPr>
        <w:ind w:firstLine="720"/>
      </w:pPr>
      <w:r w:rsidRPr="00753051">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edit, store, retrieve and analyze the data.</w:t>
      </w:r>
    </w:p>
    <w:p w:rsidR="001B3469" w:rsidRPr="00753051" w:rsidRDefault="001B3469">
      <w:pPr>
        <w:ind w:firstLine="720"/>
      </w:pPr>
    </w:p>
    <w:p w:rsidR="001B3469" w:rsidRPr="00753051" w:rsidRDefault="001B3469">
      <w:pPr>
        <w:ind w:firstLine="720"/>
      </w:pPr>
      <w:r w:rsidRPr="00753051">
        <w:t>The records required by this regulation must be retained by the owner or operator for five years.</w:t>
      </w:r>
    </w:p>
    <w:p w:rsidR="001B3469" w:rsidRPr="00753051" w:rsidRDefault="001B3469">
      <w:pPr>
        <w:ind w:firstLine="720"/>
      </w:pPr>
    </w:p>
    <w:p w:rsidR="001B3469" w:rsidRPr="00753051" w:rsidRDefault="001B3469">
      <w:pPr>
        <w:ind w:firstLine="720"/>
      </w:pPr>
      <w:r w:rsidRPr="00753051">
        <w:rPr>
          <w:b/>
          <w:bCs/>
        </w:rPr>
        <w:t>5(c)  Small Entity Flexibility</w:t>
      </w:r>
    </w:p>
    <w:p w:rsidR="001B3469" w:rsidRPr="00753051" w:rsidRDefault="001B3469"/>
    <w:p w:rsidR="001B3469" w:rsidRPr="00753051" w:rsidRDefault="001B3469">
      <w:r w:rsidRPr="00753051">
        <w:tab/>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1B3469" w:rsidRPr="00753051" w:rsidRDefault="001B3469"/>
    <w:p w:rsidR="001B3469" w:rsidRPr="00753051" w:rsidRDefault="001B3469">
      <w:pPr>
        <w:ind w:firstLine="720"/>
        <w:rPr>
          <w:b/>
          <w:bCs/>
        </w:rPr>
      </w:pPr>
      <w:r w:rsidRPr="00753051">
        <w:rPr>
          <w:b/>
          <w:bCs/>
        </w:rPr>
        <w:t>5(d)  Collection Schedule</w:t>
      </w:r>
    </w:p>
    <w:p w:rsidR="001B3469" w:rsidRPr="00753051" w:rsidRDefault="001B3469">
      <w:pPr>
        <w:ind w:firstLine="720"/>
      </w:pPr>
    </w:p>
    <w:p w:rsidR="001B3469" w:rsidRPr="00753051" w:rsidRDefault="001B3469">
      <w:pPr>
        <w:ind w:firstLine="720"/>
      </w:pPr>
      <w:r w:rsidRPr="00753051">
        <w:lastRenderedPageBreak/>
        <w:t xml:space="preserve">The specific frequency for each information collection activity within this request is shown below in Table 1: Annual Respondent Burden </w:t>
      </w:r>
      <w:r w:rsidR="006B19CD" w:rsidRPr="00753051">
        <w:t xml:space="preserve">and Cost </w:t>
      </w:r>
      <w:r w:rsidRPr="00753051">
        <w:t xml:space="preserve">- NESHAP for </w:t>
      </w:r>
      <w:r w:rsidRPr="00753051">
        <w:rPr>
          <w:bCs/>
        </w:rPr>
        <w:t>Pharmaceuticals Production (40 CFR Part 63, Subpart GGG)</w:t>
      </w:r>
      <w:r w:rsidRPr="00753051">
        <w:t xml:space="preserve"> (Re</w:t>
      </w:r>
      <w:r w:rsidR="00816231" w:rsidRPr="00753051">
        <w:t>vision</w:t>
      </w:r>
      <w:r w:rsidRPr="00753051">
        <w:t>).</w:t>
      </w:r>
    </w:p>
    <w:p w:rsidR="001B3469" w:rsidRPr="00753051" w:rsidRDefault="001B3469">
      <w:pPr>
        <w:ind w:firstLine="720"/>
      </w:pPr>
    </w:p>
    <w:p w:rsidR="001B3469" w:rsidRPr="00753051" w:rsidRDefault="001B3469">
      <w:pPr>
        <w:rPr>
          <w:b/>
          <w:bCs/>
        </w:rPr>
      </w:pPr>
      <w:r w:rsidRPr="00753051">
        <w:rPr>
          <w:b/>
          <w:bCs/>
        </w:rPr>
        <w:t>6.  Estimating the Burden and Cost of the Collection</w:t>
      </w:r>
    </w:p>
    <w:p w:rsidR="006B19CD" w:rsidRPr="00753051" w:rsidRDefault="006B19CD"/>
    <w:p w:rsidR="001B3469" w:rsidRPr="00753051" w:rsidRDefault="001B3469">
      <w:pPr>
        <w:ind w:firstLine="720"/>
      </w:pPr>
      <w:r w:rsidRPr="00753051">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1B3469" w:rsidRPr="00753051" w:rsidRDefault="001B3469">
      <w:pPr>
        <w:ind w:firstLine="720"/>
      </w:pPr>
    </w:p>
    <w:p w:rsidR="001B3469" w:rsidRPr="00753051" w:rsidRDefault="001B3469">
      <w:pPr>
        <w:ind w:firstLine="720"/>
      </w:pPr>
      <w:r w:rsidRPr="00753051">
        <w:t>The Agency may not conduct or sponsor, and a person is not required to respond to, a collection of information unless it displays a currently valid OMB Control Number.</w:t>
      </w:r>
    </w:p>
    <w:p w:rsidR="001B3469" w:rsidRPr="00753051" w:rsidRDefault="001B3469"/>
    <w:p w:rsidR="001B3469" w:rsidRPr="00753051" w:rsidRDefault="001B3469">
      <w:pPr>
        <w:ind w:firstLine="720"/>
      </w:pPr>
      <w:r w:rsidRPr="00753051">
        <w:rPr>
          <w:b/>
          <w:bCs/>
        </w:rPr>
        <w:t>6(a)  Estimating Respondent Burden</w:t>
      </w:r>
    </w:p>
    <w:p w:rsidR="001B3469" w:rsidRPr="00753051" w:rsidRDefault="001B3469"/>
    <w:p w:rsidR="001B3469" w:rsidRPr="00753051" w:rsidRDefault="001B3469">
      <w:pPr>
        <w:ind w:firstLine="720"/>
      </w:pPr>
      <w:r w:rsidRPr="00753051">
        <w:t xml:space="preserve">The average annual burden to industry over the next three years from these recordkeeping and reporting requirements is estimated to be </w:t>
      </w:r>
      <w:r w:rsidR="00816231" w:rsidRPr="00753051">
        <w:t>44,266</w:t>
      </w:r>
      <w:r w:rsidRPr="00753051">
        <w:t xml:space="preserve"> (Total Labor Hours from Table 1).  These hours are based on Agency studies and background documents from the development of the regulation, Agency knowledge and experience with the NESHAP program, the previously approved ICR, and any comments received.</w:t>
      </w:r>
    </w:p>
    <w:p w:rsidR="001B3469" w:rsidRPr="00753051" w:rsidRDefault="001B3469">
      <w:pPr>
        <w:rPr>
          <w:b/>
          <w:bCs/>
        </w:rPr>
      </w:pPr>
    </w:p>
    <w:p w:rsidR="001B3469" w:rsidRPr="00753051" w:rsidRDefault="001B3469">
      <w:pPr>
        <w:ind w:firstLine="720"/>
        <w:rPr>
          <w:b/>
          <w:bCs/>
        </w:rPr>
      </w:pPr>
      <w:r w:rsidRPr="00753051">
        <w:rPr>
          <w:b/>
          <w:bCs/>
        </w:rPr>
        <w:t>6(b)  Estimating Respondent Costs</w:t>
      </w:r>
    </w:p>
    <w:p w:rsidR="001B3469" w:rsidRPr="00753051" w:rsidRDefault="001B3469">
      <w:pPr>
        <w:ind w:firstLine="720"/>
        <w:rPr>
          <w:b/>
          <w:bCs/>
        </w:rPr>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 xml:space="preserve">This ICR uses the following labor rates: </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pBdr>
          <w:top w:val="single" w:sz="6" w:space="0" w:color="FFFFFF"/>
          <w:left w:val="single" w:sz="6" w:space="0" w:color="FFFFFF"/>
          <w:bottom w:val="single" w:sz="6" w:space="0" w:color="FFFFFF"/>
          <w:right w:val="single" w:sz="6" w:space="0" w:color="FFFFFF"/>
        </w:pBdr>
        <w:tabs>
          <w:tab w:val="left" w:pos="-1440"/>
        </w:tabs>
        <w:ind w:left="2880" w:hanging="1440"/>
      </w:pPr>
      <w:r w:rsidRPr="00753051">
        <w:t>Managerial</w:t>
      </w:r>
      <w:r w:rsidRPr="00753051">
        <w:tab/>
        <w:t xml:space="preserve">$114.49 ($54.52 + 110%)   </w:t>
      </w:r>
    </w:p>
    <w:p w:rsidR="001B3469" w:rsidRPr="00753051" w:rsidRDefault="001B3469">
      <w:pPr>
        <w:pBdr>
          <w:top w:val="single" w:sz="6" w:space="0" w:color="FFFFFF"/>
          <w:left w:val="single" w:sz="6" w:space="0" w:color="FFFFFF"/>
          <w:bottom w:val="single" w:sz="6" w:space="0" w:color="FFFFFF"/>
          <w:right w:val="single" w:sz="6" w:space="0" w:color="FFFFFF"/>
        </w:pBdr>
        <w:tabs>
          <w:tab w:val="left" w:pos="-1440"/>
        </w:tabs>
        <w:ind w:left="2880" w:hanging="1440"/>
      </w:pPr>
      <w:r w:rsidRPr="00753051">
        <w:t>Technical</w:t>
      </w:r>
      <w:r w:rsidRPr="00753051">
        <w:tab/>
        <w:t>$98.20 ($46.76 + 110%)</w:t>
      </w:r>
    </w:p>
    <w:p w:rsidR="001B3469" w:rsidRPr="00753051" w:rsidRDefault="001B3469">
      <w:pPr>
        <w:pBdr>
          <w:top w:val="single" w:sz="6" w:space="0" w:color="FFFFFF"/>
          <w:left w:val="single" w:sz="6" w:space="0" w:color="FFFFFF"/>
          <w:bottom w:val="single" w:sz="6" w:space="0" w:color="FFFFFF"/>
          <w:right w:val="single" w:sz="6" w:space="0" w:color="FFFFFF"/>
        </w:pBdr>
        <w:tabs>
          <w:tab w:val="left" w:pos="-1440"/>
        </w:tabs>
        <w:ind w:left="2880" w:hanging="1440"/>
      </w:pPr>
      <w:r w:rsidRPr="00753051">
        <w:t>Clerical</w:t>
      </w:r>
      <w:r w:rsidRPr="00753051">
        <w:tab/>
        <w:t>$48.53 ($23.11 + 110%)</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pBdr>
          <w:top w:val="single" w:sz="6" w:space="0" w:color="FFFFFF"/>
          <w:left w:val="single" w:sz="6" w:space="0" w:color="FFFFFF"/>
          <w:bottom w:val="single" w:sz="6" w:space="0" w:color="FFFFFF"/>
          <w:right w:val="single" w:sz="6" w:space="0" w:color="FFFFFF"/>
        </w:pBdr>
      </w:pPr>
      <w:r w:rsidRPr="00753051">
        <w:t xml:space="preserve">These rates are from the United States Department of Labor, Bureau of Labor Statistics, September 2009, </w:t>
      </w:r>
      <w:r w:rsidR="002523F1" w:rsidRPr="00753051">
        <w:t>”</w:t>
      </w:r>
      <w:r w:rsidRPr="00753051">
        <w:t>Table 2. Civilian Workers, by Occupational and Industry group</w:t>
      </w:r>
      <w:r w:rsidR="002523F1" w:rsidRPr="00753051">
        <w:t xml:space="preserve">.”  </w:t>
      </w:r>
      <w:r w:rsidRPr="00753051">
        <w:t xml:space="preserve">The rates are from column 1, </w:t>
      </w:r>
      <w:r w:rsidR="002523F1" w:rsidRPr="00753051">
        <w:t>”</w:t>
      </w:r>
      <w:r w:rsidRPr="00753051">
        <w:t>Total compensation</w:t>
      </w:r>
      <w:r w:rsidR="002523F1" w:rsidRPr="00753051">
        <w:t xml:space="preserve">.”  </w:t>
      </w:r>
      <w:r w:rsidRPr="00753051">
        <w:t>The rates have been increased by 110 percent to account for the benefit packages available to those employed by private industry.</w:t>
      </w:r>
    </w:p>
    <w:p w:rsidR="001B3469" w:rsidRPr="00753051" w:rsidRDefault="001B3469">
      <w:pPr>
        <w:tabs>
          <w:tab w:val="left" w:pos="-1440"/>
        </w:tabs>
      </w:pPr>
    </w:p>
    <w:p w:rsidR="00631A8B" w:rsidRPr="00753051" w:rsidRDefault="00631A8B">
      <w:pPr>
        <w:ind w:left="1440"/>
        <w:rPr>
          <w:b/>
          <w:bCs/>
        </w:rPr>
      </w:pPr>
    </w:p>
    <w:p w:rsidR="00631A8B" w:rsidRPr="00753051" w:rsidRDefault="00631A8B">
      <w:pPr>
        <w:ind w:left="1440"/>
        <w:rPr>
          <w:b/>
          <w:bCs/>
        </w:rPr>
      </w:pPr>
    </w:p>
    <w:p w:rsidR="001B3469" w:rsidRPr="00753051" w:rsidRDefault="001B3469">
      <w:pPr>
        <w:ind w:left="1440"/>
        <w:rPr>
          <w:b/>
          <w:bCs/>
        </w:rPr>
      </w:pPr>
      <w:r w:rsidRPr="00753051">
        <w:rPr>
          <w:b/>
          <w:bCs/>
        </w:rPr>
        <w:t>(ii)  Estimating Capital/Startup and Operation and Maintenance Costs</w:t>
      </w:r>
    </w:p>
    <w:p w:rsidR="001B3469" w:rsidRPr="00753051" w:rsidRDefault="001B3469">
      <w:pPr>
        <w:spacing w:line="248" w:lineRule="auto"/>
      </w:pPr>
    </w:p>
    <w:p w:rsidR="001B3469" w:rsidRPr="00753051" w:rsidRDefault="001B3469">
      <w:pPr>
        <w:ind w:firstLine="720"/>
      </w:pPr>
      <w:r w:rsidRPr="00753051">
        <w:t>The type of industry costs associated with the information collection activities in the subject standard are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1B3469" w:rsidRPr="00753051" w:rsidRDefault="001B3469">
      <w:pPr>
        <w:pBdr>
          <w:top w:val="single" w:sz="6" w:space="0" w:color="FFFFFF"/>
          <w:left w:val="single" w:sz="6" w:space="0" w:color="FFFFFF"/>
          <w:bottom w:val="single" w:sz="6" w:space="0" w:color="FFFFFF"/>
          <w:right w:val="single" w:sz="6" w:space="0" w:color="FFFFFF"/>
        </w:pBdr>
        <w:rPr>
          <w:b/>
          <w:bCs/>
        </w:rPr>
      </w:pPr>
    </w:p>
    <w:p w:rsidR="001B3469" w:rsidRPr="00753051" w:rsidRDefault="001B3469">
      <w:pPr>
        <w:spacing w:line="248" w:lineRule="auto"/>
        <w:ind w:firstLine="1440"/>
      </w:pPr>
      <w:r w:rsidRPr="00753051">
        <w:rPr>
          <w:b/>
          <w:bCs/>
        </w:rPr>
        <w:lastRenderedPageBreak/>
        <w:t>(iii)  Capital/Startup vs. Operation and Maintenance (O&amp;M) Cost</w:t>
      </w:r>
    </w:p>
    <w:p w:rsidR="002523F1" w:rsidRPr="00753051" w:rsidRDefault="002523F1">
      <w:pPr>
        <w:spacing w:line="248" w:lineRule="auto"/>
      </w:pPr>
    </w:p>
    <w:tbl>
      <w:tblPr>
        <w:tblW w:w="0" w:type="auto"/>
        <w:jc w:val="center"/>
        <w:tblLayout w:type="fixed"/>
        <w:tblCellMar>
          <w:left w:w="111" w:type="dxa"/>
          <w:right w:w="111" w:type="dxa"/>
        </w:tblCellMar>
        <w:tblLook w:val="0000"/>
      </w:tblPr>
      <w:tblGrid>
        <w:gridCol w:w="1710"/>
        <w:gridCol w:w="1530"/>
        <w:gridCol w:w="1260"/>
        <w:gridCol w:w="1260"/>
        <w:gridCol w:w="1350"/>
        <w:gridCol w:w="1260"/>
        <w:gridCol w:w="990"/>
      </w:tblGrid>
      <w:tr w:rsidR="001B3469" w:rsidRPr="00753051">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1B3469" w:rsidRPr="00753051" w:rsidRDefault="001B3469">
            <w:pPr>
              <w:spacing w:after="52" w:line="248" w:lineRule="auto"/>
              <w:jc w:val="center"/>
              <w:rPr>
                <w:b/>
                <w:bCs/>
              </w:rPr>
            </w:pPr>
            <w:r w:rsidRPr="00753051">
              <w:rPr>
                <w:b/>
                <w:bCs/>
              </w:rPr>
              <w:t>Capital/Startup vs. Operation and Maintenance (O&amp;M) Costs</w:t>
            </w:r>
          </w:p>
        </w:tc>
      </w:tr>
      <w:tr w:rsidR="001B3469" w:rsidRPr="00753051">
        <w:trPr>
          <w:cantSplit/>
          <w:tblHeader/>
          <w:jc w:val="center"/>
        </w:trPr>
        <w:tc>
          <w:tcPr>
            <w:tcW w:w="171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(A)</w:t>
            </w:r>
          </w:p>
          <w:p w:rsidR="001B3469" w:rsidRPr="00753051" w:rsidRDefault="001B3469">
            <w:pPr>
              <w:spacing w:after="52" w:line="247" w:lineRule="auto"/>
              <w:jc w:val="center"/>
              <w:rPr>
                <w:sz w:val="20"/>
                <w:szCs w:val="20"/>
              </w:rPr>
            </w:pPr>
            <w:r w:rsidRPr="00753051">
              <w:rPr>
                <w:sz w:val="20"/>
                <w:szCs w:val="20"/>
              </w:rPr>
              <w:t>Continuous Monitoring Device</w:t>
            </w:r>
          </w:p>
        </w:tc>
        <w:tc>
          <w:tcPr>
            <w:tcW w:w="153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(B)</w:t>
            </w:r>
          </w:p>
          <w:p w:rsidR="001B3469" w:rsidRPr="00753051" w:rsidRDefault="001B3469">
            <w:pPr>
              <w:spacing w:after="52" w:line="247" w:lineRule="auto"/>
              <w:jc w:val="center"/>
              <w:rPr>
                <w:sz w:val="20"/>
                <w:szCs w:val="20"/>
              </w:rPr>
            </w:pPr>
            <w:r w:rsidRPr="00753051">
              <w:rPr>
                <w:sz w:val="20"/>
                <w:szCs w:val="20"/>
              </w:rPr>
              <w:t>Capital/</w:t>
            </w:r>
          </w:p>
          <w:p w:rsidR="001B3469" w:rsidRPr="00753051" w:rsidRDefault="001B3469">
            <w:pPr>
              <w:spacing w:after="52" w:line="247" w:lineRule="auto"/>
              <w:jc w:val="center"/>
              <w:rPr>
                <w:sz w:val="20"/>
                <w:szCs w:val="20"/>
              </w:rPr>
            </w:pPr>
            <w:r w:rsidRPr="00753051">
              <w:rPr>
                <w:sz w:val="20"/>
                <w:szCs w:val="20"/>
              </w:rPr>
              <w:t>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(C)</w:t>
            </w:r>
          </w:p>
          <w:p w:rsidR="001B3469" w:rsidRPr="00753051" w:rsidRDefault="001B3469">
            <w:pPr>
              <w:spacing w:after="52" w:line="247" w:lineRule="auto"/>
              <w:jc w:val="center"/>
              <w:rPr>
                <w:sz w:val="20"/>
                <w:szCs w:val="20"/>
              </w:rPr>
            </w:pPr>
            <w:r w:rsidRPr="00753051">
              <w:rPr>
                <w:sz w:val="20"/>
                <w:szCs w:val="20"/>
              </w:rPr>
              <w:t xml:space="preserve">Number of New Respondents </w:t>
            </w:r>
          </w:p>
        </w:tc>
        <w:tc>
          <w:tcPr>
            <w:tcW w:w="126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(D)</w:t>
            </w:r>
          </w:p>
          <w:p w:rsidR="001B3469" w:rsidRPr="00753051" w:rsidRDefault="001B3469">
            <w:pPr>
              <w:spacing w:line="247" w:lineRule="auto"/>
              <w:jc w:val="center"/>
              <w:rPr>
                <w:sz w:val="20"/>
                <w:szCs w:val="20"/>
              </w:rPr>
            </w:pPr>
            <w:r w:rsidRPr="00753051">
              <w:rPr>
                <w:sz w:val="20"/>
                <w:szCs w:val="20"/>
              </w:rPr>
              <w:t xml:space="preserve">Total </w:t>
            </w:r>
          </w:p>
          <w:p w:rsidR="001B3469" w:rsidRPr="00753051" w:rsidRDefault="001B3469">
            <w:pPr>
              <w:spacing w:line="247" w:lineRule="auto"/>
              <w:jc w:val="center"/>
              <w:rPr>
                <w:sz w:val="20"/>
                <w:szCs w:val="20"/>
              </w:rPr>
            </w:pPr>
            <w:r w:rsidRPr="00753051">
              <w:rPr>
                <w:sz w:val="20"/>
                <w:szCs w:val="20"/>
              </w:rPr>
              <w:t>Capital/</w:t>
            </w:r>
          </w:p>
          <w:p w:rsidR="001B3469" w:rsidRPr="00753051" w:rsidRDefault="001B3469">
            <w:pPr>
              <w:spacing w:line="247" w:lineRule="auto"/>
              <w:jc w:val="center"/>
              <w:rPr>
                <w:sz w:val="20"/>
                <w:szCs w:val="20"/>
              </w:rPr>
            </w:pPr>
            <w:r w:rsidRPr="00753051">
              <w:rPr>
                <w:sz w:val="20"/>
                <w:szCs w:val="20"/>
              </w:rPr>
              <w:t xml:space="preserve">Startup Cost </w:t>
            </w:r>
          </w:p>
          <w:p w:rsidR="001B3469" w:rsidRPr="00753051" w:rsidRDefault="001B3469">
            <w:pPr>
              <w:spacing w:line="247" w:lineRule="auto"/>
              <w:jc w:val="center"/>
              <w:rPr>
                <w:sz w:val="20"/>
                <w:szCs w:val="20"/>
              </w:rPr>
            </w:pPr>
            <w:r w:rsidRPr="00753051">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(E)</w:t>
            </w:r>
          </w:p>
          <w:p w:rsidR="001B3469" w:rsidRPr="00753051" w:rsidRDefault="001B3469">
            <w:pPr>
              <w:spacing w:after="52" w:line="247" w:lineRule="auto"/>
              <w:jc w:val="center"/>
              <w:rPr>
                <w:sz w:val="20"/>
                <w:szCs w:val="20"/>
              </w:rPr>
            </w:pPr>
            <w:r w:rsidRPr="00753051">
              <w:rPr>
                <w:sz w:val="20"/>
                <w:szCs w:val="20"/>
              </w:rPr>
              <w:t xml:space="preserve">Annual O&amp;M Costs for One Respondent </w:t>
            </w:r>
          </w:p>
        </w:tc>
        <w:tc>
          <w:tcPr>
            <w:tcW w:w="1260" w:type="dxa"/>
            <w:tcBorders>
              <w:top w:val="single" w:sz="7" w:space="0" w:color="000000"/>
              <w:left w:val="single" w:sz="7" w:space="0" w:color="000000"/>
              <w:bottom w:val="single" w:sz="8" w:space="0" w:color="000000"/>
              <w:right w:val="single" w:sz="6" w:space="0" w:color="FFFFFF"/>
            </w:tcBorders>
          </w:tcPr>
          <w:p w:rsidR="001B3469" w:rsidRPr="00753051" w:rsidRDefault="001B3469">
            <w:pPr>
              <w:spacing w:line="247" w:lineRule="auto"/>
              <w:jc w:val="center"/>
              <w:rPr>
                <w:sz w:val="20"/>
                <w:szCs w:val="20"/>
              </w:rPr>
            </w:pPr>
            <w:r w:rsidRPr="00753051">
              <w:rPr>
                <w:sz w:val="20"/>
                <w:szCs w:val="20"/>
              </w:rPr>
              <w:t>(F)</w:t>
            </w:r>
          </w:p>
          <w:p w:rsidR="001B3469" w:rsidRPr="00753051" w:rsidRDefault="001B3469">
            <w:pPr>
              <w:spacing w:after="52" w:line="247" w:lineRule="auto"/>
              <w:jc w:val="center"/>
              <w:rPr>
                <w:sz w:val="20"/>
                <w:szCs w:val="20"/>
              </w:rPr>
            </w:pPr>
            <w:r w:rsidRPr="00753051">
              <w:rPr>
                <w:sz w:val="20"/>
                <w:szCs w:val="20"/>
              </w:rPr>
              <w:t xml:space="preserve">Number of Respondents with O&amp;M </w:t>
            </w:r>
          </w:p>
        </w:tc>
        <w:tc>
          <w:tcPr>
            <w:tcW w:w="990" w:type="dxa"/>
            <w:tcBorders>
              <w:top w:val="single" w:sz="7" w:space="0" w:color="000000"/>
              <w:left w:val="single" w:sz="7" w:space="0" w:color="000000"/>
              <w:bottom w:val="single" w:sz="8" w:space="0" w:color="000000"/>
              <w:right w:val="single" w:sz="7" w:space="0" w:color="000000"/>
            </w:tcBorders>
          </w:tcPr>
          <w:p w:rsidR="001B3469" w:rsidRPr="00753051" w:rsidRDefault="001B3469">
            <w:pPr>
              <w:spacing w:line="247" w:lineRule="auto"/>
              <w:jc w:val="center"/>
              <w:rPr>
                <w:sz w:val="20"/>
                <w:szCs w:val="20"/>
              </w:rPr>
            </w:pPr>
            <w:r w:rsidRPr="00753051">
              <w:rPr>
                <w:sz w:val="20"/>
                <w:szCs w:val="20"/>
              </w:rPr>
              <w:t>(G)</w:t>
            </w:r>
          </w:p>
          <w:p w:rsidR="001B3469" w:rsidRPr="00753051" w:rsidRDefault="001B3469">
            <w:pPr>
              <w:spacing w:line="247" w:lineRule="auto"/>
              <w:jc w:val="center"/>
              <w:rPr>
                <w:sz w:val="20"/>
                <w:szCs w:val="20"/>
              </w:rPr>
            </w:pPr>
            <w:r w:rsidRPr="00753051">
              <w:rPr>
                <w:sz w:val="20"/>
                <w:szCs w:val="20"/>
              </w:rPr>
              <w:t>Total O&amp;M,</w:t>
            </w:r>
          </w:p>
          <w:p w:rsidR="001B3469" w:rsidRPr="00753051" w:rsidRDefault="001B3469">
            <w:pPr>
              <w:spacing w:after="52" w:line="247" w:lineRule="auto"/>
              <w:jc w:val="center"/>
              <w:rPr>
                <w:sz w:val="20"/>
                <w:szCs w:val="20"/>
              </w:rPr>
            </w:pPr>
            <w:r w:rsidRPr="00753051">
              <w:rPr>
                <w:sz w:val="20"/>
                <w:szCs w:val="20"/>
              </w:rPr>
              <w:t>(E X F)</w:t>
            </w:r>
          </w:p>
        </w:tc>
      </w:tr>
      <w:tr w:rsidR="001B3469" w:rsidRPr="00753051">
        <w:trPr>
          <w:cantSplit/>
          <w:jc w:val="center"/>
        </w:trPr>
        <w:tc>
          <w:tcPr>
            <w:tcW w:w="1710" w:type="dxa"/>
            <w:tcBorders>
              <w:top w:val="single" w:sz="8" w:space="0" w:color="000000"/>
              <w:left w:val="single" w:sz="8" w:space="0" w:color="000000"/>
              <w:bottom w:val="single" w:sz="4" w:space="0" w:color="auto"/>
              <w:right w:val="single" w:sz="8" w:space="0" w:color="000000"/>
            </w:tcBorders>
          </w:tcPr>
          <w:p w:rsidR="001B3469" w:rsidRPr="00753051" w:rsidRDefault="001B3469">
            <w:pPr>
              <w:spacing w:after="52" w:line="247" w:lineRule="auto"/>
              <w:rPr>
                <w:sz w:val="20"/>
                <w:szCs w:val="20"/>
              </w:rPr>
            </w:pPr>
            <w:r w:rsidRPr="00753051">
              <w:rPr>
                <w:sz w:val="20"/>
                <w:szCs w:val="20"/>
              </w:rPr>
              <w:t>Data-logger and Thermocouple</w:t>
            </w:r>
          </w:p>
        </w:tc>
        <w:tc>
          <w:tcPr>
            <w:tcW w:w="153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center"/>
              <w:rPr>
                <w:sz w:val="20"/>
                <w:szCs w:val="20"/>
              </w:rPr>
            </w:pPr>
            <w:r w:rsidRPr="00753051">
              <w:rPr>
                <w:sz w:val="20"/>
                <w:szCs w:val="20"/>
              </w:rPr>
              <w:t>$4,400</w:t>
            </w:r>
          </w:p>
        </w:tc>
        <w:tc>
          <w:tcPr>
            <w:tcW w:w="126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center"/>
              <w:rPr>
                <w:sz w:val="20"/>
                <w:szCs w:val="20"/>
              </w:rPr>
            </w:pPr>
            <w:r w:rsidRPr="00753051">
              <w:rPr>
                <w:sz w:val="20"/>
                <w:szCs w:val="20"/>
              </w:rPr>
              <w:t>0</w:t>
            </w:r>
          </w:p>
        </w:tc>
        <w:tc>
          <w:tcPr>
            <w:tcW w:w="126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center"/>
              <w:rPr>
                <w:sz w:val="20"/>
                <w:szCs w:val="20"/>
              </w:rPr>
            </w:pPr>
            <w:r w:rsidRPr="00753051">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center"/>
              <w:rPr>
                <w:sz w:val="20"/>
                <w:szCs w:val="20"/>
              </w:rPr>
            </w:pPr>
            <w:r w:rsidRPr="00753051">
              <w:rPr>
                <w:sz w:val="20"/>
                <w:szCs w:val="20"/>
              </w:rPr>
              <w:t>$4,158</w:t>
            </w:r>
          </w:p>
        </w:tc>
        <w:tc>
          <w:tcPr>
            <w:tcW w:w="126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center"/>
              <w:rPr>
                <w:sz w:val="20"/>
                <w:szCs w:val="20"/>
              </w:rPr>
            </w:pPr>
            <w:r w:rsidRPr="00753051">
              <w:rPr>
                <w:sz w:val="20"/>
                <w:szCs w:val="20"/>
              </w:rPr>
              <w:t>27</w:t>
            </w:r>
          </w:p>
        </w:tc>
        <w:tc>
          <w:tcPr>
            <w:tcW w:w="990" w:type="dxa"/>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spacing w:after="52" w:line="247" w:lineRule="auto"/>
              <w:jc w:val="right"/>
              <w:rPr>
                <w:sz w:val="20"/>
                <w:szCs w:val="20"/>
              </w:rPr>
            </w:pPr>
            <w:r w:rsidRPr="00753051">
              <w:rPr>
                <w:sz w:val="20"/>
                <w:szCs w:val="20"/>
              </w:rPr>
              <w:t>$112,266</w:t>
            </w:r>
          </w:p>
        </w:tc>
      </w:tr>
      <w:tr w:rsidR="001B3469" w:rsidRPr="00753051">
        <w:trPr>
          <w:cantSplit/>
          <w:jc w:val="center"/>
        </w:trPr>
        <w:tc>
          <w:tcPr>
            <w:tcW w:w="171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rPr>
                <w:sz w:val="20"/>
                <w:szCs w:val="20"/>
              </w:rPr>
            </w:pPr>
            <w:r w:rsidRPr="00753051">
              <w:rPr>
                <w:sz w:val="20"/>
                <w:szCs w:val="20"/>
              </w:rPr>
              <w:t>Total</w:t>
            </w:r>
          </w:p>
        </w:tc>
        <w:tc>
          <w:tcPr>
            <w:tcW w:w="153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jc w:val="center"/>
              <w:rPr>
                <w:sz w:val="20"/>
                <w:szCs w:val="20"/>
              </w:rPr>
            </w:pPr>
            <w:r w:rsidRPr="0075305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1B3469" w:rsidRPr="00753051" w:rsidRDefault="001B3469">
            <w:pPr>
              <w:spacing w:after="52" w:line="247" w:lineRule="auto"/>
              <w:rPr>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B3469" w:rsidRPr="00753051" w:rsidRDefault="001B3469">
            <w:pPr>
              <w:spacing w:after="52" w:line="247" w:lineRule="auto"/>
              <w:jc w:val="right"/>
              <w:rPr>
                <w:sz w:val="20"/>
                <w:szCs w:val="20"/>
              </w:rPr>
            </w:pPr>
            <w:r w:rsidRPr="00753051">
              <w:rPr>
                <w:sz w:val="20"/>
                <w:szCs w:val="20"/>
              </w:rPr>
              <w:t>$112,266</w:t>
            </w:r>
          </w:p>
        </w:tc>
      </w:tr>
    </w:tbl>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The total capital/startup costs for this ICR are zero.  This is the total of column D in the above table.</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The total operation and maintenance (O&amp;M) costs for this ICR are $112,266.  This is the total of column G.</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rsidP="00873153">
      <w:pPr>
        <w:pBdr>
          <w:top w:val="single" w:sz="6" w:space="0" w:color="FFFFFF"/>
          <w:left w:val="single" w:sz="6" w:space="0" w:color="FFFFFF"/>
          <w:bottom w:val="single" w:sz="6" w:space="0" w:color="FFFFFF"/>
          <w:right w:val="single" w:sz="6" w:space="0" w:color="FFFFFF"/>
        </w:pBdr>
        <w:ind w:firstLine="720"/>
      </w:pPr>
      <w:r w:rsidRPr="00753051">
        <w:t>The average annual cost for capital/startup and operation and maintenance costs to industry over the next three years of the ICR is estimated to be $112,266.</w:t>
      </w:r>
    </w:p>
    <w:p w:rsidR="001B3469" w:rsidRPr="00753051" w:rsidRDefault="001B3469" w:rsidP="00873153"/>
    <w:p w:rsidR="00873153" w:rsidRPr="00753051" w:rsidRDefault="00873153" w:rsidP="00873153">
      <w:pPr>
        <w:ind w:firstLine="720"/>
      </w:pPr>
      <w:r w:rsidRPr="00753051">
        <w:rPr>
          <w:b/>
        </w:rPr>
        <w:t>(iv)  Affirmative Defense, Root Cause Analysis, and Malfunction Costs.</w:t>
      </w:r>
      <w:r w:rsidRPr="00753051">
        <w:t xml:space="preserve">   </w:t>
      </w:r>
    </w:p>
    <w:p w:rsidR="00873153" w:rsidRPr="00753051" w:rsidRDefault="00873153" w:rsidP="00873153">
      <w:pPr>
        <w:ind w:firstLine="720"/>
      </w:pPr>
    </w:p>
    <w:p w:rsidR="00873153" w:rsidRPr="00753051" w:rsidRDefault="00873153" w:rsidP="00873153">
      <w:pPr>
        <w:ind w:firstLine="720"/>
      </w:pPr>
      <w:r w:rsidRPr="00753051">
        <w:t xml:space="preserve">EPA’s estimate for a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  </w:t>
      </w:r>
    </w:p>
    <w:p w:rsidR="00873153" w:rsidRPr="00753051" w:rsidRDefault="00873153" w:rsidP="00873153"/>
    <w:p w:rsidR="001B3469" w:rsidRPr="00753051" w:rsidRDefault="001B3469">
      <w:pPr>
        <w:ind w:firstLine="720"/>
      </w:pPr>
      <w:r w:rsidRPr="00753051">
        <w:rPr>
          <w:b/>
          <w:bCs/>
        </w:rPr>
        <w:t>6(c)  Estimating Agency Burden and Cost</w:t>
      </w:r>
    </w:p>
    <w:p w:rsidR="001B3469" w:rsidRPr="00753051" w:rsidRDefault="001B3469"/>
    <w:p w:rsidR="001B3469" w:rsidRPr="00753051" w:rsidRDefault="001B3469">
      <w:pPr>
        <w:pBdr>
          <w:top w:val="single" w:sz="6" w:space="0" w:color="FFFFFF"/>
          <w:left w:val="single" w:sz="6" w:space="0" w:color="FFFFFF"/>
          <w:bottom w:val="single" w:sz="6" w:space="0" w:color="FFFFFF"/>
          <w:right w:val="single" w:sz="6" w:space="0" w:color="FFFFFF"/>
        </w:pBdr>
        <w:tabs>
          <w:tab w:val="left" w:pos="-1080"/>
        </w:tabs>
        <w:ind w:firstLine="720"/>
      </w:pPr>
      <w:r w:rsidRPr="00753051">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rsidR="001B3469" w:rsidRPr="00753051" w:rsidRDefault="001B3469">
      <w:pPr>
        <w:pBdr>
          <w:top w:val="single" w:sz="6" w:space="0" w:color="FFFFFF"/>
          <w:left w:val="single" w:sz="6" w:space="0" w:color="FFFFFF"/>
          <w:bottom w:val="single" w:sz="6" w:space="0" w:color="FFFFFF"/>
          <w:right w:val="single" w:sz="6" w:space="0" w:color="FFFFFF"/>
        </w:pBdr>
        <w:tabs>
          <w:tab w:val="left" w:pos="-1080"/>
        </w:tabs>
        <w:ind w:firstLine="720"/>
      </w:pPr>
    </w:p>
    <w:p w:rsidR="001B3469" w:rsidRPr="00753051" w:rsidRDefault="001B3469">
      <w:pPr>
        <w:pBdr>
          <w:top w:val="single" w:sz="6" w:space="0" w:color="FFFFFF"/>
          <w:left w:val="single" w:sz="6" w:space="0" w:color="FFFFFF"/>
          <w:bottom w:val="single" w:sz="6" w:space="0" w:color="FFFFFF"/>
          <w:right w:val="single" w:sz="6" w:space="0" w:color="FFFFFF"/>
        </w:pBdr>
        <w:tabs>
          <w:tab w:val="left" w:pos="-1080"/>
        </w:tabs>
        <w:ind w:firstLine="720"/>
      </w:pPr>
      <w:r w:rsidRPr="00753051">
        <w:t>The average annual Agency cost during the three years of the ICR is estimated to be $71,518.</w:t>
      </w:r>
    </w:p>
    <w:p w:rsidR="001B3469" w:rsidRPr="00753051" w:rsidRDefault="001B3469">
      <w:pPr>
        <w:pBdr>
          <w:top w:val="single" w:sz="6" w:space="0" w:color="FFFFFF"/>
          <w:left w:val="single" w:sz="6" w:space="0" w:color="FFFFFF"/>
          <w:bottom w:val="single" w:sz="6" w:space="0" w:color="FFFFFF"/>
          <w:right w:val="single" w:sz="6" w:space="0" w:color="FFFFFF"/>
        </w:pBdr>
        <w:tabs>
          <w:tab w:val="left" w:pos="-1080"/>
        </w:tabs>
        <w:ind w:firstLine="720"/>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This cost is based on the average hourly labor rate as follows:</w:t>
      </w:r>
    </w:p>
    <w:p w:rsidR="001B3469" w:rsidRPr="00753051" w:rsidRDefault="001B3469"/>
    <w:p w:rsidR="001B3469" w:rsidRPr="00753051" w:rsidRDefault="001B3469">
      <w:r w:rsidRPr="00753051">
        <w:tab/>
      </w:r>
      <w:r w:rsidRPr="00753051">
        <w:tab/>
        <w:t>Managerial</w:t>
      </w:r>
      <w:r w:rsidRPr="00753051">
        <w:tab/>
        <w:t xml:space="preserve">$62.27 (GS-13, Step 5, $38.92 + 60%) </w:t>
      </w:r>
    </w:p>
    <w:p w:rsidR="001B3469" w:rsidRPr="00753051" w:rsidRDefault="001B3469">
      <w:r w:rsidRPr="00753051">
        <w:tab/>
      </w:r>
      <w:r w:rsidRPr="00753051">
        <w:tab/>
        <w:t>Technical</w:t>
      </w:r>
      <w:r w:rsidRPr="00753051">
        <w:tab/>
        <w:t>$46.21 (GS-12, Step 1, $28.88 + 60%)</w:t>
      </w:r>
    </w:p>
    <w:p w:rsidR="001B3469" w:rsidRPr="00753051" w:rsidRDefault="001B3469">
      <w:r w:rsidRPr="00753051">
        <w:tab/>
      </w:r>
      <w:r w:rsidRPr="00753051">
        <w:tab/>
        <w:t>Clerical</w:t>
      </w:r>
      <w:r w:rsidRPr="00753051">
        <w:tab/>
        <w:t>$25.01 (GS-6, Step 3, $15.63 + 60%)</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pBdr>
          <w:top w:val="single" w:sz="6" w:space="0" w:color="FFFFFF"/>
          <w:left w:val="single" w:sz="6" w:space="0" w:color="FFFFFF"/>
          <w:bottom w:val="single" w:sz="6" w:space="0" w:color="FFFFFF"/>
          <w:right w:val="single" w:sz="6" w:space="0" w:color="FFFFFF"/>
        </w:pBdr>
        <w:tabs>
          <w:tab w:val="left" w:pos="-1080"/>
        </w:tabs>
        <w:ind w:firstLine="720"/>
      </w:pPr>
      <w:r w:rsidRPr="00753051">
        <w:lastRenderedPageBreak/>
        <w:t xml:space="preserve">These rates are from the Office of Personnel Management (OPM), 2010 General Schedule, which excludes locality rate of pay.  The rates have been increased by 60 percent to account for the benefit packages available to government employees.  Details upon which this estimate is based appear below in Table 2: Average Annual EPA Burden - NESHAP for </w:t>
      </w:r>
      <w:r w:rsidRPr="00753051">
        <w:rPr>
          <w:bCs/>
        </w:rPr>
        <w:t>Pharmaceuticals Production (40 CFR Part 63, Subpart GGG)</w:t>
      </w:r>
      <w:r w:rsidRPr="00753051">
        <w:t xml:space="preserve"> (Re</w:t>
      </w:r>
      <w:r w:rsidR="00631A8B" w:rsidRPr="00753051">
        <w:t>vision</w:t>
      </w:r>
      <w:r w:rsidRPr="00753051">
        <w:t>).</w:t>
      </w:r>
    </w:p>
    <w:p w:rsidR="001B3469" w:rsidRPr="00753051" w:rsidRDefault="001B3469">
      <w:pPr>
        <w:pBdr>
          <w:top w:val="single" w:sz="6" w:space="0" w:color="FFFFFF"/>
          <w:left w:val="single" w:sz="6" w:space="0" w:color="FFFFFF"/>
          <w:bottom w:val="single" w:sz="6" w:space="0" w:color="FFFFFF"/>
          <w:right w:val="single" w:sz="6" w:space="0" w:color="FFFFFF"/>
        </w:pBdr>
      </w:pPr>
    </w:p>
    <w:p w:rsidR="001B3469" w:rsidRPr="00753051" w:rsidRDefault="001B3469">
      <w:pPr>
        <w:ind w:firstLine="720"/>
      </w:pPr>
      <w:r w:rsidRPr="00753051">
        <w:rPr>
          <w:b/>
          <w:bCs/>
        </w:rPr>
        <w:t>6(d)  Estimating the Respondent Universe and Total Burden and Costs</w:t>
      </w:r>
    </w:p>
    <w:p w:rsidR="001B3469" w:rsidRPr="00753051" w:rsidRDefault="001B3469"/>
    <w:p w:rsidR="001B3469" w:rsidRPr="00753051" w:rsidRDefault="001B3469">
      <w:r w:rsidRPr="00753051">
        <w:tab/>
        <w:t xml:space="preserve">Based on our research for this ICR, on average over the next three years, approximately 27 respondents will be subject to the standard.  It is estimated that no new respondents per year will become subject.  The overall average number of respondents, as shown in the table below is 27 per year. </w:t>
      </w:r>
    </w:p>
    <w:p w:rsidR="001B3469" w:rsidRPr="00753051" w:rsidRDefault="001B3469">
      <w:r w:rsidRPr="00753051">
        <w:tab/>
      </w:r>
    </w:p>
    <w:p w:rsidR="001B3469" w:rsidRPr="00753051" w:rsidRDefault="001B3469">
      <w:pPr>
        <w:ind w:firstLine="720"/>
      </w:pPr>
      <w:r w:rsidRPr="00753051">
        <w:t>The number of respondents is calculated using the following table which addresses the three years covered by this ICR.</w:t>
      </w:r>
    </w:p>
    <w:p w:rsidR="001B3469" w:rsidRPr="00753051" w:rsidRDefault="001B3469"/>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1B3469" w:rsidRPr="00753051">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b/>
                <w:bCs/>
              </w:rPr>
            </w:pPr>
            <w:r w:rsidRPr="00753051">
              <w:rPr>
                <w:b/>
                <w:bCs/>
              </w:rPr>
              <w:t>Number of Respondents</w:t>
            </w:r>
          </w:p>
        </w:tc>
      </w:tr>
      <w:tr w:rsidR="001B3469" w:rsidRPr="00753051">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(A)</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 xml:space="preserve">Number of New Respondents </w:t>
            </w:r>
            <w:r w:rsidRPr="00753051">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(B)</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(C)</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(D)</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(E)</w:t>
            </w:r>
          </w:p>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Number of Respondents</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(E=A+B+C-D)</w:t>
            </w:r>
          </w:p>
        </w:tc>
      </w:tr>
      <w:tr w:rsidR="001B3469" w:rsidRPr="00753051">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98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r>
      <w:tr w:rsidR="001B3469" w:rsidRPr="00753051">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98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r>
      <w:tr w:rsidR="001B3469" w:rsidRPr="00753051">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27</w:t>
            </w:r>
          </w:p>
        </w:tc>
        <w:tc>
          <w:tcPr>
            <w:tcW w:w="1980" w:type="dxa"/>
            <w:tcBorders>
              <w:top w:val="single" w:sz="4" w:space="0" w:color="auto"/>
              <w:left w:val="single" w:sz="7" w:space="0" w:color="000000"/>
              <w:bottom w:val="single" w:sz="4" w:space="0" w:color="auto"/>
              <w:right w:val="single" w:sz="6" w:space="0" w:color="FFFFFF"/>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27</w:t>
            </w:r>
          </w:p>
        </w:tc>
      </w:tr>
      <w:tr w:rsidR="001B3469" w:rsidRPr="00753051">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27</w:t>
            </w:r>
          </w:p>
        </w:tc>
        <w:tc>
          <w:tcPr>
            <w:tcW w:w="1980" w:type="dxa"/>
            <w:tcBorders>
              <w:top w:val="single" w:sz="4" w:space="0" w:color="auto"/>
              <w:left w:val="single" w:sz="6" w:space="0" w:color="000000"/>
              <w:bottom w:val="single" w:sz="4" w:space="0" w:color="auto"/>
              <w:right w:val="single" w:sz="6" w:space="0" w:color="000000"/>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72"/>
              <w:jc w:val="center"/>
              <w:rPr>
                <w:sz w:val="20"/>
                <w:szCs w:val="20"/>
              </w:rPr>
            </w:pPr>
            <w:r w:rsidRPr="00753051">
              <w:rPr>
                <w:sz w:val="20"/>
                <w:szCs w:val="20"/>
              </w:rPr>
              <w:t>27</w:t>
            </w:r>
          </w:p>
        </w:tc>
      </w:tr>
    </w:tbl>
    <w:p w:rsidR="001B3469" w:rsidRPr="00753051" w:rsidRDefault="001B3469">
      <w:pPr>
        <w:pBdr>
          <w:top w:val="single" w:sz="6" w:space="0" w:color="FFFFFF"/>
          <w:left w:val="single" w:sz="6" w:space="0" w:color="FFFFFF"/>
          <w:bottom w:val="single" w:sz="6" w:space="0" w:color="FFFFFF"/>
          <w:right w:val="single" w:sz="6" w:space="0" w:color="FFFFFF"/>
        </w:pBdr>
        <w:ind w:firstLine="720"/>
        <w:rPr>
          <w:sz w:val="18"/>
          <w:szCs w:val="20"/>
        </w:rPr>
      </w:pPr>
      <w:r w:rsidRPr="00753051">
        <w:rPr>
          <w:sz w:val="18"/>
          <w:vertAlign w:val="superscript"/>
        </w:rPr>
        <w:t>1</w:t>
      </w:r>
      <w:r w:rsidRPr="00753051">
        <w:rPr>
          <w:sz w:val="18"/>
        </w:rPr>
        <w:t xml:space="preserve"> New respondent include sources with constructed, reconstructed and modified affected facilities.</w:t>
      </w:r>
    </w:p>
    <w:p w:rsidR="001B3469" w:rsidRPr="00753051" w:rsidRDefault="001B3469">
      <w:pPr>
        <w:ind w:left="720"/>
        <w:rPr>
          <w:sz w:val="20"/>
        </w:rPr>
      </w:pPr>
    </w:p>
    <w:p w:rsidR="001B3469" w:rsidRPr="00753051" w:rsidRDefault="001B3469">
      <w:pPr>
        <w:ind w:firstLine="720"/>
      </w:pPr>
      <w:r w:rsidRPr="00753051">
        <w:t>To avoid double-counting respondents, column D is subtracted.  As shown above, the average Number of Respondents over the three-year period of this ICR is 27</w:t>
      </w:r>
      <w:r w:rsidR="00631A8B" w:rsidRPr="00753051">
        <w:t>.</w:t>
      </w:r>
    </w:p>
    <w:p w:rsidR="001B3469" w:rsidRPr="00753051" w:rsidRDefault="001B3469">
      <w:pPr>
        <w:ind w:firstLine="720"/>
      </w:pPr>
    </w:p>
    <w:p w:rsidR="001B3469" w:rsidRPr="00753051" w:rsidRDefault="001B3469">
      <w:pPr>
        <w:ind w:firstLine="720"/>
      </w:pPr>
      <w:r w:rsidRPr="00753051">
        <w:t>The total number of annual responses per year is calculated using the following table:</w:t>
      </w:r>
    </w:p>
    <w:p w:rsidR="001B3469" w:rsidRPr="00753051" w:rsidRDefault="001B3469"/>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080"/>
        <w:gridCol w:w="1800"/>
        <w:gridCol w:w="1260"/>
      </w:tblGrid>
      <w:tr w:rsidR="001B3469" w:rsidRPr="00753051">
        <w:trPr>
          <w:cantSplit/>
          <w:tblHeader/>
          <w:jc w:val="center"/>
        </w:trPr>
        <w:tc>
          <w:tcPr>
            <w:tcW w:w="9360" w:type="dxa"/>
            <w:gridSpan w:val="5"/>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753051">
              <w:rPr>
                <w:b/>
                <w:bCs/>
              </w:rPr>
              <w:t>Total Annual Responses</w:t>
            </w:r>
          </w:p>
        </w:tc>
      </w:tr>
      <w:tr w:rsidR="001B3469" w:rsidRPr="00753051">
        <w:trPr>
          <w:cantSplit/>
          <w:tblHeader/>
          <w:jc w:val="center"/>
        </w:trPr>
        <w:tc>
          <w:tcPr>
            <w:tcW w:w="3960" w:type="dxa"/>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(A)</w:t>
            </w:r>
          </w:p>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p>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p>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Information Collection Activity</w:t>
            </w:r>
          </w:p>
        </w:tc>
        <w:tc>
          <w:tcPr>
            <w:tcW w:w="1260" w:type="dxa"/>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(B)</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Respondents</w:t>
            </w:r>
          </w:p>
        </w:tc>
        <w:tc>
          <w:tcPr>
            <w:tcW w:w="1080" w:type="dxa"/>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(C)</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Responses</w:t>
            </w:r>
          </w:p>
        </w:tc>
        <w:tc>
          <w:tcPr>
            <w:tcW w:w="1800" w:type="dxa"/>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(D)</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Number of Existing Respondents That Keep Records But Do Not Submit Reports</w:t>
            </w:r>
          </w:p>
        </w:tc>
        <w:tc>
          <w:tcPr>
            <w:tcW w:w="1260" w:type="dxa"/>
          </w:tcPr>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(E)</w:t>
            </w:r>
          </w:p>
          <w:p w:rsidR="001B3469" w:rsidRPr="00753051" w:rsidRDefault="001B3469">
            <w:pPr>
              <w:pBdr>
                <w:top w:val="single" w:sz="6" w:space="0" w:color="FFFFFF"/>
                <w:left w:val="single" w:sz="6" w:space="0" w:color="FFFFFF"/>
                <w:bottom w:val="single" w:sz="6" w:space="0" w:color="FFFFFF"/>
                <w:right w:val="single" w:sz="6" w:space="0" w:color="FFFFFF"/>
              </w:pBdr>
              <w:jc w:val="center"/>
              <w:rPr>
                <w:sz w:val="20"/>
                <w:szCs w:val="20"/>
              </w:rPr>
            </w:pPr>
            <w:r w:rsidRPr="00753051">
              <w:rPr>
                <w:sz w:val="20"/>
                <w:szCs w:val="20"/>
              </w:rPr>
              <w:t>Total Annual Responses</w:t>
            </w:r>
          </w:p>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E=(BxC)+D</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construction/reconstruction</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physical or operational changes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3</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81</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actual startup</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initial performance test</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applicability</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lastRenderedPageBreak/>
              <w:t>Notification of demonstration of CMS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Notification of compliance status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Pre-compliance report (emission averaging)</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1</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r>
      <w:tr w:rsidR="001B3469" w:rsidRPr="00753051">
        <w:trPr>
          <w:cantSplit/>
          <w:jc w:val="center"/>
        </w:trPr>
        <w:tc>
          <w:tcPr>
            <w:tcW w:w="3960" w:type="dxa"/>
            <w:vAlign w:val="center"/>
          </w:tcPr>
          <w:p w:rsidR="001B3469" w:rsidRPr="00753051" w:rsidRDefault="001E1707" w:rsidP="001E1707">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M</w:t>
            </w:r>
            <w:r w:rsidR="001B3469" w:rsidRPr="00753051">
              <w:rPr>
                <w:sz w:val="20"/>
                <w:szCs w:val="20"/>
              </w:rPr>
              <w:t>alfunction</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 xml:space="preserve">               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54</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No deviations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24</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48</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Deviations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3</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6</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LDAR report</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54</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Emissions averaging report</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3</w:t>
            </w: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6</w:t>
            </w:r>
          </w:p>
        </w:tc>
      </w:tr>
      <w:tr w:rsidR="00631A8B" w:rsidRPr="00753051">
        <w:trPr>
          <w:cantSplit/>
          <w:jc w:val="center"/>
        </w:trPr>
        <w:tc>
          <w:tcPr>
            <w:tcW w:w="3960" w:type="dxa"/>
            <w:vAlign w:val="center"/>
          </w:tcPr>
          <w:p w:rsidR="00631A8B" w:rsidRPr="00753051" w:rsidRDefault="00631A8B">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Reports of malfunctions that result in an exceedances of the standard for the purpose of affirmative defense</w:t>
            </w:r>
          </w:p>
        </w:tc>
        <w:tc>
          <w:tcPr>
            <w:tcW w:w="1260" w:type="dxa"/>
            <w:vAlign w:val="center"/>
          </w:tcPr>
          <w:p w:rsidR="00631A8B" w:rsidRPr="00753051" w:rsidRDefault="00631A8B">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27</w:t>
            </w:r>
          </w:p>
        </w:tc>
        <w:tc>
          <w:tcPr>
            <w:tcW w:w="1080" w:type="dxa"/>
            <w:vAlign w:val="center"/>
          </w:tcPr>
          <w:p w:rsidR="00631A8B" w:rsidRPr="00753051" w:rsidRDefault="00631A8B" w:rsidP="00B77137">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0.0</w:t>
            </w:r>
            <w:r w:rsidR="00B77137" w:rsidRPr="00753051">
              <w:rPr>
                <w:sz w:val="20"/>
                <w:szCs w:val="20"/>
              </w:rPr>
              <w:t>25</w:t>
            </w:r>
          </w:p>
        </w:tc>
        <w:tc>
          <w:tcPr>
            <w:tcW w:w="1800" w:type="dxa"/>
            <w:vAlign w:val="center"/>
          </w:tcPr>
          <w:p w:rsidR="00631A8B" w:rsidRPr="00753051" w:rsidRDefault="00631A8B">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w:t>
            </w:r>
          </w:p>
        </w:tc>
        <w:tc>
          <w:tcPr>
            <w:tcW w:w="1260" w:type="dxa"/>
            <w:vAlign w:val="center"/>
          </w:tcPr>
          <w:p w:rsidR="00631A8B" w:rsidRPr="00753051" w:rsidRDefault="00B77137" w:rsidP="00B77137">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0.7</w:t>
            </w:r>
          </w:p>
        </w:tc>
      </w:tr>
      <w:tr w:rsidR="001B3469" w:rsidRPr="00753051">
        <w:trPr>
          <w:cantSplit/>
          <w:jc w:val="center"/>
        </w:trPr>
        <w:tc>
          <w:tcPr>
            <w:tcW w:w="39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rPr>
                <w:sz w:val="20"/>
                <w:szCs w:val="20"/>
              </w:rPr>
            </w:pPr>
            <w:r w:rsidRPr="00753051">
              <w:rPr>
                <w:sz w:val="20"/>
                <w:szCs w:val="20"/>
              </w:rPr>
              <w:t>Total Number of Annual Responses</w:t>
            </w:r>
          </w:p>
        </w:tc>
        <w:tc>
          <w:tcPr>
            <w:tcW w:w="126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08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00" w:type="dxa"/>
            <w:vAlign w:val="center"/>
          </w:tcPr>
          <w:p w:rsidR="001B3469" w:rsidRPr="00753051" w:rsidRDefault="001B3469">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Total</w:t>
            </w:r>
          </w:p>
        </w:tc>
        <w:tc>
          <w:tcPr>
            <w:tcW w:w="1260" w:type="dxa"/>
            <w:vAlign w:val="center"/>
          </w:tcPr>
          <w:p w:rsidR="001B3469" w:rsidRPr="00753051" w:rsidRDefault="001B3469" w:rsidP="00B77137">
            <w:pPr>
              <w:pBdr>
                <w:top w:val="single" w:sz="6" w:space="0" w:color="FFFFFF"/>
                <w:left w:val="single" w:sz="6" w:space="0" w:color="FFFFFF"/>
                <w:bottom w:val="single" w:sz="6" w:space="0" w:color="FFFFFF"/>
                <w:right w:val="single" w:sz="6" w:space="0" w:color="FFFFFF"/>
              </w:pBdr>
              <w:spacing w:after="52"/>
              <w:jc w:val="center"/>
              <w:rPr>
                <w:sz w:val="20"/>
                <w:szCs w:val="20"/>
              </w:rPr>
            </w:pPr>
            <w:r w:rsidRPr="00753051">
              <w:rPr>
                <w:sz w:val="20"/>
                <w:szCs w:val="20"/>
              </w:rPr>
              <w:t>2</w:t>
            </w:r>
            <w:r w:rsidR="00B77137" w:rsidRPr="00753051">
              <w:rPr>
                <w:sz w:val="20"/>
                <w:szCs w:val="20"/>
              </w:rPr>
              <w:t>50</w:t>
            </w:r>
          </w:p>
        </w:tc>
      </w:tr>
    </w:tbl>
    <w:p w:rsidR="001B3469" w:rsidRPr="00753051" w:rsidRDefault="001B3469">
      <w:pPr>
        <w:ind w:firstLine="720"/>
      </w:pPr>
    </w:p>
    <w:p w:rsidR="001B3469" w:rsidRPr="00753051" w:rsidRDefault="001B3469">
      <w:pPr>
        <w:ind w:firstLine="720"/>
      </w:pPr>
      <w:r w:rsidRPr="00753051">
        <w:t>The number of Total Annual Responses is 2</w:t>
      </w:r>
      <w:r w:rsidR="00B77137" w:rsidRPr="00753051">
        <w:t>50</w:t>
      </w:r>
      <w:r w:rsidRPr="00753051">
        <w:t>.</w:t>
      </w:r>
    </w:p>
    <w:p w:rsidR="001B3469" w:rsidRPr="00753051" w:rsidRDefault="001B3469">
      <w:pPr>
        <w:ind w:firstLine="720"/>
      </w:pPr>
    </w:p>
    <w:p w:rsidR="001B3469" w:rsidRPr="00753051" w:rsidRDefault="001B3469">
      <w:pPr>
        <w:ind w:firstLine="720"/>
      </w:pPr>
      <w:r w:rsidRPr="00753051">
        <w:t>The total annual labor costs are $</w:t>
      </w:r>
      <w:r w:rsidR="00B77137" w:rsidRPr="00753051">
        <w:t>4,187,309</w:t>
      </w:r>
      <w:r w:rsidRPr="00753051">
        <w:t xml:space="preserve">.  Details regarding these estimates may be found below in Table 1: Annual Respondent Burden and Cost - NESHAP for </w:t>
      </w:r>
      <w:r w:rsidRPr="00753051">
        <w:rPr>
          <w:bCs/>
        </w:rPr>
        <w:t>Pharmaceuticals Production (40 CFR Part 63, Subpart GGG)</w:t>
      </w:r>
      <w:r w:rsidRPr="00753051">
        <w:t xml:space="preserve"> (Re</w:t>
      </w:r>
      <w:r w:rsidR="00B77137" w:rsidRPr="00753051">
        <w:t>vision</w:t>
      </w:r>
      <w:r w:rsidRPr="00753051">
        <w:t>).</w:t>
      </w:r>
    </w:p>
    <w:p w:rsidR="001B3469" w:rsidRPr="00753051" w:rsidRDefault="001B3469">
      <w:pPr>
        <w:ind w:firstLine="720"/>
      </w:pPr>
    </w:p>
    <w:p w:rsidR="001B3469" w:rsidRPr="00753051" w:rsidRDefault="001B3469">
      <w:pPr>
        <w:ind w:firstLine="720"/>
        <w:rPr>
          <w:b/>
          <w:bCs/>
        </w:rPr>
      </w:pPr>
      <w:r w:rsidRPr="00753051">
        <w:rPr>
          <w:b/>
          <w:bCs/>
        </w:rPr>
        <w:t>6(e)  Bottom Line Burden Hours Burden Hours and Cost Tables</w:t>
      </w:r>
    </w:p>
    <w:p w:rsidR="001B3469" w:rsidRPr="00753051" w:rsidRDefault="001B3469">
      <w:pPr>
        <w:ind w:firstLine="720"/>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 xml:space="preserve">The detailed bottom line burden hours and cost calculations for the respondents and the Agency are shown in Tables 1 and 2, respectively, and summarized below. </w:t>
      </w:r>
    </w:p>
    <w:p w:rsidR="001B3469" w:rsidRPr="00753051" w:rsidRDefault="001B3469">
      <w:pPr>
        <w:pBdr>
          <w:top w:val="single" w:sz="6" w:space="0" w:color="FFFFFF"/>
          <w:left w:val="single" w:sz="6" w:space="0" w:color="FFFFFF"/>
          <w:bottom w:val="single" w:sz="6" w:space="0" w:color="FFFFFF"/>
          <w:right w:val="single" w:sz="6" w:space="0" w:color="FFFFFF"/>
        </w:pBdr>
        <w:ind w:firstLine="720"/>
      </w:pPr>
    </w:p>
    <w:p w:rsidR="001B3469" w:rsidRPr="00753051" w:rsidRDefault="001B3469">
      <w:pPr>
        <w:pBdr>
          <w:top w:val="single" w:sz="6" w:space="0" w:color="FFFFFF"/>
          <w:left w:val="single" w:sz="6" w:space="0" w:color="FFFFFF"/>
          <w:bottom w:val="single" w:sz="6" w:space="0" w:color="FFFFFF"/>
          <w:right w:val="single" w:sz="6" w:space="0" w:color="FFFFFF"/>
        </w:pBdr>
        <w:ind w:firstLine="1440"/>
      </w:pPr>
      <w:r w:rsidRPr="00753051">
        <w:rPr>
          <w:b/>
          <w:bCs/>
        </w:rPr>
        <w:t>(i)  Respondent Tally</w:t>
      </w:r>
    </w:p>
    <w:p w:rsidR="001B3469" w:rsidRPr="00753051" w:rsidRDefault="001B3469">
      <w:pPr>
        <w:rPr>
          <w:b/>
          <w:bCs/>
        </w:rPr>
      </w:pPr>
    </w:p>
    <w:p w:rsidR="001B3469" w:rsidRPr="00753051" w:rsidRDefault="001B3469">
      <w:pPr>
        <w:ind w:firstLine="720"/>
      </w:pPr>
      <w:r w:rsidRPr="00753051">
        <w:t xml:space="preserve">The total annual labor hours are </w:t>
      </w:r>
      <w:r w:rsidR="00B77137" w:rsidRPr="00753051">
        <w:t>44,266</w:t>
      </w:r>
      <w:r w:rsidRPr="00753051">
        <w:t xml:space="preserve">.  Details regarding these estimates may be found below in Table 1: Annual Respondent Burden and Cost - NESHAP for </w:t>
      </w:r>
      <w:r w:rsidRPr="00753051">
        <w:rPr>
          <w:bCs/>
        </w:rPr>
        <w:t>Pharmaceuticals Production (40 CFR Part 63, Subpart GGG)</w:t>
      </w:r>
      <w:r w:rsidRPr="00753051">
        <w:t xml:space="preserve"> (Re</w:t>
      </w:r>
      <w:r w:rsidR="00B77137" w:rsidRPr="00753051">
        <w:t>vision</w:t>
      </w:r>
      <w:r w:rsidRPr="00753051">
        <w:t>).</w:t>
      </w:r>
    </w:p>
    <w:p w:rsidR="0048268B" w:rsidRPr="00753051" w:rsidRDefault="0048268B">
      <w:pPr>
        <w:ind w:firstLine="720"/>
      </w:pPr>
    </w:p>
    <w:p w:rsidR="001B3469" w:rsidRPr="00753051" w:rsidRDefault="001B3469">
      <w:pPr>
        <w:ind w:firstLine="720"/>
      </w:pPr>
      <w:r w:rsidRPr="00753051">
        <w:t xml:space="preserve">Furthermore, the annual public reporting and recordkeeping burden for this collection of information is estimated to average </w:t>
      </w:r>
      <w:r w:rsidR="00C76A32" w:rsidRPr="00753051">
        <w:t>177</w:t>
      </w:r>
      <w:r w:rsidRPr="00753051">
        <w:t xml:space="preserve"> hours per response.</w:t>
      </w:r>
    </w:p>
    <w:p w:rsidR="001B3469" w:rsidRPr="00753051" w:rsidRDefault="001B3469">
      <w:pPr>
        <w:pBdr>
          <w:top w:val="single" w:sz="6" w:space="0" w:color="FFFFFF"/>
          <w:left w:val="single" w:sz="6" w:space="0" w:color="FFFFFF"/>
          <w:bottom w:val="single" w:sz="6" w:space="0" w:color="FFFFFF"/>
          <w:right w:val="single" w:sz="6" w:space="0" w:color="FFFFFF"/>
        </w:pBdr>
        <w:ind w:firstLine="720"/>
      </w:pPr>
    </w:p>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The total annual capital/startup and Operation and Maintenance (O&amp;M) costs to the regulated entity are $112,266.</w:t>
      </w:r>
    </w:p>
    <w:p w:rsidR="001B3469" w:rsidRPr="00753051" w:rsidRDefault="001B3469">
      <w:pPr>
        <w:pBdr>
          <w:top w:val="single" w:sz="6" w:space="0" w:color="FFFFFF"/>
          <w:left w:val="single" w:sz="6" w:space="0" w:color="FFFFFF"/>
          <w:bottom w:val="single" w:sz="6" w:space="0" w:color="FFFFFF"/>
          <w:right w:val="single" w:sz="6" w:space="0" w:color="FFFFFF"/>
        </w:pBdr>
        <w:ind w:firstLine="2160"/>
      </w:pPr>
    </w:p>
    <w:p w:rsidR="001B3469" w:rsidRPr="00753051" w:rsidRDefault="001B3469">
      <w:pPr>
        <w:pBdr>
          <w:top w:val="single" w:sz="6" w:space="0" w:color="FFFFFF"/>
          <w:left w:val="single" w:sz="6" w:space="0" w:color="FFFFFF"/>
          <w:bottom w:val="single" w:sz="6" w:space="0" w:color="FFFFFF"/>
          <w:right w:val="single" w:sz="6" w:space="0" w:color="FFFFFF"/>
        </w:pBdr>
        <w:ind w:firstLine="1440"/>
      </w:pPr>
      <w:r w:rsidRPr="00753051">
        <w:rPr>
          <w:b/>
          <w:bCs/>
        </w:rPr>
        <w:t>(ii)  The Agency Tally</w:t>
      </w:r>
    </w:p>
    <w:p w:rsidR="001B3469" w:rsidRPr="00753051" w:rsidRDefault="001B3469">
      <w:pPr>
        <w:pBdr>
          <w:top w:val="single" w:sz="6" w:space="0" w:color="FFFFFF"/>
          <w:left w:val="single" w:sz="6" w:space="0" w:color="FFFFFF"/>
          <w:bottom w:val="single" w:sz="6" w:space="0" w:color="FFFFFF"/>
          <w:right w:val="single" w:sz="6" w:space="0" w:color="FFFFFF"/>
        </w:pBdr>
        <w:ind w:firstLine="720"/>
      </w:pPr>
    </w:p>
    <w:p w:rsidR="001B3469" w:rsidRPr="00753051" w:rsidRDefault="001B3469">
      <w:pPr>
        <w:ind w:firstLine="720"/>
      </w:pPr>
      <w:r w:rsidRPr="00753051">
        <w:lastRenderedPageBreak/>
        <w:t xml:space="preserve">The average annual Agency burden and cost over next three years is estimated to be 1,587 labor hours at a cost of $71,518.  See below Table 2: </w:t>
      </w:r>
      <w:r w:rsidR="0048268B" w:rsidRPr="00753051">
        <w:t xml:space="preserve">Average </w:t>
      </w:r>
      <w:r w:rsidRPr="00753051">
        <w:t xml:space="preserve">Annual </w:t>
      </w:r>
      <w:r w:rsidR="0048268B" w:rsidRPr="00753051">
        <w:t>EPA</w:t>
      </w:r>
      <w:r w:rsidRPr="00753051">
        <w:t xml:space="preserve"> Burden and Cost – NESHAP for </w:t>
      </w:r>
      <w:r w:rsidRPr="00753051">
        <w:rPr>
          <w:bCs/>
        </w:rPr>
        <w:t>Pharmaceuticals Production (40 CFR Part 63, Subpart GGG)</w:t>
      </w:r>
      <w:r w:rsidRPr="00753051">
        <w:t xml:space="preserve"> (Re</w:t>
      </w:r>
      <w:r w:rsidR="0066643F" w:rsidRPr="00753051">
        <w:t>vision</w:t>
      </w:r>
      <w:r w:rsidRPr="00753051">
        <w:t>).</w:t>
      </w:r>
    </w:p>
    <w:p w:rsidR="001B3469" w:rsidRPr="00753051" w:rsidRDefault="001B3469">
      <w:pPr>
        <w:ind w:firstLine="720"/>
      </w:pPr>
    </w:p>
    <w:p w:rsidR="001B3469" w:rsidRPr="00753051" w:rsidRDefault="001B3469">
      <w:pPr>
        <w:ind w:firstLine="720"/>
      </w:pPr>
      <w:r w:rsidRPr="00753051">
        <w:rPr>
          <w:b/>
          <w:bCs/>
        </w:rPr>
        <w:t>6(f)  Reasons for Change in Burden</w:t>
      </w:r>
    </w:p>
    <w:p w:rsidR="001B3469" w:rsidRPr="00753051" w:rsidRDefault="001B3469">
      <w:pPr>
        <w:ind w:firstLine="720"/>
      </w:pPr>
    </w:p>
    <w:p w:rsidR="0066643F" w:rsidRPr="00753051" w:rsidRDefault="0066643F">
      <w:pPr>
        <w:ind w:firstLine="720"/>
        <w:rPr>
          <w:rFonts w:cs="Helv"/>
        </w:rPr>
      </w:pPr>
      <w:r w:rsidRPr="00753051">
        <w:rPr>
          <w:rFonts w:cs="Helv"/>
        </w:rPr>
        <w:t>There is an increase in the labor hour burden in this ICR compared to the previous ICR due to the inclusion of the new requirements of the amendments to the NESHAP.  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w:t>
      </w:r>
      <w:r w:rsidR="00873153" w:rsidRPr="00753051">
        <w:rPr>
          <w:rFonts w:cs="Helv"/>
        </w:rPr>
        <w:t>3,141</w:t>
      </w:r>
      <w:r w:rsidRPr="00753051">
        <w:rPr>
          <w:rFonts w:cs="Helv"/>
        </w:rPr>
        <w:t xml:space="preserve"> and is based on the time and effort required of a source to review relevant data, interview plant employees, and document the events surrounding a malfunction</w:t>
      </w:r>
      <w:r w:rsidR="00B61FBD" w:rsidRPr="00753051">
        <w:rPr>
          <w:rFonts w:cs="Helv"/>
        </w:rPr>
        <w:t xml:space="preserve"> that has caused an exceedance of an emission limit.  The estimate also includes time to produce and retain the records and reports for submission to EPA.  For the purpose of estimating the annual burden, EPA is attributing a total of 2 instances of affirmative defense over a three year period across all sources in the category.  EPA is using this frequency of 2 events in three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w:t>
      </w:r>
      <w:r w:rsidRPr="00753051">
        <w:rPr>
          <w:rFonts w:cs="Helv"/>
        </w:rPr>
        <w:t xml:space="preserve">  </w:t>
      </w:r>
    </w:p>
    <w:p w:rsidR="001B3469" w:rsidRPr="00753051" w:rsidRDefault="001B3469">
      <w:pPr>
        <w:tabs>
          <w:tab w:val="left" w:pos="8355"/>
        </w:tabs>
      </w:pPr>
      <w:r w:rsidRPr="00753051">
        <w:tab/>
      </w:r>
    </w:p>
    <w:p w:rsidR="001B3469" w:rsidRPr="00753051" w:rsidRDefault="001B3469">
      <w:pPr>
        <w:ind w:firstLine="720"/>
      </w:pPr>
      <w:r w:rsidRPr="00753051">
        <w:rPr>
          <w:b/>
          <w:bCs/>
        </w:rPr>
        <w:t>6(g)  Burden Statement</w:t>
      </w:r>
    </w:p>
    <w:p w:rsidR="001B3469" w:rsidRPr="00753051" w:rsidRDefault="001B3469"/>
    <w:p w:rsidR="001B3469" w:rsidRPr="00753051" w:rsidRDefault="001B3469">
      <w:pPr>
        <w:ind w:firstLine="720"/>
      </w:pPr>
      <w:r w:rsidRPr="00753051">
        <w:t>The annual public reporting and recordkeeping burden for this collection of information is estimated to average 17</w:t>
      </w:r>
      <w:r w:rsidR="00C76A32" w:rsidRPr="00753051">
        <w:t>7</w:t>
      </w:r>
      <w:r w:rsidRPr="00753051">
        <w:t xml:space="preserve"> 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 review the collection of information; and to transmit or otherwise disclose the information.</w:t>
      </w:r>
    </w:p>
    <w:p w:rsidR="001B3469" w:rsidRPr="00753051" w:rsidRDefault="001B3469"/>
    <w:p w:rsidR="001B3469" w:rsidRPr="00753051" w:rsidRDefault="001B3469">
      <w:pPr>
        <w:pBdr>
          <w:top w:val="single" w:sz="6" w:space="0" w:color="FFFFFF"/>
          <w:left w:val="single" w:sz="6" w:space="0" w:color="FFFFFF"/>
          <w:bottom w:val="single" w:sz="6" w:space="0" w:color="FFFFFF"/>
          <w:right w:val="single" w:sz="6" w:space="0" w:color="FFFFFF"/>
        </w:pBdr>
        <w:ind w:firstLine="720"/>
      </w:pPr>
      <w:r w:rsidRPr="00753051">
        <w:t>An agency may not conduct or sponsor, and a person is not required to respond to, a collection of information unless it displays a valid OMB Control Number.  The OMB Control Numbers for EPA</w:t>
      </w:r>
      <w:r w:rsidR="0048268B" w:rsidRPr="00753051">
        <w:t>’</w:t>
      </w:r>
      <w:r w:rsidRPr="00753051">
        <w:t>s regulations are listed at 40 CFR part 9 and 48 CFR chapter 15.</w:t>
      </w:r>
    </w:p>
    <w:p w:rsidR="001B3469" w:rsidRPr="00753051" w:rsidRDefault="001B3469"/>
    <w:p w:rsidR="001B3469" w:rsidRPr="00753051" w:rsidRDefault="001B3469">
      <w:pPr>
        <w:ind w:firstLine="720"/>
      </w:pPr>
      <w:r w:rsidRPr="00753051">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t>
      </w:r>
      <w:r w:rsidR="001E1675">
        <w:t>AR</w:t>
      </w:r>
      <w:r w:rsidRPr="00753051">
        <w:t>-20</w:t>
      </w:r>
      <w:r w:rsidR="001E1675">
        <w:t>10</w:t>
      </w:r>
      <w:r w:rsidRPr="00753051">
        <w:t>-</w:t>
      </w:r>
      <w:r w:rsidR="001E1675">
        <w:t>0600</w:t>
      </w:r>
      <w:r w:rsidRPr="00753051">
        <w:t xml:space="preserve">.  An electronic version of the public docket is available at </w:t>
      </w:r>
      <w:hyperlink r:id="rId7" w:history="1">
        <w:r w:rsidRPr="00753051">
          <w:rPr>
            <w:rStyle w:val="Hyperlink"/>
            <w:color w:val="auto"/>
          </w:rPr>
          <w:t>http://www.regulations.gov/</w:t>
        </w:r>
      </w:hyperlink>
      <w:r w:rsidRPr="00753051">
        <w:t xml:space="preserve"> which may be used to obtain a copy of the draft collection of information, submit or view public comments, access the index listing of the content of the docket, </w:t>
      </w:r>
      <w:r w:rsidRPr="00753051">
        <w:lastRenderedPageBreak/>
        <w:t>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566-1752</w:t>
      </w:r>
      <w:r w:rsidRPr="00753051">
        <w:rPr>
          <w:rStyle w:val="1"/>
        </w:rPr>
        <w:t xml:space="preserve">.  </w:t>
      </w:r>
      <w:r w:rsidRPr="00753051">
        <w:t>Also, you can send comments to the Office of Information and Regulatory Affairs, Office of Management and Budget, 725 17th Street, N.W., Washington, DC 20503, Attention: Desk Officer for EPA.  Please include the EPA Docket ID Number EPA-HQ-O</w:t>
      </w:r>
      <w:r w:rsidR="001E1675">
        <w:t>AR</w:t>
      </w:r>
      <w:r w:rsidRPr="00753051">
        <w:t>-20</w:t>
      </w:r>
      <w:r w:rsidR="001E1675">
        <w:t>10</w:t>
      </w:r>
      <w:r w:rsidRPr="00753051">
        <w:t>-0</w:t>
      </w:r>
      <w:r w:rsidR="001E1675">
        <w:t>600</w:t>
      </w:r>
      <w:r w:rsidRPr="00753051">
        <w:t xml:space="preserve"> and OMB Control Number 2060-0358 in any correspondence.</w:t>
      </w:r>
    </w:p>
    <w:p w:rsidR="001B3469" w:rsidRPr="00753051" w:rsidRDefault="001B3469">
      <w:pPr>
        <w:rPr>
          <w:b/>
          <w:bCs/>
        </w:rPr>
      </w:pPr>
    </w:p>
    <w:p w:rsidR="001B3469" w:rsidRPr="00753051" w:rsidRDefault="001B3469">
      <w:r w:rsidRPr="00753051">
        <w:rPr>
          <w:b/>
          <w:bCs/>
        </w:rPr>
        <w:t>Part B of the Supporting Statement</w:t>
      </w:r>
    </w:p>
    <w:p w:rsidR="001B3469" w:rsidRPr="00753051" w:rsidRDefault="001B3469"/>
    <w:p w:rsidR="001B3469" w:rsidRPr="00753051" w:rsidRDefault="001B3469">
      <w:pPr>
        <w:ind w:firstLine="720"/>
      </w:pPr>
      <w:r w:rsidRPr="00753051">
        <w:t>This part is not applicable because no statistical methods were used in collecting this information.</w:t>
      </w:r>
    </w:p>
    <w:p w:rsidR="001B3469" w:rsidRPr="00753051" w:rsidRDefault="001B3469">
      <w:pPr>
        <w:sectPr w:rsidR="001B3469" w:rsidRPr="00753051">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1B3469" w:rsidRPr="00753051" w:rsidRDefault="001B3469">
      <w:pPr>
        <w:rPr>
          <w:b/>
        </w:rPr>
      </w:pPr>
      <w:r w:rsidRPr="00753051">
        <w:rPr>
          <w:b/>
          <w:bCs/>
        </w:rPr>
        <w:lastRenderedPageBreak/>
        <w:t xml:space="preserve">Table 1:  Annual Respondent Burden and Cost - NESHAP for </w:t>
      </w:r>
      <w:r w:rsidRPr="00753051">
        <w:rPr>
          <w:b/>
        </w:rPr>
        <w:t>Pharmaceuticals Production</w:t>
      </w:r>
      <w:r w:rsidRPr="00753051">
        <w:rPr>
          <w:b/>
          <w:bCs/>
        </w:rPr>
        <w:t xml:space="preserve"> (40 CFR Part 63, Subpart GGG</w:t>
      </w:r>
      <w:r w:rsidRPr="00753051">
        <w:rPr>
          <w:b/>
        </w:rPr>
        <w:t>) (Re</w:t>
      </w:r>
      <w:r w:rsidR="00053549" w:rsidRPr="00753051">
        <w:rPr>
          <w:b/>
        </w:rPr>
        <w:t>vision</w:t>
      </w:r>
      <w:r w:rsidRPr="00753051">
        <w:rPr>
          <w:b/>
        </w:rPr>
        <w:t>)</w:t>
      </w:r>
    </w:p>
    <w:p w:rsidR="001B3469" w:rsidRPr="00753051" w:rsidRDefault="00217ABE">
      <w:pPr>
        <w:ind w:right="-270"/>
        <w:rPr>
          <w:b/>
          <w:bCs/>
          <w:sz w:val="20"/>
          <w:szCs w:val="20"/>
        </w:rPr>
      </w:pPr>
      <w:r>
        <w:rPr>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55.2pt;height:437.4pt;z-index:1;mso-position-horizontal:center">
            <v:imagedata r:id="rId11" o:title=""/>
            <w10:wrap type="square"/>
          </v:shape>
        </w:pict>
      </w:r>
    </w:p>
    <w:p w:rsidR="00851475" w:rsidRPr="00753051" w:rsidRDefault="00851475">
      <w:pPr>
        <w:ind w:left="-180" w:right="-270"/>
        <w:rPr>
          <w:b/>
          <w:bCs/>
          <w:sz w:val="20"/>
          <w:szCs w:val="20"/>
        </w:rPr>
      </w:pPr>
    </w:p>
    <w:p w:rsidR="0003026F" w:rsidRPr="00753051" w:rsidRDefault="0003026F">
      <w:pPr>
        <w:ind w:left="-180" w:right="-270"/>
        <w:rPr>
          <w:b/>
          <w:bCs/>
          <w:sz w:val="20"/>
          <w:szCs w:val="20"/>
        </w:rPr>
      </w:pPr>
    </w:p>
    <w:p w:rsidR="001B3469" w:rsidRPr="00753051" w:rsidRDefault="00217ABE">
      <w:pPr>
        <w:ind w:left="-180" w:right="-270"/>
        <w:rPr>
          <w:sz w:val="20"/>
          <w:szCs w:val="20"/>
        </w:rPr>
      </w:pPr>
      <w:r w:rsidRPr="00217ABE">
        <w:rPr>
          <w:b/>
          <w:bCs/>
          <w:noProof/>
          <w:sz w:val="20"/>
          <w:szCs w:val="20"/>
        </w:rPr>
        <w:lastRenderedPageBreak/>
        <w:pict>
          <v:shape id="_x0000_s1028" type="#_x0000_t75" style="position:absolute;left:0;text-align:left;margin-left:0;margin-top:-29.4pt;width:664.8pt;height:179.4pt;z-index:2;mso-position-horizontal:center">
            <v:imagedata r:id="rId12" o:title=""/>
            <w10:wrap type="square"/>
          </v:shape>
        </w:pict>
      </w:r>
      <w:r w:rsidR="001B3469" w:rsidRPr="00753051">
        <w:rPr>
          <w:b/>
          <w:bCs/>
          <w:sz w:val="20"/>
          <w:szCs w:val="20"/>
        </w:rPr>
        <w:t>Assumptions:</w:t>
      </w:r>
    </w:p>
    <w:p w:rsidR="001B3469" w:rsidRPr="00753051" w:rsidRDefault="001B3469">
      <w:pPr>
        <w:ind w:left="-180" w:right="-270"/>
        <w:rPr>
          <w:sz w:val="20"/>
          <w:szCs w:val="20"/>
        </w:rPr>
      </w:pPr>
      <w:r w:rsidRPr="00753051">
        <w:rPr>
          <w:vertAlign w:val="superscript"/>
        </w:rPr>
        <w:t>a</w:t>
      </w:r>
      <w:r w:rsidRPr="00753051">
        <w:rPr>
          <w:sz w:val="20"/>
          <w:szCs w:val="20"/>
        </w:rPr>
        <w:t xml:space="preserve">  We have assumed that the average number of respondents that will be subject to this rule will be 27.  There will be no new additional sources during the next three years of this ICR.</w:t>
      </w:r>
    </w:p>
    <w:p w:rsidR="001B3469" w:rsidRPr="00753051" w:rsidRDefault="001B3469">
      <w:pPr>
        <w:ind w:left="-180" w:right="-270"/>
        <w:rPr>
          <w:sz w:val="20"/>
          <w:szCs w:val="20"/>
        </w:rPr>
      </w:pPr>
      <w:r w:rsidRPr="00753051">
        <w:rPr>
          <w:vertAlign w:val="superscript"/>
        </w:rPr>
        <w:t>b</w:t>
      </w:r>
      <w:r w:rsidRPr="00753051">
        <w:rPr>
          <w:sz w:val="20"/>
          <w:szCs w:val="20"/>
        </w:rPr>
        <w:t xml:space="preserve">  This ICR uses the following labor rates:  $114.49 per hour for Executive, Administrative, and Managerial labor; $98.20 per hour for Technical labor, and $48.53 per hour for Clerical labor.  These rates are from the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w:t>
      </w:r>
    </w:p>
    <w:p w:rsidR="001B3469" w:rsidRPr="00753051" w:rsidRDefault="001B3469">
      <w:pPr>
        <w:ind w:left="-180" w:right="-270"/>
        <w:rPr>
          <w:sz w:val="20"/>
          <w:szCs w:val="20"/>
        </w:rPr>
      </w:pPr>
      <w:r w:rsidRPr="00753051">
        <w:rPr>
          <w:sz w:val="20"/>
          <w:szCs w:val="20"/>
          <w:vertAlign w:val="superscript"/>
        </w:rPr>
        <w:t>c</w:t>
      </w:r>
      <w:r w:rsidRPr="00753051">
        <w:rPr>
          <w:sz w:val="20"/>
          <w:szCs w:val="20"/>
        </w:rPr>
        <w:t xml:space="preserve">  We have assumed that there will be no new or reconstructed facilities during the next three years of this ICR.</w:t>
      </w:r>
    </w:p>
    <w:p w:rsidR="001B3469" w:rsidRPr="00753051" w:rsidRDefault="001B3469">
      <w:pPr>
        <w:ind w:left="-180" w:right="-270"/>
        <w:rPr>
          <w:sz w:val="20"/>
          <w:szCs w:val="20"/>
        </w:rPr>
      </w:pPr>
      <w:r w:rsidRPr="00753051">
        <w:rPr>
          <w:vertAlign w:val="superscript"/>
        </w:rPr>
        <w:t>d</w:t>
      </w:r>
      <w:r w:rsidRPr="00753051">
        <w:rPr>
          <w:sz w:val="20"/>
          <w:szCs w:val="20"/>
        </w:rPr>
        <w:t xml:space="preserve">  We have assumed that 20 percent of respondents would have to repeat performance tests due to failure.</w:t>
      </w:r>
    </w:p>
    <w:p w:rsidR="001B3469" w:rsidRPr="00753051" w:rsidRDefault="001B3469">
      <w:pPr>
        <w:ind w:left="-180" w:right="-270"/>
        <w:rPr>
          <w:sz w:val="20"/>
          <w:szCs w:val="20"/>
        </w:rPr>
      </w:pPr>
      <w:r w:rsidRPr="00753051">
        <w:rPr>
          <w:vertAlign w:val="superscript"/>
        </w:rPr>
        <w:t>e</w:t>
      </w:r>
      <w:r w:rsidRPr="00753051">
        <w:rPr>
          <w:sz w:val="20"/>
          <w:szCs w:val="20"/>
        </w:rPr>
        <w:t xml:space="preserve">  We have assumed that each source will require an average of three processing changes each year to complete this task over the next three years of this ICR.</w:t>
      </w:r>
    </w:p>
    <w:p w:rsidR="001B3469" w:rsidRPr="00753051" w:rsidRDefault="001B3469">
      <w:pPr>
        <w:ind w:left="-180" w:right="-270"/>
        <w:rPr>
          <w:sz w:val="20"/>
          <w:szCs w:val="20"/>
        </w:rPr>
      </w:pPr>
      <w:r w:rsidRPr="00753051">
        <w:rPr>
          <w:vertAlign w:val="superscript"/>
        </w:rPr>
        <w:t>f</w:t>
      </w:r>
      <w:r w:rsidRPr="00753051">
        <w:rPr>
          <w:sz w:val="20"/>
          <w:szCs w:val="20"/>
        </w:rPr>
        <w:t xml:space="preserve">  We have assumed that each respondent will take 40 hours two times per year to complete the startup, shutdown, malfunction reports.</w:t>
      </w:r>
    </w:p>
    <w:p w:rsidR="001B3469" w:rsidRPr="00753051" w:rsidRDefault="001B3469">
      <w:pPr>
        <w:ind w:left="-180" w:right="-270"/>
        <w:rPr>
          <w:sz w:val="20"/>
          <w:szCs w:val="20"/>
        </w:rPr>
      </w:pPr>
      <w:r w:rsidRPr="00753051">
        <w:rPr>
          <w:vertAlign w:val="superscript"/>
        </w:rPr>
        <w:t>g</w:t>
      </w:r>
      <w:r w:rsidRPr="00753051">
        <w:rPr>
          <w:sz w:val="20"/>
          <w:szCs w:val="20"/>
        </w:rPr>
        <w:t xml:space="preserve">  We have assumed that 90 percent of respondents will each take eight hour two times per year to complete the no deviation report.</w:t>
      </w:r>
    </w:p>
    <w:p w:rsidR="001B3469" w:rsidRPr="00753051" w:rsidRDefault="001B3469">
      <w:pPr>
        <w:ind w:left="-180" w:right="-270"/>
        <w:rPr>
          <w:sz w:val="20"/>
          <w:szCs w:val="20"/>
        </w:rPr>
      </w:pPr>
      <w:r w:rsidRPr="00753051">
        <w:rPr>
          <w:vertAlign w:val="superscript"/>
        </w:rPr>
        <w:t>h</w:t>
      </w:r>
      <w:r w:rsidRPr="00753051">
        <w:rPr>
          <w:sz w:val="20"/>
          <w:szCs w:val="20"/>
        </w:rPr>
        <w:t xml:space="preserve">  We have assumed that 10 percent of respondents will each take 24 hours two times per year to complete the deviation report.</w:t>
      </w:r>
    </w:p>
    <w:p w:rsidR="001B3469" w:rsidRPr="00753051" w:rsidRDefault="001B3469">
      <w:pPr>
        <w:ind w:left="-180" w:right="-270"/>
        <w:rPr>
          <w:sz w:val="20"/>
          <w:szCs w:val="20"/>
        </w:rPr>
      </w:pPr>
      <w:r w:rsidRPr="00753051">
        <w:rPr>
          <w:sz w:val="20"/>
          <w:szCs w:val="20"/>
          <w:vertAlign w:val="superscript"/>
        </w:rPr>
        <w:t>i</w:t>
      </w:r>
      <w:r w:rsidRPr="00753051">
        <w:rPr>
          <w:sz w:val="20"/>
          <w:szCs w:val="20"/>
        </w:rPr>
        <w:t xml:space="preserve">  We have assumed that it will take each respondent 432 hour two times per year to complete the LDAR report.</w:t>
      </w:r>
    </w:p>
    <w:p w:rsidR="001B3469" w:rsidRPr="00753051" w:rsidRDefault="001B3469">
      <w:pPr>
        <w:ind w:left="-180" w:right="-270"/>
        <w:rPr>
          <w:sz w:val="20"/>
          <w:szCs w:val="20"/>
        </w:rPr>
      </w:pPr>
      <w:r w:rsidRPr="00753051">
        <w:rPr>
          <w:sz w:val="20"/>
          <w:szCs w:val="20"/>
          <w:vertAlign w:val="superscript"/>
        </w:rPr>
        <w:t>j</w:t>
      </w:r>
      <w:r w:rsidRPr="00753051">
        <w:rPr>
          <w:sz w:val="20"/>
          <w:szCs w:val="20"/>
        </w:rPr>
        <w:t xml:space="preserve">  We have assumed that ten percent of respondents will each take 20 hours two times per year to complete the emissions averaging report.</w:t>
      </w:r>
    </w:p>
    <w:p w:rsidR="001B3469" w:rsidRPr="00753051" w:rsidRDefault="001B3469">
      <w:pPr>
        <w:ind w:left="-180" w:right="-270"/>
        <w:rPr>
          <w:sz w:val="20"/>
          <w:szCs w:val="20"/>
        </w:rPr>
      </w:pPr>
      <w:r w:rsidRPr="00753051">
        <w:rPr>
          <w:sz w:val="20"/>
          <w:szCs w:val="20"/>
          <w:vertAlign w:val="superscript"/>
        </w:rPr>
        <w:t>k</w:t>
      </w:r>
      <w:r w:rsidRPr="00753051">
        <w:rPr>
          <w:sz w:val="20"/>
          <w:szCs w:val="20"/>
        </w:rPr>
        <w:t xml:space="preserve">  We have assumed that it will take each respondent 1 hour 365 times per year to record the operating parameters for control devices.</w:t>
      </w:r>
    </w:p>
    <w:p w:rsidR="001B3469" w:rsidRPr="00753051" w:rsidRDefault="001B3469">
      <w:pPr>
        <w:ind w:left="-180" w:right="-270"/>
        <w:rPr>
          <w:sz w:val="20"/>
          <w:szCs w:val="20"/>
        </w:rPr>
      </w:pPr>
      <w:r w:rsidRPr="00753051">
        <w:rPr>
          <w:sz w:val="20"/>
          <w:szCs w:val="20"/>
          <w:vertAlign w:val="superscript"/>
        </w:rPr>
        <w:t>l</w:t>
      </w:r>
      <w:r w:rsidRPr="00753051">
        <w:rPr>
          <w:sz w:val="20"/>
          <w:szCs w:val="20"/>
        </w:rPr>
        <w:t xml:space="preserve">  We have assumed that it will take each respondent 2 hours 26 times per year to record the SSM plans.</w:t>
      </w:r>
    </w:p>
    <w:p w:rsidR="00851475" w:rsidRPr="00753051" w:rsidRDefault="001B3469">
      <w:pPr>
        <w:ind w:left="-180" w:right="-270"/>
        <w:rPr>
          <w:sz w:val="20"/>
          <w:szCs w:val="20"/>
        </w:rPr>
      </w:pPr>
      <w:r w:rsidRPr="00753051">
        <w:rPr>
          <w:sz w:val="20"/>
          <w:szCs w:val="20"/>
          <w:vertAlign w:val="superscript"/>
        </w:rPr>
        <w:t>m</w:t>
      </w:r>
      <w:r w:rsidRPr="00753051">
        <w:rPr>
          <w:sz w:val="20"/>
          <w:szCs w:val="20"/>
        </w:rPr>
        <w:t xml:space="preserve">  We have assumed that it will take each respondent 16 hours one time per year to record the calibration of CMS. </w:t>
      </w:r>
      <w:r w:rsidR="00851475" w:rsidRPr="00753051">
        <w:rPr>
          <w:sz w:val="20"/>
          <w:szCs w:val="20"/>
          <w:vertAlign w:val="superscript"/>
        </w:rPr>
        <w:t>n</w:t>
      </w:r>
      <w:r w:rsidR="00851475" w:rsidRPr="00753051">
        <w:rPr>
          <w:sz w:val="20"/>
          <w:szCs w:val="20"/>
        </w:rPr>
        <w:t xml:space="preserve">  Assumes 2 affirmative defense reports for entire industry during the 3-yr ICR period.  Formulas are not followed for person-hours per year.  For affirmative defense hours required assumes 18 hours technical, 12 hours management, 0 clerical for each instance of affirmative defense.</w:t>
      </w:r>
    </w:p>
    <w:p w:rsidR="001B3469" w:rsidRPr="00753051" w:rsidRDefault="001B3469" w:rsidP="00851475">
      <w:pPr>
        <w:ind w:left="-180" w:right="-270"/>
        <w:rPr>
          <w:b/>
          <w:bCs/>
        </w:rPr>
      </w:pPr>
    </w:p>
    <w:p w:rsidR="001B3469" w:rsidRPr="00753051" w:rsidRDefault="001B3469">
      <w:pPr>
        <w:rPr>
          <w:b/>
          <w:bCs/>
        </w:rPr>
      </w:pPr>
    </w:p>
    <w:p w:rsidR="00851475" w:rsidRPr="00753051" w:rsidRDefault="00851475">
      <w:pPr>
        <w:rPr>
          <w:b/>
          <w:bCs/>
        </w:rPr>
      </w:pPr>
    </w:p>
    <w:p w:rsidR="00851475" w:rsidRPr="00753051" w:rsidRDefault="00851475">
      <w:pPr>
        <w:rPr>
          <w:b/>
          <w:bCs/>
        </w:rPr>
      </w:pPr>
    </w:p>
    <w:p w:rsidR="0003026F" w:rsidRPr="00753051" w:rsidRDefault="0003026F">
      <w:pPr>
        <w:rPr>
          <w:b/>
          <w:bCs/>
        </w:rPr>
      </w:pPr>
    </w:p>
    <w:p w:rsidR="0003026F" w:rsidRPr="00753051" w:rsidRDefault="0003026F">
      <w:pPr>
        <w:rPr>
          <w:b/>
          <w:bCs/>
        </w:rPr>
      </w:pPr>
    </w:p>
    <w:p w:rsidR="001B3469" w:rsidRPr="00753051" w:rsidRDefault="001B3469">
      <w:pPr>
        <w:rPr>
          <w:b/>
        </w:rPr>
      </w:pPr>
      <w:r w:rsidRPr="00753051">
        <w:rPr>
          <w:b/>
          <w:bCs/>
        </w:rPr>
        <w:lastRenderedPageBreak/>
        <w:t xml:space="preserve">Table 2:  Average Annual EPA Burden - NESHAP for </w:t>
      </w:r>
      <w:r w:rsidRPr="00753051">
        <w:rPr>
          <w:b/>
        </w:rPr>
        <w:t>Pharmaceuticals Production</w:t>
      </w:r>
      <w:r w:rsidRPr="00753051">
        <w:rPr>
          <w:b/>
          <w:bCs/>
        </w:rPr>
        <w:t xml:space="preserve"> (40 CFR Part 63, Subpart GGG</w:t>
      </w:r>
      <w:r w:rsidRPr="00753051">
        <w:rPr>
          <w:b/>
        </w:rPr>
        <w:t>) (Re</w:t>
      </w:r>
      <w:r w:rsidR="00851475" w:rsidRPr="00753051">
        <w:rPr>
          <w:b/>
        </w:rPr>
        <w:t>vision</w:t>
      </w:r>
      <w:r w:rsidRPr="00753051">
        <w:rPr>
          <w:b/>
        </w:rPr>
        <w:t>)</w:t>
      </w:r>
    </w:p>
    <w:p w:rsidR="001B3469" w:rsidRPr="00753051" w:rsidRDefault="001B3469">
      <w:pPr>
        <w:rPr>
          <w:sz w:val="20"/>
          <w:szCs w:val="20"/>
        </w:rPr>
      </w:pPr>
    </w:p>
    <w:tbl>
      <w:tblPr>
        <w:tblW w:w="15120" w:type="dxa"/>
        <w:jc w:val="center"/>
        <w:tblLayout w:type="fixed"/>
        <w:tblCellMar>
          <w:left w:w="134" w:type="dxa"/>
          <w:right w:w="134" w:type="dxa"/>
        </w:tblCellMar>
        <w:tblLook w:val="0000"/>
      </w:tblPr>
      <w:tblGrid>
        <w:gridCol w:w="4786"/>
        <w:gridCol w:w="1387"/>
        <w:gridCol w:w="1487"/>
        <w:gridCol w:w="1288"/>
        <w:gridCol w:w="892"/>
        <w:gridCol w:w="1288"/>
        <w:gridCol w:w="1586"/>
        <w:gridCol w:w="1090"/>
        <w:gridCol w:w="1316"/>
      </w:tblGrid>
      <w:tr w:rsidR="001B3469" w:rsidRPr="00753051">
        <w:trPr>
          <w:tblHeader/>
          <w:jc w:val="center"/>
        </w:trPr>
        <w:tc>
          <w:tcPr>
            <w:tcW w:w="4786" w:type="dxa"/>
            <w:tcBorders>
              <w:top w:val="single" w:sz="8" w:space="0" w:color="000000"/>
              <w:left w:val="single" w:sz="4" w:space="0" w:color="auto"/>
              <w:bottom w:val="single" w:sz="4" w:space="0" w:color="auto"/>
              <w:right w:val="single" w:sz="6" w:space="0" w:color="FFFFFF"/>
            </w:tcBorders>
            <w:vAlign w:val="center"/>
          </w:tcPr>
          <w:p w:rsidR="001B3469" w:rsidRPr="00753051" w:rsidRDefault="001B3469">
            <w:pPr>
              <w:tabs>
                <w:tab w:val="center" w:pos="1306"/>
              </w:tabs>
              <w:spacing w:after="58"/>
              <w:jc w:val="center"/>
              <w:rPr>
                <w:b/>
                <w:bCs/>
                <w:sz w:val="20"/>
                <w:szCs w:val="20"/>
              </w:rPr>
            </w:pPr>
            <w:r w:rsidRPr="00753051">
              <w:rPr>
                <w:b/>
                <w:bCs/>
                <w:sz w:val="20"/>
                <w:szCs w:val="20"/>
              </w:rPr>
              <w:t>Activity</w:t>
            </w:r>
          </w:p>
        </w:tc>
        <w:tc>
          <w:tcPr>
            <w:tcW w:w="1387"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496"/>
              </w:tabs>
              <w:jc w:val="center"/>
              <w:rPr>
                <w:b/>
                <w:bCs/>
                <w:sz w:val="20"/>
                <w:szCs w:val="20"/>
              </w:rPr>
            </w:pPr>
            <w:r w:rsidRPr="00753051">
              <w:rPr>
                <w:b/>
                <w:bCs/>
                <w:sz w:val="20"/>
                <w:szCs w:val="20"/>
              </w:rPr>
              <w:t>(A)</w:t>
            </w:r>
          </w:p>
          <w:p w:rsidR="001B3469" w:rsidRPr="00753051" w:rsidRDefault="001B3469">
            <w:pPr>
              <w:jc w:val="center"/>
              <w:rPr>
                <w:b/>
                <w:bCs/>
                <w:sz w:val="20"/>
                <w:szCs w:val="20"/>
              </w:rPr>
            </w:pPr>
            <w:r w:rsidRPr="00753051">
              <w:rPr>
                <w:b/>
                <w:bCs/>
                <w:sz w:val="20"/>
                <w:szCs w:val="20"/>
              </w:rPr>
              <w:t>EPA person- hours per occurrence</w:t>
            </w:r>
          </w:p>
        </w:tc>
        <w:tc>
          <w:tcPr>
            <w:tcW w:w="1487"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541"/>
              </w:tabs>
              <w:jc w:val="center"/>
              <w:rPr>
                <w:b/>
                <w:bCs/>
                <w:sz w:val="20"/>
                <w:szCs w:val="20"/>
              </w:rPr>
            </w:pPr>
            <w:r w:rsidRPr="00753051">
              <w:rPr>
                <w:b/>
                <w:bCs/>
                <w:sz w:val="20"/>
                <w:szCs w:val="20"/>
              </w:rPr>
              <w:t>(B)</w:t>
            </w:r>
          </w:p>
          <w:p w:rsidR="001B3469" w:rsidRPr="00753051" w:rsidRDefault="001B3469">
            <w:pPr>
              <w:tabs>
                <w:tab w:val="center" w:pos="541"/>
              </w:tabs>
              <w:jc w:val="center"/>
              <w:rPr>
                <w:b/>
                <w:bCs/>
                <w:sz w:val="20"/>
                <w:szCs w:val="20"/>
              </w:rPr>
            </w:pPr>
            <w:r w:rsidRPr="00753051">
              <w:rPr>
                <w:b/>
                <w:bCs/>
                <w:sz w:val="20"/>
                <w:szCs w:val="20"/>
              </w:rPr>
              <w:t>No. of occurrences per plant per year</w:t>
            </w:r>
          </w:p>
        </w:tc>
        <w:tc>
          <w:tcPr>
            <w:tcW w:w="1288"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541"/>
              </w:tabs>
              <w:jc w:val="center"/>
              <w:rPr>
                <w:b/>
                <w:bCs/>
                <w:sz w:val="20"/>
                <w:szCs w:val="20"/>
              </w:rPr>
            </w:pPr>
            <w:r w:rsidRPr="00753051">
              <w:rPr>
                <w:b/>
                <w:bCs/>
                <w:sz w:val="20"/>
                <w:szCs w:val="20"/>
              </w:rPr>
              <w:t>(C)</w:t>
            </w:r>
          </w:p>
          <w:p w:rsidR="001B3469" w:rsidRPr="00753051" w:rsidRDefault="001B3469">
            <w:pPr>
              <w:tabs>
                <w:tab w:val="center" w:pos="541"/>
              </w:tabs>
              <w:jc w:val="center"/>
              <w:rPr>
                <w:b/>
                <w:bCs/>
                <w:sz w:val="20"/>
                <w:szCs w:val="20"/>
              </w:rPr>
            </w:pPr>
            <w:r w:rsidRPr="00753051">
              <w:rPr>
                <w:b/>
                <w:bCs/>
                <w:sz w:val="20"/>
                <w:szCs w:val="20"/>
              </w:rPr>
              <w:t>EPA person- hours per plant per year</w:t>
            </w:r>
          </w:p>
          <w:p w:rsidR="001B3469" w:rsidRPr="00753051" w:rsidRDefault="001B3469">
            <w:pPr>
              <w:tabs>
                <w:tab w:val="center" w:pos="541"/>
              </w:tabs>
              <w:spacing w:after="58"/>
              <w:jc w:val="center"/>
              <w:rPr>
                <w:b/>
                <w:bCs/>
                <w:sz w:val="20"/>
                <w:szCs w:val="20"/>
              </w:rPr>
            </w:pPr>
            <w:r w:rsidRPr="00753051">
              <w:rPr>
                <w:b/>
                <w:bCs/>
                <w:sz w:val="20"/>
                <w:szCs w:val="20"/>
              </w:rPr>
              <w:t>(C=AxB)</w:t>
            </w:r>
          </w:p>
        </w:tc>
        <w:tc>
          <w:tcPr>
            <w:tcW w:w="892"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451"/>
              </w:tabs>
              <w:jc w:val="center"/>
              <w:rPr>
                <w:b/>
                <w:bCs/>
                <w:sz w:val="20"/>
                <w:szCs w:val="20"/>
              </w:rPr>
            </w:pPr>
            <w:r w:rsidRPr="00753051">
              <w:rPr>
                <w:b/>
                <w:bCs/>
                <w:sz w:val="20"/>
                <w:szCs w:val="20"/>
              </w:rPr>
              <w:t>(D)</w:t>
            </w:r>
          </w:p>
          <w:p w:rsidR="001B3469" w:rsidRPr="00753051" w:rsidRDefault="001B3469">
            <w:pPr>
              <w:tabs>
                <w:tab w:val="center" w:pos="451"/>
              </w:tabs>
              <w:jc w:val="center"/>
              <w:rPr>
                <w:b/>
                <w:bCs/>
                <w:sz w:val="20"/>
                <w:szCs w:val="20"/>
              </w:rPr>
            </w:pPr>
            <w:r w:rsidRPr="00753051">
              <w:rPr>
                <w:b/>
                <w:bCs/>
                <w:sz w:val="20"/>
                <w:szCs w:val="20"/>
              </w:rPr>
              <w:t xml:space="preserve">Plants per year  </w:t>
            </w:r>
            <w:r w:rsidRPr="00753051">
              <w:rPr>
                <w:b/>
                <w:bCs/>
                <w:vertAlign w:val="superscript"/>
              </w:rPr>
              <w:t>a</w:t>
            </w:r>
          </w:p>
        </w:tc>
        <w:tc>
          <w:tcPr>
            <w:tcW w:w="1288"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451"/>
              </w:tabs>
              <w:jc w:val="center"/>
              <w:rPr>
                <w:b/>
                <w:bCs/>
                <w:sz w:val="20"/>
                <w:szCs w:val="20"/>
              </w:rPr>
            </w:pPr>
            <w:r w:rsidRPr="00753051">
              <w:rPr>
                <w:b/>
                <w:bCs/>
                <w:sz w:val="20"/>
                <w:szCs w:val="20"/>
              </w:rPr>
              <w:t>(E)</w:t>
            </w:r>
          </w:p>
          <w:p w:rsidR="001B3469" w:rsidRPr="00753051" w:rsidRDefault="001B3469">
            <w:pPr>
              <w:tabs>
                <w:tab w:val="center" w:pos="451"/>
              </w:tabs>
              <w:jc w:val="center"/>
              <w:rPr>
                <w:b/>
                <w:bCs/>
                <w:sz w:val="20"/>
                <w:szCs w:val="20"/>
              </w:rPr>
            </w:pPr>
            <w:r w:rsidRPr="00753051">
              <w:rPr>
                <w:b/>
                <w:bCs/>
                <w:sz w:val="20"/>
                <w:szCs w:val="20"/>
              </w:rPr>
              <w:t>Technical person- hours per year</w:t>
            </w:r>
          </w:p>
          <w:p w:rsidR="001B3469" w:rsidRPr="00753051" w:rsidRDefault="001B3469">
            <w:pPr>
              <w:tabs>
                <w:tab w:val="center" w:pos="451"/>
              </w:tabs>
              <w:spacing w:after="58"/>
              <w:jc w:val="center"/>
              <w:rPr>
                <w:b/>
                <w:bCs/>
                <w:sz w:val="20"/>
                <w:szCs w:val="20"/>
              </w:rPr>
            </w:pPr>
            <w:r w:rsidRPr="00753051">
              <w:rPr>
                <w:b/>
                <w:bCs/>
                <w:sz w:val="20"/>
                <w:szCs w:val="20"/>
              </w:rPr>
              <w:t>(E=CxD)</w:t>
            </w:r>
          </w:p>
        </w:tc>
        <w:tc>
          <w:tcPr>
            <w:tcW w:w="1586" w:type="dxa"/>
            <w:tcBorders>
              <w:top w:val="single" w:sz="8" w:space="0" w:color="000000"/>
              <w:left w:val="single" w:sz="7" w:space="0" w:color="000000"/>
              <w:bottom w:val="single" w:sz="4" w:space="0" w:color="auto"/>
              <w:right w:val="single" w:sz="6" w:space="0" w:color="FFFFFF"/>
            </w:tcBorders>
          </w:tcPr>
          <w:p w:rsidR="001B3469" w:rsidRPr="00753051" w:rsidRDefault="001B3469">
            <w:pPr>
              <w:tabs>
                <w:tab w:val="center" w:pos="676"/>
              </w:tabs>
              <w:jc w:val="center"/>
              <w:rPr>
                <w:b/>
                <w:bCs/>
                <w:sz w:val="20"/>
                <w:szCs w:val="20"/>
              </w:rPr>
            </w:pPr>
            <w:r w:rsidRPr="00753051">
              <w:rPr>
                <w:b/>
                <w:bCs/>
                <w:sz w:val="20"/>
                <w:szCs w:val="20"/>
              </w:rPr>
              <w:t>(F)</w:t>
            </w:r>
          </w:p>
          <w:p w:rsidR="001B3469" w:rsidRPr="00753051" w:rsidRDefault="001B3469">
            <w:pPr>
              <w:tabs>
                <w:tab w:val="center" w:pos="676"/>
              </w:tabs>
              <w:jc w:val="center"/>
              <w:rPr>
                <w:b/>
                <w:bCs/>
                <w:sz w:val="20"/>
                <w:szCs w:val="20"/>
              </w:rPr>
            </w:pPr>
            <w:r w:rsidRPr="00753051">
              <w:rPr>
                <w:b/>
                <w:bCs/>
                <w:sz w:val="20"/>
                <w:szCs w:val="20"/>
              </w:rPr>
              <w:t>Management person-hours per year</w:t>
            </w:r>
          </w:p>
          <w:p w:rsidR="001B3469" w:rsidRPr="00753051" w:rsidRDefault="001B3469">
            <w:pPr>
              <w:tabs>
                <w:tab w:val="center" w:pos="676"/>
              </w:tabs>
              <w:jc w:val="center"/>
              <w:rPr>
                <w:b/>
                <w:bCs/>
                <w:sz w:val="20"/>
                <w:szCs w:val="20"/>
              </w:rPr>
            </w:pPr>
            <w:r w:rsidRPr="00753051">
              <w:rPr>
                <w:b/>
                <w:bCs/>
                <w:sz w:val="20"/>
                <w:szCs w:val="20"/>
              </w:rPr>
              <w:t>(Ex0.05)</w:t>
            </w:r>
          </w:p>
          <w:p w:rsidR="001B3469" w:rsidRPr="00753051" w:rsidRDefault="001B3469">
            <w:pPr>
              <w:spacing w:after="58"/>
              <w:jc w:val="center"/>
              <w:rPr>
                <w:b/>
                <w:bCs/>
                <w:sz w:val="20"/>
                <w:szCs w:val="20"/>
              </w:rPr>
            </w:pPr>
          </w:p>
        </w:tc>
        <w:tc>
          <w:tcPr>
            <w:tcW w:w="1090" w:type="dxa"/>
            <w:tcBorders>
              <w:top w:val="single" w:sz="8" w:space="0" w:color="000000"/>
              <w:left w:val="single" w:sz="7" w:space="0" w:color="000000"/>
              <w:bottom w:val="single" w:sz="4" w:space="0" w:color="auto"/>
              <w:right w:val="single" w:sz="8" w:space="0" w:color="000000"/>
            </w:tcBorders>
          </w:tcPr>
          <w:p w:rsidR="001B3469" w:rsidRPr="00753051" w:rsidRDefault="001B3469">
            <w:pPr>
              <w:tabs>
                <w:tab w:val="center" w:pos="451"/>
              </w:tabs>
              <w:jc w:val="center"/>
              <w:rPr>
                <w:b/>
                <w:bCs/>
                <w:sz w:val="20"/>
                <w:szCs w:val="20"/>
              </w:rPr>
            </w:pPr>
            <w:r w:rsidRPr="00753051">
              <w:rPr>
                <w:b/>
                <w:bCs/>
                <w:sz w:val="20"/>
                <w:szCs w:val="20"/>
              </w:rPr>
              <w:t>(G)</w:t>
            </w:r>
          </w:p>
          <w:p w:rsidR="001B3469" w:rsidRPr="00753051" w:rsidRDefault="001B3469">
            <w:pPr>
              <w:tabs>
                <w:tab w:val="center" w:pos="451"/>
              </w:tabs>
              <w:jc w:val="center"/>
              <w:rPr>
                <w:b/>
                <w:bCs/>
                <w:sz w:val="20"/>
                <w:szCs w:val="20"/>
              </w:rPr>
            </w:pPr>
            <w:r w:rsidRPr="00753051">
              <w:rPr>
                <w:b/>
                <w:bCs/>
                <w:sz w:val="20"/>
                <w:szCs w:val="20"/>
              </w:rPr>
              <w:t>Clerical person-</w:t>
            </w:r>
          </w:p>
          <w:p w:rsidR="001B3469" w:rsidRPr="00753051" w:rsidRDefault="001B3469">
            <w:pPr>
              <w:tabs>
                <w:tab w:val="center" w:pos="451"/>
              </w:tabs>
              <w:jc w:val="center"/>
              <w:rPr>
                <w:b/>
                <w:bCs/>
                <w:sz w:val="20"/>
                <w:szCs w:val="20"/>
              </w:rPr>
            </w:pPr>
            <w:r w:rsidRPr="00753051">
              <w:rPr>
                <w:b/>
                <w:bCs/>
                <w:sz w:val="20"/>
                <w:szCs w:val="20"/>
              </w:rPr>
              <w:t>hours per year</w:t>
            </w:r>
          </w:p>
          <w:p w:rsidR="001B3469" w:rsidRPr="00753051" w:rsidRDefault="001B3469">
            <w:pPr>
              <w:tabs>
                <w:tab w:val="center" w:pos="451"/>
              </w:tabs>
              <w:jc w:val="center"/>
              <w:rPr>
                <w:b/>
                <w:bCs/>
                <w:sz w:val="20"/>
                <w:szCs w:val="20"/>
              </w:rPr>
            </w:pPr>
            <w:r w:rsidRPr="00753051">
              <w:rPr>
                <w:b/>
                <w:bCs/>
                <w:sz w:val="20"/>
                <w:szCs w:val="20"/>
              </w:rPr>
              <w:t>(Ex0.1)</w:t>
            </w:r>
          </w:p>
        </w:tc>
        <w:tc>
          <w:tcPr>
            <w:tcW w:w="1316" w:type="dxa"/>
            <w:tcBorders>
              <w:top w:val="single" w:sz="8" w:space="0" w:color="000000"/>
              <w:left w:val="single" w:sz="8" w:space="0" w:color="000000"/>
              <w:bottom w:val="single" w:sz="4" w:space="0" w:color="auto"/>
              <w:right w:val="single" w:sz="4" w:space="0" w:color="auto"/>
            </w:tcBorders>
          </w:tcPr>
          <w:p w:rsidR="001B3469" w:rsidRPr="00753051" w:rsidRDefault="001B3469">
            <w:pPr>
              <w:tabs>
                <w:tab w:val="center" w:pos="541"/>
              </w:tabs>
              <w:jc w:val="center"/>
              <w:rPr>
                <w:b/>
                <w:bCs/>
                <w:sz w:val="20"/>
                <w:szCs w:val="20"/>
              </w:rPr>
            </w:pPr>
            <w:r w:rsidRPr="00753051">
              <w:rPr>
                <w:b/>
                <w:bCs/>
                <w:sz w:val="20"/>
                <w:szCs w:val="20"/>
              </w:rPr>
              <w:t>(H)</w:t>
            </w:r>
          </w:p>
          <w:p w:rsidR="001B3469" w:rsidRPr="00753051" w:rsidRDefault="001B3469">
            <w:pPr>
              <w:tabs>
                <w:tab w:val="center" w:pos="541"/>
              </w:tabs>
              <w:spacing w:after="58"/>
              <w:jc w:val="center"/>
              <w:rPr>
                <w:b/>
                <w:bCs/>
                <w:sz w:val="20"/>
                <w:szCs w:val="20"/>
              </w:rPr>
            </w:pPr>
            <w:r w:rsidRPr="00753051">
              <w:rPr>
                <w:b/>
                <w:bCs/>
                <w:sz w:val="20"/>
                <w:szCs w:val="20"/>
              </w:rPr>
              <w:t xml:space="preserve">Cost, $ </w:t>
            </w:r>
            <w:r w:rsidRPr="00753051">
              <w:rPr>
                <w:b/>
                <w:bCs/>
                <w:vertAlign w:val="superscript"/>
              </w:rPr>
              <w:t>b</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1.  Required activities</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   Initial performance test </w:t>
            </w:r>
            <w:r w:rsidRPr="00753051">
              <w:rPr>
                <w:sz w:val="20"/>
                <w:vertAlign w:val="superscript"/>
              </w:rPr>
              <w:t>c</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ii.  Repeat performance test </w:t>
            </w:r>
            <w:r w:rsidRPr="00753051">
              <w:rPr>
                <w:sz w:val="20"/>
                <w:vertAlign w:val="superscript"/>
              </w:rPr>
              <w:t>d</w:t>
            </w:r>
          </w:p>
        </w:tc>
        <w:tc>
          <w:tcPr>
            <w:tcW w:w="1387"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24</w:t>
            </w:r>
          </w:p>
        </w:tc>
        <w:tc>
          <w:tcPr>
            <w:tcW w:w="1487"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24</w:t>
            </w:r>
          </w:p>
        </w:tc>
        <w:tc>
          <w:tcPr>
            <w:tcW w:w="892"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2.  Report review – one time</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  Notification of construction/reconstruction</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ii.  Notification of actual startup</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iii. Notification of initial CMS demonstration</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iv. Initial notification</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v.  Notification of compliance status report</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40</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40</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vi. Pre-compliance report </w:t>
            </w:r>
            <w:r w:rsidRPr="00753051">
              <w:rPr>
                <w:sz w:val="20"/>
                <w:vertAlign w:val="superscript"/>
              </w:rPr>
              <w:t>e</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a.  With emissions averaging </w:t>
            </w:r>
            <w:r w:rsidRPr="00753051">
              <w:rPr>
                <w:sz w:val="20"/>
                <w:vertAlign w:val="superscript"/>
              </w:rPr>
              <w:t>f</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20</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20</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b.  Without emissions averaging </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0</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$0</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3.  Report review – on-going</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  Semiannual summary report </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a.   No deviations </w:t>
            </w:r>
            <w:r w:rsidRPr="00753051">
              <w:rPr>
                <w:sz w:val="20"/>
                <w:vertAlign w:val="superscript"/>
              </w:rPr>
              <w:t>g</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24</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96</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4.8</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9.6</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$4,975.16</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b.  Deviations </w:t>
            </w:r>
            <w:r w:rsidRPr="00753051">
              <w:rPr>
                <w:sz w:val="20"/>
                <w:vertAlign w:val="superscript"/>
              </w:rPr>
              <w:t>h</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8</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16</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3</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48</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2.4</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4.8</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$2,487.58</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ii. Notification of physical/operational change </w:t>
            </w:r>
            <w:r w:rsidRPr="00753051">
              <w:rPr>
                <w:sz w:val="20"/>
                <w:vertAlign w:val="superscript"/>
              </w:rPr>
              <w:t>i</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8</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3</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24</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27</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648</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32.4</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64.8</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$33,582.28</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iii. SSM report </w:t>
            </w:r>
            <w:r w:rsidRPr="00753051">
              <w:rPr>
                <w:sz w:val="20"/>
                <w:vertAlign w:val="superscript"/>
              </w:rPr>
              <w:t>j</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27</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108</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5.4</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10.8</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$5,597.05</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iv. LDAR report </w:t>
            </w:r>
            <w:r w:rsidRPr="00753051">
              <w:rPr>
                <w:sz w:val="20"/>
                <w:vertAlign w:val="superscript"/>
              </w:rPr>
              <w:t>k</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8</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16</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27</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432</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21.6</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43.2</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$22,388.18</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 xml:space="preserve">         v.  Emission averaging report </w:t>
            </w:r>
            <w:r w:rsidRPr="00753051">
              <w:rPr>
                <w:sz w:val="20"/>
                <w:vertAlign w:val="superscript"/>
              </w:rPr>
              <w:t>l</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8</w:t>
            </w: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16</w:t>
            </w: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3</w:t>
            </w: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48</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2.4</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4.8</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$2,487.58</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tcPr>
          <w:p w:rsidR="001B3469" w:rsidRPr="00753051" w:rsidRDefault="001B3469">
            <w:pPr>
              <w:rPr>
                <w:sz w:val="20"/>
              </w:rPr>
            </w:pPr>
            <w:r w:rsidRPr="00753051">
              <w:rPr>
                <w:sz w:val="20"/>
              </w:rPr>
              <w:t>Subtotals Labor Burden and cost</w:t>
            </w:r>
          </w:p>
        </w:tc>
        <w:tc>
          <w:tcPr>
            <w:tcW w:w="13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487"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892"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p>
        </w:tc>
        <w:tc>
          <w:tcPr>
            <w:tcW w:w="1288"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1,380</w:t>
            </w:r>
          </w:p>
        </w:tc>
        <w:tc>
          <w:tcPr>
            <w:tcW w:w="1586"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69</w:t>
            </w:r>
          </w:p>
        </w:tc>
        <w:tc>
          <w:tcPr>
            <w:tcW w:w="1090" w:type="dxa"/>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138</w:t>
            </w:r>
          </w:p>
        </w:tc>
        <w:tc>
          <w:tcPr>
            <w:tcW w:w="1316" w:type="dxa"/>
            <w:tcBorders>
              <w:top w:val="single" w:sz="4" w:space="0" w:color="auto"/>
              <w:left w:val="single" w:sz="4" w:space="0" w:color="auto"/>
              <w:bottom w:val="single" w:sz="4" w:space="0" w:color="auto"/>
              <w:right w:val="single" w:sz="4" w:space="0" w:color="auto"/>
            </w:tcBorders>
          </w:tcPr>
          <w:p w:rsidR="001B3469" w:rsidRPr="00753051" w:rsidRDefault="001B3469">
            <w:pPr>
              <w:jc w:val="right"/>
              <w:rPr>
                <w:sz w:val="20"/>
              </w:rPr>
            </w:pPr>
            <w:r w:rsidRPr="00753051">
              <w:rPr>
                <w:sz w:val="20"/>
              </w:rPr>
              <w:t>$71,517.83</w:t>
            </w:r>
          </w:p>
        </w:tc>
      </w:tr>
      <w:tr w:rsidR="001B3469" w:rsidRPr="00753051">
        <w:trPr>
          <w:jc w:val="center"/>
        </w:trPr>
        <w:tc>
          <w:tcPr>
            <w:tcW w:w="4786"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rPr>
                <w:b/>
                <w:sz w:val="20"/>
              </w:rPr>
            </w:pPr>
            <w:r w:rsidRPr="00753051">
              <w:rPr>
                <w:b/>
                <w:sz w:val="20"/>
              </w:rPr>
              <w:t>TOTAL ANNUAL BURDEN AND COST (rounded)</w:t>
            </w:r>
          </w:p>
        </w:tc>
        <w:tc>
          <w:tcPr>
            <w:tcW w:w="1387"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rPr>
                <w:sz w:val="20"/>
              </w:rPr>
            </w:pPr>
          </w:p>
        </w:tc>
        <w:tc>
          <w:tcPr>
            <w:tcW w:w="1487"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rPr>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rPr>
                <w:sz w:val="20"/>
              </w:rPr>
            </w:pPr>
          </w:p>
        </w:tc>
        <w:tc>
          <w:tcPr>
            <w:tcW w:w="892"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rPr>
                <w:sz w:val="20"/>
              </w:rPr>
            </w:pPr>
          </w:p>
        </w:tc>
        <w:tc>
          <w:tcPr>
            <w:tcW w:w="3964" w:type="dxa"/>
            <w:gridSpan w:val="3"/>
            <w:tcBorders>
              <w:top w:val="single" w:sz="4" w:space="0" w:color="auto"/>
              <w:left w:val="single" w:sz="4" w:space="0" w:color="auto"/>
              <w:bottom w:val="single" w:sz="4" w:space="0" w:color="auto"/>
              <w:right w:val="single" w:sz="4" w:space="0" w:color="auto"/>
            </w:tcBorders>
          </w:tcPr>
          <w:p w:rsidR="001B3469" w:rsidRPr="00753051" w:rsidRDefault="001B3469">
            <w:pPr>
              <w:jc w:val="center"/>
              <w:rPr>
                <w:sz w:val="20"/>
              </w:rPr>
            </w:pPr>
            <w:r w:rsidRPr="00753051">
              <w:rPr>
                <w:sz w:val="20"/>
              </w:rPr>
              <w:t>1,587</w:t>
            </w:r>
          </w:p>
        </w:tc>
        <w:tc>
          <w:tcPr>
            <w:tcW w:w="1316" w:type="dxa"/>
            <w:tcBorders>
              <w:top w:val="single" w:sz="4" w:space="0" w:color="auto"/>
              <w:left w:val="single" w:sz="4" w:space="0" w:color="auto"/>
              <w:bottom w:val="single" w:sz="4" w:space="0" w:color="auto"/>
              <w:right w:val="single" w:sz="4" w:space="0" w:color="auto"/>
            </w:tcBorders>
            <w:vAlign w:val="center"/>
          </w:tcPr>
          <w:p w:rsidR="001B3469" w:rsidRPr="00753051" w:rsidRDefault="001B3469">
            <w:pPr>
              <w:jc w:val="right"/>
              <w:rPr>
                <w:sz w:val="20"/>
              </w:rPr>
            </w:pPr>
            <w:r w:rsidRPr="00753051">
              <w:rPr>
                <w:sz w:val="20"/>
              </w:rPr>
              <w:t>$71,518</w:t>
            </w:r>
          </w:p>
        </w:tc>
      </w:tr>
    </w:tbl>
    <w:p w:rsidR="001B3469" w:rsidRPr="00753051" w:rsidRDefault="001B3469">
      <w:pPr>
        <w:pBdr>
          <w:between w:val="single" w:sz="4" w:space="1" w:color="auto"/>
        </w:pBdr>
        <w:rPr>
          <w:b/>
          <w:bCs/>
          <w:sz w:val="20"/>
          <w:szCs w:val="20"/>
        </w:rPr>
      </w:pPr>
    </w:p>
    <w:p w:rsidR="001B3469" w:rsidRPr="00753051" w:rsidRDefault="001B3469">
      <w:pPr>
        <w:ind w:left="-180" w:right="-270"/>
        <w:rPr>
          <w:sz w:val="20"/>
          <w:szCs w:val="20"/>
        </w:rPr>
      </w:pPr>
      <w:r w:rsidRPr="00753051">
        <w:rPr>
          <w:b/>
          <w:bCs/>
          <w:sz w:val="20"/>
          <w:szCs w:val="20"/>
        </w:rPr>
        <w:t>Assumptions:</w:t>
      </w:r>
    </w:p>
    <w:p w:rsidR="001B3469" w:rsidRPr="00753051" w:rsidRDefault="001B3469">
      <w:pPr>
        <w:ind w:left="-180" w:right="-270"/>
        <w:rPr>
          <w:sz w:val="20"/>
          <w:szCs w:val="20"/>
        </w:rPr>
      </w:pPr>
      <w:r w:rsidRPr="00753051">
        <w:rPr>
          <w:vertAlign w:val="superscript"/>
        </w:rPr>
        <w:t>a</w:t>
      </w:r>
      <w:r w:rsidRPr="00753051">
        <w:rPr>
          <w:sz w:val="20"/>
          <w:szCs w:val="20"/>
        </w:rPr>
        <w:t xml:space="preserve">  We have assumed that the average number of respondents that will be subject to this rule will be 27.  There will be no new additional sources during the next three years of this ICR.</w:t>
      </w:r>
    </w:p>
    <w:p w:rsidR="001B3469" w:rsidRPr="00753051" w:rsidRDefault="001B3469">
      <w:pPr>
        <w:ind w:left="-180" w:right="-270"/>
        <w:rPr>
          <w:sz w:val="20"/>
          <w:szCs w:val="20"/>
        </w:rPr>
      </w:pPr>
      <w:r w:rsidRPr="00753051">
        <w:rPr>
          <w:vertAlign w:val="superscript"/>
        </w:rPr>
        <w:t>b</w:t>
      </w:r>
      <w:r w:rsidRPr="00753051">
        <w:rPr>
          <w:sz w:val="20"/>
          <w:szCs w:val="20"/>
        </w:rPr>
        <w:t xml:space="preserve">  This cost is based on 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2010 General Schedule which excludes locality rates of pay.</w:t>
      </w:r>
    </w:p>
    <w:p w:rsidR="001B3469" w:rsidRPr="00753051" w:rsidRDefault="001B3469">
      <w:pPr>
        <w:ind w:left="-180" w:right="-270"/>
        <w:rPr>
          <w:sz w:val="20"/>
          <w:szCs w:val="20"/>
        </w:rPr>
      </w:pPr>
      <w:r w:rsidRPr="00753051">
        <w:rPr>
          <w:vertAlign w:val="superscript"/>
        </w:rPr>
        <w:t>c</w:t>
      </w:r>
      <w:r w:rsidRPr="00753051">
        <w:rPr>
          <w:sz w:val="20"/>
          <w:szCs w:val="20"/>
        </w:rPr>
        <w:t xml:space="preserve">  We have assumed that there will be no new or reconstructed facilities during the next three years of this ICR.</w:t>
      </w:r>
    </w:p>
    <w:p w:rsidR="001B3469" w:rsidRPr="00753051" w:rsidRDefault="001B3469">
      <w:pPr>
        <w:ind w:left="-180" w:right="-270"/>
        <w:rPr>
          <w:sz w:val="20"/>
          <w:szCs w:val="20"/>
          <w:vertAlign w:val="superscript"/>
        </w:rPr>
      </w:pPr>
      <w:r w:rsidRPr="00753051">
        <w:rPr>
          <w:vertAlign w:val="superscript"/>
        </w:rPr>
        <w:lastRenderedPageBreak/>
        <w:t>d</w:t>
      </w:r>
      <w:r w:rsidRPr="00753051">
        <w:rPr>
          <w:sz w:val="20"/>
          <w:szCs w:val="20"/>
        </w:rPr>
        <w:t xml:space="preserve">  We have assumed that 20 percent of respondents would have to repeat performance tests due to failure.</w:t>
      </w:r>
      <w:r w:rsidRPr="00753051">
        <w:rPr>
          <w:sz w:val="20"/>
          <w:szCs w:val="20"/>
          <w:vertAlign w:val="superscript"/>
        </w:rPr>
        <w:t xml:space="preserve"> </w:t>
      </w:r>
    </w:p>
    <w:p w:rsidR="001B3469" w:rsidRPr="00753051" w:rsidRDefault="001B3469">
      <w:pPr>
        <w:ind w:left="-180" w:right="-270"/>
        <w:rPr>
          <w:sz w:val="20"/>
          <w:szCs w:val="20"/>
        </w:rPr>
      </w:pPr>
      <w:r w:rsidRPr="00753051">
        <w:rPr>
          <w:sz w:val="20"/>
          <w:szCs w:val="20"/>
          <w:vertAlign w:val="superscript"/>
        </w:rPr>
        <w:t>e</w:t>
      </w:r>
      <w:r w:rsidRPr="00753051">
        <w:rPr>
          <w:sz w:val="20"/>
          <w:szCs w:val="20"/>
        </w:rPr>
        <w:t xml:space="preserve">  We have assumed that 50 percent of new facilities will submit a pre-compliance report.</w:t>
      </w:r>
    </w:p>
    <w:p w:rsidR="001B3469" w:rsidRPr="00753051" w:rsidRDefault="001B3469">
      <w:pPr>
        <w:ind w:left="-180" w:right="-270"/>
        <w:rPr>
          <w:sz w:val="20"/>
          <w:szCs w:val="20"/>
        </w:rPr>
      </w:pPr>
      <w:r w:rsidRPr="00753051">
        <w:rPr>
          <w:sz w:val="20"/>
          <w:szCs w:val="20"/>
          <w:vertAlign w:val="superscript"/>
        </w:rPr>
        <w:t>f</w:t>
      </w:r>
      <w:r w:rsidRPr="00753051">
        <w:rPr>
          <w:sz w:val="20"/>
          <w:szCs w:val="20"/>
        </w:rPr>
        <w:t xml:space="preserve">  We have assumed that 10 percent of existing facilities will have to comply with emission averaging requirements; new facilities are not allowed to use emissions averaging.</w:t>
      </w:r>
    </w:p>
    <w:p w:rsidR="001B3469" w:rsidRPr="00753051" w:rsidRDefault="001B3469">
      <w:pPr>
        <w:ind w:left="-180" w:right="-270"/>
        <w:rPr>
          <w:sz w:val="20"/>
          <w:szCs w:val="20"/>
        </w:rPr>
      </w:pPr>
      <w:r w:rsidRPr="00753051">
        <w:rPr>
          <w:sz w:val="20"/>
          <w:szCs w:val="20"/>
          <w:vertAlign w:val="superscript"/>
        </w:rPr>
        <w:t>g</w:t>
      </w:r>
      <w:r w:rsidRPr="00753051">
        <w:rPr>
          <w:sz w:val="20"/>
          <w:szCs w:val="20"/>
        </w:rPr>
        <w:t xml:space="preserve">  We have assumed that 90 percent of respondents will each take two hours two times per year to complete this report.</w:t>
      </w:r>
    </w:p>
    <w:p w:rsidR="001B3469" w:rsidRPr="00753051" w:rsidRDefault="001B3469">
      <w:pPr>
        <w:ind w:left="-180" w:right="-270"/>
        <w:rPr>
          <w:sz w:val="20"/>
          <w:szCs w:val="20"/>
        </w:rPr>
      </w:pPr>
      <w:r w:rsidRPr="00753051">
        <w:rPr>
          <w:sz w:val="20"/>
          <w:szCs w:val="20"/>
          <w:vertAlign w:val="superscript"/>
        </w:rPr>
        <w:t>h</w:t>
      </w:r>
      <w:r w:rsidRPr="00753051">
        <w:rPr>
          <w:sz w:val="20"/>
          <w:szCs w:val="20"/>
        </w:rPr>
        <w:t xml:space="preserve">  We have assumed that 10 percent of respondents will have to report deviation.</w:t>
      </w:r>
    </w:p>
    <w:p w:rsidR="001B3469" w:rsidRPr="00753051" w:rsidRDefault="001B3469">
      <w:pPr>
        <w:ind w:left="-180" w:right="-270"/>
        <w:rPr>
          <w:sz w:val="20"/>
          <w:szCs w:val="20"/>
        </w:rPr>
      </w:pPr>
      <w:r w:rsidRPr="00753051">
        <w:rPr>
          <w:sz w:val="20"/>
          <w:szCs w:val="20"/>
          <w:vertAlign w:val="superscript"/>
        </w:rPr>
        <w:t>i</w:t>
      </w:r>
      <w:r w:rsidRPr="00753051">
        <w:rPr>
          <w:sz w:val="20"/>
          <w:szCs w:val="20"/>
        </w:rPr>
        <w:t xml:space="preserve">  We have assumed that each respondent will be required to review the physical/operational changes for each facility three times per year over the next three-year period of this ICR.</w:t>
      </w:r>
    </w:p>
    <w:p w:rsidR="001B3469" w:rsidRPr="00753051" w:rsidRDefault="001B3469">
      <w:pPr>
        <w:ind w:left="-180" w:right="-270"/>
        <w:rPr>
          <w:sz w:val="20"/>
          <w:szCs w:val="20"/>
        </w:rPr>
      </w:pPr>
      <w:r w:rsidRPr="00753051">
        <w:rPr>
          <w:sz w:val="20"/>
          <w:szCs w:val="20"/>
          <w:vertAlign w:val="superscript"/>
        </w:rPr>
        <w:t>j</w:t>
      </w:r>
      <w:r w:rsidRPr="00753051">
        <w:rPr>
          <w:sz w:val="20"/>
          <w:szCs w:val="20"/>
        </w:rPr>
        <w:t xml:space="preserve">  We have assumed that each respondent will report actions taken during startup, shutdown, or malfunction that are consistent.</w:t>
      </w:r>
    </w:p>
    <w:p w:rsidR="001B3469" w:rsidRPr="00753051" w:rsidRDefault="001B3469">
      <w:pPr>
        <w:ind w:left="-180" w:right="-270"/>
        <w:rPr>
          <w:sz w:val="20"/>
          <w:szCs w:val="20"/>
        </w:rPr>
      </w:pPr>
      <w:r w:rsidRPr="00753051">
        <w:rPr>
          <w:sz w:val="20"/>
          <w:szCs w:val="20"/>
          <w:vertAlign w:val="superscript"/>
        </w:rPr>
        <w:t>k</w:t>
      </w:r>
      <w:r w:rsidRPr="00753051">
        <w:rPr>
          <w:sz w:val="20"/>
          <w:szCs w:val="20"/>
        </w:rPr>
        <w:t xml:space="preserve">  We have assumed that each respondent will have to comply with the LDAR report two times per year.</w:t>
      </w:r>
    </w:p>
    <w:p w:rsidR="001B3469" w:rsidRPr="00753051" w:rsidRDefault="001B3469">
      <w:pPr>
        <w:ind w:left="-180" w:right="-270"/>
        <w:rPr>
          <w:sz w:val="20"/>
          <w:szCs w:val="20"/>
        </w:rPr>
      </w:pPr>
      <w:r w:rsidRPr="00753051">
        <w:rPr>
          <w:sz w:val="20"/>
          <w:szCs w:val="20"/>
          <w:vertAlign w:val="superscript"/>
        </w:rPr>
        <w:t>l</w:t>
      </w:r>
      <w:r w:rsidRPr="00753051">
        <w:rPr>
          <w:sz w:val="20"/>
          <w:szCs w:val="20"/>
        </w:rPr>
        <w:t xml:space="preserve">  We have assumed that 10 percent of respondents will have to review the emission averaging report.</w:t>
      </w:r>
    </w:p>
    <w:p w:rsidR="0048268B" w:rsidRPr="00753051" w:rsidRDefault="0048268B">
      <w:pPr>
        <w:ind w:left="-180" w:right="-270"/>
        <w:rPr>
          <w:sz w:val="20"/>
          <w:szCs w:val="20"/>
        </w:rPr>
      </w:pPr>
    </w:p>
    <w:p w:rsidR="0048268B" w:rsidRPr="00753051" w:rsidRDefault="0048268B">
      <w:pPr>
        <w:ind w:left="-180" w:right="-270"/>
        <w:rPr>
          <w:sz w:val="20"/>
          <w:szCs w:val="20"/>
        </w:rPr>
      </w:pPr>
    </w:p>
    <w:p w:rsidR="0048268B" w:rsidRPr="00753051" w:rsidRDefault="0048268B">
      <w:pPr>
        <w:ind w:left="-180" w:right="-270"/>
        <w:rPr>
          <w:sz w:val="20"/>
          <w:szCs w:val="20"/>
        </w:rPr>
      </w:pPr>
    </w:p>
    <w:p w:rsidR="00851475" w:rsidRPr="00753051" w:rsidRDefault="00851475" w:rsidP="00851475">
      <w:pPr>
        <w:rPr>
          <w:b/>
        </w:rPr>
      </w:pPr>
      <w:r w:rsidRPr="00753051">
        <w:rPr>
          <w:b/>
          <w:bCs/>
        </w:rPr>
        <w:t xml:space="preserve">Table 3:  </w:t>
      </w:r>
      <w:r w:rsidRPr="00753051">
        <w:rPr>
          <w:b/>
        </w:rPr>
        <w:t>Single Affirmative Defense Burden Estimate</w:t>
      </w:r>
    </w:p>
    <w:tbl>
      <w:tblPr>
        <w:tblW w:w="9555" w:type="dxa"/>
        <w:tblInd w:w="93" w:type="dxa"/>
        <w:tblLook w:val="04A0"/>
      </w:tblPr>
      <w:tblGrid>
        <w:gridCol w:w="2161"/>
        <w:gridCol w:w="1454"/>
        <w:gridCol w:w="1649"/>
        <w:gridCol w:w="1231"/>
        <w:gridCol w:w="1620"/>
        <w:gridCol w:w="1440"/>
      </w:tblGrid>
      <w:tr w:rsidR="00851475" w:rsidRPr="00753051" w:rsidTr="005613AD">
        <w:trPr>
          <w:trHeight w:val="293"/>
        </w:trPr>
        <w:tc>
          <w:tcPr>
            <w:tcW w:w="2161" w:type="dxa"/>
            <w:tcBorders>
              <w:top w:val="double" w:sz="4" w:space="0" w:color="auto"/>
              <w:left w:val="double" w:sz="4" w:space="0" w:color="auto"/>
              <w:bottom w:val="single" w:sz="4" w:space="0" w:color="auto"/>
              <w:right w:val="single" w:sz="4" w:space="0" w:color="auto"/>
            </w:tcBorders>
            <w:shd w:val="clear" w:color="auto" w:fill="auto"/>
            <w:noWrap/>
            <w:vAlign w:val="bottom"/>
            <w:hideMark/>
          </w:tcPr>
          <w:p w:rsidR="00851475" w:rsidRPr="00753051" w:rsidRDefault="00851475" w:rsidP="005613AD">
            <w:pPr>
              <w:rPr>
                <w:b/>
                <w:bCs/>
              </w:rPr>
            </w:pPr>
            <w:r w:rsidRPr="00753051">
              <w:rPr>
                <w:b/>
                <w:bCs/>
              </w:rPr>
              <w:t xml:space="preserve">Personnel </w:t>
            </w:r>
          </w:p>
        </w:tc>
        <w:tc>
          <w:tcPr>
            <w:tcW w:w="1454" w:type="dxa"/>
            <w:tcBorders>
              <w:top w:val="double" w:sz="4" w:space="0" w:color="auto"/>
              <w:left w:val="nil"/>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jc w:val="center"/>
              <w:rPr>
                <w:b/>
                <w:bCs/>
              </w:rPr>
            </w:pPr>
            <w:r w:rsidRPr="00753051">
              <w:rPr>
                <w:b/>
                <w:bCs/>
              </w:rPr>
              <w:t xml:space="preserve">Number of Personnel </w:t>
            </w:r>
          </w:p>
        </w:tc>
        <w:tc>
          <w:tcPr>
            <w:tcW w:w="1649" w:type="dxa"/>
            <w:tcBorders>
              <w:top w:val="double" w:sz="4" w:space="0" w:color="auto"/>
              <w:left w:val="nil"/>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jc w:val="center"/>
              <w:rPr>
                <w:b/>
                <w:bCs/>
              </w:rPr>
            </w:pPr>
            <w:r w:rsidRPr="00753051">
              <w:rPr>
                <w:b/>
                <w:bCs/>
              </w:rPr>
              <w:t>Time Requirement (hours)</w:t>
            </w:r>
          </w:p>
        </w:tc>
        <w:tc>
          <w:tcPr>
            <w:tcW w:w="1231" w:type="dxa"/>
            <w:tcBorders>
              <w:top w:val="double" w:sz="4" w:space="0" w:color="auto"/>
              <w:left w:val="nil"/>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jc w:val="center"/>
              <w:rPr>
                <w:b/>
                <w:bCs/>
              </w:rPr>
            </w:pPr>
            <w:r w:rsidRPr="00753051">
              <w:rPr>
                <w:b/>
                <w:bCs/>
              </w:rPr>
              <w:t>Total Hours</w:t>
            </w:r>
          </w:p>
        </w:tc>
        <w:tc>
          <w:tcPr>
            <w:tcW w:w="1620" w:type="dxa"/>
            <w:tcBorders>
              <w:top w:val="double" w:sz="4" w:space="0" w:color="auto"/>
              <w:left w:val="nil"/>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jc w:val="center"/>
              <w:rPr>
                <w:b/>
                <w:bCs/>
              </w:rPr>
            </w:pPr>
            <w:r w:rsidRPr="00753051">
              <w:rPr>
                <w:b/>
                <w:bCs/>
              </w:rPr>
              <w:t>Hourly Rate ($/hr)</w:t>
            </w:r>
          </w:p>
        </w:tc>
        <w:tc>
          <w:tcPr>
            <w:tcW w:w="1440" w:type="dxa"/>
            <w:tcBorders>
              <w:top w:val="double" w:sz="4" w:space="0" w:color="auto"/>
              <w:left w:val="nil"/>
              <w:bottom w:val="single" w:sz="4" w:space="0" w:color="auto"/>
              <w:right w:val="double" w:sz="4" w:space="0" w:color="auto"/>
            </w:tcBorders>
            <w:shd w:val="clear" w:color="auto" w:fill="auto"/>
            <w:noWrap/>
            <w:vAlign w:val="bottom"/>
            <w:hideMark/>
          </w:tcPr>
          <w:p w:rsidR="00851475" w:rsidRPr="00753051" w:rsidRDefault="00851475" w:rsidP="005613AD">
            <w:pPr>
              <w:widowControl/>
              <w:autoSpaceDE/>
              <w:autoSpaceDN/>
              <w:adjustRightInd/>
              <w:jc w:val="center"/>
              <w:rPr>
                <w:b/>
                <w:bCs/>
              </w:rPr>
            </w:pPr>
            <w:r w:rsidRPr="00753051">
              <w:rPr>
                <w:b/>
                <w:bCs/>
              </w:rPr>
              <w:t>Total</w:t>
            </w:r>
          </w:p>
        </w:tc>
      </w:tr>
      <w:tr w:rsidR="00851475" w:rsidRPr="00753051" w:rsidTr="00851475">
        <w:trPr>
          <w:trHeight w:val="324"/>
        </w:trPr>
        <w:tc>
          <w:tcPr>
            <w:tcW w:w="2161"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pPr>
            <w:r w:rsidRPr="00753051">
              <w:t>Technical Personnel</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3</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6</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18</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jc w:val="center"/>
            </w:pPr>
            <w:r w:rsidRPr="00753051">
              <w:t>98.20</w:t>
            </w:r>
          </w:p>
        </w:tc>
        <w:tc>
          <w:tcPr>
            <w:tcW w:w="1440" w:type="dxa"/>
            <w:tcBorders>
              <w:top w:val="single" w:sz="4" w:space="0" w:color="auto"/>
              <w:left w:val="nil"/>
              <w:bottom w:val="single" w:sz="4" w:space="0" w:color="auto"/>
              <w:right w:val="double" w:sz="4" w:space="0" w:color="auto"/>
            </w:tcBorders>
            <w:shd w:val="clear" w:color="auto" w:fill="auto"/>
            <w:noWrap/>
            <w:vAlign w:val="center"/>
            <w:hideMark/>
          </w:tcPr>
          <w:p w:rsidR="00851475" w:rsidRPr="00753051" w:rsidRDefault="00851475" w:rsidP="00851475">
            <w:pPr>
              <w:jc w:val="center"/>
            </w:pPr>
            <w:r w:rsidRPr="00753051">
              <w:t>$ 1,768</w:t>
            </w:r>
          </w:p>
        </w:tc>
      </w:tr>
      <w:tr w:rsidR="00851475" w:rsidRPr="00753051" w:rsidTr="00851475">
        <w:trPr>
          <w:trHeight w:val="293"/>
        </w:trPr>
        <w:tc>
          <w:tcPr>
            <w:tcW w:w="2161"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pPr>
            <w:r w:rsidRPr="00753051">
              <w:t>Managerial Personnel</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2</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6</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12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114.49</w:t>
            </w:r>
          </w:p>
        </w:tc>
        <w:tc>
          <w:tcPr>
            <w:tcW w:w="1440" w:type="dxa"/>
            <w:tcBorders>
              <w:top w:val="single" w:sz="4" w:space="0" w:color="auto"/>
              <w:left w:val="nil"/>
              <w:bottom w:val="single" w:sz="4" w:space="0" w:color="auto"/>
              <w:right w:val="double" w:sz="4" w:space="0" w:color="auto"/>
            </w:tcBorders>
            <w:shd w:val="clear" w:color="auto" w:fill="auto"/>
            <w:noWrap/>
            <w:vAlign w:val="center"/>
            <w:hideMark/>
          </w:tcPr>
          <w:p w:rsidR="00851475" w:rsidRPr="00753051" w:rsidRDefault="00851475" w:rsidP="00851475">
            <w:pPr>
              <w:jc w:val="center"/>
            </w:pPr>
            <w:r w:rsidRPr="00753051">
              <w:t>$ 1,374</w:t>
            </w:r>
          </w:p>
        </w:tc>
      </w:tr>
      <w:tr w:rsidR="00851475" w:rsidRPr="00753051" w:rsidTr="00851475">
        <w:trPr>
          <w:trHeight w:val="293"/>
        </w:trPr>
        <w:tc>
          <w:tcPr>
            <w:tcW w:w="2161"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rsidR="00851475" w:rsidRPr="00753051" w:rsidRDefault="00851475" w:rsidP="005613AD">
            <w:pPr>
              <w:widowControl/>
              <w:autoSpaceDE/>
              <w:autoSpaceDN/>
              <w:adjustRightInd/>
            </w:pPr>
            <w:r w:rsidRPr="00753051">
              <w:t>Total</w:t>
            </w:r>
          </w:p>
        </w:tc>
        <w:tc>
          <w:tcPr>
            <w:tcW w:w="1454" w:type="dxa"/>
            <w:tcBorders>
              <w:top w:val="doub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5</w:t>
            </w:r>
          </w:p>
        </w:tc>
        <w:tc>
          <w:tcPr>
            <w:tcW w:w="1649" w:type="dxa"/>
            <w:tcBorders>
              <w:top w:val="doub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jc w:val="center"/>
            </w:pPr>
          </w:p>
        </w:tc>
        <w:tc>
          <w:tcPr>
            <w:tcW w:w="1231" w:type="dxa"/>
            <w:tcBorders>
              <w:top w:val="doub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r w:rsidRPr="00753051">
              <w:t>30</w:t>
            </w:r>
          </w:p>
        </w:tc>
        <w:tc>
          <w:tcPr>
            <w:tcW w:w="1620" w:type="dxa"/>
            <w:tcBorders>
              <w:top w:val="doub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851475">
            <w:pPr>
              <w:widowControl/>
              <w:autoSpaceDE/>
              <w:autoSpaceDN/>
              <w:adjustRightInd/>
              <w:jc w:val="center"/>
            </w:pPr>
          </w:p>
        </w:tc>
        <w:tc>
          <w:tcPr>
            <w:tcW w:w="1440" w:type="dxa"/>
            <w:tcBorders>
              <w:top w:val="double" w:sz="4" w:space="0" w:color="auto"/>
              <w:left w:val="nil"/>
              <w:bottom w:val="single" w:sz="4" w:space="0" w:color="auto"/>
              <w:right w:val="single" w:sz="4" w:space="0" w:color="auto"/>
            </w:tcBorders>
            <w:shd w:val="clear" w:color="auto" w:fill="auto"/>
            <w:noWrap/>
            <w:vAlign w:val="center"/>
            <w:hideMark/>
          </w:tcPr>
          <w:p w:rsidR="00851475" w:rsidRPr="00753051" w:rsidRDefault="00851475" w:rsidP="00753051">
            <w:pPr>
              <w:jc w:val="center"/>
            </w:pPr>
            <w:r w:rsidRPr="00753051">
              <w:t>$3,14</w:t>
            </w:r>
            <w:r w:rsidR="00753051">
              <w:t>1</w:t>
            </w:r>
          </w:p>
        </w:tc>
      </w:tr>
    </w:tbl>
    <w:p w:rsidR="0048268B" w:rsidRPr="00753051" w:rsidRDefault="0048268B" w:rsidP="00851475">
      <w:pPr>
        <w:ind w:left="-180" w:right="-270"/>
        <w:rPr>
          <w:sz w:val="20"/>
          <w:szCs w:val="20"/>
        </w:rPr>
      </w:pPr>
    </w:p>
    <w:sectPr w:rsidR="0048268B" w:rsidRPr="00753051" w:rsidSect="00217ABE">
      <w:pgSz w:w="15840" w:h="12240" w:orient="landscape" w:code="1"/>
      <w:pgMar w:top="1440" w:right="720" w:bottom="1440" w:left="72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FD3" w:rsidRDefault="00FC7FD3">
      <w:r>
        <w:separator/>
      </w:r>
    </w:p>
  </w:endnote>
  <w:endnote w:type="continuationSeparator" w:id="0">
    <w:p w:rsidR="00FC7FD3" w:rsidRDefault="00FC7F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6E" w:rsidRDefault="00217ABE">
    <w:pPr>
      <w:pStyle w:val="Footer"/>
      <w:framePr w:wrap="around" w:vAnchor="text" w:hAnchor="margin" w:xAlign="center" w:y="1"/>
      <w:rPr>
        <w:rStyle w:val="PageNumber"/>
      </w:rPr>
    </w:pPr>
    <w:r>
      <w:rPr>
        <w:rStyle w:val="PageNumber"/>
      </w:rPr>
      <w:fldChar w:fldCharType="begin"/>
    </w:r>
    <w:r w:rsidR="007A4B6E">
      <w:rPr>
        <w:rStyle w:val="PageNumber"/>
      </w:rPr>
      <w:instrText xml:space="preserve">PAGE  </w:instrText>
    </w:r>
    <w:r>
      <w:rPr>
        <w:rStyle w:val="PageNumber"/>
      </w:rPr>
      <w:fldChar w:fldCharType="end"/>
    </w:r>
  </w:p>
  <w:p w:rsidR="007A4B6E" w:rsidRDefault="007A4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FD3" w:rsidRDefault="00FC7FD3">
      <w:r>
        <w:separator/>
      </w:r>
    </w:p>
  </w:footnote>
  <w:footnote w:type="continuationSeparator" w:id="0">
    <w:p w:rsidR="00FC7FD3" w:rsidRDefault="00FC7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6E" w:rsidRDefault="00217ABE">
    <w:pPr>
      <w:pStyle w:val="Header"/>
      <w:framePr w:wrap="around" w:vAnchor="text" w:hAnchor="margin" w:xAlign="center" w:y="1"/>
      <w:rPr>
        <w:rStyle w:val="PageNumber"/>
      </w:rPr>
    </w:pPr>
    <w:r>
      <w:rPr>
        <w:rStyle w:val="PageNumber"/>
      </w:rPr>
      <w:fldChar w:fldCharType="begin"/>
    </w:r>
    <w:r w:rsidR="007A4B6E">
      <w:rPr>
        <w:rStyle w:val="PageNumber"/>
      </w:rPr>
      <w:instrText xml:space="preserve">PAGE  </w:instrText>
    </w:r>
    <w:r>
      <w:rPr>
        <w:rStyle w:val="PageNumber"/>
      </w:rPr>
      <w:fldChar w:fldCharType="end"/>
    </w:r>
  </w:p>
  <w:p w:rsidR="007A4B6E" w:rsidRDefault="007A4B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B6E" w:rsidRDefault="00217ABE">
    <w:pPr>
      <w:pStyle w:val="Header"/>
      <w:framePr w:wrap="around" w:vAnchor="text" w:hAnchor="margin" w:xAlign="center" w:y="1"/>
      <w:rPr>
        <w:rStyle w:val="PageNumber"/>
      </w:rPr>
    </w:pPr>
    <w:r>
      <w:rPr>
        <w:rStyle w:val="PageNumber"/>
      </w:rPr>
      <w:fldChar w:fldCharType="begin"/>
    </w:r>
    <w:r w:rsidR="007A4B6E">
      <w:rPr>
        <w:rStyle w:val="PageNumber"/>
      </w:rPr>
      <w:instrText xml:space="preserve">PAGE  </w:instrText>
    </w:r>
    <w:r>
      <w:rPr>
        <w:rStyle w:val="PageNumber"/>
      </w:rPr>
      <w:fldChar w:fldCharType="separate"/>
    </w:r>
    <w:r w:rsidR="001E1675">
      <w:rPr>
        <w:rStyle w:val="PageNumber"/>
        <w:noProof/>
      </w:rPr>
      <w:t>14</w:t>
    </w:r>
    <w:r>
      <w:rPr>
        <w:rStyle w:val="PageNumber"/>
      </w:rPr>
      <w:fldChar w:fldCharType="end"/>
    </w:r>
  </w:p>
  <w:p w:rsidR="007A4B6E" w:rsidRDefault="007A4B6E">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0AAC1C38"/>
    <w:multiLevelType w:val="hybridMultilevel"/>
    <w:tmpl w:val="225EB6A4"/>
    <w:lvl w:ilvl="0" w:tplc="36F6D23E">
      <w:start w:val="1"/>
      <w:numFmt w:val="low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nsid w:val="0C1774AD"/>
    <w:multiLevelType w:val="hybridMultilevel"/>
    <w:tmpl w:val="BA468BD0"/>
    <w:lvl w:ilvl="0" w:tplc="4E9E8DF0">
      <w:start w:val="7"/>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
    <w:nsid w:val="14164D85"/>
    <w:multiLevelType w:val="hybridMultilevel"/>
    <w:tmpl w:val="CEF4E9A2"/>
    <w:lvl w:ilvl="0" w:tplc="993287B0">
      <w:start w:val="1"/>
      <w:numFmt w:val="low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5">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nsid w:val="1D991B02"/>
    <w:multiLevelType w:val="hybridMultilevel"/>
    <w:tmpl w:val="158883C8"/>
    <w:lvl w:ilvl="0" w:tplc="CFEC127A">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9">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3">
    <w:nsid w:val="3717202E"/>
    <w:multiLevelType w:val="hybridMultilevel"/>
    <w:tmpl w:val="3AE828B6"/>
    <w:lvl w:ilvl="0" w:tplc="BE3452C8">
      <w:start w:val="1"/>
      <w:numFmt w:val="low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4">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4A8924B1"/>
    <w:multiLevelType w:val="hybridMultilevel"/>
    <w:tmpl w:val="D018DDA2"/>
    <w:lvl w:ilvl="0" w:tplc="094628D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4">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7"/>
  </w:num>
  <w:num w:numId="6">
    <w:abstractNumId w:val="21"/>
  </w:num>
  <w:num w:numId="7">
    <w:abstractNumId w:val="31"/>
  </w:num>
  <w:num w:numId="8">
    <w:abstractNumId w:val="10"/>
  </w:num>
  <w:num w:numId="9">
    <w:abstractNumId w:val="24"/>
  </w:num>
  <w:num w:numId="10">
    <w:abstractNumId w:val="20"/>
  </w:num>
  <w:num w:numId="11">
    <w:abstractNumId w:val="32"/>
  </w:num>
  <w:num w:numId="12">
    <w:abstractNumId w:val="17"/>
  </w:num>
  <w:num w:numId="13">
    <w:abstractNumId w:val="26"/>
  </w:num>
  <w:num w:numId="14">
    <w:abstractNumId w:val="30"/>
  </w:num>
  <w:num w:numId="15">
    <w:abstractNumId w:val="19"/>
  </w:num>
  <w:num w:numId="16">
    <w:abstractNumId w:val="15"/>
  </w:num>
  <w:num w:numId="17">
    <w:abstractNumId w:val="28"/>
  </w:num>
  <w:num w:numId="18">
    <w:abstractNumId w:val="22"/>
  </w:num>
  <w:num w:numId="19">
    <w:abstractNumId w:val="9"/>
  </w:num>
  <w:num w:numId="20">
    <w:abstractNumId w:val="29"/>
  </w:num>
  <w:num w:numId="21">
    <w:abstractNumId w:val="34"/>
  </w:num>
  <w:num w:numId="22">
    <w:abstractNumId w:val="33"/>
  </w:num>
  <w:num w:numId="23">
    <w:abstractNumId w:val="18"/>
  </w:num>
  <w:num w:numId="24">
    <w:abstractNumId w:val="11"/>
  </w:num>
  <w:num w:numId="25">
    <w:abstractNumId w:val="25"/>
  </w:num>
  <w:num w:numId="26">
    <w:abstractNumId w:val="16"/>
  </w:num>
  <w:num w:numId="27">
    <w:abstractNumId w:val="13"/>
  </w:num>
  <w:num w:numId="28">
    <w:abstractNumId w:val="23"/>
  </w:num>
  <w:num w:numId="29">
    <w:abstractNumId w:val="12"/>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7EE4"/>
    <w:rsid w:val="0003026F"/>
    <w:rsid w:val="00045146"/>
    <w:rsid w:val="00053549"/>
    <w:rsid w:val="001B3469"/>
    <w:rsid w:val="001C727A"/>
    <w:rsid w:val="001E1675"/>
    <w:rsid w:val="001E1707"/>
    <w:rsid w:val="00217ABE"/>
    <w:rsid w:val="002523F1"/>
    <w:rsid w:val="00321CD6"/>
    <w:rsid w:val="00396E96"/>
    <w:rsid w:val="003A47A2"/>
    <w:rsid w:val="0048268B"/>
    <w:rsid w:val="005613AD"/>
    <w:rsid w:val="005C61C9"/>
    <w:rsid w:val="00631A8B"/>
    <w:rsid w:val="00641A80"/>
    <w:rsid w:val="0066643F"/>
    <w:rsid w:val="006B19CD"/>
    <w:rsid w:val="006D250F"/>
    <w:rsid w:val="00753051"/>
    <w:rsid w:val="007627C5"/>
    <w:rsid w:val="007A4B6E"/>
    <w:rsid w:val="007D7EE4"/>
    <w:rsid w:val="007F3DCF"/>
    <w:rsid w:val="00816231"/>
    <w:rsid w:val="00844ED9"/>
    <w:rsid w:val="00851475"/>
    <w:rsid w:val="00865D9B"/>
    <w:rsid w:val="00873153"/>
    <w:rsid w:val="009429D6"/>
    <w:rsid w:val="009D4B86"/>
    <w:rsid w:val="009D77C6"/>
    <w:rsid w:val="009F496C"/>
    <w:rsid w:val="00A5327E"/>
    <w:rsid w:val="00B61FBD"/>
    <w:rsid w:val="00B77137"/>
    <w:rsid w:val="00C76A32"/>
    <w:rsid w:val="00CD799C"/>
    <w:rsid w:val="00D14AA7"/>
    <w:rsid w:val="00DE4BAA"/>
    <w:rsid w:val="00EE2951"/>
    <w:rsid w:val="00FC7F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7ABE"/>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17ABE"/>
  </w:style>
  <w:style w:type="paragraph" w:customStyle="1" w:styleId="WPNormal">
    <w:name w:val="WP_Normal"/>
    <w:basedOn w:val="Normal"/>
    <w:rsid w:val="00217ABE"/>
    <w:rPr>
      <w:rFonts w:ascii="Times New Roman CYR" w:hAnsi="Times New Roman CYR" w:cs="Times New Roman CYR"/>
      <w:b/>
      <w:bCs/>
    </w:rPr>
  </w:style>
  <w:style w:type="paragraph" w:customStyle="1" w:styleId="Level1">
    <w:name w:val="Level 1"/>
    <w:basedOn w:val="Normal"/>
    <w:rsid w:val="00217ABE"/>
    <w:pPr>
      <w:numPr>
        <w:numId w:val="3"/>
      </w:numPr>
      <w:ind w:left="240" w:hanging="240"/>
      <w:outlineLvl w:val="0"/>
    </w:pPr>
  </w:style>
  <w:style w:type="paragraph" w:styleId="Header">
    <w:name w:val="header"/>
    <w:basedOn w:val="Normal"/>
    <w:rsid w:val="00217ABE"/>
    <w:pPr>
      <w:tabs>
        <w:tab w:val="center" w:pos="4320"/>
        <w:tab w:val="right" w:pos="8640"/>
      </w:tabs>
    </w:pPr>
  </w:style>
  <w:style w:type="paragraph" w:styleId="Footer">
    <w:name w:val="footer"/>
    <w:basedOn w:val="Normal"/>
    <w:rsid w:val="00217ABE"/>
    <w:pPr>
      <w:tabs>
        <w:tab w:val="center" w:pos="4320"/>
        <w:tab w:val="right" w:pos="8640"/>
      </w:tabs>
    </w:pPr>
  </w:style>
  <w:style w:type="character" w:customStyle="1" w:styleId="1">
    <w:name w:val="1"/>
    <w:rsid w:val="00217ABE"/>
  </w:style>
  <w:style w:type="character" w:styleId="Hyperlink">
    <w:name w:val="Hyperlink"/>
    <w:basedOn w:val="DefaultParagraphFont"/>
    <w:rsid w:val="00217ABE"/>
    <w:rPr>
      <w:color w:val="0000FF"/>
      <w:u w:val="single"/>
    </w:rPr>
  </w:style>
  <w:style w:type="character" w:styleId="PageNumber">
    <w:name w:val="page number"/>
    <w:basedOn w:val="DefaultParagraphFont"/>
    <w:rsid w:val="00217ABE"/>
  </w:style>
  <w:style w:type="character" w:styleId="FollowedHyperlink">
    <w:name w:val="FollowedHyperlink"/>
    <w:basedOn w:val="DefaultParagraphFont"/>
    <w:rsid w:val="00217ABE"/>
    <w:rPr>
      <w:color w:val="800080"/>
      <w:u w:val="single"/>
    </w:rPr>
  </w:style>
  <w:style w:type="paragraph" w:styleId="BalloonText">
    <w:name w:val="Balloon Text"/>
    <w:basedOn w:val="Normal"/>
    <w:semiHidden/>
    <w:rsid w:val="006B19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7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41771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ckerwin</cp:lastModifiedBy>
  <cp:revision>5</cp:revision>
  <cp:lastPrinted>2011-03-30T16:12:00Z</cp:lastPrinted>
  <dcterms:created xsi:type="dcterms:W3CDTF">2011-04-07T19:46:00Z</dcterms:created>
  <dcterms:modified xsi:type="dcterms:W3CDTF">2011-04-14T18:52:00Z</dcterms:modified>
</cp:coreProperties>
</file>