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F1" w:rsidRDefault="00F06866" w:rsidP="004827F1">
      <w:pPr>
        <w:pStyle w:val="Heading2"/>
        <w:tabs>
          <w:tab w:val="left" w:pos="900"/>
        </w:tabs>
        <w:ind w:right="-180"/>
        <w:rPr>
          <w:b w:val="0"/>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9239AA" w:rsidRDefault="00703760"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CA4F4B">
        <w:t>National Tanks Conference and Expo</w:t>
      </w:r>
      <w:r w:rsidR="00095E1B">
        <w:t>—overall conference evaluation</w:t>
      </w:r>
    </w:p>
    <w:p w:rsidR="00CA4F4B" w:rsidRDefault="00CA4F4B"/>
    <w:p w:rsidR="001B0AAA" w:rsidRDefault="00F15956">
      <w:pPr>
        <w:rPr>
          <w:b/>
        </w:rPr>
      </w:pPr>
      <w:r>
        <w:rPr>
          <w:b/>
        </w:rPr>
        <w:t>PURPOSE</w:t>
      </w:r>
      <w:r w:rsidRPr="009239AA">
        <w:rPr>
          <w:b/>
        </w:rPr>
        <w:t>:</w:t>
      </w:r>
      <w:r w:rsidR="00C14CC4" w:rsidRPr="009239AA">
        <w:rPr>
          <w:b/>
        </w:rPr>
        <w:t xml:space="preserve">  </w:t>
      </w:r>
    </w:p>
    <w:p w:rsidR="003E65E9" w:rsidRPr="003E65E9" w:rsidRDefault="003E65E9" w:rsidP="00CA4F4B">
      <w:r w:rsidRPr="003E65E9">
        <w:t>The National Tanks Conference</w:t>
      </w:r>
      <w:r w:rsidR="00180DD7">
        <w:t xml:space="preserve"> (held every 18 months)</w:t>
      </w:r>
      <w:r w:rsidRPr="003E65E9">
        <w:t xml:space="preserve"> is the primary forum for federal, state and</w:t>
      </w:r>
      <w:r>
        <w:t xml:space="preserve"> tribal tank regulators to meet, learn</w:t>
      </w:r>
      <w:r w:rsidRPr="003E65E9">
        <w:t xml:space="preserve"> and discuss current issues and upcoming developments that affect the management and implementation of tank programs.</w:t>
      </w:r>
      <w:r>
        <w:rPr>
          <w:color w:val="1F497D"/>
        </w:rPr>
        <w:t xml:space="preserve"> </w:t>
      </w:r>
      <w:r w:rsidRPr="003E65E9">
        <w:t>Evaluations of the conference, are used to evaluate it effectiveness and seek input for future conferences.</w:t>
      </w:r>
      <w:r w:rsidR="00180DD7">
        <w:t xml:space="preserve">  There is an evaluation for the actual overall conference and one for each of the sessions held.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BD6CB1">
      <w:r>
        <w:rPr>
          <w:color w:val="000000"/>
        </w:rPr>
        <w:t>The respondents for the conference consists of technical, scientific, and managerial personnel from state, federal, and tribal regulatory agencies and national trade associations from across the U.S. and its six territories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4F4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Name:_______</w:t>
      </w:r>
      <w:r w:rsidR="00180DD7">
        <w:t>Julie</w:t>
      </w:r>
      <w:proofErr w:type="spellEnd"/>
      <w:r w:rsidR="00180DD7">
        <w:t xml:space="preserve"> Beasley</w:t>
      </w:r>
      <w:r>
        <w:t>____</w:t>
      </w:r>
      <w:r w:rsidR="00180DD7">
        <w:t>5/6/13</w:t>
      </w:r>
      <w:r>
        <w:t>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E51B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9E51BD">
        <w:t>x</w:t>
      </w:r>
      <w:r>
        <w:t>] No</w:t>
      </w:r>
    </w:p>
    <w:p w:rsidR="003E65E9" w:rsidRDefault="003E65E9" w:rsidP="00C86E91">
      <w:pPr>
        <w:pStyle w:val="ListParagraph"/>
        <w:ind w:left="0"/>
        <w:rPr>
          <w:b/>
        </w:rPr>
      </w:pPr>
    </w:p>
    <w:p w:rsidR="003E65E9" w:rsidRDefault="003E65E9" w:rsidP="00C86E91">
      <w:pPr>
        <w:pStyle w:val="ListParagraph"/>
        <w:ind w:left="0"/>
        <w:rPr>
          <w:b/>
        </w:rPr>
      </w:pPr>
    </w:p>
    <w:p w:rsidR="00E86D09" w:rsidRDefault="00E86D09"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 </w:t>
      </w:r>
      <w:r w:rsidR="009E51BD">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9E51BD">
        <w:trPr>
          <w:trHeight w:val="647"/>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Pr="009E51BD" w:rsidRDefault="005E1872" w:rsidP="00843796">
            <w:pPr>
              <w:rPr>
                <w:sz w:val="20"/>
                <w:szCs w:val="20"/>
              </w:rPr>
            </w:pPr>
            <w:r>
              <w:rPr>
                <w:sz w:val="20"/>
                <w:szCs w:val="20"/>
              </w:rPr>
              <w:t>State, local and tribal governments</w:t>
            </w:r>
          </w:p>
        </w:tc>
        <w:tc>
          <w:tcPr>
            <w:tcW w:w="1530" w:type="dxa"/>
          </w:tcPr>
          <w:p w:rsidR="006832D9" w:rsidRPr="009E51BD" w:rsidRDefault="009E51BD" w:rsidP="00843796">
            <w:pPr>
              <w:rPr>
                <w:sz w:val="16"/>
                <w:szCs w:val="16"/>
              </w:rPr>
            </w:pPr>
            <w:r>
              <w:rPr>
                <w:sz w:val="16"/>
                <w:szCs w:val="16"/>
              </w:rPr>
              <w:t>100 (20% of 500 conferees)</w:t>
            </w:r>
          </w:p>
        </w:tc>
        <w:tc>
          <w:tcPr>
            <w:tcW w:w="1710" w:type="dxa"/>
          </w:tcPr>
          <w:p w:rsidR="006832D9" w:rsidRPr="009E51BD" w:rsidRDefault="009E51BD" w:rsidP="00843796">
            <w:pPr>
              <w:rPr>
                <w:sz w:val="16"/>
                <w:szCs w:val="16"/>
              </w:rPr>
            </w:pPr>
            <w:r>
              <w:rPr>
                <w:sz w:val="16"/>
                <w:szCs w:val="16"/>
              </w:rPr>
              <w:t>5 min.</w:t>
            </w:r>
            <w:r w:rsidR="005E1872">
              <w:rPr>
                <w:sz w:val="16"/>
                <w:szCs w:val="16"/>
              </w:rPr>
              <w:t xml:space="preserve"> </w:t>
            </w:r>
          </w:p>
        </w:tc>
        <w:tc>
          <w:tcPr>
            <w:tcW w:w="1003" w:type="dxa"/>
          </w:tcPr>
          <w:p w:rsidR="006832D9" w:rsidRDefault="005E1872" w:rsidP="009E51BD">
            <w:pPr>
              <w:rPr>
                <w:sz w:val="16"/>
                <w:szCs w:val="16"/>
              </w:rPr>
            </w:pPr>
            <w:r>
              <w:rPr>
                <w:sz w:val="16"/>
                <w:szCs w:val="16"/>
              </w:rPr>
              <w:t>500 min</w:t>
            </w:r>
            <w:r w:rsidR="009E51BD">
              <w:rPr>
                <w:sz w:val="16"/>
                <w:szCs w:val="16"/>
              </w:rPr>
              <w:t>.</w:t>
            </w:r>
          </w:p>
          <w:p w:rsidR="005E1872" w:rsidRPr="009E51BD" w:rsidRDefault="005E1872" w:rsidP="009E51BD">
            <w:pPr>
              <w:rPr>
                <w:sz w:val="16"/>
                <w:szCs w:val="16"/>
              </w:rPr>
            </w:pPr>
            <w:r>
              <w:rPr>
                <w:sz w:val="16"/>
                <w:szCs w:val="16"/>
              </w:rPr>
              <w:t>8.30 hrs</w:t>
            </w:r>
          </w:p>
        </w:tc>
      </w:tr>
      <w:tr w:rsidR="00EF2095" w:rsidTr="00EF2095">
        <w:trPr>
          <w:trHeight w:val="274"/>
        </w:trPr>
        <w:tc>
          <w:tcPr>
            <w:tcW w:w="5418" w:type="dxa"/>
          </w:tcPr>
          <w:p w:rsidR="006832D9" w:rsidRPr="009E51BD" w:rsidRDefault="006832D9" w:rsidP="00843796">
            <w:pPr>
              <w:rPr>
                <w:sz w:val="20"/>
                <w:szCs w:val="20"/>
              </w:rPr>
            </w:pPr>
          </w:p>
        </w:tc>
        <w:tc>
          <w:tcPr>
            <w:tcW w:w="1530" w:type="dxa"/>
          </w:tcPr>
          <w:p w:rsidR="006832D9" w:rsidRPr="009E51BD" w:rsidRDefault="006832D9" w:rsidP="00843796">
            <w:pPr>
              <w:rPr>
                <w:sz w:val="16"/>
                <w:szCs w:val="16"/>
              </w:rPr>
            </w:pPr>
          </w:p>
        </w:tc>
        <w:tc>
          <w:tcPr>
            <w:tcW w:w="1710" w:type="dxa"/>
          </w:tcPr>
          <w:p w:rsidR="006832D9" w:rsidRPr="009E51BD" w:rsidRDefault="006832D9" w:rsidP="00843796">
            <w:pPr>
              <w:rPr>
                <w:sz w:val="16"/>
                <w:szCs w:val="16"/>
              </w:rPr>
            </w:pPr>
          </w:p>
        </w:tc>
        <w:tc>
          <w:tcPr>
            <w:tcW w:w="1003" w:type="dxa"/>
          </w:tcPr>
          <w:p w:rsidR="006832D9" w:rsidRPr="009E51BD" w:rsidRDefault="006832D9" w:rsidP="005E1872">
            <w:pPr>
              <w:rPr>
                <w:sz w:val="16"/>
                <w:szCs w:val="16"/>
              </w:rPr>
            </w:pPr>
          </w:p>
        </w:tc>
      </w:tr>
      <w:tr w:rsidR="00EF2095" w:rsidTr="005E1872">
        <w:trPr>
          <w:trHeight w:val="260"/>
        </w:trPr>
        <w:tc>
          <w:tcPr>
            <w:tcW w:w="5418" w:type="dxa"/>
          </w:tcPr>
          <w:p w:rsidR="006832D9" w:rsidRPr="00F6240A" w:rsidRDefault="006832D9" w:rsidP="00843796">
            <w:pPr>
              <w:rPr>
                <w:b/>
              </w:rPr>
            </w:pPr>
            <w:r>
              <w:rPr>
                <w:b/>
              </w:rPr>
              <w:t>Totals</w:t>
            </w:r>
          </w:p>
        </w:tc>
        <w:tc>
          <w:tcPr>
            <w:tcW w:w="1530" w:type="dxa"/>
          </w:tcPr>
          <w:p w:rsidR="006832D9" w:rsidRPr="00F6240A" w:rsidRDefault="0044414F" w:rsidP="00843796">
            <w:pPr>
              <w:rPr>
                <w:b/>
              </w:rPr>
            </w:pPr>
            <w:r>
              <w:rPr>
                <w:b/>
              </w:rPr>
              <w:t>1</w:t>
            </w:r>
            <w:r w:rsidR="005E1872">
              <w:rPr>
                <w:b/>
              </w:rPr>
              <w:t>00</w:t>
            </w:r>
          </w:p>
        </w:tc>
        <w:tc>
          <w:tcPr>
            <w:tcW w:w="1710" w:type="dxa"/>
          </w:tcPr>
          <w:p w:rsidR="006832D9" w:rsidRDefault="00095E1B" w:rsidP="00843796">
            <w:r>
              <w:t>5</w:t>
            </w:r>
            <w:r w:rsidR="005E1872">
              <w:t xml:space="preserve"> min</w:t>
            </w:r>
          </w:p>
        </w:tc>
        <w:tc>
          <w:tcPr>
            <w:tcW w:w="1003" w:type="dxa"/>
          </w:tcPr>
          <w:p w:rsidR="006832D9" w:rsidRPr="00F6240A" w:rsidRDefault="00095E1B" w:rsidP="00843796">
            <w:pPr>
              <w:rPr>
                <w:b/>
              </w:rPr>
            </w:pPr>
            <w:r>
              <w:rPr>
                <w:b/>
              </w:rPr>
              <w:t>8.3</w:t>
            </w:r>
            <w:r w:rsidR="005E1872">
              <w:rPr>
                <w:b/>
              </w:rPr>
              <w:t xml:space="preserve"> hrs</w:t>
            </w:r>
          </w:p>
        </w:tc>
      </w:tr>
    </w:tbl>
    <w:p w:rsidR="00F3170F" w:rsidRDefault="00F3170F" w:rsidP="00F3170F"/>
    <w:p w:rsidR="00441434" w:rsidRDefault="00441434"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5E1872">
        <w:t>It will take a</w:t>
      </w:r>
      <w:r w:rsidR="00DE37B9">
        <w:t xml:space="preserve">pproximately </w:t>
      </w:r>
      <w:r w:rsidR="00095E1B">
        <w:t>12</w:t>
      </w:r>
      <w:r w:rsidR="00DE37B9">
        <w:t xml:space="preserve"> hrs to review results</w:t>
      </w:r>
      <w:r w:rsidR="00F34D69">
        <w:t xml:space="preserve"> f</w:t>
      </w:r>
      <w:r w:rsidR="00095E1B">
        <w:t xml:space="preserve">or the conference evaluations, </w:t>
      </w:r>
      <w:r w:rsidR="00DE37B9">
        <w:t xml:space="preserve">by a federal employee.  </w:t>
      </w:r>
    </w:p>
    <w:p w:rsidR="004827F1" w:rsidRPr="00133087" w:rsidRDefault="004827F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590A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E020AB">
        <w:t xml:space="preserve">  </w:t>
      </w:r>
    </w:p>
    <w:p w:rsidR="0044414F" w:rsidRDefault="0044414F" w:rsidP="001B0AAA"/>
    <w:p w:rsidR="0044414F" w:rsidRPr="0044414F" w:rsidRDefault="0044414F" w:rsidP="0044414F">
      <w:pPr>
        <w:rPr>
          <w:color w:val="000000" w:themeColor="text1"/>
        </w:rPr>
      </w:pPr>
      <w:r w:rsidRPr="0044414F">
        <w:rPr>
          <w:color w:val="000000" w:themeColor="text1"/>
        </w:rPr>
        <w:t>We have a registration list that provides the contact information for attendees.  We plan to send the survey to all 500 attendees and anticipate about a 20% response rate.</w:t>
      </w:r>
    </w:p>
    <w:p w:rsidR="0044414F" w:rsidRDefault="0044414F"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445137">
        <w:t>x</w:t>
      </w:r>
      <w:r>
        <w:t>] Mail</w:t>
      </w:r>
      <w:r w:rsidR="001B0AAA">
        <w:t xml:space="preserve"> </w:t>
      </w:r>
    </w:p>
    <w:p w:rsidR="001B0AAA" w:rsidRDefault="00A403BB" w:rsidP="001B0AAA">
      <w:pPr>
        <w:ind w:left="720"/>
      </w:pPr>
      <w:r>
        <w:t>[</w:t>
      </w:r>
      <w:r w:rsidR="00445137">
        <w:t>x</w:t>
      </w:r>
      <w:r w:rsidR="001B0AAA">
        <w:t xml:space="preserve"> </w:t>
      </w:r>
      <w:r>
        <w:t>] Other, Explain</w:t>
      </w:r>
    </w:p>
    <w:p w:rsidR="0069663E" w:rsidRDefault="0069663E" w:rsidP="001B0AAA">
      <w:pPr>
        <w:ind w:left="720"/>
      </w:pPr>
    </w:p>
    <w:p w:rsidR="0069663E" w:rsidRDefault="0069663E" w:rsidP="001B0AAA">
      <w:pPr>
        <w:ind w:left="720"/>
      </w:pPr>
      <w:r>
        <w:t xml:space="preserve">Conference attendees will receive the survey and may drop it in a collection box. </w:t>
      </w:r>
    </w:p>
    <w:p w:rsidR="00133087" w:rsidRDefault="00133087" w:rsidP="001B0AAA">
      <w:pPr>
        <w:ind w:left="720"/>
      </w:pPr>
    </w:p>
    <w:p w:rsidR="00F24CFC" w:rsidRDefault="00F24CFC" w:rsidP="00F24CFC">
      <w:pPr>
        <w:pStyle w:val="ListParagraph"/>
        <w:numPr>
          <w:ilvl w:val="0"/>
          <w:numId w:val="17"/>
        </w:numPr>
      </w:pPr>
      <w:r>
        <w:t xml:space="preserve">Will interviewers or facilitators be used?  [ </w:t>
      </w:r>
      <w:r w:rsidR="00133087">
        <w:t>x</w:t>
      </w:r>
      <w:r>
        <w:t xml:space="preserve"> </w:t>
      </w:r>
      <w:r w:rsidR="00133087">
        <w:t xml:space="preserve">] Yes [ </w:t>
      </w:r>
      <w:r>
        <w:t>] No</w:t>
      </w:r>
    </w:p>
    <w:p w:rsidR="003E65E9" w:rsidRDefault="003E65E9" w:rsidP="00F24CFC">
      <w:pPr>
        <w:pStyle w:val="ListParagraph"/>
        <w:ind w:left="360"/>
      </w:pPr>
    </w:p>
    <w:p w:rsidR="00FB0444" w:rsidRDefault="00F24CFC">
      <w:pPr>
        <w:pStyle w:val="ListParagraph"/>
        <w:ind w:left="360"/>
        <w:rPr>
          <w:b/>
        </w:rPr>
      </w:pPr>
      <w:r w:rsidRPr="00F24CFC">
        <w:rPr>
          <w:b/>
        </w:rPr>
        <w:t>Please make sure that all instruments, instructions, and scripts are submitted with the request.</w:t>
      </w:r>
    </w:p>
    <w:sectPr w:rsidR="00FB044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444" w:rsidRDefault="00FB0444">
      <w:r>
        <w:separator/>
      </w:r>
    </w:p>
  </w:endnote>
  <w:endnote w:type="continuationSeparator" w:id="0">
    <w:p w:rsidR="00FB0444" w:rsidRDefault="00FB0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AB" w:rsidRDefault="00703760">
    <w:pPr>
      <w:pStyle w:val="Footer"/>
      <w:tabs>
        <w:tab w:val="clear" w:pos="8640"/>
        <w:tab w:val="right" w:pos="9000"/>
      </w:tabs>
      <w:jc w:val="center"/>
      <w:rPr>
        <w:iCs/>
        <w:sz w:val="20"/>
        <w:szCs w:val="20"/>
      </w:rPr>
    </w:pPr>
    <w:r>
      <w:rPr>
        <w:rStyle w:val="PageNumber"/>
        <w:sz w:val="20"/>
        <w:szCs w:val="20"/>
      </w:rPr>
      <w:fldChar w:fldCharType="begin"/>
    </w:r>
    <w:r w:rsidR="00E020AB">
      <w:rPr>
        <w:rStyle w:val="PageNumber"/>
        <w:sz w:val="20"/>
        <w:szCs w:val="20"/>
      </w:rPr>
      <w:instrText xml:space="preserve"> PAGE </w:instrText>
    </w:r>
    <w:r>
      <w:rPr>
        <w:rStyle w:val="PageNumber"/>
        <w:sz w:val="20"/>
        <w:szCs w:val="20"/>
      </w:rPr>
      <w:fldChar w:fldCharType="separate"/>
    </w:r>
    <w:r w:rsidR="007825C8">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444" w:rsidRDefault="00FB0444">
      <w:r>
        <w:separator/>
      </w:r>
    </w:p>
  </w:footnote>
  <w:footnote w:type="continuationSeparator" w:id="0">
    <w:p w:rsidR="00FB0444" w:rsidRDefault="00FB0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AB" w:rsidRDefault="00E020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33794"/>
  </w:hdrShapeDefaults>
  <w:footnotePr>
    <w:footnote w:id="-1"/>
    <w:footnote w:id="0"/>
  </w:footnotePr>
  <w:endnotePr>
    <w:endnote w:id="-1"/>
    <w:endnote w:id="0"/>
  </w:endnotePr>
  <w:compat/>
  <w:rsids>
    <w:rsidRoot w:val="00D6383F"/>
    <w:rsid w:val="00023A57"/>
    <w:rsid w:val="000475F1"/>
    <w:rsid w:val="00047A64"/>
    <w:rsid w:val="00067329"/>
    <w:rsid w:val="00095E1B"/>
    <w:rsid w:val="000B2838"/>
    <w:rsid w:val="000C06EF"/>
    <w:rsid w:val="000D44CA"/>
    <w:rsid w:val="000E200B"/>
    <w:rsid w:val="000E649A"/>
    <w:rsid w:val="000F68BE"/>
    <w:rsid w:val="00133087"/>
    <w:rsid w:val="00180DD7"/>
    <w:rsid w:val="001927A4"/>
    <w:rsid w:val="00194AC6"/>
    <w:rsid w:val="001A23B0"/>
    <w:rsid w:val="001A25CC"/>
    <w:rsid w:val="001B0AAA"/>
    <w:rsid w:val="001C39F7"/>
    <w:rsid w:val="001C3A79"/>
    <w:rsid w:val="00237B48"/>
    <w:rsid w:val="00240F00"/>
    <w:rsid w:val="0024455B"/>
    <w:rsid w:val="0024521E"/>
    <w:rsid w:val="00263C3D"/>
    <w:rsid w:val="00274D0B"/>
    <w:rsid w:val="002B3C95"/>
    <w:rsid w:val="002D0B92"/>
    <w:rsid w:val="0036555E"/>
    <w:rsid w:val="003D5BBE"/>
    <w:rsid w:val="003E3C61"/>
    <w:rsid w:val="003E65E9"/>
    <w:rsid w:val="003F1C5B"/>
    <w:rsid w:val="00434E33"/>
    <w:rsid w:val="00441434"/>
    <w:rsid w:val="0044414F"/>
    <w:rsid w:val="00445137"/>
    <w:rsid w:val="0045264C"/>
    <w:rsid w:val="00473187"/>
    <w:rsid w:val="004827F1"/>
    <w:rsid w:val="004876EC"/>
    <w:rsid w:val="00496118"/>
    <w:rsid w:val="004D6E14"/>
    <w:rsid w:val="005009B0"/>
    <w:rsid w:val="00532239"/>
    <w:rsid w:val="00590A60"/>
    <w:rsid w:val="00597CFF"/>
    <w:rsid w:val="005A1006"/>
    <w:rsid w:val="005E1872"/>
    <w:rsid w:val="005E714A"/>
    <w:rsid w:val="006140A0"/>
    <w:rsid w:val="00636621"/>
    <w:rsid w:val="00642B49"/>
    <w:rsid w:val="006832D9"/>
    <w:rsid w:val="0069403B"/>
    <w:rsid w:val="0069663E"/>
    <w:rsid w:val="006D440F"/>
    <w:rsid w:val="006F3DDE"/>
    <w:rsid w:val="00703760"/>
    <w:rsid w:val="00704678"/>
    <w:rsid w:val="007425E7"/>
    <w:rsid w:val="007825C8"/>
    <w:rsid w:val="00802607"/>
    <w:rsid w:val="008101A5"/>
    <w:rsid w:val="00822664"/>
    <w:rsid w:val="00843796"/>
    <w:rsid w:val="00847815"/>
    <w:rsid w:val="00895229"/>
    <w:rsid w:val="008D65DC"/>
    <w:rsid w:val="008F0203"/>
    <w:rsid w:val="008F50D4"/>
    <w:rsid w:val="009239AA"/>
    <w:rsid w:val="00925034"/>
    <w:rsid w:val="00935ADA"/>
    <w:rsid w:val="00946B6C"/>
    <w:rsid w:val="00955A71"/>
    <w:rsid w:val="00957FCE"/>
    <w:rsid w:val="0096108F"/>
    <w:rsid w:val="009C13B9"/>
    <w:rsid w:val="009C3BF2"/>
    <w:rsid w:val="009D01A2"/>
    <w:rsid w:val="009E51BD"/>
    <w:rsid w:val="009F5923"/>
    <w:rsid w:val="00A403BB"/>
    <w:rsid w:val="00A674DF"/>
    <w:rsid w:val="00A70B40"/>
    <w:rsid w:val="00A724A6"/>
    <w:rsid w:val="00A83AA6"/>
    <w:rsid w:val="00AE1809"/>
    <w:rsid w:val="00AF5464"/>
    <w:rsid w:val="00B80D76"/>
    <w:rsid w:val="00BA0C12"/>
    <w:rsid w:val="00BA2105"/>
    <w:rsid w:val="00BA7E06"/>
    <w:rsid w:val="00BB43B5"/>
    <w:rsid w:val="00BB6219"/>
    <w:rsid w:val="00BD290F"/>
    <w:rsid w:val="00BD6CB1"/>
    <w:rsid w:val="00BF42B7"/>
    <w:rsid w:val="00C14CC4"/>
    <w:rsid w:val="00C33C52"/>
    <w:rsid w:val="00C40D8B"/>
    <w:rsid w:val="00C8407A"/>
    <w:rsid w:val="00C8488C"/>
    <w:rsid w:val="00C86E91"/>
    <w:rsid w:val="00CA2650"/>
    <w:rsid w:val="00CA4F4B"/>
    <w:rsid w:val="00CB1078"/>
    <w:rsid w:val="00CC6FAF"/>
    <w:rsid w:val="00D24698"/>
    <w:rsid w:val="00D6383F"/>
    <w:rsid w:val="00D70789"/>
    <w:rsid w:val="00D73B56"/>
    <w:rsid w:val="00DA30ED"/>
    <w:rsid w:val="00DB59D0"/>
    <w:rsid w:val="00DC33D3"/>
    <w:rsid w:val="00DE37B9"/>
    <w:rsid w:val="00DF4AC3"/>
    <w:rsid w:val="00E020AB"/>
    <w:rsid w:val="00E14126"/>
    <w:rsid w:val="00E26329"/>
    <w:rsid w:val="00E40854"/>
    <w:rsid w:val="00E40B50"/>
    <w:rsid w:val="00E50293"/>
    <w:rsid w:val="00E65FFC"/>
    <w:rsid w:val="00E80951"/>
    <w:rsid w:val="00E86CC6"/>
    <w:rsid w:val="00E86D09"/>
    <w:rsid w:val="00EB56B3"/>
    <w:rsid w:val="00ED6492"/>
    <w:rsid w:val="00EF2095"/>
    <w:rsid w:val="00EF5062"/>
    <w:rsid w:val="00F06866"/>
    <w:rsid w:val="00F15956"/>
    <w:rsid w:val="00F24CFC"/>
    <w:rsid w:val="00F25D09"/>
    <w:rsid w:val="00F3170F"/>
    <w:rsid w:val="00F34D69"/>
    <w:rsid w:val="00F6092E"/>
    <w:rsid w:val="00F976B0"/>
    <w:rsid w:val="00FA6DE7"/>
    <w:rsid w:val="00FB0444"/>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44661815">
      <w:bodyDiv w:val="1"/>
      <w:marLeft w:val="0"/>
      <w:marRight w:val="0"/>
      <w:marTop w:val="0"/>
      <w:marBottom w:val="0"/>
      <w:divBdr>
        <w:top w:val="none" w:sz="0" w:space="0" w:color="auto"/>
        <w:left w:val="none" w:sz="0" w:space="0" w:color="auto"/>
        <w:bottom w:val="none" w:sz="0" w:space="0" w:color="auto"/>
        <w:right w:val="none" w:sz="0" w:space="0" w:color="auto"/>
      </w:divBdr>
    </w:div>
    <w:div w:id="76422471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JUMBERGE</cp:lastModifiedBy>
  <cp:revision>2</cp:revision>
  <cp:lastPrinted>2013-04-09T15:42:00Z</cp:lastPrinted>
  <dcterms:created xsi:type="dcterms:W3CDTF">2013-05-09T20:34:00Z</dcterms:created>
  <dcterms:modified xsi:type="dcterms:W3CDTF">2013-05-09T20:34:00Z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