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73" w:rsidRDefault="005F7FF1" w:rsidP="00ED7128">
      <w:pPr>
        <w:pStyle w:val="Title"/>
        <w:rPr>
          <w:b w:val="0"/>
          <w:sz w:val="24"/>
        </w:rPr>
      </w:pPr>
      <w:r>
        <w:rPr>
          <w:sz w:val="24"/>
        </w:rPr>
        <w:t>S</w:t>
      </w:r>
      <w:r w:rsidR="003E7D73">
        <w:rPr>
          <w:sz w:val="24"/>
        </w:rPr>
        <w:t>UPPORTING STATEMENT</w:t>
      </w:r>
      <w:r w:rsidR="00ED7128">
        <w:rPr>
          <w:sz w:val="24"/>
        </w:rPr>
        <w:t xml:space="preserve"> </w:t>
      </w:r>
      <w:r w:rsidR="003E7D73" w:rsidRPr="00ED7128">
        <w:rPr>
          <w:sz w:val="24"/>
        </w:rPr>
        <w:t>FOR</w:t>
      </w:r>
    </w:p>
    <w:p w:rsidR="003E7D73" w:rsidRDefault="003E7D73">
      <w:pPr>
        <w:jc w:val="center"/>
        <w:rPr>
          <w:b/>
          <w:sz w:val="24"/>
        </w:rPr>
      </w:pPr>
      <w:r>
        <w:rPr>
          <w:b/>
          <w:sz w:val="24"/>
        </w:rPr>
        <w:t>PAPERWORK REDUCTION ACT SUBMISSION</w:t>
      </w:r>
    </w:p>
    <w:p w:rsidR="003E7D73" w:rsidRDefault="003E7D73">
      <w:pPr>
        <w:jc w:val="center"/>
        <w:rPr>
          <w:b/>
          <w:sz w:val="24"/>
        </w:rPr>
      </w:pPr>
    </w:p>
    <w:p w:rsidR="003E7D73" w:rsidRPr="000C33BB" w:rsidRDefault="00346E9B" w:rsidP="00763100">
      <w:pPr>
        <w:numPr>
          <w:ilvl w:val="0"/>
          <w:numId w:val="1"/>
        </w:numPr>
        <w:tabs>
          <w:tab w:val="clear" w:pos="720"/>
        </w:tabs>
        <w:suppressAutoHyphens/>
        <w:ind w:hanging="720"/>
        <w:rPr>
          <w:b/>
          <w:sz w:val="24"/>
          <w:szCs w:val="24"/>
        </w:rPr>
      </w:pPr>
      <w:r w:rsidRPr="000C33B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E7D73" w:rsidRDefault="003E7D73" w:rsidP="00763100">
      <w:pPr>
        <w:widowControl w:val="0"/>
        <w:ind w:left="720" w:hanging="720"/>
        <w:rPr>
          <w:snapToGrid w:val="0"/>
          <w:sz w:val="24"/>
        </w:rPr>
      </w:pPr>
    </w:p>
    <w:p w:rsidR="003E7D73" w:rsidRDefault="003E7D73" w:rsidP="000C33BB">
      <w:pPr>
        <w:ind w:left="720"/>
        <w:jc w:val="both"/>
        <w:rPr>
          <w:sz w:val="24"/>
        </w:rPr>
      </w:pPr>
      <w:r>
        <w:rPr>
          <w:sz w:val="24"/>
        </w:rPr>
        <w:t>The U. S.</w:t>
      </w:r>
      <w:r>
        <w:rPr>
          <w:b/>
          <w:sz w:val="24"/>
        </w:rPr>
        <w:t xml:space="preserve"> </w:t>
      </w:r>
      <w:r>
        <w:rPr>
          <w:sz w:val="24"/>
        </w:rPr>
        <w:t>Department of Education is requesting OMB clearance of the attached data collection instrument that constitutes paperwork requirements.  The Secretary selects institutions for voluntary participation in the Experimental Sites Initiative.  Institutions volunteer to become an experimental site to provide recommendations on the impact and effectiveness of proposed regulations or new management initiatives</w:t>
      </w:r>
      <w:r>
        <w:rPr>
          <w:b/>
          <w:sz w:val="24"/>
        </w:rPr>
        <w:t xml:space="preserve">.  </w:t>
      </w:r>
      <w:r>
        <w:rPr>
          <w:sz w:val="24"/>
        </w:rPr>
        <w:t xml:space="preserve">Participants are exempt from specific statutory and regulatory requirements while conducting the experiments. Initially, the Department approved alternative approaches in 13 areas of student financial aid processes to test ways to address federal objectives and meet the needs of aid administrators </w:t>
      </w:r>
      <w:proofErr w:type="gramStart"/>
      <w:r>
        <w:rPr>
          <w:sz w:val="24"/>
        </w:rPr>
        <w:t>and</w:t>
      </w:r>
      <w:proofErr w:type="gramEnd"/>
      <w:r>
        <w:rPr>
          <w:sz w:val="24"/>
        </w:rPr>
        <w:t xml:space="preserve"> recipients. </w:t>
      </w:r>
      <w:r w:rsidR="00AA3FD4">
        <w:rPr>
          <w:sz w:val="24"/>
        </w:rPr>
        <w:t>Seven</w:t>
      </w:r>
      <w:r>
        <w:rPr>
          <w:sz w:val="24"/>
        </w:rPr>
        <w:t xml:space="preserve"> of those areas remain active experiments:</w:t>
      </w:r>
    </w:p>
    <w:p w:rsidR="003E7D73" w:rsidRDefault="003E7D73" w:rsidP="00763100">
      <w:pPr>
        <w:ind w:left="720" w:hanging="720"/>
        <w:jc w:val="both"/>
        <w:rPr>
          <w:bCs/>
          <w:sz w:val="24"/>
        </w:rPr>
      </w:pPr>
    </w:p>
    <w:p w:rsidR="003E7D73" w:rsidRDefault="003E7D73" w:rsidP="000C33BB">
      <w:pPr>
        <w:numPr>
          <w:ilvl w:val="0"/>
          <w:numId w:val="13"/>
        </w:numPr>
        <w:tabs>
          <w:tab w:val="clear" w:pos="1080"/>
          <w:tab w:val="left" w:pos="1620"/>
          <w:tab w:val="num" w:pos="1710"/>
        </w:tabs>
        <w:ind w:left="1440" w:hanging="270"/>
        <w:jc w:val="both"/>
        <w:rPr>
          <w:bCs/>
          <w:sz w:val="24"/>
        </w:rPr>
      </w:pPr>
      <w:r>
        <w:rPr>
          <w:bCs/>
          <w:sz w:val="24"/>
        </w:rPr>
        <w:t>Entrance Loan</w:t>
      </w:r>
      <w:r w:rsidR="00727D75">
        <w:rPr>
          <w:bCs/>
          <w:sz w:val="24"/>
        </w:rPr>
        <w:t xml:space="preserve"> </w:t>
      </w:r>
      <w:r>
        <w:rPr>
          <w:bCs/>
          <w:sz w:val="24"/>
        </w:rPr>
        <w:t>Counseling</w:t>
      </w:r>
    </w:p>
    <w:p w:rsidR="003E7D73" w:rsidRDefault="003E7D73" w:rsidP="000C33BB">
      <w:pPr>
        <w:numPr>
          <w:ilvl w:val="0"/>
          <w:numId w:val="13"/>
        </w:numPr>
        <w:tabs>
          <w:tab w:val="clear" w:pos="1080"/>
          <w:tab w:val="left" w:pos="1620"/>
          <w:tab w:val="num" w:pos="1710"/>
        </w:tabs>
        <w:ind w:left="1440" w:hanging="270"/>
        <w:jc w:val="both"/>
        <w:rPr>
          <w:bCs/>
          <w:sz w:val="24"/>
        </w:rPr>
      </w:pPr>
      <w:r>
        <w:rPr>
          <w:bCs/>
          <w:sz w:val="24"/>
        </w:rPr>
        <w:t>Exit Loan Counseling</w:t>
      </w:r>
    </w:p>
    <w:p w:rsidR="003E7D73" w:rsidRDefault="003E7D73" w:rsidP="000C33BB">
      <w:pPr>
        <w:numPr>
          <w:ilvl w:val="0"/>
          <w:numId w:val="13"/>
        </w:numPr>
        <w:tabs>
          <w:tab w:val="clear" w:pos="1080"/>
          <w:tab w:val="left" w:pos="1620"/>
          <w:tab w:val="num" w:pos="1710"/>
        </w:tabs>
        <w:ind w:left="1440" w:hanging="270"/>
        <w:jc w:val="both"/>
        <w:rPr>
          <w:bCs/>
          <w:sz w:val="24"/>
        </w:rPr>
      </w:pPr>
      <w:proofErr w:type="spellStart"/>
      <w:r>
        <w:rPr>
          <w:bCs/>
          <w:sz w:val="24"/>
        </w:rPr>
        <w:t>Overaward</w:t>
      </w:r>
      <w:proofErr w:type="spellEnd"/>
      <w:r>
        <w:rPr>
          <w:bCs/>
          <w:sz w:val="24"/>
        </w:rPr>
        <w:t xml:space="preserve"> Tolerance</w:t>
      </w:r>
    </w:p>
    <w:p w:rsidR="003E7D73" w:rsidRDefault="003E7D73" w:rsidP="000C33BB">
      <w:pPr>
        <w:numPr>
          <w:ilvl w:val="0"/>
          <w:numId w:val="13"/>
        </w:numPr>
        <w:tabs>
          <w:tab w:val="clear" w:pos="1080"/>
          <w:tab w:val="left" w:pos="1620"/>
          <w:tab w:val="num" w:pos="1710"/>
        </w:tabs>
        <w:ind w:left="1440" w:hanging="270"/>
        <w:jc w:val="both"/>
        <w:rPr>
          <w:bCs/>
          <w:sz w:val="24"/>
        </w:rPr>
      </w:pPr>
      <w:r>
        <w:rPr>
          <w:bCs/>
          <w:sz w:val="24"/>
        </w:rPr>
        <w:t>Credit Title IV Aid to Institutional Charges</w:t>
      </w:r>
      <w:r>
        <w:rPr>
          <w:bCs/>
          <w:sz w:val="24"/>
        </w:rPr>
        <w:tab/>
      </w:r>
    </w:p>
    <w:p w:rsidR="003E7D73" w:rsidRDefault="003E7D73" w:rsidP="000C33BB">
      <w:pPr>
        <w:numPr>
          <w:ilvl w:val="0"/>
          <w:numId w:val="13"/>
        </w:numPr>
        <w:tabs>
          <w:tab w:val="clear" w:pos="1080"/>
          <w:tab w:val="left" w:pos="1620"/>
          <w:tab w:val="num" w:pos="1710"/>
        </w:tabs>
        <w:ind w:left="1440" w:hanging="270"/>
        <w:jc w:val="both"/>
        <w:rPr>
          <w:bCs/>
          <w:sz w:val="24"/>
        </w:rPr>
      </w:pPr>
      <w:r>
        <w:rPr>
          <w:bCs/>
          <w:sz w:val="24"/>
        </w:rPr>
        <w:t>Loan Fees in Cost of Attendance</w:t>
      </w:r>
      <w:r>
        <w:rPr>
          <w:bCs/>
          <w:sz w:val="24"/>
        </w:rPr>
        <w:tab/>
      </w:r>
      <w:r>
        <w:rPr>
          <w:bCs/>
          <w:sz w:val="24"/>
        </w:rPr>
        <w:tab/>
      </w:r>
      <w:r>
        <w:rPr>
          <w:bCs/>
          <w:sz w:val="24"/>
        </w:rPr>
        <w:tab/>
      </w:r>
    </w:p>
    <w:p w:rsidR="003E7D73" w:rsidRDefault="003E7D73" w:rsidP="000C33BB">
      <w:pPr>
        <w:numPr>
          <w:ilvl w:val="0"/>
          <w:numId w:val="13"/>
        </w:numPr>
        <w:tabs>
          <w:tab w:val="clear" w:pos="1080"/>
          <w:tab w:val="left" w:pos="1620"/>
          <w:tab w:val="num" w:pos="1710"/>
        </w:tabs>
        <w:ind w:left="1440" w:hanging="270"/>
        <w:jc w:val="both"/>
        <w:rPr>
          <w:bCs/>
          <w:sz w:val="24"/>
        </w:rPr>
      </w:pPr>
      <w:r>
        <w:rPr>
          <w:bCs/>
          <w:sz w:val="24"/>
        </w:rPr>
        <w:t>Loan Proration for Graduating Borrowers</w:t>
      </w:r>
      <w:r>
        <w:rPr>
          <w:bCs/>
          <w:sz w:val="24"/>
        </w:rPr>
        <w:tab/>
      </w:r>
    </w:p>
    <w:p w:rsidR="003E7D73" w:rsidRDefault="003E7D73" w:rsidP="000C33BB">
      <w:pPr>
        <w:numPr>
          <w:ilvl w:val="0"/>
          <w:numId w:val="13"/>
        </w:numPr>
        <w:tabs>
          <w:tab w:val="clear" w:pos="1080"/>
          <w:tab w:val="left" w:pos="1620"/>
          <w:tab w:val="num" w:pos="1710"/>
        </w:tabs>
        <w:ind w:left="1440" w:hanging="270"/>
        <w:jc w:val="both"/>
        <w:rPr>
          <w:bCs/>
          <w:sz w:val="24"/>
        </w:rPr>
      </w:pPr>
      <w:r>
        <w:rPr>
          <w:bCs/>
          <w:sz w:val="24"/>
        </w:rPr>
        <w:t xml:space="preserve">Credit Title IV Aid to Prior Term Charges          </w:t>
      </w:r>
    </w:p>
    <w:p w:rsidR="003E7D73" w:rsidRDefault="003E7D73" w:rsidP="00763100">
      <w:pPr>
        <w:ind w:left="720" w:hanging="720"/>
        <w:jc w:val="both"/>
        <w:rPr>
          <w:bCs/>
          <w:sz w:val="24"/>
        </w:rPr>
      </w:pPr>
    </w:p>
    <w:p w:rsidR="003E7D73" w:rsidRDefault="003E7D73" w:rsidP="000C33BB">
      <w:pPr>
        <w:ind w:left="720"/>
        <w:jc w:val="both"/>
        <w:rPr>
          <w:snapToGrid w:val="0"/>
          <w:sz w:val="24"/>
        </w:rPr>
      </w:pPr>
      <w:r>
        <w:rPr>
          <w:snapToGrid w:val="0"/>
          <w:sz w:val="24"/>
        </w:rPr>
        <w:t>The experiments above relate to a number of programs authorized under Title IV</w:t>
      </w:r>
    </w:p>
    <w:p w:rsidR="003E7D73" w:rsidRDefault="003E7D73" w:rsidP="000C33BB">
      <w:pPr>
        <w:ind w:left="720"/>
        <w:jc w:val="both"/>
        <w:rPr>
          <w:snapToGrid w:val="0"/>
          <w:sz w:val="24"/>
        </w:rPr>
      </w:pPr>
      <w:proofErr w:type="gramStart"/>
      <w:r>
        <w:rPr>
          <w:snapToGrid w:val="0"/>
          <w:sz w:val="24"/>
        </w:rPr>
        <w:t>of</w:t>
      </w:r>
      <w:proofErr w:type="gramEnd"/>
      <w:r>
        <w:rPr>
          <w:snapToGrid w:val="0"/>
          <w:sz w:val="24"/>
        </w:rPr>
        <w:t xml:space="preserve"> the Higher Education Act, such as the Federal Family Education Loan</w:t>
      </w:r>
    </w:p>
    <w:p w:rsidR="003E7D73" w:rsidRDefault="003E7D73" w:rsidP="000C33BB">
      <w:pPr>
        <w:ind w:left="720"/>
        <w:jc w:val="both"/>
        <w:rPr>
          <w:snapToGrid w:val="0"/>
          <w:sz w:val="24"/>
        </w:rPr>
      </w:pPr>
      <w:r>
        <w:rPr>
          <w:snapToGrid w:val="0"/>
          <w:sz w:val="24"/>
        </w:rPr>
        <w:t xml:space="preserve">Program, the William D. Ford Federal Direct Loan Program, Federal Pell Grant </w:t>
      </w:r>
    </w:p>
    <w:p w:rsidR="003E7D73" w:rsidRDefault="003E7D73" w:rsidP="000C33BB">
      <w:pPr>
        <w:ind w:left="720"/>
        <w:jc w:val="both"/>
        <w:rPr>
          <w:snapToGrid w:val="0"/>
          <w:sz w:val="24"/>
        </w:rPr>
      </w:pPr>
      <w:r>
        <w:rPr>
          <w:snapToGrid w:val="0"/>
          <w:sz w:val="24"/>
        </w:rPr>
        <w:t xml:space="preserve">Program, and the Campus-Based Programs (Federal Perkins Loan Program, </w:t>
      </w:r>
    </w:p>
    <w:p w:rsidR="003E7D73" w:rsidRDefault="003E7D73" w:rsidP="000C33BB">
      <w:pPr>
        <w:ind w:left="720"/>
        <w:jc w:val="both"/>
        <w:rPr>
          <w:snapToGrid w:val="0"/>
          <w:sz w:val="24"/>
        </w:rPr>
      </w:pPr>
      <w:r>
        <w:rPr>
          <w:snapToGrid w:val="0"/>
          <w:sz w:val="24"/>
        </w:rPr>
        <w:t xml:space="preserve">Federal Work-Study </w:t>
      </w:r>
      <w:proofErr w:type="gramStart"/>
      <w:r>
        <w:rPr>
          <w:snapToGrid w:val="0"/>
          <w:sz w:val="24"/>
        </w:rPr>
        <w:t>Program,</w:t>
      </w:r>
      <w:proofErr w:type="gramEnd"/>
      <w:r>
        <w:rPr>
          <w:snapToGrid w:val="0"/>
          <w:sz w:val="24"/>
        </w:rPr>
        <w:t xml:space="preserve"> and Federal Supplemental Education Opportunity </w:t>
      </w:r>
    </w:p>
    <w:p w:rsidR="003E7D73" w:rsidRDefault="003E7D73" w:rsidP="000C33BB">
      <w:pPr>
        <w:ind w:left="720"/>
        <w:jc w:val="both"/>
        <w:rPr>
          <w:sz w:val="24"/>
        </w:rPr>
      </w:pPr>
      <w:r>
        <w:rPr>
          <w:snapToGrid w:val="0"/>
          <w:sz w:val="24"/>
        </w:rPr>
        <w:t xml:space="preserve">Grant Program). Institutions report annually on their experiences. </w:t>
      </w:r>
      <w:r>
        <w:rPr>
          <w:sz w:val="24"/>
        </w:rPr>
        <w:t xml:space="preserve">The collection </w:t>
      </w:r>
    </w:p>
    <w:p w:rsidR="003E7D73" w:rsidRDefault="003E7D73" w:rsidP="000C33BB">
      <w:pPr>
        <w:ind w:left="720"/>
        <w:jc w:val="both"/>
        <w:rPr>
          <w:sz w:val="24"/>
        </w:rPr>
      </w:pPr>
      <w:proofErr w:type="gramStart"/>
      <w:r>
        <w:rPr>
          <w:sz w:val="24"/>
        </w:rPr>
        <w:t>of</w:t>
      </w:r>
      <w:proofErr w:type="gramEnd"/>
      <w:r>
        <w:rPr>
          <w:sz w:val="24"/>
        </w:rPr>
        <w:t xml:space="preserve"> this information is authorized under section 487A(b) of the Higher Education </w:t>
      </w:r>
    </w:p>
    <w:p w:rsidR="003E7D73" w:rsidRDefault="003E7D73" w:rsidP="000C33BB">
      <w:pPr>
        <w:ind w:left="720"/>
        <w:jc w:val="both"/>
        <w:rPr>
          <w:sz w:val="24"/>
        </w:rPr>
      </w:pPr>
      <w:r>
        <w:rPr>
          <w:sz w:val="24"/>
        </w:rPr>
        <w:t xml:space="preserve">Act of 1965, as amended.  </w:t>
      </w:r>
    </w:p>
    <w:p w:rsidR="003E7D73" w:rsidRDefault="003E7D73" w:rsidP="000C33BB">
      <w:pPr>
        <w:widowControl w:val="0"/>
        <w:ind w:left="720"/>
        <w:rPr>
          <w:sz w:val="24"/>
        </w:rPr>
      </w:pPr>
    </w:p>
    <w:p w:rsidR="003E7D73" w:rsidRDefault="003E7D73" w:rsidP="000C33BB">
      <w:pPr>
        <w:widowControl w:val="0"/>
        <w:ind w:left="720"/>
        <w:rPr>
          <w:sz w:val="24"/>
        </w:rPr>
      </w:pPr>
      <w:r>
        <w:rPr>
          <w:sz w:val="24"/>
        </w:rPr>
        <w:t xml:space="preserve">In addition, this initiative allows the Department to work collaboratively with institutions to find possible ways to reduce the cost, complexity, and burden of administering the Title IV programs to institutions and their students. </w:t>
      </w:r>
    </w:p>
    <w:p w:rsidR="003E7D73" w:rsidRDefault="003E7D73" w:rsidP="00763100">
      <w:pPr>
        <w:widowControl w:val="0"/>
        <w:ind w:left="720" w:hanging="720"/>
        <w:rPr>
          <w:sz w:val="24"/>
        </w:rPr>
      </w:pPr>
    </w:p>
    <w:p w:rsidR="003E7D73" w:rsidRPr="00346E9B" w:rsidRDefault="003E7D73" w:rsidP="00763100">
      <w:pPr>
        <w:widowControl w:val="0"/>
        <w:ind w:left="720" w:hanging="720"/>
        <w:rPr>
          <w:b/>
          <w:i/>
          <w:sz w:val="24"/>
          <w:szCs w:val="24"/>
        </w:rPr>
      </w:pPr>
      <w:r>
        <w:rPr>
          <w:sz w:val="24"/>
        </w:rPr>
        <w:t>2.</w:t>
      </w:r>
      <w:r>
        <w:rPr>
          <w:sz w:val="24"/>
        </w:rPr>
        <w:tab/>
      </w:r>
      <w:r w:rsidR="00346E9B" w:rsidRPr="000C33BB">
        <w:rPr>
          <w:b/>
          <w:sz w:val="24"/>
          <w:szCs w:val="24"/>
        </w:rPr>
        <w:t>Indicate how, by whom, and for what purpose the information is to be used.  Except for a new collection, indicate the actual use the agency has made of the information received from the current collection.</w:t>
      </w:r>
    </w:p>
    <w:p w:rsidR="003E7D73" w:rsidRPr="00346E9B" w:rsidRDefault="003E7D73" w:rsidP="00763100">
      <w:pPr>
        <w:widowControl w:val="0"/>
        <w:ind w:left="720" w:hanging="720"/>
        <w:rPr>
          <w:sz w:val="24"/>
          <w:szCs w:val="24"/>
        </w:rPr>
      </w:pPr>
    </w:p>
    <w:p w:rsidR="003E7D73" w:rsidRDefault="003E7D73" w:rsidP="000C33BB">
      <w:pPr>
        <w:widowControl w:val="0"/>
        <w:ind w:left="720"/>
        <w:rPr>
          <w:sz w:val="24"/>
        </w:rPr>
      </w:pPr>
      <w:r>
        <w:rPr>
          <w:sz w:val="24"/>
        </w:rPr>
        <w:t xml:space="preserve">FSA and its partners can change the way policy fosters or impedes the administration of student aid. The elements of customer satisfaction, </w:t>
      </w:r>
      <w:r>
        <w:rPr>
          <w:sz w:val="24"/>
        </w:rPr>
        <w:lastRenderedPageBreak/>
        <w:t xml:space="preserve">simplification, fewer burdens for students and institutions, and easy access to funds, are truly a part of regulatory reform. Thus, FSA has committed to reform current practices and operations by engaging in an interactive process of collecting information and using it to improve program services and processes.  The Experimental Sites Initiative is one approach FSA can use for change. </w:t>
      </w:r>
    </w:p>
    <w:p w:rsidR="003E7D73" w:rsidRDefault="003E7D73" w:rsidP="000C33BB">
      <w:pPr>
        <w:widowControl w:val="0"/>
        <w:ind w:left="720"/>
        <w:rPr>
          <w:sz w:val="24"/>
        </w:rPr>
      </w:pPr>
    </w:p>
    <w:p w:rsidR="003E7D73" w:rsidRDefault="003E7D73" w:rsidP="000C33BB">
      <w:pPr>
        <w:widowControl w:val="0"/>
        <w:ind w:left="720"/>
        <w:rPr>
          <w:sz w:val="24"/>
        </w:rPr>
      </w:pPr>
      <w:r>
        <w:rPr>
          <w:sz w:val="24"/>
        </w:rPr>
        <w:t xml:space="preserve">Institutions are given the flexibility to test different procedures to carry out the intent of regulations, whereby the Department can analyze the data and obtain information for Title IV regulatory and legislative changes.  Thus, the Department needs this information in its ongoing initiative to improve the financial aid delivery services to students and the postsecondary institutions they attend.  Additionally, working with Congress, the Department can use this data to make informed decisions for future reauthorization.  </w:t>
      </w:r>
    </w:p>
    <w:p w:rsidR="003E7D73" w:rsidRDefault="003E7D73" w:rsidP="000C33BB">
      <w:pPr>
        <w:widowControl w:val="0"/>
        <w:ind w:left="720"/>
        <w:rPr>
          <w:sz w:val="24"/>
        </w:rPr>
      </w:pPr>
    </w:p>
    <w:p w:rsidR="003E7D73" w:rsidRDefault="003E7D73" w:rsidP="000C33BB">
      <w:pPr>
        <w:widowControl w:val="0"/>
        <w:ind w:left="720"/>
        <w:rPr>
          <w:sz w:val="24"/>
        </w:rPr>
      </w:pPr>
      <w:r>
        <w:rPr>
          <w:sz w:val="24"/>
        </w:rPr>
        <w:t xml:space="preserve">To obtain uniform data, the Department and participating institutions developed this data collection instrument.  This data collection instrument focuses on </w:t>
      </w:r>
      <w:r w:rsidR="00AA3FD4">
        <w:rPr>
          <w:sz w:val="24"/>
        </w:rPr>
        <w:t>seven</w:t>
      </w:r>
      <w:r>
        <w:rPr>
          <w:sz w:val="24"/>
        </w:rPr>
        <w:t xml:space="preserve"> remaining approved experiments. </w:t>
      </w:r>
    </w:p>
    <w:p w:rsidR="003E7D73" w:rsidRDefault="003E7D73" w:rsidP="00763100">
      <w:pPr>
        <w:widowControl w:val="0"/>
        <w:ind w:left="720" w:hanging="720"/>
        <w:rPr>
          <w:sz w:val="24"/>
        </w:rPr>
      </w:pPr>
    </w:p>
    <w:p w:rsidR="003E7D73" w:rsidRPr="000C33BB" w:rsidRDefault="003E7D73" w:rsidP="00763100">
      <w:pPr>
        <w:widowControl w:val="0"/>
        <w:ind w:left="720" w:hanging="720"/>
        <w:rPr>
          <w:b/>
          <w:sz w:val="24"/>
          <w:szCs w:val="24"/>
        </w:rPr>
      </w:pPr>
      <w:r>
        <w:rPr>
          <w:sz w:val="24"/>
        </w:rPr>
        <w:t>3.</w:t>
      </w:r>
      <w:r>
        <w:rPr>
          <w:sz w:val="24"/>
        </w:rPr>
        <w:tab/>
      </w:r>
      <w:r w:rsidR="00346E9B" w:rsidRPr="000C33BB">
        <w:rPr>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0C33BB">
        <w:rPr>
          <w:b/>
          <w:sz w:val="24"/>
          <w:szCs w:val="24"/>
        </w:rPr>
        <w:tab/>
      </w:r>
    </w:p>
    <w:p w:rsidR="003E7D73" w:rsidRDefault="003E7D73" w:rsidP="00763100">
      <w:pPr>
        <w:widowControl w:val="0"/>
        <w:ind w:left="720" w:hanging="720"/>
        <w:rPr>
          <w:sz w:val="24"/>
        </w:rPr>
      </w:pPr>
    </w:p>
    <w:p w:rsidR="003E7D73" w:rsidRDefault="003E7D73" w:rsidP="000C33BB">
      <w:pPr>
        <w:pStyle w:val="BodyTextIndent3"/>
      </w:pPr>
      <w:r>
        <w:t xml:space="preserve">This data collection effort is a web-based format supported by the security architecture environment and staff from the Chief Information Office. This website requires institutions to securely logon and submit data.  </w:t>
      </w:r>
    </w:p>
    <w:p w:rsidR="003E7D73" w:rsidRDefault="003E7D73" w:rsidP="000C33BB">
      <w:pPr>
        <w:widowControl w:val="0"/>
        <w:ind w:left="720"/>
        <w:rPr>
          <w:sz w:val="24"/>
        </w:rPr>
      </w:pPr>
    </w:p>
    <w:p w:rsidR="003E7D73" w:rsidRDefault="003E7D73" w:rsidP="000C33BB">
      <w:pPr>
        <w:widowControl w:val="0"/>
        <w:ind w:left="720"/>
        <w:rPr>
          <w:sz w:val="24"/>
        </w:rPr>
      </w:pPr>
      <w:r>
        <w:rPr>
          <w:sz w:val="24"/>
        </w:rPr>
        <w:t>There is an email address and telephone number available for participants to contact staff with questions or requests for assistance.  The email address and telephone number is posted on the Experimental Sites website.  Within the reporting tool is a database that collects information in order for institutions to meet their annual requirement.</w:t>
      </w:r>
      <w:r>
        <w:t xml:space="preserve">  </w:t>
      </w:r>
      <w:r>
        <w:rPr>
          <w:sz w:val="24"/>
        </w:rPr>
        <w:t>This database will help ensure the efficiency and completeness of the data collection process.</w:t>
      </w:r>
    </w:p>
    <w:p w:rsidR="003E7D73" w:rsidRDefault="003E7D73" w:rsidP="00763100">
      <w:pPr>
        <w:widowControl w:val="0"/>
        <w:ind w:left="720" w:hanging="720"/>
      </w:pPr>
    </w:p>
    <w:p w:rsidR="00346E9B" w:rsidRDefault="003E7D73" w:rsidP="00763100">
      <w:pPr>
        <w:tabs>
          <w:tab w:val="left" w:pos="-720"/>
        </w:tabs>
        <w:suppressAutoHyphens/>
        <w:ind w:left="720" w:hanging="720"/>
        <w:rPr>
          <w:rFonts w:ascii="Univers" w:hAnsi="Univers"/>
        </w:rPr>
      </w:pPr>
      <w:r>
        <w:t xml:space="preserve"> </w:t>
      </w:r>
      <w:r>
        <w:rPr>
          <w:sz w:val="24"/>
        </w:rPr>
        <w:t>4.</w:t>
      </w:r>
      <w:r>
        <w:tab/>
      </w:r>
      <w:r w:rsidR="00346E9B" w:rsidRPr="000C33BB">
        <w:rPr>
          <w:b/>
          <w:sz w:val="24"/>
          <w:szCs w:val="24"/>
        </w:rPr>
        <w:t>Describe efforts to identify duplication.  Show specifically why any similar information already available cannot be used or modified for use for the purposes described in Item 2 above.</w:t>
      </w:r>
    </w:p>
    <w:p w:rsidR="003E7D73" w:rsidRDefault="003E7D73" w:rsidP="00763100">
      <w:pPr>
        <w:widowControl w:val="0"/>
        <w:ind w:left="720" w:hanging="720"/>
      </w:pPr>
    </w:p>
    <w:p w:rsidR="003E7D73" w:rsidRDefault="003E7D73" w:rsidP="000C33BB">
      <w:pPr>
        <w:widowControl w:val="0"/>
        <w:ind w:left="720"/>
        <w:rPr>
          <w:sz w:val="24"/>
        </w:rPr>
      </w:pPr>
      <w:r>
        <w:rPr>
          <w:sz w:val="24"/>
        </w:rPr>
        <w:t>This reporting tool is the Department's effort to evaluate the experiments.  The information necessary to review the experimental data focuses on "experimental" descriptions and therefore does not represent a duplication of other information collected for other purposes or by other entities.</w:t>
      </w:r>
    </w:p>
    <w:p w:rsidR="00AA3FD4" w:rsidRDefault="00AA3FD4" w:rsidP="000C33BB">
      <w:pPr>
        <w:widowControl w:val="0"/>
        <w:ind w:left="720"/>
        <w:rPr>
          <w:sz w:val="24"/>
        </w:rPr>
      </w:pPr>
    </w:p>
    <w:p w:rsidR="00DF0696" w:rsidRDefault="003E7D73" w:rsidP="000C33BB">
      <w:pPr>
        <w:widowControl w:val="0"/>
        <w:ind w:left="720"/>
        <w:rPr>
          <w:sz w:val="24"/>
        </w:rPr>
      </w:pPr>
      <w:r>
        <w:rPr>
          <w:sz w:val="24"/>
        </w:rPr>
        <w:t xml:space="preserve">There is no information available from any other source that will enable ED/FSA to evaluate the results of this data collection under the provisions of the Higher </w:t>
      </w:r>
      <w:r>
        <w:rPr>
          <w:sz w:val="24"/>
        </w:rPr>
        <w:lastRenderedPageBreak/>
        <w:t>Education Amendments of 1998.</w:t>
      </w:r>
    </w:p>
    <w:p w:rsidR="003E7D73" w:rsidRDefault="003E7D73" w:rsidP="00763100">
      <w:pPr>
        <w:widowControl w:val="0"/>
        <w:ind w:left="720" w:hanging="720"/>
        <w:rPr>
          <w:sz w:val="24"/>
        </w:rPr>
      </w:pPr>
    </w:p>
    <w:p w:rsidR="003E7D73" w:rsidRPr="000C33BB" w:rsidRDefault="00346E9B" w:rsidP="00763100">
      <w:pPr>
        <w:widowControl w:val="0"/>
        <w:numPr>
          <w:ilvl w:val="0"/>
          <w:numId w:val="4"/>
        </w:numPr>
        <w:tabs>
          <w:tab w:val="clear" w:pos="360"/>
        </w:tabs>
        <w:ind w:left="720" w:hanging="720"/>
        <w:rPr>
          <w:b/>
          <w:sz w:val="24"/>
          <w:szCs w:val="24"/>
        </w:rPr>
      </w:pPr>
      <w:r w:rsidRPr="000C33BB">
        <w:rPr>
          <w:b/>
          <w:sz w:val="24"/>
          <w:szCs w:val="24"/>
        </w:rPr>
        <w:t>If the collection of information impacts small businesses or other small entities (Item 8b of IC Data Part 2), describe any methods used to minimize burden.</w:t>
      </w:r>
    </w:p>
    <w:p w:rsidR="003E7D73" w:rsidRDefault="003E7D73" w:rsidP="00763100">
      <w:pPr>
        <w:widowControl w:val="0"/>
        <w:ind w:left="720" w:hanging="720"/>
        <w:rPr>
          <w:sz w:val="24"/>
        </w:rPr>
      </w:pPr>
    </w:p>
    <w:p w:rsidR="003E7D73" w:rsidRDefault="003E7D73" w:rsidP="000C33BB">
      <w:pPr>
        <w:widowControl w:val="0"/>
        <w:ind w:left="720"/>
        <w:rPr>
          <w:sz w:val="24"/>
        </w:rPr>
      </w:pPr>
      <w:r>
        <w:rPr>
          <w:sz w:val="24"/>
        </w:rPr>
        <w:t>The information is collected from 2-and 4-year institutions of higher education rather than from small businesses or by other entities.</w:t>
      </w:r>
    </w:p>
    <w:p w:rsidR="003E7D73" w:rsidRDefault="003E7D73" w:rsidP="00763100">
      <w:pPr>
        <w:widowControl w:val="0"/>
        <w:ind w:left="720" w:hanging="720"/>
        <w:rPr>
          <w:sz w:val="24"/>
        </w:rPr>
      </w:pPr>
    </w:p>
    <w:p w:rsidR="003E7D73" w:rsidRPr="000C33BB" w:rsidRDefault="003E7D73" w:rsidP="00763100">
      <w:pPr>
        <w:widowControl w:val="0"/>
        <w:ind w:left="720" w:hanging="720"/>
        <w:rPr>
          <w:b/>
          <w:sz w:val="24"/>
        </w:rPr>
      </w:pPr>
      <w:r w:rsidRPr="00346E9B">
        <w:rPr>
          <w:sz w:val="24"/>
        </w:rPr>
        <w:t>6</w:t>
      </w:r>
      <w:r>
        <w:rPr>
          <w:b/>
          <w:i/>
          <w:sz w:val="24"/>
        </w:rPr>
        <w:t>.</w:t>
      </w:r>
      <w:r>
        <w:rPr>
          <w:b/>
          <w:i/>
          <w:sz w:val="24"/>
        </w:rPr>
        <w:tab/>
      </w:r>
      <w:r w:rsidR="00346E9B" w:rsidRPr="000C33BB">
        <w:rPr>
          <w:b/>
          <w:sz w:val="24"/>
          <w:szCs w:val="24"/>
        </w:rPr>
        <w:t>Describe the consequences to Federal program or policy activities if the collection is not conducted or is conducted less frequently, as well as any technical or legal obstacles to reducing burden.</w:t>
      </w:r>
      <w:r w:rsidRPr="000C33BB">
        <w:rPr>
          <w:b/>
          <w:i/>
          <w:sz w:val="24"/>
        </w:rPr>
        <w:t xml:space="preserve"> </w:t>
      </w:r>
    </w:p>
    <w:p w:rsidR="003E7D73" w:rsidRDefault="003E7D73" w:rsidP="00763100">
      <w:pPr>
        <w:widowControl w:val="0"/>
        <w:ind w:left="720" w:hanging="720"/>
        <w:rPr>
          <w:sz w:val="24"/>
        </w:rPr>
      </w:pPr>
    </w:p>
    <w:p w:rsidR="003E7D73" w:rsidRDefault="003E7D73" w:rsidP="000C33BB">
      <w:pPr>
        <w:widowControl w:val="0"/>
        <w:ind w:left="720"/>
        <w:rPr>
          <w:sz w:val="24"/>
        </w:rPr>
      </w:pPr>
      <w:r>
        <w:rPr>
          <w:sz w:val="24"/>
        </w:rPr>
        <w:t xml:space="preserve">This information must be collected in order to implement the provisions of section </w:t>
      </w:r>
      <w:proofErr w:type="gramStart"/>
      <w:r>
        <w:rPr>
          <w:sz w:val="24"/>
        </w:rPr>
        <w:t>487A(</w:t>
      </w:r>
      <w:proofErr w:type="gramEnd"/>
      <w:r>
        <w:rPr>
          <w:sz w:val="24"/>
        </w:rPr>
        <w:t xml:space="preserve">b) of the HEA.  Under Section </w:t>
      </w:r>
      <w:proofErr w:type="gramStart"/>
      <w:r>
        <w:rPr>
          <w:sz w:val="24"/>
        </w:rPr>
        <w:t>487A(</w:t>
      </w:r>
      <w:proofErr w:type="gramEnd"/>
      <w:r>
        <w:rPr>
          <w:sz w:val="24"/>
        </w:rPr>
        <w:t>b) institutions will participate as experimental sites to provide recommendations to the Secretary on the impact and effectiveness of proposed regulations or new management initiatives.</w:t>
      </w:r>
    </w:p>
    <w:p w:rsidR="003E7D73" w:rsidRDefault="003E7D73" w:rsidP="000C33BB">
      <w:pPr>
        <w:widowControl w:val="0"/>
        <w:ind w:left="720"/>
        <w:rPr>
          <w:sz w:val="24"/>
        </w:rPr>
      </w:pPr>
    </w:p>
    <w:p w:rsidR="003E7D73" w:rsidRDefault="003E7D73" w:rsidP="000C33BB">
      <w:pPr>
        <w:widowControl w:val="0"/>
        <w:ind w:left="720"/>
        <w:rPr>
          <w:sz w:val="24"/>
        </w:rPr>
      </w:pPr>
      <w:r>
        <w:rPr>
          <w:sz w:val="24"/>
        </w:rPr>
        <w:t>These data collection instruments provide needed information.  These report formats will:</w:t>
      </w:r>
    </w:p>
    <w:p w:rsidR="003E7D73" w:rsidRDefault="003E7D73" w:rsidP="000C33BB">
      <w:pPr>
        <w:widowControl w:val="0"/>
        <w:ind w:left="720"/>
        <w:rPr>
          <w:sz w:val="24"/>
        </w:rPr>
      </w:pPr>
    </w:p>
    <w:p w:rsidR="003E7D73" w:rsidRDefault="003E7D73" w:rsidP="000C33BB">
      <w:pPr>
        <w:widowControl w:val="0"/>
        <w:ind w:left="720"/>
        <w:rPr>
          <w:sz w:val="24"/>
        </w:rPr>
      </w:pPr>
      <w:r>
        <w:rPr>
          <w:sz w:val="24"/>
        </w:rPr>
        <w:t>Provide a more comprehensive picture of aggregated data</w:t>
      </w:r>
    </w:p>
    <w:p w:rsidR="003E7D73" w:rsidRDefault="003E7D73" w:rsidP="000C33BB">
      <w:pPr>
        <w:widowControl w:val="0"/>
        <w:ind w:left="720"/>
        <w:rPr>
          <w:sz w:val="24"/>
        </w:rPr>
      </w:pPr>
      <w:r>
        <w:rPr>
          <w:sz w:val="24"/>
        </w:rPr>
        <w:t>Provide more detailed information</w:t>
      </w:r>
    </w:p>
    <w:p w:rsidR="003E7D73" w:rsidRDefault="003E7D73" w:rsidP="000C33BB">
      <w:pPr>
        <w:widowControl w:val="0"/>
        <w:ind w:left="720"/>
        <w:rPr>
          <w:sz w:val="24"/>
        </w:rPr>
      </w:pPr>
      <w:r>
        <w:rPr>
          <w:sz w:val="24"/>
        </w:rPr>
        <w:t>Identify impacts of regulatory relief</w:t>
      </w:r>
    </w:p>
    <w:p w:rsidR="003E7D73" w:rsidRDefault="003E7D73" w:rsidP="000C33BB">
      <w:pPr>
        <w:widowControl w:val="0"/>
        <w:ind w:left="720"/>
        <w:rPr>
          <w:sz w:val="24"/>
        </w:rPr>
      </w:pPr>
      <w:r>
        <w:rPr>
          <w:sz w:val="24"/>
        </w:rPr>
        <w:t>Examine impact on Federal student assistance programs</w:t>
      </w:r>
    </w:p>
    <w:p w:rsidR="003E7D73" w:rsidRDefault="003E7D73" w:rsidP="000C33BB">
      <w:pPr>
        <w:widowControl w:val="0"/>
        <w:ind w:left="720"/>
        <w:rPr>
          <w:sz w:val="24"/>
        </w:rPr>
      </w:pPr>
    </w:p>
    <w:p w:rsidR="003E7D73" w:rsidRDefault="003E7D73" w:rsidP="000C33BB">
      <w:pPr>
        <w:widowControl w:val="0"/>
        <w:ind w:left="720"/>
        <w:rPr>
          <w:sz w:val="24"/>
        </w:rPr>
      </w:pPr>
      <w:r>
        <w:rPr>
          <w:sz w:val="24"/>
        </w:rPr>
        <w:t xml:space="preserve">The results of these experiments will help the Department in its continuing efforts to improve Title IV program administration.  When feasible, the Department will use the information gathered through this initiative to revise existing regulations and to make recommendations to Congress for statutory changes. Failure to collect and analyze this information will prevent the Department from evaluating important information that may impact simplification in the Federal student assistance programs.  </w:t>
      </w:r>
    </w:p>
    <w:p w:rsidR="003E7D73" w:rsidRPr="00346E9B" w:rsidRDefault="003E7D73" w:rsidP="00763100">
      <w:pPr>
        <w:widowControl w:val="0"/>
        <w:ind w:left="720" w:hanging="720"/>
        <w:rPr>
          <w:sz w:val="24"/>
          <w:szCs w:val="24"/>
        </w:rPr>
      </w:pPr>
    </w:p>
    <w:p w:rsidR="000C33BB" w:rsidRPr="000C33BB" w:rsidRDefault="003E7D73" w:rsidP="000C33BB">
      <w:pPr>
        <w:tabs>
          <w:tab w:val="left" w:pos="-720"/>
        </w:tabs>
        <w:suppressAutoHyphens/>
        <w:ind w:left="720" w:hanging="720"/>
        <w:rPr>
          <w:b/>
          <w:sz w:val="24"/>
          <w:szCs w:val="24"/>
        </w:rPr>
      </w:pPr>
      <w:r w:rsidRPr="00346E9B">
        <w:rPr>
          <w:b/>
          <w:bCs/>
          <w:sz w:val="24"/>
          <w:szCs w:val="24"/>
        </w:rPr>
        <w:t xml:space="preserve"> </w:t>
      </w:r>
      <w:r w:rsidRPr="00346E9B">
        <w:rPr>
          <w:bCs/>
          <w:sz w:val="24"/>
          <w:szCs w:val="24"/>
        </w:rPr>
        <w:t>7.</w:t>
      </w:r>
      <w:r w:rsidRPr="00346E9B">
        <w:rPr>
          <w:b/>
          <w:bCs/>
          <w:sz w:val="24"/>
          <w:szCs w:val="24"/>
        </w:rPr>
        <w:tab/>
      </w:r>
      <w:r w:rsidR="000C33BB" w:rsidRPr="000C33BB">
        <w:rPr>
          <w:b/>
          <w:sz w:val="24"/>
          <w:szCs w:val="24"/>
        </w:rPr>
        <w:t>Explain any special circumstances that would cause an information collection to be conducted in a manner:</w:t>
      </w:r>
    </w:p>
    <w:p w:rsidR="000C33BB" w:rsidRPr="000C33BB" w:rsidRDefault="000C33BB" w:rsidP="000C33BB">
      <w:pPr>
        <w:tabs>
          <w:tab w:val="left" w:pos="-720"/>
        </w:tabs>
        <w:suppressAutoHyphens/>
        <w:rPr>
          <w:b/>
          <w:sz w:val="24"/>
          <w:szCs w:val="24"/>
        </w:rPr>
      </w:pPr>
    </w:p>
    <w:p w:rsidR="000C33BB" w:rsidRPr="000C33BB" w:rsidRDefault="000C33BB" w:rsidP="000C33BB">
      <w:pPr>
        <w:numPr>
          <w:ilvl w:val="0"/>
          <w:numId w:val="18"/>
        </w:numPr>
        <w:tabs>
          <w:tab w:val="clear" w:pos="720"/>
          <w:tab w:val="left" w:pos="-720"/>
        </w:tabs>
        <w:suppressAutoHyphens/>
        <w:ind w:left="1080"/>
        <w:rPr>
          <w:b/>
          <w:sz w:val="24"/>
          <w:szCs w:val="24"/>
        </w:rPr>
      </w:pPr>
      <w:r w:rsidRPr="000C33BB">
        <w:rPr>
          <w:b/>
          <w:sz w:val="24"/>
          <w:szCs w:val="24"/>
        </w:rPr>
        <w:t>requiring respondents to report information to the agency more often than quarterly;</w:t>
      </w:r>
    </w:p>
    <w:p w:rsidR="000C33BB" w:rsidRPr="000C33BB" w:rsidRDefault="000C33BB" w:rsidP="000C33BB">
      <w:pPr>
        <w:numPr>
          <w:ilvl w:val="12"/>
          <w:numId w:val="0"/>
        </w:numPr>
        <w:tabs>
          <w:tab w:val="left" w:pos="-720"/>
        </w:tabs>
        <w:suppressAutoHyphens/>
        <w:ind w:left="1080"/>
        <w:rPr>
          <w:b/>
          <w:sz w:val="24"/>
          <w:szCs w:val="24"/>
        </w:rPr>
      </w:pPr>
    </w:p>
    <w:p w:rsidR="000C33BB" w:rsidRPr="000C33BB" w:rsidRDefault="000C33BB" w:rsidP="000C33BB">
      <w:pPr>
        <w:numPr>
          <w:ilvl w:val="0"/>
          <w:numId w:val="18"/>
        </w:numPr>
        <w:tabs>
          <w:tab w:val="clear" w:pos="720"/>
          <w:tab w:val="left" w:pos="-720"/>
        </w:tabs>
        <w:suppressAutoHyphens/>
        <w:ind w:left="1080"/>
        <w:rPr>
          <w:b/>
          <w:sz w:val="24"/>
          <w:szCs w:val="24"/>
        </w:rPr>
      </w:pPr>
      <w:r w:rsidRPr="000C33BB">
        <w:rPr>
          <w:b/>
          <w:sz w:val="24"/>
          <w:szCs w:val="24"/>
        </w:rPr>
        <w:t>requiring respondents to prepare a written response to a collection of information in fewer than 30 days after receipt of it;</w:t>
      </w:r>
    </w:p>
    <w:p w:rsidR="000C33BB" w:rsidRPr="000C33BB" w:rsidRDefault="000C33BB" w:rsidP="000C33BB">
      <w:pPr>
        <w:numPr>
          <w:ilvl w:val="12"/>
          <w:numId w:val="0"/>
        </w:numPr>
        <w:tabs>
          <w:tab w:val="left" w:pos="-720"/>
        </w:tabs>
        <w:suppressAutoHyphens/>
        <w:ind w:left="1080"/>
        <w:rPr>
          <w:b/>
          <w:sz w:val="24"/>
          <w:szCs w:val="24"/>
        </w:rPr>
      </w:pPr>
    </w:p>
    <w:p w:rsidR="000C33BB" w:rsidRPr="000C33BB" w:rsidRDefault="000C33BB" w:rsidP="000C33BB">
      <w:pPr>
        <w:numPr>
          <w:ilvl w:val="0"/>
          <w:numId w:val="18"/>
        </w:numPr>
        <w:tabs>
          <w:tab w:val="clear" w:pos="720"/>
          <w:tab w:val="left" w:pos="-720"/>
        </w:tabs>
        <w:suppressAutoHyphens/>
        <w:ind w:left="1080"/>
        <w:rPr>
          <w:b/>
          <w:sz w:val="24"/>
          <w:szCs w:val="24"/>
        </w:rPr>
      </w:pPr>
      <w:r w:rsidRPr="000C33BB">
        <w:rPr>
          <w:b/>
          <w:sz w:val="24"/>
          <w:szCs w:val="24"/>
        </w:rPr>
        <w:t>requiring respondents to submit more than an original and two copies of any document;</w:t>
      </w:r>
    </w:p>
    <w:p w:rsidR="000C33BB" w:rsidRPr="000C33BB" w:rsidRDefault="000C33BB" w:rsidP="000C33BB">
      <w:pPr>
        <w:numPr>
          <w:ilvl w:val="12"/>
          <w:numId w:val="0"/>
        </w:numPr>
        <w:tabs>
          <w:tab w:val="left" w:pos="-720"/>
        </w:tabs>
        <w:suppressAutoHyphens/>
        <w:ind w:left="1080"/>
        <w:rPr>
          <w:b/>
          <w:sz w:val="24"/>
          <w:szCs w:val="24"/>
        </w:rPr>
      </w:pPr>
    </w:p>
    <w:p w:rsidR="000C33BB" w:rsidRPr="000C33BB" w:rsidRDefault="000C33BB" w:rsidP="000C33BB">
      <w:pPr>
        <w:numPr>
          <w:ilvl w:val="0"/>
          <w:numId w:val="18"/>
        </w:numPr>
        <w:tabs>
          <w:tab w:val="clear" w:pos="720"/>
          <w:tab w:val="left" w:pos="-720"/>
        </w:tabs>
        <w:suppressAutoHyphens/>
        <w:ind w:left="1080"/>
        <w:rPr>
          <w:b/>
          <w:sz w:val="24"/>
          <w:szCs w:val="24"/>
        </w:rPr>
      </w:pPr>
      <w:r w:rsidRPr="000C33BB">
        <w:rPr>
          <w:b/>
          <w:sz w:val="24"/>
          <w:szCs w:val="24"/>
        </w:rPr>
        <w:lastRenderedPageBreak/>
        <w:t>requiring respondents to retain records, other than health, medical, government contract, grant-in-aid, or tax records for more than three years;</w:t>
      </w:r>
    </w:p>
    <w:p w:rsidR="000C33BB" w:rsidRPr="000C33BB" w:rsidRDefault="000C33BB" w:rsidP="000C33BB">
      <w:pPr>
        <w:numPr>
          <w:ilvl w:val="12"/>
          <w:numId w:val="0"/>
        </w:numPr>
        <w:tabs>
          <w:tab w:val="left" w:pos="-720"/>
        </w:tabs>
        <w:suppressAutoHyphens/>
        <w:ind w:left="1080"/>
        <w:rPr>
          <w:b/>
          <w:sz w:val="24"/>
          <w:szCs w:val="24"/>
        </w:rPr>
      </w:pPr>
    </w:p>
    <w:p w:rsidR="000C33BB" w:rsidRPr="000C33BB" w:rsidRDefault="000C33BB" w:rsidP="000C33BB">
      <w:pPr>
        <w:numPr>
          <w:ilvl w:val="0"/>
          <w:numId w:val="18"/>
        </w:numPr>
        <w:tabs>
          <w:tab w:val="clear" w:pos="720"/>
          <w:tab w:val="left" w:pos="-720"/>
        </w:tabs>
        <w:suppressAutoHyphens/>
        <w:ind w:left="1080"/>
        <w:rPr>
          <w:b/>
          <w:sz w:val="24"/>
          <w:szCs w:val="24"/>
        </w:rPr>
      </w:pPr>
      <w:r w:rsidRPr="000C33BB">
        <w:rPr>
          <w:b/>
          <w:sz w:val="24"/>
          <w:szCs w:val="24"/>
        </w:rPr>
        <w:t>in connection with a statistical survey, that is not designed to produce valid and reliable results than can be generalized to the universe of study;</w:t>
      </w:r>
    </w:p>
    <w:p w:rsidR="000C33BB" w:rsidRPr="000C33BB" w:rsidRDefault="000C33BB" w:rsidP="000C33BB">
      <w:pPr>
        <w:numPr>
          <w:ilvl w:val="12"/>
          <w:numId w:val="0"/>
        </w:numPr>
        <w:tabs>
          <w:tab w:val="left" w:pos="-720"/>
        </w:tabs>
        <w:suppressAutoHyphens/>
        <w:rPr>
          <w:b/>
          <w:sz w:val="24"/>
          <w:szCs w:val="24"/>
        </w:rPr>
      </w:pPr>
    </w:p>
    <w:p w:rsidR="000C33BB" w:rsidRPr="000C33BB" w:rsidRDefault="000C33BB" w:rsidP="000C33BB">
      <w:pPr>
        <w:numPr>
          <w:ilvl w:val="0"/>
          <w:numId w:val="18"/>
        </w:numPr>
        <w:tabs>
          <w:tab w:val="clear" w:pos="720"/>
          <w:tab w:val="left" w:pos="-720"/>
        </w:tabs>
        <w:suppressAutoHyphens/>
        <w:ind w:left="1080"/>
        <w:rPr>
          <w:b/>
          <w:sz w:val="24"/>
          <w:szCs w:val="24"/>
        </w:rPr>
      </w:pPr>
      <w:r w:rsidRPr="000C33BB">
        <w:rPr>
          <w:b/>
          <w:sz w:val="24"/>
          <w:szCs w:val="24"/>
        </w:rPr>
        <w:t>requiring the use of a statistical data classification that has not been reviewed and approved by OMB;</w:t>
      </w:r>
    </w:p>
    <w:p w:rsidR="000C33BB" w:rsidRPr="000C33BB" w:rsidRDefault="000C33BB" w:rsidP="000C33BB">
      <w:pPr>
        <w:numPr>
          <w:ilvl w:val="12"/>
          <w:numId w:val="0"/>
        </w:numPr>
        <w:tabs>
          <w:tab w:val="left" w:pos="-720"/>
        </w:tabs>
        <w:suppressAutoHyphens/>
        <w:ind w:left="1080" w:hanging="360"/>
        <w:rPr>
          <w:b/>
          <w:sz w:val="24"/>
          <w:szCs w:val="24"/>
        </w:rPr>
      </w:pPr>
    </w:p>
    <w:p w:rsidR="000C33BB" w:rsidRPr="000C33BB" w:rsidRDefault="000C33BB" w:rsidP="000C33BB">
      <w:pPr>
        <w:numPr>
          <w:ilvl w:val="0"/>
          <w:numId w:val="20"/>
        </w:numPr>
        <w:tabs>
          <w:tab w:val="left" w:pos="-720"/>
        </w:tabs>
        <w:suppressAutoHyphens/>
        <w:ind w:left="1080"/>
        <w:rPr>
          <w:b/>
          <w:sz w:val="24"/>
          <w:szCs w:val="24"/>
        </w:rPr>
      </w:pPr>
      <w:r w:rsidRPr="000C33BB">
        <w:rPr>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C33BB" w:rsidRPr="000C33BB" w:rsidRDefault="000C33BB" w:rsidP="000C33BB">
      <w:pPr>
        <w:widowControl w:val="0"/>
        <w:ind w:left="1080" w:hanging="360"/>
        <w:rPr>
          <w:b/>
          <w:sz w:val="24"/>
          <w:szCs w:val="24"/>
        </w:rPr>
      </w:pPr>
    </w:p>
    <w:p w:rsidR="000C33BB" w:rsidRPr="000C33BB" w:rsidRDefault="000C33BB" w:rsidP="000C33BB">
      <w:pPr>
        <w:widowControl w:val="0"/>
        <w:numPr>
          <w:ilvl w:val="0"/>
          <w:numId w:val="19"/>
        </w:numPr>
        <w:ind w:left="1080"/>
        <w:rPr>
          <w:b/>
          <w:sz w:val="24"/>
          <w:szCs w:val="24"/>
        </w:rPr>
      </w:pPr>
      <w:r w:rsidRPr="000C33BB">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E7D73" w:rsidRDefault="003E7D73" w:rsidP="000C33BB">
      <w:pPr>
        <w:widowControl w:val="0"/>
        <w:ind w:left="720" w:hanging="720"/>
        <w:rPr>
          <w:sz w:val="24"/>
        </w:rPr>
      </w:pPr>
      <w:r>
        <w:rPr>
          <w:sz w:val="24"/>
        </w:rPr>
        <w:tab/>
      </w:r>
    </w:p>
    <w:p w:rsidR="003E7D73" w:rsidRDefault="003E7D73" w:rsidP="00763100">
      <w:pPr>
        <w:pStyle w:val="BodyText"/>
        <w:widowControl w:val="0"/>
        <w:ind w:left="720" w:hanging="720"/>
        <w:jc w:val="both"/>
      </w:pPr>
      <w:r>
        <w:tab/>
        <w:t>None of the special circumstances listed apply to this data collection.</w:t>
      </w:r>
    </w:p>
    <w:p w:rsidR="003E7D73" w:rsidRDefault="003E7D73" w:rsidP="00763100">
      <w:pPr>
        <w:widowControl w:val="0"/>
        <w:ind w:left="720" w:hanging="720"/>
        <w:rPr>
          <w:sz w:val="24"/>
        </w:rPr>
      </w:pPr>
    </w:p>
    <w:p w:rsidR="004D0F6E" w:rsidRPr="000C33BB" w:rsidRDefault="004D0F6E" w:rsidP="004D0F6E">
      <w:pPr>
        <w:numPr>
          <w:ilvl w:val="0"/>
          <w:numId w:val="17"/>
        </w:numPr>
        <w:tabs>
          <w:tab w:val="left" w:pos="-720"/>
        </w:tabs>
        <w:suppressAutoHyphens/>
        <w:ind w:left="720" w:hanging="630"/>
        <w:rPr>
          <w:b/>
          <w:sz w:val="24"/>
          <w:szCs w:val="24"/>
        </w:rPr>
      </w:pPr>
      <w:r w:rsidRPr="000C33B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D0F6E" w:rsidRPr="000C33BB" w:rsidRDefault="004D0F6E" w:rsidP="004D0F6E">
      <w:pPr>
        <w:tabs>
          <w:tab w:val="left" w:pos="-720"/>
          <w:tab w:val="left" w:pos="720"/>
        </w:tabs>
        <w:suppressAutoHyphens/>
        <w:rPr>
          <w:rStyle w:val="a"/>
          <w:b/>
          <w:sz w:val="24"/>
          <w:szCs w:val="24"/>
        </w:rPr>
      </w:pPr>
    </w:p>
    <w:p w:rsidR="004D0F6E" w:rsidRPr="000C33BB" w:rsidRDefault="004D0F6E" w:rsidP="004D0F6E">
      <w:pPr>
        <w:tabs>
          <w:tab w:val="left" w:pos="-720"/>
        </w:tabs>
        <w:suppressAutoHyphens/>
        <w:ind w:left="720"/>
        <w:rPr>
          <w:rStyle w:val="a"/>
          <w:b/>
          <w:sz w:val="24"/>
          <w:szCs w:val="24"/>
        </w:rPr>
      </w:pPr>
      <w:r w:rsidRPr="000C33BB">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D0F6E" w:rsidRPr="000C33BB" w:rsidRDefault="004D0F6E" w:rsidP="004D0F6E">
      <w:pPr>
        <w:tabs>
          <w:tab w:val="left" w:pos="-720"/>
        </w:tabs>
        <w:suppressAutoHyphens/>
        <w:ind w:left="720"/>
        <w:rPr>
          <w:rStyle w:val="a"/>
          <w:b/>
          <w:sz w:val="24"/>
          <w:szCs w:val="24"/>
        </w:rPr>
      </w:pPr>
    </w:p>
    <w:p w:rsidR="004D0F6E" w:rsidRPr="000C33BB" w:rsidRDefault="004D0F6E" w:rsidP="004D0F6E">
      <w:pPr>
        <w:tabs>
          <w:tab w:val="left" w:pos="-720"/>
        </w:tabs>
        <w:suppressAutoHyphens/>
        <w:ind w:left="720"/>
        <w:rPr>
          <w:b/>
          <w:sz w:val="24"/>
          <w:szCs w:val="24"/>
        </w:rPr>
      </w:pPr>
      <w:r w:rsidRPr="000C33BB">
        <w:rPr>
          <w:rStyle w:val="a"/>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E7D73" w:rsidRDefault="003E7D73" w:rsidP="004D0F6E">
      <w:pPr>
        <w:widowControl w:val="0"/>
        <w:tabs>
          <w:tab w:val="left" w:pos="720"/>
        </w:tabs>
        <w:ind w:left="720" w:hanging="720"/>
        <w:rPr>
          <w:b/>
          <w:i/>
          <w:sz w:val="24"/>
        </w:rPr>
      </w:pPr>
    </w:p>
    <w:p w:rsidR="00346E9B" w:rsidRDefault="00DF0696" w:rsidP="004D0F6E">
      <w:pPr>
        <w:pStyle w:val="BodyTextIndent3"/>
      </w:pPr>
      <w:r>
        <w:t>T</w:t>
      </w:r>
      <w:r w:rsidR="003E7D73">
        <w:t xml:space="preserve">he </w:t>
      </w:r>
      <w:r w:rsidR="00612C4C">
        <w:t xml:space="preserve">applicable </w:t>
      </w:r>
      <w:r w:rsidR="003E7D73">
        <w:t>Federal Register</w:t>
      </w:r>
      <w:r w:rsidR="00612C4C">
        <w:t xml:space="preserve"> notices were publi</w:t>
      </w:r>
      <w:r>
        <w:t>s</w:t>
      </w:r>
      <w:r w:rsidR="00612C4C">
        <w:t>he</w:t>
      </w:r>
      <w:r>
        <w:t>d</w:t>
      </w:r>
      <w:r w:rsidR="00612C4C">
        <w:t xml:space="preserve"> and no comments were received.</w:t>
      </w:r>
      <w:r w:rsidR="003E7D73">
        <w:t xml:space="preserve">  This is a continuation of previously improved collections that have been developed in consultation with schools participating in the </w:t>
      </w:r>
      <w:r>
        <w:t>e</w:t>
      </w:r>
      <w:r w:rsidR="003E7D73">
        <w:t xml:space="preserve">xperiments. </w:t>
      </w:r>
    </w:p>
    <w:p w:rsidR="000C33BB" w:rsidRDefault="000C33BB" w:rsidP="004D0F6E">
      <w:pPr>
        <w:pStyle w:val="BodyTextIndent3"/>
      </w:pPr>
    </w:p>
    <w:p w:rsidR="003E7D73" w:rsidRDefault="003E7D73" w:rsidP="00763100">
      <w:pPr>
        <w:widowControl w:val="0"/>
        <w:ind w:left="720" w:hanging="720"/>
        <w:rPr>
          <w:sz w:val="24"/>
        </w:rPr>
      </w:pPr>
    </w:p>
    <w:p w:rsidR="003E7D73" w:rsidRPr="004D0F6E" w:rsidRDefault="00346E9B" w:rsidP="00763100">
      <w:pPr>
        <w:widowControl w:val="0"/>
        <w:numPr>
          <w:ilvl w:val="0"/>
          <w:numId w:val="5"/>
        </w:numPr>
        <w:tabs>
          <w:tab w:val="clear" w:pos="720"/>
        </w:tabs>
        <w:rPr>
          <w:b/>
          <w:i/>
          <w:sz w:val="24"/>
          <w:szCs w:val="24"/>
        </w:rPr>
      </w:pPr>
      <w:r w:rsidRPr="004D0F6E">
        <w:rPr>
          <w:rStyle w:val="a"/>
          <w:b/>
          <w:sz w:val="24"/>
          <w:szCs w:val="24"/>
        </w:rPr>
        <w:lastRenderedPageBreak/>
        <w:t>Explain any decision to provide any payment or gift to respondents, other than remuneration of contractors or grantees.</w:t>
      </w:r>
    </w:p>
    <w:p w:rsidR="003E7D73" w:rsidRDefault="003E7D73">
      <w:pPr>
        <w:widowControl w:val="0"/>
        <w:rPr>
          <w:b/>
          <w:i/>
          <w:sz w:val="24"/>
        </w:rPr>
      </w:pPr>
    </w:p>
    <w:p w:rsidR="00DF0696" w:rsidRDefault="003E7D73">
      <w:pPr>
        <w:widowControl w:val="0"/>
        <w:ind w:left="720"/>
        <w:rPr>
          <w:sz w:val="24"/>
        </w:rPr>
      </w:pPr>
      <w:r>
        <w:rPr>
          <w:sz w:val="24"/>
        </w:rPr>
        <w:t>The Department will not provide payment or gifts to the respondents participating in this initiative.  All participation will be voluntary.</w:t>
      </w:r>
    </w:p>
    <w:p w:rsidR="003E7D73" w:rsidRDefault="003E7D73">
      <w:pPr>
        <w:widowControl w:val="0"/>
        <w:rPr>
          <w:sz w:val="24"/>
        </w:rPr>
      </w:pPr>
    </w:p>
    <w:p w:rsidR="003E7D73" w:rsidRPr="004D0F6E" w:rsidRDefault="00346E9B" w:rsidP="00763100">
      <w:pPr>
        <w:widowControl w:val="0"/>
        <w:numPr>
          <w:ilvl w:val="0"/>
          <w:numId w:val="5"/>
        </w:numPr>
        <w:tabs>
          <w:tab w:val="clear" w:pos="720"/>
        </w:tabs>
        <w:rPr>
          <w:b/>
          <w:i/>
          <w:sz w:val="24"/>
          <w:szCs w:val="24"/>
        </w:rPr>
      </w:pPr>
      <w:r w:rsidRPr="004D0F6E">
        <w:rPr>
          <w:b/>
          <w:sz w:val="24"/>
          <w:szCs w:val="24"/>
        </w:rPr>
        <w:t>Describe any assurance of confidentiality provided to respondents and the basis for the assurance in statute, regulation, or agency policy.</w:t>
      </w:r>
    </w:p>
    <w:p w:rsidR="003E7D73" w:rsidRDefault="003E7D73">
      <w:pPr>
        <w:widowControl w:val="0"/>
        <w:rPr>
          <w:b/>
          <w:i/>
          <w:sz w:val="24"/>
        </w:rPr>
      </w:pPr>
    </w:p>
    <w:p w:rsidR="003E7D73" w:rsidRDefault="003E7D73">
      <w:pPr>
        <w:widowControl w:val="0"/>
        <w:ind w:left="720"/>
        <w:rPr>
          <w:sz w:val="24"/>
        </w:rPr>
      </w:pPr>
      <w:r>
        <w:rPr>
          <w:sz w:val="24"/>
        </w:rPr>
        <w:t>No assurance of confidentiality is provided to the respondents.  There is no requirement for such an assurance in statute.</w:t>
      </w:r>
    </w:p>
    <w:p w:rsidR="003E7D73" w:rsidRDefault="003E7D73">
      <w:pPr>
        <w:widowControl w:val="0"/>
        <w:rPr>
          <w:sz w:val="24"/>
        </w:rPr>
      </w:pPr>
    </w:p>
    <w:p w:rsidR="003E7D73" w:rsidRPr="004D0F6E" w:rsidRDefault="00763100">
      <w:pPr>
        <w:widowControl w:val="0"/>
        <w:numPr>
          <w:ilvl w:val="0"/>
          <w:numId w:val="5"/>
        </w:numPr>
        <w:rPr>
          <w:b/>
          <w:i/>
          <w:sz w:val="24"/>
          <w:szCs w:val="24"/>
        </w:rPr>
      </w:pPr>
      <w:r w:rsidRPr="004D0F6E">
        <w:rPr>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7D73" w:rsidRDefault="003E7D73">
      <w:pPr>
        <w:widowControl w:val="0"/>
        <w:rPr>
          <w:b/>
          <w:i/>
          <w:sz w:val="24"/>
        </w:rPr>
      </w:pPr>
    </w:p>
    <w:p w:rsidR="003E7D73" w:rsidRDefault="003E7D73">
      <w:pPr>
        <w:widowControl w:val="0"/>
        <w:ind w:left="720"/>
        <w:rPr>
          <w:sz w:val="24"/>
        </w:rPr>
      </w:pPr>
      <w:r>
        <w:rPr>
          <w:sz w:val="24"/>
        </w:rPr>
        <w:t>No questions of a sensitive nature will be included in the data collection information package.</w:t>
      </w:r>
    </w:p>
    <w:p w:rsidR="003E7D73" w:rsidRDefault="003E7D73">
      <w:pPr>
        <w:widowControl w:val="0"/>
        <w:rPr>
          <w:sz w:val="24"/>
        </w:rPr>
      </w:pPr>
    </w:p>
    <w:p w:rsidR="003E7D73" w:rsidRPr="004D0F6E" w:rsidRDefault="00763100">
      <w:pPr>
        <w:widowControl w:val="0"/>
        <w:numPr>
          <w:ilvl w:val="0"/>
          <w:numId w:val="5"/>
        </w:numPr>
        <w:rPr>
          <w:rStyle w:val="a"/>
          <w:b/>
          <w:i/>
          <w:sz w:val="24"/>
          <w:szCs w:val="24"/>
        </w:rPr>
      </w:pPr>
      <w:r w:rsidRPr="004D0F6E">
        <w:rPr>
          <w:rStyle w:val="a"/>
          <w:b/>
          <w:sz w:val="24"/>
          <w:szCs w:val="24"/>
        </w:rPr>
        <w:t>Provide estimates of the hour burden of the collection of information.  The statement should :</w:t>
      </w:r>
    </w:p>
    <w:p w:rsidR="004D0F6E" w:rsidRPr="004D0F6E" w:rsidRDefault="004D0F6E" w:rsidP="004D0F6E">
      <w:pPr>
        <w:widowControl w:val="0"/>
        <w:ind w:left="720"/>
        <w:rPr>
          <w:rStyle w:val="a"/>
          <w:b/>
          <w:i/>
          <w:sz w:val="24"/>
          <w:szCs w:val="24"/>
        </w:rPr>
      </w:pPr>
    </w:p>
    <w:p w:rsidR="004D0F6E" w:rsidRPr="004D0F6E" w:rsidRDefault="004D0F6E" w:rsidP="004D0F6E">
      <w:pPr>
        <w:widowControl w:val="0"/>
        <w:numPr>
          <w:ilvl w:val="0"/>
          <w:numId w:val="16"/>
        </w:numPr>
        <w:ind w:left="1170"/>
        <w:rPr>
          <w:rStyle w:val="a"/>
          <w:b/>
          <w:i/>
          <w:sz w:val="24"/>
          <w:szCs w:val="24"/>
        </w:rPr>
      </w:pPr>
      <w:r w:rsidRPr="004D0F6E">
        <w:rPr>
          <w:rStyle w:val="a"/>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F6E" w:rsidRPr="004D0F6E" w:rsidRDefault="004D0F6E" w:rsidP="004D0F6E">
      <w:pPr>
        <w:widowControl w:val="0"/>
        <w:numPr>
          <w:ilvl w:val="0"/>
          <w:numId w:val="16"/>
        </w:numPr>
        <w:ind w:left="1170"/>
        <w:rPr>
          <w:rStyle w:val="a"/>
          <w:b/>
          <w:i/>
          <w:sz w:val="24"/>
          <w:szCs w:val="24"/>
        </w:rPr>
      </w:pPr>
      <w:r w:rsidRPr="004D0F6E">
        <w:rPr>
          <w:rStyle w:val="a"/>
          <w:b/>
          <w:sz w:val="24"/>
          <w:szCs w:val="24"/>
        </w:rPr>
        <w:t>If this request for approval covers more than one form, provide separate hour burden estimates for each form and aggregate the hour burdens in item 16 of IC Data Part 1.</w:t>
      </w:r>
    </w:p>
    <w:p w:rsidR="004D0F6E" w:rsidRPr="004D0F6E" w:rsidRDefault="004D0F6E" w:rsidP="004D0F6E">
      <w:pPr>
        <w:widowControl w:val="0"/>
        <w:numPr>
          <w:ilvl w:val="0"/>
          <w:numId w:val="16"/>
        </w:numPr>
        <w:ind w:left="1170"/>
        <w:rPr>
          <w:b/>
          <w:i/>
          <w:sz w:val="24"/>
          <w:szCs w:val="24"/>
        </w:rPr>
      </w:pPr>
      <w:r w:rsidRPr="004D0F6E">
        <w:rPr>
          <w:rStyle w:val="a"/>
          <w:b/>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E7D73" w:rsidRDefault="003E7D73">
      <w:pPr>
        <w:widowControl w:val="0"/>
        <w:rPr>
          <w:b/>
          <w:i/>
          <w:sz w:val="24"/>
        </w:rPr>
      </w:pPr>
    </w:p>
    <w:p w:rsidR="00DF0696" w:rsidRDefault="003E7D73">
      <w:pPr>
        <w:widowControl w:val="0"/>
        <w:ind w:left="720"/>
        <w:rPr>
          <w:sz w:val="24"/>
        </w:rPr>
      </w:pPr>
      <w:r>
        <w:rPr>
          <w:sz w:val="24"/>
        </w:rPr>
        <w:t xml:space="preserve">Each </w:t>
      </w:r>
      <w:r w:rsidR="008767DD">
        <w:rPr>
          <w:sz w:val="24"/>
        </w:rPr>
        <w:t xml:space="preserve">of the 85 respondents </w:t>
      </w:r>
      <w:r>
        <w:rPr>
          <w:sz w:val="24"/>
        </w:rPr>
        <w:t xml:space="preserve">will submit a report format for one or more of the </w:t>
      </w:r>
      <w:r w:rsidR="00AA3FD4">
        <w:rPr>
          <w:sz w:val="24"/>
        </w:rPr>
        <w:lastRenderedPageBreak/>
        <w:t>seven</w:t>
      </w:r>
      <w:r>
        <w:rPr>
          <w:sz w:val="24"/>
        </w:rPr>
        <w:t xml:space="preserve"> experiments.  The estimated total of the hour </w:t>
      </w:r>
      <w:r w:rsidRPr="00ED7128">
        <w:rPr>
          <w:sz w:val="24"/>
        </w:rPr>
        <w:t>burden</w:t>
      </w:r>
      <w:r>
        <w:rPr>
          <w:sz w:val="24"/>
        </w:rPr>
        <w:t xml:space="preserve"> of the data collection effort is </w:t>
      </w:r>
      <w:r w:rsidR="00727D75">
        <w:rPr>
          <w:sz w:val="24"/>
        </w:rPr>
        <w:t xml:space="preserve">935 </w:t>
      </w:r>
      <w:r>
        <w:rPr>
          <w:sz w:val="24"/>
        </w:rPr>
        <w:t>hours</w:t>
      </w:r>
      <w:r w:rsidR="00DF0696">
        <w:rPr>
          <w:sz w:val="24"/>
        </w:rPr>
        <w:t xml:space="preserve"> or an average of </w:t>
      </w:r>
      <w:r w:rsidR="00727D75">
        <w:rPr>
          <w:sz w:val="24"/>
        </w:rPr>
        <w:t xml:space="preserve">11 </w:t>
      </w:r>
      <w:r w:rsidR="00DF0696">
        <w:rPr>
          <w:sz w:val="24"/>
        </w:rPr>
        <w:t xml:space="preserve">hours per respondent.  The total cost for the reporting period is estimated at </w:t>
      </w:r>
      <w:r>
        <w:rPr>
          <w:sz w:val="24"/>
        </w:rPr>
        <w:t>$</w:t>
      </w:r>
      <w:r w:rsidR="00AA3FD4">
        <w:rPr>
          <w:sz w:val="24"/>
        </w:rPr>
        <w:t>3</w:t>
      </w:r>
      <w:r w:rsidR="00DF0696">
        <w:rPr>
          <w:sz w:val="24"/>
        </w:rPr>
        <w:t>1</w:t>
      </w:r>
      <w:r>
        <w:rPr>
          <w:sz w:val="24"/>
        </w:rPr>
        <w:t>,</w:t>
      </w:r>
      <w:r w:rsidR="00DF0696">
        <w:rPr>
          <w:sz w:val="24"/>
        </w:rPr>
        <w:t>790.00 or an average or $374 per institution.</w:t>
      </w:r>
    </w:p>
    <w:p w:rsidR="00DF0696" w:rsidRDefault="00DF0696">
      <w:pPr>
        <w:widowControl w:val="0"/>
        <w:ind w:left="720"/>
        <w:rPr>
          <w:sz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034"/>
        <w:gridCol w:w="2034"/>
        <w:gridCol w:w="2412"/>
      </w:tblGrid>
      <w:tr w:rsidR="00DF0696" w:rsidRPr="00221EF2" w:rsidTr="00221EF2">
        <w:trPr>
          <w:trHeight w:val="422"/>
        </w:trPr>
        <w:tc>
          <w:tcPr>
            <w:tcW w:w="9090" w:type="dxa"/>
            <w:gridSpan w:val="4"/>
          </w:tcPr>
          <w:p w:rsidR="00DF0696" w:rsidRPr="00221EF2" w:rsidRDefault="00DF0696" w:rsidP="00D60102">
            <w:pPr>
              <w:widowControl w:val="0"/>
              <w:rPr>
                <w:sz w:val="24"/>
              </w:rPr>
            </w:pPr>
            <w:r w:rsidRPr="00221EF2">
              <w:rPr>
                <w:b/>
                <w:i/>
                <w:sz w:val="24"/>
                <w:u w:val="single"/>
              </w:rPr>
              <w:t>Exhibit</w:t>
            </w:r>
            <w:r w:rsidR="00D60102">
              <w:rPr>
                <w:b/>
                <w:i/>
                <w:sz w:val="24"/>
                <w:u w:val="single"/>
              </w:rPr>
              <w:t xml:space="preserve"> 1</w:t>
            </w:r>
          </w:p>
        </w:tc>
      </w:tr>
      <w:tr w:rsidR="00DF0696" w:rsidRPr="00221EF2" w:rsidTr="00221EF2">
        <w:tc>
          <w:tcPr>
            <w:tcW w:w="2610" w:type="dxa"/>
          </w:tcPr>
          <w:p w:rsidR="00DF0696" w:rsidRPr="00221EF2" w:rsidRDefault="00DF0696" w:rsidP="00221EF2">
            <w:pPr>
              <w:widowControl w:val="0"/>
              <w:rPr>
                <w:sz w:val="24"/>
              </w:rPr>
            </w:pPr>
            <w:r w:rsidRPr="00221EF2">
              <w:rPr>
                <w:b/>
                <w:sz w:val="24"/>
              </w:rPr>
              <w:t>RESOURCE</w:t>
            </w:r>
          </w:p>
        </w:tc>
        <w:tc>
          <w:tcPr>
            <w:tcW w:w="2034" w:type="dxa"/>
          </w:tcPr>
          <w:p w:rsidR="00DF0696" w:rsidRPr="00221EF2" w:rsidRDefault="00DF0696" w:rsidP="00221EF2">
            <w:pPr>
              <w:widowControl w:val="0"/>
              <w:rPr>
                <w:sz w:val="24"/>
              </w:rPr>
            </w:pPr>
            <w:r w:rsidRPr="00221EF2">
              <w:rPr>
                <w:b/>
                <w:sz w:val="24"/>
              </w:rPr>
              <w:t>HOURS/RATE</w:t>
            </w:r>
          </w:p>
        </w:tc>
        <w:tc>
          <w:tcPr>
            <w:tcW w:w="2034" w:type="dxa"/>
          </w:tcPr>
          <w:p w:rsidR="00DF0696" w:rsidRPr="00221EF2" w:rsidRDefault="00DF0696" w:rsidP="00221EF2">
            <w:pPr>
              <w:widowControl w:val="0"/>
              <w:rPr>
                <w:sz w:val="24"/>
              </w:rPr>
            </w:pPr>
            <w:r w:rsidRPr="00221EF2">
              <w:rPr>
                <w:b/>
                <w:sz w:val="24"/>
              </w:rPr>
              <w:t>NUMBER</w:t>
            </w:r>
          </w:p>
        </w:tc>
        <w:tc>
          <w:tcPr>
            <w:tcW w:w="2412" w:type="dxa"/>
          </w:tcPr>
          <w:p w:rsidR="00DF0696" w:rsidRPr="00221EF2" w:rsidRDefault="00DF0696" w:rsidP="00221EF2">
            <w:pPr>
              <w:widowControl w:val="0"/>
              <w:rPr>
                <w:sz w:val="24"/>
              </w:rPr>
            </w:pPr>
            <w:r w:rsidRPr="00221EF2">
              <w:rPr>
                <w:b/>
                <w:sz w:val="24"/>
              </w:rPr>
              <w:t>MONETARY COST</w:t>
            </w:r>
          </w:p>
        </w:tc>
      </w:tr>
      <w:tr w:rsidR="00DF0696" w:rsidRPr="00221EF2" w:rsidTr="00221EF2">
        <w:tc>
          <w:tcPr>
            <w:tcW w:w="2610" w:type="dxa"/>
          </w:tcPr>
          <w:p w:rsidR="00DF0696" w:rsidRPr="00221EF2" w:rsidRDefault="00DF0696" w:rsidP="00221EF2">
            <w:pPr>
              <w:widowControl w:val="0"/>
              <w:rPr>
                <w:sz w:val="24"/>
              </w:rPr>
            </w:pPr>
            <w:r w:rsidRPr="00221EF2">
              <w:rPr>
                <w:sz w:val="24"/>
              </w:rPr>
              <w:t>Computer Personnel</w:t>
            </w:r>
          </w:p>
        </w:tc>
        <w:tc>
          <w:tcPr>
            <w:tcW w:w="2034" w:type="dxa"/>
          </w:tcPr>
          <w:p w:rsidR="00DF0696" w:rsidRPr="00221EF2" w:rsidRDefault="00DF0696" w:rsidP="00221EF2">
            <w:pPr>
              <w:widowControl w:val="0"/>
              <w:rPr>
                <w:sz w:val="24"/>
              </w:rPr>
            </w:pPr>
            <w:r w:rsidRPr="00221EF2">
              <w:rPr>
                <w:sz w:val="24"/>
              </w:rPr>
              <w:t>4 hours/$50</w:t>
            </w:r>
          </w:p>
        </w:tc>
        <w:tc>
          <w:tcPr>
            <w:tcW w:w="2034" w:type="dxa"/>
          </w:tcPr>
          <w:p w:rsidR="00DF0696" w:rsidRPr="00221EF2" w:rsidRDefault="00DF0696" w:rsidP="00221EF2">
            <w:pPr>
              <w:widowControl w:val="0"/>
              <w:rPr>
                <w:sz w:val="24"/>
              </w:rPr>
            </w:pPr>
            <w:r w:rsidRPr="00221EF2">
              <w:rPr>
                <w:sz w:val="24"/>
              </w:rPr>
              <w:t>85 Schools</w:t>
            </w:r>
          </w:p>
        </w:tc>
        <w:tc>
          <w:tcPr>
            <w:tcW w:w="2412" w:type="dxa"/>
          </w:tcPr>
          <w:p w:rsidR="00DF0696" w:rsidRPr="00221EF2" w:rsidRDefault="00DF0696" w:rsidP="00221EF2">
            <w:pPr>
              <w:widowControl w:val="0"/>
              <w:rPr>
                <w:sz w:val="24"/>
              </w:rPr>
            </w:pPr>
            <w:r w:rsidRPr="00221EF2">
              <w:rPr>
                <w:sz w:val="24"/>
              </w:rPr>
              <w:t>$17,000</w:t>
            </w:r>
          </w:p>
        </w:tc>
      </w:tr>
      <w:tr w:rsidR="00DF0696" w:rsidRPr="00221EF2" w:rsidTr="00221EF2">
        <w:tc>
          <w:tcPr>
            <w:tcW w:w="2610" w:type="dxa"/>
          </w:tcPr>
          <w:p w:rsidR="00DF0696" w:rsidRPr="00221EF2" w:rsidRDefault="00DF0696" w:rsidP="00221EF2">
            <w:pPr>
              <w:widowControl w:val="0"/>
              <w:rPr>
                <w:sz w:val="24"/>
              </w:rPr>
            </w:pPr>
            <w:r w:rsidRPr="00221EF2">
              <w:rPr>
                <w:sz w:val="24"/>
              </w:rPr>
              <w:t>Financial Aid Personnel</w:t>
            </w:r>
          </w:p>
        </w:tc>
        <w:tc>
          <w:tcPr>
            <w:tcW w:w="2034" w:type="dxa"/>
          </w:tcPr>
          <w:p w:rsidR="00DF0696" w:rsidRPr="00221EF2" w:rsidRDefault="00DF0696" w:rsidP="00221EF2">
            <w:pPr>
              <w:widowControl w:val="0"/>
              <w:rPr>
                <w:sz w:val="24"/>
              </w:rPr>
            </w:pPr>
            <w:r w:rsidRPr="00221EF2">
              <w:rPr>
                <w:sz w:val="24"/>
              </w:rPr>
              <w:t>5 hours/$30</w:t>
            </w:r>
          </w:p>
        </w:tc>
        <w:tc>
          <w:tcPr>
            <w:tcW w:w="2034" w:type="dxa"/>
          </w:tcPr>
          <w:p w:rsidR="00DF0696" w:rsidRPr="00221EF2" w:rsidRDefault="00DF0696" w:rsidP="00221EF2">
            <w:pPr>
              <w:widowControl w:val="0"/>
              <w:rPr>
                <w:sz w:val="24"/>
              </w:rPr>
            </w:pPr>
            <w:r w:rsidRPr="00221EF2">
              <w:rPr>
                <w:sz w:val="24"/>
              </w:rPr>
              <w:t>85 Schools</w:t>
            </w:r>
          </w:p>
        </w:tc>
        <w:tc>
          <w:tcPr>
            <w:tcW w:w="2412" w:type="dxa"/>
          </w:tcPr>
          <w:p w:rsidR="00DF0696" w:rsidRPr="00221EF2" w:rsidRDefault="00DF0696" w:rsidP="00221EF2">
            <w:pPr>
              <w:widowControl w:val="0"/>
              <w:rPr>
                <w:sz w:val="24"/>
              </w:rPr>
            </w:pPr>
            <w:r w:rsidRPr="00221EF2">
              <w:rPr>
                <w:sz w:val="24"/>
              </w:rPr>
              <w:t>$12,750</w:t>
            </w:r>
          </w:p>
        </w:tc>
      </w:tr>
      <w:tr w:rsidR="00DF0696" w:rsidRPr="00221EF2" w:rsidTr="00221EF2">
        <w:tc>
          <w:tcPr>
            <w:tcW w:w="2610" w:type="dxa"/>
          </w:tcPr>
          <w:p w:rsidR="00DF0696" w:rsidRPr="00221EF2" w:rsidRDefault="00DF0696" w:rsidP="00221EF2">
            <w:pPr>
              <w:widowControl w:val="0"/>
              <w:rPr>
                <w:sz w:val="24"/>
              </w:rPr>
            </w:pPr>
            <w:r w:rsidRPr="00221EF2">
              <w:rPr>
                <w:sz w:val="24"/>
              </w:rPr>
              <w:t>Clerical Personnel</w:t>
            </w:r>
          </w:p>
        </w:tc>
        <w:tc>
          <w:tcPr>
            <w:tcW w:w="2034" w:type="dxa"/>
          </w:tcPr>
          <w:p w:rsidR="00DF0696" w:rsidRPr="00221EF2" w:rsidRDefault="00DF0696" w:rsidP="00221EF2">
            <w:pPr>
              <w:widowControl w:val="0"/>
              <w:rPr>
                <w:sz w:val="24"/>
              </w:rPr>
            </w:pPr>
            <w:r w:rsidRPr="00221EF2">
              <w:rPr>
                <w:sz w:val="24"/>
              </w:rPr>
              <w:t>2 hours/$12</w:t>
            </w:r>
          </w:p>
        </w:tc>
        <w:tc>
          <w:tcPr>
            <w:tcW w:w="2034" w:type="dxa"/>
          </w:tcPr>
          <w:p w:rsidR="00DF0696" w:rsidRPr="00221EF2" w:rsidRDefault="00DF0696" w:rsidP="00221EF2">
            <w:pPr>
              <w:widowControl w:val="0"/>
              <w:rPr>
                <w:sz w:val="24"/>
              </w:rPr>
            </w:pPr>
            <w:r w:rsidRPr="00221EF2">
              <w:rPr>
                <w:sz w:val="24"/>
              </w:rPr>
              <w:t>85 Schools</w:t>
            </w:r>
          </w:p>
        </w:tc>
        <w:tc>
          <w:tcPr>
            <w:tcW w:w="2412" w:type="dxa"/>
          </w:tcPr>
          <w:p w:rsidR="00DF0696" w:rsidRPr="00221EF2" w:rsidRDefault="00DF0696" w:rsidP="00221EF2">
            <w:pPr>
              <w:widowControl w:val="0"/>
              <w:rPr>
                <w:sz w:val="24"/>
              </w:rPr>
            </w:pPr>
            <w:r w:rsidRPr="00221EF2">
              <w:rPr>
                <w:sz w:val="24"/>
              </w:rPr>
              <w:t>$2,040</w:t>
            </w:r>
          </w:p>
        </w:tc>
      </w:tr>
      <w:tr w:rsidR="00DF0696" w:rsidRPr="00221EF2" w:rsidTr="00221EF2">
        <w:tc>
          <w:tcPr>
            <w:tcW w:w="6678" w:type="dxa"/>
            <w:gridSpan w:val="3"/>
          </w:tcPr>
          <w:p w:rsidR="00DF0696" w:rsidRPr="00221EF2" w:rsidRDefault="00DF0696" w:rsidP="00221EF2">
            <w:pPr>
              <w:widowControl w:val="0"/>
              <w:jc w:val="right"/>
              <w:rPr>
                <w:b/>
                <w:sz w:val="24"/>
              </w:rPr>
            </w:pPr>
            <w:r w:rsidRPr="00221EF2">
              <w:rPr>
                <w:b/>
                <w:sz w:val="24"/>
              </w:rPr>
              <w:t>TOTAL</w:t>
            </w:r>
          </w:p>
        </w:tc>
        <w:tc>
          <w:tcPr>
            <w:tcW w:w="2412" w:type="dxa"/>
          </w:tcPr>
          <w:p w:rsidR="00DF0696" w:rsidRPr="00221EF2" w:rsidRDefault="00DF0696" w:rsidP="00221EF2">
            <w:pPr>
              <w:widowControl w:val="0"/>
              <w:rPr>
                <w:b/>
                <w:sz w:val="24"/>
              </w:rPr>
            </w:pPr>
            <w:r w:rsidRPr="00221EF2">
              <w:rPr>
                <w:b/>
                <w:sz w:val="24"/>
              </w:rPr>
              <w:t>$31,790</w:t>
            </w:r>
          </w:p>
        </w:tc>
      </w:tr>
    </w:tbl>
    <w:p w:rsidR="003E7D73" w:rsidRDefault="003E7D73">
      <w:pPr>
        <w:widowControl w:val="0"/>
      </w:pPr>
    </w:p>
    <w:p w:rsidR="004D0F6E" w:rsidRPr="004D0F6E" w:rsidRDefault="004D0F6E" w:rsidP="004D0F6E">
      <w:pPr>
        <w:widowControl w:val="0"/>
        <w:numPr>
          <w:ilvl w:val="0"/>
          <w:numId w:val="5"/>
        </w:numPr>
        <w:suppressAutoHyphens/>
        <w:rPr>
          <w:b/>
          <w:sz w:val="24"/>
          <w:szCs w:val="24"/>
        </w:rPr>
      </w:pPr>
      <w:r w:rsidRPr="004D0F6E">
        <w:rPr>
          <w:rStyle w:val="a"/>
          <w:b/>
          <w:sz w:val="24"/>
          <w:szCs w:val="24"/>
        </w:rPr>
        <w:t>Provide an estimate of the total annual cost burden to respondents or record keepers resulting from the collection of information.  (Do not include the cost of any hour burden shown in Items 12 and 14.)</w:t>
      </w:r>
    </w:p>
    <w:p w:rsidR="004D0F6E" w:rsidRPr="004D0F6E" w:rsidRDefault="004D0F6E" w:rsidP="004D0F6E">
      <w:pPr>
        <w:tabs>
          <w:tab w:val="left" w:pos="-720"/>
        </w:tabs>
        <w:suppressAutoHyphens/>
        <w:rPr>
          <w:b/>
          <w:sz w:val="24"/>
          <w:szCs w:val="24"/>
        </w:rPr>
      </w:pPr>
    </w:p>
    <w:p w:rsidR="004D0F6E" w:rsidRPr="004D0F6E" w:rsidRDefault="004D0F6E" w:rsidP="004D0F6E">
      <w:pPr>
        <w:numPr>
          <w:ilvl w:val="0"/>
          <w:numId w:val="14"/>
        </w:numPr>
        <w:tabs>
          <w:tab w:val="clear" w:pos="700"/>
          <w:tab w:val="left" w:pos="-720"/>
          <w:tab w:val="num" w:pos="1170"/>
          <w:tab w:val="left" w:pos="1247"/>
        </w:tabs>
        <w:suppressAutoHyphens/>
        <w:ind w:left="1170"/>
        <w:rPr>
          <w:b/>
          <w:sz w:val="24"/>
          <w:szCs w:val="24"/>
        </w:rPr>
      </w:pPr>
      <w:r w:rsidRPr="004D0F6E">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4D0F6E" w:rsidRPr="004D0F6E" w:rsidRDefault="004D0F6E" w:rsidP="004D0F6E">
      <w:pPr>
        <w:numPr>
          <w:ilvl w:val="12"/>
          <w:numId w:val="0"/>
        </w:numPr>
        <w:tabs>
          <w:tab w:val="left" w:pos="-720"/>
          <w:tab w:val="num" w:pos="1170"/>
        </w:tabs>
        <w:suppressAutoHyphens/>
        <w:ind w:left="1170"/>
        <w:rPr>
          <w:b/>
          <w:sz w:val="24"/>
          <w:szCs w:val="24"/>
        </w:rPr>
      </w:pPr>
    </w:p>
    <w:p w:rsidR="004D0F6E" w:rsidRPr="004D0F6E" w:rsidRDefault="004D0F6E" w:rsidP="004D0F6E">
      <w:pPr>
        <w:widowControl w:val="0"/>
        <w:numPr>
          <w:ilvl w:val="0"/>
          <w:numId w:val="14"/>
        </w:numPr>
        <w:tabs>
          <w:tab w:val="clear" w:pos="700"/>
          <w:tab w:val="left" w:pos="-720"/>
          <w:tab w:val="num" w:pos="1170"/>
          <w:tab w:val="left" w:pos="1247"/>
        </w:tabs>
        <w:suppressAutoHyphens/>
        <w:ind w:left="1170"/>
        <w:rPr>
          <w:b/>
          <w:i/>
          <w:sz w:val="24"/>
          <w:szCs w:val="24"/>
        </w:rPr>
      </w:pPr>
      <w:r w:rsidRPr="004D0F6E">
        <w:rPr>
          <w:b/>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0F6E" w:rsidRPr="004D0F6E" w:rsidRDefault="004D0F6E" w:rsidP="004D0F6E">
      <w:pPr>
        <w:pStyle w:val="ListParagraph"/>
        <w:tabs>
          <w:tab w:val="num" w:pos="1170"/>
        </w:tabs>
        <w:ind w:left="1170"/>
        <w:rPr>
          <w:b/>
          <w:sz w:val="24"/>
          <w:szCs w:val="24"/>
        </w:rPr>
      </w:pPr>
    </w:p>
    <w:p w:rsidR="004D0F6E" w:rsidRPr="004D0F6E" w:rsidRDefault="004D0F6E" w:rsidP="004D0F6E">
      <w:pPr>
        <w:widowControl w:val="0"/>
        <w:numPr>
          <w:ilvl w:val="0"/>
          <w:numId w:val="14"/>
        </w:numPr>
        <w:tabs>
          <w:tab w:val="clear" w:pos="700"/>
          <w:tab w:val="left" w:pos="-720"/>
          <w:tab w:val="num" w:pos="1170"/>
          <w:tab w:val="left" w:pos="1247"/>
        </w:tabs>
        <w:suppressAutoHyphens/>
        <w:ind w:left="1170"/>
        <w:rPr>
          <w:b/>
          <w:i/>
          <w:sz w:val="24"/>
          <w:szCs w:val="24"/>
        </w:rPr>
      </w:pPr>
      <w:r w:rsidRPr="004D0F6E">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E7D73" w:rsidRDefault="003E7D73">
      <w:pPr>
        <w:widowControl w:val="0"/>
        <w:rPr>
          <w:b/>
          <w:i/>
          <w:sz w:val="24"/>
        </w:rPr>
      </w:pPr>
    </w:p>
    <w:p w:rsidR="00763100" w:rsidRDefault="003E7D73" w:rsidP="004D0F6E">
      <w:pPr>
        <w:widowControl w:val="0"/>
        <w:ind w:left="720"/>
        <w:rPr>
          <w:sz w:val="24"/>
        </w:rPr>
      </w:pPr>
      <w:r>
        <w:rPr>
          <w:sz w:val="24"/>
        </w:rPr>
        <w:t xml:space="preserve">There are no additional respondent costs associated with this data collection other </w:t>
      </w:r>
      <w:r>
        <w:rPr>
          <w:sz w:val="24"/>
        </w:rPr>
        <w:lastRenderedPageBreak/>
        <w:t xml:space="preserve">than the hour burden estimated in item 12.  </w:t>
      </w:r>
    </w:p>
    <w:p w:rsidR="00763100" w:rsidRDefault="00763100">
      <w:pPr>
        <w:widowControl w:val="0"/>
        <w:rPr>
          <w:sz w:val="24"/>
        </w:rPr>
      </w:pPr>
    </w:p>
    <w:p w:rsidR="003E7D73" w:rsidRPr="004D0F6E" w:rsidRDefault="00D60102">
      <w:pPr>
        <w:widowControl w:val="0"/>
        <w:numPr>
          <w:ilvl w:val="0"/>
          <w:numId w:val="5"/>
        </w:numPr>
        <w:rPr>
          <w:b/>
          <w:i/>
          <w:sz w:val="24"/>
          <w:szCs w:val="24"/>
        </w:rPr>
      </w:pPr>
      <w:r w:rsidRPr="004D0F6E">
        <w:rPr>
          <w:rStyle w:val="a"/>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E7D73" w:rsidRDefault="003E7D73">
      <w:pPr>
        <w:widowControl w:val="0"/>
        <w:rPr>
          <w:b/>
          <w:i/>
          <w:sz w:val="24"/>
        </w:rPr>
      </w:pPr>
    </w:p>
    <w:p w:rsidR="00D60102" w:rsidRDefault="00D60102" w:rsidP="00D60102">
      <w:pPr>
        <w:widowControl w:val="0"/>
        <w:ind w:left="720"/>
        <w:rPr>
          <w:b/>
          <w:i/>
          <w:sz w:val="24"/>
        </w:rPr>
      </w:pPr>
      <w:r>
        <w:rPr>
          <w:sz w:val="24"/>
        </w:rPr>
        <w:t>The annualized cost to the Federal Government is $13,400.  This cost estimate was derived in the following manner:</w:t>
      </w:r>
    </w:p>
    <w:p w:rsidR="00D60102" w:rsidRDefault="00D60102">
      <w:pPr>
        <w:widowControl w:val="0"/>
        <w:rPr>
          <w:b/>
          <w:i/>
          <w:sz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070"/>
        <w:gridCol w:w="1818"/>
        <w:gridCol w:w="2412"/>
      </w:tblGrid>
      <w:tr w:rsidR="00D60102" w:rsidRPr="00221EF2" w:rsidTr="00D60102">
        <w:trPr>
          <w:trHeight w:val="305"/>
        </w:trPr>
        <w:tc>
          <w:tcPr>
            <w:tcW w:w="9090" w:type="dxa"/>
            <w:gridSpan w:val="4"/>
          </w:tcPr>
          <w:p w:rsidR="00D60102" w:rsidRPr="00221EF2" w:rsidRDefault="00D60102" w:rsidP="007A406F">
            <w:pPr>
              <w:widowControl w:val="0"/>
              <w:rPr>
                <w:sz w:val="24"/>
              </w:rPr>
            </w:pPr>
            <w:r w:rsidRPr="00221EF2">
              <w:rPr>
                <w:b/>
                <w:i/>
                <w:sz w:val="24"/>
                <w:u w:val="single"/>
              </w:rPr>
              <w:t>Exhibit 2</w:t>
            </w:r>
          </w:p>
        </w:tc>
      </w:tr>
      <w:tr w:rsidR="00D60102" w:rsidRPr="00221EF2" w:rsidTr="00D60102">
        <w:tc>
          <w:tcPr>
            <w:tcW w:w="2790" w:type="dxa"/>
          </w:tcPr>
          <w:p w:rsidR="00D60102" w:rsidRPr="00221EF2" w:rsidRDefault="00D60102" w:rsidP="007A406F">
            <w:pPr>
              <w:widowControl w:val="0"/>
              <w:rPr>
                <w:sz w:val="24"/>
              </w:rPr>
            </w:pPr>
            <w:r w:rsidRPr="00221EF2">
              <w:rPr>
                <w:b/>
                <w:sz w:val="24"/>
              </w:rPr>
              <w:t>RESOURCE</w:t>
            </w:r>
          </w:p>
        </w:tc>
        <w:tc>
          <w:tcPr>
            <w:tcW w:w="2070" w:type="dxa"/>
          </w:tcPr>
          <w:p w:rsidR="00D60102" w:rsidRPr="00221EF2" w:rsidRDefault="00D60102" w:rsidP="007A406F">
            <w:pPr>
              <w:widowControl w:val="0"/>
              <w:rPr>
                <w:sz w:val="24"/>
              </w:rPr>
            </w:pPr>
            <w:r w:rsidRPr="00221EF2">
              <w:rPr>
                <w:b/>
                <w:sz w:val="24"/>
              </w:rPr>
              <w:t>HOURS/RATE</w:t>
            </w:r>
          </w:p>
        </w:tc>
        <w:tc>
          <w:tcPr>
            <w:tcW w:w="1818" w:type="dxa"/>
          </w:tcPr>
          <w:p w:rsidR="00D60102" w:rsidRPr="00221EF2" w:rsidRDefault="00D60102" w:rsidP="007A406F">
            <w:pPr>
              <w:widowControl w:val="0"/>
              <w:rPr>
                <w:sz w:val="24"/>
              </w:rPr>
            </w:pPr>
            <w:r w:rsidRPr="00221EF2">
              <w:rPr>
                <w:b/>
                <w:sz w:val="24"/>
              </w:rPr>
              <w:t>NUMBER</w:t>
            </w:r>
          </w:p>
        </w:tc>
        <w:tc>
          <w:tcPr>
            <w:tcW w:w="2412" w:type="dxa"/>
          </w:tcPr>
          <w:p w:rsidR="00D60102" w:rsidRPr="00221EF2" w:rsidRDefault="00D60102" w:rsidP="007A406F">
            <w:pPr>
              <w:widowControl w:val="0"/>
              <w:rPr>
                <w:sz w:val="24"/>
              </w:rPr>
            </w:pPr>
            <w:r w:rsidRPr="00221EF2">
              <w:rPr>
                <w:b/>
                <w:sz w:val="24"/>
              </w:rPr>
              <w:t>MONETARY COST</w:t>
            </w:r>
          </w:p>
        </w:tc>
      </w:tr>
      <w:tr w:rsidR="00D60102" w:rsidRPr="00221EF2" w:rsidTr="00D60102">
        <w:tc>
          <w:tcPr>
            <w:tcW w:w="2790" w:type="dxa"/>
          </w:tcPr>
          <w:p w:rsidR="00D60102" w:rsidRPr="00221EF2" w:rsidRDefault="00D60102" w:rsidP="007A406F">
            <w:pPr>
              <w:widowControl w:val="0"/>
              <w:rPr>
                <w:sz w:val="24"/>
              </w:rPr>
            </w:pPr>
            <w:r>
              <w:rPr>
                <w:sz w:val="24"/>
              </w:rPr>
              <w:t>Program Analysts, GS-13</w:t>
            </w:r>
          </w:p>
        </w:tc>
        <w:tc>
          <w:tcPr>
            <w:tcW w:w="2070" w:type="dxa"/>
          </w:tcPr>
          <w:p w:rsidR="00D60102" w:rsidRPr="00221EF2" w:rsidRDefault="00D60102" w:rsidP="00D60102">
            <w:pPr>
              <w:widowControl w:val="0"/>
              <w:rPr>
                <w:sz w:val="24"/>
              </w:rPr>
            </w:pPr>
            <w:r>
              <w:rPr>
                <w:sz w:val="24"/>
              </w:rPr>
              <w:t>3</w:t>
            </w:r>
            <w:r w:rsidRPr="00221EF2">
              <w:rPr>
                <w:sz w:val="24"/>
              </w:rPr>
              <w:t xml:space="preserve"> hours/$</w:t>
            </w:r>
            <w:r>
              <w:rPr>
                <w:sz w:val="24"/>
              </w:rPr>
              <w:t>4</w:t>
            </w:r>
            <w:r w:rsidRPr="00221EF2">
              <w:rPr>
                <w:sz w:val="24"/>
              </w:rPr>
              <w:t>0</w:t>
            </w:r>
          </w:p>
        </w:tc>
        <w:tc>
          <w:tcPr>
            <w:tcW w:w="1818" w:type="dxa"/>
          </w:tcPr>
          <w:p w:rsidR="00D60102" w:rsidRPr="00221EF2" w:rsidRDefault="00D60102" w:rsidP="007A406F">
            <w:pPr>
              <w:widowControl w:val="0"/>
              <w:rPr>
                <w:sz w:val="24"/>
              </w:rPr>
            </w:pPr>
            <w:r w:rsidRPr="00221EF2">
              <w:rPr>
                <w:sz w:val="24"/>
              </w:rPr>
              <w:t>85 Schools</w:t>
            </w:r>
          </w:p>
        </w:tc>
        <w:tc>
          <w:tcPr>
            <w:tcW w:w="2412" w:type="dxa"/>
          </w:tcPr>
          <w:p w:rsidR="00D60102" w:rsidRPr="00221EF2" w:rsidRDefault="00D60102" w:rsidP="00D60102">
            <w:pPr>
              <w:widowControl w:val="0"/>
              <w:rPr>
                <w:sz w:val="24"/>
              </w:rPr>
            </w:pPr>
            <w:r w:rsidRPr="00221EF2">
              <w:rPr>
                <w:sz w:val="24"/>
              </w:rPr>
              <w:t>$1</w:t>
            </w:r>
            <w:r>
              <w:rPr>
                <w:sz w:val="24"/>
              </w:rPr>
              <w:t>0</w:t>
            </w:r>
            <w:r w:rsidRPr="00221EF2">
              <w:rPr>
                <w:sz w:val="24"/>
              </w:rPr>
              <w:t>,</w:t>
            </w:r>
            <w:r>
              <w:rPr>
                <w:sz w:val="24"/>
              </w:rPr>
              <w:t>2</w:t>
            </w:r>
            <w:r w:rsidRPr="00221EF2">
              <w:rPr>
                <w:sz w:val="24"/>
              </w:rPr>
              <w:t>00</w:t>
            </w:r>
          </w:p>
        </w:tc>
      </w:tr>
      <w:tr w:rsidR="00D60102" w:rsidRPr="00221EF2" w:rsidTr="00D60102">
        <w:tc>
          <w:tcPr>
            <w:tcW w:w="2790" w:type="dxa"/>
          </w:tcPr>
          <w:p w:rsidR="00D60102" w:rsidRDefault="00D60102" w:rsidP="00D60102">
            <w:pPr>
              <w:pStyle w:val="Heading3"/>
              <w:ind w:left="0"/>
            </w:pPr>
            <w:r>
              <w:t xml:space="preserve">Estimated cost for data analysis and final report </w:t>
            </w:r>
          </w:p>
          <w:p w:rsidR="00D60102" w:rsidRPr="00221EF2" w:rsidRDefault="00D60102" w:rsidP="00D60102">
            <w:pPr>
              <w:widowControl w:val="0"/>
              <w:rPr>
                <w:sz w:val="24"/>
              </w:rPr>
            </w:pPr>
            <w:r>
              <w:t>(Program Analyst, GS-13)</w:t>
            </w:r>
          </w:p>
        </w:tc>
        <w:tc>
          <w:tcPr>
            <w:tcW w:w="2070" w:type="dxa"/>
          </w:tcPr>
          <w:p w:rsidR="00D60102" w:rsidRPr="00221EF2" w:rsidRDefault="00D60102" w:rsidP="00D60102">
            <w:pPr>
              <w:widowControl w:val="0"/>
              <w:rPr>
                <w:sz w:val="24"/>
              </w:rPr>
            </w:pPr>
            <w:r>
              <w:rPr>
                <w:sz w:val="24"/>
              </w:rPr>
              <w:t>80</w:t>
            </w:r>
            <w:r w:rsidRPr="00221EF2">
              <w:rPr>
                <w:sz w:val="24"/>
              </w:rPr>
              <w:t xml:space="preserve"> hours/$</w:t>
            </w:r>
            <w:r>
              <w:rPr>
                <w:sz w:val="24"/>
              </w:rPr>
              <w:t>4</w:t>
            </w:r>
            <w:r w:rsidRPr="00221EF2">
              <w:rPr>
                <w:sz w:val="24"/>
              </w:rPr>
              <w:t>0</w:t>
            </w:r>
          </w:p>
        </w:tc>
        <w:tc>
          <w:tcPr>
            <w:tcW w:w="1818" w:type="dxa"/>
          </w:tcPr>
          <w:p w:rsidR="00D60102" w:rsidRPr="00221EF2" w:rsidRDefault="00D60102" w:rsidP="007A406F">
            <w:pPr>
              <w:widowControl w:val="0"/>
              <w:rPr>
                <w:sz w:val="24"/>
              </w:rPr>
            </w:pPr>
          </w:p>
        </w:tc>
        <w:tc>
          <w:tcPr>
            <w:tcW w:w="2412" w:type="dxa"/>
          </w:tcPr>
          <w:p w:rsidR="00D60102" w:rsidRPr="00221EF2" w:rsidRDefault="00D60102" w:rsidP="007A406F">
            <w:pPr>
              <w:widowControl w:val="0"/>
              <w:rPr>
                <w:sz w:val="24"/>
              </w:rPr>
            </w:pPr>
            <w:r>
              <w:rPr>
                <w:sz w:val="24"/>
              </w:rPr>
              <w:t>$3,200</w:t>
            </w:r>
          </w:p>
        </w:tc>
      </w:tr>
      <w:tr w:rsidR="00D60102" w:rsidRPr="00221EF2" w:rsidTr="007A406F">
        <w:tc>
          <w:tcPr>
            <w:tcW w:w="6678" w:type="dxa"/>
            <w:gridSpan w:val="3"/>
          </w:tcPr>
          <w:p w:rsidR="00D60102" w:rsidRPr="00221EF2" w:rsidRDefault="00D60102" w:rsidP="007A406F">
            <w:pPr>
              <w:widowControl w:val="0"/>
              <w:jc w:val="right"/>
              <w:rPr>
                <w:b/>
                <w:sz w:val="24"/>
              </w:rPr>
            </w:pPr>
            <w:r w:rsidRPr="00221EF2">
              <w:rPr>
                <w:b/>
                <w:sz w:val="24"/>
              </w:rPr>
              <w:t>TOTAL</w:t>
            </w:r>
          </w:p>
        </w:tc>
        <w:tc>
          <w:tcPr>
            <w:tcW w:w="2412" w:type="dxa"/>
          </w:tcPr>
          <w:p w:rsidR="00D60102" w:rsidRPr="00221EF2" w:rsidRDefault="00D60102" w:rsidP="00D60102">
            <w:pPr>
              <w:widowControl w:val="0"/>
              <w:rPr>
                <w:b/>
                <w:sz w:val="24"/>
              </w:rPr>
            </w:pPr>
            <w:r w:rsidRPr="00221EF2">
              <w:rPr>
                <w:b/>
                <w:sz w:val="24"/>
              </w:rPr>
              <w:t>$</w:t>
            </w:r>
            <w:r>
              <w:rPr>
                <w:b/>
                <w:sz w:val="24"/>
              </w:rPr>
              <w:t>1</w:t>
            </w:r>
            <w:r w:rsidRPr="00221EF2">
              <w:rPr>
                <w:b/>
                <w:sz w:val="24"/>
              </w:rPr>
              <w:t>3,</w:t>
            </w:r>
            <w:r>
              <w:rPr>
                <w:b/>
                <w:sz w:val="24"/>
              </w:rPr>
              <w:t>40</w:t>
            </w:r>
            <w:r w:rsidRPr="00221EF2">
              <w:rPr>
                <w:b/>
                <w:sz w:val="24"/>
              </w:rPr>
              <w:t>0</w:t>
            </w:r>
          </w:p>
        </w:tc>
      </w:tr>
    </w:tbl>
    <w:p w:rsidR="00D60102" w:rsidRDefault="00D60102">
      <w:pPr>
        <w:widowControl w:val="0"/>
        <w:rPr>
          <w:b/>
          <w:i/>
          <w:sz w:val="24"/>
        </w:rPr>
      </w:pPr>
    </w:p>
    <w:p w:rsidR="003E7D73" w:rsidRPr="004D0F6E" w:rsidRDefault="00D60102">
      <w:pPr>
        <w:widowControl w:val="0"/>
        <w:numPr>
          <w:ilvl w:val="0"/>
          <w:numId w:val="5"/>
        </w:numPr>
        <w:rPr>
          <w:b/>
          <w:i/>
          <w:sz w:val="24"/>
          <w:szCs w:val="24"/>
        </w:rPr>
      </w:pPr>
      <w:r w:rsidRPr="004D0F6E">
        <w:rPr>
          <w:b/>
          <w:sz w:val="24"/>
          <w:szCs w:val="24"/>
        </w:rPr>
        <w:t>Explain the reasons for any program changes or adjustments to #16f of the IC Data Part 1 Form.</w:t>
      </w:r>
    </w:p>
    <w:p w:rsidR="003E7D73" w:rsidRDefault="003E7D73">
      <w:pPr>
        <w:widowControl w:val="0"/>
        <w:rPr>
          <w:b/>
          <w:i/>
          <w:sz w:val="24"/>
        </w:rPr>
      </w:pPr>
    </w:p>
    <w:p w:rsidR="000F68AD" w:rsidRPr="000F68AD" w:rsidRDefault="000F68AD" w:rsidP="000F68AD">
      <w:pPr>
        <w:pStyle w:val="BodyTextIndent2"/>
        <w:rPr>
          <w:color w:val="auto"/>
        </w:rPr>
      </w:pPr>
      <w:r w:rsidRPr="000F68AD">
        <w:rPr>
          <w:color w:val="auto"/>
        </w:rPr>
        <w:t xml:space="preserve">There is a overall burden reduction of 715 hours, of which 605 hours results from statutory changes in U.S. Code 20 1094(a) of the Higher Education Opportunity Act (HEOA) of 2008 that resulted in 14 less respondents, and 110 hours results from an adjustment due to ten schools concluding the experiment(s) they were participating in.   </w:t>
      </w:r>
    </w:p>
    <w:p w:rsidR="000F68AD" w:rsidRPr="000F68AD" w:rsidRDefault="000F68AD" w:rsidP="000F68AD">
      <w:pPr>
        <w:pStyle w:val="BodyTextIndent2"/>
        <w:rPr>
          <w:color w:val="auto"/>
        </w:rPr>
      </w:pPr>
    </w:p>
    <w:p w:rsidR="000F68AD" w:rsidRPr="000F68AD" w:rsidRDefault="000F68AD" w:rsidP="000F68AD">
      <w:pPr>
        <w:pStyle w:val="BodyTextIndent2"/>
        <w:rPr>
          <w:color w:val="auto"/>
        </w:rPr>
      </w:pPr>
      <w:r w:rsidRPr="000F68AD">
        <w:rPr>
          <w:color w:val="auto"/>
        </w:rPr>
        <w:t>With the passing of the Higher Education Opportunity Act (HEOA) of 2008 all schools were enabled to allow students the ability to benefit (ATB) by satisfactorily completing six credit hours or equivalent coursework.  Therefore, all schools participating in the ATB experiment ceased participation because it was part of the legislative change and no longer required any school to participate in that experiment, thus resulting in one less experiment, fewer burden hours, and 14 less respondents.</w:t>
      </w:r>
    </w:p>
    <w:p w:rsidR="000F68AD" w:rsidRPr="000F68AD" w:rsidRDefault="000F68AD" w:rsidP="000F68AD">
      <w:pPr>
        <w:pStyle w:val="BodyTextIndent2"/>
        <w:rPr>
          <w:color w:val="auto"/>
        </w:rPr>
      </w:pPr>
    </w:p>
    <w:p w:rsidR="003E7D73" w:rsidRPr="000F68AD" w:rsidRDefault="000F68AD" w:rsidP="000F68AD">
      <w:pPr>
        <w:widowControl w:val="0"/>
        <w:ind w:left="720"/>
        <w:rPr>
          <w:sz w:val="24"/>
          <w:szCs w:val="24"/>
        </w:rPr>
      </w:pPr>
      <w:r w:rsidRPr="000F68AD">
        <w:rPr>
          <w:sz w:val="24"/>
          <w:szCs w:val="24"/>
        </w:rPr>
        <w:t>Ten other schools decided to conclude participation in one of their experiments, as they either did not find the results anticipated, or they did not have enough students that met the experiment rules. </w:t>
      </w:r>
    </w:p>
    <w:p w:rsidR="000F68AD" w:rsidRPr="000F68AD" w:rsidRDefault="000F68AD" w:rsidP="000F68AD">
      <w:pPr>
        <w:widowControl w:val="0"/>
        <w:ind w:left="720"/>
        <w:rPr>
          <w:sz w:val="24"/>
          <w:szCs w:val="24"/>
        </w:rPr>
      </w:pPr>
    </w:p>
    <w:p w:rsidR="003E7D73" w:rsidRPr="004D0F6E" w:rsidRDefault="004D0F6E">
      <w:pPr>
        <w:widowControl w:val="0"/>
        <w:numPr>
          <w:ilvl w:val="0"/>
          <w:numId w:val="5"/>
        </w:numPr>
        <w:rPr>
          <w:b/>
          <w:i/>
          <w:sz w:val="24"/>
          <w:szCs w:val="24"/>
        </w:rPr>
      </w:pPr>
      <w:r w:rsidRPr="004D0F6E">
        <w:rPr>
          <w:rStyle w:val="a"/>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E7D73" w:rsidRDefault="003E7D73">
      <w:pPr>
        <w:widowControl w:val="0"/>
        <w:rPr>
          <w:b/>
          <w:i/>
          <w:sz w:val="24"/>
        </w:rPr>
      </w:pPr>
    </w:p>
    <w:p w:rsidR="003E7D73" w:rsidRDefault="003E7D73">
      <w:pPr>
        <w:widowControl w:val="0"/>
        <w:ind w:left="720"/>
        <w:rPr>
          <w:sz w:val="24"/>
        </w:rPr>
      </w:pPr>
      <w:r>
        <w:rPr>
          <w:sz w:val="24"/>
        </w:rPr>
        <w:t xml:space="preserve">Participating institutions are required to submit an annual report describing the results, any corrective actions taken, and specific information relating to the performance measure or alternative used in each experiment.  </w:t>
      </w:r>
    </w:p>
    <w:p w:rsidR="003E7D73" w:rsidRDefault="003E7D73">
      <w:pPr>
        <w:widowControl w:val="0"/>
        <w:ind w:left="720"/>
        <w:rPr>
          <w:sz w:val="24"/>
        </w:rPr>
      </w:pPr>
    </w:p>
    <w:p w:rsidR="004D0F6E" w:rsidRDefault="004D0F6E">
      <w:pPr>
        <w:widowControl w:val="0"/>
        <w:ind w:left="720"/>
        <w:rPr>
          <w:sz w:val="24"/>
        </w:rPr>
      </w:pPr>
    </w:p>
    <w:p w:rsidR="003E7D73" w:rsidRDefault="003E7D73">
      <w:pPr>
        <w:widowControl w:val="0"/>
        <w:ind w:left="720"/>
        <w:rPr>
          <w:sz w:val="24"/>
        </w:rPr>
      </w:pPr>
      <w:r>
        <w:rPr>
          <w:sz w:val="24"/>
        </w:rPr>
        <w:t xml:space="preserve">After each year of data collection, FSA will produce an annual report based on analysis of the data.  These reports should provide critical information to help FSA/ED/Congress consider streamlining Title IV regulations and requirements.  </w:t>
      </w:r>
    </w:p>
    <w:p w:rsidR="003E7D73" w:rsidRDefault="003E7D73">
      <w:pPr>
        <w:widowControl w:val="0"/>
        <w:ind w:left="720"/>
        <w:rPr>
          <w:sz w:val="24"/>
        </w:rPr>
      </w:pPr>
    </w:p>
    <w:p w:rsidR="003E7D73" w:rsidRDefault="003E7D73">
      <w:pPr>
        <w:widowControl w:val="0"/>
        <w:ind w:left="720"/>
        <w:rPr>
          <w:sz w:val="24"/>
        </w:rPr>
      </w:pPr>
      <w:r>
        <w:rPr>
          <w:sz w:val="24"/>
        </w:rPr>
        <w:t xml:space="preserve">With the automated data collection effort, the focus of the reports has moved toward judgments about impact and effectiveness and/or special reports.  </w:t>
      </w:r>
    </w:p>
    <w:p w:rsidR="003E7D73" w:rsidRDefault="003E7D73">
      <w:pPr>
        <w:widowControl w:val="0"/>
        <w:ind w:left="720"/>
        <w:rPr>
          <w:sz w:val="24"/>
        </w:rPr>
      </w:pPr>
    </w:p>
    <w:p w:rsidR="003E7D73" w:rsidRPr="004D0F6E" w:rsidRDefault="004D0F6E">
      <w:pPr>
        <w:widowControl w:val="0"/>
        <w:numPr>
          <w:ilvl w:val="0"/>
          <w:numId w:val="5"/>
        </w:numPr>
        <w:rPr>
          <w:b/>
          <w:i/>
          <w:sz w:val="24"/>
          <w:szCs w:val="24"/>
        </w:rPr>
      </w:pPr>
      <w:r w:rsidRPr="004D0F6E">
        <w:rPr>
          <w:rStyle w:val="a"/>
          <w:b/>
          <w:sz w:val="24"/>
          <w:szCs w:val="24"/>
        </w:rPr>
        <w:t>If seeking approval to not display the expiration date for OMB approval of the information collection, explain the reasons that display would be inappropriate.</w:t>
      </w:r>
    </w:p>
    <w:p w:rsidR="003E7D73" w:rsidRDefault="003E7D73">
      <w:pPr>
        <w:widowControl w:val="0"/>
        <w:rPr>
          <w:b/>
          <w:i/>
          <w:sz w:val="24"/>
        </w:rPr>
      </w:pPr>
    </w:p>
    <w:p w:rsidR="003E7D73" w:rsidRDefault="003E7D73">
      <w:pPr>
        <w:widowControl w:val="0"/>
        <w:ind w:left="720"/>
        <w:rPr>
          <w:sz w:val="24"/>
        </w:rPr>
      </w:pPr>
      <w:r>
        <w:rPr>
          <w:sz w:val="24"/>
        </w:rPr>
        <w:t>All data collection instruments will include the OMB expiration date.</w:t>
      </w:r>
    </w:p>
    <w:p w:rsidR="003E7D73" w:rsidRDefault="003E7D73">
      <w:pPr>
        <w:widowControl w:val="0"/>
        <w:rPr>
          <w:sz w:val="24"/>
        </w:rPr>
      </w:pPr>
    </w:p>
    <w:p w:rsidR="003E7D73" w:rsidRPr="004D0F6E" w:rsidRDefault="004D0F6E">
      <w:pPr>
        <w:widowControl w:val="0"/>
        <w:numPr>
          <w:ilvl w:val="0"/>
          <w:numId w:val="5"/>
        </w:numPr>
        <w:rPr>
          <w:b/>
          <w:i/>
          <w:sz w:val="24"/>
          <w:szCs w:val="24"/>
        </w:rPr>
      </w:pPr>
      <w:r w:rsidRPr="004D0F6E">
        <w:rPr>
          <w:rStyle w:val="a"/>
          <w:b/>
          <w:sz w:val="24"/>
          <w:szCs w:val="24"/>
        </w:rPr>
        <w:t>Explain each exception to the certification statement identified in the Certification of Paperwork Reduction Act.</w:t>
      </w:r>
    </w:p>
    <w:p w:rsidR="003E7D73" w:rsidRDefault="003E7D73">
      <w:pPr>
        <w:widowControl w:val="0"/>
        <w:rPr>
          <w:b/>
          <w:i/>
          <w:sz w:val="24"/>
        </w:rPr>
      </w:pPr>
    </w:p>
    <w:p w:rsidR="003E7D73" w:rsidRDefault="003E7D73">
      <w:pPr>
        <w:widowControl w:val="0"/>
        <w:ind w:left="720"/>
        <w:rPr>
          <w:sz w:val="24"/>
        </w:rPr>
      </w:pPr>
      <w:r>
        <w:rPr>
          <w:sz w:val="24"/>
        </w:rPr>
        <w:t>No exceptions are requested.</w:t>
      </w:r>
    </w:p>
    <w:p w:rsidR="003E7D73" w:rsidRDefault="003E7D73">
      <w:pPr>
        <w:widowControl w:val="0"/>
        <w:jc w:val="both"/>
        <w:rPr>
          <w:sz w:val="24"/>
        </w:rPr>
      </w:pPr>
    </w:p>
    <w:p w:rsidR="003E7D73" w:rsidRDefault="003E7D73">
      <w:pPr>
        <w:widowControl w:val="0"/>
        <w:ind w:left="720"/>
        <w:jc w:val="both"/>
        <w:rPr>
          <w:sz w:val="24"/>
        </w:rPr>
      </w:pPr>
    </w:p>
    <w:p w:rsidR="003E7D73" w:rsidRDefault="003E7D73">
      <w:pPr>
        <w:widowControl w:val="0"/>
        <w:ind w:left="720"/>
        <w:jc w:val="both"/>
        <w:rPr>
          <w:b/>
          <w:i/>
          <w:sz w:val="24"/>
        </w:rPr>
      </w:pPr>
      <w:r>
        <w:rPr>
          <w:sz w:val="24"/>
        </w:rPr>
        <w:t xml:space="preserve"> </w:t>
      </w:r>
    </w:p>
    <w:p w:rsidR="003E7D73" w:rsidRDefault="003E7D73">
      <w:pPr>
        <w:widowControl w:val="0"/>
        <w:jc w:val="both"/>
        <w:rPr>
          <w:b/>
          <w:i/>
          <w:sz w:val="24"/>
        </w:rPr>
      </w:pPr>
    </w:p>
    <w:p w:rsidR="003E7D73" w:rsidRDefault="003E7D73">
      <w:pPr>
        <w:widowControl w:val="0"/>
        <w:ind w:left="720"/>
        <w:jc w:val="both"/>
        <w:rPr>
          <w:sz w:val="24"/>
        </w:rPr>
      </w:pPr>
    </w:p>
    <w:p w:rsidR="003E7D73" w:rsidRDefault="003E7D73">
      <w:pPr>
        <w:widowControl w:val="0"/>
        <w:rPr>
          <w:sz w:val="24"/>
        </w:rPr>
      </w:pPr>
    </w:p>
    <w:p w:rsidR="003E7D73" w:rsidRDefault="003E7D73">
      <w:pPr>
        <w:widowControl w:val="0"/>
        <w:rPr>
          <w:sz w:val="24"/>
        </w:rPr>
      </w:pPr>
    </w:p>
    <w:p w:rsidR="003E7D73" w:rsidRDefault="003E7D73">
      <w:pPr>
        <w:widowControl w:val="0"/>
        <w:rPr>
          <w:sz w:val="24"/>
        </w:rPr>
      </w:pPr>
      <w:r>
        <w:rPr>
          <w:sz w:val="24"/>
        </w:rPr>
        <w:tab/>
      </w:r>
      <w:r>
        <w:rPr>
          <w:sz w:val="24"/>
        </w:rPr>
        <w:tab/>
      </w:r>
      <w:r>
        <w:rPr>
          <w:sz w:val="24"/>
        </w:rPr>
        <w:tab/>
      </w:r>
    </w:p>
    <w:p w:rsidR="003E7D73" w:rsidRDefault="003E7D73">
      <w:pPr>
        <w:widowControl w:val="0"/>
        <w:rPr>
          <w:b/>
        </w:rPr>
      </w:pPr>
      <w:r>
        <w:rPr>
          <w:b/>
        </w:rPr>
        <w:tab/>
      </w:r>
      <w:r>
        <w:rPr>
          <w:b/>
        </w:rPr>
        <w:tab/>
      </w:r>
      <w:r>
        <w:rPr>
          <w:b/>
        </w:rPr>
        <w:tab/>
      </w:r>
      <w:r>
        <w:rPr>
          <w:b/>
        </w:rPr>
        <w:tab/>
      </w:r>
      <w:r>
        <w:rPr>
          <w:b/>
        </w:rPr>
        <w:tab/>
      </w:r>
      <w:r>
        <w:rPr>
          <w:b/>
        </w:rPr>
        <w:tab/>
      </w:r>
    </w:p>
    <w:p w:rsidR="003E7D73" w:rsidRDefault="003E7D73">
      <w:pPr>
        <w:widowControl w:val="0"/>
        <w:rPr>
          <w:b/>
        </w:rPr>
      </w:pPr>
    </w:p>
    <w:p w:rsidR="003E7D73" w:rsidRDefault="003E7D73">
      <w:pPr>
        <w:widowControl w:val="0"/>
        <w:rPr>
          <w:b/>
        </w:rPr>
      </w:pPr>
    </w:p>
    <w:p w:rsidR="003E7D73" w:rsidRDefault="003E7D73">
      <w:pPr>
        <w:widowControl w:val="0"/>
        <w:ind w:left="720"/>
      </w:pPr>
    </w:p>
    <w:p w:rsidR="003E7D73" w:rsidRDefault="003E7D73">
      <w:pPr>
        <w:widowControl w:val="0"/>
        <w:ind w:left="720"/>
      </w:pPr>
    </w:p>
    <w:p w:rsidR="003E7D73" w:rsidRDefault="003E7D73">
      <w:pPr>
        <w:widowControl w:val="0"/>
        <w:rPr>
          <w:b/>
          <w:i/>
        </w:rPr>
      </w:pPr>
    </w:p>
    <w:p w:rsidR="003E7D73" w:rsidRDefault="003E7D73">
      <w:pPr>
        <w:widowControl w:val="0"/>
        <w:rPr>
          <w:sz w:val="24"/>
        </w:rPr>
      </w:pPr>
      <w:r>
        <w:rPr>
          <w:b/>
          <w:i/>
          <w:sz w:val="24"/>
        </w:rPr>
        <w:tab/>
      </w:r>
    </w:p>
    <w:p w:rsidR="003E7D73" w:rsidRDefault="003E7D73">
      <w:pPr>
        <w:widowControl w:val="0"/>
        <w:ind w:left="720"/>
        <w:rPr>
          <w:sz w:val="24"/>
        </w:rPr>
      </w:pPr>
    </w:p>
    <w:p w:rsidR="003E7D73" w:rsidRDefault="003E7D73">
      <w:pPr>
        <w:widowControl w:val="0"/>
        <w:ind w:left="720"/>
        <w:rPr>
          <w:sz w:val="24"/>
        </w:rPr>
      </w:pPr>
    </w:p>
    <w:p w:rsidR="003E7D73" w:rsidRDefault="003E7D73">
      <w:pPr>
        <w:widowControl w:val="0"/>
        <w:ind w:left="720"/>
        <w:rPr>
          <w:sz w:val="24"/>
        </w:rPr>
      </w:pPr>
    </w:p>
    <w:p w:rsidR="003E7D73" w:rsidRDefault="003E7D73">
      <w:pPr>
        <w:widowControl w:val="0"/>
        <w:ind w:left="720"/>
        <w:rPr>
          <w:sz w:val="24"/>
        </w:rPr>
      </w:pPr>
    </w:p>
    <w:p w:rsidR="003E7D73" w:rsidRDefault="003E7D73">
      <w:pPr>
        <w:widowControl w:val="0"/>
        <w:rPr>
          <w:snapToGrid w:val="0"/>
          <w:sz w:val="24"/>
        </w:rPr>
      </w:pPr>
      <w:r>
        <w:rPr>
          <w:sz w:val="24"/>
        </w:rPr>
        <w:tab/>
      </w:r>
      <w:r>
        <w:rPr>
          <w:sz w:val="24"/>
        </w:rPr>
        <w:tab/>
      </w:r>
      <w:r>
        <w:rPr>
          <w:sz w:val="24"/>
        </w:rPr>
        <w:tab/>
      </w:r>
      <w:r>
        <w:rPr>
          <w:sz w:val="24"/>
        </w:rPr>
        <w:tab/>
      </w:r>
    </w:p>
    <w:sectPr w:rsidR="003E7D7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F2D" w:rsidRDefault="00150F2D">
      <w:r>
        <w:separator/>
      </w:r>
    </w:p>
  </w:endnote>
  <w:endnote w:type="continuationSeparator" w:id="0">
    <w:p w:rsidR="00150F2D" w:rsidRDefault="00150F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F2D" w:rsidRDefault="00150F2D">
      <w:r>
        <w:separator/>
      </w:r>
    </w:p>
  </w:footnote>
  <w:footnote w:type="continuationSeparator" w:id="0">
    <w:p w:rsidR="00150F2D" w:rsidRDefault="00150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0B00040"/>
    <w:multiLevelType w:val="singleLevel"/>
    <w:tmpl w:val="7832B63C"/>
    <w:lvl w:ilvl="0">
      <w:start w:val="1"/>
      <w:numFmt w:val="decimal"/>
      <w:lvlText w:val="%1."/>
      <w:lvlJc w:val="left"/>
      <w:pPr>
        <w:tabs>
          <w:tab w:val="num" w:pos="720"/>
        </w:tabs>
        <w:ind w:left="720" w:hanging="360"/>
      </w:pPr>
      <w:rPr>
        <w:rFonts w:hint="default"/>
      </w:rPr>
    </w:lvl>
  </w:abstractNum>
  <w:abstractNum w:abstractNumId="2">
    <w:nsid w:val="294205F6"/>
    <w:multiLevelType w:val="hybridMultilevel"/>
    <w:tmpl w:val="9948F4E0"/>
    <w:lvl w:ilvl="0" w:tplc="2FAE80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56710B"/>
    <w:multiLevelType w:val="hybridMultilevel"/>
    <w:tmpl w:val="20A4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958D3"/>
    <w:multiLevelType w:val="singleLevel"/>
    <w:tmpl w:val="0409000F"/>
    <w:lvl w:ilvl="0">
      <w:start w:val="1"/>
      <w:numFmt w:val="decimal"/>
      <w:lvlText w:val="%1."/>
      <w:lvlJc w:val="left"/>
      <w:pPr>
        <w:tabs>
          <w:tab w:val="num" w:pos="360"/>
        </w:tabs>
        <w:ind w:left="360" w:hanging="36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09F6287"/>
    <w:multiLevelType w:val="hybridMultilevel"/>
    <w:tmpl w:val="44BC6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5159C0"/>
    <w:multiLevelType w:val="singleLevel"/>
    <w:tmpl w:val="EAF42EBE"/>
    <w:lvl w:ilvl="0">
      <w:start w:val="2"/>
      <w:numFmt w:val="upperLetter"/>
      <w:lvlText w:val="%1."/>
      <w:lvlJc w:val="left"/>
      <w:pPr>
        <w:tabs>
          <w:tab w:val="num" w:pos="1080"/>
        </w:tabs>
        <w:ind w:left="1080" w:hanging="360"/>
      </w:pPr>
      <w:rPr>
        <w:rFonts w:hint="default"/>
      </w:rPr>
    </w:lvl>
  </w:abstractNum>
  <w:abstractNum w:abstractNumId="9">
    <w:nsid w:val="4AE56A53"/>
    <w:multiLevelType w:val="singleLevel"/>
    <w:tmpl w:val="6824A13A"/>
    <w:lvl w:ilvl="0">
      <w:start w:val="5"/>
      <w:numFmt w:val="decimal"/>
      <w:lvlText w:val="%1."/>
      <w:lvlJc w:val="left"/>
      <w:pPr>
        <w:tabs>
          <w:tab w:val="num" w:pos="720"/>
        </w:tabs>
        <w:ind w:left="720" w:hanging="360"/>
      </w:pPr>
      <w:rPr>
        <w:rFonts w:hint="default"/>
      </w:rPr>
    </w:lvl>
  </w:abstractNum>
  <w:abstractNum w:abstractNumId="10">
    <w:nsid w:val="4B1D4946"/>
    <w:multiLevelType w:val="singleLevel"/>
    <w:tmpl w:val="7C52FAA8"/>
    <w:lvl w:ilvl="0">
      <w:start w:val="5"/>
      <w:numFmt w:val="decimal"/>
      <w:lvlText w:val="%1."/>
      <w:lvlJc w:val="left"/>
      <w:pPr>
        <w:tabs>
          <w:tab w:val="num" w:pos="360"/>
        </w:tabs>
        <w:ind w:left="360" w:hanging="360"/>
      </w:pPr>
      <w:rPr>
        <w:rFonts w:hint="default"/>
        <w:b w:val="0"/>
        <w:i w:val="0"/>
      </w:rPr>
    </w:lvl>
  </w:abstractNum>
  <w:abstractNum w:abstractNumId="11">
    <w:nsid w:val="514B746F"/>
    <w:multiLevelType w:val="singleLevel"/>
    <w:tmpl w:val="3702CD62"/>
    <w:lvl w:ilvl="0">
      <w:start w:val="6"/>
      <w:numFmt w:val="decimal"/>
      <w:lvlText w:val="%1."/>
      <w:lvlJc w:val="left"/>
      <w:pPr>
        <w:tabs>
          <w:tab w:val="num" w:pos="720"/>
        </w:tabs>
        <w:ind w:left="720" w:hanging="720"/>
      </w:pPr>
      <w:rPr>
        <w:rFonts w:hint="default"/>
        <w:b/>
        <w:i/>
      </w:rPr>
    </w:lvl>
  </w:abstractNum>
  <w:abstractNum w:abstractNumId="12">
    <w:nsid w:val="54921DF8"/>
    <w:multiLevelType w:val="singleLevel"/>
    <w:tmpl w:val="D7546F84"/>
    <w:lvl w:ilvl="0">
      <w:start w:val="2"/>
      <w:numFmt w:val="upperLetter"/>
      <w:lvlText w:val="%1."/>
      <w:lvlJc w:val="left"/>
      <w:pPr>
        <w:tabs>
          <w:tab w:val="num" w:pos="720"/>
        </w:tabs>
        <w:ind w:left="720" w:hanging="720"/>
      </w:pPr>
      <w:rPr>
        <w:rFonts w:hint="default"/>
        <w:b w:val="0"/>
        <w:i w:val="0"/>
      </w:rPr>
    </w:lvl>
  </w:abstractNum>
  <w:abstractNum w:abstractNumId="13">
    <w:nsid w:val="5D780491"/>
    <w:multiLevelType w:val="singleLevel"/>
    <w:tmpl w:val="C2F24576"/>
    <w:lvl w:ilvl="0">
      <w:start w:val="1"/>
      <w:numFmt w:val="decimal"/>
      <w:lvlText w:val="%1."/>
      <w:lvlJc w:val="left"/>
      <w:pPr>
        <w:tabs>
          <w:tab w:val="num" w:pos="720"/>
        </w:tabs>
        <w:ind w:left="720" w:hanging="720"/>
      </w:pPr>
      <w:rPr>
        <w:rFonts w:hint="default"/>
        <w:b w:val="0"/>
        <w:i w:val="0"/>
      </w:rPr>
    </w:lvl>
  </w:abstractNum>
  <w:abstractNum w:abstractNumId="14">
    <w:nsid w:val="686F2B14"/>
    <w:multiLevelType w:val="singleLevel"/>
    <w:tmpl w:val="9B62A8DE"/>
    <w:lvl w:ilvl="0">
      <w:start w:val="9"/>
      <w:numFmt w:val="decimal"/>
      <w:lvlText w:val="%1."/>
      <w:lvlJc w:val="left"/>
      <w:pPr>
        <w:tabs>
          <w:tab w:val="num" w:pos="720"/>
        </w:tabs>
        <w:ind w:left="720" w:hanging="720"/>
      </w:pPr>
      <w:rPr>
        <w:rFonts w:hint="default"/>
        <w:b w:val="0"/>
        <w:i w:val="0"/>
      </w:rPr>
    </w:lvl>
  </w:abstractNum>
  <w:abstractNum w:abstractNumId="15">
    <w:nsid w:val="72020B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4AB1B94"/>
    <w:multiLevelType w:val="hybridMultilevel"/>
    <w:tmpl w:val="9948F4E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8C5780"/>
    <w:multiLevelType w:val="hybridMultilevel"/>
    <w:tmpl w:val="0DA84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D70B5"/>
    <w:multiLevelType w:val="hybridMultilevel"/>
    <w:tmpl w:val="71D22030"/>
    <w:lvl w:ilvl="0" w:tplc="2FAE80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C6F71F2"/>
    <w:multiLevelType w:val="hybridMultilevel"/>
    <w:tmpl w:val="6096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0"/>
  </w:num>
  <w:num w:numId="5">
    <w:abstractNumId w:val="14"/>
  </w:num>
  <w:num w:numId="6">
    <w:abstractNumId w:val="4"/>
  </w:num>
  <w:num w:numId="7">
    <w:abstractNumId w:val="15"/>
  </w:num>
  <w:num w:numId="8">
    <w:abstractNumId w:val="12"/>
  </w:num>
  <w:num w:numId="9">
    <w:abstractNumId w:val="8"/>
  </w:num>
  <w:num w:numId="10">
    <w:abstractNumId w:val="13"/>
  </w:num>
  <w:num w:numId="11">
    <w:abstractNumId w:val="18"/>
  </w:num>
  <w:num w:numId="12">
    <w:abstractNumId w:val="2"/>
  </w:num>
  <w:num w:numId="13">
    <w:abstractNumId w:val="16"/>
  </w:num>
  <w:num w:numId="14">
    <w:abstractNumId w:val="0"/>
  </w:num>
  <w:num w:numId="15">
    <w:abstractNumId w:val="17"/>
  </w:num>
  <w:num w:numId="16">
    <w:abstractNumId w:val="6"/>
  </w:num>
  <w:num w:numId="17">
    <w:abstractNumId w:val="5"/>
  </w:num>
  <w:num w:numId="18">
    <w:abstractNumId w:val="7"/>
  </w:num>
  <w:num w:numId="19">
    <w:abstractNumId w:val="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A3FD4"/>
    <w:rsid w:val="000C33BB"/>
    <w:rsid w:val="000F68AD"/>
    <w:rsid w:val="00150F2D"/>
    <w:rsid w:val="00154FC4"/>
    <w:rsid w:val="00221EF2"/>
    <w:rsid w:val="00256DBE"/>
    <w:rsid w:val="002E06DE"/>
    <w:rsid w:val="00346E9B"/>
    <w:rsid w:val="003E7D73"/>
    <w:rsid w:val="004879F8"/>
    <w:rsid w:val="004D0F6E"/>
    <w:rsid w:val="005D58C2"/>
    <w:rsid w:val="005F7FF1"/>
    <w:rsid w:val="00612C4C"/>
    <w:rsid w:val="00727D75"/>
    <w:rsid w:val="00763100"/>
    <w:rsid w:val="00774165"/>
    <w:rsid w:val="007A406F"/>
    <w:rsid w:val="008767DD"/>
    <w:rsid w:val="008A637C"/>
    <w:rsid w:val="00AA3FD4"/>
    <w:rsid w:val="00AF5B29"/>
    <w:rsid w:val="00C155A3"/>
    <w:rsid w:val="00CD60A2"/>
    <w:rsid w:val="00D60102"/>
    <w:rsid w:val="00DF0696"/>
    <w:rsid w:val="00ED7128"/>
    <w:rsid w:val="00F81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ind w:left="720"/>
      <w:jc w:val="center"/>
      <w:outlineLvl w:val="0"/>
    </w:pPr>
    <w:rPr>
      <w:b/>
      <w:i/>
      <w:sz w:val="24"/>
    </w:rPr>
  </w:style>
  <w:style w:type="paragraph" w:styleId="Heading2">
    <w:name w:val="heading 2"/>
    <w:basedOn w:val="Normal"/>
    <w:next w:val="Normal"/>
    <w:qFormat/>
    <w:pPr>
      <w:keepNext/>
      <w:widowControl w:val="0"/>
      <w:jc w:val="both"/>
      <w:outlineLvl w:val="1"/>
    </w:pPr>
    <w:rPr>
      <w:sz w:val="24"/>
    </w:rPr>
  </w:style>
  <w:style w:type="paragraph" w:styleId="Heading3">
    <w:name w:val="heading 3"/>
    <w:basedOn w:val="Normal"/>
    <w:next w:val="Normal"/>
    <w:qFormat/>
    <w:pPr>
      <w:keepNext/>
      <w:widowControl w:val="0"/>
      <w:ind w:left="720"/>
      <w:outlineLvl w:val="2"/>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rPr>
      <w:sz w:val="24"/>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jc w:val="both"/>
    </w:pPr>
    <w:rPr>
      <w:sz w:val="24"/>
    </w:rPr>
  </w:style>
  <w:style w:type="paragraph" w:styleId="BodyTextIndent2">
    <w:name w:val="Body Text Indent 2"/>
    <w:basedOn w:val="Normal"/>
    <w:semiHidden/>
    <w:pPr>
      <w:autoSpaceDE w:val="0"/>
      <w:autoSpaceDN w:val="0"/>
      <w:adjustRightInd w:val="0"/>
      <w:ind w:left="720"/>
    </w:pPr>
    <w:rPr>
      <w:color w:val="000000"/>
      <w:sz w:val="24"/>
    </w:rPr>
  </w:style>
  <w:style w:type="paragraph" w:styleId="BodyTextIndent3">
    <w:name w:val="Body Text Indent 3"/>
    <w:basedOn w:val="Normal"/>
    <w:semiHidden/>
    <w:pPr>
      <w:widowControl w:val="0"/>
      <w:ind w:left="720"/>
    </w:pPr>
    <w:rPr>
      <w:sz w:val="24"/>
    </w:rPr>
  </w:style>
  <w:style w:type="table" w:styleId="TableGrid">
    <w:name w:val="Table Grid"/>
    <w:basedOn w:val="TableNormal"/>
    <w:uiPriority w:val="59"/>
    <w:rsid w:val="00DF0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À"/>
    <w:basedOn w:val="DefaultParagraphFont"/>
    <w:rsid w:val="00346E9B"/>
  </w:style>
  <w:style w:type="paragraph" w:styleId="ListParagraph">
    <w:name w:val="List Paragraph"/>
    <w:basedOn w:val="Normal"/>
    <w:uiPriority w:val="34"/>
    <w:qFormat/>
    <w:rsid w:val="004D0F6E"/>
    <w:pPr>
      <w:ind w:left="720"/>
    </w:pPr>
  </w:style>
</w:styles>
</file>

<file path=word/webSettings.xml><?xml version="1.0" encoding="utf-8"?>
<w:webSettings xmlns:r="http://schemas.openxmlformats.org/officeDocument/2006/relationships" xmlns:w="http://schemas.openxmlformats.org/wordprocessingml/2006/main">
  <w:divs>
    <w:div w:id="44126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908C-0A28-4C64-B969-1D896A12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2697</Words>
  <Characters>15373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Authorised User</cp:lastModifiedBy>
  <cp:revision>2</cp:revision>
  <cp:lastPrinted>2001-08-23T21:22:00Z</cp:lastPrinted>
  <dcterms:created xsi:type="dcterms:W3CDTF">2011-06-07T20:21:00Z</dcterms:created>
  <dcterms:modified xsi:type="dcterms:W3CDTF">2011-06-07T20:21:00Z</dcterms:modified>
</cp:coreProperties>
</file>