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EC" w:rsidRPr="00CC4FEC" w:rsidRDefault="00CC4FEC">
      <w:pPr>
        <w:pStyle w:val="Title"/>
        <w:rPr>
          <w:b w:val="0"/>
          <w:sz w:val="28"/>
          <w:szCs w:val="28"/>
        </w:rPr>
      </w:pPr>
      <w:r w:rsidRPr="00CC4FEC">
        <w:rPr>
          <w:b w:val="0"/>
          <w:sz w:val="28"/>
          <w:szCs w:val="28"/>
        </w:rPr>
        <w:t xml:space="preserve">Annual Performance Report for Grants under the </w:t>
      </w:r>
    </w:p>
    <w:p w:rsidR="002C6092" w:rsidRDefault="002C6092">
      <w:pPr>
        <w:pStyle w:val="Title"/>
        <w:rPr>
          <w:b w:val="0"/>
          <w:sz w:val="28"/>
          <w:szCs w:val="28"/>
        </w:rPr>
      </w:pPr>
      <w:r w:rsidRPr="00CC4FEC">
        <w:rPr>
          <w:b w:val="0"/>
          <w:sz w:val="28"/>
          <w:szCs w:val="28"/>
        </w:rPr>
        <w:t>Talent Search and Educational Opportunity Centers Programs</w:t>
      </w:r>
    </w:p>
    <w:p w:rsidR="00CC4FEC" w:rsidRPr="00CC4FEC" w:rsidRDefault="00CC4FEC">
      <w:pPr>
        <w:pStyle w:val="Title"/>
        <w:rPr>
          <w:b w:val="0"/>
          <w:sz w:val="28"/>
          <w:szCs w:val="28"/>
        </w:rPr>
      </w:pPr>
    </w:p>
    <w:p w:rsidR="002C6092" w:rsidRPr="00CC4FEC" w:rsidRDefault="00CC4FEC">
      <w:pPr>
        <w:jc w:val="center"/>
        <w:rPr>
          <w:b/>
          <w:bCs/>
          <w:i/>
          <w:sz w:val="28"/>
          <w:szCs w:val="28"/>
        </w:rPr>
      </w:pPr>
      <w:r w:rsidRPr="00CC4FEC">
        <w:rPr>
          <w:b/>
          <w:bCs/>
          <w:i/>
          <w:sz w:val="28"/>
          <w:szCs w:val="28"/>
        </w:rPr>
        <w:t xml:space="preserve">Supporting Statement </w:t>
      </w:r>
      <w:r w:rsidR="002C6092" w:rsidRPr="00CC4FEC">
        <w:rPr>
          <w:b/>
          <w:bCs/>
          <w:i/>
          <w:sz w:val="28"/>
          <w:szCs w:val="28"/>
        </w:rPr>
        <w:t xml:space="preserve">for </w:t>
      </w:r>
      <w:r w:rsidRPr="00CC4FEC">
        <w:rPr>
          <w:b/>
          <w:bCs/>
          <w:i/>
          <w:sz w:val="28"/>
          <w:szCs w:val="28"/>
        </w:rPr>
        <w:t xml:space="preserve">Request for </w:t>
      </w:r>
      <w:r w:rsidR="002C6092" w:rsidRPr="00CC4FEC">
        <w:rPr>
          <w:b/>
          <w:bCs/>
          <w:i/>
          <w:sz w:val="28"/>
          <w:szCs w:val="28"/>
        </w:rPr>
        <w:t>Approval under the Paperwork Reduction Act and 5 CFR 1320</w:t>
      </w:r>
    </w:p>
    <w:p w:rsidR="002C6092" w:rsidRDefault="002C6092">
      <w:pPr>
        <w:jc w:val="center"/>
      </w:pPr>
    </w:p>
    <w:p w:rsidR="002C6092" w:rsidRPr="00CC4FEC" w:rsidRDefault="002C6092">
      <w:pPr>
        <w:pStyle w:val="Heading2"/>
        <w:rPr>
          <w:rFonts w:ascii="Times New Roman" w:hAnsi="Times New Roman"/>
          <w:sz w:val="24"/>
        </w:rPr>
      </w:pPr>
      <w:r>
        <w:t xml:space="preserve">A.  </w:t>
      </w:r>
      <w:r w:rsidRPr="00CC4FEC">
        <w:rPr>
          <w:rFonts w:ascii="Times New Roman" w:hAnsi="Times New Roman"/>
          <w:sz w:val="24"/>
        </w:rPr>
        <w:t>Justification</w:t>
      </w:r>
    </w:p>
    <w:p w:rsidR="002C6092" w:rsidRPr="00CC4FEC" w:rsidRDefault="002C6092">
      <w:pPr>
        <w:rPr>
          <w:rFonts w:ascii="Times New Roman" w:hAnsi="Times New Roman"/>
          <w:sz w:val="24"/>
        </w:rPr>
      </w:pPr>
    </w:p>
    <w:p w:rsidR="00CC4FEC" w:rsidRPr="00CC4FEC" w:rsidRDefault="002C6092" w:rsidP="00CC4FEC">
      <w:pPr>
        <w:tabs>
          <w:tab w:val="left" w:pos="0"/>
        </w:tabs>
        <w:suppressAutoHyphens/>
        <w:rPr>
          <w:rFonts w:ascii="Times New Roman" w:hAnsi="Times New Roman"/>
          <w:sz w:val="24"/>
        </w:rPr>
      </w:pPr>
      <w:r w:rsidRPr="00CC4FEC">
        <w:rPr>
          <w:rFonts w:ascii="Times New Roman" w:hAnsi="Times New Roman"/>
          <w:sz w:val="24"/>
        </w:rPr>
        <w:t xml:space="preserve">1.  </w:t>
      </w:r>
      <w:r w:rsidR="00CC4FEC" w:rsidRPr="00CC4FEC">
        <w:rPr>
          <w:rFonts w:ascii="Times New Roman" w:hAnsi="Times New Roman"/>
          <w:sz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proofErr w:type="gramStart"/>
      <w:r w:rsidR="00CC4FEC" w:rsidRPr="00CC4FEC">
        <w:rPr>
          <w:rFonts w:ascii="Times New Roman" w:hAnsi="Times New Roman"/>
          <w:sz w:val="24"/>
        </w:rPr>
        <w:t>collection</w:t>
      </w:r>
      <w:proofErr w:type="gramEnd"/>
      <w:r w:rsidR="00CC4FEC" w:rsidRPr="00CC4FEC">
        <w:rPr>
          <w:rFonts w:ascii="Times New Roman" w:hAnsi="Times New Roman"/>
          <w:sz w:val="24"/>
        </w:rPr>
        <w:t xml:space="preserve"> of information.</w:t>
      </w:r>
    </w:p>
    <w:p w:rsidR="00CC4FEC" w:rsidRPr="00CC4FEC" w:rsidRDefault="00CC4FEC" w:rsidP="00CC4FEC">
      <w:pPr>
        <w:ind w:left="720"/>
        <w:rPr>
          <w:rFonts w:ascii="Times New Roman" w:hAnsi="Times New Roman"/>
          <w:sz w:val="24"/>
        </w:rPr>
      </w:pPr>
    </w:p>
    <w:p w:rsidR="00CC4FEC" w:rsidRPr="00CC4FEC" w:rsidRDefault="00CC4FEC">
      <w:pPr>
        <w:rPr>
          <w:rFonts w:ascii="Times New Roman" w:hAnsi="Times New Roman"/>
          <w:sz w:val="24"/>
        </w:rPr>
      </w:pPr>
    </w:p>
    <w:p w:rsidR="00FA311C" w:rsidRDefault="002C6092" w:rsidP="00CC4FEC">
      <w:pPr>
        <w:ind w:left="720"/>
        <w:rPr>
          <w:rFonts w:ascii="Times New Roman" w:hAnsi="Times New Roman"/>
          <w:sz w:val="24"/>
        </w:rPr>
      </w:pPr>
      <w:r w:rsidRPr="00CC4FEC">
        <w:rPr>
          <w:rFonts w:ascii="Times New Roman" w:hAnsi="Times New Roman"/>
          <w:sz w:val="24"/>
        </w:rPr>
        <w:t>The Department of Education (</w:t>
      </w:r>
      <w:r w:rsidR="00F952D0" w:rsidRPr="00CC4FEC">
        <w:rPr>
          <w:rFonts w:ascii="Times New Roman" w:hAnsi="Times New Roman"/>
          <w:sz w:val="24"/>
        </w:rPr>
        <w:t>Department</w:t>
      </w:r>
      <w:r w:rsidRPr="00CC4FEC">
        <w:rPr>
          <w:rFonts w:ascii="Times New Roman" w:hAnsi="Times New Roman"/>
          <w:sz w:val="24"/>
        </w:rPr>
        <w:t xml:space="preserve">) is requesting approval of </w:t>
      </w:r>
      <w:r w:rsidR="00B11873">
        <w:rPr>
          <w:rFonts w:ascii="Times New Roman" w:hAnsi="Times New Roman"/>
          <w:sz w:val="24"/>
        </w:rPr>
        <w:t>an extension of the current Talent Search and Education</w:t>
      </w:r>
      <w:r w:rsidR="00257355">
        <w:rPr>
          <w:rFonts w:ascii="Times New Roman" w:hAnsi="Times New Roman"/>
          <w:sz w:val="24"/>
        </w:rPr>
        <w:t>al</w:t>
      </w:r>
      <w:r w:rsidR="00B11873">
        <w:rPr>
          <w:rFonts w:ascii="Times New Roman" w:hAnsi="Times New Roman"/>
          <w:sz w:val="24"/>
        </w:rPr>
        <w:t xml:space="preserve"> Opportunity Centers Annual Performance Report (APR) which will </w:t>
      </w:r>
      <w:r w:rsidR="00CC4FEC" w:rsidRPr="00CC4FEC">
        <w:rPr>
          <w:rFonts w:ascii="Times New Roman" w:hAnsi="Times New Roman"/>
          <w:sz w:val="24"/>
        </w:rPr>
        <w:t>expire on October 31, 2011</w:t>
      </w:r>
      <w:r w:rsidRPr="00CC4FEC">
        <w:rPr>
          <w:rFonts w:ascii="Times New Roman" w:hAnsi="Times New Roman"/>
          <w:sz w:val="24"/>
        </w:rPr>
        <w:t xml:space="preserve"> (OMB No. 1840-0561) to collect </w:t>
      </w:r>
      <w:r w:rsidR="00D0456F">
        <w:rPr>
          <w:rFonts w:ascii="Times New Roman" w:hAnsi="Times New Roman"/>
          <w:sz w:val="24"/>
        </w:rPr>
        <w:t xml:space="preserve">Fiscal Year (FY) 2010-11 performance data in late fall 2011 </w:t>
      </w:r>
      <w:r w:rsidRPr="00CC4FEC">
        <w:rPr>
          <w:rFonts w:ascii="Times New Roman" w:hAnsi="Times New Roman"/>
          <w:sz w:val="24"/>
        </w:rPr>
        <w:t>under the Talent Search (TS) and Educational Opportunity Centers (EOC) programs</w:t>
      </w:r>
      <w:r w:rsidR="00D0456F">
        <w:rPr>
          <w:rFonts w:ascii="Times New Roman" w:hAnsi="Times New Roman"/>
          <w:sz w:val="24"/>
        </w:rPr>
        <w:t>.</w:t>
      </w:r>
      <w:r w:rsidRPr="00CC4FEC">
        <w:rPr>
          <w:rFonts w:ascii="Times New Roman" w:hAnsi="Times New Roman"/>
          <w:sz w:val="24"/>
        </w:rPr>
        <w:t xml:space="preserve">  </w:t>
      </w:r>
    </w:p>
    <w:p w:rsidR="00FA311C" w:rsidRDefault="00FA311C" w:rsidP="00CC4FEC">
      <w:pPr>
        <w:ind w:left="720"/>
        <w:rPr>
          <w:rFonts w:ascii="Times New Roman" w:hAnsi="Times New Roman"/>
          <w:sz w:val="24"/>
        </w:rPr>
      </w:pPr>
    </w:p>
    <w:p w:rsidR="00D0456F" w:rsidRDefault="00B11873" w:rsidP="00CC4FEC">
      <w:pPr>
        <w:ind w:left="720"/>
        <w:rPr>
          <w:rFonts w:ascii="Times New Roman" w:hAnsi="Times New Roman"/>
          <w:sz w:val="24"/>
        </w:rPr>
      </w:pPr>
      <w:r>
        <w:rPr>
          <w:rFonts w:ascii="Times New Roman" w:hAnsi="Times New Roman"/>
          <w:sz w:val="24"/>
        </w:rPr>
        <w:t xml:space="preserve">Approval will allow the Department to collect consistent performance data from </w:t>
      </w:r>
      <w:r w:rsidR="008B2735">
        <w:rPr>
          <w:rFonts w:ascii="Times New Roman" w:hAnsi="Times New Roman"/>
          <w:sz w:val="24"/>
        </w:rPr>
        <w:t xml:space="preserve">all of the grantees funded during </w:t>
      </w:r>
      <w:r w:rsidR="008954BD">
        <w:rPr>
          <w:rFonts w:ascii="Times New Roman" w:hAnsi="Times New Roman"/>
          <w:sz w:val="24"/>
        </w:rPr>
        <w:t xml:space="preserve">the </w:t>
      </w:r>
      <w:r w:rsidR="008B2735">
        <w:rPr>
          <w:rFonts w:ascii="Times New Roman" w:hAnsi="Times New Roman"/>
          <w:sz w:val="24"/>
        </w:rPr>
        <w:t>fiscal year (FY) 2006 grant award cycle</w:t>
      </w:r>
      <w:r w:rsidR="008954BD">
        <w:rPr>
          <w:rFonts w:ascii="Times New Roman" w:hAnsi="Times New Roman"/>
          <w:sz w:val="24"/>
        </w:rPr>
        <w:t xml:space="preserve"> </w:t>
      </w:r>
      <w:r w:rsidR="008B2735">
        <w:rPr>
          <w:rFonts w:ascii="Times New Roman" w:hAnsi="Times New Roman"/>
          <w:sz w:val="24"/>
        </w:rPr>
        <w:t>and the last year of the extended grant award period from current TS and EOC grantees, who</w:t>
      </w:r>
      <w:r>
        <w:rPr>
          <w:rFonts w:ascii="Times New Roman" w:hAnsi="Times New Roman"/>
          <w:sz w:val="24"/>
        </w:rPr>
        <w:t xml:space="preserve"> were given a one-time, one-year extension due to the negotiated rulemaking process</w:t>
      </w:r>
      <w:r w:rsidR="008954BD">
        <w:rPr>
          <w:rFonts w:ascii="Times New Roman" w:hAnsi="Times New Roman"/>
          <w:sz w:val="24"/>
        </w:rPr>
        <w:t xml:space="preserve">.  </w:t>
      </w:r>
    </w:p>
    <w:p w:rsidR="002C6092" w:rsidRPr="00CC4FEC" w:rsidRDefault="002C6092">
      <w:pPr>
        <w:rPr>
          <w:rFonts w:ascii="Times New Roman" w:hAnsi="Times New Roman"/>
          <w:sz w:val="24"/>
        </w:rPr>
      </w:pPr>
    </w:p>
    <w:p w:rsidR="002C6092" w:rsidRPr="00CC4FEC" w:rsidRDefault="002C6092" w:rsidP="00CC4FEC">
      <w:pPr>
        <w:ind w:left="720"/>
        <w:rPr>
          <w:rFonts w:ascii="Times New Roman" w:hAnsi="Times New Roman"/>
          <w:sz w:val="24"/>
        </w:rPr>
      </w:pPr>
      <w:r w:rsidRPr="00CC4FEC">
        <w:rPr>
          <w:rFonts w:ascii="Times New Roman" w:hAnsi="Times New Roman"/>
          <w:sz w:val="24"/>
        </w:rPr>
        <w:t>The TS</w:t>
      </w:r>
      <w:r w:rsidR="00F952D0" w:rsidRPr="00CC4FEC">
        <w:rPr>
          <w:rFonts w:ascii="Times New Roman" w:hAnsi="Times New Roman"/>
          <w:sz w:val="24"/>
        </w:rPr>
        <w:t xml:space="preserve"> </w:t>
      </w:r>
      <w:r w:rsidRPr="00CC4FEC">
        <w:rPr>
          <w:rFonts w:ascii="Times New Roman" w:hAnsi="Times New Roman"/>
          <w:sz w:val="24"/>
        </w:rPr>
        <w:t xml:space="preserve">and EOC programs are </w:t>
      </w:r>
      <w:r w:rsidR="004F011C">
        <w:rPr>
          <w:rFonts w:ascii="Times New Roman" w:hAnsi="Times New Roman"/>
          <w:sz w:val="24"/>
        </w:rPr>
        <w:t>Student Service</w:t>
      </w:r>
      <w:r w:rsidRPr="00CC4FEC">
        <w:rPr>
          <w:rFonts w:ascii="Times New Roman" w:hAnsi="Times New Roman"/>
          <w:sz w:val="24"/>
        </w:rPr>
        <w:t xml:space="preserve"> programs that provide </w:t>
      </w:r>
      <w:r w:rsidR="00257355">
        <w:rPr>
          <w:rFonts w:ascii="Times New Roman" w:hAnsi="Times New Roman"/>
          <w:sz w:val="24"/>
        </w:rPr>
        <w:t>F</w:t>
      </w:r>
      <w:r w:rsidR="00257355" w:rsidRPr="00CC4FEC">
        <w:rPr>
          <w:rFonts w:ascii="Times New Roman" w:hAnsi="Times New Roman"/>
          <w:sz w:val="24"/>
        </w:rPr>
        <w:t xml:space="preserve">ederal </w:t>
      </w:r>
      <w:r w:rsidRPr="00CC4FEC">
        <w:rPr>
          <w:rFonts w:ascii="Times New Roman" w:hAnsi="Times New Roman"/>
          <w:sz w:val="24"/>
        </w:rPr>
        <w:t xml:space="preserve">financial assistance in the form of discretionary grants to </w:t>
      </w:r>
      <w:r w:rsidR="00257355">
        <w:rPr>
          <w:rFonts w:ascii="Times New Roman" w:hAnsi="Times New Roman"/>
          <w:sz w:val="24"/>
        </w:rPr>
        <w:t xml:space="preserve">(a) </w:t>
      </w:r>
      <w:r w:rsidR="004F011C" w:rsidRPr="00C43018">
        <w:rPr>
          <w:rFonts w:ascii="Times New Roman" w:hAnsi="Times New Roman"/>
          <w:sz w:val="24"/>
        </w:rPr>
        <w:t>institutions of higher education</w:t>
      </w:r>
      <w:r w:rsidR="00257355">
        <w:rPr>
          <w:rFonts w:ascii="Times New Roman" w:hAnsi="Times New Roman"/>
          <w:sz w:val="24"/>
        </w:rPr>
        <w:t>;</w:t>
      </w:r>
      <w:r w:rsidR="004F011C" w:rsidRPr="00C43018">
        <w:rPr>
          <w:rFonts w:ascii="Times New Roman" w:hAnsi="Times New Roman"/>
          <w:sz w:val="24"/>
        </w:rPr>
        <w:t xml:space="preserve"> </w:t>
      </w:r>
      <w:r w:rsidR="00257355">
        <w:rPr>
          <w:rFonts w:ascii="Times New Roman" w:hAnsi="Times New Roman"/>
          <w:sz w:val="24"/>
        </w:rPr>
        <w:t xml:space="preserve">(b) </w:t>
      </w:r>
      <w:r w:rsidR="004F011C" w:rsidRPr="00C43018">
        <w:rPr>
          <w:rFonts w:ascii="Times New Roman" w:hAnsi="Times New Roman"/>
          <w:sz w:val="24"/>
        </w:rPr>
        <w:t>public and private agencies and organizations including community-based organizations with experience in serving disadvantaged youth</w:t>
      </w:r>
      <w:r w:rsidR="00257355">
        <w:rPr>
          <w:rFonts w:ascii="Times New Roman" w:hAnsi="Times New Roman"/>
          <w:sz w:val="24"/>
        </w:rPr>
        <w:t>;(c)</w:t>
      </w:r>
      <w:r w:rsidR="004F011C" w:rsidRPr="00C43018">
        <w:rPr>
          <w:rFonts w:ascii="Times New Roman" w:hAnsi="Times New Roman"/>
          <w:sz w:val="24"/>
        </w:rPr>
        <w:t xml:space="preserve"> combinations of such institutions, agencies and organizations</w:t>
      </w:r>
      <w:r w:rsidR="00257355">
        <w:rPr>
          <w:rFonts w:ascii="Times New Roman" w:hAnsi="Times New Roman"/>
          <w:sz w:val="24"/>
        </w:rPr>
        <w:t>;</w:t>
      </w:r>
      <w:r w:rsidR="004F011C" w:rsidRPr="00C43018">
        <w:rPr>
          <w:rFonts w:ascii="Times New Roman" w:hAnsi="Times New Roman"/>
          <w:sz w:val="24"/>
        </w:rPr>
        <w:t xml:space="preserve"> and</w:t>
      </w:r>
      <w:r w:rsidR="00257355">
        <w:rPr>
          <w:rFonts w:ascii="Times New Roman" w:hAnsi="Times New Roman"/>
          <w:sz w:val="24"/>
        </w:rPr>
        <w:t>,</w:t>
      </w:r>
      <w:r w:rsidR="004F011C" w:rsidRPr="00C43018">
        <w:rPr>
          <w:rFonts w:ascii="Times New Roman" w:hAnsi="Times New Roman"/>
          <w:sz w:val="24"/>
        </w:rPr>
        <w:t xml:space="preserve"> as appropriate to the purposes of the program, </w:t>
      </w:r>
      <w:r w:rsidR="00257355">
        <w:rPr>
          <w:rFonts w:ascii="Times New Roman" w:hAnsi="Times New Roman"/>
          <w:sz w:val="24"/>
        </w:rPr>
        <w:t xml:space="preserve">(d) </w:t>
      </w:r>
      <w:r w:rsidR="004F011C" w:rsidRPr="00C43018">
        <w:rPr>
          <w:rFonts w:ascii="Times New Roman" w:hAnsi="Times New Roman"/>
          <w:sz w:val="24"/>
        </w:rPr>
        <w:t>secondary schools</w:t>
      </w:r>
      <w:r w:rsidR="00257355">
        <w:rPr>
          <w:rFonts w:ascii="Times New Roman" w:hAnsi="Times New Roman"/>
          <w:sz w:val="24"/>
        </w:rPr>
        <w:t xml:space="preserve">.  </w:t>
      </w:r>
      <w:r w:rsidRPr="00CC4FEC">
        <w:rPr>
          <w:rFonts w:ascii="Times New Roman" w:hAnsi="Times New Roman"/>
          <w:sz w:val="24"/>
        </w:rPr>
        <w:t>The specific goal of the TS and EOC programs is to help youth and adults from disadvantaged backgrounds complete secondary education and enroll in programs of postsecondary education (20 U.S.C. 1070a</w:t>
      </w:r>
      <w:r w:rsidR="004F011C">
        <w:rPr>
          <w:rFonts w:ascii="Times New Roman" w:hAnsi="Times New Roman"/>
          <w:sz w:val="24"/>
        </w:rPr>
        <w:t>-12 and 1070a-16</w:t>
      </w:r>
      <w:r w:rsidRPr="00CC4FEC">
        <w:rPr>
          <w:rFonts w:ascii="Times New Roman" w:hAnsi="Times New Roman"/>
          <w:sz w:val="24"/>
        </w:rPr>
        <w:t>).</w:t>
      </w:r>
    </w:p>
    <w:p w:rsidR="002C6092" w:rsidRPr="00CC4FEC" w:rsidRDefault="002C6092">
      <w:pPr>
        <w:rPr>
          <w:rFonts w:ascii="Times New Roman" w:hAnsi="Times New Roman"/>
          <w:sz w:val="24"/>
        </w:rPr>
      </w:pPr>
    </w:p>
    <w:p w:rsidR="002C6092" w:rsidRPr="00CC4FEC" w:rsidRDefault="002C6092" w:rsidP="00CC4FEC">
      <w:pPr>
        <w:ind w:left="720"/>
        <w:rPr>
          <w:rFonts w:ascii="Times New Roman" w:hAnsi="Times New Roman"/>
          <w:sz w:val="24"/>
        </w:rPr>
      </w:pPr>
      <w:r w:rsidRPr="00CC4FEC">
        <w:rPr>
          <w:rFonts w:ascii="Times New Roman" w:hAnsi="Times New Roman"/>
          <w:sz w:val="24"/>
        </w:rPr>
        <w:t xml:space="preserve">The information that grantees submit in the performance report allows </w:t>
      </w:r>
      <w:r w:rsidR="004F011C">
        <w:rPr>
          <w:rFonts w:ascii="Times New Roman" w:hAnsi="Times New Roman"/>
          <w:sz w:val="24"/>
        </w:rPr>
        <w:t>Student Service</w:t>
      </w:r>
      <w:r w:rsidRPr="00CC4FEC">
        <w:rPr>
          <w:rFonts w:ascii="Times New Roman" w:hAnsi="Times New Roman"/>
          <w:sz w:val="24"/>
        </w:rPr>
        <w:t xml:space="preserve"> to </w:t>
      </w:r>
      <w:r w:rsidR="00257355">
        <w:rPr>
          <w:rFonts w:ascii="Times New Roman" w:hAnsi="Times New Roman"/>
          <w:sz w:val="24"/>
        </w:rPr>
        <w:t xml:space="preserve">annually </w:t>
      </w:r>
      <w:r w:rsidRPr="00CC4FEC">
        <w:rPr>
          <w:rFonts w:ascii="Times New Roman" w:hAnsi="Times New Roman"/>
          <w:sz w:val="24"/>
        </w:rPr>
        <w:t xml:space="preserve">assess each grantee's progress in meeting the project's approved goals and objectives.  The performance report data are compared with the </w:t>
      </w:r>
      <w:proofErr w:type="gramStart"/>
      <w:r w:rsidRPr="00CC4FEC">
        <w:rPr>
          <w:rFonts w:ascii="Times New Roman" w:hAnsi="Times New Roman"/>
          <w:sz w:val="24"/>
        </w:rPr>
        <w:t>project's</w:t>
      </w:r>
      <w:proofErr w:type="gramEnd"/>
      <w:r w:rsidRPr="00CC4FEC">
        <w:rPr>
          <w:rFonts w:ascii="Times New Roman" w:hAnsi="Times New Roman"/>
          <w:sz w:val="24"/>
        </w:rPr>
        <w:t xml:space="preserve"> approved objectives to determine the project's accomplishments, to make decisions regarding whether funding should be continued, and to award "prior experience" points.  The regulations for these programs provide for awarding up to 15 points for prior experience (34 CR 643.22 for TS; 644.22 for EOC).  During a competition for new grant awards, the prior experience points </w:t>
      </w:r>
      <w:r w:rsidRPr="00CC4FEC">
        <w:rPr>
          <w:rFonts w:ascii="Times New Roman" w:hAnsi="Times New Roman"/>
          <w:sz w:val="24"/>
        </w:rPr>
        <w:lastRenderedPageBreak/>
        <w:t>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002C6092" w:rsidRPr="00CC4FEC" w:rsidRDefault="002C6092">
      <w:pPr>
        <w:rPr>
          <w:rFonts w:ascii="Times New Roman" w:hAnsi="Times New Roman"/>
          <w:sz w:val="24"/>
        </w:rPr>
      </w:pPr>
    </w:p>
    <w:p w:rsidR="002C6092" w:rsidRPr="00CC4FEC" w:rsidRDefault="002C6092" w:rsidP="00EA7C39">
      <w:pPr>
        <w:ind w:left="720"/>
        <w:rPr>
          <w:rFonts w:ascii="Times New Roman" w:hAnsi="Times New Roman"/>
          <w:sz w:val="24"/>
        </w:rPr>
      </w:pPr>
      <w:r w:rsidRPr="00CC4FEC">
        <w:rPr>
          <w:rFonts w:ascii="Times New Roman" w:hAnsi="Times New Roman"/>
          <w:sz w:val="24"/>
        </w:rPr>
        <w:t>Further, this performance report form is the main source of data for the Department's response to the requirements of the Government Performance and Results Act (GPRA)</w:t>
      </w:r>
      <w:r w:rsidR="00257355">
        <w:rPr>
          <w:rFonts w:ascii="Times New Roman" w:hAnsi="Times New Roman"/>
          <w:sz w:val="24"/>
        </w:rPr>
        <w:t xml:space="preserve"> for these two programs</w:t>
      </w:r>
      <w:r w:rsidRPr="00CC4FEC">
        <w:rPr>
          <w:rFonts w:ascii="Times New Roman" w:hAnsi="Times New Roman"/>
          <w:sz w:val="24"/>
        </w:rPr>
        <w:t xml:space="preserve">.  </w:t>
      </w:r>
    </w:p>
    <w:p w:rsidR="002C6092" w:rsidRPr="00CC4FEC" w:rsidRDefault="00204D7E" w:rsidP="00204D7E">
      <w:pPr>
        <w:tabs>
          <w:tab w:val="left" w:pos="5850"/>
        </w:tabs>
        <w:rPr>
          <w:rFonts w:ascii="Times New Roman" w:hAnsi="Times New Roman"/>
          <w:sz w:val="24"/>
        </w:rPr>
      </w:pPr>
      <w:r>
        <w:rPr>
          <w:rFonts w:ascii="Times New Roman" w:hAnsi="Times New Roman"/>
          <w:sz w:val="24"/>
        </w:rPr>
        <w:tab/>
      </w:r>
    </w:p>
    <w:p w:rsidR="002C6092" w:rsidRDefault="002C6092" w:rsidP="0081683E">
      <w:pPr>
        <w:ind w:left="720"/>
        <w:rPr>
          <w:rFonts w:ascii="Times New Roman" w:hAnsi="Times New Roman"/>
          <w:sz w:val="24"/>
        </w:rPr>
      </w:pPr>
      <w:r w:rsidRPr="00CC4FEC">
        <w:rPr>
          <w:rFonts w:ascii="Times New Roman" w:hAnsi="Times New Roman"/>
          <w:sz w:val="24"/>
        </w:rPr>
        <w:t xml:space="preserve">The Department collects information from TS and EOC grantees under the authority of Title IV, Part A, Subpart 2, Chapter 1, Section 402B and F of the Higher Education Act of 1965, as amended, the program regulations in 34 CFR 643 and 644, and the Education Department General Administrative Regulations (EDGAR), in 34 CFR 74.51, 75.720, and 75.732.  </w:t>
      </w:r>
      <w:r w:rsidR="00354ECF">
        <w:rPr>
          <w:rFonts w:ascii="Times New Roman" w:hAnsi="Times New Roman"/>
          <w:sz w:val="24"/>
        </w:rPr>
        <w:t xml:space="preserve">Attached is a copy of the authorizing statute, as amended in 1998, which is the basis for the current program regulations, also attached.  </w:t>
      </w:r>
    </w:p>
    <w:p w:rsidR="0081683E" w:rsidRDefault="0081683E" w:rsidP="0081683E">
      <w:pPr>
        <w:ind w:left="720"/>
      </w:pPr>
    </w:p>
    <w:p w:rsidR="001D0998" w:rsidRPr="008628E2" w:rsidRDefault="002C6092">
      <w:pPr>
        <w:rPr>
          <w:rFonts w:ascii="Times New Roman" w:hAnsi="Times New Roman"/>
          <w:sz w:val="24"/>
        </w:rPr>
      </w:pPr>
      <w:r>
        <w:t>2</w:t>
      </w:r>
      <w:r w:rsidRPr="008628E2">
        <w:rPr>
          <w:rFonts w:ascii="Times New Roman" w:hAnsi="Times New Roman"/>
          <w:sz w:val="24"/>
        </w:rPr>
        <w:t xml:space="preserve">.  </w:t>
      </w:r>
      <w:r w:rsidR="001D0998" w:rsidRPr="008628E2">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8628E2" w:rsidRDefault="001D0998">
      <w:pPr>
        <w:rPr>
          <w:rFonts w:ascii="Times New Roman" w:hAnsi="Times New Roman"/>
          <w:sz w:val="24"/>
        </w:rPr>
      </w:pPr>
    </w:p>
    <w:p w:rsidR="002C6092" w:rsidRPr="008628E2" w:rsidRDefault="002C6092" w:rsidP="001D0998">
      <w:pPr>
        <w:ind w:left="720"/>
        <w:rPr>
          <w:rFonts w:ascii="Times New Roman" w:hAnsi="Times New Roman"/>
          <w:sz w:val="24"/>
        </w:rPr>
      </w:pPr>
      <w:r w:rsidRPr="008628E2">
        <w:rPr>
          <w:rFonts w:ascii="Times New Roman" w:hAnsi="Times New Roman"/>
          <w:sz w:val="24"/>
        </w:rPr>
        <w:t>The Department uses the data collected to (a) evaluate projects' accomplishments</w:t>
      </w:r>
      <w:r w:rsidR="00257355">
        <w:rPr>
          <w:rFonts w:ascii="Times New Roman" w:hAnsi="Times New Roman"/>
          <w:sz w:val="24"/>
        </w:rPr>
        <w:t>;</w:t>
      </w:r>
      <w:r w:rsidRPr="008628E2">
        <w:rPr>
          <w:rFonts w:ascii="Times New Roman" w:hAnsi="Times New Roman"/>
          <w:sz w:val="24"/>
        </w:rPr>
        <w:t xml:space="preserve"> (b) determine the number of prior experience points to be awarded to current grantees</w:t>
      </w:r>
      <w:r w:rsidR="00257355">
        <w:rPr>
          <w:rFonts w:ascii="Times New Roman" w:hAnsi="Times New Roman"/>
          <w:sz w:val="24"/>
        </w:rPr>
        <w:t>;</w:t>
      </w:r>
      <w:r w:rsidRPr="008628E2">
        <w:rPr>
          <w:rFonts w:ascii="Times New Roman" w:hAnsi="Times New Roman"/>
          <w:sz w:val="24"/>
        </w:rPr>
        <w:t xml:space="preserve"> and (c) aid in compliance monitoring (</w:t>
      </w:r>
      <w:r w:rsidR="00952F08">
        <w:rPr>
          <w:rFonts w:ascii="Times New Roman" w:hAnsi="Times New Roman"/>
          <w:sz w:val="24"/>
        </w:rPr>
        <w:t>i.e</w:t>
      </w:r>
      <w:r w:rsidRPr="008628E2">
        <w:rPr>
          <w:rFonts w:ascii="Times New Roman" w:hAnsi="Times New Roman"/>
          <w:sz w:val="24"/>
        </w:rPr>
        <w:t xml:space="preserve">., to determine whether grantees are in compliance with the selection requirements for project participants [34 CFR 643.3 and 644.3]).  </w:t>
      </w:r>
    </w:p>
    <w:p w:rsidR="002C6092" w:rsidRPr="008628E2" w:rsidRDefault="002C6092">
      <w:pPr>
        <w:rPr>
          <w:rFonts w:ascii="Times New Roman" w:hAnsi="Times New Roman"/>
          <w:sz w:val="24"/>
        </w:rPr>
      </w:pPr>
    </w:p>
    <w:p w:rsidR="002C6092" w:rsidRPr="008628E2" w:rsidRDefault="002C6092" w:rsidP="001D0998">
      <w:pPr>
        <w:ind w:left="720"/>
        <w:rPr>
          <w:rFonts w:ascii="Times New Roman" w:hAnsi="Times New Roman"/>
          <w:sz w:val="24"/>
        </w:rPr>
      </w:pPr>
      <w:r w:rsidRPr="008628E2">
        <w:rPr>
          <w:rFonts w:ascii="Times New Roman" w:hAnsi="Times New Roman"/>
          <w:sz w:val="24"/>
        </w:rPr>
        <w:t xml:space="preserve">In addition, </w:t>
      </w:r>
      <w:r w:rsidR="00CC648B">
        <w:rPr>
          <w:rFonts w:ascii="Times New Roman" w:hAnsi="Times New Roman"/>
          <w:sz w:val="24"/>
        </w:rPr>
        <w:t>Student Service</w:t>
      </w:r>
      <w:r w:rsidRPr="008628E2">
        <w:rPr>
          <w:rFonts w:ascii="Times New Roman" w:hAnsi="Times New Roman"/>
          <w:sz w:val="24"/>
        </w:rPr>
        <w:t xml:space="preserve"> uses the annual performance reports to produce program-level data for annual reporting, budget submissions to OMB, Congressional hearings and inquiries, and responding to inquiries from higher education interest groups and the general public.  </w:t>
      </w:r>
    </w:p>
    <w:p w:rsidR="002C6092" w:rsidRDefault="002C6092"/>
    <w:p w:rsidR="008628E2" w:rsidRPr="008628E2" w:rsidRDefault="002C6092" w:rsidP="008628E2">
      <w:pPr>
        <w:tabs>
          <w:tab w:val="left" w:pos="-720"/>
        </w:tabs>
        <w:suppressAutoHyphens/>
        <w:rPr>
          <w:rFonts w:ascii="Times New Roman" w:hAnsi="Times New Roman"/>
          <w:sz w:val="24"/>
        </w:rPr>
      </w:pPr>
      <w:r>
        <w:t xml:space="preserve">3.  </w:t>
      </w:r>
      <w:r w:rsidR="008628E2" w:rsidRPr="008628E2">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2C6092" w:rsidRPr="008628E2" w:rsidRDefault="008628E2" w:rsidP="008628E2">
      <w:pPr>
        <w:ind w:left="720"/>
        <w:rPr>
          <w:rFonts w:ascii="Times New Roman" w:hAnsi="Times New Roman"/>
          <w:sz w:val="24"/>
        </w:rPr>
      </w:pPr>
      <w:r w:rsidRPr="008628E2">
        <w:rPr>
          <w:rFonts w:ascii="Times New Roman" w:hAnsi="Times New Roman"/>
          <w:sz w:val="24"/>
        </w:rPr>
        <w:t xml:space="preserve">The </w:t>
      </w:r>
      <w:r w:rsidR="00257355">
        <w:rPr>
          <w:rFonts w:ascii="Times New Roman" w:hAnsi="Times New Roman"/>
          <w:sz w:val="24"/>
        </w:rPr>
        <w:t xml:space="preserve">data collection method </w:t>
      </w:r>
      <w:r w:rsidRPr="008628E2">
        <w:rPr>
          <w:rFonts w:ascii="Times New Roman" w:hAnsi="Times New Roman"/>
          <w:sz w:val="24"/>
        </w:rPr>
        <w:t xml:space="preserve">allows the grantees to use computerized data systems to collect, retrieve, and report the requested information.  A </w:t>
      </w:r>
      <w:r w:rsidR="00B51FB4">
        <w:rPr>
          <w:rFonts w:ascii="Times New Roman" w:hAnsi="Times New Roman"/>
          <w:sz w:val="24"/>
        </w:rPr>
        <w:t>W</w:t>
      </w:r>
      <w:r w:rsidR="00B51FB4" w:rsidRPr="008628E2">
        <w:rPr>
          <w:rFonts w:ascii="Times New Roman" w:hAnsi="Times New Roman"/>
          <w:sz w:val="24"/>
        </w:rPr>
        <w:t>eb</w:t>
      </w:r>
      <w:r w:rsidRPr="008628E2">
        <w:rPr>
          <w:rFonts w:ascii="Times New Roman" w:hAnsi="Times New Roman"/>
          <w:sz w:val="24"/>
        </w:rPr>
        <w:t>-based software application has been developed for grantees to enter the data online and submit the entire report via the Internet.  The TS and EOC projects have been submitting the annual performance report via the Internet for the past fi</w:t>
      </w:r>
      <w:r w:rsidR="009C7D8A">
        <w:rPr>
          <w:rFonts w:ascii="Times New Roman" w:hAnsi="Times New Roman"/>
          <w:sz w:val="24"/>
        </w:rPr>
        <w:t>ve years.  For project year 2009-10</w:t>
      </w:r>
      <w:r w:rsidRPr="008628E2">
        <w:rPr>
          <w:rFonts w:ascii="Times New Roman" w:hAnsi="Times New Roman"/>
          <w:sz w:val="24"/>
        </w:rPr>
        <w:t xml:space="preserve">, 100% of the current grantees submitted via the Internet. </w:t>
      </w:r>
    </w:p>
    <w:p w:rsidR="008628E2" w:rsidRPr="008628E2" w:rsidRDefault="008628E2">
      <w:pPr>
        <w:rPr>
          <w:rFonts w:ascii="Times New Roman" w:hAnsi="Times New Roman"/>
          <w:sz w:val="24"/>
        </w:rPr>
      </w:pPr>
    </w:p>
    <w:p w:rsidR="002C6092" w:rsidRPr="008628E2" w:rsidRDefault="002C6092" w:rsidP="008628E2">
      <w:pPr>
        <w:ind w:left="720"/>
        <w:rPr>
          <w:rFonts w:ascii="Times New Roman" w:hAnsi="Times New Roman"/>
          <w:sz w:val="24"/>
        </w:rPr>
      </w:pPr>
      <w:r w:rsidRPr="008628E2">
        <w:rPr>
          <w:rFonts w:ascii="Times New Roman" w:hAnsi="Times New Roman"/>
          <w:sz w:val="24"/>
        </w:rPr>
        <w:lastRenderedPageBreak/>
        <w:t>The data collected are summary information, not data on individual participants; thus the reports are a low-level security risk.  Nonetheless, the Web site is secured to ensure that the data are seen only by authorized individuals and are protected from network hackers.  Further, online data edits are in place to ensure the accuracy and integrity of the data submitted.</w:t>
      </w:r>
    </w:p>
    <w:p w:rsidR="002C6092" w:rsidRDefault="002C6092"/>
    <w:p w:rsidR="008628E2" w:rsidRPr="008628E2" w:rsidRDefault="002C6092" w:rsidP="008628E2">
      <w:pPr>
        <w:tabs>
          <w:tab w:val="left" w:pos="-720"/>
        </w:tabs>
        <w:suppressAutoHyphens/>
        <w:rPr>
          <w:rFonts w:ascii="Times New Roman" w:hAnsi="Times New Roman"/>
          <w:sz w:val="24"/>
        </w:rPr>
      </w:pPr>
      <w:r>
        <w:t xml:space="preserve">4.  </w:t>
      </w:r>
      <w:r w:rsidR="008628E2" w:rsidRPr="008628E2">
        <w:rPr>
          <w:rFonts w:ascii="Times New Roman" w:hAnsi="Times New Roman"/>
          <w:sz w:val="24"/>
        </w:rPr>
        <w:t>Describe efforts to identify duplication.  Show specifically why any similar information already available cannot be used or modified for use for the purposes described in Item 2 above.</w:t>
      </w:r>
    </w:p>
    <w:p w:rsidR="008628E2" w:rsidRPr="008628E2" w:rsidRDefault="008628E2">
      <w:pPr>
        <w:rPr>
          <w:rFonts w:ascii="Times New Roman" w:hAnsi="Times New Roman"/>
          <w:sz w:val="24"/>
        </w:rPr>
      </w:pPr>
    </w:p>
    <w:p w:rsidR="002C6092" w:rsidRPr="008628E2" w:rsidRDefault="002C6092" w:rsidP="008628E2">
      <w:pPr>
        <w:ind w:left="720"/>
        <w:rPr>
          <w:rFonts w:ascii="Times New Roman" w:hAnsi="Times New Roman"/>
          <w:sz w:val="24"/>
        </w:rPr>
      </w:pPr>
      <w:r w:rsidRPr="008628E2">
        <w:rPr>
          <w:rFonts w:ascii="Times New Roman" w:hAnsi="Times New Roman"/>
          <w:sz w:val="24"/>
        </w:rPr>
        <w:t>Since the information grantees submit in their performance reports is unique to each project</w:t>
      </w:r>
      <w:r w:rsidR="00B51FB4">
        <w:rPr>
          <w:rFonts w:ascii="Times New Roman" w:hAnsi="Times New Roman"/>
          <w:sz w:val="24"/>
        </w:rPr>
        <w:t xml:space="preserve"> and is not collected elsewhere</w:t>
      </w:r>
      <w:r w:rsidRPr="008628E2">
        <w:rPr>
          <w:rFonts w:ascii="Times New Roman" w:hAnsi="Times New Roman"/>
          <w:sz w:val="24"/>
        </w:rPr>
        <w:t>, no duplication exists.  No other instrument is available to collect the information that the program needs to assess prior experience or program outcomes.  The data collected in the annual performance reports are fundamental to these programs.</w:t>
      </w:r>
    </w:p>
    <w:p w:rsidR="002C6092" w:rsidRDefault="002C6092"/>
    <w:p w:rsidR="008628E2" w:rsidRPr="008628E2" w:rsidRDefault="002C6092">
      <w:pPr>
        <w:rPr>
          <w:rFonts w:ascii="Times New Roman" w:hAnsi="Times New Roman"/>
          <w:sz w:val="24"/>
        </w:rPr>
      </w:pPr>
      <w:r>
        <w:t xml:space="preserve">5.  </w:t>
      </w:r>
      <w:r w:rsidR="008628E2" w:rsidRPr="008628E2">
        <w:rPr>
          <w:rFonts w:ascii="Times New Roman" w:hAnsi="Times New Roman"/>
          <w:sz w:val="24"/>
        </w:rPr>
        <w:t>If the collection of information impacts small busi</w:t>
      </w:r>
      <w:r w:rsidR="008776FE">
        <w:rPr>
          <w:rFonts w:ascii="Times New Roman" w:hAnsi="Times New Roman"/>
          <w:sz w:val="24"/>
        </w:rPr>
        <w:t>nesses or other small entities</w:t>
      </w:r>
      <w:r w:rsidR="008628E2" w:rsidRPr="008628E2">
        <w:rPr>
          <w:rFonts w:ascii="Times New Roman" w:hAnsi="Times New Roman"/>
          <w:sz w:val="24"/>
        </w:rPr>
        <w:t>, describe any methods used to minimize burden.</w:t>
      </w:r>
    </w:p>
    <w:p w:rsidR="008628E2" w:rsidRPr="008628E2" w:rsidRDefault="008628E2">
      <w:pPr>
        <w:rPr>
          <w:rFonts w:ascii="Times New Roman" w:hAnsi="Times New Roman"/>
          <w:sz w:val="24"/>
        </w:rPr>
      </w:pPr>
    </w:p>
    <w:p w:rsidR="002C6092" w:rsidRPr="008628E2" w:rsidRDefault="002C6092" w:rsidP="008628E2">
      <w:pPr>
        <w:ind w:left="720"/>
        <w:rPr>
          <w:rFonts w:ascii="Times New Roman" w:hAnsi="Times New Roman"/>
          <w:sz w:val="24"/>
        </w:rPr>
      </w:pPr>
      <w:r w:rsidRPr="008628E2">
        <w:rPr>
          <w:rFonts w:ascii="Times New Roman" w:hAnsi="Times New Roman"/>
          <w:sz w:val="24"/>
        </w:rPr>
        <w:t>This information collection does not affect small businesses or other small entities.</w:t>
      </w:r>
    </w:p>
    <w:p w:rsidR="002C6092" w:rsidRDefault="002C6092"/>
    <w:p w:rsidR="00641415" w:rsidRPr="00641415" w:rsidRDefault="002C6092" w:rsidP="00641415">
      <w:pPr>
        <w:tabs>
          <w:tab w:val="left" w:pos="-720"/>
        </w:tabs>
        <w:suppressAutoHyphens/>
        <w:rPr>
          <w:rFonts w:ascii="Times New Roman" w:hAnsi="Times New Roman"/>
          <w:sz w:val="24"/>
        </w:rPr>
      </w:pPr>
      <w:r>
        <w:t xml:space="preserve">6.  </w:t>
      </w:r>
      <w:r w:rsidR="00641415" w:rsidRPr="00641415">
        <w:rPr>
          <w:rFonts w:ascii="Times New Roman" w:hAnsi="Times New Roman"/>
          <w:sz w:val="24"/>
        </w:rPr>
        <w:t>Describe the consequences to Federal program or policy activities if the collection is not conducted or is conducted less frequently, as well as any technical or legal obstacles to reducing burden.</w:t>
      </w:r>
    </w:p>
    <w:p w:rsidR="00641415" w:rsidRPr="00641415" w:rsidRDefault="00641415" w:rsidP="00641415">
      <w:pPr>
        <w:tabs>
          <w:tab w:val="left" w:pos="-720"/>
        </w:tabs>
        <w:suppressAutoHyphens/>
        <w:rPr>
          <w:rFonts w:ascii="Times New Roman" w:hAnsi="Times New Roman"/>
          <w:sz w:val="24"/>
        </w:rPr>
      </w:pPr>
    </w:p>
    <w:p w:rsidR="00641415" w:rsidRPr="00641415" w:rsidRDefault="00641415" w:rsidP="00641415">
      <w:pPr>
        <w:ind w:left="720"/>
        <w:rPr>
          <w:rFonts w:ascii="Times New Roman" w:hAnsi="Times New Roman"/>
          <w:sz w:val="24"/>
        </w:rPr>
      </w:pPr>
      <w:r w:rsidRPr="00641415">
        <w:rPr>
          <w:rFonts w:ascii="Times New Roman" w:hAnsi="Times New Roman"/>
          <w:sz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w:t>
      </w:r>
      <w:r w:rsidR="006D7EF9">
        <w:rPr>
          <w:rFonts w:ascii="Times New Roman" w:hAnsi="Times New Roman"/>
          <w:sz w:val="24"/>
        </w:rPr>
        <w:t>.</w:t>
      </w:r>
      <w:r w:rsidRPr="00641415">
        <w:rPr>
          <w:rFonts w:ascii="Times New Roman" w:hAnsi="Times New Roman"/>
          <w:sz w:val="24"/>
        </w:rPr>
        <w:t xml:space="preserve">  In addition, the information is needed to award prior experience points to grantees.  Without this data collection, </w:t>
      </w:r>
      <w:r w:rsidR="00B91EED">
        <w:rPr>
          <w:rFonts w:ascii="Times New Roman" w:hAnsi="Times New Roman"/>
          <w:sz w:val="24"/>
        </w:rPr>
        <w:t>Student Service</w:t>
      </w:r>
      <w:r w:rsidRPr="00641415">
        <w:rPr>
          <w:rFonts w:ascii="Times New Roman" w:hAnsi="Times New Roman"/>
          <w:sz w:val="24"/>
        </w:rPr>
        <w:t xml:space="preserve"> will be unable to use the data to assess the prior experience provision of the authorizing statute, respond to the GPRA, PART, and efficiency measures requirements, </w:t>
      </w:r>
      <w:r w:rsidR="00B51FB4">
        <w:rPr>
          <w:rFonts w:ascii="Times New Roman" w:hAnsi="Times New Roman"/>
          <w:sz w:val="24"/>
        </w:rPr>
        <w:t xml:space="preserve">or </w:t>
      </w:r>
      <w:r w:rsidRPr="00641415">
        <w:rPr>
          <w:rFonts w:ascii="Times New Roman" w:hAnsi="Times New Roman"/>
          <w:sz w:val="24"/>
        </w:rPr>
        <w:t>develop improved policies for program administration.</w:t>
      </w:r>
    </w:p>
    <w:p w:rsidR="00641415" w:rsidRDefault="00641415"/>
    <w:p w:rsidR="00641415" w:rsidRPr="00641415" w:rsidRDefault="002C6092" w:rsidP="00641415">
      <w:pPr>
        <w:tabs>
          <w:tab w:val="left" w:pos="-720"/>
        </w:tabs>
        <w:suppressAutoHyphens/>
        <w:rPr>
          <w:rFonts w:ascii="Times New Roman" w:hAnsi="Times New Roman"/>
          <w:sz w:val="24"/>
        </w:rPr>
      </w:pPr>
      <w:r>
        <w:t>7</w:t>
      </w:r>
      <w:r w:rsidRPr="00641415">
        <w:rPr>
          <w:rFonts w:ascii="Times New Roman" w:hAnsi="Times New Roman"/>
          <w:sz w:val="24"/>
        </w:rPr>
        <w:t xml:space="preserve">.  </w:t>
      </w:r>
      <w:r w:rsidR="00641415" w:rsidRPr="00641415">
        <w:rPr>
          <w:rFonts w:ascii="Times New Roman" w:hAnsi="Times New Roman"/>
          <w:sz w:val="24"/>
        </w:rPr>
        <w:t>Explain any special circumstances that would cause an information collection to be conducted in a manner:</w:t>
      </w:r>
    </w:p>
    <w:p w:rsidR="00641415" w:rsidRPr="00641415" w:rsidRDefault="00641415">
      <w:pPr>
        <w:rPr>
          <w:rFonts w:ascii="Times New Roman" w:hAnsi="Times New Roman"/>
          <w:sz w:val="24"/>
        </w:rPr>
      </w:pPr>
    </w:p>
    <w:p w:rsidR="002C6092" w:rsidRPr="00641415" w:rsidRDefault="00B5354B" w:rsidP="00641415">
      <w:pPr>
        <w:ind w:left="720"/>
        <w:rPr>
          <w:rFonts w:ascii="Times New Roman" w:hAnsi="Times New Roman"/>
          <w:sz w:val="24"/>
        </w:rPr>
      </w:pPr>
      <w:r>
        <w:rPr>
          <w:rFonts w:ascii="Times New Roman" w:hAnsi="Times New Roman"/>
          <w:sz w:val="24"/>
        </w:rPr>
        <w:t>This information collection is conducted in a manner consistent with 5 CFR 1320.5(d</w:t>
      </w:r>
      <w:proofErr w:type="gramStart"/>
      <w:r>
        <w:rPr>
          <w:rFonts w:ascii="Times New Roman" w:hAnsi="Times New Roman"/>
          <w:sz w:val="24"/>
        </w:rPr>
        <w:t>)(</w:t>
      </w:r>
      <w:proofErr w:type="gramEnd"/>
      <w:r>
        <w:rPr>
          <w:rFonts w:ascii="Times New Roman" w:hAnsi="Times New Roman"/>
          <w:sz w:val="24"/>
        </w:rPr>
        <w:t>2).</w:t>
      </w:r>
    </w:p>
    <w:p w:rsidR="002C6092" w:rsidRDefault="002C6092"/>
    <w:p w:rsidR="00641415" w:rsidRPr="00B95065" w:rsidRDefault="00641415" w:rsidP="00641415">
      <w:pPr>
        <w:numPr>
          <w:ilvl w:val="0"/>
          <w:numId w:val="1"/>
        </w:numPr>
        <w:tabs>
          <w:tab w:val="left" w:pos="-720"/>
          <w:tab w:val="left" w:pos="375"/>
        </w:tabs>
        <w:suppressAutoHyphens/>
        <w:rPr>
          <w:rFonts w:ascii="Times New Roman" w:hAnsi="Times New Roman"/>
          <w:sz w:val="24"/>
        </w:rPr>
      </w:pPr>
      <w:r w:rsidRPr="00B95065">
        <w:rPr>
          <w:rFonts w:ascii="Times New Roman" w:hAnsi="Times New Roman"/>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w:t>
      </w:r>
      <w:r w:rsidRPr="00B95065">
        <w:rPr>
          <w:rFonts w:ascii="Times New Roman" w:hAnsi="Times New Roman"/>
          <w:sz w:val="24"/>
        </w:rPr>
        <w:lastRenderedPageBreak/>
        <w:t>agency in response to these comments.  Specifically address comments received on cost and hour burden.</w:t>
      </w:r>
    </w:p>
    <w:p w:rsidR="00641415" w:rsidRPr="00B95065" w:rsidRDefault="00641415">
      <w:pPr>
        <w:rPr>
          <w:sz w:val="24"/>
        </w:rPr>
      </w:pPr>
    </w:p>
    <w:p w:rsidR="00B95065" w:rsidRPr="00B95065" w:rsidRDefault="00B95065" w:rsidP="00B95065">
      <w:pPr>
        <w:tabs>
          <w:tab w:val="left" w:pos="-720"/>
        </w:tabs>
        <w:suppressAutoHyphens/>
        <w:ind w:left="360"/>
        <w:rPr>
          <w:rStyle w:val="a"/>
          <w:rFonts w:ascii="Times New Roman" w:hAnsi="Times New Roman"/>
          <w:sz w:val="24"/>
        </w:rPr>
      </w:pPr>
      <w:r w:rsidRPr="00B9506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95065" w:rsidRPr="00B95065" w:rsidRDefault="00B95065">
      <w:pPr>
        <w:rPr>
          <w:sz w:val="24"/>
        </w:rPr>
      </w:pPr>
    </w:p>
    <w:p w:rsidR="00B95065" w:rsidRPr="00B95065" w:rsidRDefault="00B95065" w:rsidP="00B95065">
      <w:pPr>
        <w:tabs>
          <w:tab w:val="left" w:pos="-720"/>
        </w:tabs>
        <w:suppressAutoHyphens/>
        <w:ind w:left="360"/>
        <w:rPr>
          <w:rStyle w:val="a"/>
          <w:rFonts w:ascii="Times New Roman" w:hAnsi="Times New Roman"/>
          <w:sz w:val="24"/>
        </w:rPr>
      </w:pPr>
      <w:r w:rsidRPr="00B95065">
        <w:rPr>
          <w:rStyle w:val="a"/>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065" w:rsidRDefault="00B95065"/>
    <w:p w:rsidR="002C6092" w:rsidRPr="00B95065" w:rsidRDefault="00B91EED" w:rsidP="00EA7C39">
      <w:pPr>
        <w:ind w:left="720"/>
        <w:rPr>
          <w:rFonts w:ascii="Times New Roman" w:hAnsi="Times New Roman"/>
          <w:sz w:val="24"/>
        </w:rPr>
      </w:pPr>
      <w:r w:rsidRPr="00C43018">
        <w:rPr>
          <w:rFonts w:ascii="Times New Roman" w:hAnsi="Times New Roman"/>
          <w:sz w:val="24"/>
        </w:rPr>
        <w:t xml:space="preserve">Since this information collection was last approved, </w:t>
      </w:r>
      <w:r>
        <w:rPr>
          <w:rFonts w:ascii="Times New Roman" w:hAnsi="Times New Roman"/>
          <w:sz w:val="24"/>
        </w:rPr>
        <w:t>Student Service</w:t>
      </w:r>
      <w:r w:rsidRPr="00C43018">
        <w:rPr>
          <w:rFonts w:ascii="Times New Roman" w:hAnsi="Times New Roman"/>
          <w:sz w:val="24"/>
        </w:rPr>
        <w:t xml:space="preserve"> staff members have attended a number of state, regional, and national meetings at which the Department solicited informal views and comments on reporting requirements from grantees and other interested persons.  Grantees are also encouraged to comment during the announced public comment periods</w:t>
      </w:r>
      <w:r>
        <w:rPr>
          <w:rFonts w:ascii="Times New Roman" w:hAnsi="Times New Roman"/>
          <w:sz w:val="24"/>
        </w:rPr>
        <w:t>.  This process will be followed again prior to the submission of the new annual Performance Report</w:t>
      </w:r>
      <w:r w:rsidR="00FA311C">
        <w:rPr>
          <w:rFonts w:ascii="Times New Roman" w:hAnsi="Times New Roman"/>
          <w:sz w:val="24"/>
        </w:rPr>
        <w:t>s</w:t>
      </w:r>
      <w:r>
        <w:rPr>
          <w:rFonts w:ascii="Times New Roman" w:hAnsi="Times New Roman"/>
          <w:sz w:val="24"/>
        </w:rPr>
        <w:t xml:space="preserve"> for Talent Search and Educational Opportunity Centers programs</w:t>
      </w:r>
      <w:r w:rsidR="00085F60">
        <w:rPr>
          <w:rFonts w:ascii="Times New Roman" w:hAnsi="Times New Roman"/>
          <w:sz w:val="24"/>
        </w:rPr>
        <w:t xml:space="preserve">.  </w:t>
      </w:r>
      <w:r w:rsidR="001155C7">
        <w:rPr>
          <w:rFonts w:ascii="Times New Roman" w:hAnsi="Times New Roman"/>
          <w:sz w:val="24"/>
        </w:rPr>
        <w:t xml:space="preserve">A 60 day notice was published on April 18, 2011, Vol. 76 Page 21714. One public comment was received. The change was addressed in the updated Annual Performance Report and instructions. A </w:t>
      </w:r>
      <w:r w:rsidR="00B95065" w:rsidRPr="00B95065">
        <w:rPr>
          <w:rFonts w:ascii="Times New Roman" w:hAnsi="Times New Roman"/>
          <w:sz w:val="24"/>
        </w:rPr>
        <w:t xml:space="preserve">30-day </w:t>
      </w:r>
      <w:r w:rsidR="00B95065" w:rsidRPr="00B95065">
        <w:rPr>
          <w:rFonts w:ascii="Times New Roman" w:hAnsi="Times New Roman"/>
          <w:sz w:val="24"/>
          <w:u w:val="single"/>
        </w:rPr>
        <w:t>Federal Register</w:t>
      </w:r>
      <w:r w:rsidR="00B95065" w:rsidRPr="00B95065">
        <w:rPr>
          <w:rFonts w:ascii="Times New Roman" w:hAnsi="Times New Roman"/>
          <w:sz w:val="24"/>
        </w:rPr>
        <w:t xml:space="preserve"> notice</w:t>
      </w:r>
      <w:r w:rsidR="001155C7">
        <w:rPr>
          <w:rFonts w:ascii="Times New Roman" w:hAnsi="Times New Roman"/>
          <w:sz w:val="24"/>
        </w:rPr>
        <w:t xml:space="preserve"> was published in the Federal Register</w:t>
      </w:r>
      <w:r w:rsidR="00B95065" w:rsidRPr="00B95065">
        <w:rPr>
          <w:rFonts w:ascii="Times New Roman" w:hAnsi="Times New Roman"/>
          <w:sz w:val="24"/>
        </w:rPr>
        <w:t xml:space="preserve"> to solicit public comments. </w:t>
      </w:r>
    </w:p>
    <w:p w:rsidR="002C6092" w:rsidRDefault="002C6092"/>
    <w:p w:rsidR="00B95065" w:rsidRPr="00B95065" w:rsidRDefault="002C6092">
      <w:pPr>
        <w:rPr>
          <w:rFonts w:ascii="Times New Roman" w:hAnsi="Times New Roman"/>
          <w:sz w:val="24"/>
        </w:rPr>
      </w:pPr>
      <w:r>
        <w:t>9</w:t>
      </w:r>
      <w:r w:rsidRPr="00B95065">
        <w:rPr>
          <w:rFonts w:ascii="Times New Roman" w:hAnsi="Times New Roman"/>
          <w:sz w:val="24"/>
        </w:rPr>
        <w:t xml:space="preserve">.  </w:t>
      </w:r>
      <w:r w:rsidR="00B95065" w:rsidRPr="00B95065">
        <w:rPr>
          <w:rStyle w:val="a"/>
          <w:rFonts w:ascii="Times New Roman" w:hAnsi="Times New Roman"/>
          <w:sz w:val="24"/>
        </w:rPr>
        <w:t>Explain any decision to provide any payment or gift to respondents, other than remuneration of contractors or grantees.</w:t>
      </w:r>
    </w:p>
    <w:p w:rsidR="00B95065" w:rsidRPr="00B95065" w:rsidRDefault="00B95065">
      <w:pPr>
        <w:rPr>
          <w:rFonts w:ascii="Times New Roman" w:hAnsi="Times New Roman"/>
          <w:sz w:val="24"/>
        </w:rPr>
      </w:pPr>
    </w:p>
    <w:p w:rsidR="002C6092" w:rsidRPr="00B95065" w:rsidRDefault="002C6092" w:rsidP="00B95065">
      <w:pPr>
        <w:ind w:firstLine="720"/>
        <w:rPr>
          <w:rFonts w:ascii="Times New Roman" w:hAnsi="Times New Roman"/>
          <w:sz w:val="24"/>
        </w:rPr>
      </w:pPr>
      <w:r w:rsidRPr="00B95065">
        <w:rPr>
          <w:rFonts w:ascii="Times New Roman" w:hAnsi="Times New Roman"/>
          <w:sz w:val="24"/>
        </w:rPr>
        <w:t xml:space="preserve">The Department </w:t>
      </w:r>
      <w:r w:rsidR="008943E3" w:rsidRPr="00B95065">
        <w:rPr>
          <w:rFonts w:ascii="Times New Roman" w:hAnsi="Times New Roman"/>
          <w:sz w:val="24"/>
        </w:rPr>
        <w:t>wi</w:t>
      </w:r>
      <w:r w:rsidRPr="00B95065">
        <w:rPr>
          <w:rFonts w:ascii="Times New Roman" w:hAnsi="Times New Roman"/>
          <w:sz w:val="24"/>
        </w:rPr>
        <w:t>ll not provide payment or gifts to respondents.</w:t>
      </w:r>
    </w:p>
    <w:p w:rsidR="002C6092" w:rsidRDefault="002C6092"/>
    <w:p w:rsidR="006F5150" w:rsidRDefault="006F5150" w:rsidP="00B95065">
      <w:pPr>
        <w:tabs>
          <w:tab w:val="left" w:pos="-720"/>
        </w:tabs>
        <w:suppressAutoHyphens/>
      </w:pPr>
    </w:p>
    <w:p w:rsidR="00B95065" w:rsidRPr="00B95065" w:rsidRDefault="002C6092" w:rsidP="00B95065">
      <w:pPr>
        <w:tabs>
          <w:tab w:val="left" w:pos="-720"/>
        </w:tabs>
        <w:suppressAutoHyphens/>
        <w:rPr>
          <w:rFonts w:ascii="Times New Roman" w:hAnsi="Times New Roman"/>
          <w:sz w:val="24"/>
        </w:rPr>
      </w:pPr>
      <w:r>
        <w:t>10</w:t>
      </w:r>
      <w:r w:rsidRPr="00B95065">
        <w:rPr>
          <w:rFonts w:ascii="Times New Roman" w:hAnsi="Times New Roman"/>
          <w:sz w:val="24"/>
        </w:rPr>
        <w:t xml:space="preserve">. </w:t>
      </w:r>
      <w:r w:rsidR="00B95065" w:rsidRPr="00B95065">
        <w:rPr>
          <w:rFonts w:ascii="Times New Roman" w:hAnsi="Times New Roman"/>
          <w:sz w:val="24"/>
        </w:rPr>
        <w:t>Describe any assurance of confidentiality provided to respondents and the basis for the assurance in statute, regulation, or agency policy.</w:t>
      </w:r>
    </w:p>
    <w:p w:rsidR="00B95065" w:rsidRPr="00B95065" w:rsidRDefault="00B95065">
      <w:pPr>
        <w:rPr>
          <w:rFonts w:ascii="Times New Roman" w:hAnsi="Times New Roman"/>
          <w:sz w:val="24"/>
        </w:rPr>
      </w:pPr>
    </w:p>
    <w:p w:rsidR="002C6092" w:rsidRPr="00B95065" w:rsidRDefault="002C6092" w:rsidP="00B95065">
      <w:pPr>
        <w:ind w:left="720"/>
        <w:rPr>
          <w:rFonts w:ascii="Times New Roman" w:hAnsi="Times New Roman"/>
          <w:sz w:val="24"/>
        </w:rPr>
      </w:pPr>
      <w:r w:rsidRPr="00B95065">
        <w:rPr>
          <w:rFonts w:ascii="Times New Roman" w:hAnsi="Times New Roman"/>
          <w:sz w:val="24"/>
        </w:rPr>
        <w:t>No assurances of confidentiality are provided to the respondents</w:t>
      </w:r>
      <w:r w:rsidR="003139C9">
        <w:rPr>
          <w:rFonts w:ascii="Times New Roman" w:hAnsi="Times New Roman"/>
          <w:sz w:val="24"/>
        </w:rPr>
        <w:t>.</w:t>
      </w:r>
    </w:p>
    <w:p w:rsidR="002C6092" w:rsidRDefault="002C6092"/>
    <w:p w:rsidR="00B95065" w:rsidRPr="00B95065" w:rsidRDefault="002C6092" w:rsidP="00B95065">
      <w:pPr>
        <w:tabs>
          <w:tab w:val="left" w:pos="-720"/>
        </w:tabs>
        <w:suppressAutoHyphens/>
        <w:rPr>
          <w:rFonts w:ascii="Times New Roman" w:hAnsi="Times New Roman"/>
          <w:sz w:val="24"/>
        </w:rPr>
      </w:pPr>
      <w:r>
        <w:t>11</w:t>
      </w:r>
      <w:r w:rsidRPr="00B95065">
        <w:rPr>
          <w:rFonts w:ascii="Times New Roman" w:hAnsi="Times New Roman"/>
          <w:sz w:val="24"/>
        </w:rPr>
        <w:t xml:space="preserve">.  </w:t>
      </w:r>
      <w:r w:rsidR="00B95065" w:rsidRPr="00B95065">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B95065" w:rsidRDefault="00B95065">
      <w:pPr>
        <w:rPr>
          <w:rFonts w:ascii="Times New Roman" w:hAnsi="Times New Roman"/>
          <w:sz w:val="24"/>
        </w:rPr>
      </w:pPr>
    </w:p>
    <w:p w:rsidR="002C6092" w:rsidRPr="00B95065" w:rsidRDefault="002C6092" w:rsidP="00B95065">
      <w:pPr>
        <w:ind w:left="720"/>
        <w:rPr>
          <w:rFonts w:ascii="Times New Roman" w:hAnsi="Times New Roman"/>
          <w:sz w:val="24"/>
        </w:rPr>
      </w:pPr>
      <w:r w:rsidRPr="00B95065">
        <w:rPr>
          <w:rFonts w:ascii="Times New Roman" w:hAnsi="Times New Roman"/>
          <w:sz w:val="24"/>
        </w:rPr>
        <w:lastRenderedPageBreak/>
        <w:t xml:space="preserve">The performance report form does not include questions about sexual behavior and attitudes, religious beliefs, or other </w:t>
      </w:r>
      <w:r w:rsidR="00B51FB4">
        <w:rPr>
          <w:rFonts w:ascii="Times New Roman" w:hAnsi="Times New Roman"/>
          <w:sz w:val="24"/>
        </w:rPr>
        <w:t>matters</w:t>
      </w:r>
      <w:r w:rsidR="00B51FB4" w:rsidRPr="00B95065">
        <w:rPr>
          <w:rFonts w:ascii="Times New Roman" w:hAnsi="Times New Roman"/>
          <w:sz w:val="24"/>
        </w:rPr>
        <w:t xml:space="preserve"> </w:t>
      </w:r>
      <w:r w:rsidRPr="00B95065">
        <w:rPr>
          <w:rFonts w:ascii="Times New Roman" w:hAnsi="Times New Roman"/>
          <w:sz w:val="24"/>
        </w:rPr>
        <w:t>that are commonly considered sensitive and private.</w:t>
      </w:r>
    </w:p>
    <w:p w:rsidR="002C6092" w:rsidRDefault="002C6092"/>
    <w:p w:rsidR="00B95065" w:rsidRPr="005343B0" w:rsidRDefault="002C6092" w:rsidP="00B95065">
      <w:pPr>
        <w:tabs>
          <w:tab w:val="left" w:pos="-720"/>
        </w:tabs>
        <w:suppressAutoHyphens/>
        <w:rPr>
          <w:rStyle w:val="a"/>
          <w:rFonts w:ascii="Times New Roman" w:hAnsi="Times New Roman"/>
          <w:sz w:val="24"/>
        </w:rPr>
      </w:pPr>
      <w:r w:rsidRPr="005343B0">
        <w:rPr>
          <w:rFonts w:ascii="Times New Roman" w:hAnsi="Times New Roman"/>
          <w:sz w:val="24"/>
        </w:rPr>
        <w:t xml:space="preserve">12. </w:t>
      </w:r>
      <w:r w:rsidR="00B95065" w:rsidRPr="005343B0">
        <w:rPr>
          <w:rStyle w:val="a"/>
          <w:rFonts w:ascii="Times New Roman" w:hAnsi="Times New Roman"/>
          <w:sz w:val="24"/>
        </w:rPr>
        <w:t>Provide estimates of the hour burden of the collection of information.  The statement should:</w:t>
      </w:r>
    </w:p>
    <w:p w:rsidR="005343B0" w:rsidRPr="005343B0" w:rsidRDefault="005343B0" w:rsidP="005343B0">
      <w:pPr>
        <w:numPr>
          <w:ilvl w:val="0"/>
          <w:numId w:val="2"/>
        </w:numPr>
        <w:tabs>
          <w:tab w:val="left" w:pos="-720"/>
          <w:tab w:val="left" w:pos="1247"/>
        </w:tabs>
        <w:suppressAutoHyphens/>
        <w:rPr>
          <w:rStyle w:val="a"/>
          <w:rFonts w:ascii="Times New Roman" w:hAnsi="Times New Roman"/>
          <w:sz w:val="24"/>
        </w:rPr>
      </w:pPr>
      <w:r w:rsidRPr="005343B0">
        <w:rPr>
          <w:rStyle w:val="a"/>
          <w:rFonts w:ascii="Times New Roman" w:hAnsi="Times New Roman"/>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5343B0" w:rsidRDefault="005343B0" w:rsidP="005343B0">
      <w:pPr>
        <w:tabs>
          <w:tab w:val="left" w:pos="-720"/>
          <w:tab w:val="left" w:pos="1247"/>
        </w:tabs>
        <w:suppressAutoHyphens/>
        <w:ind w:left="700"/>
        <w:rPr>
          <w:rStyle w:val="a"/>
          <w:rFonts w:ascii="Times New Roman" w:hAnsi="Times New Roman"/>
          <w:sz w:val="24"/>
        </w:rPr>
      </w:pPr>
    </w:p>
    <w:p w:rsidR="005343B0" w:rsidRDefault="005343B0" w:rsidP="005343B0">
      <w:pPr>
        <w:numPr>
          <w:ilvl w:val="0"/>
          <w:numId w:val="2"/>
        </w:numPr>
        <w:tabs>
          <w:tab w:val="left" w:pos="-720"/>
          <w:tab w:val="left" w:pos="1247"/>
        </w:tabs>
        <w:suppressAutoHyphens/>
        <w:rPr>
          <w:rStyle w:val="a"/>
          <w:rFonts w:ascii="Times New Roman" w:hAnsi="Times New Roman"/>
          <w:sz w:val="24"/>
        </w:rPr>
      </w:pPr>
      <w:r w:rsidRPr="005343B0">
        <w:rPr>
          <w:rStyle w:val="a"/>
          <w:rFonts w:ascii="Times New Roman" w:hAnsi="Times New Roman"/>
          <w:sz w:val="24"/>
        </w:rPr>
        <w:t xml:space="preserve">If this request for approval covers more than one form, provide separate hour burden estimates for each form and aggregate the hour burdens. </w:t>
      </w:r>
    </w:p>
    <w:p w:rsidR="005343B0" w:rsidRDefault="005343B0" w:rsidP="005343B0">
      <w:pPr>
        <w:pStyle w:val="ListParagraph"/>
        <w:rPr>
          <w:rStyle w:val="a"/>
          <w:rFonts w:ascii="Times New Roman" w:hAnsi="Times New Roman"/>
          <w:sz w:val="24"/>
        </w:rPr>
      </w:pPr>
    </w:p>
    <w:p w:rsidR="005343B0" w:rsidRPr="005343B0" w:rsidRDefault="005343B0" w:rsidP="005343B0">
      <w:pPr>
        <w:numPr>
          <w:ilvl w:val="0"/>
          <w:numId w:val="2"/>
        </w:numPr>
        <w:rPr>
          <w:rStyle w:val="a"/>
          <w:rFonts w:ascii="Times New Roman" w:hAnsi="Times New Roman"/>
          <w:sz w:val="24"/>
        </w:rPr>
      </w:pPr>
      <w:r w:rsidRPr="005343B0">
        <w:rPr>
          <w:rStyle w:val="a"/>
          <w:rFonts w:ascii="Times New Roman" w:hAnsi="Times New Roman"/>
          <w:sz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FC58BA" w:rsidRDefault="005343B0" w:rsidP="005343B0">
      <w:pPr>
        <w:tabs>
          <w:tab w:val="left" w:pos="-720"/>
          <w:tab w:val="left" w:pos="1247"/>
        </w:tabs>
        <w:suppressAutoHyphens/>
        <w:rPr>
          <w:rStyle w:val="a"/>
          <w:rFonts w:ascii="Times New Roman" w:hAnsi="Times New Roman"/>
        </w:rPr>
      </w:pPr>
    </w:p>
    <w:p w:rsidR="002C6092" w:rsidRDefault="002C6092">
      <w:pPr>
        <w:rPr>
          <w:rFonts w:ascii="Times New Roman" w:hAnsi="Times New Roman"/>
          <w:sz w:val="24"/>
        </w:rPr>
      </w:pPr>
      <w:r w:rsidRPr="005343B0">
        <w:rPr>
          <w:rFonts w:ascii="Times New Roman" w:hAnsi="Times New Roman"/>
          <w:sz w:val="24"/>
        </w:rPr>
        <w:t xml:space="preserve">Estimated </w:t>
      </w:r>
      <w:r w:rsidR="00A41868">
        <w:rPr>
          <w:rFonts w:ascii="Times New Roman" w:hAnsi="Times New Roman"/>
          <w:sz w:val="24"/>
        </w:rPr>
        <w:t>burden hour</w:t>
      </w:r>
      <w:r w:rsidRPr="005343B0">
        <w:rPr>
          <w:rFonts w:ascii="Times New Roman" w:hAnsi="Times New Roman"/>
          <w:sz w:val="24"/>
        </w:rPr>
        <w:t xml:space="preserve"> </w:t>
      </w:r>
      <w:r w:rsidR="00ED672D">
        <w:rPr>
          <w:rFonts w:ascii="Times New Roman" w:hAnsi="Times New Roman"/>
          <w:sz w:val="24"/>
        </w:rPr>
        <w:t xml:space="preserve">for </w:t>
      </w:r>
      <w:r w:rsidRPr="005343B0">
        <w:rPr>
          <w:rFonts w:ascii="Times New Roman" w:hAnsi="Times New Roman"/>
          <w:sz w:val="24"/>
        </w:rPr>
        <w:t xml:space="preserve">this collection of information is </w:t>
      </w:r>
      <w:r w:rsidR="00A41868">
        <w:rPr>
          <w:rFonts w:ascii="Times New Roman" w:hAnsi="Times New Roman"/>
          <w:sz w:val="24"/>
        </w:rPr>
        <w:t>35</w:t>
      </w:r>
      <w:r w:rsidR="00FA311C">
        <w:rPr>
          <w:rFonts w:ascii="Times New Roman" w:hAnsi="Times New Roman"/>
          <w:sz w:val="24"/>
        </w:rPr>
        <w:t>76</w:t>
      </w:r>
      <w:r w:rsidRPr="005343B0">
        <w:rPr>
          <w:rFonts w:ascii="Times New Roman" w:hAnsi="Times New Roman"/>
          <w:sz w:val="24"/>
        </w:rPr>
        <w:t>.  We estimate ap</w:t>
      </w:r>
      <w:r w:rsidR="005343B0">
        <w:rPr>
          <w:rFonts w:ascii="Times New Roman" w:hAnsi="Times New Roman"/>
          <w:sz w:val="24"/>
        </w:rPr>
        <w:t xml:space="preserve">proximately </w:t>
      </w:r>
      <w:r w:rsidR="00DA61D8">
        <w:rPr>
          <w:rFonts w:ascii="Times New Roman" w:hAnsi="Times New Roman"/>
          <w:sz w:val="24"/>
        </w:rPr>
        <w:t>5</w:t>
      </w:r>
      <w:r w:rsidR="00FA311C">
        <w:rPr>
          <w:rFonts w:ascii="Times New Roman" w:hAnsi="Times New Roman"/>
          <w:sz w:val="24"/>
        </w:rPr>
        <w:t>96</w:t>
      </w:r>
      <w:r w:rsidR="005343B0" w:rsidRPr="005343B0">
        <w:rPr>
          <w:rFonts w:ascii="Times New Roman" w:hAnsi="Times New Roman"/>
          <w:sz w:val="24"/>
        </w:rPr>
        <w:t xml:space="preserve"> respondents (</w:t>
      </w:r>
      <w:r w:rsidR="00DA61D8">
        <w:rPr>
          <w:rFonts w:ascii="Times New Roman" w:hAnsi="Times New Roman"/>
          <w:sz w:val="24"/>
        </w:rPr>
        <w:t>4</w:t>
      </w:r>
      <w:r w:rsidR="00FA311C">
        <w:rPr>
          <w:rFonts w:ascii="Times New Roman" w:hAnsi="Times New Roman"/>
          <w:sz w:val="24"/>
        </w:rPr>
        <w:t>71</w:t>
      </w:r>
      <w:r w:rsidR="00140A0E">
        <w:rPr>
          <w:rFonts w:ascii="Times New Roman" w:hAnsi="Times New Roman"/>
          <w:sz w:val="24"/>
        </w:rPr>
        <w:t xml:space="preserve"> </w:t>
      </w:r>
      <w:r w:rsidRPr="005343B0">
        <w:rPr>
          <w:rFonts w:ascii="Times New Roman" w:hAnsi="Times New Roman"/>
          <w:sz w:val="24"/>
        </w:rPr>
        <w:t>TS</w:t>
      </w:r>
      <w:r w:rsidR="00F952D0" w:rsidRPr="005343B0">
        <w:rPr>
          <w:rFonts w:ascii="Times New Roman" w:hAnsi="Times New Roman"/>
          <w:sz w:val="24"/>
        </w:rPr>
        <w:t xml:space="preserve"> </w:t>
      </w:r>
      <w:r w:rsidR="005343B0" w:rsidRPr="005343B0">
        <w:rPr>
          <w:rFonts w:ascii="Times New Roman" w:hAnsi="Times New Roman"/>
          <w:sz w:val="24"/>
        </w:rPr>
        <w:t xml:space="preserve">and </w:t>
      </w:r>
      <w:r w:rsidR="00A27354">
        <w:rPr>
          <w:rFonts w:ascii="Times New Roman" w:hAnsi="Times New Roman"/>
          <w:sz w:val="24"/>
        </w:rPr>
        <w:t>1</w:t>
      </w:r>
      <w:r w:rsidR="00DA61D8">
        <w:rPr>
          <w:rFonts w:ascii="Times New Roman" w:hAnsi="Times New Roman"/>
          <w:sz w:val="24"/>
        </w:rPr>
        <w:t>2</w:t>
      </w:r>
      <w:r w:rsidR="00FA311C">
        <w:rPr>
          <w:rFonts w:ascii="Times New Roman" w:hAnsi="Times New Roman"/>
          <w:sz w:val="24"/>
        </w:rPr>
        <w:t>5</w:t>
      </w:r>
      <w:r w:rsidRPr="005343B0">
        <w:rPr>
          <w:rFonts w:ascii="Times New Roman" w:hAnsi="Times New Roman"/>
          <w:sz w:val="24"/>
        </w:rPr>
        <w:t xml:space="preserve"> EOC).    The performance reports are submitted annually.</w:t>
      </w:r>
    </w:p>
    <w:p w:rsidR="002C6092" w:rsidRDefault="002C6092"/>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661"/>
        <w:gridCol w:w="2064"/>
        <w:gridCol w:w="1890"/>
      </w:tblGrid>
      <w:tr w:rsidR="00B51FB4" w:rsidTr="007C73FE">
        <w:tc>
          <w:tcPr>
            <w:tcW w:w="1890" w:type="dxa"/>
            <w:tcBorders>
              <w:top w:val="nil"/>
              <w:left w:val="nil"/>
              <w:bottom w:val="single" w:sz="4" w:space="0" w:color="auto"/>
              <w:right w:val="single" w:sz="4" w:space="0" w:color="auto"/>
            </w:tcBorders>
          </w:tcPr>
          <w:p w:rsidR="00B51FB4" w:rsidRDefault="00B51FB4"/>
        </w:tc>
        <w:tc>
          <w:tcPr>
            <w:tcW w:w="1661" w:type="dxa"/>
            <w:tcBorders>
              <w:left w:val="single" w:sz="4" w:space="0" w:color="auto"/>
            </w:tcBorders>
            <w:vAlign w:val="center"/>
          </w:tcPr>
          <w:p w:rsidR="00B51FB4" w:rsidRDefault="00B51FB4" w:rsidP="007C73FE">
            <w:pPr>
              <w:jc w:val="center"/>
            </w:pPr>
            <w:r>
              <w:t>Number of Respondents</w:t>
            </w:r>
          </w:p>
        </w:tc>
        <w:tc>
          <w:tcPr>
            <w:tcW w:w="2064" w:type="dxa"/>
            <w:vAlign w:val="center"/>
          </w:tcPr>
          <w:p w:rsidR="00B51FB4" w:rsidRDefault="00B51FB4" w:rsidP="007C73FE">
            <w:pPr>
              <w:jc w:val="center"/>
            </w:pPr>
            <w:r>
              <w:t>Estimated Preparation Time</w:t>
            </w:r>
          </w:p>
        </w:tc>
        <w:tc>
          <w:tcPr>
            <w:tcW w:w="1890" w:type="dxa"/>
            <w:vAlign w:val="center"/>
          </w:tcPr>
          <w:p w:rsidR="00B51FB4" w:rsidRDefault="00B51FB4" w:rsidP="007C73FE">
            <w:pPr>
              <w:jc w:val="center"/>
            </w:pPr>
            <w:r>
              <w:t>Total estimated burden hours</w:t>
            </w:r>
          </w:p>
        </w:tc>
      </w:tr>
      <w:tr w:rsidR="00B51FB4" w:rsidTr="007C73FE">
        <w:trPr>
          <w:trHeight w:val="368"/>
        </w:trPr>
        <w:tc>
          <w:tcPr>
            <w:tcW w:w="1890" w:type="dxa"/>
            <w:tcBorders>
              <w:top w:val="single" w:sz="4" w:space="0" w:color="auto"/>
              <w:bottom w:val="single" w:sz="4" w:space="0" w:color="auto"/>
            </w:tcBorders>
            <w:vAlign w:val="center"/>
          </w:tcPr>
          <w:p w:rsidR="00B51FB4" w:rsidRDefault="00B51FB4" w:rsidP="00591537">
            <w:r>
              <w:t>Public Sector</w:t>
            </w:r>
          </w:p>
        </w:tc>
        <w:tc>
          <w:tcPr>
            <w:tcW w:w="1661" w:type="dxa"/>
            <w:tcBorders>
              <w:bottom w:val="single" w:sz="4" w:space="0" w:color="auto"/>
            </w:tcBorders>
            <w:vAlign w:val="center"/>
          </w:tcPr>
          <w:p w:rsidR="00B51FB4" w:rsidRDefault="00B51FB4" w:rsidP="007C73FE">
            <w:pPr>
              <w:jc w:val="center"/>
            </w:pPr>
            <w:r>
              <w:t>437</w:t>
            </w:r>
          </w:p>
        </w:tc>
        <w:tc>
          <w:tcPr>
            <w:tcW w:w="2064" w:type="dxa"/>
            <w:tcBorders>
              <w:bottom w:val="single" w:sz="4" w:space="0" w:color="auto"/>
            </w:tcBorders>
            <w:vAlign w:val="center"/>
          </w:tcPr>
          <w:p w:rsidR="00B51FB4" w:rsidRDefault="00B51FB4" w:rsidP="007C73FE">
            <w:pPr>
              <w:jc w:val="center"/>
            </w:pPr>
            <w:r>
              <w:t>6 hours</w:t>
            </w:r>
          </w:p>
        </w:tc>
        <w:tc>
          <w:tcPr>
            <w:tcW w:w="1890" w:type="dxa"/>
            <w:tcBorders>
              <w:bottom w:val="single" w:sz="4" w:space="0" w:color="auto"/>
            </w:tcBorders>
            <w:vAlign w:val="center"/>
          </w:tcPr>
          <w:p w:rsidR="00B51FB4" w:rsidRDefault="00B51FB4" w:rsidP="007C73FE">
            <w:pPr>
              <w:tabs>
                <w:tab w:val="right" w:pos="882"/>
                <w:tab w:val="left" w:pos="1022"/>
              </w:tabs>
            </w:pPr>
            <w:r>
              <w:tab/>
              <w:t>2,622</w:t>
            </w:r>
            <w:r>
              <w:tab/>
              <w:t>hours</w:t>
            </w:r>
          </w:p>
        </w:tc>
      </w:tr>
      <w:tr w:rsidR="00B51FB4" w:rsidTr="007C73FE">
        <w:trPr>
          <w:trHeight w:val="350"/>
        </w:trPr>
        <w:tc>
          <w:tcPr>
            <w:tcW w:w="1890" w:type="dxa"/>
            <w:tcBorders>
              <w:bottom w:val="double" w:sz="4" w:space="0" w:color="auto"/>
            </w:tcBorders>
            <w:vAlign w:val="center"/>
          </w:tcPr>
          <w:p w:rsidR="00B51FB4" w:rsidRDefault="00B51FB4" w:rsidP="00591537">
            <w:r>
              <w:t>Private Sector</w:t>
            </w:r>
          </w:p>
        </w:tc>
        <w:tc>
          <w:tcPr>
            <w:tcW w:w="1661" w:type="dxa"/>
            <w:tcBorders>
              <w:bottom w:val="double" w:sz="4" w:space="0" w:color="auto"/>
            </w:tcBorders>
            <w:vAlign w:val="center"/>
          </w:tcPr>
          <w:p w:rsidR="00B51FB4" w:rsidRDefault="00B51FB4" w:rsidP="007C73FE">
            <w:pPr>
              <w:jc w:val="center"/>
            </w:pPr>
            <w:r>
              <w:t>159</w:t>
            </w:r>
          </w:p>
        </w:tc>
        <w:tc>
          <w:tcPr>
            <w:tcW w:w="2064" w:type="dxa"/>
            <w:tcBorders>
              <w:bottom w:val="double" w:sz="4" w:space="0" w:color="auto"/>
            </w:tcBorders>
            <w:vAlign w:val="center"/>
          </w:tcPr>
          <w:p w:rsidR="00B51FB4" w:rsidRDefault="00B51FB4" w:rsidP="007C73FE">
            <w:pPr>
              <w:jc w:val="center"/>
            </w:pPr>
            <w:r>
              <w:t>6 hours</w:t>
            </w:r>
          </w:p>
        </w:tc>
        <w:tc>
          <w:tcPr>
            <w:tcW w:w="1890" w:type="dxa"/>
            <w:tcBorders>
              <w:bottom w:val="double" w:sz="4" w:space="0" w:color="auto"/>
            </w:tcBorders>
            <w:vAlign w:val="center"/>
          </w:tcPr>
          <w:p w:rsidR="00B51FB4" w:rsidRDefault="00B51FB4" w:rsidP="007C73FE">
            <w:pPr>
              <w:tabs>
                <w:tab w:val="right" w:pos="882"/>
                <w:tab w:val="left" w:pos="1022"/>
              </w:tabs>
            </w:pPr>
            <w:r>
              <w:tab/>
              <w:t>954</w:t>
            </w:r>
            <w:r>
              <w:tab/>
              <w:t>hours</w:t>
            </w:r>
          </w:p>
        </w:tc>
      </w:tr>
      <w:tr w:rsidR="00B51FB4" w:rsidTr="007C73FE">
        <w:tc>
          <w:tcPr>
            <w:tcW w:w="1890" w:type="dxa"/>
            <w:tcBorders>
              <w:top w:val="double" w:sz="4" w:space="0" w:color="auto"/>
            </w:tcBorders>
          </w:tcPr>
          <w:p w:rsidR="00B51FB4" w:rsidRPr="007C73FE" w:rsidRDefault="00B51FB4">
            <w:pPr>
              <w:rPr>
                <w:b/>
              </w:rPr>
            </w:pPr>
            <w:r w:rsidRPr="007C73FE">
              <w:rPr>
                <w:b/>
              </w:rPr>
              <w:t>Total estimated burden hours</w:t>
            </w:r>
          </w:p>
        </w:tc>
        <w:tc>
          <w:tcPr>
            <w:tcW w:w="1661" w:type="dxa"/>
            <w:tcBorders>
              <w:top w:val="double" w:sz="4" w:space="0" w:color="auto"/>
            </w:tcBorders>
            <w:vAlign w:val="center"/>
          </w:tcPr>
          <w:p w:rsidR="00B51FB4" w:rsidRPr="007C73FE" w:rsidRDefault="00B51FB4" w:rsidP="007C73FE">
            <w:pPr>
              <w:jc w:val="center"/>
              <w:rPr>
                <w:b/>
              </w:rPr>
            </w:pPr>
            <w:r w:rsidRPr="007C73FE">
              <w:rPr>
                <w:b/>
              </w:rPr>
              <w:t>596</w:t>
            </w:r>
          </w:p>
        </w:tc>
        <w:tc>
          <w:tcPr>
            <w:tcW w:w="2064" w:type="dxa"/>
            <w:tcBorders>
              <w:top w:val="double" w:sz="4" w:space="0" w:color="auto"/>
            </w:tcBorders>
            <w:vAlign w:val="center"/>
          </w:tcPr>
          <w:p w:rsidR="00B51FB4" w:rsidRPr="007C73FE" w:rsidRDefault="00B51FB4" w:rsidP="007C73FE">
            <w:pPr>
              <w:jc w:val="center"/>
              <w:rPr>
                <w:b/>
              </w:rPr>
            </w:pPr>
            <w:r w:rsidRPr="007C73FE">
              <w:rPr>
                <w:b/>
              </w:rPr>
              <w:t>6 hours</w:t>
            </w:r>
          </w:p>
        </w:tc>
        <w:tc>
          <w:tcPr>
            <w:tcW w:w="1890" w:type="dxa"/>
            <w:tcBorders>
              <w:top w:val="double" w:sz="4" w:space="0" w:color="auto"/>
            </w:tcBorders>
            <w:vAlign w:val="center"/>
          </w:tcPr>
          <w:p w:rsidR="00B51FB4" w:rsidRPr="007C73FE" w:rsidRDefault="00B51FB4" w:rsidP="007C73FE">
            <w:pPr>
              <w:tabs>
                <w:tab w:val="right" w:pos="882"/>
                <w:tab w:val="left" w:pos="1022"/>
              </w:tabs>
              <w:rPr>
                <w:b/>
              </w:rPr>
            </w:pPr>
            <w:r w:rsidRPr="007C73FE">
              <w:rPr>
                <w:b/>
              </w:rPr>
              <w:tab/>
              <w:t>3,576</w:t>
            </w:r>
            <w:r w:rsidRPr="007C73FE">
              <w:rPr>
                <w:b/>
              </w:rPr>
              <w:tab/>
              <w:t>hours</w:t>
            </w:r>
          </w:p>
        </w:tc>
      </w:tr>
    </w:tbl>
    <w:p w:rsidR="00B51FB4" w:rsidRDefault="00B51FB4"/>
    <w:p w:rsidR="00B51FB4" w:rsidRDefault="00B51FB4"/>
    <w:p w:rsidR="002C6092" w:rsidRDefault="00A41868">
      <w:r>
        <w:t>(</w:t>
      </w:r>
      <w:r w:rsidR="002C6092">
        <w:t xml:space="preserve">Estimated burden:  </w:t>
      </w:r>
      <w:r>
        <w:t>35</w:t>
      </w:r>
      <w:r w:rsidR="00FA311C">
        <w:t>76</w:t>
      </w:r>
      <w:r>
        <w:t xml:space="preserve"> hrs</w:t>
      </w:r>
      <w:r w:rsidR="002C6092">
        <w:t>.</w:t>
      </w:r>
      <w:r>
        <w:t xml:space="preserve">  Total number of hours (preparation time) multiplied by the total number of respondents equals estimated burden hours).</w:t>
      </w:r>
      <w:r w:rsidR="002C6092">
        <w:t xml:space="preserve">  </w:t>
      </w:r>
      <w:r w:rsidR="005A3937">
        <w:t>Preparation time includes 5.5 hours for professional staff to gather the information using computerized technology and 0.5 hours for clerical staff to enter the data into the Web-based form.</w:t>
      </w:r>
    </w:p>
    <w:p w:rsidR="002C6092" w:rsidRDefault="002C6092"/>
    <w:p w:rsidR="002C6092" w:rsidRDefault="002C6092">
      <w:r>
        <w:t>Professional staff</w:t>
      </w:r>
    </w:p>
    <w:p w:rsidR="002C6092" w:rsidRDefault="005343B0">
      <w:r>
        <w:t>(</w:t>
      </w:r>
      <w:r w:rsidR="00DA61D8">
        <w:t>5</w:t>
      </w:r>
      <w:r w:rsidR="00FA311C">
        <w:t>96</w:t>
      </w:r>
      <w:r w:rsidR="00A27354">
        <w:t xml:space="preserve"> </w:t>
      </w:r>
      <w:r w:rsidR="002C6092">
        <w:t>respondents X 5.5 hours @ $35 per hour)</w:t>
      </w:r>
      <w:r>
        <w:tab/>
      </w:r>
      <w:r>
        <w:tab/>
        <w:t>$</w:t>
      </w:r>
      <w:r w:rsidR="00FA311C">
        <w:t>114,730</w:t>
      </w:r>
    </w:p>
    <w:p w:rsidR="002C6092" w:rsidRDefault="002C6092"/>
    <w:p w:rsidR="002C6092" w:rsidRDefault="002C6092">
      <w:r>
        <w:t>Clerical staff</w:t>
      </w:r>
    </w:p>
    <w:p w:rsidR="00194346" w:rsidRDefault="005343B0" w:rsidP="00194346">
      <w:r>
        <w:lastRenderedPageBreak/>
        <w:t>(5</w:t>
      </w:r>
      <w:r w:rsidR="00FA311C">
        <w:t xml:space="preserve">96 </w:t>
      </w:r>
      <w:r w:rsidR="002C6092">
        <w:t>clerical staff members X 0.5 h</w:t>
      </w:r>
      <w:r>
        <w:t>ours @ $18 per hour)</w:t>
      </w:r>
      <w:r>
        <w:tab/>
        <w:t xml:space="preserve">      </w:t>
      </w:r>
      <w:r w:rsidR="00A27354">
        <w:t>5,</w:t>
      </w:r>
      <w:r w:rsidR="00FA311C">
        <w:t>364</w:t>
      </w:r>
    </w:p>
    <w:p w:rsidR="00C45DE2" w:rsidRDefault="00C45DE2" w:rsidP="00194346"/>
    <w:p w:rsidR="00591537" w:rsidRDefault="00C45DE2" w:rsidP="00591537">
      <w:r>
        <w:t>Total estimated cost to respondents</w:t>
      </w:r>
      <w:r>
        <w:tab/>
      </w:r>
      <w:r>
        <w:tab/>
      </w:r>
      <w:r>
        <w:tab/>
      </w:r>
      <w:r>
        <w:tab/>
        <w:t>$120,094</w:t>
      </w:r>
    </w:p>
    <w:p w:rsidR="00C45DE2" w:rsidRDefault="00C45DE2" w:rsidP="00591537">
      <w:pPr>
        <w:rPr>
          <w:i/>
        </w:rPr>
      </w:pPr>
    </w:p>
    <w:p w:rsidR="00591537" w:rsidRPr="00591537" w:rsidRDefault="00591537" w:rsidP="00591537">
      <w:pPr>
        <w:rPr>
          <w:i/>
        </w:rPr>
      </w:pPr>
      <w:r w:rsidRPr="00591537">
        <w:rPr>
          <w:i/>
          <w:u w:val="single"/>
        </w:rPr>
        <w:t>Note</w:t>
      </w:r>
      <w:r>
        <w:rPr>
          <w:i/>
        </w:rPr>
        <w:t xml:space="preserve">: </w:t>
      </w:r>
      <w:r w:rsidR="00C45DE2">
        <w:rPr>
          <w:i/>
        </w:rPr>
        <w:t xml:space="preserve"> </w:t>
      </w:r>
      <w:r>
        <w:rPr>
          <w:i/>
        </w:rPr>
        <w:t xml:space="preserve">As many of the respondents are project staff whose salaries are largely financed with Federal grant funds, the Department believes that the actual cost to respondents is lower than those indicated above but cannot provide an accurate estimate at this time. </w:t>
      </w:r>
    </w:p>
    <w:p w:rsidR="002C6092" w:rsidRDefault="002C6092"/>
    <w:p w:rsidR="00654A18" w:rsidRPr="00654A18" w:rsidRDefault="002C6092" w:rsidP="00654A18">
      <w:pPr>
        <w:tabs>
          <w:tab w:val="left" w:pos="-720"/>
        </w:tabs>
        <w:suppressAutoHyphens/>
        <w:rPr>
          <w:rFonts w:ascii="Times New Roman" w:hAnsi="Times New Roman"/>
          <w:sz w:val="24"/>
        </w:rPr>
      </w:pPr>
      <w:r>
        <w:t xml:space="preserve">13.  </w:t>
      </w:r>
      <w:r w:rsidR="00654A18" w:rsidRPr="00654A18">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654A18" w:rsidRDefault="005343B0">
      <w:pPr>
        <w:rPr>
          <w:sz w:val="24"/>
        </w:rPr>
      </w:pPr>
    </w:p>
    <w:p w:rsidR="00654A18" w:rsidRPr="00654A18" w:rsidRDefault="00654A18" w:rsidP="00654A18">
      <w:pPr>
        <w:numPr>
          <w:ilvl w:val="0"/>
          <w:numId w:val="3"/>
        </w:numPr>
        <w:tabs>
          <w:tab w:val="left" w:pos="-720"/>
          <w:tab w:val="left" w:pos="1247"/>
        </w:tabs>
        <w:suppressAutoHyphens/>
        <w:rPr>
          <w:rFonts w:ascii="Times New Roman" w:hAnsi="Times New Roman"/>
          <w:sz w:val="24"/>
        </w:rPr>
      </w:pPr>
      <w:r w:rsidRPr="00654A18">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654A18" w:rsidRDefault="00654A18" w:rsidP="00654A18">
      <w:pPr>
        <w:numPr>
          <w:ilvl w:val="12"/>
          <w:numId w:val="0"/>
        </w:numPr>
        <w:tabs>
          <w:tab w:val="left" w:pos="-720"/>
        </w:tabs>
        <w:suppressAutoHyphens/>
        <w:ind w:left="340"/>
        <w:rPr>
          <w:rFonts w:ascii="Times New Roman" w:hAnsi="Times New Roman"/>
          <w:sz w:val="24"/>
        </w:rPr>
      </w:pPr>
    </w:p>
    <w:p w:rsidR="00654A18" w:rsidRPr="00654A18" w:rsidRDefault="00654A18" w:rsidP="00654A18">
      <w:pPr>
        <w:numPr>
          <w:ilvl w:val="0"/>
          <w:numId w:val="3"/>
        </w:numPr>
        <w:tabs>
          <w:tab w:val="left" w:pos="-720"/>
          <w:tab w:val="left" w:pos="1247"/>
        </w:tabs>
        <w:suppressAutoHyphens/>
        <w:rPr>
          <w:rFonts w:ascii="Times New Roman" w:hAnsi="Times New Roman"/>
          <w:sz w:val="24"/>
        </w:rPr>
      </w:pPr>
      <w:r w:rsidRPr="00654A18">
        <w:rPr>
          <w:rFonts w:ascii="Times New Roman" w:hAnsi="Times New Roman"/>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654A18" w:rsidRDefault="00654A18" w:rsidP="00654A18">
      <w:pPr>
        <w:tabs>
          <w:tab w:val="left" w:pos="-720"/>
          <w:tab w:val="left" w:pos="1247"/>
        </w:tabs>
        <w:suppressAutoHyphens/>
        <w:rPr>
          <w:rFonts w:ascii="Times New Roman" w:hAnsi="Times New Roman"/>
          <w:sz w:val="24"/>
        </w:rPr>
      </w:pPr>
    </w:p>
    <w:p w:rsidR="00654A18" w:rsidRPr="00654A18" w:rsidRDefault="00654A18" w:rsidP="00654A18">
      <w:pPr>
        <w:numPr>
          <w:ilvl w:val="0"/>
          <w:numId w:val="3"/>
        </w:numPr>
        <w:tabs>
          <w:tab w:val="left" w:pos="-720"/>
          <w:tab w:val="left" w:pos="1247"/>
        </w:tabs>
        <w:suppressAutoHyphens/>
        <w:rPr>
          <w:rFonts w:ascii="Times New Roman" w:hAnsi="Times New Roman"/>
          <w:sz w:val="24"/>
        </w:rPr>
      </w:pPr>
      <w:r w:rsidRPr="00654A18">
        <w:rPr>
          <w:rFonts w:ascii="Times New Roman" w:hAnsi="Times New Roman"/>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54A18" w:rsidRPr="00654A18" w:rsidRDefault="00654A18" w:rsidP="00654A18">
      <w:pPr>
        <w:tabs>
          <w:tab w:val="left" w:pos="-720"/>
        </w:tabs>
        <w:suppressAutoHyphens/>
        <w:rPr>
          <w:rFonts w:ascii="Times New Roman" w:hAnsi="Times New Roman"/>
          <w:sz w:val="24"/>
        </w:rPr>
      </w:pPr>
    </w:p>
    <w:p w:rsidR="00A27354" w:rsidRDefault="00654A18" w:rsidP="00654A18">
      <w:pPr>
        <w:tabs>
          <w:tab w:val="left" w:pos="-720"/>
        </w:tabs>
        <w:suppressAutoHyphens/>
        <w:rPr>
          <w:rFonts w:ascii="Times New Roman" w:hAnsi="Times New Roman"/>
          <w:sz w:val="24"/>
        </w:rPr>
      </w:pPr>
      <w:r w:rsidRPr="00654A18">
        <w:rPr>
          <w:rFonts w:ascii="Times New Roman" w:hAnsi="Times New Roman"/>
          <w:sz w:val="24"/>
        </w:rPr>
        <w:tab/>
        <w:t>Total Annualized Capital/Startup Cost</w:t>
      </w:r>
      <w:r w:rsidRPr="00654A18">
        <w:rPr>
          <w:rFonts w:ascii="Times New Roman" w:hAnsi="Times New Roman"/>
          <w:sz w:val="24"/>
        </w:rPr>
        <w:tab/>
        <w:t>:</w:t>
      </w:r>
    </w:p>
    <w:p w:rsidR="00654A18" w:rsidRDefault="00654A18" w:rsidP="00654A18">
      <w:pPr>
        <w:tabs>
          <w:tab w:val="left" w:pos="-720"/>
        </w:tabs>
        <w:suppressAutoHyphens/>
        <w:rPr>
          <w:rFonts w:ascii="Times New Roman" w:hAnsi="Times New Roman"/>
          <w:sz w:val="24"/>
        </w:rPr>
      </w:pPr>
      <w:r w:rsidRPr="00654A18">
        <w:rPr>
          <w:rFonts w:ascii="Times New Roman" w:hAnsi="Times New Roman"/>
          <w:sz w:val="24"/>
        </w:rPr>
        <w:tab/>
        <w:t>Total Annual Costs (O&amp;M)</w:t>
      </w:r>
      <w:r w:rsidRPr="00654A18">
        <w:rPr>
          <w:rFonts w:ascii="Times New Roman" w:hAnsi="Times New Roman"/>
          <w:sz w:val="24"/>
        </w:rPr>
        <w:tab/>
      </w:r>
      <w:r w:rsidRPr="00654A18">
        <w:rPr>
          <w:rFonts w:ascii="Times New Roman" w:hAnsi="Times New Roman"/>
          <w:sz w:val="24"/>
        </w:rPr>
        <w:tab/>
        <w:t xml:space="preserve">: </w:t>
      </w:r>
    </w:p>
    <w:p w:rsidR="00654A18" w:rsidRPr="00654A18" w:rsidRDefault="00654A18" w:rsidP="00654A18">
      <w:pPr>
        <w:tabs>
          <w:tab w:val="left" w:pos="-720"/>
        </w:tabs>
        <w:suppressAutoHyphens/>
        <w:rPr>
          <w:rFonts w:ascii="Times New Roman" w:hAnsi="Times New Roman"/>
          <w:sz w:val="24"/>
        </w:rPr>
      </w:pPr>
      <w:r w:rsidRPr="00654A18">
        <w:rPr>
          <w:rFonts w:ascii="Times New Roman" w:hAnsi="Times New Roman"/>
          <w:sz w:val="24"/>
        </w:rPr>
        <w:tab/>
      </w:r>
      <w:r w:rsidRPr="00654A18">
        <w:rPr>
          <w:rFonts w:ascii="Times New Roman" w:hAnsi="Times New Roman"/>
          <w:sz w:val="24"/>
        </w:rPr>
        <w:tab/>
      </w:r>
      <w:r w:rsidRPr="00654A18">
        <w:rPr>
          <w:rFonts w:ascii="Times New Roman" w:hAnsi="Times New Roman"/>
          <w:sz w:val="24"/>
        </w:rPr>
        <w:tab/>
      </w:r>
      <w:r w:rsidRPr="00654A18">
        <w:rPr>
          <w:rFonts w:ascii="Times New Roman" w:hAnsi="Times New Roman"/>
          <w:sz w:val="24"/>
        </w:rPr>
        <w:tab/>
      </w:r>
      <w:r w:rsidRPr="00654A18">
        <w:rPr>
          <w:rFonts w:ascii="Times New Roman" w:hAnsi="Times New Roman"/>
          <w:sz w:val="24"/>
        </w:rPr>
        <w:tab/>
      </w:r>
      <w:r w:rsidRPr="00654A18">
        <w:rPr>
          <w:rFonts w:ascii="Times New Roman" w:hAnsi="Times New Roman"/>
          <w:sz w:val="24"/>
        </w:rPr>
        <w:tab/>
      </w:r>
      <w:r w:rsidRPr="00654A18">
        <w:rPr>
          <w:rFonts w:ascii="Times New Roman" w:hAnsi="Times New Roman"/>
          <w:sz w:val="24"/>
        </w:rPr>
        <w:tab/>
        <w:t xml:space="preserve"> ____________________</w:t>
      </w:r>
    </w:p>
    <w:p w:rsidR="00654A18" w:rsidRPr="00654A18" w:rsidRDefault="00654A18" w:rsidP="00654A18">
      <w:pPr>
        <w:tabs>
          <w:tab w:val="left" w:pos="-720"/>
        </w:tabs>
        <w:suppressAutoHyphens/>
        <w:rPr>
          <w:rFonts w:ascii="Times New Roman" w:hAnsi="Times New Roman"/>
          <w:sz w:val="24"/>
        </w:rPr>
      </w:pPr>
      <w:r w:rsidRPr="00654A18">
        <w:rPr>
          <w:rFonts w:ascii="Times New Roman" w:hAnsi="Times New Roman"/>
          <w:sz w:val="24"/>
        </w:rPr>
        <w:tab/>
        <w:t>Total Annualized Costs Requested</w:t>
      </w:r>
      <w:r w:rsidRPr="00654A18">
        <w:rPr>
          <w:rFonts w:ascii="Times New Roman" w:hAnsi="Times New Roman"/>
          <w:sz w:val="24"/>
        </w:rPr>
        <w:tab/>
        <w:t xml:space="preserve">: </w:t>
      </w:r>
    </w:p>
    <w:p w:rsidR="002C6092" w:rsidRDefault="002C6092" w:rsidP="00194346">
      <w:pPr>
        <w:ind w:left="720"/>
      </w:pPr>
      <w:r>
        <w:t>There are no other costs to the respondents</w:t>
      </w:r>
      <w:r w:rsidR="00591537">
        <w:t xml:space="preserve"> associated with this information collection</w:t>
      </w:r>
      <w:r>
        <w:t>.  Grantees are required by program regulations to collect and maintain this information.  The costs to transmit the data electronically via the Web are customary and usual business practices.</w:t>
      </w:r>
    </w:p>
    <w:p w:rsidR="002C6092" w:rsidRDefault="002C6092"/>
    <w:p w:rsidR="00654A18" w:rsidRPr="00654A18" w:rsidRDefault="002C6092" w:rsidP="00654A18">
      <w:pPr>
        <w:tabs>
          <w:tab w:val="left" w:pos="-720"/>
        </w:tabs>
        <w:suppressAutoHyphens/>
        <w:rPr>
          <w:rFonts w:ascii="Times New Roman" w:hAnsi="Times New Roman"/>
          <w:sz w:val="24"/>
        </w:rPr>
      </w:pPr>
      <w:r>
        <w:t xml:space="preserve">14.  </w:t>
      </w:r>
      <w:r w:rsidR="00654A18" w:rsidRPr="00654A18">
        <w:rPr>
          <w:rStyle w:val="a"/>
          <w:rFonts w:ascii="Times New Roman" w:hAnsi="Times New Roman"/>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Default="002C6092"/>
    <w:p w:rsidR="002C6092" w:rsidRDefault="002C6092" w:rsidP="00654A18">
      <w:pPr>
        <w:ind w:left="720"/>
      </w:pPr>
      <w:r>
        <w:t>The largest portion of the Government's cost is b</w:t>
      </w:r>
      <w:r w:rsidR="00194346">
        <w:t xml:space="preserve">orne directly by the Department </w:t>
      </w:r>
      <w:r w:rsidR="00654A18">
        <w:t xml:space="preserve">of Education </w:t>
      </w:r>
      <w:r>
        <w:t>in designing the report form</w:t>
      </w:r>
      <w:r w:rsidR="00591537">
        <w:t>,</w:t>
      </w:r>
      <w:r>
        <w:t xml:space="preserve"> securing clearance</w:t>
      </w:r>
      <w:r w:rsidR="00654A18">
        <w:t xml:space="preserve"> of the form, and</w:t>
      </w:r>
      <w:r>
        <w:t xml:space="preserve"> collecting, aggregating, and disseminating the information.</w:t>
      </w:r>
    </w:p>
    <w:p w:rsidR="002C6092" w:rsidRDefault="002C6092"/>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520"/>
      </w:tblGrid>
      <w:tr w:rsidR="00665864" w:rsidRPr="00670E2A" w:rsidTr="00665864">
        <w:trPr>
          <w:trHeight w:val="503"/>
        </w:trPr>
        <w:tc>
          <w:tcPr>
            <w:tcW w:w="5760" w:type="dxa"/>
            <w:tcBorders>
              <w:bottom w:val="single" w:sz="4" w:space="0" w:color="auto"/>
            </w:tcBorders>
            <w:vAlign w:val="center"/>
          </w:tcPr>
          <w:p w:rsidR="00665864" w:rsidRPr="00665864" w:rsidRDefault="00665864" w:rsidP="00665864">
            <w:pPr>
              <w:rPr>
                <w:b/>
                <w:bCs/>
              </w:rPr>
            </w:pPr>
            <w:r w:rsidRPr="00665864">
              <w:rPr>
                <w:b/>
                <w:bCs/>
              </w:rPr>
              <w:t>Posting performance report application to World Wide Web</w:t>
            </w:r>
          </w:p>
        </w:tc>
        <w:tc>
          <w:tcPr>
            <w:tcW w:w="2520" w:type="dxa"/>
            <w:tcBorders>
              <w:bottom w:val="single" w:sz="4" w:space="0" w:color="auto"/>
            </w:tcBorders>
            <w:vAlign w:val="center"/>
          </w:tcPr>
          <w:p w:rsidR="00665864" w:rsidRPr="00665864" w:rsidRDefault="00665864" w:rsidP="00665864">
            <w:pPr>
              <w:tabs>
                <w:tab w:val="right" w:pos="1824"/>
              </w:tabs>
              <w:rPr>
                <w:b/>
                <w:bCs/>
              </w:rPr>
            </w:pPr>
            <w:r w:rsidRPr="00665864">
              <w:rPr>
                <w:b/>
                <w:bCs/>
              </w:rPr>
              <w:tab/>
              <w:t>120</w:t>
            </w:r>
            <w:r w:rsidRPr="00665864">
              <w:rPr>
                <w:b/>
                <w:bCs/>
              </w:rPr>
              <w:tab/>
            </w:r>
          </w:p>
        </w:tc>
      </w:tr>
      <w:tr w:rsidR="00665864" w:rsidRPr="00670E2A" w:rsidTr="00665864">
        <w:tc>
          <w:tcPr>
            <w:tcW w:w="5760" w:type="dxa"/>
            <w:tcBorders>
              <w:bottom w:val="nil"/>
            </w:tcBorders>
            <w:vAlign w:val="center"/>
          </w:tcPr>
          <w:p w:rsidR="00665864" w:rsidRPr="00665864" w:rsidRDefault="00665864" w:rsidP="00665864">
            <w:pPr>
              <w:ind w:left="720"/>
              <w:rPr>
                <w:b/>
                <w:bCs/>
                <w:i/>
              </w:rPr>
            </w:pPr>
            <w:r w:rsidRPr="00665864">
              <w:rPr>
                <w:b/>
                <w:bCs/>
                <w:i/>
              </w:rPr>
              <w:t>$40 per hour x 2 hours</w:t>
            </w:r>
          </w:p>
        </w:tc>
        <w:tc>
          <w:tcPr>
            <w:tcW w:w="2520" w:type="dxa"/>
            <w:tcBorders>
              <w:bottom w:val="nil"/>
            </w:tcBorders>
            <w:vAlign w:val="center"/>
          </w:tcPr>
          <w:p w:rsidR="00665864" w:rsidRPr="00665864" w:rsidRDefault="00665864" w:rsidP="00665864">
            <w:pPr>
              <w:tabs>
                <w:tab w:val="right" w:pos="1824"/>
              </w:tabs>
              <w:rPr>
                <w:b/>
                <w:bCs/>
                <w:i/>
              </w:rPr>
            </w:pPr>
            <w:r w:rsidRPr="00665864">
              <w:rPr>
                <w:b/>
                <w:bCs/>
                <w:i/>
              </w:rPr>
              <w:tab/>
              <w:t>80</w:t>
            </w:r>
          </w:p>
        </w:tc>
      </w:tr>
      <w:tr w:rsidR="00665864" w:rsidRPr="00670E2A" w:rsidTr="00665864">
        <w:tc>
          <w:tcPr>
            <w:tcW w:w="5760" w:type="dxa"/>
            <w:tcBorders>
              <w:top w:val="nil"/>
            </w:tcBorders>
            <w:vAlign w:val="center"/>
          </w:tcPr>
          <w:p w:rsidR="00665864" w:rsidRPr="00665864" w:rsidRDefault="00665864" w:rsidP="00665864">
            <w:pPr>
              <w:ind w:left="720"/>
              <w:rPr>
                <w:b/>
                <w:bCs/>
                <w:i/>
              </w:rPr>
            </w:pPr>
            <w:r w:rsidRPr="00665864">
              <w:rPr>
                <w:b/>
                <w:bCs/>
                <w:i/>
              </w:rPr>
              <w:t>Overhead costs</w:t>
            </w:r>
          </w:p>
        </w:tc>
        <w:tc>
          <w:tcPr>
            <w:tcW w:w="2520" w:type="dxa"/>
            <w:tcBorders>
              <w:top w:val="nil"/>
            </w:tcBorders>
            <w:vAlign w:val="center"/>
          </w:tcPr>
          <w:p w:rsidR="00665864" w:rsidRPr="00665864" w:rsidRDefault="00665864" w:rsidP="00665864">
            <w:pPr>
              <w:tabs>
                <w:tab w:val="right" w:pos="1824"/>
              </w:tabs>
              <w:rPr>
                <w:b/>
                <w:bCs/>
                <w:i/>
              </w:rPr>
            </w:pPr>
            <w:r w:rsidRPr="00665864">
              <w:rPr>
                <w:b/>
                <w:bCs/>
                <w:i/>
              </w:rPr>
              <w:tab/>
              <w:t>40</w:t>
            </w:r>
          </w:p>
        </w:tc>
      </w:tr>
      <w:tr w:rsidR="00665864" w:rsidRPr="00670E2A" w:rsidTr="00665864">
        <w:tc>
          <w:tcPr>
            <w:tcW w:w="5760" w:type="dxa"/>
            <w:vAlign w:val="center"/>
          </w:tcPr>
          <w:p w:rsidR="00665864" w:rsidRPr="00665864" w:rsidRDefault="00665864" w:rsidP="00665864">
            <w:pPr>
              <w:rPr>
                <w:b/>
                <w:bCs/>
              </w:rPr>
            </w:pPr>
            <w:r w:rsidRPr="00665864">
              <w:rPr>
                <w:b/>
                <w:bCs/>
              </w:rPr>
              <w:t>Annual updates to Web application, Web site hosting, help desk, and data processing (contractor’s costs)</w:t>
            </w:r>
          </w:p>
        </w:tc>
        <w:tc>
          <w:tcPr>
            <w:tcW w:w="2520" w:type="dxa"/>
            <w:vAlign w:val="center"/>
          </w:tcPr>
          <w:p w:rsidR="00665864" w:rsidRPr="00665864" w:rsidRDefault="00665864" w:rsidP="00665864">
            <w:pPr>
              <w:tabs>
                <w:tab w:val="right" w:pos="1824"/>
              </w:tabs>
              <w:rPr>
                <w:b/>
                <w:bCs/>
              </w:rPr>
            </w:pPr>
            <w:r w:rsidRPr="00665864">
              <w:rPr>
                <w:b/>
                <w:bCs/>
                <w:i/>
              </w:rPr>
              <w:tab/>
            </w:r>
            <w:r w:rsidRPr="00665864">
              <w:rPr>
                <w:b/>
                <w:bCs/>
              </w:rPr>
              <w:t>70,000</w:t>
            </w:r>
          </w:p>
        </w:tc>
      </w:tr>
      <w:tr w:rsidR="00665864" w:rsidRPr="00670E2A" w:rsidTr="00665864">
        <w:tc>
          <w:tcPr>
            <w:tcW w:w="5760" w:type="dxa"/>
            <w:vAlign w:val="center"/>
          </w:tcPr>
          <w:p w:rsidR="00665864" w:rsidRPr="00665864" w:rsidRDefault="00665864" w:rsidP="00665864">
            <w:pPr>
              <w:rPr>
                <w:b/>
                <w:bCs/>
              </w:rPr>
            </w:pPr>
            <w:r w:rsidRPr="00665864">
              <w:rPr>
                <w:b/>
                <w:bCs/>
              </w:rPr>
              <w:t>Analyses of data and preparation of national summary reports and individual project data (contractor’s costs)</w:t>
            </w:r>
          </w:p>
        </w:tc>
        <w:tc>
          <w:tcPr>
            <w:tcW w:w="2520" w:type="dxa"/>
            <w:vAlign w:val="center"/>
          </w:tcPr>
          <w:p w:rsidR="00665864" w:rsidRPr="00665864" w:rsidRDefault="00665864" w:rsidP="00665864">
            <w:pPr>
              <w:tabs>
                <w:tab w:val="right" w:pos="1824"/>
              </w:tabs>
              <w:rPr>
                <w:b/>
                <w:bCs/>
              </w:rPr>
            </w:pPr>
            <w:r w:rsidRPr="00665864">
              <w:rPr>
                <w:b/>
                <w:bCs/>
                <w:i/>
              </w:rPr>
              <w:tab/>
            </w:r>
            <w:r w:rsidRPr="00665864">
              <w:rPr>
                <w:b/>
                <w:bCs/>
              </w:rPr>
              <w:t>90,000</w:t>
            </w:r>
          </w:p>
        </w:tc>
      </w:tr>
      <w:tr w:rsidR="00665864" w:rsidRPr="00670E2A" w:rsidTr="00665864">
        <w:tc>
          <w:tcPr>
            <w:tcW w:w="5760" w:type="dxa"/>
            <w:tcBorders>
              <w:bottom w:val="single" w:sz="4" w:space="0" w:color="auto"/>
            </w:tcBorders>
            <w:vAlign w:val="center"/>
          </w:tcPr>
          <w:p w:rsidR="00665864" w:rsidRPr="00665864" w:rsidRDefault="00665864" w:rsidP="00665864">
            <w:pPr>
              <w:rPr>
                <w:b/>
                <w:bCs/>
              </w:rPr>
            </w:pPr>
            <w:r w:rsidRPr="00665864">
              <w:rPr>
                <w:b/>
                <w:bCs/>
              </w:rPr>
              <w:t>Professional staff to review and edit reports for dissemination</w:t>
            </w:r>
          </w:p>
        </w:tc>
        <w:tc>
          <w:tcPr>
            <w:tcW w:w="2520" w:type="dxa"/>
            <w:tcBorders>
              <w:bottom w:val="single" w:sz="4" w:space="0" w:color="auto"/>
            </w:tcBorders>
            <w:vAlign w:val="center"/>
          </w:tcPr>
          <w:p w:rsidR="00665864" w:rsidRPr="00665864" w:rsidRDefault="00665864" w:rsidP="00665864">
            <w:pPr>
              <w:tabs>
                <w:tab w:val="right" w:pos="1824"/>
              </w:tabs>
              <w:rPr>
                <w:b/>
                <w:bCs/>
              </w:rPr>
            </w:pPr>
            <w:r w:rsidRPr="00665864">
              <w:rPr>
                <w:b/>
                <w:bCs/>
              </w:rPr>
              <w:tab/>
              <w:t>2,400</w:t>
            </w:r>
          </w:p>
        </w:tc>
      </w:tr>
      <w:tr w:rsidR="00665864" w:rsidRPr="00670E2A" w:rsidTr="00665864">
        <w:tc>
          <w:tcPr>
            <w:tcW w:w="5760" w:type="dxa"/>
            <w:tcBorders>
              <w:bottom w:val="nil"/>
            </w:tcBorders>
            <w:vAlign w:val="center"/>
          </w:tcPr>
          <w:p w:rsidR="00665864" w:rsidRPr="00665864" w:rsidRDefault="00665864" w:rsidP="00665864">
            <w:pPr>
              <w:ind w:left="720"/>
              <w:rPr>
                <w:b/>
                <w:bCs/>
                <w:i/>
              </w:rPr>
            </w:pPr>
            <w:r w:rsidRPr="00665864">
              <w:rPr>
                <w:b/>
                <w:bCs/>
                <w:i/>
              </w:rPr>
              <w:t>$40 per hour x 40 hours</w:t>
            </w:r>
          </w:p>
        </w:tc>
        <w:tc>
          <w:tcPr>
            <w:tcW w:w="2520" w:type="dxa"/>
            <w:tcBorders>
              <w:bottom w:val="nil"/>
            </w:tcBorders>
            <w:vAlign w:val="center"/>
          </w:tcPr>
          <w:p w:rsidR="00665864" w:rsidRPr="00665864" w:rsidRDefault="00665864" w:rsidP="00665864">
            <w:pPr>
              <w:tabs>
                <w:tab w:val="right" w:pos="1824"/>
              </w:tabs>
              <w:rPr>
                <w:b/>
                <w:bCs/>
                <w:i/>
              </w:rPr>
            </w:pPr>
            <w:r w:rsidRPr="00665864">
              <w:rPr>
                <w:b/>
                <w:bCs/>
                <w:i/>
              </w:rPr>
              <w:tab/>
              <w:t>1,600</w:t>
            </w:r>
          </w:p>
        </w:tc>
      </w:tr>
      <w:tr w:rsidR="00665864" w:rsidRPr="00670E2A" w:rsidTr="00665864">
        <w:tc>
          <w:tcPr>
            <w:tcW w:w="5760" w:type="dxa"/>
            <w:tcBorders>
              <w:top w:val="nil"/>
              <w:bottom w:val="single" w:sz="4" w:space="0" w:color="auto"/>
            </w:tcBorders>
            <w:vAlign w:val="center"/>
          </w:tcPr>
          <w:p w:rsidR="00665864" w:rsidRPr="00665864" w:rsidRDefault="00665864" w:rsidP="00665864">
            <w:pPr>
              <w:ind w:left="720"/>
              <w:rPr>
                <w:b/>
                <w:bCs/>
                <w:i/>
              </w:rPr>
            </w:pPr>
            <w:r w:rsidRPr="00665864">
              <w:rPr>
                <w:b/>
                <w:bCs/>
                <w:i/>
              </w:rPr>
              <w:t>Overhead costs</w:t>
            </w:r>
          </w:p>
        </w:tc>
        <w:tc>
          <w:tcPr>
            <w:tcW w:w="2520" w:type="dxa"/>
            <w:tcBorders>
              <w:top w:val="nil"/>
              <w:bottom w:val="single" w:sz="4" w:space="0" w:color="auto"/>
            </w:tcBorders>
            <w:vAlign w:val="center"/>
          </w:tcPr>
          <w:p w:rsidR="00665864" w:rsidRPr="00665864" w:rsidRDefault="00665864" w:rsidP="00665864">
            <w:pPr>
              <w:tabs>
                <w:tab w:val="right" w:pos="1824"/>
              </w:tabs>
              <w:rPr>
                <w:b/>
                <w:bCs/>
                <w:i/>
              </w:rPr>
            </w:pPr>
            <w:r w:rsidRPr="00665864">
              <w:rPr>
                <w:b/>
                <w:bCs/>
                <w:i/>
              </w:rPr>
              <w:tab/>
              <w:t>800</w:t>
            </w:r>
          </w:p>
        </w:tc>
      </w:tr>
      <w:tr w:rsidR="00665864" w:rsidRPr="00670E2A" w:rsidTr="00665864">
        <w:trPr>
          <w:trHeight w:val="494"/>
        </w:trPr>
        <w:tc>
          <w:tcPr>
            <w:tcW w:w="5760" w:type="dxa"/>
            <w:tcBorders>
              <w:bottom w:val="double" w:sz="4" w:space="0" w:color="auto"/>
            </w:tcBorders>
            <w:vAlign w:val="center"/>
          </w:tcPr>
          <w:p w:rsidR="00665864" w:rsidRPr="00665864" w:rsidRDefault="00665864" w:rsidP="00665864">
            <w:pPr>
              <w:rPr>
                <w:b/>
                <w:bCs/>
              </w:rPr>
            </w:pPr>
            <w:r w:rsidRPr="00665864">
              <w:rPr>
                <w:b/>
                <w:bCs/>
              </w:rPr>
              <w:t>Printing and mailing of reports</w:t>
            </w:r>
          </w:p>
        </w:tc>
        <w:tc>
          <w:tcPr>
            <w:tcW w:w="2520" w:type="dxa"/>
            <w:tcBorders>
              <w:bottom w:val="double" w:sz="4" w:space="0" w:color="auto"/>
            </w:tcBorders>
            <w:vAlign w:val="center"/>
          </w:tcPr>
          <w:p w:rsidR="00665864" w:rsidRPr="00665864" w:rsidRDefault="00665864" w:rsidP="00665864">
            <w:pPr>
              <w:tabs>
                <w:tab w:val="right" w:pos="1824"/>
              </w:tabs>
              <w:rPr>
                <w:b/>
                <w:bCs/>
              </w:rPr>
            </w:pPr>
            <w:r w:rsidRPr="00665864">
              <w:rPr>
                <w:b/>
                <w:bCs/>
              </w:rPr>
              <w:tab/>
              <w:t>10,500</w:t>
            </w:r>
          </w:p>
        </w:tc>
      </w:tr>
      <w:tr w:rsidR="00665864" w:rsidRPr="00670E2A" w:rsidTr="00665864">
        <w:trPr>
          <w:trHeight w:val="566"/>
        </w:trPr>
        <w:tc>
          <w:tcPr>
            <w:tcW w:w="5760" w:type="dxa"/>
            <w:tcBorders>
              <w:top w:val="double" w:sz="4" w:space="0" w:color="auto"/>
            </w:tcBorders>
            <w:vAlign w:val="center"/>
          </w:tcPr>
          <w:p w:rsidR="00665864" w:rsidRPr="00665864" w:rsidRDefault="00665864" w:rsidP="00665864">
            <w:pPr>
              <w:rPr>
                <w:b/>
                <w:bCs/>
              </w:rPr>
            </w:pPr>
            <w:r w:rsidRPr="00665864">
              <w:rPr>
                <w:b/>
                <w:bCs/>
              </w:rPr>
              <w:t>TOTAL FEDERAL COST</w:t>
            </w:r>
          </w:p>
        </w:tc>
        <w:tc>
          <w:tcPr>
            <w:tcW w:w="2520" w:type="dxa"/>
            <w:tcBorders>
              <w:top w:val="double" w:sz="4" w:space="0" w:color="auto"/>
            </w:tcBorders>
            <w:vAlign w:val="center"/>
          </w:tcPr>
          <w:p w:rsidR="00665864" w:rsidRPr="00665864" w:rsidRDefault="00665864" w:rsidP="002643B9">
            <w:pPr>
              <w:tabs>
                <w:tab w:val="right" w:pos="1824"/>
              </w:tabs>
              <w:rPr>
                <w:b/>
                <w:bCs/>
              </w:rPr>
            </w:pPr>
            <w:r w:rsidRPr="00665864">
              <w:rPr>
                <w:b/>
                <w:bCs/>
              </w:rPr>
              <w:tab/>
              <w:t>$</w:t>
            </w:r>
            <w:r w:rsidR="008776FE" w:rsidRPr="008776FE">
              <w:rPr>
                <w:b/>
                <w:bCs/>
              </w:rPr>
              <w:t>1</w:t>
            </w:r>
            <w:r w:rsidR="002643B9">
              <w:rPr>
                <w:b/>
                <w:bCs/>
              </w:rPr>
              <w:t>73</w:t>
            </w:r>
            <w:r w:rsidR="008776FE">
              <w:rPr>
                <w:b/>
                <w:bCs/>
              </w:rPr>
              <w:t>,</w:t>
            </w:r>
            <w:r w:rsidR="002643B9">
              <w:rPr>
                <w:b/>
                <w:bCs/>
              </w:rPr>
              <w:t>02</w:t>
            </w:r>
            <w:r w:rsidR="008776FE" w:rsidRPr="008776FE">
              <w:rPr>
                <w:b/>
                <w:bCs/>
              </w:rPr>
              <w:t>0</w:t>
            </w:r>
          </w:p>
        </w:tc>
      </w:tr>
    </w:tbl>
    <w:p w:rsidR="002C6092" w:rsidRDefault="002C6092"/>
    <w:p w:rsidR="00654A18" w:rsidRPr="00654A18" w:rsidRDefault="002C6092">
      <w:pPr>
        <w:rPr>
          <w:rFonts w:ascii="Times New Roman" w:hAnsi="Times New Roman"/>
          <w:sz w:val="24"/>
        </w:rPr>
      </w:pPr>
      <w:r>
        <w:t xml:space="preserve">15.  </w:t>
      </w:r>
      <w:r w:rsidR="00654A18" w:rsidRPr="00654A18">
        <w:rPr>
          <w:rFonts w:ascii="Times New Roman" w:hAnsi="Times New Roman"/>
          <w:sz w:val="24"/>
        </w:rPr>
        <w:t>Explain the reasons for any program changes or adjustments.</w:t>
      </w:r>
    </w:p>
    <w:p w:rsidR="00654A18" w:rsidRPr="00654A18" w:rsidRDefault="00654A18">
      <w:pPr>
        <w:rPr>
          <w:rFonts w:ascii="Times New Roman" w:hAnsi="Times New Roman"/>
          <w:sz w:val="24"/>
        </w:rPr>
      </w:pPr>
    </w:p>
    <w:p w:rsidR="00140A0E" w:rsidRPr="00654A18" w:rsidRDefault="00FA311C" w:rsidP="00140A0E">
      <w:pPr>
        <w:ind w:left="720"/>
        <w:rPr>
          <w:rFonts w:ascii="Times New Roman" w:hAnsi="Times New Roman"/>
          <w:sz w:val="24"/>
        </w:rPr>
      </w:pPr>
      <w:r>
        <w:rPr>
          <w:rFonts w:ascii="Times New Roman" w:hAnsi="Times New Roman"/>
          <w:sz w:val="24"/>
        </w:rPr>
        <w:t>There are no changes in the current burden hours.  The total estimated annual burden is 3</w:t>
      </w:r>
      <w:r w:rsidR="003139C9">
        <w:rPr>
          <w:rFonts w:ascii="Times New Roman" w:hAnsi="Times New Roman"/>
          <w:sz w:val="24"/>
        </w:rPr>
        <w:t>,</w:t>
      </w:r>
      <w:r>
        <w:rPr>
          <w:rFonts w:ascii="Times New Roman" w:hAnsi="Times New Roman"/>
          <w:sz w:val="24"/>
        </w:rPr>
        <w:t>576 hours</w:t>
      </w:r>
      <w:r w:rsidR="003139C9">
        <w:rPr>
          <w:rFonts w:ascii="Times New Roman" w:hAnsi="Times New Roman"/>
          <w:sz w:val="24"/>
        </w:rPr>
        <w:t xml:space="preserve"> and 596 responses</w:t>
      </w:r>
      <w:r>
        <w:rPr>
          <w:rFonts w:ascii="Times New Roman" w:hAnsi="Times New Roman"/>
          <w:sz w:val="24"/>
        </w:rPr>
        <w:t>.</w:t>
      </w:r>
      <w:r w:rsidR="00B5354B">
        <w:rPr>
          <w:rFonts w:ascii="Times New Roman" w:hAnsi="Times New Roman"/>
          <w:sz w:val="24"/>
        </w:rPr>
        <w:t xml:space="preserve"> Burden and responses have been disaggregated in this submission.</w:t>
      </w:r>
    </w:p>
    <w:p w:rsidR="002C6092" w:rsidRPr="00654A18" w:rsidRDefault="002C6092">
      <w:pPr>
        <w:rPr>
          <w:rFonts w:ascii="Times New Roman" w:hAnsi="Times New Roman"/>
          <w:sz w:val="24"/>
        </w:rPr>
      </w:pPr>
    </w:p>
    <w:p w:rsidR="00EB752C" w:rsidRPr="00EB752C" w:rsidRDefault="002C6092" w:rsidP="00EB752C">
      <w:pPr>
        <w:tabs>
          <w:tab w:val="left" w:pos="-720"/>
        </w:tabs>
        <w:suppressAutoHyphens/>
        <w:rPr>
          <w:rFonts w:ascii="Times New Roman" w:hAnsi="Times New Roman"/>
          <w:sz w:val="24"/>
        </w:rPr>
      </w:pPr>
      <w:r>
        <w:t xml:space="preserve">16.  </w:t>
      </w:r>
      <w:r w:rsidR="00EB752C" w:rsidRPr="00EB752C">
        <w:rPr>
          <w:rStyle w:val="a"/>
          <w:rFonts w:ascii="Times New Roman" w:hAnsi="Times New Roman"/>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752C" w:rsidRDefault="00EB752C"/>
    <w:p w:rsidR="002C6092" w:rsidRPr="001E1046" w:rsidRDefault="002C6092" w:rsidP="001E1046">
      <w:pPr>
        <w:ind w:left="720"/>
        <w:rPr>
          <w:rFonts w:ascii="Times New Roman" w:hAnsi="Times New Roman"/>
          <w:sz w:val="24"/>
        </w:rPr>
      </w:pPr>
      <w:r w:rsidRPr="001E1046">
        <w:rPr>
          <w:rFonts w:ascii="Times New Roman" w:hAnsi="Times New Roman"/>
          <w:sz w:val="24"/>
        </w:rPr>
        <w:t xml:space="preserve">Collected information will be analyzed annually to determine if each grantee is meeting its approved goals and objectives and to award prior experience points.  Performance measures and efficiency measures for the two programs, based on data conveyed in grantees' annual performance reports, are disseminated in the Department's Annual Program Performance Plan.  </w:t>
      </w:r>
      <w:r w:rsidR="00B17C63">
        <w:rPr>
          <w:rFonts w:ascii="Times New Roman" w:hAnsi="Times New Roman"/>
          <w:sz w:val="24"/>
        </w:rPr>
        <w:t>In addition</w:t>
      </w:r>
      <w:r w:rsidR="008943E3" w:rsidRPr="00E85A3E">
        <w:rPr>
          <w:rFonts w:ascii="Times New Roman" w:hAnsi="Times New Roman"/>
          <w:sz w:val="24"/>
        </w:rPr>
        <w:t>,</w:t>
      </w:r>
      <w:r w:rsidRPr="00E85A3E">
        <w:rPr>
          <w:rFonts w:ascii="Times New Roman" w:hAnsi="Times New Roman"/>
          <w:sz w:val="24"/>
        </w:rPr>
        <w:t xml:space="preserve"> the Department</w:t>
      </w:r>
      <w:r w:rsidR="00B17C63">
        <w:rPr>
          <w:rFonts w:ascii="Times New Roman" w:hAnsi="Times New Roman"/>
          <w:sz w:val="24"/>
        </w:rPr>
        <w:t xml:space="preserve">'s Web site provides </w:t>
      </w:r>
      <w:r w:rsidRPr="00E85A3E">
        <w:rPr>
          <w:rFonts w:ascii="Times New Roman" w:hAnsi="Times New Roman"/>
          <w:sz w:val="24"/>
        </w:rPr>
        <w:t>data on performance and efficiency measures</w:t>
      </w:r>
      <w:r w:rsidR="00B17C63">
        <w:rPr>
          <w:rFonts w:ascii="Times New Roman" w:hAnsi="Times New Roman"/>
          <w:sz w:val="24"/>
        </w:rPr>
        <w:t>, beginning with the 2006–07 performance period,</w:t>
      </w:r>
      <w:r w:rsidRPr="00E85A3E">
        <w:rPr>
          <w:rFonts w:ascii="Times New Roman" w:hAnsi="Times New Roman"/>
          <w:sz w:val="24"/>
        </w:rPr>
        <w:t xml:space="preserve"> </w:t>
      </w:r>
      <w:r w:rsidRPr="00E85A3E">
        <w:rPr>
          <w:rFonts w:ascii="Times New Roman" w:hAnsi="Times New Roman"/>
          <w:i/>
          <w:iCs/>
          <w:sz w:val="24"/>
        </w:rPr>
        <w:t>at the grantee level</w:t>
      </w:r>
      <w:r w:rsidRPr="00E85A3E">
        <w:rPr>
          <w:rFonts w:ascii="Times New Roman" w:hAnsi="Times New Roman"/>
          <w:sz w:val="24"/>
        </w:rPr>
        <w:t xml:space="preserve">; this more detailed reporting </w:t>
      </w:r>
      <w:r w:rsidR="00B17C63">
        <w:rPr>
          <w:rFonts w:ascii="Times New Roman" w:hAnsi="Times New Roman"/>
          <w:sz w:val="24"/>
        </w:rPr>
        <w:lastRenderedPageBreak/>
        <w:t xml:space="preserve">has been made </w:t>
      </w:r>
      <w:r w:rsidRPr="00E85A3E">
        <w:rPr>
          <w:rFonts w:ascii="Times New Roman" w:hAnsi="Times New Roman"/>
          <w:sz w:val="24"/>
        </w:rPr>
        <w:t>possible due to improvements in accuracy result</w:t>
      </w:r>
      <w:r w:rsidR="00B17C63">
        <w:rPr>
          <w:rFonts w:ascii="Times New Roman" w:hAnsi="Times New Roman"/>
          <w:sz w:val="24"/>
        </w:rPr>
        <w:t>ing</w:t>
      </w:r>
      <w:r w:rsidRPr="00E85A3E">
        <w:rPr>
          <w:rFonts w:ascii="Times New Roman" w:hAnsi="Times New Roman"/>
          <w:sz w:val="24"/>
        </w:rPr>
        <w:t xml:space="preserve"> from incorporating the standard objectives into the report form.</w:t>
      </w:r>
    </w:p>
    <w:p w:rsidR="002C6092" w:rsidRPr="001E1046" w:rsidRDefault="002C6092">
      <w:pPr>
        <w:rPr>
          <w:rFonts w:ascii="Times New Roman" w:hAnsi="Times New Roman"/>
          <w:sz w:val="24"/>
        </w:rPr>
      </w:pPr>
    </w:p>
    <w:p w:rsidR="0062564D" w:rsidRPr="0062564D" w:rsidRDefault="002C6092" w:rsidP="0062564D">
      <w:pPr>
        <w:tabs>
          <w:tab w:val="left" w:pos="-720"/>
        </w:tabs>
        <w:suppressAutoHyphens/>
        <w:rPr>
          <w:rFonts w:ascii="Times New Roman" w:hAnsi="Times New Roman"/>
          <w:sz w:val="24"/>
        </w:rPr>
      </w:pPr>
      <w:r>
        <w:t>17</w:t>
      </w:r>
      <w:r w:rsidRPr="0062564D">
        <w:rPr>
          <w:rFonts w:ascii="Times New Roman" w:hAnsi="Times New Roman"/>
          <w:sz w:val="24"/>
        </w:rPr>
        <w:t xml:space="preserve">.  </w:t>
      </w:r>
      <w:r w:rsidR="0062564D" w:rsidRPr="0062564D">
        <w:rPr>
          <w:rStyle w:val="a"/>
          <w:rFonts w:ascii="Times New Roman" w:hAnsi="Times New Roman"/>
          <w:sz w:val="24"/>
        </w:rPr>
        <w:t>If seeking approval to not display the expiration date for OMB approval of the information collection, explain the reasons that display would be inappropriate.</w:t>
      </w:r>
    </w:p>
    <w:p w:rsidR="0062564D" w:rsidRPr="0062564D" w:rsidRDefault="0062564D">
      <w:pPr>
        <w:rPr>
          <w:rFonts w:ascii="Times New Roman" w:hAnsi="Times New Roman"/>
          <w:sz w:val="24"/>
        </w:rPr>
      </w:pPr>
    </w:p>
    <w:p w:rsidR="002C6092" w:rsidRPr="0062564D" w:rsidRDefault="002C6092" w:rsidP="0062564D">
      <w:pPr>
        <w:ind w:left="720"/>
        <w:rPr>
          <w:rFonts w:ascii="Times New Roman" w:hAnsi="Times New Roman"/>
          <w:sz w:val="24"/>
        </w:rPr>
      </w:pPr>
      <w:r w:rsidRPr="0062564D">
        <w:rPr>
          <w:rFonts w:ascii="Times New Roman" w:hAnsi="Times New Roman"/>
          <w:sz w:val="24"/>
        </w:rPr>
        <w:t>This report form and the Web site will display the expiration date for OMB's approval of the information collection.</w:t>
      </w:r>
    </w:p>
    <w:p w:rsidR="002C6092" w:rsidRPr="0062564D" w:rsidRDefault="002C6092">
      <w:pPr>
        <w:rPr>
          <w:rFonts w:ascii="Times New Roman" w:hAnsi="Times New Roman"/>
          <w:sz w:val="24"/>
        </w:rPr>
      </w:pPr>
    </w:p>
    <w:p w:rsidR="0062564D" w:rsidRPr="0062564D" w:rsidRDefault="002C6092" w:rsidP="0062564D">
      <w:pPr>
        <w:tabs>
          <w:tab w:val="left" w:pos="-720"/>
        </w:tabs>
        <w:suppressAutoHyphens/>
        <w:rPr>
          <w:rStyle w:val="a"/>
          <w:rFonts w:ascii="Times New Roman" w:hAnsi="Times New Roman"/>
          <w:sz w:val="24"/>
        </w:rPr>
      </w:pPr>
      <w:r w:rsidRPr="0062564D">
        <w:rPr>
          <w:rFonts w:ascii="Times New Roman" w:hAnsi="Times New Roman"/>
          <w:sz w:val="24"/>
        </w:rPr>
        <w:t xml:space="preserve">18.  </w:t>
      </w:r>
      <w:r w:rsidR="0062564D" w:rsidRPr="0062564D">
        <w:rPr>
          <w:rStyle w:val="a"/>
          <w:rFonts w:ascii="Times New Roman" w:hAnsi="Times New Roman"/>
          <w:sz w:val="24"/>
        </w:rPr>
        <w:t>Explain each exception to the certification statement identified in the Certification of Paperwork Reduction Act.</w:t>
      </w:r>
    </w:p>
    <w:p w:rsidR="0062564D" w:rsidRPr="0062564D" w:rsidRDefault="0062564D">
      <w:pPr>
        <w:rPr>
          <w:rFonts w:ascii="Times New Roman" w:hAnsi="Times New Roman"/>
          <w:sz w:val="24"/>
        </w:rPr>
      </w:pPr>
    </w:p>
    <w:p w:rsidR="002C6092" w:rsidRPr="0062564D" w:rsidRDefault="002C6092" w:rsidP="0062564D">
      <w:pPr>
        <w:ind w:firstLine="720"/>
        <w:rPr>
          <w:rFonts w:ascii="Times New Roman" w:hAnsi="Times New Roman"/>
          <w:sz w:val="24"/>
        </w:rPr>
      </w:pPr>
      <w:r w:rsidRPr="0062564D">
        <w:rPr>
          <w:rFonts w:ascii="Times New Roman" w:hAnsi="Times New Roman"/>
          <w:sz w:val="24"/>
        </w:rPr>
        <w:t>There are no exceptions to the certification statement.</w:t>
      </w:r>
    </w:p>
    <w:p w:rsidR="002C6092" w:rsidRDefault="002C6092"/>
    <w:p w:rsidR="002C6092" w:rsidRDefault="002C6092">
      <w:pPr>
        <w:pStyle w:val="Heading2"/>
      </w:pPr>
      <w:r>
        <w:t>B.  Collections of Information Employing Statistical Methods</w:t>
      </w:r>
    </w:p>
    <w:p w:rsidR="002C6092" w:rsidRDefault="002C6092"/>
    <w:p w:rsidR="002C6092" w:rsidRDefault="002C6092">
      <w:r>
        <w:t>This collection does not employ statistical methods.</w:t>
      </w:r>
    </w:p>
    <w:p w:rsidR="002C6092" w:rsidRDefault="002C6092"/>
    <w:p w:rsidR="002C6092" w:rsidRDefault="002C6092"/>
    <w:p w:rsidR="002C6092" w:rsidRDefault="002C6092"/>
    <w:sectPr w:rsidR="002C6092" w:rsidSect="00F773E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54B" w:rsidRDefault="00B5354B">
      <w:r>
        <w:separator/>
      </w:r>
    </w:p>
  </w:endnote>
  <w:endnote w:type="continuationSeparator" w:id="0">
    <w:p w:rsidR="00B5354B" w:rsidRDefault="00B535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4B" w:rsidRDefault="00851C50">
    <w:pPr>
      <w:pStyle w:val="Footer"/>
      <w:framePr w:wrap="around" w:vAnchor="text" w:hAnchor="margin" w:xAlign="right" w:y="1"/>
      <w:rPr>
        <w:rStyle w:val="PageNumber"/>
      </w:rPr>
    </w:pPr>
    <w:r>
      <w:rPr>
        <w:rStyle w:val="PageNumber"/>
      </w:rPr>
      <w:fldChar w:fldCharType="begin"/>
    </w:r>
    <w:r w:rsidR="00B5354B">
      <w:rPr>
        <w:rStyle w:val="PageNumber"/>
      </w:rPr>
      <w:instrText xml:space="preserve">PAGE  </w:instrText>
    </w:r>
    <w:r>
      <w:rPr>
        <w:rStyle w:val="PageNumber"/>
      </w:rPr>
      <w:fldChar w:fldCharType="end"/>
    </w:r>
  </w:p>
  <w:p w:rsidR="00B5354B" w:rsidRDefault="00B535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4B" w:rsidRDefault="00851C50">
    <w:pPr>
      <w:pStyle w:val="Footer"/>
      <w:framePr w:wrap="around" w:vAnchor="text" w:hAnchor="margin" w:xAlign="right" w:y="1"/>
      <w:rPr>
        <w:rStyle w:val="PageNumber"/>
      </w:rPr>
    </w:pPr>
    <w:r>
      <w:rPr>
        <w:rStyle w:val="PageNumber"/>
      </w:rPr>
      <w:fldChar w:fldCharType="begin"/>
    </w:r>
    <w:r w:rsidR="00B5354B">
      <w:rPr>
        <w:rStyle w:val="PageNumber"/>
      </w:rPr>
      <w:instrText xml:space="preserve">PAGE  </w:instrText>
    </w:r>
    <w:r>
      <w:rPr>
        <w:rStyle w:val="PageNumber"/>
      </w:rPr>
      <w:fldChar w:fldCharType="separate"/>
    </w:r>
    <w:r w:rsidR="002643B9">
      <w:rPr>
        <w:rStyle w:val="PageNumber"/>
        <w:noProof/>
      </w:rPr>
      <w:t>7</w:t>
    </w:r>
    <w:r>
      <w:rPr>
        <w:rStyle w:val="PageNumber"/>
      </w:rPr>
      <w:fldChar w:fldCharType="end"/>
    </w:r>
  </w:p>
  <w:p w:rsidR="00B5354B" w:rsidRDefault="00B535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54B" w:rsidRDefault="00B5354B">
      <w:r>
        <w:separator/>
      </w:r>
    </w:p>
  </w:footnote>
  <w:footnote w:type="continuationSeparator" w:id="0">
    <w:p w:rsidR="00B5354B" w:rsidRDefault="00B53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952D0"/>
    <w:rsid w:val="00002B3D"/>
    <w:rsid w:val="00036094"/>
    <w:rsid w:val="00054101"/>
    <w:rsid w:val="00085F60"/>
    <w:rsid w:val="001155C7"/>
    <w:rsid w:val="00140A0E"/>
    <w:rsid w:val="001511A3"/>
    <w:rsid w:val="00192BC6"/>
    <w:rsid w:val="00194346"/>
    <w:rsid w:val="001D0998"/>
    <w:rsid w:val="001E1046"/>
    <w:rsid w:val="001E5AB2"/>
    <w:rsid w:val="00204D7E"/>
    <w:rsid w:val="00224749"/>
    <w:rsid w:val="00230FAD"/>
    <w:rsid w:val="0023574C"/>
    <w:rsid w:val="00257355"/>
    <w:rsid w:val="002643B9"/>
    <w:rsid w:val="002753F4"/>
    <w:rsid w:val="002C6092"/>
    <w:rsid w:val="002D0F2C"/>
    <w:rsid w:val="003139C9"/>
    <w:rsid w:val="00354ECF"/>
    <w:rsid w:val="0049276A"/>
    <w:rsid w:val="004F011C"/>
    <w:rsid w:val="005343B0"/>
    <w:rsid w:val="00586878"/>
    <w:rsid w:val="00591537"/>
    <w:rsid w:val="005A3937"/>
    <w:rsid w:val="005C16F3"/>
    <w:rsid w:val="005F042E"/>
    <w:rsid w:val="0062564D"/>
    <w:rsid w:val="00641415"/>
    <w:rsid w:val="00654A18"/>
    <w:rsid w:val="00665864"/>
    <w:rsid w:val="00685B55"/>
    <w:rsid w:val="006B3056"/>
    <w:rsid w:val="006D15EA"/>
    <w:rsid w:val="006D7EF9"/>
    <w:rsid w:val="006F5150"/>
    <w:rsid w:val="00704D97"/>
    <w:rsid w:val="00791027"/>
    <w:rsid w:val="007C73FE"/>
    <w:rsid w:val="0081683E"/>
    <w:rsid w:val="008302BB"/>
    <w:rsid w:val="00851C50"/>
    <w:rsid w:val="008628E2"/>
    <w:rsid w:val="008776FE"/>
    <w:rsid w:val="008943E3"/>
    <w:rsid w:val="008954BD"/>
    <w:rsid w:val="008B2735"/>
    <w:rsid w:val="008E5D75"/>
    <w:rsid w:val="008E6A0F"/>
    <w:rsid w:val="00952F08"/>
    <w:rsid w:val="00986B32"/>
    <w:rsid w:val="009C7D8A"/>
    <w:rsid w:val="00A03FE4"/>
    <w:rsid w:val="00A1124F"/>
    <w:rsid w:val="00A27354"/>
    <w:rsid w:val="00A41868"/>
    <w:rsid w:val="00B11873"/>
    <w:rsid w:val="00B17C63"/>
    <w:rsid w:val="00B42DAE"/>
    <w:rsid w:val="00B51FB4"/>
    <w:rsid w:val="00B5354B"/>
    <w:rsid w:val="00B91EED"/>
    <w:rsid w:val="00B95065"/>
    <w:rsid w:val="00C40A1A"/>
    <w:rsid w:val="00C45DE2"/>
    <w:rsid w:val="00C5047A"/>
    <w:rsid w:val="00C57FA5"/>
    <w:rsid w:val="00C61DFE"/>
    <w:rsid w:val="00CC4FEC"/>
    <w:rsid w:val="00CC648B"/>
    <w:rsid w:val="00D036DC"/>
    <w:rsid w:val="00D0456F"/>
    <w:rsid w:val="00D87ECB"/>
    <w:rsid w:val="00DA61D8"/>
    <w:rsid w:val="00DD5522"/>
    <w:rsid w:val="00DE1197"/>
    <w:rsid w:val="00E03E83"/>
    <w:rsid w:val="00E10998"/>
    <w:rsid w:val="00E25E6E"/>
    <w:rsid w:val="00E66D91"/>
    <w:rsid w:val="00E85A3E"/>
    <w:rsid w:val="00EA42DC"/>
    <w:rsid w:val="00EA7C39"/>
    <w:rsid w:val="00EB752C"/>
    <w:rsid w:val="00ED672D"/>
    <w:rsid w:val="00F572B1"/>
    <w:rsid w:val="00F773E4"/>
    <w:rsid w:val="00F952D0"/>
    <w:rsid w:val="00FA3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467E-4060-4F29-91A1-8EBF6B9B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2748</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18375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kathy.fuller</dc:creator>
  <cp:lastModifiedBy>Authorised User</cp:lastModifiedBy>
  <cp:revision>3</cp:revision>
  <cp:lastPrinted>2011-07-29T19:00:00Z</cp:lastPrinted>
  <dcterms:created xsi:type="dcterms:W3CDTF">2011-08-03T14:20:00Z</dcterms:created>
  <dcterms:modified xsi:type="dcterms:W3CDTF">2011-08-04T17:52:00Z</dcterms:modified>
</cp:coreProperties>
</file>