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2F3E" w:rsidRDefault="00FC2F3E">
      <w:pPr>
        <w:widowControl/>
      </w:pPr>
      <w:r>
        <w:t>SUPPORTING STATEMENT FOR PAPERWORK REDUCTION ACT SUBMISSIONS</w:t>
      </w:r>
    </w:p>
    <w:p w:rsidR="00FC2F3E" w:rsidRDefault="00FC2F3E">
      <w:pPr>
        <w:widowControl/>
      </w:pPr>
    </w:p>
    <w:p w:rsidR="00FC2F3E" w:rsidRDefault="00FC2F3E">
      <w:pPr>
        <w:pStyle w:val="Quick1"/>
        <w:widowControl/>
        <w:numPr>
          <w:ilvl w:val="0"/>
          <w:numId w:val="1"/>
        </w:numPr>
        <w:tabs>
          <w:tab w:val="left" w:pos="-1440"/>
          <w:tab w:val="num" w:pos="720"/>
        </w:tabs>
        <w:rPr>
          <w:sz w:val="20"/>
        </w:rPr>
      </w:pPr>
      <w:r>
        <w:rPr>
          <w:i/>
          <w:iCs/>
          <w:sz w:val="20"/>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FC2F3E" w:rsidRDefault="00FC2F3E">
      <w:pPr>
        <w:widowControl/>
      </w:pPr>
    </w:p>
    <w:p w:rsidR="00B56C7A" w:rsidRDefault="00D308DF" w:rsidP="002F4CD3">
      <w:pPr>
        <w:widowControl/>
        <w:ind w:firstLine="720"/>
        <w:rPr>
          <w:rStyle w:val="footnoteref"/>
        </w:rPr>
      </w:pPr>
      <w:r w:rsidRPr="00D308DF">
        <w:rPr>
          <w:rStyle w:val="footnoteref"/>
        </w:rPr>
        <w:t xml:space="preserve">The Patient Protection and Affordable Care Act, Public Law 111-148, (the Affordable Care Act) was enacted by President Obama on March 23, 2010. As part of the Act, Congress added PHS Act section 2719, which provides rules relating to internal </w:t>
      </w:r>
      <w:r w:rsidR="00F40E45">
        <w:rPr>
          <w:rStyle w:val="footnoteref"/>
        </w:rPr>
        <w:t xml:space="preserve">claims and appeals </w:t>
      </w:r>
      <w:r w:rsidRPr="00D308DF">
        <w:rPr>
          <w:rStyle w:val="footnoteref"/>
        </w:rPr>
        <w:t xml:space="preserve">and external </w:t>
      </w:r>
      <w:r w:rsidR="00F40E45">
        <w:rPr>
          <w:rStyle w:val="footnoteref"/>
        </w:rPr>
        <w:t xml:space="preserve">review </w:t>
      </w:r>
      <w:r w:rsidRPr="00D308DF">
        <w:rPr>
          <w:rStyle w:val="footnoteref"/>
        </w:rPr>
        <w:t xml:space="preserve">processes.  </w:t>
      </w:r>
      <w:r w:rsidR="00B264CB">
        <w:rPr>
          <w:rStyle w:val="footnoteref"/>
        </w:rPr>
        <w:t>On July 23, 2010 interim final regulations</w:t>
      </w:r>
      <w:r w:rsidR="00B56C7A">
        <w:rPr>
          <w:rStyle w:val="footnoteref"/>
        </w:rPr>
        <w:t xml:space="preserve"> (IFR)</w:t>
      </w:r>
      <w:r w:rsidR="00B264CB">
        <w:rPr>
          <w:rStyle w:val="footnoteref"/>
        </w:rPr>
        <w:t xml:space="preserve"> implementing section 2719 of the PHS Act were published</w:t>
      </w:r>
      <w:r w:rsidR="00B56C7A">
        <w:rPr>
          <w:rStyle w:val="footnoteref"/>
        </w:rPr>
        <w:t xml:space="preserve">. </w:t>
      </w:r>
      <w:r w:rsidR="00B264CB">
        <w:rPr>
          <w:rStyle w:val="footnoteref"/>
        </w:rPr>
        <w:t xml:space="preserve"> </w:t>
      </w:r>
      <w:r w:rsidRPr="00D308DF">
        <w:rPr>
          <w:rStyle w:val="footnoteref"/>
        </w:rPr>
        <w:t xml:space="preserve">These interim final regulations </w:t>
      </w:r>
      <w:r w:rsidR="00B264CB">
        <w:rPr>
          <w:rStyle w:val="footnoteref"/>
        </w:rPr>
        <w:t xml:space="preserve">were amended </w:t>
      </w:r>
      <w:r w:rsidR="00310AC0">
        <w:rPr>
          <w:rStyle w:val="footnoteref"/>
        </w:rPr>
        <w:t>in June 2011</w:t>
      </w:r>
      <w:r w:rsidR="00B56C7A">
        <w:rPr>
          <w:rStyle w:val="footnoteref"/>
        </w:rPr>
        <w:t>.</w:t>
      </w:r>
      <w:r w:rsidR="00B264CB">
        <w:rPr>
          <w:rStyle w:val="footnoteref"/>
        </w:rPr>
        <w:t xml:space="preserve"> </w:t>
      </w:r>
      <w:r w:rsidR="00B56C7A">
        <w:rPr>
          <w:rStyle w:val="footnoteref"/>
        </w:rPr>
        <w:t xml:space="preserve"> The amended IFR specified</w:t>
      </w:r>
      <w:r w:rsidRPr="00D308DF">
        <w:rPr>
          <w:rStyle w:val="footnoteref"/>
        </w:rPr>
        <w:t xml:space="preserve"> rules </w:t>
      </w:r>
      <w:r w:rsidR="00B264CB">
        <w:rPr>
          <w:rStyle w:val="footnoteref"/>
        </w:rPr>
        <w:t>governing</w:t>
      </w:r>
      <w:r w:rsidR="00CC15CD">
        <w:rPr>
          <w:rStyle w:val="footnoteref"/>
        </w:rPr>
        <w:t xml:space="preserve"> the</w:t>
      </w:r>
      <w:r w:rsidRPr="00D308DF">
        <w:rPr>
          <w:rStyle w:val="footnoteref"/>
        </w:rPr>
        <w:t xml:space="preserve"> internal claims and appeals and external review processes.  </w:t>
      </w:r>
    </w:p>
    <w:p w:rsidR="00B56C7A" w:rsidRDefault="00B56C7A" w:rsidP="002F4CD3">
      <w:pPr>
        <w:widowControl/>
        <w:ind w:firstLine="720"/>
        <w:rPr>
          <w:rStyle w:val="footnoteref"/>
        </w:rPr>
      </w:pPr>
    </w:p>
    <w:p w:rsidR="00F36006" w:rsidRDefault="00D308DF" w:rsidP="002F4CD3">
      <w:pPr>
        <w:widowControl/>
        <w:ind w:firstLine="720"/>
        <w:rPr>
          <w:rStyle w:val="footnoteref"/>
        </w:rPr>
      </w:pPr>
      <w:r w:rsidRPr="00D308DF">
        <w:rPr>
          <w:rStyle w:val="footnoteref"/>
        </w:rPr>
        <w:t xml:space="preserve">With respect to internal claims and appeals processes for group health coverage, PHS Act section 2719 </w:t>
      </w:r>
      <w:r>
        <w:rPr>
          <w:rStyle w:val="footnoteref"/>
        </w:rPr>
        <w:t xml:space="preserve">and paragraph (b)(2)(i) of the interim final regulations </w:t>
      </w:r>
      <w:r w:rsidRPr="00D308DF">
        <w:rPr>
          <w:rStyle w:val="footnoteref"/>
        </w:rPr>
        <w:t xml:space="preserve">provide that </w:t>
      </w:r>
      <w:r>
        <w:rPr>
          <w:rStyle w:val="footnoteref"/>
        </w:rPr>
        <w:t xml:space="preserve">group health </w:t>
      </w:r>
      <w:r w:rsidR="00F40E45">
        <w:rPr>
          <w:rStyle w:val="footnoteref"/>
        </w:rPr>
        <w:t xml:space="preserve">plans </w:t>
      </w:r>
      <w:r>
        <w:rPr>
          <w:rStyle w:val="footnoteref"/>
        </w:rPr>
        <w:t>and health insurance issuers offering group health insurance coverage</w:t>
      </w:r>
      <w:r w:rsidRPr="00D308DF">
        <w:rPr>
          <w:rStyle w:val="footnoteref"/>
        </w:rPr>
        <w:t xml:space="preserve"> must </w:t>
      </w:r>
      <w:r>
        <w:rPr>
          <w:rStyle w:val="footnoteref"/>
        </w:rPr>
        <w:t xml:space="preserve">comply with </w:t>
      </w:r>
      <w:r w:rsidRPr="00D308DF">
        <w:rPr>
          <w:rStyle w:val="footnoteref"/>
        </w:rPr>
        <w:t xml:space="preserve">the internal claims and appeals processes set forth in 29 CFR 2560.503-1 </w:t>
      </w:r>
      <w:r w:rsidR="00D7082C">
        <w:rPr>
          <w:rStyle w:val="footnoteref"/>
        </w:rPr>
        <w:t xml:space="preserve">(the </w:t>
      </w:r>
      <w:r w:rsidR="00F40E45">
        <w:rPr>
          <w:rStyle w:val="footnoteref"/>
        </w:rPr>
        <w:t>D</w:t>
      </w:r>
      <w:r w:rsidR="00D74CDD">
        <w:rPr>
          <w:rStyle w:val="footnoteref"/>
        </w:rPr>
        <w:t>epartment of Labor (D</w:t>
      </w:r>
      <w:r w:rsidR="00F40E45">
        <w:rPr>
          <w:rStyle w:val="footnoteref"/>
        </w:rPr>
        <w:t>OL</w:t>
      </w:r>
      <w:r w:rsidR="00D74CDD">
        <w:rPr>
          <w:rStyle w:val="footnoteref"/>
        </w:rPr>
        <w:t>)</w:t>
      </w:r>
      <w:r w:rsidR="00F40E45">
        <w:rPr>
          <w:rStyle w:val="footnoteref"/>
        </w:rPr>
        <w:t xml:space="preserve"> </w:t>
      </w:r>
      <w:r w:rsidR="00D7082C">
        <w:rPr>
          <w:rStyle w:val="footnoteref"/>
        </w:rPr>
        <w:t xml:space="preserve">claims procedure regulation) </w:t>
      </w:r>
      <w:r w:rsidRPr="00D308DF">
        <w:rPr>
          <w:rStyle w:val="footnoteref"/>
        </w:rPr>
        <w:t>and update such processes in accordance with standards established by the Secretary of Labor</w:t>
      </w:r>
      <w:r w:rsidR="00F40E45">
        <w:rPr>
          <w:rStyle w:val="footnoteref"/>
        </w:rPr>
        <w:t xml:space="preserve"> in p</w:t>
      </w:r>
      <w:r>
        <w:rPr>
          <w:rStyle w:val="footnoteref"/>
        </w:rPr>
        <w:t xml:space="preserve">aragraph (b)(2)(ii) </w:t>
      </w:r>
      <w:r w:rsidR="00F40E45">
        <w:rPr>
          <w:rStyle w:val="footnoteref"/>
        </w:rPr>
        <w:t>of the regulations</w:t>
      </w:r>
      <w:r>
        <w:rPr>
          <w:rStyle w:val="footnoteref"/>
        </w:rPr>
        <w:t xml:space="preserve">. </w:t>
      </w:r>
      <w:r w:rsidR="00F36006">
        <w:rPr>
          <w:rStyle w:val="footnoteref"/>
        </w:rPr>
        <w:t xml:space="preserve">Paragraph (b)(3)(i) requires issuers offering coverage in the individual health insurance market to also comply with the DOL claims procedure regulation as updated by the Secretary of </w:t>
      </w:r>
      <w:r w:rsidR="00D74CDD">
        <w:rPr>
          <w:rStyle w:val="footnoteref"/>
        </w:rPr>
        <w:t xml:space="preserve">Health and Human Services (HHS) </w:t>
      </w:r>
      <w:r w:rsidR="00F36006">
        <w:rPr>
          <w:rStyle w:val="footnoteref"/>
        </w:rPr>
        <w:t xml:space="preserve">in paragraph (b)(3)(ii) of the </w:t>
      </w:r>
      <w:r w:rsidR="00D74CDD">
        <w:rPr>
          <w:rStyle w:val="footnoteref"/>
        </w:rPr>
        <w:t>IFR</w:t>
      </w:r>
      <w:r w:rsidR="00F36006">
        <w:rPr>
          <w:rStyle w:val="footnoteref"/>
        </w:rPr>
        <w:t xml:space="preserve"> for their internal claims and appeals processes. </w:t>
      </w:r>
    </w:p>
    <w:p w:rsidR="00D308DF" w:rsidRDefault="00D308DF" w:rsidP="002F4CD3">
      <w:pPr>
        <w:widowControl/>
        <w:ind w:firstLine="720"/>
        <w:rPr>
          <w:rStyle w:val="footnoteref"/>
        </w:rPr>
      </w:pPr>
    </w:p>
    <w:p w:rsidR="002F4CD3" w:rsidRPr="00F40E45" w:rsidRDefault="002F4CD3" w:rsidP="00F40E45">
      <w:pPr>
        <w:ind w:firstLine="720"/>
      </w:pPr>
      <w:r w:rsidRPr="00F40E45">
        <w:t xml:space="preserve">The </w:t>
      </w:r>
      <w:r w:rsidR="00F40E45" w:rsidRPr="00F40E45">
        <w:t xml:space="preserve">DOL claims procedure </w:t>
      </w:r>
      <w:r w:rsidRPr="00F40E45">
        <w:t xml:space="preserve">regulation requires plans to provide every claimant who is denied a claim with a written or electronic notice that contains the specific reasons for denial, a reference to the relevant plan provisions on which the denial is based, a description of any additional information necessary to perfect the claim, and a description of steps to be taken if the participant or beneficiary wishes to appeal the denial.  The </w:t>
      </w:r>
      <w:r w:rsidR="00D74CDD">
        <w:t xml:space="preserve">claims </w:t>
      </w:r>
      <w:r w:rsidRPr="00F40E45">
        <w:t xml:space="preserve">regulation also requires that any adverse </w:t>
      </w:r>
      <w:r w:rsidR="00D74CDD">
        <w:t>benefit determination</w:t>
      </w:r>
      <w:r w:rsidR="00D74CDD" w:rsidRPr="00F40E45">
        <w:t xml:space="preserve"> </w:t>
      </w:r>
      <w:r w:rsidRPr="00F40E45">
        <w:t>upon review be in writing (including electronic means) and include specific reasons for the decision, as well as references to relevant plan provisions.</w:t>
      </w:r>
      <w:r w:rsidR="00F40E45" w:rsidRPr="00F40E45">
        <w:t xml:space="preserve"> </w:t>
      </w:r>
      <w:r w:rsidR="00D74CDD">
        <w:t>P</w:t>
      </w:r>
      <w:r w:rsidR="00F40E45" w:rsidRPr="00F40E45">
        <w:t>aragraph (b)(</w:t>
      </w:r>
      <w:r w:rsidR="00F36006">
        <w:t>3</w:t>
      </w:r>
      <w:r w:rsidR="00F40E45" w:rsidRPr="00F40E45">
        <w:t xml:space="preserve">)(ii)(C) of the </w:t>
      </w:r>
      <w:r w:rsidR="00D74CDD">
        <w:t>IFR</w:t>
      </w:r>
      <w:r w:rsidR="00F40E45" w:rsidRPr="00F40E45">
        <w:t xml:space="preserve"> adds an additional requirement that non-grandfathered ERISA-covered group health plans provide to the claimant, free of charge, any new or additional evidence considered relied upon, or generated by the plan or issuer in connection with the claim.</w:t>
      </w:r>
      <w:r w:rsidR="00F40E45" w:rsidRPr="00F40E45">
        <w:rPr>
          <w:rStyle w:val="FootnoteReference"/>
          <w:vertAlign w:val="superscript"/>
        </w:rPr>
        <w:footnoteReference w:id="1"/>
      </w:r>
      <w:r w:rsidR="00F40E45" w:rsidRPr="00F40E45">
        <w:t xml:space="preserve"> As discussed in more detail </w:t>
      </w:r>
      <w:r w:rsidR="005A70F6">
        <w:t xml:space="preserve">in items 12 and 13 </w:t>
      </w:r>
      <w:r w:rsidR="00F40E45" w:rsidRPr="00F40E45">
        <w:t xml:space="preserve">below, this requirement increases the administrative burden on plans and issuers to prepare and deliver the additional information to </w:t>
      </w:r>
      <w:r w:rsidR="00F40E45" w:rsidRPr="00F40E45">
        <w:lastRenderedPageBreak/>
        <w:t xml:space="preserve">the claimant. </w:t>
      </w:r>
    </w:p>
    <w:p w:rsidR="00D308DF" w:rsidRDefault="00D308DF" w:rsidP="002F4CD3">
      <w:pPr>
        <w:widowControl/>
        <w:ind w:firstLine="720"/>
      </w:pPr>
    </w:p>
    <w:p w:rsidR="00D308DF" w:rsidRDefault="00F40E45" w:rsidP="002F4CD3">
      <w:pPr>
        <w:widowControl/>
        <w:ind w:firstLine="720"/>
      </w:pPr>
      <w:r>
        <w:t xml:space="preserve">Also </w:t>
      </w:r>
      <w:r w:rsidR="005A70F6">
        <w:t xml:space="preserve">PHS Act section 2719 and </w:t>
      </w:r>
      <w:r w:rsidR="00D74CDD">
        <w:t>the IFR</w:t>
      </w:r>
      <w:r w:rsidR="00D308DF">
        <w:t xml:space="preserve"> provide</w:t>
      </w:r>
      <w:r w:rsidR="00D74CDD">
        <w:t>s</w:t>
      </w:r>
      <w:r w:rsidR="00D308DF">
        <w:t xml:space="preserve"> that </w:t>
      </w:r>
      <w:r w:rsidR="006A2554">
        <w:t xml:space="preserve">health insurance issuers and self-funded non-federal governmental health plans </w:t>
      </w:r>
      <w:r w:rsidR="00D308DF">
        <w:t xml:space="preserve">must comply either with a State external review process or a Federal </w:t>
      </w:r>
      <w:r w:rsidR="00D7082C">
        <w:t xml:space="preserve">review process. The </w:t>
      </w:r>
      <w:r w:rsidR="00D74CDD">
        <w:t xml:space="preserve">IFR </w:t>
      </w:r>
      <w:r w:rsidR="00D7082C">
        <w:t>provide</w:t>
      </w:r>
      <w:r w:rsidR="00D74CDD">
        <w:t>s</w:t>
      </w:r>
      <w:r w:rsidR="00D7082C">
        <w:t xml:space="preserve"> a basis for determining when </w:t>
      </w:r>
      <w:r w:rsidR="006A2554">
        <w:t>health insurance issuers and self-funded non-federal governmental health plans</w:t>
      </w:r>
      <w:r w:rsidR="00D7082C">
        <w:t xml:space="preserve"> must comply with an applicable State external review process and when they must comply with the Federal external review process. </w:t>
      </w:r>
      <w:r w:rsidR="005A70F6">
        <w:t>The hour and cost burden associated with implementing an external review program also is discussed in more detail in items 12 and 13, below.</w:t>
      </w:r>
      <w:r w:rsidR="0073735E">
        <w:t xml:space="preserve">  PRA coverage and any burdens contained herein recognize </w:t>
      </w:r>
      <w:r w:rsidR="0073735E" w:rsidRPr="00BD48CA">
        <w:t xml:space="preserve">requirements that we have identified in the NAIC </w:t>
      </w:r>
      <w:r w:rsidR="0073735E">
        <w:t xml:space="preserve">Uniform Health Carrier External Review Model Act </w:t>
      </w:r>
      <w:r w:rsidR="0073735E" w:rsidRPr="00BD48CA">
        <w:t>that must be met or exceeded.</w:t>
      </w:r>
    </w:p>
    <w:p w:rsidR="00BE47A7" w:rsidRDefault="00BE47A7">
      <w:pPr>
        <w:widowControl/>
        <w:ind w:firstLine="720"/>
      </w:pPr>
    </w:p>
    <w:p w:rsidR="00BE47A7" w:rsidRDefault="00BE47A7">
      <w:pPr>
        <w:widowControl/>
        <w:ind w:firstLine="720"/>
      </w:pPr>
      <w:r>
        <w:t>The claims procedure regulation imposes information collection requirements as part of the reasonable procedures that an employee benefit plan must establish regarding the handling of a benefit claim.  These requirements include third-party notice and disclosure requirements that the plan must satisfy by providing information to participants and beneficiaries of the plan.</w:t>
      </w:r>
    </w:p>
    <w:p w:rsidR="00BD48CA" w:rsidRDefault="00BD48CA" w:rsidP="001C4225">
      <w:pPr>
        <w:widowControl/>
        <w:ind w:firstLine="720"/>
        <w:jc w:val="center"/>
        <w:rPr>
          <w:b/>
        </w:rPr>
      </w:pPr>
    </w:p>
    <w:p w:rsidR="001C4225" w:rsidRPr="007B17B6" w:rsidRDefault="001C4225" w:rsidP="006C0B48">
      <w:pPr>
        <w:widowControl/>
      </w:pPr>
    </w:p>
    <w:p w:rsidR="001C4225" w:rsidRDefault="001C4225">
      <w:pPr>
        <w:widowControl/>
        <w:ind w:firstLine="720"/>
      </w:pPr>
    </w:p>
    <w:p w:rsidR="00FC2F3E" w:rsidRDefault="00FC2F3E">
      <w:pPr>
        <w:widowControl/>
        <w:ind w:firstLine="720"/>
      </w:pPr>
    </w:p>
    <w:p w:rsidR="00FC2F3E" w:rsidRDefault="00FC2F3E">
      <w:pPr>
        <w:widowControl/>
        <w:tabs>
          <w:tab w:val="left" w:pos="-1440"/>
        </w:tabs>
        <w:ind w:left="720" w:hanging="720"/>
        <w:rPr>
          <w:sz w:val="20"/>
        </w:rPr>
      </w:pPr>
      <w:r>
        <w:t>2.</w:t>
      </w:r>
      <w:r>
        <w:tab/>
      </w:r>
      <w:r>
        <w:rPr>
          <w:i/>
          <w:iCs/>
          <w:sz w:val="20"/>
        </w:rPr>
        <w:t>Indicate how, by whom, and for what purpose the information is to be used.  Except for a new collection, indicate the actual use the agency has made of the information received from the current collection.</w:t>
      </w:r>
    </w:p>
    <w:p w:rsidR="00FC2F3E" w:rsidRDefault="00FC2F3E">
      <w:pPr>
        <w:widowControl/>
      </w:pPr>
    </w:p>
    <w:p w:rsidR="00FC2F3E" w:rsidRDefault="00FC2F3E">
      <w:pPr>
        <w:widowControl/>
        <w:sectPr w:rsidR="00FC2F3E">
          <w:headerReference w:type="default" r:id="rId9"/>
          <w:footerReference w:type="default" r:id="rId10"/>
          <w:endnotePr>
            <w:numFmt w:val="decimal"/>
          </w:endnotePr>
          <w:pgSz w:w="12240" w:h="15840"/>
          <w:pgMar w:top="1440" w:right="1440" w:bottom="1440" w:left="1440" w:header="1440" w:footer="1440" w:gutter="0"/>
          <w:cols w:space="720"/>
          <w:noEndnote/>
        </w:sectPr>
      </w:pPr>
    </w:p>
    <w:p w:rsidR="00FC2F3E" w:rsidRDefault="001E12BC">
      <w:pPr>
        <w:widowControl/>
        <w:ind w:firstLine="720"/>
      </w:pPr>
      <w:r>
        <w:lastRenderedPageBreak/>
        <w:t>The</w:t>
      </w:r>
      <w:r w:rsidR="00BE47A7">
        <w:t xml:space="preserve"> information collection</w:t>
      </w:r>
      <w:r w:rsidR="00FC2F3E">
        <w:t xml:space="preserve"> requirement</w:t>
      </w:r>
      <w:r w:rsidR="00BE47A7">
        <w:t>s</w:t>
      </w:r>
      <w:r w:rsidR="00FC2F3E">
        <w:t xml:space="preserve"> </w:t>
      </w:r>
      <w:r>
        <w:t xml:space="preserve">included in the claims procedure regulation </w:t>
      </w:r>
      <w:r w:rsidR="002F4CD3">
        <w:t>e</w:t>
      </w:r>
      <w:r w:rsidR="00FC2F3E">
        <w:t>nsure</w:t>
      </w:r>
      <w:r>
        <w:t xml:space="preserve"> that participants</w:t>
      </w:r>
      <w:r w:rsidR="00FC2F3E">
        <w:t xml:space="preserve"> </w:t>
      </w:r>
      <w:r>
        <w:t>and beneficiaries</w:t>
      </w:r>
      <w:r w:rsidR="00BE47A7">
        <w:t xml:space="preserve"> (claimants) </w:t>
      </w:r>
      <w:r>
        <w:t>receive adequate</w:t>
      </w:r>
      <w:r w:rsidR="00FC2F3E">
        <w:t xml:space="preserve"> information </w:t>
      </w:r>
      <w:r>
        <w:t xml:space="preserve">regarding the plan’s claims procedures and </w:t>
      </w:r>
      <w:r w:rsidR="002F4CD3">
        <w:t xml:space="preserve">the plan’s </w:t>
      </w:r>
      <w:r>
        <w:t>handling of specific benefit claims</w:t>
      </w:r>
      <w:r w:rsidR="002F4CD3">
        <w:t xml:space="preserve">.  Participants and beneficiaries need </w:t>
      </w:r>
      <w:r w:rsidR="00FC2F3E">
        <w:t xml:space="preserve">to understand </w:t>
      </w:r>
      <w:r w:rsidR="002F4CD3">
        <w:t xml:space="preserve">plan procedures and </w:t>
      </w:r>
      <w:r w:rsidR="00BE47A7">
        <w:t xml:space="preserve">plan decisions </w:t>
      </w:r>
      <w:r w:rsidR="002F4CD3">
        <w:t xml:space="preserve">in order to </w:t>
      </w:r>
      <w:r w:rsidR="00BE47A7">
        <w:t xml:space="preserve">appropriately request </w:t>
      </w:r>
      <w:r w:rsidR="002F4CD3">
        <w:t>benefits and/or appeal</w:t>
      </w:r>
      <w:r w:rsidR="00FC2F3E">
        <w:t xml:space="preserve"> </w:t>
      </w:r>
      <w:r>
        <w:t>benefit denials</w:t>
      </w:r>
      <w:r w:rsidR="00FC2F3E">
        <w:t xml:space="preserve">.  </w:t>
      </w:r>
    </w:p>
    <w:p w:rsidR="00A36C21" w:rsidRDefault="00A36C21">
      <w:pPr>
        <w:widowControl/>
        <w:ind w:firstLine="720"/>
      </w:pPr>
    </w:p>
    <w:p w:rsidR="00A36C21" w:rsidRDefault="00A36C21">
      <w:pPr>
        <w:widowControl/>
        <w:ind w:firstLine="720"/>
      </w:pPr>
      <w:r>
        <w:t xml:space="preserve">The information collection requirements are necessary for </w:t>
      </w:r>
      <w:r w:rsidR="00B56C7A">
        <w:t xml:space="preserve">the Federal external review process </w:t>
      </w:r>
      <w:r>
        <w:t xml:space="preserve">to </w:t>
      </w:r>
      <w:r w:rsidR="00B56C7A">
        <w:t xml:space="preserve">provide </w:t>
      </w:r>
      <w:r>
        <w:t>an</w:t>
      </w:r>
      <w:r w:rsidR="00B56C7A">
        <w:t xml:space="preserve"> independent</w:t>
      </w:r>
      <w:r>
        <w:t xml:space="preserve"> external review as requested by claimants.  </w:t>
      </w:r>
    </w:p>
    <w:p w:rsidR="00FC2F3E" w:rsidRDefault="00FC2F3E">
      <w:pPr>
        <w:widowControl/>
        <w:ind w:firstLine="1440"/>
      </w:pPr>
    </w:p>
    <w:p w:rsidR="00FC2F3E" w:rsidRDefault="00FC2F3E">
      <w:pPr>
        <w:widowControl/>
        <w:tabs>
          <w:tab w:val="left" w:pos="-1440"/>
        </w:tabs>
        <w:ind w:left="720" w:hanging="720"/>
        <w:rPr>
          <w:i/>
          <w:iCs/>
          <w:sz w:val="20"/>
        </w:rPr>
      </w:pPr>
      <w:r>
        <w:t>3.</w:t>
      </w:r>
      <w:r>
        <w:tab/>
      </w:r>
      <w:r>
        <w:rPr>
          <w:i/>
          <w:iCs/>
          <w:sz w:val="20"/>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for using information technology to reduce burden.</w:t>
      </w:r>
    </w:p>
    <w:p w:rsidR="00D83B51" w:rsidRDefault="00D83B51">
      <w:pPr>
        <w:widowControl/>
        <w:ind w:firstLine="720"/>
      </w:pPr>
    </w:p>
    <w:p w:rsidR="00FC2F3E" w:rsidRDefault="002F4CD3" w:rsidP="00D83B51">
      <w:pPr>
        <w:widowControl/>
        <w:ind w:firstLine="720"/>
      </w:pPr>
      <w:r>
        <w:t>The claims</w:t>
      </w:r>
      <w:r w:rsidR="00FC2F3E">
        <w:t xml:space="preserve"> regulation</w:t>
      </w:r>
      <w:r w:rsidR="00A36C21">
        <w:t xml:space="preserve"> and the IFR</w:t>
      </w:r>
      <w:r w:rsidR="00FC2F3E">
        <w:t xml:space="preserve"> </w:t>
      </w:r>
      <w:r>
        <w:t>do not restrict</w:t>
      </w:r>
      <w:r w:rsidR="00FC2F3E">
        <w:t xml:space="preserve"> </w:t>
      </w:r>
      <w:r>
        <w:t>plans’</w:t>
      </w:r>
      <w:r w:rsidR="00FC2F3E">
        <w:t xml:space="preserve"> use of electronic technology to process and pay claims, to maintain information as to the basis for claim determination, and to generate correspondence related to claims processing decisions.  </w:t>
      </w:r>
      <w:r>
        <w:t>This burden estimate incorporates the Department’s assumptions, described in the response to item 12, below, concerning the rate of use by plans</w:t>
      </w:r>
      <w:r w:rsidR="00A36C21">
        <w:t xml:space="preserve"> and issuers</w:t>
      </w:r>
      <w:r>
        <w:t xml:space="preserve"> of electronic means of communication.</w:t>
      </w:r>
    </w:p>
    <w:p w:rsidR="00FC2F3E" w:rsidRDefault="00FC2F3E">
      <w:pPr>
        <w:widowControl/>
      </w:pPr>
    </w:p>
    <w:p w:rsidR="00FC2F3E" w:rsidRDefault="00FC2F3E">
      <w:pPr>
        <w:widowControl/>
        <w:tabs>
          <w:tab w:val="left" w:pos="-1440"/>
        </w:tabs>
        <w:ind w:left="720" w:hanging="720"/>
        <w:rPr>
          <w:sz w:val="20"/>
        </w:rPr>
      </w:pPr>
      <w:r>
        <w:lastRenderedPageBreak/>
        <w:t>4.</w:t>
      </w:r>
      <w:r>
        <w:tab/>
      </w:r>
      <w:r>
        <w:rPr>
          <w:i/>
          <w:iCs/>
          <w:sz w:val="20"/>
        </w:rPr>
        <w:t xml:space="preserve">Describe efforts to identify duplication.  Show specifically why any similar information already available cannot be used or modified for use for the purposes described in Item 2 above.  </w:t>
      </w:r>
    </w:p>
    <w:p w:rsidR="00FC2F3E" w:rsidRDefault="00FC2F3E">
      <w:pPr>
        <w:widowControl/>
      </w:pPr>
    </w:p>
    <w:p w:rsidR="00FC2F3E" w:rsidRDefault="00FC2F3E">
      <w:pPr>
        <w:widowControl/>
        <w:ind w:firstLine="720"/>
      </w:pPr>
      <w:r>
        <w:t xml:space="preserve">No duplication with other Federal statutes exists.  In some circumstances, states </w:t>
      </w:r>
      <w:r w:rsidR="007A1B61">
        <w:t>may</w:t>
      </w:r>
      <w:r>
        <w:t xml:space="preserve"> require substantially similar information to be provided to insured persons.  However, no duplication occurs because the same information disclosure </w:t>
      </w:r>
      <w:r w:rsidR="00BE47A7">
        <w:t>may be</w:t>
      </w:r>
      <w:r>
        <w:t xml:space="preserve"> used to satisfy </w:t>
      </w:r>
      <w:r w:rsidR="00BE47A7">
        <w:t>duplicative or overlapping</w:t>
      </w:r>
      <w:r>
        <w:t xml:space="preserve"> requirements.</w:t>
      </w:r>
    </w:p>
    <w:p w:rsidR="00FC2F3E" w:rsidRDefault="00FC2F3E">
      <w:pPr>
        <w:widowControl/>
        <w:ind w:firstLine="720"/>
      </w:pPr>
    </w:p>
    <w:p w:rsidR="00FC2F3E" w:rsidRDefault="00FC2F3E">
      <w:pPr>
        <w:widowControl/>
        <w:tabs>
          <w:tab w:val="left" w:pos="-1440"/>
        </w:tabs>
        <w:ind w:left="720" w:hanging="720"/>
        <w:rPr>
          <w:sz w:val="20"/>
        </w:rPr>
      </w:pPr>
      <w:r>
        <w:t>5.</w:t>
      </w:r>
      <w:r>
        <w:tab/>
      </w:r>
      <w:r>
        <w:rPr>
          <w:i/>
          <w:iCs/>
          <w:sz w:val="20"/>
        </w:rPr>
        <w:t>If the collection of information impacts small businesses or other small entities (Item 5 of OMB Form 83-I), describe any methods used to minimize burden.</w:t>
      </w:r>
    </w:p>
    <w:p w:rsidR="00FC2F3E" w:rsidRDefault="00FC2F3E">
      <w:pPr>
        <w:widowControl/>
      </w:pPr>
    </w:p>
    <w:p w:rsidR="0050257D" w:rsidRDefault="00BE47A7" w:rsidP="00343035">
      <w:pPr>
        <w:widowControl/>
        <w:ind w:firstLine="720"/>
      </w:pPr>
      <w:r>
        <w:t>The regulation applies to all employee benefit plans and therefore is likely to affect small entities that provide benefits.</w:t>
      </w:r>
      <w:r w:rsidR="0050257D">
        <w:t xml:space="preserve"> </w:t>
      </w:r>
      <w:r w:rsidR="00302CDF">
        <w:t xml:space="preserve"> </w:t>
      </w:r>
      <w:r w:rsidR="00AA694D">
        <w:t xml:space="preserve">For the purposes of the IFR, small </w:t>
      </w:r>
      <w:r w:rsidR="004021AB">
        <w:t>entities that fa</w:t>
      </w:r>
      <w:r w:rsidR="00AA694D">
        <w:t>ll under HHS’ regulatory authority would include</w:t>
      </w:r>
      <w:r w:rsidR="0050257D">
        <w:t xml:space="preserve"> small insurers in states subject to the Federal External Review process and small </w:t>
      </w:r>
      <w:r w:rsidR="0050256E">
        <w:t xml:space="preserve">self-insured </w:t>
      </w:r>
      <w:r w:rsidR="0050257D">
        <w:t>nonfederal governmental health plans</w:t>
      </w:r>
      <w:r w:rsidR="00AA694D">
        <w:t>.</w:t>
      </w:r>
      <w:r w:rsidR="0050257D">
        <w:t xml:space="preserve"> </w:t>
      </w:r>
    </w:p>
    <w:p w:rsidR="00EC7102" w:rsidRDefault="0050257D" w:rsidP="0050256E">
      <w:pPr>
        <w:widowControl/>
        <w:ind w:firstLine="720"/>
      </w:pPr>
      <w:r>
        <w:t>For small insurers,</w:t>
      </w:r>
      <w:r w:rsidR="00302CDF">
        <w:t xml:space="preserve"> as discussed in the Medical Loss Ratio interim final rule (75 FR 74918),</w:t>
      </w:r>
      <w:r>
        <w:t xml:space="preserve"> HHS used a data set created from the 2009 National Association of Insurance Commissioners (NAIC) Health and Life Blank annual financial statement data to develop an updated estimate of the number of small entities that offer comprehensive major medical coverage in the individual and group markets. For purposes of that analysis, HHS used total Accident and Health (A&amp;H) earned premiums as a proxy for annual receipts. HHS estimated that </w:t>
      </w:r>
      <w:r w:rsidR="00302CDF">
        <w:t>approximately 6.3 percent of insurers qualified as</w:t>
      </w:r>
      <w:r>
        <w:t xml:space="preserve"> small entities with less than $7 million in A&amp;H earned premiums offering individual or group comprehensive major medical coverage</w:t>
      </w:r>
      <w:r w:rsidR="00302CDF">
        <w:t>.  Seven million dollars in annual receipts is the size threshold for health insurers according to the Small Business Administration (North American Industry Classification System Code 524114). T</w:t>
      </w:r>
      <w:r>
        <w:t>his estimate may overstate the actual number of small health insurance issuers offering such coverage, since it does not include receipts from these companies’ other lines of business.</w:t>
      </w:r>
      <w:r w:rsidR="00002589">
        <w:t xml:space="preserve">  </w:t>
      </w:r>
      <w:r w:rsidR="0050256E">
        <w:t>Using data from the 2009</w:t>
      </w:r>
      <w:r w:rsidR="00C34E20">
        <w:t xml:space="preserve"> Current Population Survey, HHS estimates that</w:t>
      </w:r>
      <w:r w:rsidR="004021AB">
        <w:t xml:space="preserve"> </w:t>
      </w:r>
      <w:r w:rsidR="000006A5">
        <w:t>the IFR will affect an estimated 5.73 percent of nonfederal governmental health plans that qualify as small plans.</w:t>
      </w:r>
      <w:r w:rsidR="00EC7102">
        <w:t xml:space="preserve"> </w:t>
      </w:r>
    </w:p>
    <w:p w:rsidR="00FC2F3E" w:rsidRDefault="00BE47A7" w:rsidP="00343035">
      <w:pPr>
        <w:widowControl/>
        <w:ind w:firstLine="720"/>
      </w:pPr>
      <w:r>
        <w:t xml:space="preserve">The Department took into account the potential burden on small entities in structuring the regulation by </w:t>
      </w:r>
      <w:r w:rsidR="00343035">
        <w:t xml:space="preserve">permitting </w:t>
      </w:r>
      <w:r>
        <w:t xml:space="preserve">plan sponsors the </w:t>
      </w:r>
      <w:r w:rsidR="00343035">
        <w:t xml:space="preserve">maximum </w:t>
      </w:r>
      <w:r>
        <w:t xml:space="preserve">possible </w:t>
      </w:r>
      <w:r w:rsidR="00343035">
        <w:t xml:space="preserve">flexibility in </w:t>
      </w:r>
      <w:r>
        <w:t xml:space="preserve">designing their plans, including the possibility of </w:t>
      </w:r>
      <w:r w:rsidR="007A1B61">
        <w:t xml:space="preserve">hiring third-party service providers to carry out these </w:t>
      </w:r>
      <w:r w:rsidR="00343035">
        <w:t>a</w:t>
      </w:r>
      <w:r w:rsidR="000F20D7">
        <w:t xml:space="preserve">dministration responsibilities in order to </w:t>
      </w:r>
      <w:r w:rsidR="007A1B61">
        <w:t xml:space="preserve">make use of the </w:t>
      </w:r>
      <w:r w:rsidR="00343035">
        <w:t>lowest cost method of compliance</w:t>
      </w:r>
      <w:r w:rsidR="007A1B61">
        <w:t xml:space="preserve"> available</w:t>
      </w:r>
      <w:r w:rsidR="00343035">
        <w:t xml:space="preserve">.  </w:t>
      </w:r>
      <w:r w:rsidR="007A1B61">
        <w:t>A</w:t>
      </w:r>
      <w:r w:rsidR="00343035">
        <w:t xml:space="preserve"> large majority of small plans purchase claims administration services from insurers, HMOs, and other service providers</w:t>
      </w:r>
      <w:r w:rsidR="007A1B61">
        <w:t>, and the Department has taken this fact into account in deriving its burden estimates</w:t>
      </w:r>
      <w:r w:rsidR="00343035">
        <w:t xml:space="preserve">.  </w:t>
      </w:r>
      <w:r w:rsidR="007A1B61">
        <w:t>T</w:t>
      </w:r>
      <w:r w:rsidR="00343035">
        <w:t xml:space="preserve">hese service providers typically </w:t>
      </w:r>
      <w:r w:rsidR="007A1B61">
        <w:t>develop</w:t>
      </w:r>
      <w:r w:rsidR="00343035">
        <w:t xml:space="preserve"> a single claims processing system to service a large number of customers, including small entities.  Thus, the cost of revising and implementing the procedures is spread thinly over a large number of small plans.  Moreover, small plans and their respective enrollees benefit equally from </w:t>
      </w:r>
      <w:r w:rsidR="0023492D">
        <w:t xml:space="preserve">the service provider’s expertise and ability to provide </w:t>
      </w:r>
      <w:r w:rsidR="00343035">
        <w:t>improved accuracy and timeliness in clai</w:t>
      </w:r>
      <w:r w:rsidR="000F20D7">
        <w:t>ms and appeals determinations.</w:t>
      </w:r>
    </w:p>
    <w:p w:rsidR="00343035" w:rsidRDefault="00343035" w:rsidP="00343035">
      <w:pPr>
        <w:widowControl/>
        <w:ind w:firstLine="720"/>
      </w:pPr>
    </w:p>
    <w:p w:rsidR="00FC2F3E" w:rsidRDefault="00FC2F3E">
      <w:pPr>
        <w:widowControl/>
        <w:sectPr w:rsidR="00FC2F3E">
          <w:endnotePr>
            <w:numFmt w:val="decimal"/>
          </w:endnotePr>
          <w:type w:val="continuous"/>
          <w:pgSz w:w="12240" w:h="15840"/>
          <w:pgMar w:top="1440" w:right="1440" w:bottom="1440" w:left="1440" w:header="1440" w:footer="1440" w:gutter="0"/>
          <w:cols w:space="720"/>
          <w:noEndnote/>
        </w:sectPr>
      </w:pPr>
    </w:p>
    <w:p w:rsidR="00FC2F3E" w:rsidRDefault="00FC2F3E">
      <w:pPr>
        <w:widowControl/>
        <w:tabs>
          <w:tab w:val="left" w:pos="-1440"/>
        </w:tabs>
        <w:ind w:left="720" w:hanging="720"/>
        <w:rPr>
          <w:sz w:val="20"/>
        </w:rPr>
      </w:pPr>
      <w:r>
        <w:lastRenderedPageBreak/>
        <w:t>6.</w:t>
      </w:r>
      <w:r>
        <w:tab/>
      </w:r>
      <w:r>
        <w:rPr>
          <w:i/>
          <w:iCs/>
          <w:sz w:val="20"/>
        </w:rPr>
        <w:t>Describe the consequence to Federal program or policy activities if the collection is not conducted or is conducted less frequently, as well as any technical or legal obstacles to reducing burden.</w:t>
      </w:r>
    </w:p>
    <w:p w:rsidR="00FC2F3E" w:rsidRDefault="00FC2F3E">
      <w:pPr>
        <w:widowControl/>
      </w:pPr>
    </w:p>
    <w:p w:rsidR="00FC2F3E" w:rsidRDefault="00FC2F3E">
      <w:pPr>
        <w:widowControl/>
        <w:ind w:firstLine="720"/>
      </w:pPr>
      <w:r>
        <w:lastRenderedPageBreak/>
        <w:t>Th</w:t>
      </w:r>
      <w:r w:rsidR="000F20D7">
        <w:t xml:space="preserve">e information collection requirements arise in connection with </w:t>
      </w:r>
      <w:r>
        <w:t>the occurrence of individual claims for benefits</w:t>
      </w:r>
      <w:r w:rsidR="000F20D7">
        <w:t xml:space="preserve"> and consist of third-party notices and disclosures</w:t>
      </w:r>
      <w:r>
        <w:t>.  No information is reported to the Federal government</w:t>
      </w:r>
      <w:r w:rsidR="00A36C21">
        <w:t xml:space="preserve"> other than that which is necessary for OPM to facilitate an external review</w:t>
      </w:r>
      <w:r>
        <w:t>.  The information collection provisions of</w:t>
      </w:r>
      <w:r w:rsidR="0023492D">
        <w:t xml:space="preserve"> the regulation </w:t>
      </w:r>
      <w:r w:rsidR="000F20D7">
        <w:t>ensure that</w:t>
      </w:r>
      <w:r>
        <w:t xml:space="preserve"> sufficient information </w:t>
      </w:r>
      <w:r w:rsidR="000F20D7">
        <w:t>is</w:t>
      </w:r>
      <w:r>
        <w:t xml:space="preserve"> provided to</w:t>
      </w:r>
      <w:r w:rsidR="00C17F1C">
        <w:t xml:space="preserve"> </w:t>
      </w:r>
      <w:r w:rsidR="00A36C21">
        <w:t xml:space="preserve">claimants </w:t>
      </w:r>
      <w:r>
        <w:t xml:space="preserve">so that they may fully exercise their rights under their </w:t>
      </w:r>
      <w:r w:rsidR="00A36C21">
        <w:t xml:space="preserve">coverage.  Without this information collection, people in the fully insured market in States with no external appeal laws would not receive their right to external review as required by PHS Act Section 2719.  </w:t>
      </w:r>
      <w:r w:rsidR="003941B5">
        <w:t>With the modification to the PRA package, the information collection is necessary to ensure that consumers in fully insured plans in states whose external review processes do not meet the requirements of 2719(b)(1) and 2719(b)(2) as well as the non-grandfathered self-funded non-federal governmental health plans across the country</w:t>
      </w:r>
      <w:r w:rsidR="00CC15CD">
        <w:t xml:space="preserve"> can access their rights as described in PHS Act Section 2719</w:t>
      </w:r>
      <w:r w:rsidR="003941B5">
        <w:t xml:space="preserve">.  </w:t>
      </w:r>
      <w:r>
        <w:t xml:space="preserve"> </w:t>
      </w:r>
    </w:p>
    <w:p w:rsidR="00FC2F3E" w:rsidRDefault="00FC2F3E">
      <w:pPr>
        <w:pStyle w:val="Header"/>
        <w:widowControl/>
        <w:tabs>
          <w:tab w:val="clear" w:pos="4320"/>
          <w:tab w:val="clear" w:pos="8640"/>
        </w:tabs>
      </w:pPr>
    </w:p>
    <w:p w:rsidR="00FC2F3E" w:rsidRDefault="00FC2F3E">
      <w:pPr>
        <w:widowControl/>
        <w:tabs>
          <w:tab w:val="left" w:pos="-1440"/>
        </w:tabs>
        <w:ind w:left="720" w:hanging="720"/>
        <w:rPr>
          <w:i/>
          <w:iCs/>
          <w:sz w:val="20"/>
        </w:rPr>
      </w:pPr>
      <w:r>
        <w:t>7.</w:t>
      </w:r>
      <w:r>
        <w:tab/>
      </w:r>
      <w:r>
        <w:rPr>
          <w:i/>
          <w:iCs/>
          <w:sz w:val="20"/>
        </w:rPr>
        <w:t>Explain any special circumstances that would cause an information collection to be conducted in a manner:</w:t>
      </w:r>
    </w:p>
    <w:p w:rsidR="00FC2F3E" w:rsidRDefault="00FC2F3E">
      <w:pPr>
        <w:widowControl/>
        <w:rPr>
          <w:i/>
          <w:iCs/>
          <w:sz w:val="20"/>
        </w:rPr>
      </w:pPr>
    </w:p>
    <w:p w:rsidR="00FC2F3E" w:rsidRDefault="00FC2F3E">
      <w:pPr>
        <w:widowControl/>
        <w:tabs>
          <w:tab w:val="left" w:pos="-1440"/>
        </w:tabs>
        <w:ind w:left="1440" w:hanging="720"/>
        <w:rPr>
          <w:i/>
          <w:iCs/>
          <w:sz w:val="20"/>
        </w:rPr>
      </w:pPr>
      <w:r>
        <w:rPr>
          <w:i/>
          <w:iCs/>
          <w:sz w:val="20"/>
        </w:rPr>
        <w:t>•</w:t>
      </w:r>
      <w:r>
        <w:rPr>
          <w:i/>
          <w:iCs/>
          <w:sz w:val="20"/>
        </w:rPr>
        <w:tab/>
        <w:t>requiring respondents to report information to the agency more often than quarterly;</w:t>
      </w:r>
    </w:p>
    <w:p w:rsidR="00FC2F3E" w:rsidRDefault="00FC2F3E">
      <w:pPr>
        <w:widowControl/>
        <w:rPr>
          <w:i/>
          <w:iCs/>
          <w:sz w:val="20"/>
        </w:rPr>
      </w:pPr>
    </w:p>
    <w:p w:rsidR="00FC2F3E" w:rsidRDefault="00FC2F3E">
      <w:pPr>
        <w:widowControl/>
        <w:tabs>
          <w:tab w:val="left" w:pos="-1440"/>
        </w:tabs>
        <w:ind w:left="1440" w:hanging="720"/>
        <w:rPr>
          <w:i/>
          <w:iCs/>
          <w:sz w:val="20"/>
        </w:rPr>
      </w:pPr>
      <w:r>
        <w:rPr>
          <w:i/>
          <w:iCs/>
          <w:sz w:val="20"/>
        </w:rPr>
        <w:t>•</w:t>
      </w:r>
      <w:r>
        <w:rPr>
          <w:i/>
          <w:iCs/>
          <w:sz w:val="20"/>
        </w:rPr>
        <w:tab/>
        <w:t>requiring respondents to prepare a written response to a collection of information in fewer than 30 days after receipt of it;</w:t>
      </w:r>
    </w:p>
    <w:p w:rsidR="00FC2F3E" w:rsidRDefault="00FC2F3E">
      <w:pPr>
        <w:widowControl/>
        <w:rPr>
          <w:i/>
          <w:iCs/>
          <w:sz w:val="20"/>
        </w:rPr>
      </w:pPr>
    </w:p>
    <w:p w:rsidR="00FC2F3E" w:rsidRDefault="00FC2F3E">
      <w:pPr>
        <w:widowControl/>
        <w:tabs>
          <w:tab w:val="left" w:pos="-1440"/>
        </w:tabs>
        <w:ind w:left="1440" w:hanging="720"/>
        <w:rPr>
          <w:i/>
          <w:iCs/>
          <w:sz w:val="20"/>
        </w:rPr>
      </w:pPr>
      <w:r>
        <w:rPr>
          <w:i/>
          <w:iCs/>
          <w:sz w:val="20"/>
        </w:rPr>
        <w:t>•</w:t>
      </w:r>
      <w:r>
        <w:rPr>
          <w:i/>
          <w:iCs/>
          <w:sz w:val="20"/>
        </w:rPr>
        <w:tab/>
        <w:t>requiring respondents to submit more than an original and two copies of any document;</w:t>
      </w:r>
    </w:p>
    <w:p w:rsidR="00FC2F3E" w:rsidRDefault="00FC2F3E">
      <w:pPr>
        <w:widowControl/>
        <w:rPr>
          <w:i/>
          <w:iCs/>
          <w:sz w:val="20"/>
        </w:rPr>
      </w:pPr>
    </w:p>
    <w:p w:rsidR="00FC2F3E" w:rsidRDefault="00FC2F3E">
      <w:pPr>
        <w:widowControl/>
        <w:tabs>
          <w:tab w:val="left" w:pos="-1440"/>
        </w:tabs>
        <w:ind w:left="1440" w:hanging="720"/>
        <w:rPr>
          <w:i/>
          <w:iCs/>
          <w:sz w:val="20"/>
        </w:rPr>
      </w:pPr>
      <w:r>
        <w:rPr>
          <w:i/>
          <w:iCs/>
          <w:sz w:val="20"/>
        </w:rPr>
        <w:t>•</w:t>
      </w:r>
      <w:r>
        <w:rPr>
          <w:i/>
          <w:iCs/>
          <w:sz w:val="20"/>
        </w:rPr>
        <w:tab/>
        <w:t>requiring respondents to retain records, other than health, medical, government contract, grant-in-aid, or tax records for more than three years;</w:t>
      </w:r>
    </w:p>
    <w:p w:rsidR="00FC2F3E" w:rsidRDefault="00FC2F3E">
      <w:pPr>
        <w:widowControl/>
        <w:rPr>
          <w:i/>
          <w:iCs/>
          <w:sz w:val="20"/>
        </w:rPr>
      </w:pPr>
    </w:p>
    <w:p w:rsidR="00FC2F3E" w:rsidRDefault="00FC2F3E">
      <w:pPr>
        <w:widowControl/>
        <w:tabs>
          <w:tab w:val="left" w:pos="-1440"/>
        </w:tabs>
        <w:ind w:left="1440" w:hanging="720"/>
        <w:rPr>
          <w:i/>
          <w:iCs/>
          <w:sz w:val="20"/>
        </w:rPr>
      </w:pPr>
      <w:r>
        <w:rPr>
          <w:i/>
          <w:iCs/>
          <w:sz w:val="20"/>
        </w:rPr>
        <w:t>•</w:t>
      </w:r>
      <w:r>
        <w:rPr>
          <w:i/>
          <w:iCs/>
          <w:sz w:val="20"/>
        </w:rPr>
        <w:tab/>
        <w:t>in connection with a statistical survey, that is not designed to produce valid and reliable results that can be generalized to the universe of study;</w:t>
      </w:r>
    </w:p>
    <w:p w:rsidR="00FC2F3E" w:rsidRDefault="00FC2F3E">
      <w:pPr>
        <w:widowControl/>
        <w:rPr>
          <w:i/>
          <w:iCs/>
          <w:sz w:val="20"/>
        </w:rPr>
      </w:pPr>
    </w:p>
    <w:p w:rsidR="00FC2F3E" w:rsidRDefault="00FC2F3E">
      <w:pPr>
        <w:widowControl/>
        <w:tabs>
          <w:tab w:val="left" w:pos="-1440"/>
        </w:tabs>
        <w:ind w:left="1440" w:hanging="720"/>
        <w:rPr>
          <w:i/>
          <w:iCs/>
          <w:sz w:val="20"/>
        </w:rPr>
      </w:pPr>
      <w:r>
        <w:rPr>
          <w:i/>
          <w:iCs/>
          <w:sz w:val="20"/>
        </w:rPr>
        <w:t>•</w:t>
      </w:r>
      <w:r>
        <w:rPr>
          <w:i/>
          <w:iCs/>
          <w:sz w:val="20"/>
        </w:rPr>
        <w:tab/>
        <w:t>requiring the use of a statistical data classification that has not been reviewed and approved by OMB;</w:t>
      </w:r>
    </w:p>
    <w:p w:rsidR="00FC2F3E" w:rsidRDefault="00FC2F3E">
      <w:pPr>
        <w:widowControl/>
        <w:rPr>
          <w:i/>
          <w:iCs/>
          <w:sz w:val="20"/>
        </w:rPr>
      </w:pPr>
    </w:p>
    <w:p w:rsidR="00FC2F3E" w:rsidRDefault="00FC2F3E">
      <w:pPr>
        <w:widowControl/>
        <w:tabs>
          <w:tab w:val="left" w:pos="-1440"/>
        </w:tabs>
        <w:ind w:left="1440" w:hanging="720"/>
        <w:rPr>
          <w:i/>
          <w:iCs/>
          <w:sz w:val="20"/>
        </w:rPr>
      </w:pPr>
      <w:r>
        <w:rPr>
          <w:i/>
          <w:iCs/>
          <w:sz w:val="20"/>
        </w:rPr>
        <w:t>•</w:t>
      </w:r>
      <w:r>
        <w:rPr>
          <w:i/>
          <w:iCs/>
          <w:sz w:val="20"/>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FC2F3E" w:rsidRDefault="00FC2F3E">
      <w:pPr>
        <w:widowControl/>
        <w:rPr>
          <w:i/>
          <w:iCs/>
          <w:sz w:val="20"/>
        </w:rPr>
      </w:pPr>
    </w:p>
    <w:p w:rsidR="00FC2F3E" w:rsidRDefault="00FC2F3E">
      <w:pPr>
        <w:widowControl/>
        <w:rPr>
          <w:i/>
          <w:iCs/>
          <w:sz w:val="20"/>
        </w:rPr>
        <w:sectPr w:rsidR="00FC2F3E">
          <w:endnotePr>
            <w:numFmt w:val="decimal"/>
          </w:endnotePr>
          <w:type w:val="continuous"/>
          <w:pgSz w:w="12240" w:h="15840"/>
          <w:pgMar w:top="1440" w:right="1440" w:bottom="1440" w:left="1440" w:header="1440" w:footer="1440" w:gutter="0"/>
          <w:cols w:space="720"/>
          <w:noEndnote/>
        </w:sectPr>
      </w:pPr>
    </w:p>
    <w:p w:rsidR="00FC2F3E" w:rsidRDefault="00FC2F3E">
      <w:pPr>
        <w:widowControl/>
        <w:tabs>
          <w:tab w:val="left" w:pos="-1440"/>
        </w:tabs>
        <w:ind w:left="1440" w:hanging="720"/>
        <w:rPr>
          <w:i/>
          <w:iCs/>
          <w:sz w:val="20"/>
        </w:rPr>
      </w:pPr>
      <w:r>
        <w:rPr>
          <w:i/>
          <w:iCs/>
          <w:sz w:val="20"/>
        </w:rPr>
        <w:lastRenderedPageBreak/>
        <w:t>•</w:t>
      </w:r>
      <w:r>
        <w:rPr>
          <w:i/>
          <w:iCs/>
          <w:sz w:val="20"/>
        </w:rPr>
        <w:tab/>
        <w:t>requiring respondents to submit proprietary trade secret, or other confidential information unless the agency can demonstrate that it has instituted procedures to protect the information's confidentiality to the extent permitted by law.</w:t>
      </w:r>
    </w:p>
    <w:p w:rsidR="00FC2F3E" w:rsidRDefault="00FC2F3E">
      <w:pPr>
        <w:widowControl/>
      </w:pPr>
    </w:p>
    <w:p w:rsidR="00B67E43" w:rsidRDefault="000F20D7">
      <w:pPr>
        <w:widowControl/>
        <w:ind w:firstLine="720"/>
      </w:pPr>
      <w:r>
        <w:t xml:space="preserve">The </w:t>
      </w:r>
      <w:r w:rsidR="005A70F6">
        <w:t xml:space="preserve">DOL claims procedure </w:t>
      </w:r>
      <w:r>
        <w:t>regulation</w:t>
      </w:r>
      <w:r w:rsidR="00A36C21">
        <w:t xml:space="preserve">, IFR and </w:t>
      </w:r>
      <w:r w:rsidR="00B56C7A">
        <w:t>F</w:t>
      </w:r>
      <w:r w:rsidR="00A36C21">
        <w:t xml:space="preserve">ederal </w:t>
      </w:r>
      <w:r w:rsidR="00F71B43">
        <w:t xml:space="preserve">external </w:t>
      </w:r>
      <w:r w:rsidR="00A36C21">
        <w:t>review processes</w:t>
      </w:r>
      <w:r>
        <w:t xml:space="preserve"> impose special timing requirements </w:t>
      </w:r>
      <w:r w:rsidR="007E3107">
        <w:t>for</w:t>
      </w:r>
      <w:r>
        <w:t xml:space="preserve"> the handling of claims </w:t>
      </w:r>
      <w:r w:rsidR="00A36C21">
        <w:t>in the fully insured market</w:t>
      </w:r>
      <w:r>
        <w:t xml:space="preserve">.  Depending on </w:t>
      </w:r>
      <w:r w:rsidR="007E3107">
        <w:t xml:space="preserve">circumstances indicating </w:t>
      </w:r>
      <w:r>
        <w:t xml:space="preserve">the urgency of the need for a claims decision, </w:t>
      </w:r>
      <w:r w:rsidR="00A36C21">
        <w:t>issuers</w:t>
      </w:r>
      <w:r w:rsidR="00D83B51">
        <w:t xml:space="preserve"> </w:t>
      </w:r>
      <w:r w:rsidR="007E3107">
        <w:t>may be required to</w:t>
      </w:r>
      <w:r w:rsidR="00D83B51">
        <w:t xml:space="preserve"> notify claimants about health benefit </w:t>
      </w:r>
      <w:r>
        <w:t xml:space="preserve">claim </w:t>
      </w:r>
      <w:r w:rsidR="00D83B51">
        <w:t xml:space="preserve">determinations in fewer than 30 days.  </w:t>
      </w:r>
    </w:p>
    <w:p w:rsidR="00B67E43" w:rsidRDefault="00B67E43">
      <w:pPr>
        <w:widowControl/>
        <w:ind w:firstLine="720"/>
      </w:pPr>
    </w:p>
    <w:p w:rsidR="00B67E43" w:rsidRDefault="00D83B51">
      <w:pPr>
        <w:widowControl/>
        <w:ind w:firstLine="720"/>
      </w:pPr>
      <w:r>
        <w:t xml:space="preserve">First, for claims involving “urgent care,” the regulation requires, in general, that claimants be notified of health benefit determinations “as soon as possible, but not later than 72 </w:t>
      </w:r>
      <w:r>
        <w:lastRenderedPageBreak/>
        <w:t xml:space="preserve">hours after receipt of the claim by the plan. . . .”  </w:t>
      </w:r>
      <w:r w:rsidR="00B67E43">
        <w:t>29 CFR 2560.503</w:t>
      </w:r>
      <w:r w:rsidR="00B67E43">
        <w:noBreakHyphen/>
        <w:t>1(f)(2)(ii). In cases involving urgent care where the health claim is a request to extend the time period or number of treatments of ongoing medical care, this period is 24 hours.  29 CFR 2560.503</w:t>
      </w:r>
      <w:r w:rsidR="00B67E43">
        <w:noBreakHyphen/>
        <w:t xml:space="preserve">1(f)(2)(ii)(B).  </w:t>
      </w:r>
    </w:p>
    <w:p w:rsidR="00B67E43" w:rsidRDefault="00B67E43">
      <w:pPr>
        <w:widowControl/>
        <w:ind w:firstLine="720"/>
      </w:pPr>
    </w:p>
    <w:p w:rsidR="00FC2F3E" w:rsidRDefault="00D83B51">
      <w:pPr>
        <w:widowControl/>
        <w:ind w:firstLine="720"/>
      </w:pPr>
      <w:r>
        <w:t>Second, for “pre-service” claims, the regulation requires that claimants be notified of health benefit determinations “within a reasonable period of time appropriate to the medi</w:t>
      </w:r>
      <w:r w:rsidR="0009069B">
        <w:t>c</w:t>
      </w:r>
      <w:r>
        <w:t>al circumstances,</w:t>
      </w:r>
      <w:r w:rsidR="00B67E43">
        <w:t xml:space="preserve"> but</w:t>
      </w:r>
      <w:r>
        <w:t xml:space="preserve"> not later than 15 days after receipt of the claim by the plan</w:t>
      </w:r>
      <w:r w:rsidR="00B67E43">
        <w:t>.”  29 CFR 2560.503</w:t>
      </w:r>
      <w:r w:rsidR="00B67E43">
        <w:noBreakHyphen/>
        <w:t xml:space="preserve">1(f)(2)(iii)(A).  </w:t>
      </w:r>
      <w:r w:rsidR="000F20D7">
        <w:t>Pre-service claims involve plan requirements that a claimant obtain approval from the plan prior to receiving health care services or products in order to maintain eligibility for benefits.</w:t>
      </w:r>
    </w:p>
    <w:p w:rsidR="0009069B" w:rsidRDefault="0009069B">
      <w:pPr>
        <w:widowControl/>
        <w:ind w:firstLine="720"/>
      </w:pPr>
    </w:p>
    <w:p w:rsidR="006D6FAC" w:rsidRDefault="0009069B">
      <w:pPr>
        <w:widowControl/>
        <w:ind w:firstLine="720"/>
      </w:pPr>
      <w:r>
        <w:t xml:space="preserve">Third, for “post-service” health benefit claims, the regulation requires notification of an adverse benefit determination “within a reasonable period of time, but not later than 30 days after receipt of the claim.”  Even though 30 days is the </w:t>
      </w:r>
      <w:r w:rsidR="004B3B02">
        <w:t>maximum response time</w:t>
      </w:r>
      <w:r>
        <w:t xml:space="preserve"> for these claims, a plan </w:t>
      </w:r>
      <w:r w:rsidR="000F20D7">
        <w:t>must</w:t>
      </w:r>
      <w:r>
        <w:t xml:space="preserve"> provide </w:t>
      </w:r>
      <w:r w:rsidR="000F20D7">
        <w:t>a</w:t>
      </w:r>
      <w:r>
        <w:t xml:space="preserve"> determination sooner if it is reasonable to do so.  Disability benefit claims </w:t>
      </w:r>
      <w:r w:rsidR="004B3B02">
        <w:t>are subject to a</w:t>
      </w:r>
      <w:r>
        <w:t xml:space="preserve"> similar construct, except that the maximum response time is 45 days. </w:t>
      </w:r>
    </w:p>
    <w:p w:rsidR="006D6FAC" w:rsidRDefault="006D6FAC">
      <w:pPr>
        <w:widowControl/>
        <w:ind w:firstLine="720"/>
      </w:pPr>
    </w:p>
    <w:p w:rsidR="00B650C0" w:rsidRPr="004A37C1" w:rsidRDefault="006D6FAC" w:rsidP="004A37C1">
      <w:pPr>
        <w:widowControl/>
        <w:ind w:firstLine="720"/>
        <w:rPr>
          <w:color w:val="000000"/>
        </w:rPr>
      </w:pPr>
      <w:r>
        <w:t>Appeals of denied claims must be decided within similar</w:t>
      </w:r>
      <w:r w:rsidR="007E3107">
        <w:t>, short</w:t>
      </w:r>
      <w:r>
        <w:t xml:space="preserve"> time limits.  </w:t>
      </w:r>
      <w:r w:rsidR="0009069B">
        <w:t xml:space="preserve"> </w:t>
      </w:r>
      <w:r w:rsidR="00B650C0">
        <w:t xml:space="preserve">In addition, to facilitate external review for claimants in </w:t>
      </w:r>
      <w:r w:rsidR="003941B5">
        <w:t xml:space="preserve">non-grandfathered self-funded non-federal governmental health plans and </w:t>
      </w:r>
      <w:r w:rsidR="00B650C0">
        <w:t>the fully insured</w:t>
      </w:r>
      <w:r w:rsidR="007912DE">
        <w:t xml:space="preserve"> group and individual</w:t>
      </w:r>
      <w:r w:rsidR="00B650C0">
        <w:t xml:space="preserve"> market</w:t>
      </w:r>
      <w:r w:rsidR="007912DE">
        <w:t>s</w:t>
      </w:r>
      <w:r w:rsidR="00B650C0">
        <w:t xml:space="preserve"> </w:t>
      </w:r>
      <w:r w:rsidR="007912DE">
        <w:t>subject to the Federal external review process</w:t>
      </w:r>
      <w:r w:rsidR="00B650C0">
        <w:t>, issuers will be required to</w:t>
      </w:r>
      <w:r w:rsidR="004A37C1">
        <w:t xml:space="preserve"> electronically notify HHS </w:t>
      </w:r>
      <w:r w:rsidR="0073735E">
        <w:t xml:space="preserve">as to whether the PHS Act 2719 applies to them, and specifies the insurance packages to which it applies.  </w:t>
      </w:r>
      <w:r w:rsidR="004A37C1">
        <w:rPr>
          <w:color w:val="000000"/>
        </w:rPr>
        <w:t>If PHS Act Section 2719 is applicable, the issuers are required to</w:t>
      </w:r>
      <w:r w:rsidR="007912DE">
        <w:rPr>
          <w:color w:val="000000"/>
        </w:rPr>
        <w:t xml:space="preserve"> notify HHS which Federal process they are using and</w:t>
      </w:r>
      <w:r w:rsidR="004A37C1">
        <w:rPr>
          <w:color w:val="000000"/>
        </w:rPr>
        <w:t xml:space="preserve"> provide contact information for designated personnel in their appeals department, including names, mailing address, telephone numbers, facsimile numbers and electronic mail addresses</w:t>
      </w:r>
      <w:r w:rsidR="007912DE">
        <w:rPr>
          <w:color w:val="000000"/>
        </w:rPr>
        <w:t>.</w:t>
      </w:r>
      <w:r w:rsidR="004A37C1">
        <w:rPr>
          <w:color w:val="000000"/>
        </w:rPr>
        <w:t xml:space="preserve">  Issuers will also be required to </w:t>
      </w:r>
      <w:r w:rsidR="00B650C0">
        <w:t xml:space="preserve">provide the claimants’ relevant file to OPM in fewer than </w:t>
      </w:r>
      <w:r w:rsidR="00F71B43">
        <w:t xml:space="preserve">five </w:t>
      </w:r>
      <w:r w:rsidR="00B650C0">
        <w:t>days</w:t>
      </w:r>
      <w:r w:rsidR="00C17F1C">
        <w:t xml:space="preserve"> upon request from OPM</w:t>
      </w:r>
      <w:r w:rsidR="00B650C0">
        <w:t>.</w:t>
      </w:r>
    </w:p>
    <w:p w:rsidR="00B650C0" w:rsidRDefault="00B650C0">
      <w:pPr>
        <w:widowControl/>
        <w:ind w:firstLine="720"/>
      </w:pPr>
    </w:p>
    <w:p w:rsidR="009938EB" w:rsidRDefault="009938EB" w:rsidP="009938EB">
      <w:pPr>
        <w:widowControl/>
        <w:ind w:firstLine="720"/>
      </w:pPr>
      <w:r>
        <w:t xml:space="preserve">These </w:t>
      </w:r>
      <w:r w:rsidR="006D6FAC">
        <w:t>timing requirements</w:t>
      </w:r>
      <w:r>
        <w:t xml:space="preserve"> are related to important policy objectives</w:t>
      </w:r>
      <w:r w:rsidR="006D6FAC">
        <w:t xml:space="preserve"> in an area of important public concern</w:t>
      </w:r>
      <w:r>
        <w:t xml:space="preserve">.  For example, the shortest time frame for “urgent care” claims applies only under circumstances in which delay could seriously jeopardize the life or health of the claimant or the ability of the claimant to regain maximum function, or </w:t>
      </w:r>
      <w:r w:rsidR="006D6FAC">
        <w:t xml:space="preserve">where delay </w:t>
      </w:r>
      <w:r>
        <w:t xml:space="preserve">would subject the claimant to severe pain.   </w:t>
      </w:r>
      <w:r w:rsidR="006D6FAC">
        <w:t>The next shortest time frame applies under circumstances in which medical care, while not urgent, has not been provided to a claimant who needs treatment for a medical problem and where the plan itself requires pre-approval of the medical care before providing coverage.  Post-service health claims and disability claims also involve important concerns relating to the sick and disabled, but under these circumstances</w:t>
      </w:r>
      <w:r w:rsidR="0028109D">
        <w:t xml:space="preserve"> plans may take at least 30 days to respond if it is reasonably necessary to do so.  </w:t>
      </w:r>
    </w:p>
    <w:p w:rsidR="009938EB" w:rsidRDefault="009938EB">
      <w:pPr>
        <w:widowControl/>
        <w:ind w:firstLine="720"/>
      </w:pPr>
    </w:p>
    <w:p w:rsidR="00382728" w:rsidRDefault="0028109D">
      <w:pPr>
        <w:widowControl/>
        <w:ind w:firstLine="720"/>
      </w:pPr>
      <w:r>
        <w:t>Another reason why these time frames are important is that these notices relate to the payment of money by a plan to claimants to whom fiduciary responsibilities are owed.  Without enforcement of reasonable deadlines, pay</w:t>
      </w:r>
      <w:r w:rsidR="003A5157">
        <w:t>e</w:t>
      </w:r>
      <w:r>
        <w:t xml:space="preserve">rs could be given a financial incentive to delay the payments, and this would likely be inconsistent with appropriate fiduciary standards.  </w:t>
      </w:r>
    </w:p>
    <w:p w:rsidR="00FC2F3E" w:rsidRDefault="00FC2F3E">
      <w:pPr>
        <w:pStyle w:val="Header"/>
        <w:widowControl/>
        <w:tabs>
          <w:tab w:val="clear" w:pos="4320"/>
          <w:tab w:val="clear" w:pos="8640"/>
        </w:tabs>
      </w:pPr>
    </w:p>
    <w:p w:rsidR="00FC2F3E" w:rsidRDefault="00FC2F3E">
      <w:pPr>
        <w:widowControl/>
        <w:tabs>
          <w:tab w:val="left" w:pos="-1440"/>
        </w:tabs>
        <w:ind w:left="720" w:hanging="720"/>
        <w:rPr>
          <w:i/>
          <w:iCs/>
          <w:sz w:val="20"/>
        </w:rPr>
      </w:pPr>
      <w:r>
        <w:lastRenderedPageBreak/>
        <w:t>8.</w:t>
      </w:r>
      <w:r>
        <w:tab/>
      </w:r>
      <w:r>
        <w:rPr>
          <w:i/>
          <w:iCs/>
          <w:sz w:val="20"/>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FC2F3E" w:rsidRDefault="00FC2F3E">
      <w:pPr>
        <w:widowControl/>
        <w:rPr>
          <w:i/>
          <w:iCs/>
          <w:sz w:val="20"/>
        </w:rPr>
      </w:pPr>
    </w:p>
    <w:p w:rsidR="00FC2F3E" w:rsidRDefault="00FC2F3E">
      <w:pPr>
        <w:widowControl/>
        <w:ind w:left="720"/>
        <w:rPr>
          <w:i/>
          <w:iCs/>
          <w:sz w:val="20"/>
        </w:rPr>
      </w:pPr>
      <w:r>
        <w:rPr>
          <w:i/>
          <w:iCs/>
          <w:sz w:val="20"/>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FC2F3E" w:rsidRDefault="00FC2F3E">
      <w:pPr>
        <w:widowControl/>
        <w:rPr>
          <w:i/>
          <w:iCs/>
          <w:sz w:val="20"/>
        </w:rPr>
      </w:pPr>
    </w:p>
    <w:p w:rsidR="00FC2F3E" w:rsidRDefault="00FC2F3E">
      <w:pPr>
        <w:widowControl/>
        <w:ind w:left="720"/>
        <w:rPr>
          <w:i/>
          <w:iCs/>
          <w:sz w:val="20"/>
        </w:rPr>
      </w:pPr>
      <w:r>
        <w:rPr>
          <w:i/>
          <w:iCs/>
          <w:sz w:val="20"/>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FC2F3E" w:rsidRDefault="00FC2F3E">
      <w:pPr>
        <w:widowControl/>
      </w:pPr>
    </w:p>
    <w:p w:rsidR="00FC2F3E" w:rsidRDefault="00FC2F3E">
      <w:pPr>
        <w:widowControl/>
        <w:sectPr w:rsidR="00FC2F3E">
          <w:endnotePr>
            <w:numFmt w:val="decimal"/>
          </w:endnotePr>
          <w:type w:val="continuous"/>
          <w:pgSz w:w="12240" w:h="15840"/>
          <w:pgMar w:top="1440" w:right="1440" w:bottom="1440" w:left="1440" w:header="1440" w:footer="1440" w:gutter="0"/>
          <w:cols w:space="720"/>
          <w:noEndnote/>
        </w:sectPr>
      </w:pPr>
    </w:p>
    <w:p w:rsidR="00D7082C" w:rsidRDefault="00D7082C" w:rsidP="00D7082C">
      <w:pPr>
        <w:widowControl/>
        <w:ind w:left="720"/>
        <w:rPr>
          <w:b/>
          <w:bCs/>
          <w:i/>
          <w:iCs/>
        </w:rPr>
      </w:pPr>
    </w:p>
    <w:p w:rsidR="00D7082C" w:rsidRPr="00B062B9" w:rsidRDefault="003025C1" w:rsidP="00D7082C">
      <w:pPr>
        <w:pStyle w:val="BodyText"/>
        <w:ind w:firstLine="720"/>
        <w:rPr>
          <w:bCs/>
        </w:rPr>
      </w:pPr>
      <w:r>
        <w:rPr>
          <w:bCs/>
        </w:rPr>
        <w:t xml:space="preserve">The interim final rule that displayed on June 22, 2011, served as the emergency Federal Register notice.  </w:t>
      </w:r>
      <w:r>
        <w:t>We have requested emergency OMB review and approval of the information collection requirements by July 1, 2011.</w:t>
      </w:r>
      <w:r w:rsidR="00D7082C">
        <w:rPr>
          <w:bCs/>
        </w:rPr>
        <w:t xml:space="preserve"> </w:t>
      </w:r>
    </w:p>
    <w:p w:rsidR="00FC2F3E" w:rsidRDefault="00FC2F3E">
      <w:pPr>
        <w:widowControl/>
      </w:pPr>
    </w:p>
    <w:p w:rsidR="00FC2F3E" w:rsidRDefault="00FC2F3E">
      <w:pPr>
        <w:widowControl/>
        <w:tabs>
          <w:tab w:val="left" w:pos="-1440"/>
        </w:tabs>
        <w:ind w:left="720" w:hanging="720"/>
        <w:rPr>
          <w:i/>
          <w:iCs/>
          <w:sz w:val="20"/>
        </w:rPr>
      </w:pPr>
      <w:r>
        <w:t>9.</w:t>
      </w:r>
      <w:r>
        <w:tab/>
      </w:r>
      <w:r>
        <w:rPr>
          <w:i/>
          <w:iCs/>
          <w:sz w:val="20"/>
        </w:rPr>
        <w:t>Explain any decision to provide any payment or gift to respondents, other than remuneration of contractors or grantees.</w:t>
      </w:r>
    </w:p>
    <w:p w:rsidR="00FC2F3E" w:rsidRDefault="00FC2F3E">
      <w:pPr>
        <w:widowControl/>
      </w:pPr>
    </w:p>
    <w:p w:rsidR="00FC2F3E" w:rsidRDefault="00FC2F3E">
      <w:pPr>
        <w:widowControl/>
        <w:ind w:firstLine="720"/>
      </w:pPr>
      <w:r>
        <w:t>Not applicable.</w:t>
      </w:r>
    </w:p>
    <w:p w:rsidR="00FC2F3E" w:rsidRDefault="00FC2F3E">
      <w:pPr>
        <w:pStyle w:val="Header"/>
        <w:widowControl/>
        <w:tabs>
          <w:tab w:val="clear" w:pos="4320"/>
          <w:tab w:val="clear" w:pos="8640"/>
        </w:tabs>
      </w:pPr>
    </w:p>
    <w:p w:rsidR="00FC2F3E" w:rsidRDefault="00FC2F3E">
      <w:pPr>
        <w:widowControl/>
        <w:tabs>
          <w:tab w:val="left" w:pos="-1440"/>
        </w:tabs>
        <w:ind w:left="720" w:hanging="720"/>
        <w:rPr>
          <w:i/>
          <w:iCs/>
          <w:sz w:val="20"/>
        </w:rPr>
      </w:pPr>
      <w:r>
        <w:t>10.</w:t>
      </w:r>
      <w:r>
        <w:tab/>
      </w:r>
      <w:r>
        <w:rPr>
          <w:i/>
          <w:iCs/>
          <w:sz w:val="20"/>
        </w:rPr>
        <w:t>Describe any assurance of confidentiality provided to respondents and the basis for the assurance in statute, regulation, or agency policy.</w:t>
      </w:r>
    </w:p>
    <w:p w:rsidR="00FC2F3E" w:rsidRDefault="00FC2F3E">
      <w:pPr>
        <w:widowControl/>
      </w:pPr>
    </w:p>
    <w:p w:rsidR="00FC2F3E" w:rsidRDefault="007E3107">
      <w:pPr>
        <w:widowControl/>
        <w:ind w:firstLine="720"/>
      </w:pPr>
      <w:r>
        <w:t>This</w:t>
      </w:r>
      <w:r w:rsidR="00FC2F3E">
        <w:t xml:space="preserve"> information collection </w:t>
      </w:r>
      <w:r>
        <w:t xml:space="preserve">request (ICR) </w:t>
      </w:r>
      <w:r w:rsidR="00FC2F3E">
        <w:t xml:space="preserve">involves disclosures of information by </w:t>
      </w:r>
      <w:r w:rsidR="00B650C0">
        <w:t>issuers to enrollees</w:t>
      </w:r>
      <w:r w:rsidR="00FC2F3E">
        <w:t>.  Issues of confidentiality between third parties do not fall within the scope of this information collection request.</w:t>
      </w:r>
    </w:p>
    <w:p w:rsidR="00FC2F3E" w:rsidRDefault="00FC2F3E">
      <w:pPr>
        <w:widowControl/>
      </w:pPr>
    </w:p>
    <w:p w:rsidR="00FC2F3E" w:rsidRDefault="00FC2F3E">
      <w:pPr>
        <w:widowControl/>
        <w:sectPr w:rsidR="00FC2F3E">
          <w:endnotePr>
            <w:numFmt w:val="decimal"/>
          </w:endnotePr>
          <w:type w:val="continuous"/>
          <w:pgSz w:w="12240" w:h="15840"/>
          <w:pgMar w:top="1440" w:right="1440" w:bottom="1440" w:left="1440" w:header="1440" w:footer="1440" w:gutter="0"/>
          <w:cols w:space="720"/>
          <w:noEndnote/>
        </w:sectPr>
      </w:pPr>
    </w:p>
    <w:p w:rsidR="00FC2F3E" w:rsidRDefault="00FC2F3E">
      <w:pPr>
        <w:widowControl/>
        <w:tabs>
          <w:tab w:val="left" w:pos="-1440"/>
        </w:tabs>
        <w:ind w:left="720" w:hanging="720"/>
        <w:rPr>
          <w:i/>
          <w:iCs/>
        </w:rPr>
      </w:pPr>
      <w:r>
        <w:lastRenderedPageBreak/>
        <w:t>11.</w:t>
      </w:r>
      <w:r>
        <w:tab/>
      </w:r>
      <w:r>
        <w:rPr>
          <w:i/>
          <w:iCs/>
          <w:sz w:val="20"/>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FC2F3E" w:rsidRDefault="00FC2F3E">
      <w:pPr>
        <w:widowControl/>
        <w:rPr>
          <w:i/>
          <w:iCs/>
        </w:rPr>
      </w:pPr>
    </w:p>
    <w:p w:rsidR="00FC2F3E" w:rsidRDefault="00FC2F3E">
      <w:pPr>
        <w:widowControl/>
        <w:ind w:firstLine="720"/>
      </w:pPr>
      <w:r>
        <w:t>None.</w:t>
      </w:r>
    </w:p>
    <w:p w:rsidR="00FC2F3E" w:rsidRDefault="00FC2F3E">
      <w:pPr>
        <w:widowControl/>
      </w:pPr>
    </w:p>
    <w:p w:rsidR="00FC2F3E" w:rsidRDefault="00FC2F3E">
      <w:pPr>
        <w:widowControl/>
        <w:tabs>
          <w:tab w:val="left" w:pos="-1440"/>
        </w:tabs>
        <w:ind w:left="720" w:hanging="720"/>
        <w:rPr>
          <w:i/>
          <w:iCs/>
          <w:sz w:val="20"/>
        </w:rPr>
      </w:pPr>
      <w:r>
        <w:t>12.</w:t>
      </w:r>
      <w:r>
        <w:tab/>
      </w:r>
      <w:r>
        <w:rPr>
          <w:i/>
          <w:iCs/>
          <w:sz w:val="20"/>
        </w:rPr>
        <w:t>Provide estimates of the hour burden of the collection of information.  The statement should:</w:t>
      </w:r>
    </w:p>
    <w:p w:rsidR="00FC2F3E" w:rsidRDefault="00FC2F3E">
      <w:pPr>
        <w:widowControl/>
        <w:rPr>
          <w:i/>
          <w:iCs/>
          <w:sz w:val="20"/>
        </w:rPr>
      </w:pPr>
    </w:p>
    <w:p w:rsidR="00FC2F3E" w:rsidRDefault="00FC2F3E">
      <w:pPr>
        <w:widowControl/>
        <w:tabs>
          <w:tab w:val="left" w:pos="-1440"/>
        </w:tabs>
        <w:ind w:left="1440" w:hanging="720"/>
        <w:rPr>
          <w:i/>
          <w:iCs/>
          <w:sz w:val="20"/>
        </w:rPr>
      </w:pPr>
      <w:r>
        <w:rPr>
          <w:i/>
          <w:iCs/>
          <w:sz w:val="20"/>
        </w:rPr>
        <w:t>•</w:t>
      </w:r>
      <w:r>
        <w:rPr>
          <w:i/>
          <w:iCs/>
          <w:sz w:val="20"/>
        </w:rPr>
        <w:tab/>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w:t>
      </w:r>
      <w:r>
        <w:rPr>
          <w:i/>
          <w:iCs/>
          <w:sz w:val="20"/>
        </w:rPr>
        <w:lastRenderedPageBreak/>
        <w:t>complexity, show the range of estimated hour burden, and explain the reasons for the variance.  Generally, estimates should not include burden hours for customary and usual business practices.</w:t>
      </w:r>
    </w:p>
    <w:p w:rsidR="00FC2F3E" w:rsidRDefault="00FC2F3E">
      <w:pPr>
        <w:widowControl/>
        <w:rPr>
          <w:i/>
          <w:iCs/>
          <w:sz w:val="20"/>
        </w:rPr>
      </w:pPr>
    </w:p>
    <w:p w:rsidR="00FC2F3E" w:rsidRDefault="00FC2F3E">
      <w:pPr>
        <w:widowControl/>
        <w:tabs>
          <w:tab w:val="left" w:pos="-1440"/>
        </w:tabs>
        <w:ind w:left="1440" w:hanging="720"/>
        <w:rPr>
          <w:i/>
          <w:iCs/>
          <w:sz w:val="20"/>
        </w:rPr>
      </w:pPr>
      <w:r>
        <w:rPr>
          <w:i/>
          <w:iCs/>
          <w:sz w:val="20"/>
        </w:rPr>
        <w:t>•</w:t>
      </w:r>
      <w:r>
        <w:rPr>
          <w:i/>
          <w:iCs/>
          <w:sz w:val="20"/>
        </w:rPr>
        <w:tab/>
        <w:t>If this request for approval covers more than one form, provide separate hour burden estimates for each form and aggregate the hour burdens in Item 13 of OMB Form 83-I.</w:t>
      </w:r>
    </w:p>
    <w:p w:rsidR="00FC2F3E" w:rsidRDefault="00FC2F3E">
      <w:pPr>
        <w:widowControl/>
        <w:rPr>
          <w:i/>
          <w:iCs/>
          <w:sz w:val="20"/>
        </w:rPr>
      </w:pPr>
    </w:p>
    <w:p w:rsidR="00FC2F3E" w:rsidRDefault="00FC2F3E">
      <w:pPr>
        <w:widowControl/>
        <w:tabs>
          <w:tab w:val="left" w:pos="-1440"/>
        </w:tabs>
        <w:ind w:left="1440" w:hanging="720"/>
        <w:rPr>
          <w:i/>
          <w:iCs/>
          <w:sz w:val="20"/>
        </w:rPr>
      </w:pPr>
      <w:r>
        <w:rPr>
          <w:i/>
          <w:iCs/>
          <w:sz w:val="20"/>
        </w:rPr>
        <w:t>•</w:t>
      </w:r>
      <w:r>
        <w:rPr>
          <w:i/>
          <w:iCs/>
          <w:sz w:val="20"/>
        </w:rPr>
        <w:tab/>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  </w:t>
      </w:r>
    </w:p>
    <w:p w:rsidR="00E431D2" w:rsidRDefault="00E431D2" w:rsidP="00E431D2">
      <w:pPr>
        <w:widowControl/>
      </w:pPr>
    </w:p>
    <w:p w:rsidR="00981470" w:rsidRDefault="00981470" w:rsidP="00981470">
      <w:pPr>
        <w:pStyle w:val="BodyTextIndent"/>
      </w:pPr>
      <w:r>
        <w:t>The Department estimates that this information collection affects 28,000 respondents in its first year. The number of respondents will increase over time as more plans lose grandfathered status and must comply with the regulations. The frequency of response will be on occasion, mirroring the frequency of benefit claims that require responses, totaling about 70 million per year.  The hour burden, which will also increase over time as additional plans lose grandfathered status</w:t>
      </w:r>
      <w:r w:rsidR="00310AC0">
        <w:t xml:space="preserve"> and as federal external review process requirements change (see below)</w:t>
      </w:r>
      <w:r>
        <w:t xml:space="preserve">, is estimated to be </w:t>
      </w:r>
      <w:r w:rsidR="00E41A67">
        <w:t>570,800</w:t>
      </w:r>
      <w:r>
        <w:t xml:space="preserve"> hours the first year.</w:t>
      </w:r>
    </w:p>
    <w:p w:rsidR="00981470" w:rsidRDefault="00981470" w:rsidP="00981470">
      <w:pPr>
        <w:pStyle w:val="BodyTextIndent"/>
      </w:pPr>
    </w:p>
    <w:p w:rsidR="00981470" w:rsidRDefault="00981470" w:rsidP="00981470">
      <w:pPr>
        <w:widowControl/>
        <w:sectPr w:rsidR="00981470">
          <w:footerReference w:type="default" r:id="rId11"/>
          <w:endnotePr>
            <w:numFmt w:val="decimal"/>
          </w:endnotePr>
          <w:type w:val="continuous"/>
          <w:pgSz w:w="12240" w:h="15840"/>
          <w:pgMar w:top="1440" w:right="1440" w:bottom="1440" w:left="1440" w:header="1440" w:footer="1440" w:gutter="0"/>
          <w:cols w:space="720"/>
          <w:noEndnote/>
        </w:sectPr>
      </w:pPr>
    </w:p>
    <w:p w:rsidR="00981470" w:rsidRDefault="00981470" w:rsidP="00981470">
      <w:pPr>
        <w:ind w:firstLine="720"/>
      </w:pPr>
      <w:r w:rsidRPr="00CB5C57">
        <w:lastRenderedPageBreak/>
        <w:t>Under PHS Act section 2719</w:t>
      </w:r>
      <w:r w:rsidR="00CB5C57">
        <w:t xml:space="preserve"> and the interim final regulations</w:t>
      </w:r>
      <w:r w:rsidRPr="00CB5C57">
        <w:t>, all</w:t>
      </w:r>
      <w:r>
        <w:t xml:space="preserve"> sponsors of non-grandfathered group health plans and health insurance issuers offering group or individual health insurance coverage must comply with all requirements of the Department of Labor's DOL claims procedures regulation as well as the new standards that are established by the Secretary of Labor and the Secretary of Health and Human Services in paragraphs (b)(2) and (b)(3) of the interim final regulations. These estimates include only ongoing costs of compliance with the statute and the </w:t>
      </w:r>
      <w:r w:rsidR="00CB5C57">
        <w:t xml:space="preserve">interim final </w:t>
      </w:r>
      <w:r>
        <w:t>regulations.</w:t>
      </w:r>
    </w:p>
    <w:p w:rsidR="00981470" w:rsidRDefault="00981470" w:rsidP="00981470">
      <w:pPr>
        <w:widowControl/>
      </w:pPr>
    </w:p>
    <w:p w:rsidR="00981470" w:rsidRDefault="00981470" w:rsidP="00981470">
      <w:pPr>
        <w:widowControl/>
        <w:ind w:firstLine="720"/>
      </w:pPr>
      <w:r>
        <w:t xml:space="preserve">Ongoing burdens are a function of claims volume, as well as the denial and appeal rates of plans.  </w:t>
      </w:r>
    </w:p>
    <w:p w:rsidR="00981470" w:rsidRDefault="00981470" w:rsidP="00981470">
      <w:pPr>
        <w:widowControl/>
        <w:ind w:firstLine="720"/>
      </w:pPr>
    </w:p>
    <w:tbl>
      <w:tblPr>
        <w:tblW w:w="8760" w:type="dxa"/>
        <w:tblInd w:w="93" w:type="dxa"/>
        <w:tblLook w:val="0000"/>
      </w:tblPr>
      <w:tblGrid>
        <w:gridCol w:w="2497"/>
        <w:gridCol w:w="1216"/>
        <w:gridCol w:w="1039"/>
        <w:gridCol w:w="1216"/>
        <w:gridCol w:w="1039"/>
        <w:gridCol w:w="1216"/>
        <w:gridCol w:w="1039"/>
      </w:tblGrid>
      <w:tr w:rsidR="00981470" w:rsidRPr="009D3964" w:rsidTr="00CB6715">
        <w:trPr>
          <w:trHeight w:val="270"/>
        </w:trPr>
        <w:tc>
          <w:tcPr>
            <w:tcW w:w="8760" w:type="dxa"/>
            <w:gridSpan w:val="7"/>
            <w:tcBorders>
              <w:top w:val="nil"/>
              <w:left w:val="nil"/>
              <w:bottom w:val="single" w:sz="8" w:space="0" w:color="auto"/>
              <w:right w:val="nil"/>
            </w:tcBorders>
            <w:shd w:val="clear" w:color="auto" w:fill="auto"/>
            <w:noWrap/>
            <w:vAlign w:val="bottom"/>
          </w:tcPr>
          <w:p w:rsidR="00981470" w:rsidRPr="009D3964" w:rsidRDefault="00981470" w:rsidP="00CB6715">
            <w:pPr>
              <w:widowControl/>
              <w:autoSpaceDE/>
              <w:autoSpaceDN/>
              <w:adjustRightInd/>
              <w:rPr>
                <w:sz w:val="20"/>
                <w:szCs w:val="20"/>
              </w:rPr>
            </w:pPr>
            <w:r w:rsidRPr="009D3964">
              <w:rPr>
                <w:sz w:val="20"/>
                <w:szCs w:val="20"/>
              </w:rPr>
              <w:t>TABLE. 1--</w:t>
            </w:r>
            <w:r w:rsidRPr="009D3964">
              <w:rPr>
                <w:i/>
                <w:iCs/>
                <w:sz w:val="20"/>
                <w:szCs w:val="20"/>
              </w:rPr>
              <w:t>Estimated Claims and Appeals in Non-grandfathered Coverage (in thousands)</w:t>
            </w:r>
          </w:p>
        </w:tc>
      </w:tr>
      <w:tr w:rsidR="00981470" w:rsidRPr="009D3964" w:rsidTr="00CB6715">
        <w:trPr>
          <w:trHeight w:val="255"/>
        </w:trPr>
        <w:tc>
          <w:tcPr>
            <w:tcW w:w="2497" w:type="dxa"/>
            <w:tcBorders>
              <w:top w:val="nil"/>
              <w:left w:val="single" w:sz="8" w:space="0" w:color="auto"/>
              <w:bottom w:val="nil"/>
              <w:right w:val="single" w:sz="8" w:space="0" w:color="auto"/>
            </w:tcBorders>
            <w:shd w:val="clear" w:color="auto" w:fill="auto"/>
            <w:noWrap/>
            <w:vAlign w:val="bottom"/>
          </w:tcPr>
          <w:p w:rsidR="00981470" w:rsidRPr="009D3964" w:rsidRDefault="00981470" w:rsidP="00CB6715">
            <w:pPr>
              <w:widowControl/>
              <w:autoSpaceDE/>
              <w:autoSpaceDN/>
              <w:adjustRightInd/>
              <w:rPr>
                <w:sz w:val="20"/>
                <w:szCs w:val="20"/>
              </w:rPr>
            </w:pPr>
            <w:r w:rsidRPr="009D3964">
              <w:rPr>
                <w:sz w:val="20"/>
                <w:szCs w:val="20"/>
              </w:rPr>
              <w:t> </w:t>
            </w:r>
          </w:p>
        </w:tc>
        <w:tc>
          <w:tcPr>
            <w:tcW w:w="2087" w:type="dxa"/>
            <w:gridSpan w:val="2"/>
            <w:tcBorders>
              <w:top w:val="single" w:sz="8" w:space="0" w:color="auto"/>
              <w:left w:val="nil"/>
              <w:bottom w:val="single" w:sz="4" w:space="0" w:color="auto"/>
              <w:right w:val="single" w:sz="8" w:space="0" w:color="000000"/>
            </w:tcBorders>
            <w:shd w:val="clear" w:color="auto" w:fill="auto"/>
            <w:noWrap/>
            <w:vAlign w:val="bottom"/>
          </w:tcPr>
          <w:p w:rsidR="00981470" w:rsidRPr="009D3964" w:rsidRDefault="00981470" w:rsidP="00CB6715">
            <w:pPr>
              <w:widowControl/>
              <w:autoSpaceDE/>
              <w:autoSpaceDN/>
              <w:adjustRightInd/>
              <w:jc w:val="center"/>
              <w:rPr>
                <w:sz w:val="20"/>
                <w:szCs w:val="20"/>
              </w:rPr>
            </w:pPr>
            <w:r w:rsidRPr="009D3964">
              <w:rPr>
                <w:sz w:val="20"/>
                <w:szCs w:val="20"/>
              </w:rPr>
              <w:t>2011</w:t>
            </w:r>
          </w:p>
        </w:tc>
        <w:tc>
          <w:tcPr>
            <w:tcW w:w="2088" w:type="dxa"/>
            <w:gridSpan w:val="2"/>
            <w:tcBorders>
              <w:top w:val="single" w:sz="8" w:space="0" w:color="auto"/>
              <w:left w:val="nil"/>
              <w:bottom w:val="single" w:sz="4" w:space="0" w:color="auto"/>
              <w:right w:val="single" w:sz="8" w:space="0" w:color="000000"/>
            </w:tcBorders>
            <w:shd w:val="clear" w:color="auto" w:fill="auto"/>
            <w:noWrap/>
            <w:vAlign w:val="bottom"/>
          </w:tcPr>
          <w:p w:rsidR="00981470" w:rsidRPr="009D3964" w:rsidRDefault="00981470" w:rsidP="00CB6715">
            <w:pPr>
              <w:widowControl/>
              <w:autoSpaceDE/>
              <w:autoSpaceDN/>
              <w:adjustRightInd/>
              <w:jc w:val="center"/>
              <w:rPr>
                <w:sz w:val="20"/>
                <w:szCs w:val="20"/>
              </w:rPr>
            </w:pPr>
            <w:r w:rsidRPr="009D3964">
              <w:rPr>
                <w:sz w:val="20"/>
                <w:szCs w:val="20"/>
              </w:rPr>
              <w:t>2012</w:t>
            </w:r>
          </w:p>
        </w:tc>
        <w:tc>
          <w:tcPr>
            <w:tcW w:w="2088" w:type="dxa"/>
            <w:gridSpan w:val="2"/>
            <w:tcBorders>
              <w:top w:val="single" w:sz="8" w:space="0" w:color="auto"/>
              <w:left w:val="nil"/>
              <w:bottom w:val="single" w:sz="4" w:space="0" w:color="auto"/>
              <w:right w:val="single" w:sz="8" w:space="0" w:color="000000"/>
            </w:tcBorders>
            <w:shd w:val="clear" w:color="auto" w:fill="auto"/>
            <w:noWrap/>
            <w:vAlign w:val="bottom"/>
          </w:tcPr>
          <w:p w:rsidR="00981470" w:rsidRPr="009D3964" w:rsidRDefault="00981470" w:rsidP="00CB6715">
            <w:pPr>
              <w:widowControl/>
              <w:autoSpaceDE/>
              <w:autoSpaceDN/>
              <w:adjustRightInd/>
              <w:jc w:val="center"/>
              <w:rPr>
                <w:sz w:val="20"/>
                <w:szCs w:val="20"/>
              </w:rPr>
            </w:pPr>
            <w:r w:rsidRPr="009D3964">
              <w:rPr>
                <w:sz w:val="20"/>
                <w:szCs w:val="20"/>
              </w:rPr>
              <w:t>2013</w:t>
            </w:r>
          </w:p>
        </w:tc>
      </w:tr>
      <w:tr w:rsidR="00981470" w:rsidRPr="009D3964" w:rsidTr="00CB6715">
        <w:trPr>
          <w:trHeight w:val="255"/>
        </w:trPr>
        <w:tc>
          <w:tcPr>
            <w:tcW w:w="2497" w:type="dxa"/>
            <w:tcBorders>
              <w:top w:val="nil"/>
              <w:left w:val="single" w:sz="8" w:space="0" w:color="auto"/>
              <w:bottom w:val="nil"/>
              <w:right w:val="single" w:sz="8" w:space="0" w:color="auto"/>
            </w:tcBorders>
            <w:shd w:val="clear" w:color="auto" w:fill="auto"/>
            <w:noWrap/>
            <w:vAlign w:val="bottom"/>
          </w:tcPr>
          <w:p w:rsidR="00981470" w:rsidRPr="009D3964" w:rsidRDefault="00981470" w:rsidP="00CB6715">
            <w:pPr>
              <w:widowControl/>
              <w:autoSpaceDE/>
              <w:autoSpaceDN/>
              <w:adjustRightInd/>
              <w:rPr>
                <w:sz w:val="20"/>
                <w:szCs w:val="20"/>
              </w:rPr>
            </w:pPr>
            <w:r w:rsidRPr="009D3964">
              <w:rPr>
                <w:sz w:val="20"/>
                <w:szCs w:val="20"/>
              </w:rPr>
              <w:t> </w:t>
            </w:r>
          </w:p>
        </w:tc>
        <w:tc>
          <w:tcPr>
            <w:tcW w:w="1055" w:type="dxa"/>
            <w:vMerge w:val="restart"/>
            <w:tcBorders>
              <w:top w:val="nil"/>
              <w:left w:val="nil"/>
              <w:bottom w:val="single" w:sz="8" w:space="0" w:color="000000"/>
              <w:right w:val="nil"/>
            </w:tcBorders>
            <w:shd w:val="clear" w:color="auto" w:fill="auto"/>
            <w:vAlign w:val="center"/>
          </w:tcPr>
          <w:p w:rsidR="00981470" w:rsidRPr="009D3964" w:rsidRDefault="00981470" w:rsidP="00CB6715">
            <w:pPr>
              <w:widowControl/>
              <w:autoSpaceDE/>
              <w:autoSpaceDN/>
              <w:adjustRightInd/>
              <w:jc w:val="center"/>
              <w:rPr>
                <w:sz w:val="20"/>
                <w:szCs w:val="20"/>
              </w:rPr>
            </w:pPr>
            <w:r w:rsidRPr="009D3964">
              <w:rPr>
                <w:sz w:val="20"/>
                <w:szCs w:val="20"/>
              </w:rPr>
              <w:t>Government Sector ESI</w:t>
            </w:r>
          </w:p>
        </w:tc>
        <w:tc>
          <w:tcPr>
            <w:tcW w:w="1032" w:type="dxa"/>
            <w:vMerge w:val="restart"/>
            <w:tcBorders>
              <w:top w:val="nil"/>
              <w:left w:val="nil"/>
              <w:bottom w:val="single" w:sz="8" w:space="0" w:color="000000"/>
              <w:right w:val="single" w:sz="8" w:space="0" w:color="auto"/>
            </w:tcBorders>
            <w:shd w:val="clear" w:color="auto" w:fill="auto"/>
            <w:vAlign w:val="center"/>
          </w:tcPr>
          <w:p w:rsidR="00981470" w:rsidRPr="009D3964" w:rsidRDefault="00981470" w:rsidP="00CB6715">
            <w:pPr>
              <w:widowControl/>
              <w:autoSpaceDE/>
              <w:autoSpaceDN/>
              <w:adjustRightInd/>
              <w:jc w:val="center"/>
              <w:rPr>
                <w:sz w:val="20"/>
                <w:szCs w:val="20"/>
              </w:rPr>
            </w:pPr>
            <w:r w:rsidRPr="009D3964">
              <w:rPr>
                <w:sz w:val="20"/>
                <w:szCs w:val="20"/>
              </w:rPr>
              <w:t>Individual Market</w:t>
            </w:r>
          </w:p>
        </w:tc>
        <w:tc>
          <w:tcPr>
            <w:tcW w:w="1056" w:type="dxa"/>
            <w:vMerge w:val="restart"/>
            <w:tcBorders>
              <w:top w:val="nil"/>
              <w:left w:val="nil"/>
              <w:bottom w:val="single" w:sz="8" w:space="0" w:color="000000"/>
              <w:right w:val="nil"/>
            </w:tcBorders>
            <w:shd w:val="clear" w:color="auto" w:fill="auto"/>
            <w:vAlign w:val="center"/>
          </w:tcPr>
          <w:p w:rsidR="00981470" w:rsidRPr="009D3964" w:rsidRDefault="00981470" w:rsidP="00CB6715">
            <w:pPr>
              <w:widowControl/>
              <w:autoSpaceDE/>
              <w:autoSpaceDN/>
              <w:adjustRightInd/>
              <w:jc w:val="center"/>
              <w:rPr>
                <w:sz w:val="20"/>
                <w:szCs w:val="20"/>
              </w:rPr>
            </w:pPr>
            <w:r w:rsidRPr="009D3964">
              <w:rPr>
                <w:sz w:val="20"/>
                <w:szCs w:val="20"/>
              </w:rPr>
              <w:t>Government Sector ESI</w:t>
            </w:r>
          </w:p>
        </w:tc>
        <w:tc>
          <w:tcPr>
            <w:tcW w:w="1032" w:type="dxa"/>
            <w:vMerge w:val="restart"/>
            <w:tcBorders>
              <w:top w:val="nil"/>
              <w:left w:val="nil"/>
              <w:bottom w:val="single" w:sz="8" w:space="0" w:color="000000"/>
              <w:right w:val="single" w:sz="8" w:space="0" w:color="auto"/>
            </w:tcBorders>
            <w:shd w:val="clear" w:color="auto" w:fill="auto"/>
            <w:vAlign w:val="center"/>
          </w:tcPr>
          <w:p w:rsidR="00981470" w:rsidRPr="009D3964" w:rsidRDefault="00981470" w:rsidP="00CB6715">
            <w:pPr>
              <w:widowControl/>
              <w:autoSpaceDE/>
              <w:autoSpaceDN/>
              <w:adjustRightInd/>
              <w:jc w:val="center"/>
              <w:rPr>
                <w:sz w:val="20"/>
                <w:szCs w:val="20"/>
              </w:rPr>
            </w:pPr>
            <w:r w:rsidRPr="009D3964">
              <w:rPr>
                <w:sz w:val="20"/>
                <w:szCs w:val="20"/>
              </w:rPr>
              <w:t>Individual Market</w:t>
            </w:r>
          </w:p>
        </w:tc>
        <w:tc>
          <w:tcPr>
            <w:tcW w:w="1056" w:type="dxa"/>
            <w:vMerge w:val="restart"/>
            <w:tcBorders>
              <w:top w:val="nil"/>
              <w:left w:val="nil"/>
              <w:bottom w:val="single" w:sz="8" w:space="0" w:color="000000"/>
              <w:right w:val="nil"/>
            </w:tcBorders>
            <w:shd w:val="clear" w:color="auto" w:fill="auto"/>
            <w:vAlign w:val="center"/>
          </w:tcPr>
          <w:p w:rsidR="00981470" w:rsidRPr="009D3964" w:rsidRDefault="00981470" w:rsidP="00CB6715">
            <w:pPr>
              <w:widowControl/>
              <w:autoSpaceDE/>
              <w:autoSpaceDN/>
              <w:adjustRightInd/>
              <w:jc w:val="center"/>
              <w:rPr>
                <w:sz w:val="20"/>
                <w:szCs w:val="20"/>
              </w:rPr>
            </w:pPr>
            <w:r w:rsidRPr="009D3964">
              <w:rPr>
                <w:sz w:val="20"/>
                <w:szCs w:val="20"/>
              </w:rPr>
              <w:t>Government Sector ESI</w:t>
            </w:r>
          </w:p>
        </w:tc>
        <w:tc>
          <w:tcPr>
            <w:tcW w:w="1032" w:type="dxa"/>
            <w:vMerge w:val="restart"/>
            <w:tcBorders>
              <w:top w:val="nil"/>
              <w:left w:val="nil"/>
              <w:bottom w:val="single" w:sz="8" w:space="0" w:color="000000"/>
              <w:right w:val="single" w:sz="8" w:space="0" w:color="auto"/>
            </w:tcBorders>
            <w:shd w:val="clear" w:color="auto" w:fill="auto"/>
            <w:vAlign w:val="center"/>
          </w:tcPr>
          <w:p w:rsidR="00981470" w:rsidRPr="009D3964" w:rsidRDefault="00981470" w:rsidP="00CB6715">
            <w:pPr>
              <w:widowControl/>
              <w:autoSpaceDE/>
              <w:autoSpaceDN/>
              <w:adjustRightInd/>
              <w:jc w:val="center"/>
              <w:rPr>
                <w:sz w:val="20"/>
                <w:szCs w:val="20"/>
              </w:rPr>
            </w:pPr>
            <w:r w:rsidRPr="009D3964">
              <w:rPr>
                <w:sz w:val="20"/>
                <w:szCs w:val="20"/>
              </w:rPr>
              <w:t>Individual Market</w:t>
            </w:r>
          </w:p>
        </w:tc>
      </w:tr>
      <w:tr w:rsidR="00981470" w:rsidRPr="009D3964" w:rsidTr="00CB6715">
        <w:trPr>
          <w:trHeight w:val="270"/>
        </w:trPr>
        <w:tc>
          <w:tcPr>
            <w:tcW w:w="2497" w:type="dxa"/>
            <w:tcBorders>
              <w:top w:val="nil"/>
              <w:left w:val="single" w:sz="8" w:space="0" w:color="auto"/>
              <w:bottom w:val="single" w:sz="8" w:space="0" w:color="auto"/>
              <w:right w:val="single" w:sz="8" w:space="0" w:color="auto"/>
            </w:tcBorders>
            <w:shd w:val="clear" w:color="auto" w:fill="auto"/>
            <w:noWrap/>
            <w:vAlign w:val="bottom"/>
          </w:tcPr>
          <w:p w:rsidR="00981470" w:rsidRPr="009D3964" w:rsidRDefault="00981470" w:rsidP="00CB6715">
            <w:pPr>
              <w:widowControl/>
              <w:autoSpaceDE/>
              <w:autoSpaceDN/>
              <w:adjustRightInd/>
              <w:rPr>
                <w:sz w:val="20"/>
                <w:szCs w:val="20"/>
              </w:rPr>
            </w:pPr>
            <w:r w:rsidRPr="009D3964">
              <w:rPr>
                <w:sz w:val="20"/>
                <w:szCs w:val="20"/>
              </w:rPr>
              <w:t> </w:t>
            </w:r>
          </w:p>
        </w:tc>
        <w:tc>
          <w:tcPr>
            <w:tcW w:w="1055" w:type="dxa"/>
            <w:vMerge/>
            <w:tcBorders>
              <w:top w:val="nil"/>
              <w:left w:val="nil"/>
              <w:bottom w:val="single" w:sz="8" w:space="0" w:color="000000"/>
              <w:right w:val="nil"/>
            </w:tcBorders>
            <w:vAlign w:val="center"/>
          </w:tcPr>
          <w:p w:rsidR="00981470" w:rsidRPr="009D3964" w:rsidRDefault="00981470" w:rsidP="00CB6715">
            <w:pPr>
              <w:widowControl/>
              <w:autoSpaceDE/>
              <w:autoSpaceDN/>
              <w:adjustRightInd/>
              <w:rPr>
                <w:sz w:val="20"/>
                <w:szCs w:val="20"/>
              </w:rPr>
            </w:pPr>
          </w:p>
        </w:tc>
        <w:tc>
          <w:tcPr>
            <w:tcW w:w="1032" w:type="dxa"/>
            <w:vMerge/>
            <w:tcBorders>
              <w:top w:val="nil"/>
              <w:left w:val="nil"/>
              <w:bottom w:val="single" w:sz="8" w:space="0" w:color="000000"/>
              <w:right w:val="single" w:sz="8" w:space="0" w:color="auto"/>
            </w:tcBorders>
            <w:vAlign w:val="center"/>
          </w:tcPr>
          <w:p w:rsidR="00981470" w:rsidRPr="009D3964" w:rsidRDefault="00981470" w:rsidP="00CB6715">
            <w:pPr>
              <w:widowControl/>
              <w:autoSpaceDE/>
              <w:autoSpaceDN/>
              <w:adjustRightInd/>
              <w:rPr>
                <w:sz w:val="20"/>
                <w:szCs w:val="20"/>
              </w:rPr>
            </w:pPr>
          </w:p>
        </w:tc>
        <w:tc>
          <w:tcPr>
            <w:tcW w:w="1056" w:type="dxa"/>
            <w:vMerge/>
            <w:tcBorders>
              <w:top w:val="nil"/>
              <w:left w:val="nil"/>
              <w:bottom w:val="single" w:sz="8" w:space="0" w:color="000000"/>
              <w:right w:val="nil"/>
            </w:tcBorders>
            <w:vAlign w:val="center"/>
          </w:tcPr>
          <w:p w:rsidR="00981470" w:rsidRPr="009D3964" w:rsidRDefault="00981470" w:rsidP="00CB6715">
            <w:pPr>
              <w:widowControl/>
              <w:autoSpaceDE/>
              <w:autoSpaceDN/>
              <w:adjustRightInd/>
              <w:rPr>
                <w:sz w:val="20"/>
                <w:szCs w:val="20"/>
              </w:rPr>
            </w:pPr>
          </w:p>
        </w:tc>
        <w:tc>
          <w:tcPr>
            <w:tcW w:w="1032" w:type="dxa"/>
            <w:vMerge/>
            <w:tcBorders>
              <w:top w:val="nil"/>
              <w:left w:val="nil"/>
              <w:bottom w:val="single" w:sz="8" w:space="0" w:color="000000"/>
              <w:right w:val="single" w:sz="8" w:space="0" w:color="auto"/>
            </w:tcBorders>
            <w:vAlign w:val="center"/>
          </w:tcPr>
          <w:p w:rsidR="00981470" w:rsidRPr="009D3964" w:rsidRDefault="00981470" w:rsidP="00CB6715">
            <w:pPr>
              <w:widowControl/>
              <w:autoSpaceDE/>
              <w:autoSpaceDN/>
              <w:adjustRightInd/>
              <w:rPr>
                <w:sz w:val="20"/>
                <w:szCs w:val="20"/>
              </w:rPr>
            </w:pPr>
          </w:p>
        </w:tc>
        <w:tc>
          <w:tcPr>
            <w:tcW w:w="1056" w:type="dxa"/>
            <w:vMerge/>
            <w:tcBorders>
              <w:top w:val="nil"/>
              <w:left w:val="nil"/>
              <w:bottom w:val="single" w:sz="8" w:space="0" w:color="000000"/>
              <w:right w:val="nil"/>
            </w:tcBorders>
            <w:vAlign w:val="center"/>
          </w:tcPr>
          <w:p w:rsidR="00981470" w:rsidRPr="009D3964" w:rsidRDefault="00981470" w:rsidP="00CB6715">
            <w:pPr>
              <w:widowControl/>
              <w:autoSpaceDE/>
              <w:autoSpaceDN/>
              <w:adjustRightInd/>
              <w:rPr>
                <w:sz w:val="20"/>
                <w:szCs w:val="20"/>
              </w:rPr>
            </w:pPr>
          </w:p>
        </w:tc>
        <w:tc>
          <w:tcPr>
            <w:tcW w:w="1032" w:type="dxa"/>
            <w:vMerge/>
            <w:tcBorders>
              <w:top w:val="nil"/>
              <w:left w:val="nil"/>
              <w:bottom w:val="single" w:sz="8" w:space="0" w:color="000000"/>
              <w:right w:val="single" w:sz="8" w:space="0" w:color="auto"/>
            </w:tcBorders>
            <w:vAlign w:val="center"/>
          </w:tcPr>
          <w:p w:rsidR="00981470" w:rsidRPr="009D3964" w:rsidRDefault="00981470" w:rsidP="00CB6715">
            <w:pPr>
              <w:widowControl/>
              <w:autoSpaceDE/>
              <w:autoSpaceDN/>
              <w:adjustRightInd/>
              <w:rPr>
                <w:sz w:val="20"/>
                <w:szCs w:val="20"/>
              </w:rPr>
            </w:pPr>
          </w:p>
        </w:tc>
      </w:tr>
      <w:tr w:rsidR="00981470" w:rsidRPr="009D3964" w:rsidTr="00CB6715">
        <w:trPr>
          <w:trHeight w:val="255"/>
        </w:trPr>
        <w:tc>
          <w:tcPr>
            <w:tcW w:w="2497" w:type="dxa"/>
            <w:tcBorders>
              <w:top w:val="nil"/>
              <w:left w:val="single" w:sz="8" w:space="0" w:color="auto"/>
              <w:bottom w:val="nil"/>
              <w:right w:val="single" w:sz="8" w:space="0" w:color="auto"/>
            </w:tcBorders>
            <w:shd w:val="clear" w:color="auto" w:fill="auto"/>
            <w:noWrap/>
            <w:vAlign w:val="bottom"/>
          </w:tcPr>
          <w:p w:rsidR="00981470" w:rsidRPr="009D3964" w:rsidRDefault="00981470" w:rsidP="00CB6715">
            <w:pPr>
              <w:widowControl/>
              <w:autoSpaceDE/>
              <w:autoSpaceDN/>
              <w:adjustRightInd/>
              <w:rPr>
                <w:b/>
                <w:bCs/>
                <w:sz w:val="20"/>
                <w:szCs w:val="20"/>
              </w:rPr>
            </w:pPr>
            <w:r w:rsidRPr="009D3964">
              <w:rPr>
                <w:b/>
                <w:bCs/>
                <w:sz w:val="20"/>
                <w:szCs w:val="20"/>
              </w:rPr>
              <w:t>Total Enrollees</w:t>
            </w:r>
          </w:p>
        </w:tc>
        <w:tc>
          <w:tcPr>
            <w:tcW w:w="1055" w:type="dxa"/>
            <w:tcBorders>
              <w:top w:val="nil"/>
              <w:left w:val="nil"/>
              <w:bottom w:val="nil"/>
              <w:right w:val="nil"/>
            </w:tcBorders>
            <w:shd w:val="clear" w:color="auto" w:fill="auto"/>
            <w:noWrap/>
            <w:vAlign w:val="bottom"/>
          </w:tcPr>
          <w:p w:rsidR="00981470" w:rsidRPr="009D3964" w:rsidRDefault="00981470" w:rsidP="00CB6715">
            <w:pPr>
              <w:widowControl/>
              <w:autoSpaceDE/>
              <w:autoSpaceDN/>
              <w:adjustRightInd/>
              <w:jc w:val="center"/>
              <w:rPr>
                <w:sz w:val="20"/>
                <w:szCs w:val="20"/>
              </w:rPr>
            </w:pPr>
            <w:r w:rsidRPr="009D3964">
              <w:rPr>
                <w:sz w:val="20"/>
                <w:szCs w:val="20"/>
              </w:rPr>
              <w:t>39,000</w:t>
            </w:r>
          </w:p>
        </w:tc>
        <w:tc>
          <w:tcPr>
            <w:tcW w:w="1032" w:type="dxa"/>
            <w:tcBorders>
              <w:top w:val="nil"/>
              <w:left w:val="nil"/>
              <w:bottom w:val="nil"/>
              <w:right w:val="single" w:sz="8" w:space="0" w:color="auto"/>
            </w:tcBorders>
            <w:shd w:val="clear" w:color="auto" w:fill="auto"/>
            <w:noWrap/>
            <w:vAlign w:val="bottom"/>
          </w:tcPr>
          <w:p w:rsidR="00981470" w:rsidRPr="009D3964" w:rsidRDefault="00981470" w:rsidP="00CB6715">
            <w:pPr>
              <w:widowControl/>
              <w:autoSpaceDE/>
              <w:autoSpaceDN/>
              <w:adjustRightInd/>
              <w:jc w:val="center"/>
              <w:rPr>
                <w:sz w:val="20"/>
                <w:szCs w:val="20"/>
              </w:rPr>
            </w:pPr>
            <w:r w:rsidRPr="009D3964">
              <w:rPr>
                <w:sz w:val="20"/>
                <w:szCs w:val="20"/>
              </w:rPr>
              <w:t>15,084</w:t>
            </w:r>
          </w:p>
        </w:tc>
        <w:tc>
          <w:tcPr>
            <w:tcW w:w="1056" w:type="dxa"/>
            <w:tcBorders>
              <w:top w:val="nil"/>
              <w:left w:val="nil"/>
              <w:bottom w:val="nil"/>
              <w:right w:val="nil"/>
            </w:tcBorders>
            <w:shd w:val="clear" w:color="auto" w:fill="auto"/>
            <w:noWrap/>
            <w:vAlign w:val="bottom"/>
          </w:tcPr>
          <w:p w:rsidR="00981470" w:rsidRPr="009D3964" w:rsidRDefault="00981470" w:rsidP="00CB6715">
            <w:pPr>
              <w:widowControl/>
              <w:autoSpaceDE/>
              <w:autoSpaceDN/>
              <w:adjustRightInd/>
              <w:jc w:val="center"/>
              <w:rPr>
                <w:sz w:val="20"/>
                <w:szCs w:val="20"/>
              </w:rPr>
            </w:pPr>
            <w:r w:rsidRPr="009D3964">
              <w:rPr>
                <w:sz w:val="20"/>
                <w:szCs w:val="20"/>
              </w:rPr>
              <w:t>39,000</w:t>
            </w:r>
          </w:p>
        </w:tc>
        <w:tc>
          <w:tcPr>
            <w:tcW w:w="1032" w:type="dxa"/>
            <w:tcBorders>
              <w:top w:val="nil"/>
              <w:left w:val="nil"/>
              <w:bottom w:val="nil"/>
              <w:right w:val="single" w:sz="8" w:space="0" w:color="auto"/>
            </w:tcBorders>
            <w:shd w:val="clear" w:color="auto" w:fill="auto"/>
            <w:noWrap/>
            <w:vAlign w:val="bottom"/>
          </w:tcPr>
          <w:p w:rsidR="00981470" w:rsidRPr="009D3964" w:rsidRDefault="00981470" w:rsidP="00CB6715">
            <w:pPr>
              <w:widowControl/>
              <w:autoSpaceDE/>
              <w:autoSpaceDN/>
              <w:adjustRightInd/>
              <w:jc w:val="center"/>
              <w:rPr>
                <w:sz w:val="20"/>
                <w:szCs w:val="20"/>
              </w:rPr>
            </w:pPr>
            <w:r w:rsidRPr="009D3964">
              <w:rPr>
                <w:sz w:val="20"/>
                <w:szCs w:val="20"/>
              </w:rPr>
              <w:t>15,084</w:t>
            </w:r>
          </w:p>
        </w:tc>
        <w:tc>
          <w:tcPr>
            <w:tcW w:w="1056" w:type="dxa"/>
            <w:tcBorders>
              <w:top w:val="nil"/>
              <w:left w:val="nil"/>
              <w:bottom w:val="nil"/>
              <w:right w:val="nil"/>
            </w:tcBorders>
            <w:shd w:val="clear" w:color="auto" w:fill="auto"/>
            <w:noWrap/>
            <w:vAlign w:val="bottom"/>
          </w:tcPr>
          <w:p w:rsidR="00981470" w:rsidRPr="009D3964" w:rsidRDefault="00981470" w:rsidP="00CB6715">
            <w:pPr>
              <w:widowControl/>
              <w:autoSpaceDE/>
              <w:autoSpaceDN/>
              <w:adjustRightInd/>
              <w:jc w:val="center"/>
              <w:rPr>
                <w:sz w:val="20"/>
                <w:szCs w:val="20"/>
              </w:rPr>
            </w:pPr>
            <w:r w:rsidRPr="009D3964">
              <w:rPr>
                <w:sz w:val="20"/>
                <w:szCs w:val="20"/>
              </w:rPr>
              <w:t>39,000</w:t>
            </w:r>
          </w:p>
        </w:tc>
        <w:tc>
          <w:tcPr>
            <w:tcW w:w="1032" w:type="dxa"/>
            <w:tcBorders>
              <w:top w:val="nil"/>
              <w:left w:val="nil"/>
              <w:bottom w:val="nil"/>
              <w:right w:val="single" w:sz="8" w:space="0" w:color="auto"/>
            </w:tcBorders>
            <w:shd w:val="clear" w:color="auto" w:fill="auto"/>
            <w:noWrap/>
            <w:vAlign w:val="bottom"/>
          </w:tcPr>
          <w:p w:rsidR="00981470" w:rsidRPr="009D3964" w:rsidRDefault="00981470" w:rsidP="00CB6715">
            <w:pPr>
              <w:widowControl/>
              <w:autoSpaceDE/>
              <w:autoSpaceDN/>
              <w:adjustRightInd/>
              <w:jc w:val="center"/>
              <w:rPr>
                <w:sz w:val="20"/>
                <w:szCs w:val="20"/>
              </w:rPr>
            </w:pPr>
            <w:r w:rsidRPr="009D3964">
              <w:rPr>
                <w:sz w:val="20"/>
                <w:szCs w:val="20"/>
              </w:rPr>
              <w:t>15,084</w:t>
            </w:r>
          </w:p>
        </w:tc>
      </w:tr>
      <w:tr w:rsidR="00981470" w:rsidRPr="009D3964" w:rsidTr="00CB6715">
        <w:trPr>
          <w:trHeight w:val="255"/>
        </w:trPr>
        <w:tc>
          <w:tcPr>
            <w:tcW w:w="2497" w:type="dxa"/>
            <w:tcBorders>
              <w:top w:val="nil"/>
              <w:left w:val="single" w:sz="8" w:space="0" w:color="auto"/>
              <w:bottom w:val="nil"/>
              <w:right w:val="single" w:sz="8" w:space="0" w:color="auto"/>
            </w:tcBorders>
            <w:shd w:val="clear" w:color="auto" w:fill="auto"/>
            <w:noWrap/>
            <w:vAlign w:val="bottom"/>
          </w:tcPr>
          <w:p w:rsidR="00981470" w:rsidRPr="009D3964" w:rsidRDefault="00981470" w:rsidP="00CB6715">
            <w:pPr>
              <w:widowControl/>
              <w:autoSpaceDE/>
              <w:autoSpaceDN/>
              <w:adjustRightInd/>
              <w:rPr>
                <w:sz w:val="20"/>
                <w:szCs w:val="20"/>
              </w:rPr>
            </w:pPr>
            <w:r w:rsidRPr="009D3964">
              <w:rPr>
                <w:sz w:val="20"/>
                <w:szCs w:val="20"/>
              </w:rPr>
              <w:t>Non-Grandfathered Enrollees</w:t>
            </w:r>
          </w:p>
        </w:tc>
        <w:tc>
          <w:tcPr>
            <w:tcW w:w="1055" w:type="dxa"/>
            <w:tcBorders>
              <w:top w:val="nil"/>
              <w:left w:val="nil"/>
              <w:bottom w:val="nil"/>
              <w:right w:val="nil"/>
            </w:tcBorders>
            <w:shd w:val="clear" w:color="auto" w:fill="auto"/>
            <w:vAlign w:val="center"/>
          </w:tcPr>
          <w:p w:rsidR="00981470" w:rsidRPr="009D3964" w:rsidRDefault="00981470" w:rsidP="00CB6715">
            <w:pPr>
              <w:widowControl/>
              <w:autoSpaceDE/>
              <w:autoSpaceDN/>
              <w:adjustRightInd/>
              <w:jc w:val="center"/>
              <w:rPr>
                <w:sz w:val="20"/>
                <w:szCs w:val="20"/>
              </w:rPr>
            </w:pPr>
            <w:r w:rsidRPr="009D3964">
              <w:rPr>
                <w:sz w:val="20"/>
                <w:szCs w:val="20"/>
              </w:rPr>
              <w:t>6,898</w:t>
            </w:r>
          </w:p>
        </w:tc>
        <w:tc>
          <w:tcPr>
            <w:tcW w:w="1032" w:type="dxa"/>
            <w:tcBorders>
              <w:top w:val="nil"/>
              <w:left w:val="nil"/>
              <w:bottom w:val="nil"/>
              <w:right w:val="single" w:sz="8" w:space="0" w:color="auto"/>
            </w:tcBorders>
            <w:shd w:val="clear" w:color="auto" w:fill="auto"/>
            <w:vAlign w:val="center"/>
          </w:tcPr>
          <w:p w:rsidR="00981470" w:rsidRPr="009D3964" w:rsidRDefault="00981470" w:rsidP="00CB6715">
            <w:pPr>
              <w:widowControl/>
              <w:autoSpaceDE/>
              <w:autoSpaceDN/>
              <w:adjustRightInd/>
              <w:jc w:val="center"/>
              <w:rPr>
                <w:sz w:val="20"/>
                <w:szCs w:val="20"/>
              </w:rPr>
            </w:pPr>
            <w:r w:rsidRPr="009D3964">
              <w:rPr>
                <w:sz w:val="20"/>
                <w:szCs w:val="20"/>
              </w:rPr>
              <w:t>6,034</w:t>
            </w:r>
          </w:p>
        </w:tc>
        <w:tc>
          <w:tcPr>
            <w:tcW w:w="1056" w:type="dxa"/>
            <w:tcBorders>
              <w:top w:val="nil"/>
              <w:left w:val="nil"/>
              <w:bottom w:val="nil"/>
              <w:right w:val="nil"/>
            </w:tcBorders>
            <w:shd w:val="clear" w:color="auto" w:fill="auto"/>
            <w:vAlign w:val="center"/>
          </w:tcPr>
          <w:p w:rsidR="00981470" w:rsidRPr="009D3964" w:rsidRDefault="00981470" w:rsidP="00CB6715">
            <w:pPr>
              <w:widowControl/>
              <w:autoSpaceDE/>
              <w:autoSpaceDN/>
              <w:adjustRightInd/>
              <w:jc w:val="center"/>
              <w:rPr>
                <w:sz w:val="20"/>
                <w:szCs w:val="20"/>
              </w:rPr>
            </w:pPr>
            <w:r w:rsidRPr="009D3964">
              <w:rPr>
                <w:sz w:val="20"/>
                <w:szCs w:val="20"/>
              </w:rPr>
              <w:t>12,576</w:t>
            </w:r>
          </w:p>
        </w:tc>
        <w:tc>
          <w:tcPr>
            <w:tcW w:w="1032" w:type="dxa"/>
            <w:tcBorders>
              <w:top w:val="nil"/>
              <w:left w:val="nil"/>
              <w:bottom w:val="nil"/>
              <w:right w:val="single" w:sz="8" w:space="0" w:color="auto"/>
            </w:tcBorders>
            <w:shd w:val="clear" w:color="auto" w:fill="auto"/>
            <w:vAlign w:val="center"/>
          </w:tcPr>
          <w:p w:rsidR="00981470" w:rsidRPr="009D3964" w:rsidRDefault="00981470" w:rsidP="00CB6715">
            <w:pPr>
              <w:widowControl/>
              <w:autoSpaceDE/>
              <w:autoSpaceDN/>
              <w:adjustRightInd/>
              <w:jc w:val="center"/>
              <w:rPr>
                <w:sz w:val="20"/>
                <w:szCs w:val="20"/>
              </w:rPr>
            </w:pPr>
            <w:r w:rsidRPr="009D3964">
              <w:rPr>
                <w:sz w:val="20"/>
                <w:szCs w:val="20"/>
              </w:rPr>
              <w:t>9,654</w:t>
            </w:r>
          </w:p>
        </w:tc>
        <w:tc>
          <w:tcPr>
            <w:tcW w:w="1056" w:type="dxa"/>
            <w:tcBorders>
              <w:top w:val="nil"/>
              <w:left w:val="nil"/>
              <w:bottom w:val="nil"/>
              <w:right w:val="nil"/>
            </w:tcBorders>
            <w:shd w:val="clear" w:color="auto" w:fill="auto"/>
            <w:vAlign w:val="center"/>
          </w:tcPr>
          <w:p w:rsidR="00981470" w:rsidRPr="009D3964" w:rsidRDefault="00981470" w:rsidP="00CB6715">
            <w:pPr>
              <w:widowControl/>
              <w:autoSpaceDE/>
              <w:autoSpaceDN/>
              <w:adjustRightInd/>
              <w:jc w:val="center"/>
              <w:rPr>
                <w:sz w:val="20"/>
                <w:szCs w:val="20"/>
              </w:rPr>
            </w:pPr>
            <w:r w:rsidRPr="009D3964">
              <w:rPr>
                <w:sz w:val="20"/>
                <w:szCs w:val="20"/>
              </w:rPr>
              <w:t>17,250</w:t>
            </w:r>
          </w:p>
        </w:tc>
        <w:tc>
          <w:tcPr>
            <w:tcW w:w="1032" w:type="dxa"/>
            <w:tcBorders>
              <w:top w:val="nil"/>
              <w:left w:val="nil"/>
              <w:bottom w:val="nil"/>
              <w:right w:val="single" w:sz="8" w:space="0" w:color="auto"/>
            </w:tcBorders>
            <w:shd w:val="clear" w:color="auto" w:fill="auto"/>
            <w:vAlign w:val="center"/>
          </w:tcPr>
          <w:p w:rsidR="00981470" w:rsidRPr="009D3964" w:rsidRDefault="00981470" w:rsidP="00CB6715">
            <w:pPr>
              <w:widowControl/>
              <w:autoSpaceDE/>
              <w:autoSpaceDN/>
              <w:adjustRightInd/>
              <w:jc w:val="center"/>
              <w:rPr>
                <w:sz w:val="20"/>
                <w:szCs w:val="20"/>
              </w:rPr>
            </w:pPr>
            <w:r w:rsidRPr="009D3964">
              <w:rPr>
                <w:sz w:val="20"/>
                <w:szCs w:val="20"/>
              </w:rPr>
              <w:t>11,826</w:t>
            </w:r>
          </w:p>
        </w:tc>
      </w:tr>
      <w:tr w:rsidR="00981470" w:rsidRPr="009D3964" w:rsidTr="00CB6715">
        <w:trPr>
          <w:trHeight w:val="255"/>
        </w:trPr>
        <w:tc>
          <w:tcPr>
            <w:tcW w:w="2497" w:type="dxa"/>
            <w:tcBorders>
              <w:top w:val="nil"/>
              <w:left w:val="single" w:sz="8" w:space="0" w:color="auto"/>
              <w:bottom w:val="nil"/>
              <w:right w:val="single" w:sz="8" w:space="0" w:color="auto"/>
            </w:tcBorders>
            <w:shd w:val="clear" w:color="auto" w:fill="auto"/>
            <w:noWrap/>
            <w:vAlign w:val="bottom"/>
          </w:tcPr>
          <w:p w:rsidR="00981470" w:rsidRPr="009D3964" w:rsidRDefault="00981470" w:rsidP="00CB6715">
            <w:pPr>
              <w:widowControl/>
              <w:autoSpaceDE/>
              <w:autoSpaceDN/>
              <w:adjustRightInd/>
              <w:rPr>
                <w:sz w:val="20"/>
                <w:szCs w:val="20"/>
              </w:rPr>
            </w:pPr>
            <w:r w:rsidRPr="009D3964">
              <w:rPr>
                <w:sz w:val="20"/>
                <w:szCs w:val="20"/>
              </w:rPr>
              <w:t> </w:t>
            </w:r>
          </w:p>
        </w:tc>
        <w:tc>
          <w:tcPr>
            <w:tcW w:w="1055" w:type="dxa"/>
            <w:tcBorders>
              <w:top w:val="nil"/>
              <w:left w:val="nil"/>
              <w:bottom w:val="nil"/>
              <w:right w:val="nil"/>
            </w:tcBorders>
            <w:shd w:val="clear" w:color="auto" w:fill="auto"/>
            <w:vAlign w:val="center"/>
          </w:tcPr>
          <w:p w:rsidR="00981470" w:rsidRPr="009D3964" w:rsidRDefault="00981470" w:rsidP="00CB6715">
            <w:pPr>
              <w:widowControl/>
              <w:autoSpaceDE/>
              <w:autoSpaceDN/>
              <w:adjustRightInd/>
              <w:jc w:val="center"/>
              <w:rPr>
                <w:sz w:val="20"/>
                <w:szCs w:val="20"/>
              </w:rPr>
            </w:pPr>
          </w:p>
        </w:tc>
        <w:tc>
          <w:tcPr>
            <w:tcW w:w="1032" w:type="dxa"/>
            <w:tcBorders>
              <w:top w:val="nil"/>
              <w:left w:val="nil"/>
              <w:bottom w:val="nil"/>
              <w:right w:val="single" w:sz="8" w:space="0" w:color="auto"/>
            </w:tcBorders>
            <w:shd w:val="clear" w:color="auto" w:fill="auto"/>
            <w:vAlign w:val="center"/>
          </w:tcPr>
          <w:p w:rsidR="00981470" w:rsidRPr="009D3964" w:rsidRDefault="00981470" w:rsidP="00CB6715">
            <w:pPr>
              <w:widowControl/>
              <w:autoSpaceDE/>
              <w:autoSpaceDN/>
              <w:adjustRightInd/>
              <w:jc w:val="center"/>
              <w:rPr>
                <w:sz w:val="20"/>
                <w:szCs w:val="20"/>
              </w:rPr>
            </w:pPr>
            <w:r w:rsidRPr="009D3964">
              <w:rPr>
                <w:sz w:val="20"/>
                <w:szCs w:val="20"/>
              </w:rPr>
              <w:t> </w:t>
            </w:r>
          </w:p>
        </w:tc>
        <w:tc>
          <w:tcPr>
            <w:tcW w:w="1056" w:type="dxa"/>
            <w:tcBorders>
              <w:top w:val="nil"/>
              <w:left w:val="nil"/>
              <w:bottom w:val="nil"/>
              <w:right w:val="nil"/>
            </w:tcBorders>
            <w:shd w:val="clear" w:color="auto" w:fill="auto"/>
            <w:vAlign w:val="center"/>
          </w:tcPr>
          <w:p w:rsidR="00981470" w:rsidRPr="009D3964" w:rsidRDefault="00981470" w:rsidP="00CB6715">
            <w:pPr>
              <w:widowControl/>
              <w:autoSpaceDE/>
              <w:autoSpaceDN/>
              <w:adjustRightInd/>
              <w:jc w:val="center"/>
              <w:rPr>
                <w:sz w:val="20"/>
                <w:szCs w:val="20"/>
              </w:rPr>
            </w:pPr>
          </w:p>
        </w:tc>
        <w:tc>
          <w:tcPr>
            <w:tcW w:w="1032" w:type="dxa"/>
            <w:tcBorders>
              <w:top w:val="nil"/>
              <w:left w:val="nil"/>
              <w:bottom w:val="nil"/>
              <w:right w:val="single" w:sz="8" w:space="0" w:color="auto"/>
            </w:tcBorders>
            <w:shd w:val="clear" w:color="auto" w:fill="auto"/>
            <w:vAlign w:val="center"/>
          </w:tcPr>
          <w:p w:rsidR="00981470" w:rsidRPr="009D3964" w:rsidRDefault="00981470" w:rsidP="00CB6715">
            <w:pPr>
              <w:widowControl/>
              <w:autoSpaceDE/>
              <w:autoSpaceDN/>
              <w:adjustRightInd/>
              <w:jc w:val="center"/>
              <w:rPr>
                <w:sz w:val="20"/>
                <w:szCs w:val="20"/>
              </w:rPr>
            </w:pPr>
            <w:r w:rsidRPr="009D3964">
              <w:rPr>
                <w:sz w:val="20"/>
                <w:szCs w:val="20"/>
              </w:rPr>
              <w:t> </w:t>
            </w:r>
          </w:p>
        </w:tc>
        <w:tc>
          <w:tcPr>
            <w:tcW w:w="1056" w:type="dxa"/>
            <w:tcBorders>
              <w:top w:val="nil"/>
              <w:left w:val="nil"/>
              <w:bottom w:val="nil"/>
              <w:right w:val="nil"/>
            </w:tcBorders>
            <w:shd w:val="clear" w:color="auto" w:fill="auto"/>
            <w:vAlign w:val="center"/>
          </w:tcPr>
          <w:p w:rsidR="00981470" w:rsidRPr="009D3964" w:rsidRDefault="00981470" w:rsidP="00CB6715">
            <w:pPr>
              <w:widowControl/>
              <w:autoSpaceDE/>
              <w:autoSpaceDN/>
              <w:adjustRightInd/>
              <w:jc w:val="center"/>
              <w:rPr>
                <w:sz w:val="20"/>
                <w:szCs w:val="20"/>
              </w:rPr>
            </w:pPr>
          </w:p>
        </w:tc>
        <w:tc>
          <w:tcPr>
            <w:tcW w:w="1032" w:type="dxa"/>
            <w:tcBorders>
              <w:top w:val="nil"/>
              <w:left w:val="nil"/>
              <w:bottom w:val="nil"/>
              <w:right w:val="single" w:sz="8" w:space="0" w:color="auto"/>
            </w:tcBorders>
            <w:shd w:val="clear" w:color="auto" w:fill="auto"/>
            <w:vAlign w:val="center"/>
          </w:tcPr>
          <w:p w:rsidR="00981470" w:rsidRPr="009D3964" w:rsidRDefault="00981470" w:rsidP="00CB6715">
            <w:pPr>
              <w:widowControl/>
              <w:autoSpaceDE/>
              <w:autoSpaceDN/>
              <w:adjustRightInd/>
              <w:jc w:val="center"/>
              <w:rPr>
                <w:sz w:val="20"/>
                <w:szCs w:val="20"/>
              </w:rPr>
            </w:pPr>
            <w:r w:rsidRPr="009D3964">
              <w:rPr>
                <w:sz w:val="20"/>
                <w:szCs w:val="20"/>
              </w:rPr>
              <w:t> </w:t>
            </w:r>
          </w:p>
        </w:tc>
      </w:tr>
      <w:tr w:rsidR="00981470" w:rsidRPr="009D3964" w:rsidTr="00CB6715">
        <w:trPr>
          <w:trHeight w:val="255"/>
        </w:trPr>
        <w:tc>
          <w:tcPr>
            <w:tcW w:w="2497" w:type="dxa"/>
            <w:tcBorders>
              <w:top w:val="nil"/>
              <w:left w:val="single" w:sz="8" w:space="0" w:color="auto"/>
              <w:bottom w:val="nil"/>
              <w:right w:val="single" w:sz="8" w:space="0" w:color="auto"/>
            </w:tcBorders>
            <w:shd w:val="clear" w:color="auto" w:fill="auto"/>
            <w:noWrap/>
            <w:vAlign w:val="bottom"/>
          </w:tcPr>
          <w:p w:rsidR="00981470" w:rsidRPr="009D3964" w:rsidRDefault="00981470" w:rsidP="00CB6715">
            <w:pPr>
              <w:widowControl/>
              <w:autoSpaceDE/>
              <w:autoSpaceDN/>
              <w:adjustRightInd/>
              <w:rPr>
                <w:b/>
                <w:bCs/>
                <w:sz w:val="20"/>
                <w:szCs w:val="20"/>
              </w:rPr>
            </w:pPr>
            <w:r w:rsidRPr="009D3964">
              <w:rPr>
                <w:b/>
                <w:bCs/>
                <w:sz w:val="20"/>
                <w:szCs w:val="20"/>
              </w:rPr>
              <w:t>Total Claims</w:t>
            </w:r>
          </w:p>
        </w:tc>
        <w:tc>
          <w:tcPr>
            <w:tcW w:w="1055" w:type="dxa"/>
            <w:tcBorders>
              <w:top w:val="nil"/>
              <w:left w:val="nil"/>
              <w:bottom w:val="nil"/>
              <w:right w:val="nil"/>
            </w:tcBorders>
            <w:shd w:val="clear" w:color="auto" w:fill="auto"/>
            <w:noWrap/>
            <w:vAlign w:val="center"/>
          </w:tcPr>
          <w:p w:rsidR="00981470" w:rsidRPr="009D3964" w:rsidRDefault="00981470" w:rsidP="00CB6715">
            <w:pPr>
              <w:widowControl/>
              <w:autoSpaceDE/>
              <w:autoSpaceDN/>
              <w:adjustRightInd/>
              <w:jc w:val="center"/>
              <w:rPr>
                <w:sz w:val="20"/>
                <w:szCs w:val="20"/>
              </w:rPr>
            </w:pPr>
            <w:r w:rsidRPr="009D3964">
              <w:rPr>
                <w:sz w:val="20"/>
                <w:szCs w:val="20"/>
              </w:rPr>
              <w:t>70,360</w:t>
            </w:r>
          </w:p>
        </w:tc>
        <w:tc>
          <w:tcPr>
            <w:tcW w:w="1032" w:type="dxa"/>
            <w:tcBorders>
              <w:top w:val="nil"/>
              <w:left w:val="nil"/>
              <w:bottom w:val="nil"/>
              <w:right w:val="single" w:sz="8" w:space="0" w:color="auto"/>
            </w:tcBorders>
            <w:shd w:val="clear" w:color="auto" w:fill="auto"/>
            <w:noWrap/>
            <w:vAlign w:val="center"/>
          </w:tcPr>
          <w:p w:rsidR="00981470" w:rsidRPr="009D3964" w:rsidRDefault="00981470" w:rsidP="00CB6715">
            <w:pPr>
              <w:widowControl/>
              <w:autoSpaceDE/>
              <w:autoSpaceDN/>
              <w:adjustRightInd/>
              <w:jc w:val="center"/>
              <w:rPr>
                <w:sz w:val="20"/>
                <w:szCs w:val="20"/>
              </w:rPr>
            </w:pPr>
            <w:r w:rsidRPr="009D3964">
              <w:rPr>
                <w:sz w:val="20"/>
                <w:szCs w:val="20"/>
              </w:rPr>
              <w:t>61,543</w:t>
            </w:r>
          </w:p>
        </w:tc>
        <w:tc>
          <w:tcPr>
            <w:tcW w:w="1056" w:type="dxa"/>
            <w:tcBorders>
              <w:top w:val="nil"/>
              <w:left w:val="nil"/>
              <w:bottom w:val="nil"/>
              <w:right w:val="nil"/>
            </w:tcBorders>
            <w:shd w:val="clear" w:color="auto" w:fill="auto"/>
            <w:noWrap/>
            <w:vAlign w:val="center"/>
          </w:tcPr>
          <w:p w:rsidR="00981470" w:rsidRPr="009D3964" w:rsidRDefault="00981470" w:rsidP="00CB6715">
            <w:pPr>
              <w:widowControl/>
              <w:autoSpaceDE/>
              <w:autoSpaceDN/>
              <w:adjustRightInd/>
              <w:jc w:val="center"/>
              <w:rPr>
                <w:sz w:val="20"/>
                <w:szCs w:val="20"/>
              </w:rPr>
            </w:pPr>
            <w:r w:rsidRPr="009D3964">
              <w:rPr>
                <w:sz w:val="20"/>
                <w:szCs w:val="20"/>
              </w:rPr>
              <w:t>128,275</w:t>
            </w:r>
          </w:p>
        </w:tc>
        <w:tc>
          <w:tcPr>
            <w:tcW w:w="1032" w:type="dxa"/>
            <w:tcBorders>
              <w:top w:val="nil"/>
              <w:left w:val="nil"/>
              <w:bottom w:val="nil"/>
              <w:right w:val="single" w:sz="8" w:space="0" w:color="auto"/>
            </w:tcBorders>
            <w:shd w:val="clear" w:color="auto" w:fill="auto"/>
            <w:noWrap/>
            <w:vAlign w:val="center"/>
          </w:tcPr>
          <w:p w:rsidR="00981470" w:rsidRPr="009D3964" w:rsidRDefault="00981470" w:rsidP="00CB6715">
            <w:pPr>
              <w:widowControl/>
              <w:autoSpaceDE/>
              <w:autoSpaceDN/>
              <w:adjustRightInd/>
              <w:jc w:val="center"/>
              <w:rPr>
                <w:sz w:val="20"/>
                <w:szCs w:val="20"/>
              </w:rPr>
            </w:pPr>
            <w:r w:rsidRPr="009D3964">
              <w:rPr>
                <w:sz w:val="20"/>
                <w:szCs w:val="20"/>
              </w:rPr>
              <w:t>98,469</w:t>
            </w:r>
          </w:p>
        </w:tc>
        <w:tc>
          <w:tcPr>
            <w:tcW w:w="1056" w:type="dxa"/>
            <w:tcBorders>
              <w:top w:val="nil"/>
              <w:left w:val="nil"/>
              <w:bottom w:val="nil"/>
              <w:right w:val="nil"/>
            </w:tcBorders>
            <w:shd w:val="clear" w:color="auto" w:fill="auto"/>
            <w:noWrap/>
            <w:vAlign w:val="center"/>
          </w:tcPr>
          <w:p w:rsidR="00981470" w:rsidRPr="009D3964" w:rsidRDefault="00981470" w:rsidP="00CB6715">
            <w:pPr>
              <w:widowControl/>
              <w:autoSpaceDE/>
              <w:autoSpaceDN/>
              <w:adjustRightInd/>
              <w:jc w:val="center"/>
              <w:rPr>
                <w:sz w:val="20"/>
                <w:szCs w:val="20"/>
              </w:rPr>
            </w:pPr>
            <w:r w:rsidRPr="009D3964">
              <w:rPr>
                <w:sz w:val="20"/>
                <w:szCs w:val="20"/>
              </w:rPr>
              <w:t>175,947</w:t>
            </w:r>
          </w:p>
        </w:tc>
        <w:tc>
          <w:tcPr>
            <w:tcW w:w="1032" w:type="dxa"/>
            <w:tcBorders>
              <w:top w:val="nil"/>
              <w:left w:val="nil"/>
              <w:bottom w:val="nil"/>
              <w:right w:val="single" w:sz="8" w:space="0" w:color="auto"/>
            </w:tcBorders>
            <w:shd w:val="clear" w:color="auto" w:fill="auto"/>
            <w:noWrap/>
            <w:vAlign w:val="center"/>
          </w:tcPr>
          <w:p w:rsidR="00981470" w:rsidRPr="009D3964" w:rsidRDefault="00981470" w:rsidP="00CB6715">
            <w:pPr>
              <w:widowControl/>
              <w:autoSpaceDE/>
              <w:autoSpaceDN/>
              <w:adjustRightInd/>
              <w:jc w:val="center"/>
              <w:rPr>
                <w:sz w:val="20"/>
                <w:szCs w:val="20"/>
              </w:rPr>
            </w:pPr>
            <w:r w:rsidRPr="009D3964">
              <w:rPr>
                <w:sz w:val="20"/>
                <w:szCs w:val="20"/>
              </w:rPr>
              <w:t>120,625</w:t>
            </w:r>
          </w:p>
        </w:tc>
      </w:tr>
      <w:tr w:rsidR="00981470" w:rsidRPr="009D3964" w:rsidTr="00CB6715">
        <w:trPr>
          <w:trHeight w:val="255"/>
        </w:trPr>
        <w:tc>
          <w:tcPr>
            <w:tcW w:w="2497" w:type="dxa"/>
            <w:tcBorders>
              <w:top w:val="nil"/>
              <w:left w:val="single" w:sz="8" w:space="0" w:color="auto"/>
              <w:bottom w:val="nil"/>
              <w:right w:val="single" w:sz="8" w:space="0" w:color="auto"/>
            </w:tcBorders>
            <w:shd w:val="clear" w:color="auto" w:fill="auto"/>
            <w:noWrap/>
            <w:vAlign w:val="bottom"/>
          </w:tcPr>
          <w:p w:rsidR="00981470" w:rsidRPr="009D3964" w:rsidRDefault="00981470" w:rsidP="00CB6715">
            <w:pPr>
              <w:widowControl/>
              <w:autoSpaceDE/>
              <w:autoSpaceDN/>
              <w:adjustRightInd/>
              <w:rPr>
                <w:sz w:val="20"/>
                <w:szCs w:val="20"/>
              </w:rPr>
            </w:pPr>
            <w:r w:rsidRPr="009D3964">
              <w:rPr>
                <w:sz w:val="20"/>
                <w:szCs w:val="20"/>
              </w:rPr>
              <w:t>Pre-Service</w:t>
            </w:r>
          </w:p>
        </w:tc>
        <w:tc>
          <w:tcPr>
            <w:tcW w:w="1055" w:type="dxa"/>
            <w:tcBorders>
              <w:top w:val="nil"/>
              <w:left w:val="nil"/>
              <w:bottom w:val="nil"/>
              <w:right w:val="nil"/>
            </w:tcBorders>
            <w:shd w:val="clear" w:color="auto" w:fill="auto"/>
            <w:noWrap/>
            <w:vAlign w:val="bottom"/>
          </w:tcPr>
          <w:p w:rsidR="00981470" w:rsidRPr="009D3964" w:rsidRDefault="00981470" w:rsidP="00CB6715">
            <w:pPr>
              <w:widowControl/>
              <w:autoSpaceDE/>
              <w:autoSpaceDN/>
              <w:adjustRightInd/>
              <w:rPr>
                <w:sz w:val="20"/>
                <w:szCs w:val="20"/>
              </w:rPr>
            </w:pPr>
          </w:p>
        </w:tc>
        <w:tc>
          <w:tcPr>
            <w:tcW w:w="1032" w:type="dxa"/>
            <w:tcBorders>
              <w:top w:val="nil"/>
              <w:left w:val="nil"/>
              <w:bottom w:val="nil"/>
              <w:right w:val="single" w:sz="8" w:space="0" w:color="auto"/>
            </w:tcBorders>
            <w:shd w:val="clear" w:color="auto" w:fill="auto"/>
            <w:noWrap/>
            <w:vAlign w:val="bottom"/>
          </w:tcPr>
          <w:p w:rsidR="00981470" w:rsidRPr="009D3964" w:rsidRDefault="00981470" w:rsidP="00CB6715">
            <w:pPr>
              <w:widowControl/>
              <w:autoSpaceDE/>
              <w:autoSpaceDN/>
              <w:adjustRightInd/>
              <w:rPr>
                <w:sz w:val="20"/>
                <w:szCs w:val="20"/>
              </w:rPr>
            </w:pPr>
            <w:r w:rsidRPr="009D3964">
              <w:rPr>
                <w:sz w:val="20"/>
                <w:szCs w:val="20"/>
              </w:rPr>
              <w:t> </w:t>
            </w:r>
          </w:p>
        </w:tc>
        <w:tc>
          <w:tcPr>
            <w:tcW w:w="1056" w:type="dxa"/>
            <w:tcBorders>
              <w:top w:val="nil"/>
              <w:left w:val="nil"/>
              <w:bottom w:val="nil"/>
              <w:right w:val="nil"/>
            </w:tcBorders>
            <w:shd w:val="clear" w:color="auto" w:fill="auto"/>
            <w:noWrap/>
            <w:vAlign w:val="bottom"/>
          </w:tcPr>
          <w:p w:rsidR="00981470" w:rsidRPr="009D3964" w:rsidRDefault="00981470" w:rsidP="00CB6715">
            <w:pPr>
              <w:widowControl/>
              <w:autoSpaceDE/>
              <w:autoSpaceDN/>
              <w:adjustRightInd/>
              <w:rPr>
                <w:sz w:val="20"/>
                <w:szCs w:val="20"/>
              </w:rPr>
            </w:pPr>
          </w:p>
        </w:tc>
        <w:tc>
          <w:tcPr>
            <w:tcW w:w="1032" w:type="dxa"/>
            <w:tcBorders>
              <w:top w:val="nil"/>
              <w:left w:val="nil"/>
              <w:bottom w:val="nil"/>
              <w:right w:val="single" w:sz="8" w:space="0" w:color="auto"/>
            </w:tcBorders>
            <w:shd w:val="clear" w:color="auto" w:fill="auto"/>
            <w:noWrap/>
            <w:vAlign w:val="bottom"/>
          </w:tcPr>
          <w:p w:rsidR="00981470" w:rsidRPr="009D3964" w:rsidRDefault="00981470" w:rsidP="00CB6715">
            <w:pPr>
              <w:widowControl/>
              <w:autoSpaceDE/>
              <w:autoSpaceDN/>
              <w:adjustRightInd/>
              <w:rPr>
                <w:sz w:val="20"/>
                <w:szCs w:val="20"/>
              </w:rPr>
            </w:pPr>
            <w:r w:rsidRPr="009D3964">
              <w:rPr>
                <w:sz w:val="20"/>
                <w:szCs w:val="20"/>
              </w:rPr>
              <w:t> </w:t>
            </w:r>
          </w:p>
        </w:tc>
        <w:tc>
          <w:tcPr>
            <w:tcW w:w="1056" w:type="dxa"/>
            <w:tcBorders>
              <w:top w:val="nil"/>
              <w:left w:val="nil"/>
              <w:bottom w:val="nil"/>
              <w:right w:val="nil"/>
            </w:tcBorders>
            <w:shd w:val="clear" w:color="auto" w:fill="auto"/>
            <w:noWrap/>
            <w:vAlign w:val="bottom"/>
          </w:tcPr>
          <w:p w:rsidR="00981470" w:rsidRPr="009D3964" w:rsidRDefault="00981470" w:rsidP="00CB6715">
            <w:pPr>
              <w:widowControl/>
              <w:autoSpaceDE/>
              <w:autoSpaceDN/>
              <w:adjustRightInd/>
              <w:rPr>
                <w:sz w:val="20"/>
                <w:szCs w:val="20"/>
              </w:rPr>
            </w:pPr>
          </w:p>
        </w:tc>
        <w:tc>
          <w:tcPr>
            <w:tcW w:w="1032" w:type="dxa"/>
            <w:tcBorders>
              <w:top w:val="nil"/>
              <w:left w:val="nil"/>
              <w:bottom w:val="nil"/>
              <w:right w:val="single" w:sz="8" w:space="0" w:color="auto"/>
            </w:tcBorders>
            <w:shd w:val="clear" w:color="auto" w:fill="auto"/>
            <w:noWrap/>
            <w:vAlign w:val="bottom"/>
          </w:tcPr>
          <w:p w:rsidR="00981470" w:rsidRPr="009D3964" w:rsidRDefault="00981470" w:rsidP="00CB6715">
            <w:pPr>
              <w:widowControl/>
              <w:autoSpaceDE/>
              <w:autoSpaceDN/>
              <w:adjustRightInd/>
              <w:rPr>
                <w:sz w:val="20"/>
                <w:szCs w:val="20"/>
              </w:rPr>
            </w:pPr>
            <w:r w:rsidRPr="009D3964">
              <w:rPr>
                <w:sz w:val="20"/>
                <w:szCs w:val="20"/>
              </w:rPr>
              <w:t> </w:t>
            </w:r>
          </w:p>
        </w:tc>
      </w:tr>
      <w:tr w:rsidR="00981470" w:rsidRPr="009D3964" w:rsidTr="00CB6715">
        <w:trPr>
          <w:trHeight w:val="255"/>
        </w:trPr>
        <w:tc>
          <w:tcPr>
            <w:tcW w:w="2497" w:type="dxa"/>
            <w:tcBorders>
              <w:top w:val="nil"/>
              <w:left w:val="single" w:sz="8" w:space="0" w:color="auto"/>
              <w:bottom w:val="nil"/>
              <w:right w:val="single" w:sz="8" w:space="0" w:color="auto"/>
            </w:tcBorders>
            <w:shd w:val="clear" w:color="auto" w:fill="auto"/>
            <w:noWrap/>
            <w:vAlign w:val="bottom"/>
          </w:tcPr>
          <w:p w:rsidR="00981470" w:rsidRPr="009D3964" w:rsidRDefault="00981470" w:rsidP="008D59EF">
            <w:pPr>
              <w:widowControl/>
              <w:autoSpaceDE/>
              <w:autoSpaceDN/>
              <w:adjustRightInd/>
              <w:ind w:firstLineChars="100" w:firstLine="200"/>
              <w:rPr>
                <w:sz w:val="20"/>
                <w:szCs w:val="20"/>
              </w:rPr>
            </w:pPr>
            <w:r w:rsidRPr="009D3964">
              <w:rPr>
                <w:sz w:val="20"/>
                <w:szCs w:val="20"/>
              </w:rPr>
              <w:t>Claim Approved</w:t>
            </w:r>
          </w:p>
        </w:tc>
        <w:tc>
          <w:tcPr>
            <w:tcW w:w="1055" w:type="dxa"/>
            <w:tcBorders>
              <w:top w:val="nil"/>
              <w:left w:val="nil"/>
              <w:bottom w:val="nil"/>
              <w:right w:val="nil"/>
            </w:tcBorders>
            <w:shd w:val="clear" w:color="auto" w:fill="auto"/>
            <w:noWrap/>
            <w:vAlign w:val="bottom"/>
          </w:tcPr>
          <w:p w:rsidR="00981470" w:rsidRPr="009D3964" w:rsidRDefault="00981470" w:rsidP="00CB6715">
            <w:pPr>
              <w:widowControl/>
              <w:autoSpaceDE/>
              <w:autoSpaceDN/>
              <w:adjustRightInd/>
              <w:jc w:val="center"/>
              <w:rPr>
                <w:sz w:val="20"/>
                <w:szCs w:val="20"/>
              </w:rPr>
            </w:pPr>
            <w:r w:rsidRPr="009D3964">
              <w:rPr>
                <w:sz w:val="20"/>
                <w:szCs w:val="20"/>
              </w:rPr>
              <w:t>1,794</w:t>
            </w:r>
          </w:p>
        </w:tc>
        <w:tc>
          <w:tcPr>
            <w:tcW w:w="1032" w:type="dxa"/>
            <w:tcBorders>
              <w:top w:val="nil"/>
              <w:left w:val="nil"/>
              <w:bottom w:val="nil"/>
              <w:right w:val="single" w:sz="8" w:space="0" w:color="auto"/>
            </w:tcBorders>
            <w:shd w:val="clear" w:color="auto" w:fill="auto"/>
            <w:noWrap/>
            <w:vAlign w:val="bottom"/>
          </w:tcPr>
          <w:p w:rsidR="00981470" w:rsidRPr="009D3964" w:rsidRDefault="00981470" w:rsidP="00CB6715">
            <w:pPr>
              <w:widowControl/>
              <w:autoSpaceDE/>
              <w:autoSpaceDN/>
              <w:adjustRightInd/>
              <w:jc w:val="center"/>
              <w:rPr>
                <w:sz w:val="20"/>
                <w:szCs w:val="20"/>
              </w:rPr>
            </w:pPr>
            <w:r w:rsidRPr="009D3964">
              <w:rPr>
                <w:sz w:val="20"/>
                <w:szCs w:val="20"/>
              </w:rPr>
              <w:t>1,569</w:t>
            </w:r>
          </w:p>
        </w:tc>
        <w:tc>
          <w:tcPr>
            <w:tcW w:w="1056" w:type="dxa"/>
            <w:tcBorders>
              <w:top w:val="nil"/>
              <w:left w:val="nil"/>
              <w:bottom w:val="nil"/>
              <w:right w:val="nil"/>
            </w:tcBorders>
            <w:shd w:val="clear" w:color="auto" w:fill="auto"/>
            <w:noWrap/>
            <w:vAlign w:val="bottom"/>
          </w:tcPr>
          <w:p w:rsidR="00981470" w:rsidRPr="009D3964" w:rsidRDefault="00981470" w:rsidP="00CB6715">
            <w:pPr>
              <w:widowControl/>
              <w:autoSpaceDE/>
              <w:autoSpaceDN/>
              <w:adjustRightInd/>
              <w:jc w:val="center"/>
              <w:rPr>
                <w:sz w:val="20"/>
                <w:szCs w:val="20"/>
              </w:rPr>
            </w:pPr>
            <w:r w:rsidRPr="009D3964">
              <w:rPr>
                <w:sz w:val="20"/>
                <w:szCs w:val="20"/>
              </w:rPr>
              <w:t>3,271</w:t>
            </w:r>
          </w:p>
        </w:tc>
        <w:tc>
          <w:tcPr>
            <w:tcW w:w="1032" w:type="dxa"/>
            <w:tcBorders>
              <w:top w:val="nil"/>
              <w:left w:val="nil"/>
              <w:bottom w:val="nil"/>
              <w:right w:val="single" w:sz="8" w:space="0" w:color="auto"/>
            </w:tcBorders>
            <w:shd w:val="clear" w:color="auto" w:fill="auto"/>
            <w:noWrap/>
            <w:vAlign w:val="bottom"/>
          </w:tcPr>
          <w:p w:rsidR="00981470" w:rsidRPr="009D3964" w:rsidRDefault="00981470" w:rsidP="00CB6715">
            <w:pPr>
              <w:widowControl/>
              <w:autoSpaceDE/>
              <w:autoSpaceDN/>
              <w:adjustRightInd/>
              <w:jc w:val="center"/>
              <w:rPr>
                <w:sz w:val="20"/>
                <w:szCs w:val="20"/>
              </w:rPr>
            </w:pPr>
            <w:r w:rsidRPr="009D3964">
              <w:rPr>
                <w:sz w:val="20"/>
                <w:szCs w:val="20"/>
              </w:rPr>
              <w:t>2,511</w:t>
            </w:r>
          </w:p>
        </w:tc>
        <w:tc>
          <w:tcPr>
            <w:tcW w:w="1056" w:type="dxa"/>
            <w:tcBorders>
              <w:top w:val="nil"/>
              <w:left w:val="nil"/>
              <w:bottom w:val="nil"/>
              <w:right w:val="nil"/>
            </w:tcBorders>
            <w:shd w:val="clear" w:color="auto" w:fill="auto"/>
            <w:noWrap/>
            <w:vAlign w:val="bottom"/>
          </w:tcPr>
          <w:p w:rsidR="00981470" w:rsidRPr="009D3964" w:rsidRDefault="00981470" w:rsidP="00CB6715">
            <w:pPr>
              <w:widowControl/>
              <w:autoSpaceDE/>
              <w:autoSpaceDN/>
              <w:adjustRightInd/>
              <w:jc w:val="center"/>
              <w:rPr>
                <w:sz w:val="20"/>
                <w:szCs w:val="20"/>
              </w:rPr>
            </w:pPr>
            <w:r w:rsidRPr="009D3964">
              <w:rPr>
                <w:sz w:val="20"/>
                <w:szCs w:val="20"/>
              </w:rPr>
              <w:t>4,487</w:t>
            </w:r>
          </w:p>
        </w:tc>
        <w:tc>
          <w:tcPr>
            <w:tcW w:w="1032" w:type="dxa"/>
            <w:tcBorders>
              <w:top w:val="nil"/>
              <w:left w:val="nil"/>
              <w:bottom w:val="nil"/>
              <w:right w:val="single" w:sz="8" w:space="0" w:color="auto"/>
            </w:tcBorders>
            <w:shd w:val="clear" w:color="auto" w:fill="auto"/>
            <w:noWrap/>
            <w:vAlign w:val="bottom"/>
          </w:tcPr>
          <w:p w:rsidR="00981470" w:rsidRPr="009D3964" w:rsidRDefault="00981470" w:rsidP="00CB6715">
            <w:pPr>
              <w:widowControl/>
              <w:autoSpaceDE/>
              <w:autoSpaceDN/>
              <w:adjustRightInd/>
              <w:jc w:val="center"/>
              <w:rPr>
                <w:sz w:val="20"/>
                <w:szCs w:val="20"/>
              </w:rPr>
            </w:pPr>
            <w:r w:rsidRPr="009D3964">
              <w:rPr>
                <w:sz w:val="20"/>
                <w:szCs w:val="20"/>
              </w:rPr>
              <w:t>3,076</w:t>
            </w:r>
          </w:p>
        </w:tc>
      </w:tr>
      <w:tr w:rsidR="00981470" w:rsidRPr="009D3964" w:rsidTr="00CB6715">
        <w:trPr>
          <w:trHeight w:val="255"/>
        </w:trPr>
        <w:tc>
          <w:tcPr>
            <w:tcW w:w="2497" w:type="dxa"/>
            <w:tcBorders>
              <w:top w:val="nil"/>
              <w:left w:val="single" w:sz="8" w:space="0" w:color="auto"/>
              <w:bottom w:val="nil"/>
              <w:right w:val="single" w:sz="8" w:space="0" w:color="auto"/>
            </w:tcBorders>
            <w:shd w:val="clear" w:color="auto" w:fill="auto"/>
            <w:noWrap/>
            <w:vAlign w:val="bottom"/>
          </w:tcPr>
          <w:p w:rsidR="00981470" w:rsidRPr="009D3964" w:rsidRDefault="00981470" w:rsidP="008D59EF">
            <w:pPr>
              <w:widowControl/>
              <w:autoSpaceDE/>
              <w:autoSpaceDN/>
              <w:adjustRightInd/>
              <w:ind w:firstLineChars="100" w:firstLine="200"/>
              <w:rPr>
                <w:sz w:val="20"/>
                <w:szCs w:val="20"/>
              </w:rPr>
            </w:pPr>
            <w:r w:rsidRPr="009D3964">
              <w:rPr>
                <w:sz w:val="20"/>
                <w:szCs w:val="20"/>
              </w:rPr>
              <w:t>Claim Denied</w:t>
            </w:r>
          </w:p>
        </w:tc>
        <w:tc>
          <w:tcPr>
            <w:tcW w:w="1055" w:type="dxa"/>
            <w:tcBorders>
              <w:top w:val="nil"/>
              <w:left w:val="nil"/>
              <w:bottom w:val="nil"/>
              <w:right w:val="nil"/>
            </w:tcBorders>
            <w:shd w:val="clear" w:color="auto" w:fill="auto"/>
            <w:noWrap/>
            <w:vAlign w:val="bottom"/>
          </w:tcPr>
          <w:p w:rsidR="00981470" w:rsidRPr="009D3964" w:rsidRDefault="00981470" w:rsidP="00CB6715">
            <w:pPr>
              <w:widowControl/>
              <w:autoSpaceDE/>
              <w:autoSpaceDN/>
              <w:adjustRightInd/>
              <w:jc w:val="center"/>
              <w:rPr>
                <w:sz w:val="20"/>
                <w:szCs w:val="20"/>
              </w:rPr>
            </w:pPr>
            <w:r w:rsidRPr="009D3964">
              <w:rPr>
                <w:sz w:val="20"/>
                <w:szCs w:val="20"/>
              </w:rPr>
              <w:t>317</w:t>
            </w:r>
          </w:p>
        </w:tc>
        <w:tc>
          <w:tcPr>
            <w:tcW w:w="1032" w:type="dxa"/>
            <w:tcBorders>
              <w:top w:val="nil"/>
              <w:left w:val="nil"/>
              <w:bottom w:val="nil"/>
              <w:right w:val="single" w:sz="8" w:space="0" w:color="auto"/>
            </w:tcBorders>
            <w:shd w:val="clear" w:color="auto" w:fill="auto"/>
            <w:noWrap/>
            <w:vAlign w:val="bottom"/>
          </w:tcPr>
          <w:p w:rsidR="00981470" w:rsidRPr="009D3964" w:rsidRDefault="00981470" w:rsidP="00CB6715">
            <w:pPr>
              <w:widowControl/>
              <w:autoSpaceDE/>
              <w:autoSpaceDN/>
              <w:adjustRightInd/>
              <w:jc w:val="center"/>
              <w:rPr>
                <w:sz w:val="20"/>
                <w:szCs w:val="20"/>
              </w:rPr>
            </w:pPr>
            <w:r w:rsidRPr="009D3964">
              <w:rPr>
                <w:sz w:val="20"/>
                <w:szCs w:val="20"/>
              </w:rPr>
              <w:t>277</w:t>
            </w:r>
          </w:p>
        </w:tc>
        <w:tc>
          <w:tcPr>
            <w:tcW w:w="1056" w:type="dxa"/>
            <w:tcBorders>
              <w:top w:val="nil"/>
              <w:left w:val="nil"/>
              <w:bottom w:val="nil"/>
              <w:right w:val="nil"/>
            </w:tcBorders>
            <w:shd w:val="clear" w:color="auto" w:fill="auto"/>
            <w:noWrap/>
            <w:vAlign w:val="bottom"/>
          </w:tcPr>
          <w:p w:rsidR="00981470" w:rsidRPr="009D3964" w:rsidRDefault="00981470" w:rsidP="00CB6715">
            <w:pPr>
              <w:widowControl/>
              <w:autoSpaceDE/>
              <w:autoSpaceDN/>
              <w:adjustRightInd/>
              <w:jc w:val="center"/>
              <w:rPr>
                <w:sz w:val="20"/>
                <w:szCs w:val="20"/>
              </w:rPr>
            </w:pPr>
            <w:r w:rsidRPr="009D3964">
              <w:rPr>
                <w:sz w:val="20"/>
                <w:szCs w:val="20"/>
              </w:rPr>
              <w:t>577</w:t>
            </w:r>
          </w:p>
        </w:tc>
        <w:tc>
          <w:tcPr>
            <w:tcW w:w="1032" w:type="dxa"/>
            <w:tcBorders>
              <w:top w:val="nil"/>
              <w:left w:val="nil"/>
              <w:bottom w:val="nil"/>
              <w:right w:val="single" w:sz="8" w:space="0" w:color="auto"/>
            </w:tcBorders>
            <w:shd w:val="clear" w:color="auto" w:fill="auto"/>
            <w:noWrap/>
            <w:vAlign w:val="bottom"/>
          </w:tcPr>
          <w:p w:rsidR="00981470" w:rsidRPr="009D3964" w:rsidRDefault="00981470" w:rsidP="00CB6715">
            <w:pPr>
              <w:widowControl/>
              <w:autoSpaceDE/>
              <w:autoSpaceDN/>
              <w:adjustRightInd/>
              <w:jc w:val="center"/>
              <w:rPr>
                <w:sz w:val="20"/>
                <w:szCs w:val="20"/>
              </w:rPr>
            </w:pPr>
            <w:r w:rsidRPr="009D3964">
              <w:rPr>
                <w:sz w:val="20"/>
                <w:szCs w:val="20"/>
              </w:rPr>
              <w:t>443</w:t>
            </w:r>
          </w:p>
        </w:tc>
        <w:tc>
          <w:tcPr>
            <w:tcW w:w="1056" w:type="dxa"/>
            <w:tcBorders>
              <w:top w:val="nil"/>
              <w:left w:val="nil"/>
              <w:bottom w:val="nil"/>
              <w:right w:val="nil"/>
            </w:tcBorders>
            <w:shd w:val="clear" w:color="auto" w:fill="auto"/>
            <w:noWrap/>
            <w:vAlign w:val="bottom"/>
          </w:tcPr>
          <w:p w:rsidR="00981470" w:rsidRPr="009D3964" w:rsidRDefault="00981470" w:rsidP="00CB6715">
            <w:pPr>
              <w:widowControl/>
              <w:autoSpaceDE/>
              <w:autoSpaceDN/>
              <w:adjustRightInd/>
              <w:jc w:val="center"/>
              <w:rPr>
                <w:sz w:val="20"/>
                <w:szCs w:val="20"/>
              </w:rPr>
            </w:pPr>
            <w:r w:rsidRPr="009D3964">
              <w:rPr>
                <w:sz w:val="20"/>
                <w:szCs w:val="20"/>
              </w:rPr>
              <w:t>792</w:t>
            </w:r>
          </w:p>
        </w:tc>
        <w:tc>
          <w:tcPr>
            <w:tcW w:w="1032" w:type="dxa"/>
            <w:tcBorders>
              <w:top w:val="nil"/>
              <w:left w:val="nil"/>
              <w:bottom w:val="nil"/>
              <w:right w:val="single" w:sz="8" w:space="0" w:color="auto"/>
            </w:tcBorders>
            <w:shd w:val="clear" w:color="auto" w:fill="auto"/>
            <w:noWrap/>
            <w:vAlign w:val="bottom"/>
          </w:tcPr>
          <w:p w:rsidR="00981470" w:rsidRPr="009D3964" w:rsidRDefault="00981470" w:rsidP="00CB6715">
            <w:pPr>
              <w:widowControl/>
              <w:autoSpaceDE/>
              <w:autoSpaceDN/>
              <w:adjustRightInd/>
              <w:jc w:val="center"/>
              <w:rPr>
                <w:sz w:val="20"/>
                <w:szCs w:val="20"/>
              </w:rPr>
            </w:pPr>
            <w:r w:rsidRPr="009D3964">
              <w:rPr>
                <w:sz w:val="20"/>
                <w:szCs w:val="20"/>
              </w:rPr>
              <w:t>543</w:t>
            </w:r>
          </w:p>
        </w:tc>
      </w:tr>
      <w:tr w:rsidR="00981470" w:rsidRPr="009D3964" w:rsidTr="00CB6715">
        <w:trPr>
          <w:trHeight w:val="255"/>
        </w:trPr>
        <w:tc>
          <w:tcPr>
            <w:tcW w:w="2497" w:type="dxa"/>
            <w:tcBorders>
              <w:top w:val="nil"/>
              <w:left w:val="single" w:sz="8" w:space="0" w:color="auto"/>
              <w:bottom w:val="nil"/>
              <w:right w:val="single" w:sz="8" w:space="0" w:color="auto"/>
            </w:tcBorders>
            <w:shd w:val="clear" w:color="auto" w:fill="auto"/>
            <w:noWrap/>
            <w:vAlign w:val="bottom"/>
          </w:tcPr>
          <w:p w:rsidR="00981470" w:rsidRPr="009D3964" w:rsidRDefault="00981470" w:rsidP="00CB6715">
            <w:pPr>
              <w:widowControl/>
              <w:autoSpaceDE/>
              <w:autoSpaceDN/>
              <w:adjustRightInd/>
              <w:rPr>
                <w:sz w:val="20"/>
                <w:szCs w:val="20"/>
              </w:rPr>
            </w:pPr>
            <w:r w:rsidRPr="009D3964">
              <w:rPr>
                <w:sz w:val="20"/>
                <w:szCs w:val="20"/>
              </w:rPr>
              <w:t>Post-Service</w:t>
            </w:r>
          </w:p>
        </w:tc>
        <w:tc>
          <w:tcPr>
            <w:tcW w:w="1055" w:type="dxa"/>
            <w:tcBorders>
              <w:top w:val="nil"/>
              <w:left w:val="nil"/>
              <w:bottom w:val="nil"/>
              <w:right w:val="nil"/>
            </w:tcBorders>
            <w:shd w:val="clear" w:color="auto" w:fill="auto"/>
            <w:noWrap/>
            <w:vAlign w:val="bottom"/>
          </w:tcPr>
          <w:p w:rsidR="00981470" w:rsidRPr="009D3964" w:rsidRDefault="00981470" w:rsidP="00CB6715">
            <w:pPr>
              <w:widowControl/>
              <w:autoSpaceDE/>
              <w:autoSpaceDN/>
              <w:adjustRightInd/>
              <w:rPr>
                <w:sz w:val="20"/>
                <w:szCs w:val="20"/>
              </w:rPr>
            </w:pPr>
          </w:p>
        </w:tc>
        <w:tc>
          <w:tcPr>
            <w:tcW w:w="1032" w:type="dxa"/>
            <w:tcBorders>
              <w:top w:val="nil"/>
              <w:left w:val="nil"/>
              <w:bottom w:val="nil"/>
              <w:right w:val="single" w:sz="8" w:space="0" w:color="auto"/>
            </w:tcBorders>
            <w:shd w:val="clear" w:color="auto" w:fill="auto"/>
            <w:noWrap/>
            <w:vAlign w:val="bottom"/>
          </w:tcPr>
          <w:p w:rsidR="00981470" w:rsidRPr="009D3964" w:rsidRDefault="00981470" w:rsidP="00CB6715">
            <w:pPr>
              <w:widowControl/>
              <w:autoSpaceDE/>
              <w:autoSpaceDN/>
              <w:adjustRightInd/>
              <w:rPr>
                <w:sz w:val="20"/>
                <w:szCs w:val="20"/>
              </w:rPr>
            </w:pPr>
            <w:r w:rsidRPr="009D3964">
              <w:rPr>
                <w:sz w:val="20"/>
                <w:szCs w:val="20"/>
              </w:rPr>
              <w:t> </w:t>
            </w:r>
          </w:p>
        </w:tc>
        <w:tc>
          <w:tcPr>
            <w:tcW w:w="1056" w:type="dxa"/>
            <w:tcBorders>
              <w:top w:val="nil"/>
              <w:left w:val="nil"/>
              <w:bottom w:val="nil"/>
              <w:right w:val="nil"/>
            </w:tcBorders>
            <w:shd w:val="clear" w:color="auto" w:fill="auto"/>
            <w:noWrap/>
            <w:vAlign w:val="bottom"/>
          </w:tcPr>
          <w:p w:rsidR="00981470" w:rsidRPr="009D3964" w:rsidRDefault="00981470" w:rsidP="00CB6715">
            <w:pPr>
              <w:widowControl/>
              <w:autoSpaceDE/>
              <w:autoSpaceDN/>
              <w:adjustRightInd/>
              <w:rPr>
                <w:sz w:val="20"/>
                <w:szCs w:val="20"/>
              </w:rPr>
            </w:pPr>
          </w:p>
        </w:tc>
        <w:tc>
          <w:tcPr>
            <w:tcW w:w="1032" w:type="dxa"/>
            <w:tcBorders>
              <w:top w:val="nil"/>
              <w:left w:val="nil"/>
              <w:bottom w:val="nil"/>
              <w:right w:val="single" w:sz="8" w:space="0" w:color="auto"/>
            </w:tcBorders>
            <w:shd w:val="clear" w:color="auto" w:fill="auto"/>
            <w:noWrap/>
            <w:vAlign w:val="bottom"/>
          </w:tcPr>
          <w:p w:rsidR="00981470" w:rsidRPr="009D3964" w:rsidRDefault="00981470" w:rsidP="00CB6715">
            <w:pPr>
              <w:widowControl/>
              <w:autoSpaceDE/>
              <w:autoSpaceDN/>
              <w:adjustRightInd/>
              <w:rPr>
                <w:sz w:val="20"/>
                <w:szCs w:val="20"/>
              </w:rPr>
            </w:pPr>
            <w:r w:rsidRPr="009D3964">
              <w:rPr>
                <w:sz w:val="20"/>
                <w:szCs w:val="20"/>
              </w:rPr>
              <w:t> </w:t>
            </w:r>
          </w:p>
        </w:tc>
        <w:tc>
          <w:tcPr>
            <w:tcW w:w="1056" w:type="dxa"/>
            <w:tcBorders>
              <w:top w:val="nil"/>
              <w:left w:val="nil"/>
              <w:bottom w:val="nil"/>
              <w:right w:val="nil"/>
            </w:tcBorders>
            <w:shd w:val="clear" w:color="auto" w:fill="auto"/>
            <w:noWrap/>
            <w:vAlign w:val="bottom"/>
          </w:tcPr>
          <w:p w:rsidR="00981470" w:rsidRPr="009D3964" w:rsidRDefault="00981470" w:rsidP="00CB6715">
            <w:pPr>
              <w:widowControl/>
              <w:autoSpaceDE/>
              <w:autoSpaceDN/>
              <w:adjustRightInd/>
              <w:rPr>
                <w:sz w:val="20"/>
                <w:szCs w:val="20"/>
              </w:rPr>
            </w:pPr>
          </w:p>
        </w:tc>
        <w:tc>
          <w:tcPr>
            <w:tcW w:w="1032" w:type="dxa"/>
            <w:tcBorders>
              <w:top w:val="nil"/>
              <w:left w:val="nil"/>
              <w:bottom w:val="nil"/>
              <w:right w:val="single" w:sz="8" w:space="0" w:color="auto"/>
            </w:tcBorders>
            <w:shd w:val="clear" w:color="auto" w:fill="auto"/>
            <w:noWrap/>
            <w:vAlign w:val="bottom"/>
          </w:tcPr>
          <w:p w:rsidR="00981470" w:rsidRPr="009D3964" w:rsidRDefault="00981470" w:rsidP="00CB6715">
            <w:pPr>
              <w:widowControl/>
              <w:autoSpaceDE/>
              <w:autoSpaceDN/>
              <w:adjustRightInd/>
              <w:rPr>
                <w:sz w:val="20"/>
                <w:szCs w:val="20"/>
              </w:rPr>
            </w:pPr>
            <w:r w:rsidRPr="009D3964">
              <w:rPr>
                <w:sz w:val="20"/>
                <w:szCs w:val="20"/>
              </w:rPr>
              <w:t> </w:t>
            </w:r>
          </w:p>
        </w:tc>
      </w:tr>
      <w:tr w:rsidR="00981470" w:rsidRPr="009D3964" w:rsidTr="00CB6715">
        <w:trPr>
          <w:trHeight w:val="255"/>
        </w:trPr>
        <w:tc>
          <w:tcPr>
            <w:tcW w:w="2497" w:type="dxa"/>
            <w:tcBorders>
              <w:top w:val="nil"/>
              <w:left w:val="single" w:sz="8" w:space="0" w:color="auto"/>
              <w:bottom w:val="nil"/>
              <w:right w:val="single" w:sz="8" w:space="0" w:color="auto"/>
            </w:tcBorders>
            <w:shd w:val="clear" w:color="auto" w:fill="auto"/>
            <w:noWrap/>
            <w:vAlign w:val="bottom"/>
          </w:tcPr>
          <w:p w:rsidR="00981470" w:rsidRPr="009D3964" w:rsidRDefault="00981470" w:rsidP="008D59EF">
            <w:pPr>
              <w:widowControl/>
              <w:autoSpaceDE/>
              <w:autoSpaceDN/>
              <w:adjustRightInd/>
              <w:ind w:firstLineChars="100" w:firstLine="200"/>
              <w:rPr>
                <w:sz w:val="20"/>
                <w:szCs w:val="20"/>
              </w:rPr>
            </w:pPr>
            <w:r w:rsidRPr="009D3964">
              <w:rPr>
                <w:sz w:val="20"/>
                <w:szCs w:val="20"/>
              </w:rPr>
              <w:t>Claims Approved</w:t>
            </w:r>
          </w:p>
        </w:tc>
        <w:tc>
          <w:tcPr>
            <w:tcW w:w="1055" w:type="dxa"/>
            <w:tcBorders>
              <w:top w:val="nil"/>
              <w:left w:val="nil"/>
              <w:bottom w:val="nil"/>
              <w:right w:val="nil"/>
            </w:tcBorders>
            <w:shd w:val="clear" w:color="auto" w:fill="auto"/>
            <w:noWrap/>
            <w:vAlign w:val="bottom"/>
          </w:tcPr>
          <w:p w:rsidR="00981470" w:rsidRPr="009D3964" w:rsidRDefault="00981470" w:rsidP="00CB6715">
            <w:pPr>
              <w:widowControl/>
              <w:autoSpaceDE/>
              <w:autoSpaceDN/>
              <w:adjustRightInd/>
              <w:jc w:val="center"/>
              <w:rPr>
                <w:sz w:val="20"/>
                <w:szCs w:val="20"/>
              </w:rPr>
            </w:pPr>
            <w:r w:rsidRPr="009D3964">
              <w:rPr>
                <w:sz w:val="20"/>
                <w:szCs w:val="20"/>
              </w:rPr>
              <w:t>55,473.0</w:t>
            </w:r>
          </w:p>
        </w:tc>
        <w:tc>
          <w:tcPr>
            <w:tcW w:w="1032" w:type="dxa"/>
            <w:tcBorders>
              <w:top w:val="nil"/>
              <w:left w:val="nil"/>
              <w:bottom w:val="nil"/>
              <w:right w:val="single" w:sz="8" w:space="0" w:color="auto"/>
            </w:tcBorders>
            <w:shd w:val="clear" w:color="auto" w:fill="auto"/>
            <w:noWrap/>
            <w:vAlign w:val="bottom"/>
          </w:tcPr>
          <w:p w:rsidR="00981470" w:rsidRPr="009D3964" w:rsidRDefault="00981470" w:rsidP="00CB6715">
            <w:pPr>
              <w:widowControl/>
              <w:autoSpaceDE/>
              <w:autoSpaceDN/>
              <w:adjustRightInd/>
              <w:jc w:val="center"/>
              <w:rPr>
                <w:sz w:val="20"/>
                <w:szCs w:val="20"/>
              </w:rPr>
            </w:pPr>
            <w:r w:rsidRPr="009D3964">
              <w:rPr>
                <w:sz w:val="20"/>
                <w:szCs w:val="20"/>
              </w:rPr>
              <w:t>45,190.5</w:t>
            </w:r>
          </w:p>
        </w:tc>
        <w:tc>
          <w:tcPr>
            <w:tcW w:w="1056" w:type="dxa"/>
            <w:tcBorders>
              <w:top w:val="nil"/>
              <w:left w:val="nil"/>
              <w:bottom w:val="nil"/>
              <w:right w:val="nil"/>
            </w:tcBorders>
            <w:shd w:val="clear" w:color="auto" w:fill="auto"/>
            <w:noWrap/>
            <w:vAlign w:val="bottom"/>
          </w:tcPr>
          <w:p w:rsidR="00981470" w:rsidRPr="009D3964" w:rsidRDefault="00981470" w:rsidP="00CB6715">
            <w:pPr>
              <w:widowControl/>
              <w:autoSpaceDE/>
              <w:autoSpaceDN/>
              <w:adjustRightInd/>
              <w:jc w:val="center"/>
              <w:rPr>
                <w:sz w:val="20"/>
                <w:szCs w:val="20"/>
              </w:rPr>
            </w:pPr>
            <w:r w:rsidRPr="009D3964">
              <w:rPr>
                <w:sz w:val="20"/>
                <w:szCs w:val="20"/>
              </w:rPr>
              <w:t>101,134.3</w:t>
            </w:r>
          </w:p>
        </w:tc>
        <w:tc>
          <w:tcPr>
            <w:tcW w:w="1032" w:type="dxa"/>
            <w:tcBorders>
              <w:top w:val="nil"/>
              <w:left w:val="nil"/>
              <w:bottom w:val="nil"/>
              <w:right w:val="single" w:sz="8" w:space="0" w:color="auto"/>
            </w:tcBorders>
            <w:shd w:val="clear" w:color="auto" w:fill="auto"/>
            <w:noWrap/>
            <w:vAlign w:val="bottom"/>
          </w:tcPr>
          <w:p w:rsidR="00981470" w:rsidRPr="009D3964" w:rsidRDefault="00981470" w:rsidP="00CB6715">
            <w:pPr>
              <w:widowControl/>
              <w:autoSpaceDE/>
              <w:autoSpaceDN/>
              <w:adjustRightInd/>
              <w:jc w:val="center"/>
              <w:rPr>
                <w:sz w:val="20"/>
                <w:szCs w:val="20"/>
              </w:rPr>
            </w:pPr>
            <w:r w:rsidRPr="009D3964">
              <w:rPr>
                <w:sz w:val="20"/>
                <w:szCs w:val="20"/>
              </w:rPr>
              <w:t>72,304.8</w:t>
            </w:r>
          </w:p>
        </w:tc>
        <w:tc>
          <w:tcPr>
            <w:tcW w:w="1056" w:type="dxa"/>
            <w:tcBorders>
              <w:top w:val="nil"/>
              <w:left w:val="nil"/>
              <w:bottom w:val="nil"/>
              <w:right w:val="nil"/>
            </w:tcBorders>
            <w:shd w:val="clear" w:color="auto" w:fill="auto"/>
            <w:noWrap/>
            <w:vAlign w:val="bottom"/>
          </w:tcPr>
          <w:p w:rsidR="00981470" w:rsidRPr="009D3964" w:rsidRDefault="00981470" w:rsidP="00CB6715">
            <w:pPr>
              <w:widowControl/>
              <w:autoSpaceDE/>
              <w:autoSpaceDN/>
              <w:adjustRightInd/>
              <w:jc w:val="center"/>
              <w:rPr>
                <w:sz w:val="20"/>
                <w:szCs w:val="20"/>
              </w:rPr>
            </w:pPr>
            <w:r w:rsidRPr="009D3964">
              <w:rPr>
                <w:sz w:val="20"/>
                <w:szCs w:val="20"/>
              </w:rPr>
              <w:t>138,719.3</w:t>
            </w:r>
          </w:p>
        </w:tc>
        <w:tc>
          <w:tcPr>
            <w:tcW w:w="1032" w:type="dxa"/>
            <w:tcBorders>
              <w:top w:val="nil"/>
              <w:left w:val="nil"/>
              <w:bottom w:val="nil"/>
              <w:right w:val="single" w:sz="8" w:space="0" w:color="auto"/>
            </w:tcBorders>
            <w:shd w:val="clear" w:color="auto" w:fill="auto"/>
            <w:noWrap/>
            <w:vAlign w:val="bottom"/>
          </w:tcPr>
          <w:p w:rsidR="00981470" w:rsidRPr="009D3964" w:rsidRDefault="00981470" w:rsidP="00CB6715">
            <w:pPr>
              <w:widowControl/>
              <w:autoSpaceDE/>
              <w:autoSpaceDN/>
              <w:adjustRightInd/>
              <w:jc w:val="center"/>
              <w:rPr>
                <w:sz w:val="20"/>
                <w:szCs w:val="20"/>
              </w:rPr>
            </w:pPr>
            <w:r w:rsidRPr="009D3964">
              <w:rPr>
                <w:sz w:val="20"/>
                <w:szCs w:val="20"/>
              </w:rPr>
              <w:t>88,573.4</w:t>
            </w:r>
          </w:p>
        </w:tc>
      </w:tr>
      <w:tr w:rsidR="00981470" w:rsidRPr="009D3964" w:rsidTr="00CB6715">
        <w:trPr>
          <w:trHeight w:val="255"/>
        </w:trPr>
        <w:tc>
          <w:tcPr>
            <w:tcW w:w="2497" w:type="dxa"/>
            <w:tcBorders>
              <w:top w:val="nil"/>
              <w:left w:val="single" w:sz="8" w:space="0" w:color="auto"/>
              <w:bottom w:val="nil"/>
              <w:right w:val="single" w:sz="8" w:space="0" w:color="auto"/>
            </w:tcBorders>
            <w:shd w:val="clear" w:color="auto" w:fill="auto"/>
            <w:noWrap/>
            <w:vAlign w:val="bottom"/>
          </w:tcPr>
          <w:p w:rsidR="00981470" w:rsidRPr="009D3964" w:rsidRDefault="00981470" w:rsidP="008D59EF">
            <w:pPr>
              <w:widowControl/>
              <w:autoSpaceDE/>
              <w:autoSpaceDN/>
              <w:adjustRightInd/>
              <w:ind w:firstLineChars="100" w:firstLine="200"/>
              <w:rPr>
                <w:sz w:val="20"/>
                <w:szCs w:val="20"/>
              </w:rPr>
            </w:pPr>
            <w:r w:rsidRPr="009D3964">
              <w:rPr>
                <w:sz w:val="20"/>
                <w:szCs w:val="20"/>
              </w:rPr>
              <w:t>Claim Denied</w:t>
            </w:r>
          </w:p>
        </w:tc>
        <w:tc>
          <w:tcPr>
            <w:tcW w:w="1055" w:type="dxa"/>
            <w:tcBorders>
              <w:top w:val="nil"/>
              <w:left w:val="nil"/>
              <w:bottom w:val="nil"/>
              <w:right w:val="nil"/>
            </w:tcBorders>
            <w:shd w:val="clear" w:color="auto" w:fill="auto"/>
            <w:noWrap/>
            <w:vAlign w:val="bottom"/>
          </w:tcPr>
          <w:p w:rsidR="00981470" w:rsidRPr="009D3964" w:rsidRDefault="00981470" w:rsidP="00CB6715">
            <w:pPr>
              <w:widowControl/>
              <w:autoSpaceDE/>
              <w:autoSpaceDN/>
              <w:adjustRightInd/>
              <w:jc w:val="center"/>
              <w:rPr>
                <w:sz w:val="20"/>
                <w:szCs w:val="20"/>
              </w:rPr>
            </w:pPr>
            <w:r w:rsidRPr="009D3964">
              <w:rPr>
                <w:sz w:val="20"/>
                <w:szCs w:val="20"/>
              </w:rPr>
              <w:t>10,237</w:t>
            </w:r>
          </w:p>
        </w:tc>
        <w:tc>
          <w:tcPr>
            <w:tcW w:w="1032" w:type="dxa"/>
            <w:tcBorders>
              <w:top w:val="nil"/>
              <w:left w:val="nil"/>
              <w:bottom w:val="nil"/>
              <w:right w:val="single" w:sz="8" w:space="0" w:color="auto"/>
            </w:tcBorders>
            <w:shd w:val="clear" w:color="auto" w:fill="auto"/>
            <w:noWrap/>
            <w:vAlign w:val="bottom"/>
          </w:tcPr>
          <w:p w:rsidR="00981470" w:rsidRPr="009D3964" w:rsidRDefault="00981470" w:rsidP="00CB6715">
            <w:pPr>
              <w:widowControl/>
              <w:autoSpaceDE/>
              <w:autoSpaceDN/>
              <w:adjustRightInd/>
              <w:jc w:val="center"/>
              <w:rPr>
                <w:sz w:val="20"/>
                <w:szCs w:val="20"/>
              </w:rPr>
            </w:pPr>
            <w:r w:rsidRPr="009D3964">
              <w:rPr>
                <w:sz w:val="20"/>
                <w:szCs w:val="20"/>
              </w:rPr>
              <w:t>8,955</w:t>
            </w:r>
          </w:p>
        </w:tc>
        <w:tc>
          <w:tcPr>
            <w:tcW w:w="1056" w:type="dxa"/>
            <w:tcBorders>
              <w:top w:val="nil"/>
              <w:left w:val="nil"/>
              <w:bottom w:val="nil"/>
              <w:right w:val="nil"/>
            </w:tcBorders>
            <w:shd w:val="clear" w:color="auto" w:fill="auto"/>
            <w:noWrap/>
            <w:vAlign w:val="bottom"/>
          </w:tcPr>
          <w:p w:rsidR="00981470" w:rsidRPr="009D3964" w:rsidRDefault="00981470" w:rsidP="00CB6715">
            <w:pPr>
              <w:widowControl/>
              <w:autoSpaceDE/>
              <w:autoSpaceDN/>
              <w:adjustRightInd/>
              <w:jc w:val="center"/>
              <w:rPr>
                <w:sz w:val="20"/>
                <w:szCs w:val="20"/>
              </w:rPr>
            </w:pPr>
            <w:r w:rsidRPr="009D3964">
              <w:rPr>
                <w:sz w:val="20"/>
                <w:szCs w:val="20"/>
              </w:rPr>
              <w:t>18,664</w:t>
            </w:r>
          </w:p>
        </w:tc>
        <w:tc>
          <w:tcPr>
            <w:tcW w:w="1032" w:type="dxa"/>
            <w:tcBorders>
              <w:top w:val="nil"/>
              <w:left w:val="nil"/>
              <w:bottom w:val="nil"/>
              <w:right w:val="single" w:sz="8" w:space="0" w:color="auto"/>
            </w:tcBorders>
            <w:shd w:val="clear" w:color="auto" w:fill="auto"/>
            <w:noWrap/>
            <w:vAlign w:val="bottom"/>
          </w:tcPr>
          <w:p w:rsidR="00981470" w:rsidRPr="009D3964" w:rsidRDefault="00981470" w:rsidP="00CB6715">
            <w:pPr>
              <w:widowControl/>
              <w:autoSpaceDE/>
              <w:autoSpaceDN/>
              <w:adjustRightInd/>
              <w:jc w:val="center"/>
              <w:rPr>
                <w:sz w:val="20"/>
                <w:szCs w:val="20"/>
              </w:rPr>
            </w:pPr>
            <w:r w:rsidRPr="009D3964">
              <w:rPr>
                <w:sz w:val="20"/>
                <w:szCs w:val="20"/>
              </w:rPr>
              <w:t>14,327</w:t>
            </w:r>
          </w:p>
        </w:tc>
        <w:tc>
          <w:tcPr>
            <w:tcW w:w="1056" w:type="dxa"/>
            <w:tcBorders>
              <w:top w:val="nil"/>
              <w:left w:val="nil"/>
              <w:bottom w:val="nil"/>
              <w:right w:val="nil"/>
            </w:tcBorders>
            <w:shd w:val="clear" w:color="auto" w:fill="auto"/>
            <w:noWrap/>
            <w:vAlign w:val="bottom"/>
          </w:tcPr>
          <w:p w:rsidR="00981470" w:rsidRPr="009D3964" w:rsidRDefault="00981470" w:rsidP="00CB6715">
            <w:pPr>
              <w:widowControl/>
              <w:autoSpaceDE/>
              <w:autoSpaceDN/>
              <w:adjustRightInd/>
              <w:jc w:val="center"/>
              <w:rPr>
                <w:sz w:val="20"/>
                <w:szCs w:val="20"/>
              </w:rPr>
            </w:pPr>
            <w:r w:rsidRPr="009D3964">
              <w:rPr>
                <w:sz w:val="20"/>
                <w:szCs w:val="20"/>
              </w:rPr>
              <w:t>25,600</w:t>
            </w:r>
          </w:p>
        </w:tc>
        <w:tc>
          <w:tcPr>
            <w:tcW w:w="1032" w:type="dxa"/>
            <w:tcBorders>
              <w:top w:val="nil"/>
              <w:left w:val="nil"/>
              <w:bottom w:val="nil"/>
              <w:right w:val="single" w:sz="8" w:space="0" w:color="auto"/>
            </w:tcBorders>
            <w:shd w:val="clear" w:color="auto" w:fill="auto"/>
            <w:noWrap/>
            <w:vAlign w:val="bottom"/>
          </w:tcPr>
          <w:p w:rsidR="00981470" w:rsidRPr="009D3964" w:rsidRDefault="00981470" w:rsidP="00CB6715">
            <w:pPr>
              <w:widowControl/>
              <w:autoSpaceDE/>
              <w:autoSpaceDN/>
              <w:adjustRightInd/>
              <w:jc w:val="center"/>
              <w:rPr>
                <w:sz w:val="20"/>
                <w:szCs w:val="20"/>
              </w:rPr>
            </w:pPr>
            <w:r w:rsidRPr="009D3964">
              <w:rPr>
                <w:sz w:val="20"/>
                <w:szCs w:val="20"/>
              </w:rPr>
              <w:t>17,551</w:t>
            </w:r>
          </w:p>
        </w:tc>
      </w:tr>
      <w:tr w:rsidR="00981470" w:rsidRPr="009D3964" w:rsidTr="00CB6715">
        <w:trPr>
          <w:trHeight w:val="255"/>
        </w:trPr>
        <w:tc>
          <w:tcPr>
            <w:tcW w:w="2497" w:type="dxa"/>
            <w:tcBorders>
              <w:top w:val="nil"/>
              <w:left w:val="single" w:sz="8" w:space="0" w:color="auto"/>
              <w:bottom w:val="nil"/>
              <w:right w:val="single" w:sz="8" w:space="0" w:color="auto"/>
            </w:tcBorders>
            <w:shd w:val="clear" w:color="auto" w:fill="auto"/>
            <w:noWrap/>
            <w:vAlign w:val="bottom"/>
          </w:tcPr>
          <w:p w:rsidR="00981470" w:rsidRPr="009D3964" w:rsidRDefault="00981470" w:rsidP="008D59EF">
            <w:pPr>
              <w:widowControl/>
              <w:autoSpaceDE/>
              <w:autoSpaceDN/>
              <w:adjustRightInd/>
              <w:ind w:firstLineChars="100" w:firstLine="200"/>
              <w:rPr>
                <w:sz w:val="20"/>
                <w:szCs w:val="20"/>
              </w:rPr>
            </w:pPr>
            <w:r w:rsidRPr="009D3964">
              <w:rPr>
                <w:sz w:val="20"/>
                <w:szCs w:val="20"/>
              </w:rPr>
              <w:t>Claim Extended</w:t>
            </w:r>
          </w:p>
        </w:tc>
        <w:tc>
          <w:tcPr>
            <w:tcW w:w="1055" w:type="dxa"/>
            <w:tcBorders>
              <w:top w:val="nil"/>
              <w:left w:val="nil"/>
              <w:bottom w:val="nil"/>
              <w:right w:val="nil"/>
            </w:tcBorders>
            <w:shd w:val="clear" w:color="auto" w:fill="auto"/>
            <w:noWrap/>
            <w:vAlign w:val="bottom"/>
          </w:tcPr>
          <w:p w:rsidR="00981470" w:rsidRPr="009D3964" w:rsidRDefault="00981470" w:rsidP="00CB6715">
            <w:pPr>
              <w:widowControl/>
              <w:autoSpaceDE/>
              <w:autoSpaceDN/>
              <w:adjustRightInd/>
              <w:jc w:val="center"/>
              <w:rPr>
                <w:sz w:val="20"/>
                <w:szCs w:val="20"/>
              </w:rPr>
            </w:pPr>
            <w:r w:rsidRPr="009D3964">
              <w:rPr>
                <w:sz w:val="20"/>
                <w:szCs w:val="20"/>
              </w:rPr>
              <w:t>2,539</w:t>
            </w:r>
          </w:p>
        </w:tc>
        <w:tc>
          <w:tcPr>
            <w:tcW w:w="1032" w:type="dxa"/>
            <w:tcBorders>
              <w:top w:val="nil"/>
              <w:left w:val="nil"/>
              <w:bottom w:val="nil"/>
              <w:right w:val="single" w:sz="8" w:space="0" w:color="auto"/>
            </w:tcBorders>
            <w:shd w:val="clear" w:color="auto" w:fill="auto"/>
            <w:noWrap/>
            <w:vAlign w:val="bottom"/>
          </w:tcPr>
          <w:p w:rsidR="00981470" w:rsidRPr="009D3964" w:rsidRDefault="00981470" w:rsidP="00CB6715">
            <w:pPr>
              <w:widowControl/>
              <w:autoSpaceDE/>
              <w:autoSpaceDN/>
              <w:adjustRightInd/>
              <w:jc w:val="center"/>
              <w:rPr>
                <w:sz w:val="20"/>
                <w:szCs w:val="20"/>
              </w:rPr>
            </w:pPr>
            <w:r w:rsidRPr="009D3964">
              <w:rPr>
                <w:sz w:val="20"/>
                <w:szCs w:val="20"/>
              </w:rPr>
              <w:t>5,552</w:t>
            </w:r>
          </w:p>
        </w:tc>
        <w:tc>
          <w:tcPr>
            <w:tcW w:w="1056" w:type="dxa"/>
            <w:tcBorders>
              <w:top w:val="nil"/>
              <w:left w:val="nil"/>
              <w:bottom w:val="nil"/>
              <w:right w:val="nil"/>
            </w:tcBorders>
            <w:shd w:val="clear" w:color="auto" w:fill="auto"/>
            <w:noWrap/>
            <w:vAlign w:val="bottom"/>
          </w:tcPr>
          <w:p w:rsidR="00981470" w:rsidRPr="009D3964" w:rsidRDefault="00981470" w:rsidP="00CB6715">
            <w:pPr>
              <w:widowControl/>
              <w:autoSpaceDE/>
              <w:autoSpaceDN/>
              <w:adjustRightInd/>
              <w:jc w:val="center"/>
              <w:rPr>
                <w:sz w:val="20"/>
                <w:szCs w:val="20"/>
              </w:rPr>
            </w:pPr>
            <w:r w:rsidRPr="009D3964">
              <w:rPr>
                <w:sz w:val="20"/>
                <w:szCs w:val="20"/>
              </w:rPr>
              <w:t>4,629</w:t>
            </w:r>
          </w:p>
        </w:tc>
        <w:tc>
          <w:tcPr>
            <w:tcW w:w="1032" w:type="dxa"/>
            <w:tcBorders>
              <w:top w:val="nil"/>
              <w:left w:val="nil"/>
              <w:bottom w:val="nil"/>
              <w:right w:val="single" w:sz="8" w:space="0" w:color="auto"/>
            </w:tcBorders>
            <w:shd w:val="clear" w:color="auto" w:fill="auto"/>
            <w:noWrap/>
            <w:vAlign w:val="bottom"/>
          </w:tcPr>
          <w:p w:rsidR="00981470" w:rsidRPr="009D3964" w:rsidRDefault="00981470" w:rsidP="00CB6715">
            <w:pPr>
              <w:widowControl/>
              <w:autoSpaceDE/>
              <w:autoSpaceDN/>
              <w:adjustRightInd/>
              <w:jc w:val="center"/>
              <w:rPr>
                <w:sz w:val="20"/>
                <w:szCs w:val="20"/>
              </w:rPr>
            </w:pPr>
            <w:r w:rsidRPr="009D3964">
              <w:rPr>
                <w:sz w:val="20"/>
                <w:szCs w:val="20"/>
              </w:rPr>
              <w:t>8,883</w:t>
            </w:r>
          </w:p>
        </w:tc>
        <w:tc>
          <w:tcPr>
            <w:tcW w:w="1056" w:type="dxa"/>
            <w:tcBorders>
              <w:top w:val="nil"/>
              <w:left w:val="nil"/>
              <w:bottom w:val="nil"/>
              <w:right w:val="nil"/>
            </w:tcBorders>
            <w:shd w:val="clear" w:color="auto" w:fill="auto"/>
            <w:noWrap/>
            <w:vAlign w:val="bottom"/>
          </w:tcPr>
          <w:p w:rsidR="00981470" w:rsidRPr="009D3964" w:rsidRDefault="00981470" w:rsidP="00CB6715">
            <w:pPr>
              <w:widowControl/>
              <w:autoSpaceDE/>
              <w:autoSpaceDN/>
              <w:adjustRightInd/>
              <w:jc w:val="center"/>
              <w:rPr>
                <w:sz w:val="20"/>
                <w:szCs w:val="20"/>
              </w:rPr>
            </w:pPr>
            <w:r w:rsidRPr="009D3964">
              <w:rPr>
                <w:sz w:val="20"/>
                <w:szCs w:val="20"/>
              </w:rPr>
              <w:t>6,349</w:t>
            </w:r>
          </w:p>
        </w:tc>
        <w:tc>
          <w:tcPr>
            <w:tcW w:w="1032" w:type="dxa"/>
            <w:tcBorders>
              <w:top w:val="nil"/>
              <w:left w:val="nil"/>
              <w:bottom w:val="nil"/>
              <w:right w:val="single" w:sz="8" w:space="0" w:color="auto"/>
            </w:tcBorders>
            <w:shd w:val="clear" w:color="auto" w:fill="auto"/>
            <w:noWrap/>
            <w:vAlign w:val="bottom"/>
          </w:tcPr>
          <w:p w:rsidR="00981470" w:rsidRPr="009D3964" w:rsidRDefault="00981470" w:rsidP="00CB6715">
            <w:pPr>
              <w:widowControl/>
              <w:autoSpaceDE/>
              <w:autoSpaceDN/>
              <w:adjustRightInd/>
              <w:jc w:val="center"/>
              <w:rPr>
                <w:sz w:val="20"/>
                <w:szCs w:val="20"/>
              </w:rPr>
            </w:pPr>
            <w:r w:rsidRPr="009D3964">
              <w:rPr>
                <w:sz w:val="20"/>
                <w:szCs w:val="20"/>
              </w:rPr>
              <w:t>10,882</w:t>
            </w:r>
          </w:p>
        </w:tc>
      </w:tr>
      <w:tr w:rsidR="00981470" w:rsidRPr="009D3964" w:rsidTr="00CB6715">
        <w:trPr>
          <w:trHeight w:val="255"/>
        </w:trPr>
        <w:tc>
          <w:tcPr>
            <w:tcW w:w="2497" w:type="dxa"/>
            <w:tcBorders>
              <w:top w:val="nil"/>
              <w:left w:val="single" w:sz="8" w:space="0" w:color="auto"/>
              <w:bottom w:val="nil"/>
              <w:right w:val="single" w:sz="8" w:space="0" w:color="auto"/>
            </w:tcBorders>
            <w:shd w:val="clear" w:color="auto" w:fill="auto"/>
            <w:noWrap/>
            <w:vAlign w:val="bottom"/>
          </w:tcPr>
          <w:p w:rsidR="00981470" w:rsidRPr="009D3964" w:rsidRDefault="00981470" w:rsidP="00CB6715">
            <w:pPr>
              <w:widowControl/>
              <w:autoSpaceDE/>
              <w:autoSpaceDN/>
              <w:adjustRightInd/>
              <w:rPr>
                <w:sz w:val="20"/>
                <w:szCs w:val="20"/>
              </w:rPr>
            </w:pPr>
            <w:r w:rsidRPr="009D3964">
              <w:rPr>
                <w:sz w:val="20"/>
                <w:szCs w:val="20"/>
              </w:rPr>
              <w:t> </w:t>
            </w:r>
          </w:p>
        </w:tc>
        <w:tc>
          <w:tcPr>
            <w:tcW w:w="1055" w:type="dxa"/>
            <w:tcBorders>
              <w:top w:val="nil"/>
              <w:left w:val="nil"/>
              <w:bottom w:val="nil"/>
              <w:right w:val="nil"/>
            </w:tcBorders>
            <w:shd w:val="clear" w:color="auto" w:fill="auto"/>
            <w:noWrap/>
            <w:vAlign w:val="bottom"/>
          </w:tcPr>
          <w:p w:rsidR="00981470" w:rsidRPr="009D3964" w:rsidRDefault="00981470" w:rsidP="00CB6715">
            <w:pPr>
              <w:widowControl/>
              <w:autoSpaceDE/>
              <w:autoSpaceDN/>
              <w:adjustRightInd/>
              <w:rPr>
                <w:sz w:val="20"/>
                <w:szCs w:val="20"/>
              </w:rPr>
            </w:pPr>
          </w:p>
        </w:tc>
        <w:tc>
          <w:tcPr>
            <w:tcW w:w="1032" w:type="dxa"/>
            <w:tcBorders>
              <w:top w:val="nil"/>
              <w:left w:val="nil"/>
              <w:bottom w:val="nil"/>
              <w:right w:val="single" w:sz="8" w:space="0" w:color="auto"/>
            </w:tcBorders>
            <w:shd w:val="clear" w:color="auto" w:fill="auto"/>
            <w:noWrap/>
            <w:vAlign w:val="bottom"/>
          </w:tcPr>
          <w:p w:rsidR="00981470" w:rsidRPr="009D3964" w:rsidRDefault="00981470" w:rsidP="00CB6715">
            <w:pPr>
              <w:widowControl/>
              <w:autoSpaceDE/>
              <w:autoSpaceDN/>
              <w:adjustRightInd/>
              <w:rPr>
                <w:sz w:val="20"/>
                <w:szCs w:val="20"/>
              </w:rPr>
            </w:pPr>
            <w:r w:rsidRPr="009D3964">
              <w:rPr>
                <w:sz w:val="20"/>
                <w:szCs w:val="20"/>
              </w:rPr>
              <w:t> </w:t>
            </w:r>
          </w:p>
        </w:tc>
        <w:tc>
          <w:tcPr>
            <w:tcW w:w="1056" w:type="dxa"/>
            <w:tcBorders>
              <w:top w:val="nil"/>
              <w:left w:val="nil"/>
              <w:bottom w:val="nil"/>
              <w:right w:val="nil"/>
            </w:tcBorders>
            <w:shd w:val="clear" w:color="auto" w:fill="auto"/>
            <w:noWrap/>
            <w:vAlign w:val="bottom"/>
          </w:tcPr>
          <w:p w:rsidR="00981470" w:rsidRPr="009D3964" w:rsidRDefault="00981470" w:rsidP="00CB6715">
            <w:pPr>
              <w:widowControl/>
              <w:autoSpaceDE/>
              <w:autoSpaceDN/>
              <w:adjustRightInd/>
              <w:rPr>
                <w:sz w:val="20"/>
                <w:szCs w:val="20"/>
              </w:rPr>
            </w:pPr>
          </w:p>
        </w:tc>
        <w:tc>
          <w:tcPr>
            <w:tcW w:w="1032" w:type="dxa"/>
            <w:tcBorders>
              <w:top w:val="nil"/>
              <w:left w:val="nil"/>
              <w:bottom w:val="nil"/>
              <w:right w:val="single" w:sz="8" w:space="0" w:color="auto"/>
            </w:tcBorders>
            <w:shd w:val="clear" w:color="auto" w:fill="auto"/>
            <w:noWrap/>
            <w:vAlign w:val="bottom"/>
          </w:tcPr>
          <w:p w:rsidR="00981470" w:rsidRPr="009D3964" w:rsidRDefault="00981470" w:rsidP="00CB6715">
            <w:pPr>
              <w:widowControl/>
              <w:autoSpaceDE/>
              <w:autoSpaceDN/>
              <w:adjustRightInd/>
              <w:rPr>
                <w:sz w:val="20"/>
                <w:szCs w:val="20"/>
              </w:rPr>
            </w:pPr>
            <w:r w:rsidRPr="009D3964">
              <w:rPr>
                <w:sz w:val="20"/>
                <w:szCs w:val="20"/>
              </w:rPr>
              <w:t> </w:t>
            </w:r>
          </w:p>
        </w:tc>
        <w:tc>
          <w:tcPr>
            <w:tcW w:w="1056" w:type="dxa"/>
            <w:tcBorders>
              <w:top w:val="nil"/>
              <w:left w:val="nil"/>
              <w:bottom w:val="nil"/>
              <w:right w:val="nil"/>
            </w:tcBorders>
            <w:shd w:val="clear" w:color="auto" w:fill="auto"/>
            <w:noWrap/>
            <w:vAlign w:val="bottom"/>
          </w:tcPr>
          <w:p w:rsidR="00981470" w:rsidRPr="009D3964" w:rsidRDefault="00981470" w:rsidP="00CB6715">
            <w:pPr>
              <w:widowControl/>
              <w:autoSpaceDE/>
              <w:autoSpaceDN/>
              <w:adjustRightInd/>
              <w:rPr>
                <w:sz w:val="20"/>
                <w:szCs w:val="20"/>
              </w:rPr>
            </w:pPr>
          </w:p>
        </w:tc>
        <w:tc>
          <w:tcPr>
            <w:tcW w:w="1032" w:type="dxa"/>
            <w:tcBorders>
              <w:top w:val="nil"/>
              <w:left w:val="nil"/>
              <w:bottom w:val="nil"/>
              <w:right w:val="single" w:sz="8" w:space="0" w:color="auto"/>
            </w:tcBorders>
            <w:shd w:val="clear" w:color="auto" w:fill="auto"/>
            <w:noWrap/>
            <w:vAlign w:val="bottom"/>
          </w:tcPr>
          <w:p w:rsidR="00981470" w:rsidRPr="009D3964" w:rsidRDefault="00981470" w:rsidP="00CB6715">
            <w:pPr>
              <w:widowControl/>
              <w:autoSpaceDE/>
              <w:autoSpaceDN/>
              <w:adjustRightInd/>
              <w:rPr>
                <w:sz w:val="20"/>
                <w:szCs w:val="20"/>
              </w:rPr>
            </w:pPr>
            <w:r w:rsidRPr="009D3964">
              <w:rPr>
                <w:sz w:val="20"/>
                <w:szCs w:val="20"/>
              </w:rPr>
              <w:t> </w:t>
            </w:r>
          </w:p>
        </w:tc>
      </w:tr>
      <w:tr w:rsidR="00981470" w:rsidRPr="009D3964" w:rsidTr="00CB6715">
        <w:trPr>
          <w:trHeight w:val="255"/>
        </w:trPr>
        <w:tc>
          <w:tcPr>
            <w:tcW w:w="2497" w:type="dxa"/>
            <w:tcBorders>
              <w:top w:val="nil"/>
              <w:left w:val="single" w:sz="8" w:space="0" w:color="auto"/>
              <w:bottom w:val="nil"/>
              <w:right w:val="single" w:sz="8" w:space="0" w:color="auto"/>
            </w:tcBorders>
            <w:shd w:val="clear" w:color="auto" w:fill="auto"/>
            <w:noWrap/>
            <w:vAlign w:val="bottom"/>
          </w:tcPr>
          <w:p w:rsidR="00981470" w:rsidRPr="009D3964" w:rsidRDefault="00981470" w:rsidP="00CB6715">
            <w:pPr>
              <w:widowControl/>
              <w:autoSpaceDE/>
              <w:autoSpaceDN/>
              <w:adjustRightInd/>
              <w:rPr>
                <w:b/>
                <w:bCs/>
                <w:sz w:val="20"/>
                <w:szCs w:val="20"/>
              </w:rPr>
            </w:pPr>
            <w:r w:rsidRPr="009D3964">
              <w:rPr>
                <w:b/>
                <w:bCs/>
                <w:sz w:val="20"/>
                <w:szCs w:val="20"/>
              </w:rPr>
              <w:lastRenderedPageBreak/>
              <w:t>Total Internal Appeals</w:t>
            </w:r>
          </w:p>
        </w:tc>
        <w:tc>
          <w:tcPr>
            <w:tcW w:w="1055" w:type="dxa"/>
            <w:tcBorders>
              <w:top w:val="nil"/>
              <w:left w:val="nil"/>
              <w:bottom w:val="nil"/>
              <w:right w:val="nil"/>
            </w:tcBorders>
            <w:shd w:val="clear" w:color="auto" w:fill="auto"/>
            <w:noWrap/>
            <w:vAlign w:val="bottom"/>
          </w:tcPr>
          <w:p w:rsidR="00981470" w:rsidRPr="009D3964" w:rsidRDefault="00981470" w:rsidP="00CB6715">
            <w:pPr>
              <w:widowControl/>
              <w:autoSpaceDE/>
              <w:autoSpaceDN/>
              <w:adjustRightInd/>
              <w:jc w:val="center"/>
              <w:rPr>
                <w:sz w:val="20"/>
                <w:szCs w:val="20"/>
              </w:rPr>
            </w:pPr>
            <w:r w:rsidRPr="009D3964">
              <w:rPr>
                <w:sz w:val="20"/>
                <w:szCs w:val="20"/>
              </w:rPr>
              <w:t>24.1</w:t>
            </w:r>
          </w:p>
        </w:tc>
        <w:tc>
          <w:tcPr>
            <w:tcW w:w="1032" w:type="dxa"/>
            <w:tcBorders>
              <w:top w:val="nil"/>
              <w:left w:val="nil"/>
              <w:bottom w:val="nil"/>
              <w:right w:val="single" w:sz="8" w:space="0" w:color="auto"/>
            </w:tcBorders>
            <w:shd w:val="clear" w:color="auto" w:fill="auto"/>
            <w:noWrap/>
            <w:vAlign w:val="bottom"/>
          </w:tcPr>
          <w:p w:rsidR="00981470" w:rsidRPr="009D3964" w:rsidRDefault="00981470" w:rsidP="00CB6715">
            <w:pPr>
              <w:widowControl/>
              <w:autoSpaceDE/>
              <w:autoSpaceDN/>
              <w:adjustRightInd/>
              <w:jc w:val="center"/>
              <w:rPr>
                <w:sz w:val="20"/>
                <w:szCs w:val="20"/>
              </w:rPr>
            </w:pPr>
            <w:r w:rsidRPr="009D3964">
              <w:rPr>
                <w:sz w:val="20"/>
                <w:szCs w:val="20"/>
              </w:rPr>
              <w:t>52.8</w:t>
            </w:r>
          </w:p>
        </w:tc>
        <w:tc>
          <w:tcPr>
            <w:tcW w:w="1056" w:type="dxa"/>
            <w:tcBorders>
              <w:top w:val="nil"/>
              <w:left w:val="nil"/>
              <w:bottom w:val="nil"/>
              <w:right w:val="nil"/>
            </w:tcBorders>
            <w:shd w:val="clear" w:color="auto" w:fill="auto"/>
            <w:noWrap/>
            <w:vAlign w:val="bottom"/>
          </w:tcPr>
          <w:p w:rsidR="00981470" w:rsidRPr="009D3964" w:rsidRDefault="00981470" w:rsidP="00CB6715">
            <w:pPr>
              <w:widowControl/>
              <w:autoSpaceDE/>
              <w:autoSpaceDN/>
              <w:adjustRightInd/>
              <w:jc w:val="center"/>
              <w:rPr>
                <w:sz w:val="20"/>
                <w:szCs w:val="20"/>
              </w:rPr>
            </w:pPr>
            <w:r w:rsidRPr="009D3964">
              <w:rPr>
                <w:sz w:val="20"/>
                <w:szCs w:val="20"/>
              </w:rPr>
              <w:t>44.0</w:t>
            </w:r>
          </w:p>
        </w:tc>
        <w:tc>
          <w:tcPr>
            <w:tcW w:w="1032" w:type="dxa"/>
            <w:tcBorders>
              <w:top w:val="nil"/>
              <w:left w:val="nil"/>
              <w:bottom w:val="nil"/>
              <w:right w:val="single" w:sz="8" w:space="0" w:color="auto"/>
            </w:tcBorders>
            <w:shd w:val="clear" w:color="auto" w:fill="auto"/>
            <w:noWrap/>
            <w:vAlign w:val="bottom"/>
          </w:tcPr>
          <w:p w:rsidR="00981470" w:rsidRPr="009D3964" w:rsidRDefault="00981470" w:rsidP="00CB6715">
            <w:pPr>
              <w:widowControl/>
              <w:autoSpaceDE/>
              <w:autoSpaceDN/>
              <w:adjustRightInd/>
              <w:jc w:val="center"/>
              <w:rPr>
                <w:sz w:val="20"/>
                <w:szCs w:val="20"/>
              </w:rPr>
            </w:pPr>
            <w:r w:rsidRPr="009D3964">
              <w:rPr>
                <w:sz w:val="20"/>
                <w:szCs w:val="20"/>
              </w:rPr>
              <w:t>84.5</w:t>
            </w:r>
          </w:p>
        </w:tc>
        <w:tc>
          <w:tcPr>
            <w:tcW w:w="1056" w:type="dxa"/>
            <w:tcBorders>
              <w:top w:val="nil"/>
              <w:left w:val="nil"/>
              <w:bottom w:val="nil"/>
              <w:right w:val="nil"/>
            </w:tcBorders>
            <w:shd w:val="clear" w:color="auto" w:fill="auto"/>
            <w:noWrap/>
            <w:vAlign w:val="bottom"/>
          </w:tcPr>
          <w:p w:rsidR="00981470" w:rsidRPr="009D3964" w:rsidRDefault="00981470" w:rsidP="00CB6715">
            <w:pPr>
              <w:widowControl/>
              <w:autoSpaceDE/>
              <w:autoSpaceDN/>
              <w:adjustRightInd/>
              <w:jc w:val="center"/>
              <w:rPr>
                <w:sz w:val="20"/>
                <w:szCs w:val="20"/>
              </w:rPr>
            </w:pPr>
            <w:r w:rsidRPr="009D3964">
              <w:rPr>
                <w:sz w:val="20"/>
                <w:szCs w:val="20"/>
              </w:rPr>
              <w:t>60.4</w:t>
            </w:r>
          </w:p>
        </w:tc>
        <w:tc>
          <w:tcPr>
            <w:tcW w:w="1032" w:type="dxa"/>
            <w:tcBorders>
              <w:top w:val="nil"/>
              <w:left w:val="nil"/>
              <w:bottom w:val="nil"/>
              <w:right w:val="single" w:sz="8" w:space="0" w:color="auto"/>
            </w:tcBorders>
            <w:shd w:val="clear" w:color="auto" w:fill="auto"/>
            <w:noWrap/>
            <w:vAlign w:val="bottom"/>
          </w:tcPr>
          <w:p w:rsidR="00981470" w:rsidRPr="009D3964" w:rsidRDefault="00981470" w:rsidP="00CB6715">
            <w:pPr>
              <w:widowControl/>
              <w:autoSpaceDE/>
              <w:autoSpaceDN/>
              <w:adjustRightInd/>
              <w:jc w:val="center"/>
              <w:rPr>
                <w:sz w:val="20"/>
                <w:szCs w:val="20"/>
              </w:rPr>
            </w:pPr>
            <w:r w:rsidRPr="009D3964">
              <w:rPr>
                <w:sz w:val="20"/>
                <w:szCs w:val="20"/>
              </w:rPr>
              <w:t>103.5</w:t>
            </w:r>
          </w:p>
        </w:tc>
      </w:tr>
      <w:tr w:rsidR="00981470" w:rsidRPr="009D3964" w:rsidTr="00CB6715">
        <w:trPr>
          <w:trHeight w:val="255"/>
        </w:trPr>
        <w:tc>
          <w:tcPr>
            <w:tcW w:w="2497" w:type="dxa"/>
            <w:tcBorders>
              <w:top w:val="nil"/>
              <w:left w:val="single" w:sz="8" w:space="0" w:color="auto"/>
              <w:bottom w:val="nil"/>
              <w:right w:val="single" w:sz="8" w:space="0" w:color="auto"/>
            </w:tcBorders>
            <w:shd w:val="clear" w:color="auto" w:fill="auto"/>
            <w:noWrap/>
            <w:vAlign w:val="bottom"/>
          </w:tcPr>
          <w:p w:rsidR="00981470" w:rsidRPr="009D3964" w:rsidRDefault="00981470" w:rsidP="008D59EF">
            <w:pPr>
              <w:widowControl/>
              <w:autoSpaceDE/>
              <w:autoSpaceDN/>
              <w:adjustRightInd/>
              <w:ind w:firstLineChars="100" w:firstLine="200"/>
              <w:rPr>
                <w:sz w:val="20"/>
                <w:szCs w:val="20"/>
              </w:rPr>
            </w:pPr>
            <w:r w:rsidRPr="009D3964">
              <w:rPr>
                <w:sz w:val="20"/>
                <w:szCs w:val="20"/>
              </w:rPr>
              <w:t>Appeals Upheld</w:t>
            </w:r>
          </w:p>
        </w:tc>
        <w:tc>
          <w:tcPr>
            <w:tcW w:w="1055" w:type="dxa"/>
            <w:tcBorders>
              <w:top w:val="nil"/>
              <w:left w:val="nil"/>
              <w:bottom w:val="nil"/>
              <w:right w:val="nil"/>
            </w:tcBorders>
            <w:shd w:val="clear" w:color="auto" w:fill="auto"/>
            <w:noWrap/>
            <w:vAlign w:val="bottom"/>
          </w:tcPr>
          <w:p w:rsidR="00981470" w:rsidRPr="009D3964" w:rsidRDefault="00981470" w:rsidP="00CB6715">
            <w:pPr>
              <w:widowControl/>
              <w:autoSpaceDE/>
              <w:autoSpaceDN/>
              <w:adjustRightInd/>
              <w:jc w:val="center"/>
              <w:rPr>
                <w:sz w:val="20"/>
                <w:szCs w:val="20"/>
              </w:rPr>
            </w:pPr>
            <w:r w:rsidRPr="009D3964">
              <w:rPr>
                <w:sz w:val="20"/>
                <w:szCs w:val="20"/>
              </w:rPr>
              <w:t>9.7</w:t>
            </w:r>
          </w:p>
        </w:tc>
        <w:tc>
          <w:tcPr>
            <w:tcW w:w="1032" w:type="dxa"/>
            <w:tcBorders>
              <w:top w:val="nil"/>
              <w:left w:val="nil"/>
              <w:bottom w:val="nil"/>
              <w:right w:val="single" w:sz="8" w:space="0" w:color="auto"/>
            </w:tcBorders>
            <w:shd w:val="clear" w:color="auto" w:fill="auto"/>
            <w:noWrap/>
            <w:vAlign w:val="bottom"/>
          </w:tcPr>
          <w:p w:rsidR="00981470" w:rsidRPr="009D3964" w:rsidRDefault="00981470" w:rsidP="00CB6715">
            <w:pPr>
              <w:widowControl/>
              <w:autoSpaceDE/>
              <w:autoSpaceDN/>
              <w:adjustRightInd/>
              <w:jc w:val="center"/>
              <w:rPr>
                <w:sz w:val="20"/>
                <w:szCs w:val="20"/>
              </w:rPr>
            </w:pPr>
            <w:r w:rsidRPr="009D3964">
              <w:rPr>
                <w:sz w:val="20"/>
                <w:szCs w:val="20"/>
              </w:rPr>
              <w:t>21.1</w:t>
            </w:r>
          </w:p>
        </w:tc>
        <w:tc>
          <w:tcPr>
            <w:tcW w:w="1056" w:type="dxa"/>
            <w:tcBorders>
              <w:top w:val="nil"/>
              <w:left w:val="nil"/>
              <w:bottom w:val="nil"/>
              <w:right w:val="nil"/>
            </w:tcBorders>
            <w:shd w:val="clear" w:color="auto" w:fill="auto"/>
            <w:noWrap/>
            <w:vAlign w:val="bottom"/>
          </w:tcPr>
          <w:p w:rsidR="00981470" w:rsidRPr="009D3964" w:rsidRDefault="00981470" w:rsidP="00CB6715">
            <w:pPr>
              <w:widowControl/>
              <w:autoSpaceDE/>
              <w:autoSpaceDN/>
              <w:adjustRightInd/>
              <w:jc w:val="center"/>
              <w:rPr>
                <w:sz w:val="20"/>
                <w:szCs w:val="20"/>
              </w:rPr>
            </w:pPr>
            <w:r w:rsidRPr="009D3964">
              <w:rPr>
                <w:sz w:val="20"/>
                <w:szCs w:val="20"/>
              </w:rPr>
              <w:t>17.6</w:t>
            </w:r>
          </w:p>
        </w:tc>
        <w:tc>
          <w:tcPr>
            <w:tcW w:w="1032" w:type="dxa"/>
            <w:tcBorders>
              <w:top w:val="nil"/>
              <w:left w:val="nil"/>
              <w:bottom w:val="nil"/>
              <w:right w:val="single" w:sz="8" w:space="0" w:color="auto"/>
            </w:tcBorders>
            <w:shd w:val="clear" w:color="auto" w:fill="auto"/>
            <w:noWrap/>
            <w:vAlign w:val="bottom"/>
          </w:tcPr>
          <w:p w:rsidR="00981470" w:rsidRPr="009D3964" w:rsidRDefault="00981470" w:rsidP="00CB6715">
            <w:pPr>
              <w:widowControl/>
              <w:autoSpaceDE/>
              <w:autoSpaceDN/>
              <w:adjustRightInd/>
              <w:jc w:val="center"/>
              <w:rPr>
                <w:sz w:val="20"/>
                <w:szCs w:val="20"/>
              </w:rPr>
            </w:pPr>
            <w:r w:rsidRPr="009D3964">
              <w:rPr>
                <w:sz w:val="20"/>
                <w:szCs w:val="20"/>
              </w:rPr>
              <w:t>33.8</w:t>
            </w:r>
          </w:p>
        </w:tc>
        <w:tc>
          <w:tcPr>
            <w:tcW w:w="1056" w:type="dxa"/>
            <w:tcBorders>
              <w:top w:val="nil"/>
              <w:left w:val="nil"/>
              <w:bottom w:val="nil"/>
              <w:right w:val="nil"/>
            </w:tcBorders>
            <w:shd w:val="clear" w:color="auto" w:fill="auto"/>
            <w:noWrap/>
            <w:vAlign w:val="bottom"/>
          </w:tcPr>
          <w:p w:rsidR="00981470" w:rsidRPr="009D3964" w:rsidRDefault="00981470" w:rsidP="00CB6715">
            <w:pPr>
              <w:widowControl/>
              <w:autoSpaceDE/>
              <w:autoSpaceDN/>
              <w:adjustRightInd/>
              <w:jc w:val="center"/>
              <w:rPr>
                <w:sz w:val="20"/>
                <w:szCs w:val="20"/>
              </w:rPr>
            </w:pPr>
            <w:r w:rsidRPr="009D3964">
              <w:rPr>
                <w:sz w:val="20"/>
                <w:szCs w:val="20"/>
              </w:rPr>
              <w:t>24.1</w:t>
            </w:r>
          </w:p>
        </w:tc>
        <w:tc>
          <w:tcPr>
            <w:tcW w:w="1032" w:type="dxa"/>
            <w:tcBorders>
              <w:top w:val="nil"/>
              <w:left w:val="nil"/>
              <w:bottom w:val="nil"/>
              <w:right w:val="single" w:sz="8" w:space="0" w:color="auto"/>
            </w:tcBorders>
            <w:shd w:val="clear" w:color="auto" w:fill="auto"/>
            <w:noWrap/>
            <w:vAlign w:val="bottom"/>
          </w:tcPr>
          <w:p w:rsidR="00981470" w:rsidRPr="009D3964" w:rsidRDefault="00981470" w:rsidP="00CB6715">
            <w:pPr>
              <w:widowControl/>
              <w:autoSpaceDE/>
              <w:autoSpaceDN/>
              <w:adjustRightInd/>
              <w:jc w:val="center"/>
              <w:rPr>
                <w:sz w:val="20"/>
                <w:szCs w:val="20"/>
              </w:rPr>
            </w:pPr>
            <w:r w:rsidRPr="009D3964">
              <w:rPr>
                <w:sz w:val="20"/>
                <w:szCs w:val="20"/>
              </w:rPr>
              <w:t>41.4</w:t>
            </w:r>
          </w:p>
        </w:tc>
      </w:tr>
      <w:tr w:rsidR="00981470" w:rsidRPr="009D3964" w:rsidTr="00CB6715">
        <w:trPr>
          <w:trHeight w:val="255"/>
        </w:trPr>
        <w:tc>
          <w:tcPr>
            <w:tcW w:w="2497" w:type="dxa"/>
            <w:tcBorders>
              <w:top w:val="nil"/>
              <w:left w:val="single" w:sz="8" w:space="0" w:color="auto"/>
              <w:bottom w:val="nil"/>
              <w:right w:val="single" w:sz="8" w:space="0" w:color="auto"/>
            </w:tcBorders>
            <w:shd w:val="clear" w:color="auto" w:fill="auto"/>
            <w:noWrap/>
            <w:vAlign w:val="bottom"/>
          </w:tcPr>
          <w:p w:rsidR="00981470" w:rsidRPr="009D3964" w:rsidRDefault="00981470" w:rsidP="008D59EF">
            <w:pPr>
              <w:widowControl/>
              <w:autoSpaceDE/>
              <w:autoSpaceDN/>
              <w:adjustRightInd/>
              <w:ind w:firstLineChars="100" w:firstLine="200"/>
              <w:rPr>
                <w:sz w:val="20"/>
                <w:szCs w:val="20"/>
              </w:rPr>
            </w:pPr>
            <w:r w:rsidRPr="009D3964">
              <w:rPr>
                <w:sz w:val="20"/>
                <w:szCs w:val="20"/>
              </w:rPr>
              <w:t>Appeals Denied</w:t>
            </w:r>
          </w:p>
        </w:tc>
        <w:tc>
          <w:tcPr>
            <w:tcW w:w="1055" w:type="dxa"/>
            <w:tcBorders>
              <w:top w:val="nil"/>
              <w:left w:val="nil"/>
              <w:bottom w:val="nil"/>
              <w:right w:val="nil"/>
            </w:tcBorders>
            <w:shd w:val="clear" w:color="auto" w:fill="auto"/>
            <w:noWrap/>
            <w:vAlign w:val="bottom"/>
          </w:tcPr>
          <w:p w:rsidR="00981470" w:rsidRPr="009D3964" w:rsidRDefault="00981470" w:rsidP="00CB6715">
            <w:pPr>
              <w:widowControl/>
              <w:autoSpaceDE/>
              <w:autoSpaceDN/>
              <w:adjustRightInd/>
              <w:jc w:val="center"/>
              <w:rPr>
                <w:sz w:val="20"/>
                <w:szCs w:val="20"/>
              </w:rPr>
            </w:pPr>
            <w:r w:rsidRPr="009D3964">
              <w:rPr>
                <w:sz w:val="20"/>
                <w:szCs w:val="20"/>
              </w:rPr>
              <w:t>14.5</w:t>
            </w:r>
          </w:p>
        </w:tc>
        <w:tc>
          <w:tcPr>
            <w:tcW w:w="1032" w:type="dxa"/>
            <w:tcBorders>
              <w:top w:val="nil"/>
              <w:left w:val="nil"/>
              <w:bottom w:val="nil"/>
              <w:right w:val="single" w:sz="8" w:space="0" w:color="auto"/>
            </w:tcBorders>
            <w:shd w:val="clear" w:color="auto" w:fill="auto"/>
            <w:noWrap/>
            <w:vAlign w:val="bottom"/>
          </w:tcPr>
          <w:p w:rsidR="00981470" w:rsidRPr="009D3964" w:rsidRDefault="00981470" w:rsidP="00CB6715">
            <w:pPr>
              <w:widowControl/>
              <w:autoSpaceDE/>
              <w:autoSpaceDN/>
              <w:adjustRightInd/>
              <w:jc w:val="center"/>
              <w:rPr>
                <w:sz w:val="20"/>
                <w:szCs w:val="20"/>
              </w:rPr>
            </w:pPr>
            <w:r w:rsidRPr="009D3964">
              <w:rPr>
                <w:sz w:val="20"/>
                <w:szCs w:val="20"/>
              </w:rPr>
              <w:t>31.7</w:t>
            </w:r>
          </w:p>
        </w:tc>
        <w:tc>
          <w:tcPr>
            <w:tcW w:w="1056" w:type="dxa"/>
            <w:tcBorders>
              <w:top w:val="nil"/>
              <w:left w:val="nil"/>
              <w:bottom w:val="nil"/>
              <w:right w:val="nil"/>
            </w:tcBorders>
            <w:shd w:val="clear" w:color="auto" w:fill="auto"/>
            <w:noWrap/>
            <w:vAlign w:val="bottom"/>
          </w:tcPr>
          <w:p w:rsidR="00981470" w:rsidRPr="009D3964" w:rsidRDefault="00981470" w:rsidP="00CB6715">
            <w:pPr>
              <w:widowControl/>
              <w:autoSpaceDE/>
              <w:autoSpaceDN/>
              <w:adjustRightInd/>
              <w:jc w:val="center"/>
              <w:rPr>
                <w:sz w:val="20"/>
                <w:szCs w:val="20"/>
              </w:rPr>
            </w:pPr>
            <w:r w:rsidRPr="009D3964">
              <w:rPr>
                <w:sz w:val="20"/>
                <w:szCs w:val="20"/>
              </w:rPr>
              <w:t>26.4</w:t>
            </w:r>
          </w:p>
        </w:tc>
        <w:tc>
          <w:tcPr>
            <w:tcW w:w="1032" w:type="dxa"/>
            <w:tcBorders>
              <w:top w:val="nil"/>
              <w:left w:val="nil"/>
              <w:bottom w:val="nil"/>
              <w:right w:val="single" w:sz="8" w:space="0" w:color="auto"/>
            </w:tcBorders>
            <w:shd w:val="clear" w:color="auto" w:fill="auto"/>
            <w:noWrap/>
            <w:vAlign w:val="bottom"/>
          </w:tcPr>
          <w:p w:rsidR="00981470" w:rsidRPr="009D3964" w:rsidRDefault="00981470" w:rsidP="00CB6715">
            <w:pPr>
              <w:widowControl/>
              <w:autoSpaceDE/>
              <w:autoSpaceDN/>
              <w:adjustRightInd/>
              <w:jc w:val="center"/>
              <w:rPr>
                <w:sz w:val="20"/>
                <w:szCs w:val="20"/>
              </w:rPr>
            </w:pPr>
            <w:r w:rsidRPr="009D3964">
              <w:rPr>
                <w:sz w:val="20"/>
                <w:szCs w:val="20"/>
              </w:rPr>
              <w:t>50.7</w:t>
            </w:r>
          </w:p>
        </w:tc>
        <w:tc>
          <w:tcPr>
            <w:tcW w:w="1056" w:type="dxa"/>
            <w:tcBorders>
              <w:top w:val="nil"/>
              <w:left w:val="nil"/>
              <w:bottom w:val="nil"/>
              <w:right w:val="nil"/>
            </w:tcBorders>
            <w:shd w:val="clear" w:color="auto" w:fill="auto"/>
            <w:noWrap/>
            <w:vAlign w:val="bottom"/>
          </w:tcPr>
          <w:p w:rsidR="003E2EE2" w:rsidRDefault="00981470" w:rsidP="003E2EE2">
            <w:pPr>
              <w:widowControl/>
              <w:tabs>
                <w:tab w:val="center" w:pos="4320"/>
                <w:tab w:val="right" w:pos="8640"/>
              </w:tabs>
              <w:autoSpaceDE/>
              <w:autoSpaceDN/>
              <w:adjustRightInd/>
              <w:jc w:val="center"/>
              <w:rPr>
                <w:sz w:val="20"/>
                <w:szCs w:val="20"/>
              </w:rPr>
            </w:pPr>
            <w:r w:rsidRPr="009D3964">
              <w:rPr>
                <w:sz w:val="20"/>
                <w:szCs w:val="20"/>
              </w:rPr>
              <w:t>36.2</w:t>
            </w:r>
          </w:p>
        </w:tc>
        <w:tc>
          <w:tcPr>
            <w:tcW w:w="1032" w:type="dxa"/>
            <w:tcBorders>
              <w:top w:val="nil"/>
              <w:left w:val="nil"/>
              <w:bottom w:val="nil"/>
              <w:right w:val="single" w:sz="8" w:space="0" w:color="auto"/>
            </w:tcBorders>
            <w:shd w:val="clear" w:color="auto" w:fill="auto"/>
            <w:noWrap/>
            <w:vAlign w:val="bottom"/>
          </w:tcPr>
          <w:p w:rsidR="003E2EE2" w:rsidRDefault="00981470" w:rsidP="003E2EE2">
            <w:pPr>
              <w:widowControl/>
              <w:tabs>
                <w:tab w:val="center" w:pos="4320"/>
                <w:tab w:val="right" w:pos="8640"/>
              </w:tabs>
              <w:autoSpaceDE/>
              <w:autoSpaceDN/>
              <w:adjustRightInd/>
              <w:jc w:val="center"/>
              <w:rPr>
                <w:sz w:val="20"/>
                <w:szCs w:val="20"/>
              </w:rPr>
            </w:pPr>
            <w:r w:rsidRPr="009D3964">
              <w:rPr>
                <w:sz w:val="20"/>
                <w:szCs w:val="20"/>
              </w:rPr>
              <w:t>62.1</w:t>
            </w:r>
          </w:p>
        </w:tc>
      </w:tr>
      <w:tr w:rsidR="00981470" w:rsidRPr="009D3964" w:rsidTr="00CB6715">
        <w:trPr>
          <w:trHeight w:val="255"/>
        </w:trPr>
        <w:tc>
          <w:tcPr>
            <w:tcW w:w="2497" w:type="dxa"/>
            <w:tcBorders>
              <w:top w:val="nil"/>
              <w:left w:val="single" w:sz="8" w:space="0" w:color="auto"/>
              <w:bottom w:val="nil"/>
              <w:right w:val="single" w:sz="8" w:space="0" w:color="auto"/>
            </w:tcBorders>
            <w:shd w:val="clear" w:color="auto" w:fill="auto"/>
            <w:noWrap/>
            <w:vAlign w:val="bottom"/>
          </w:tcPr>
          <w:p w:rsidR="003E2EE2" w:rsidRDefault="00981470" w:rsidP="003E2EE2">
            <w:pPr>
              <w:widowControl/>
              <w:tabs>
                <w:tab w:val="center" w:pos="4320"/>
                <w:tab w:val="right" w:pos="8640"/>
              </w:tabs>
              <w:autoSpaceDE/>
              <w:autoSpaceDN/>
              <w:adjustRightInd/>
              <w:ind w:firstLineChars="200" w:firstLine="400"/>
              <w:rPr>
                <w:sz w:val="20"/>
                <w:szCs w:val="20"/>
              </w:rPr>
            </w:pPr>
            <w:r w:rsidRPr="009D3964">
              <w:rPr>
                <w:sz w:val="20"/>
                <w:szCs w:val="20"/>
              </w:rPr>
              <w:t>Medical subtotal</w:t>
            </w:r>
          </w:p>
        </w:tc>
        <w:tc>
          <w:tcPr>
            <w:tcW w:w="1055" w:type="dxa"/>
            <w:tcBorders>
              <w:top w:val="nil"/>
              <w:left w:val="nil"/>
              <w:bottom w:val="nil"/>
              <w:right w:val="nil"/>
            </w:tcBorders>
            <w:shd w:val="clear" w:color="auto" w:fill="auto"/>
            <w:noWrap/>
            <w:vAlign w:val="bottom"/>
          </w:tcPr>
          <w:p w:rsidR="003E2EE2" w:rsidRDefault="00981470" w:rsidP="003E2EE2">
            <w:pPr>
              <w:widowControl/>
              <w:tabs>
                <w:tab w:val="center" w:pos="4320"/>
                <w:tab w:val="right" w:pos="8640"/>
              </w:tabs>
              <w:autoSpaceDE/>
              <w:autoSpaceDN/>
              <w:adjustRightInd/>
              <w:jc w:val="center"/>
              <w:rPr>
                <w:sz w:val="20"/>
                <w:szCs w:val="20"/>
              </w:rPr>
            </w:pPr>
            <w:r w:rsidRPr="009D3964">
              <w:rPr>
                <w:sz w:val="20"/>
                <w:szCs w:val="20"/>
              </w:rPr>
              <w:t>7.0</w:t>
            </w:r>
          </w:p>
        </w:tc>
        <w:tc>
          <w:tcPr>
            <w:tcW w:w="1032" w:type="dxa"/>
            <w:tcBorders>
              <w:top w:val="nil"/>
              <w:left w:val="nil"/>
              <w:bottom w:val="nil"/>
              <w:right w:val="single" w:sz="8" w:space="0" w:color="auto"/>
            </w:tcBorders>
            <w:shd w:val="clear" w:color="auto" w:fill="auto"/>
            <w:noWrap/>
            <w:vAlign w:val="bottom"/>
          </w:tcPr>
          <w:p w:rsidR="003E2EE2" w:rsidRDefault="00981470" w:rsidP="003E2EE2">
            <w:pPr>
              <w:widowControl/>
              <w:tabs>
                <w:tab w:val="center" w:pos="4320"/>
                <w:tab w:val="right" w:pos="8640"/>
              </w:tabs>
              <w:autoSpaceDE/>
              <w:autoSpaceDN/>
              <w:adjustRightInd/>
              <w:jc w:val="center"/>
              <w:rPr>
                <w:sz w:val="20"/>
                <w:szCs w:val="20"/>
              </w:rPr>
            </w:pPr>
            <w:r w:rsidRPr="009D3964">
              <w:rPr>
                <w:sz w:val="20"/>
                <w:szCs w:val="20"/>
              </w:rPr>
              <w:t>15.3</w:t>
            </w:r>
          </w:p>
        </w:tc>
        <w:tc>
          <w:tcPr>
            <w:tcW w:w="1056" w:type="dxa"/>
            <w:tcBorders>
              <w:top w:val="nil"/>
              <w:left w:val="nil"/>
              <w:bottom w:val="nil"/>
              <w:right w:val="nil"/>
            </w:tcBorders>
            <w:shd w:val="clear" w:color="auto" w:fill="auto"/>
            <w:noWrap/>
            <w:vAlign w:val="bottom"/>
          </w:tcPr>
          <w:p w:rsidR="003E2EE2" w:rsidRDefault="00981470" w:rsidP="003E2EE2">
            <w:pPr>
              <w:widowControl/>
              <w:tabs>
                <w:tab w:val="center" w:pos="4320"/>
                <w:tab w:val="right" w:pos="8640"/>
              </w:tabs>
              <w:autoSpaceDE/>
              <w:autoSpaceDN/>
              <w:adjustRightInd/>
              <w:jc w:val="center"/>
              <w:rPr>
                <w:sz w:val="20"/>
                <w:szCs w:val="20"/>
              </w:rPr>
            </w:pPr>
            <w:r w:rsidRPr="009D3964">
              <w:rPr>
                <w:sz w:val="20"/>
                <w:szCs w:val="20"/>
              </w:rPr>
              <w:t>12.7</w:t>
            </w:r>
          </w:p>
        </w:tc>
        <w:tc>
          <w:tcPr>
            <w:tcW w:w="1032" w:type="dxa"/>
            <w:tcBorders>
              <w:top w:val="nil"/>
              <w:left w:val="nil"/>
              <w:bottom w:val="nil"/>
              <w:right w:val="single" w:sz="8" w:space="0" w:color="auto"/>
            </w:tcBorders>
            <w:shd w:val="clear" w:color="auto" w:fill="auto"/>
            <w:noWrap/>
            <w:vAlign w:val="bottom"/>
          </w:tcPr>
          <w:p w:rsidR="003E2EE2" w:rsidRDefault="00981470" w:rsidP="003E2EE2">
            <w:pPr>
              <w:widowControl/>
              <w:tabs>
                <w:tab w:val="center" w:pos="4320"/>
                <w:tab w:val="right" w:pos="8640"/>
              </w:tabs>
              <w:autoSpaceDE/>
              <w:autoSpaceDN/>
              <w:adjustRightInd/>
              <w:jc w:val="center"/>
              <w:rPr>
                <w:sz w:val="20"/>
                <w:szCs w:val="20"/>
              </w:rPr>
            </w:pPr>
            <w:r w:rsidRPr="009D3964">
              <w:rPr>
                <w:sz w:val="20"/>
                <w:szCs w:val="20"/>
              </w:rPr>
              <w:t>24.4</w:t>
            </w:r>
          </w:p>
        </w:tc>
        <w:tc>
          <w:tcPr>
            <w:tcW w:w="1056" w:type="dxa"/>
            <w:tcBorders>
              <w:top w:val="nil"/>
              <w:left w:val="nil"/>
              <w:bottom w:val="nil"/>
              <w:right w:val="nil"/>
            </w:tcBorders>
            <w:shd w:val="clear" w:color="auto" w:fill="auto"/>
            <w:noWrap/>
            <w:vAlign w:val="bottom"/>
          </w:tcPr>
          <w:p w:rsidR="003E2EE2" w:rsidRDefault="00981470" w:rsidP="003E2EE2">
            <w:pPr>
              <w:widowControl/>
              <w:tabs>
                <w:tab w:val="center" w:pos="4320"/>
                <w:tab w:val="right" w:pos="8640"/>
              </w:tabs>
              <w:autoSpaceDE/>
              <w:autoSpaceDN/>
              <w:adjustRightInd/>
              <w:jc w:val="center"/>
              <w:rPr>
                <w:sz w:val="20"/>
                <w:szCs w:val="20"/>
              </w:rPr>
            </w:pPr>
            <w:r w:rsidRPr="009D3964">
              <w:rPr>
                <w:sz w:val="20"/>
                <w:szCs w:val="20"/>
              </w:rPr>
              <w:t>17.4</w:t>
            </w:r>
          </w:p>
        </w:tc>
        <w:tc>
          <w:tcPr>
            <w:tcW w:w="1032" w:type="dxa"/>
            <w:tcBorders>
              <w:top w:val="nil"/>
              <w:left w:val="nil"/>
              <w:bottom w:val="nil"/>
              <w:right w:val="single" w:sz="8" w:space="0" w:color="auto"/>
            </w:tcBorders>
            <w:shd w:val="clear" w:color="auto" w:fill="auto"/>
            <w:noWrap/>
            <w:vAlign w:val="bottom"/>
          </w:tcPr>
          <w:p w:rsidR="003E2EE2" w:rsidRDefault="00981470" w:rsidP="003E2EE2">
            <w:pPr>
              <w:widowControl/>
              <w:tabs>
                <w:tab w:val="center" w:pos="4320"/>
                <w:tab w:val="right" w:pos="8640"/>
              </w:tabs>
              <w:autoSpaceDE/>
              <w:autoSpaceDN/>
              <w:adjustRightInd/>
              <w:jc w:val="center"/>
              <w:rPr>
                <w:sz w:val="20"/>
                <w:szCs w:val="20"/>
              </w:rPr>
            </w:pPr>
            <w:r w:rsidRPr="009D3964">
              <w:rPr>
                <w:sz w:val="20"/>
                <w:szCs w:val="20"/>
              </w:rPr>
              <w:t>29.9</w:t>
            </w:r>
          </w:p>
        </w:tc>
      </w:tr>
      <w:tr w:rsidR="00981470" w:rsidRPr="009D3964" w:rsidTr="00CB6715">
        <w:trPr>
          <w:trHeight w:val="255"/>
        </w:trPr>
        <w:tc>
          <w:tcPr>
            <w:tcW w:w="2497" w:type="dxa"/>
            <w:tcBorders>
              <w:top w:val="nil"/>
              <w:left w:val="single" w:sz="8" w:space="0" w:color="auto"/>
              <w:bottom w:val="nil"/>
              <w:right w:val="single" w:sz="8" w:space="0" w:color="auto"/>
            </w:tcBorders>
            <w:shd w:val="clear" w:color="auto" w:fill="auto"/>
            <w:noWrap/>
            <w:vAlign w:val="bottom"/>
          </w:tcPr>
          <w:p w:rsidR="003E2EE2" w:rsidRDefault="00981470" w:rsidP="003E2EE2">
            <w:pPr>
              <w:widowControl/>
              <w:tabs>
                <w:tab w:val="center" w:pos="4320"/>
                <w:tab w:val="right" w:pos="8640"/>
              </w:tabs>
              <w:autoSpaceDE/>
              <w:autoSpaceDN/>
              <w:adjustRightInd/>
              <w:ind w:firstLineChars="300" w:firstLine="600"/>
              <w:rPr>
                <w:sz w:val="20"/>
                <w:szCs w:val="20"/>
              </w:rPr>
            </w:pPr>
            <w:r w:rsidRPr="009D3964">
              <w:rPr>
                <w:sz w:val="20"/>
                <w:szCs w:val="20"/>
              </w:rPr>
              <w:t>Appeals Upheld</w:t>
            </w:r>
          </w:p>
        </w:tc>
        <w:tc>
          <w:tcPr>
            <w:tcW w:w="1055" w:type="dxa"/>
            <w:tcBorders>
              <w:top w:val="nil"/>
              <w:left w:val="nil"/>
              <w:bottom w:val="nil"/>
              <w:right w:val="nil"/>
            </w:tcBorders>
            <w:shd w:val="clear" w:color="auto" w:fill="auto"/>
            <w:noWrap/>
            <w:vAlign w:val="bottom"/>
          </w:tcPr>
          <w:p w:rsidR="003E2EE2" w:rsidRDefault="00981470" w:rsidP="003E2EE2">
            <w:pPr>
              <w:widowControl/>
              <w:tabs>
                <w:tab w:val="center" w:pos="4320"/>
                <w:tab w:val="right" w:pos="8640"/>
              </w:tabs>
              <w:autoSpaceDE/>
              <w:autoSpaceDN/>
              <w:adjustRightInd/>
              <w:jc w:val="center"/>
              <w:rPr>
                <w:sz w:val="20"/>
                <w:szCs w:val="20"/>
              </w:rPr>
            </w:pPr>
            <w:r w:rsidRPr="009D3964">
              <w:rPr>
                <w:sz w:val="20"/>
                <w:szCs w:val="20"/>
              </w:rPr>
              <w:t>2.8</w:t>
            </w:r>
          </w:p>
        </w:tc>
        <w:tc>
          <w:tcPr>
            <w:tcW w:w="1032" w:type="dxa"/>
            <w:tcBorders>
              <w:top w:val="nil"/>
              <w:left w:val="nil"/>
              <w:bottom w:val="nil"/>
              <w:right w:val="single" w:sz="8" w:space="0" w:color="auto"/>
            </w:tcBorders>
            <w:shd w:val="clear" w:color="auto" w:fill="auto"/>
            <w:noWrap/>
            <w:vAlign w:val="bottom"/>
          </w:tcPr>
          <w:p w:rsidR="003E2EE2" w:rsidRDefault="00981470" w:rsidP="003E2EE2">
            <w:pPr>
              <w:widowControl/>
              <w:tabs>
                <w:tab w:val="center" w:pos="4320"/>
                <w:tab w:val="right" w:pos="8640"/>
              </w:tabs>
              <w:autoSpaceDE/>
              <w:autoSpaceDN/>
              <w:adjustRightInd/>
              <w:jc w:val="center"/>
              <w:rPr>
                <w:sz w:val="20"/>
                <w:szCs w:val="20"/>
              </w:rPr>
            </w:pPr>
            <w:r w:rsidRPr="009D3964">
              <w:rPr>
                <w:sz w:val="20"/>
                <w:szCs w:val="20"/>
              </w:rPr>
              <w:t>6.1</w:t>
            </w:r>
          </w:p>
        </w:tc>
        <w:tc>
          <w:tcPr>
            <w:tcW w:w="1056" w:type="dxa"/>
            <w:tcBorders>
              <w:top w:val="nil"/>
              <w:left w:val="nil"/>
              <w:bottom w:val="nil"/>
              <w:right w:val="nil"/>
            </w:tcBorders>
            <w:shd w:val="clear" w:color="auto" w:fill="auto"/>
            <w:noWrap/>
            <w:vAlign w:val="bottom"/>
          </w:tcPr>
          <w:p w:rsidR="003E2EE2" w:rsidRDefault="00981470" w:rsidP="003E2EE2">
            <w:pPr>
              <w:widowControl/>
              <w:tabs>
                <w:tab w:val="center" w:pos="4320"/>
                <w:tab w:val="right" w:pos="8640"/>
              </w:tabs>
              <w:autoSpaceDE/>
              <w:autoSpaceDN/>
              <w:adjustRightInd/>
              <w:jc w:val="center"/>
              <w:rPr>
                <w:sz w:val="20"/>
                <w:szCs w:val="20"/>
              </w:rPr>
            </w:pPr>
            <w:r w:rsidRPr="009D3964">
              <w:rPr>
                <w:sz w:val="20"/>
                <w:szCs w:val="20"/>
              </w:rPr>
              <w:t>5.1</w:t>
            </w:r>
          </w:p>
        </w:tc>
        <w:tc>
          <w:tcPr>
            <w:tcW w:w="1032" w:type="dxa"/>
            <w:tcBorders>
              <w:top w:val="nil"/>
              <w:left w:val="nil"/>
              <w:bottom w:val="nil"/>
              <w:right w:val="single" w:sz="8" w:space="0" w:color="auto"/>
            </w:tcBorders>
            <w:shd w:val="clear" w:color="auto" w:fill="auto"/>
            <w:noWrap/>
            <w:vAlign w:val="bottom"/>
          </w:tcPr>
          <w:p w:rsidR="003E2EE2" w:rsidRDefault="00981470" w:rsidP="003E2EE2">
            <w:pPr>
              <w:widowControl/>
              <w:tabs>
                <w:tab w:val="center" w:pos="4320"/>
                <w:tab w:val="right" w:pos="8640"/>
              </w:tabs>
              <w:autoSpaceDE/>
              <w:autoSpaceDN/>
              <w:adjustRightInd/>
              <w:jc w:val="center"/>
              <w:rPr>
                <w:sz w:val="20"/>
                <w:szCs w:val="20"/>
              </w:rPr>
            </w:pPr>
            <w:r w:rsidRPr="009D3964">
              <w:rPr>
                <w:sz w:val="20"/>
                <w:szCs w:val="20"/>
              </w:rPr>
              <w:t>9.8</w:t>
            </w:r>
          </w:p>
        </w:tc>
        <w:tc>
          <w:tcPr>
            <w:tcW w:w="1056" w:type="dxa"/>
            <w:tcBorders>
              <w:top w:val="nil"/>
              <w:left w:val="nil"/>
              <w:bottom w:val="nil"/>
              <w:right w:val="nil"/>
            </w:tcBorders>
            <w:shd w:val="clear" w:color="auto" w:fill="auto"/>
            <w:noWrap/>
            <w:vAlign w:val="bottom"/>
          </w:tcPr>
          <w:p w:rsidR="003E2EE2" w:rsidRDefault="00981470" w:rsidP="003E2EE2">
            <w:pPr>
              <w:widowControl/>
              <w:tabs>
                <w:tab w:val="center" w:pos="4320"/>
                <w:tab w:val="right" w:pos="8640"/>
              </w:tabs>
              <w:autoSpaceDE/>
              <w:autoSpaceDN/>
              <w:adjustRightInd/>
              <w:jc w:val="center"/>
              <w:rPr>
                <w:sz w:val="20"/>
                <w:szCs w:val="20"/>
              </w:rPr>
            </w:pPr>
            <w:r w:rsidRPr="009D3964">
              <w:rPr>
                <w:sz w:val="20"/>
                <w:szCs w:val="20"/>
              </w:rPr>
              <w:t>7.0</w:t>
            </w:r>
          </w:p>
        </w:tc>
        <w:tc>
          <w:tcPr>
            <w:tcW w:w="1032" w:type="dxa"/>
            <w:tcBorders>
              <w:top w:val="nil"/>
              <w:left w:val="nil"/>
              <w:bottom w:val="nil"/>
              <w:right w:val="single" w:sz="8" w:space="0" w:color="auto"/>
            </w:tcBorders>
            <w:shd w:val="clear" w:color="auto" w:fill="auto"/>
            <w:noWrap/>
            <w:vAlign w:val="bottom"/>
          </w:tcPr>
          <w:p w:rsidR="003E2EE2" w:rsidRDefault="00981470" w:rsidP="003E2EE2">
            <w:pPr>
              <w:widowControl/>
              <w:tabs>
                <w:tab w:val="center" w:pos="4320"/>
                <w:tab w:val="right" w:pos="8640"/>
              </w:tabs>
              <w:autoSpaceDE/>
              <w:autoSpaceDN/>
              <w:adjustRightInd/>
              <w:jc w:val="center"/>
              <w:rPr>
                <w:sz w:val="20"/>
                <w:szCs w:val="20"/>
              </w:rPr>
            </w:pPr>
            <w:r w:rsidRPr="009D3964">
              <w:rPr>
                <w:sz w:val="20"/>
                <w:szCs w:val="20"/>
              </w:rPr>
              <w:t>12.0</w:t>
            </w:r>
          </w:p>
        </w:tc>
      </w:tr>
      <w:tr w:rsidR="00981470" w:rsidRPr="009D3964" w:rsidTr="00CB6715">
        <w:trPr>
          <w:trHeight w:val="255"/>
        </w:trPr>
        <w:tc>
          <w:tcPr>
            <w:tcW w:w="2497" w:type="dxa"/>
            <w:tcBorders>
              <w:top w:val="nil"/>
              <w:left w:val="single" w:sz="8" w:space="0" w:color="auto"/>
              <w:bottom w:val="nil"/>
              <w:right w:val="single" w:sz="8" w:space="0" w:color="auto"/>
            </w:tcBorders>
            <w:shd w:val="clear" w:color="auto" w:fill="auto"/>
            <w:noWrap/>
            <w:vAlign w:val="bottom"/>
          </w:tcPr>
          <w:p w:rsidR="003E2EE2" w:rsidRDefault="00981470" w:rsidP="003E2EE2">
            <w:pPr>
              <w:widowControl/>
              <w:tabs>
                <w:tab w:val="center" w:pos="4320"/>
                <w:tab w:val="right" w:pos="8640"/>
              </w:tabs>
              <w:autoSpaceDE/>
              <w:autoSpaceDN/>
              <w:adjustRightInd/>
              <w:ind w:firstLineChars="300" w:firstLine="600"/>
              <w:rPr>
                <w:sz w:val="20"/>
                <w:szCs w:val="20"/>
              </w:rPr>
            </w:pPr>
            <w:r w:rsidRPr="009D3964">
              <w:rPr>
                <w:sz w:val="20"/>
                <w:szCs w:val="20"/>
              </w:rPr>
              <w:t>Appeals Denied</w:t>
            </w:r>
          </w:p>
        </w:tc>
        <w:tc>
          <w:tcPr>
            <w:tcW w:w="1055" w:type="dxa"/>
            <w:tcBorders>
              <w:top w:val="nil"/>
              <w:left w:val="nil"/>
              <w:bottom w:val="nil"/>
              <w:right w:val="nil"/>
            </w:tcBorders>
            <w:shd w:val="clear" w:color="auto" w:fill="auto"/>
            <w:noWrap/>
            <w:vAlign w:val="bottom"/>
          </w:tcPr>
          <w:p w:rsidR="003E2EE2" w:rsidRDefault="00981470" w:rsidP="003E2EE2">
            <w:pPr>
              <w:widowControl/>
              <w:tabs>
                <w:tab w:val="center" w:pos="4320"/>
                <w:tab w:val="right" w:pos="8640"/>
              </w:tabs>
              <w:autoSpaceDE/>
              <w:autoSpaceDN/>
              <w:adjustRightInd/>
              <w:jc w:val="center"/>
              <w:rPr>
                <w:sz w:val="20"/>
                <w:szCs w:val="20"/>
              </w:rPr>
            </w:pPr>
            <w:r w:rsidRPr="009D3964">
              <w:rPr>
                <w:sz w:val="20"/>
                <w:szCs w:val="20"/>
              </w:rPr>
              <w:t>4.2</w:t>
            </w:r>
          </w:p>
        </w:tc>
        <w:tc>
          <w:tcPr>
            <w:tcW w:w="1032" w:type="dxa"/>
            <w:tcBorders>
              <w:top w:val="nil"/>
              <w:left w:val="nil"/>
              <w:bottom w:val="nil"/>
              <w:right w:val="single" w:sz="8" w:space="0" w:color="auto"/>
            </w:tcBorders>
            <w:shd w:val="clear" w:color="auto" w:fill="auto"/>
            <w:noWrap/>
            <w:vAlign w:val="bottom"/>
          </w:tcPr>
          <w:p w:rsidR="003E2EE2" w:rsidRDefault="00981470" w:rsidP="003E2EE2">
            <w:pPr>
              <w:widowControl/>
              <w:tabs>
                <w:tab w:val="center" w:pos="4320"/>
                <w:tab w:val="right" w:pos="8640"/>
              </w:tabs>
              <w:autoSpaceDE/>
              <w:autoSpaceDN/>
              <w:adjustRightInd/>
              <w:jc w:val="center"/>
              <w:rPr>
                <w:sz w:val="20"/>
                <w:szCs w:val="20"/>
              </w:rPr>
            </w:pPr>
            <w:r w:rsidRPr="009D3964">
              <w:rPr>
                <w:sz w:val="20"/>
                <w:szCs w:val="20"/>
              </w:rPr>
              <w:t>9.2</w:t>
            </w:r>
          </w:p>
        </w:tc>
        <w:tc>
          <w:tcPr>
            <w:tcW w:w="1056" w:type="dxa"/>
            <w:tcBorders>
              <w:top w:val="nil"/>
              <w:left w:val="nil"/>
              <w:bottom w:val="nil"/>
              <w:right w:val="nil"/>
            </w:tcBorders>
            <w:shd w:val="clear" w:color="auto" w:fill="auto"/>
            <w:noWrap/>
            <w:vAlign w:val="bottom"/>
          </w:tcPr>
          <w:p w:rsidR="003E2EE2" w:rsidRDefault="00981470" w:rsidP="003E2EE2">
            <w:pPr>
              <w:widowControl/>
              <w:tabs>
                <w:tab w:val="center" w:pos="4320"/>
                <w:tab w:val="right" w:pos="8640"/>
              </w:tabs>
              <w:autoSpaceDE/>
              <w:autoSpaceDN/>
              <w:adjustRightInd/>
              <w:jc w:val="center"/>
              <w:rPr>
                <w:sz w:val="20"/>
                <w:szCs w:val="20"/>
              </w:rPr>
            </w:pPr>
            <w:r w:rsidRPr="009D3964">
              <w:rPr>
                <w:sz w:val="20"/>
                <w:szCs w:val="20"/>
              </w:rPr>
              <w:t>7.6</w:t>
            </w:r>
          </w:p>
        </w:tc>
        <w:tc>
          <w:tcPr>
            <w:tcW w:w="1032" w:type="dxa"/>
            <w:tcBorders>
              <w:top w:val="nil"/>
              <w:left w:val="nil"/>
              <w:bottom w:val="nil"/>
              <w:right w:val="single" w:sz="8" w:space="0" w:color="auto"/>
            </w:tcBorders>
            <w:shd w:val="clear" w:color="auto" w:fill="auto"/>
            <w:noWrap/>
            <w:vAlign w:val="bottom"/>
          </w:tcPr>
          <w:p w:rsidR="003E2EE2" w:rsidRDefault="00981470" w:rsidP="003E2EE2">
            <w:pPr>
              <w:widowControl/>
              <w:tabs>
                <w:tab w:val="center" w:pos="4320"/>
                <w:tab w:val="right" w:pos="8640"/>
              </w:tabs>
              <w:autoSpaceDE/>
              <w:autoSpaceDN/>
              <w:adjustRightInd/>
              <w:jc w:val="center"/>
              <w:rPr>
                <w:sz w:val="20"/>
                <w:szCs w:val="20"/>
              </w:rPr>
            </w:pPr>
            <w:r w:rsidRPr="009D3964">
              <w:rPr>
                <w:sz w:val="20"/>
                <w:szCs w:val="20"/>
              </w:rPr>
              <w:t>14.6</w:t>
            </w:r>
          </w:p>
        </w:tc>
        <w:tc>
          <w:tcPr>
            <w:tcW w:w="1056" w:type="dxa"/>
            <w:tcBorders>
              <w:top w:val="nil"/>
              <w:left w:val="nil"/>
              <w:bottom w:val="nil"/>
              <w:right w:val="nil"/>
            </w:tcBorders>
            <w:shd w:val="clear" w:color="auto" w:fill="auto"/>
            <w:noWrap/>
            <w:vAlign w:val="bottom"/>
          </w:tcPr>
          <w:p w:rsidR="003E2EE2" w:rsidRDefault="00981470" w:rsidP="003E2EE2">
            <w:pPr>
              <w:widowControl/>
              <w:tabs>
                <w:tab w:val="center" w:pos="4320"/>
                <w:tab w:val="right" w:pos="8640"/>
              </w:tabs>
              <w:autoSpaceDE/>
              <w:autoSpaceDN/>
              <w:adjustRightInd/>
              <w:jc w:val="center"/>
              <w:rPr>
                <w:sz w:val="20"/>
                <w:szCs w:val="20"/>
              </w:rPr>
            </w:pPr>
            <w:r w:rsidRPr="009D3964">
              <w:rPr>
                <w:sz w:val="20"/>
                <w:szCs w:val="20"/>
              </w:rPr>
              <w:t>10.5</w:t>
            </w:r>
          </w:p>
        </w:tc>
        <w:tc>
          <w:tcPr>
            <w:tcW w:w="1032" w:type="dxa"/>
            <w:tcBorders>
              <w:top w:val="nil"/>
              <w:left w:val="nil"/>
              <w:bottom w:val="nil"/>
              <w:right w:val="single" w:sz="8" w:space="0" w:color="auto"/>
            </w:tcBorders>
            <w:shd w:val="clear" w:color="auto" w:fill="auto"/>
            <w:noWrap/>
            <w:vAlign w:val="bottom"/>
          </w:tcPr>
          <w:p w:rsidR="003E2EE2" w:rsidRDefault="00981470" w:rsidP="003E2EE2">
            <w:pPr>
              <w:widowControl/>
              <w:tabs>
                <w:tab w:val="center" w:pos="4320"/>
                <w:tab w:val="right" w:pos="8640"/>
              </w:tabs>
              <w:autoSpaceDE/>
              <w:autoSpaceDN/>
              <w:adjustRightInd/>
              <w:jc w:val="center"/>
              <w:rPr>
                <w:sz w:val="20"/>
                <w:szCs w:val="20"/>
              </w:rPr>
            </w:pPr>
            <w:r w:rsidRPr="009D3964">
              <w:rPr>
                <w:sz w:val="20"/>
                <w:szCs w:val="20"/>
              </w:rPr>
              <w:t>17.9</w:t>
            </w:r>
          </w:p>
        </w:tc>
      </w:tr>
      <w:tr w:rsidR="00981470" w:rsidRPr="009D3964" w:rsidTr="00CB6715">
        <w:trPr>
          <w:trHeight w:val="255"/>
        </w:trPr>
        <w:tc>
          <w:tcPr>
            <w:tcW w:w="2497" w:type="dxa"/>
            <w:tcBorders>
              <w:top w:val="nil"/>
              <w:left w:val="single" w:sz="8" w:space="0" w:color="auto"/>
              <w:bottom w:val="nil"/>
              <w:right w:val="single" w:sz="8" w:space="0" w:color="auto"/>
            </w:tcBorders>
            <w:shd w:val="clear" w:color="auto" w:fill="auto"/>
            <w:noWrap/>
            <w:vAlign w:val="bottom"/>
          </w:tcPr>
          <w:p w:rsidR="003E2EE2" w:rsidRDefault="00981470" w:rsidP="003E2EE2">
            <w:pPr>
              <w:widowControl/>
              <w:tabs>
                <w:tab w:val="center" w:pos="4320"/>
                <w:tab w:val="right" w:pos="8640"/>
              </w:tabs>
              <w:autoSpaceDE/>
              <w:autoSpaceDN/>
              <w:adjustRightInd/>
              <w:ind w:firstLineChars="200" w:firstLine="400"/>
              <w:rPr>
                <w:sz w:val="20"/>
                <w:szCs w:val="20"/>
              </w:rPr>
            </w:pPr>
            <w:r w:rsidRPr="009D3964">
              <w:rPr>
                <w:sz w:val="20"/>
                <w:szCs w:val="20"/>
              </w:rPr>
              <w:t>Administrative subtotal</w:t>
            </w:r>
          </w:p>
        </w:tc>
        <w:tc>
          <w:tcPr>
            <w:tcW w:w="1055" w:type="dxa"/>
            <w:tcBorders>
              <w:top w:val="nil"/>
              <w:left w:val="nil"/>
              <w:bottom w:val="nil"/>
              <w:right w:val="nil"/>
            </w:tcBorders>
            <w:shd w:val="clear" w:color="auto" w:fill="auto"/>
            <w:noWrap/>
            <w:vAlign w:val="bottom"/>
          </w:tcPr>
          <w:p w:rsidR="003E2EE2" w:rsidRDefault="00981470" w:rsidP="003E2EE2">
            <w:pPr>
              <w:widowControl/>
              <w:tabs>
                <w:tab w:val="center" w:pos="4320"/>
                <w:tab w:val="right" w:pos="8640"/>
              </w:tabs>
              <w:autoSpaceDE/>
              <w:autoSpaceDN/>
              <w:adjustRightInd/>
              <w:jc w:val="center"/>
              <w:rPr>
                <w:sz w:val="20"/>
                <w:szCs w:val="20"/>
              </w:rPr>
            </w:pPr>
            <w:r w:rsidRPr="009D3964">
              <w:rPr>
                <w:sz w:val="20"/>
                <w:szCs w:val="20"/>
              </w:rPr>
              <w:t>17.2</w:t>
            </w:r>
          </w:p>
        </w:tc>
        <w:tc>
          <w:tcPr>
            <w:tcW w:w="1032" w:type="dxa"/>
            <w:tcBorders>
              <w:top w:val="nil"/>
              <w:left w:val="nil"/>
              <w:bottom w:val="nil"/>
              <w:right w:val="single" w:sz="8" w:space="0" w:color="auto"/>
            </w:tcBorders>
            <w:shd w:val="clear" w:color="auto" w:fill="auto"/>
            <w:noWrap/>
            <w:vAlign w:val="bottom"/>
          </w:tcPr>
          <w:p w:rsidR="003E2EE2" w:rsidRDefault="00981470" w:rsidP="003E2EE2">
            <w:pPr>
              <w:widowControl/>
              <w:tabs>
                <w:tab w:val="center" w:pos="4320"/>
                <w:tab w:val="right" w:pos="8640"/>
              </w:tabs>
              <w:autoSpaceDE/>
              <w:autoSpaceDN/>
              <w:adjustRightInd/>
              <w:jc w:val="center"/>
              <w:rPr>
                <w:sz w:val="20"/>
                <w:szCs w:val="20"/>
              </w:rPr>
            </w:pPr>
            <w:r w:rsidRPr="009D3964">
              <w:rPr>
                <w:sz w:val="20"/>
                <w:szCs w:val="20"/>
              </w:rPr>
              <w:t>37.5</w:t>
            </w:r>
          </w:p>
        </w:tc>
        <w:tc>
          <w:tcPr>
            <w:tcW w:w="1056" w:type="dxa"/>
            <w:tcBorders>
              <w:top w:val="nil"/>
              <w:left w:val="nil"/>
              <w:bottom w:val="nil"/>
              <w:right w:val="nil"/>
            </w:tcBorders>
            <w:shd w:val="clear" w:color="auto" w:fill="auto"/>
            <w:noWrap/>
            <w:vAlign w:val="bottom"/>
          </w:tcPr>
          <w:p w:rsidR="003E2EE2" w:rsidRDefault="00981470" w:rsidP="003E2EE2">
            <w:pPr>
              <w:widowControl/>
              <w:tabs>
                <w:tab w:val="center" w:pos="4320"/>
                <w:tab w:val="right" w:pos="8640"/>
              </w:tabs>
              <w:autoSpaceDE/>
              <w:autoSpaceDN/>
              <w:adjustRightInd/>
              <w:jc w:val="center"/>
              <w:rPr>
                <w:sz w:val="20"/>
                <w:szCs w:val="20"/>
              </w:rPr>
            </w:pPr>
            <w:r w:rsidRPr="009D3964">
              <w:rPr>
                <w:sz w:val="20"/>
                <w:szCs w:val="20"/>
              </w:rPr>
              <w:t>31.3</w:t>
            </w:r>
          </w:p>
        </w:tc>
        <w:tc>
          <w:tcPr>
            <w:tcW w:w="1032" w:type="dxa"/>
            <w:tcBorders>
              <w:top w:val="nil"/>
              <w:left w:val="nil"/>
              <w:bottom w:val="nil"/>
              <w:right w:val="single" w:sz="8" w:space="0" w:color="auto"/>
            </w:tcBorders>
            <w:shd w:val="clear" w:color="auto" w:fill="auto"/>
            <w:noWrap/>
            <w:vAlign w:val="bottom"/>
          </w:tcPr>
          <w:p w:rsidR="003E2EE2" w:rsidRDefault="00981470" w:rsidP="003E2EE2">
            <w:pPr>
              <w:widowControl/>
              <w:tabs>
                <w:tab w:val="center" w:pos="4320"/>
                <w:tab w:val="right" w:pos="8640"/>
              </w:tabs>
              <w:autoSpaceDE/>
              <w:autoSpaceDN/>
              <w:adjustRightInd/>
              <w:jc w:val="center"/>
              <w:rPr>
                <w:sz w:val="20"/>
                <w:szCs w:val="20"/>
              </w:rPr>
            </w:pPr>
            <w:r w:rsidRPr="009D3964">
              <w:rPr>
                <w:sz w:val="20"/>
                <w:szCs w:val="20"/>
              </w:rPr>
              <w:t>60.1</w:t>
            </w:r>
          </w:p>
        </w:tc>
        <w:tc>
          <w:tcPr>
            <w:tcW w:w="1056" w:type="dxa"/>
            <w:tcBorders>
              <w:top w:val="nil"/>
              <w:left w:val="nil"/>
              <w:bottom w:val="nil"/>
              <w:right w:val="nil"/>
            </w:tcBorders>
            <w:shd w:val="clear" w:color="auto" w:fill="auto"/>
            <w:noWrap/>
            <w:vAlign w:val="bottom"/>
          </w:tcPr>
          <w:p w:rsidR="003E2EE2" w:rsidRDefault="00981470" w:rsidP="003E2EE2">
            <w:pPr>
              <w:widowControl/>
              <w:tabs>
                <w:tab w:val="center" w:pos="4320"/>
                <w:tab w:val="right" w:pos="8640"/>
              </w:tabs>
              <w:autoSpaceDE/>
              <w:autoSpaceDN/>
              <w:adjustRightInd/>
              <w:jc w:val="center"/>
              <w:rPr>
                <w:sz w:val="20"/>
                <w:szCs w:val="20"/>
              </w:rPr>
            </w:pPr>
            <w:r w:rsidRPr="009D3964">
              <w:rPr>
                <w:sz w:val="20"/>
                <w:szCs w:val="20"/>
              </w:rPr>
              <w:t>42.9</w:t>
            </w:r>
          </w:p>
        </w:tc>
        <w:tc>
          <w:tcPr>
            <w:tcW w:w="1032" w:type="dxa"/>
            <w:tcBorders>
              <w:top w:val="nil"/>
              <w:left w:val="nil"/>
              <w:bottom w:val="nil"/>
              <w:right w:val="single" w:sz="8" w:space="0" w:color="auto"/>
            </w:tcBorders>
            <w:shd w:val="clear" w:color="auto" w:fill="auto"/>
            <w:noWrap/>
            <w:vAlign w:val="bottom"/>
          </w:tcPr>
          <w:p w:rsidR="003E2EE2" w:rsidRDefault="00981470" w:rsidP="003E2EE2">
            <w:pPr>
              <w:widowControl/>
              <w:tabs>
                <w:tab w:val="center" w:pos="4320"/>
                <w:tab w:val="right" w:pos="8640"/>
              </w:tabs>
              <w:autoSpaceDE/>
              <w:autoSpaceDN/>
              <w:adjustRightInd/>
              <w:jc w:val="center"/>
              <w:rPr>
                <w:sz w:val="20"/>
                <w:szCs w:val="20"/>
              </w:rPr>
            </w:pPr>
            <w:r w:rsidRPr="009D3964">
              <w:rPr>
                <w:sz w:val="20"/>
                <w:szCs w:val="20"/>
              </w:rPr>
              <w:t>73.6</w:t>
            </w:r>
          </w:p>
        </w:tc>
      </w:tr>
      <w:tr w:rsidR="00981470" w:rsidRPr="009D3964" w:rsidTr="00CB6715">
        <w:trPr>
          <w:trHeight w:val="255"/>
        </w:trPr>
        <w:tc>
          <w:tcPr>
            <w:tcW w:w="2497" w:type="dxa"/>
            <w:tcBorders>
              <w:top w:val="nil"/>
              <w:left w:val="single" w:sz="8" w:space="0" w:color="auto"/>
              <w:bottom w:val="nil"/>
              <w:right w:val="single" w:sz="8" w:space="0" w:color="auto"/>
            </w:tcBorders>
            <w:shd w:val="clear" w:color="auto" w:fill="auto"/>
            <w:noWrap/>
            <w:vAlign w:val="bottom"/>
          </w:tcPr>
          <w:p w:rsidR="003E2EE2" w:rsidRDefault="00981470" w:rsidP="003E2EE2">
            <w:pPr>
              <w:widowControl/>
              <w:tabs>
                <w:tab w:val="center" w:pos="4320"/>
                <w:tab w:val="right" w:pos="8640"/>
              </w:tabs>
              <w:autoSpaceDE/>
              <w:autoSpaceDN/>
              <w:adjustRightInd/>
              <w:ind w:firstLineChars="300" w:firstLine="600"/>
              <w:rPr>
                <w:sz w:val="20"/>
                <w:szCs w:val="20"/>
              </w:rPr>
            </w:pPr>
            <w:r w:rsidRPr="009D3964">
              <w:rPr>
                <w:sz w:val="20"/>
                <w:szCs w:val="20"/>
              </w:rPr>
              <w:t>Appeals Upheld</w:t>
            </w:r>
          </w:p>
        </w:tc>
        <w:tc>
          <w:tcPr>
            <w:tcW w:w="1055" w:type="dxa"/>
            <w:tcBorders>
              <w:top w:val="nil"/>
              <w:left w:val="nil"/>
              <w:bottom w:val="nil"/>
              <w:right w:val="nil"/>
            </w:tcBorders>
            <w:shd w:val="clear" w:color="auto" w:fill="auto"/>
            <w:noWrap/>
            <w:vAlign w:val="bottom"/>
          </w:tcPr>
          <w:p w:rsidR="003E2EE2" w:rsidRDefault="00981470" w:rsidP="003E2EE2">
            <w:pPr>
              <w:widowControl/>
              <w:tabs>
                <w:tab w:val="center" w:pos="4320"/>
                <w:tab w:val="right" w:pos="8640"/>
              </w:tabs>
              <w:autoSpaceDE/>
              <w:autoSpaceDN/>
              <w:adjustRightInd/>
              <w:jc w:val="center"/>
              <w:rPr>
                <w:sz w:val="20"/>
                <w:szCs w:val="20"/>
              </w:rPr>
            </w:pPr>
            <w:r w:rsidRPr="009D3964">
              <w:rPr>
                <w:sz w:val="20"/>
                <w:szCs w:val="20"/>
              </w:rPr>
              <w:t>6.9</w:t>
            </w:r>
          </w:p>
        </w:tc>
        <w:tc>
          <w:tcPr>
            <w:tcW w:w="1032" w:type="dxa"/>
            <w:tcBorders>
              <w:top w:val="nil"/>
              <w:left w:val="nil"/>
              <w:bottom w:val="nil"/>
              <w:right w:val="single" w:sz="8" w:space="0" w:color="auto"/>
            </w:tcBorders>
            <w:shd w:val="clear" w:color="auto" w:fill="auto"/>
            <w:noWrap/>
            <w:vAlign w:val="bottom"/>
          </w:tcPr>
          <w:p w:rsidR="003E2EE2" w:rsidRDefault="00981470" w:rsidP="003E2EE2">
            <w:pPr>
              <w:widowControl/>
              <w:tabs>
                <w:tab w:val="center" w:pos="4320"/>
                <w:tab w:val="right" w:pos="8640"/>
              </w:tabs>
              <w:autoSpaceDE/>
              <w:autoSpaceDN/>
              <w:adjustRightInd/>
              <w:jc w:val="center"/>
              <w:rPr>
                <w:sz w:val="20"/>
                <w:szCs w:val="20"/>
              </w:rPr>
            </w:pPr>
            <w:r w:rsidRPr="009D3964">
              <w:rPr>
                <w:sz w:val="20"/>
                <w:szCs w:val="20"/>
              </w:rPr>
              <w:t>15.0</w:t>
            </w:r>
          </w:p>
        </w:tc>
        <w:tc>
          <w:tcPr>
            <w:tcW w:w="1056" w:type="dxa"/>
            <w:tcBorders>
              <w:top w:val="nil"/>
              <w:left w:val="nil"/>
              <w:bottom w:val="nil"/>
              <w:right w:val="nil"/>
            </w:tcBorders>
            <w:shd w:val="clear" w:color="auto" w:fill="auto"/>
            <w:noWrap/>
            <w:vAlign w:val="bottom"/>
          </w:tcPr>
          <w:p w:rsidR="003E2EE2" w:rsidRDefault="00981470" w:rsidP="003E2EE2">
            <w:pPr>
              <w:widowControl/>
              <w:tabs>
                <w:tab w:val="center" w:pos="4320"/>
                <w:tab w:val="right" w:pos="8640"/>
              </w:tabs>
              <w:autoSpaceDE/>
              <w:autoSpaceDN/>
              <w:adjustRightInd/>
              <w:jc w:val="center"/>
              <w:rPr>
                <w:sz w:val="20"/>
                <w:szCs w:val="20"/>
              </w:rPr>
            </w:pPr>
            <w:r w:rsidRPr="009D3964">
              <w:rPr>
                <w:sz w:val="20"/>
                <w:szCs w:val="20"/>
              </w:rPr>
              <w:t>12.5</w:t>
            </w:r>
          </w:p>
        </w:tc>
        <w:tc>
          <w:tcPr>
            <w:tcW w:w="1032" w:type="dxa"/>
            <w:tcBorders>
              <w:top w:val="nil"/>
              <w:left w:val="nil"/>
              <w:bottom w:val="nil"/>
              <w:right w:val="single" w:sz="8" w:space="0" w:color="auto"/>
            </w:tcBorders>
            <w:shd w:val="clear" w:color="auto" w:fill="auto"/>
            <w:noWrap/>
            <w:vAlign w:val="bottom"/>
          </w:tcPr>
          <w:p w:rsidR="003E2EE2" w:rsidRDefault="00981470" w:rsidP="003E2EE2">
            <w:pPr>
              <w:widowControl/>
              <w:tabs>
                <w:tab w:val="center" w:pos="4320"/>
                <w:tab w:val="right" w:pos="8640"/>
              </w:tabs>
              <w:autoSpaceDE/>
              <w:autoSpaceDN/>
              <w:adjustRightInd/>
              <w:jc w:val="center"/>
              <w:rPr>
                <w:sz w:val="20"/>
                <w:szCs w:val="20"/>
              </w:rPr>
            </w:pPr>
            <w:r w:rsidRPr="009D3964">
              <w:rPr>
                <w:sz w:val="20"/>
                <w:szCs w:val="20"/>
              </w:rPr>
              <w:t>24.0</w:t>
            </w:r>
          </w:p>
        </w:tc>
        <w:tc>
          <w:tcPr>
            <w:tcW w:w="1056" w:type="dxa"/>
            <w:tcBorders>
              <w:top w:val="nil"/>
              <w:left w:val="nil"/>
              <w:bottom w:val="nil"/>
              <w:right w:val="nil"/>
            </w:tcBorders>
            <w:shd w:val="clear" w:color="auto" w:fill="auto"/>
            <w:noWrap/>
            <w:vAlign w:val="bottom"/>
          </w:tcPr>
          <w:p w:rsidR="003E2EE2" w:rsidRDefault="00981470" w:rsidP="003E2EE2">
            <w:pPr>
              <w:widowControl/>
              <w:tabs>
                <w:tab w:val="center" w:pos="4320"/>
                <w:tab w:val="right" w:pos="8640"/>
              </w:tabs>
              <w:autoSpaceDE/>
              <w:autoSpaceDN/>
              <w:adjustRightInd/>
              <w:jc w:val="center"/>
              <w:rPr>
                <w:sz w:val="20"/>
                <w:szCs w:val="20"/>
              </w:rPr>
            </w:pPr>
            <w:r w:rsidRPr="009D3964">
              <w:rPr>
                <w:sz w:val="20"/>
                <w:szCs w:val="20"/>
              </w:rPr>
              <w:t>17.2</w:t>
            </w:r>
          </w:p>
        </w:tc>
        <w:tc>
          <w:tcPr>
            <w:tcW w:w="1032" w:type="dxa"/>
            <w:tcBorders>
              <w:top w:val="nil"/>
              <w:left w:val="nil"/>
              <w:bottom w:val="nil"/>
              <w:right w:val="single" w:sz="8" w:space="0" w:color="auto"/>
            </w:tcBorders>
            <w:shd w:val="clear" w:color="auto" w:fill="auto"/>
            <w:noWrap/>
            <w:vAlign w:val="bottom"/>
          </w:tcPr>
          <w:p w:rsidR="003E2EE2" w:rsidRDefault="00981470" w:rsidP="003E2EE2">
            <w:pPr>
              <w:widowControl/>
              <w:tabs>
                <w:tab w:val="center" w:pos="4320"/>
                <w:tab w:val="right" w:pos="8640"/>
              </w:tabs>
              <w:autoSpaceDE/>
              <w:autoSpaceDN/>
              <w:adjustRightInd/>
              <w:jc w:val="center"/>
              <w:rPr>
                <w:sz w:val="20"/>
                <w:szCs w:val="20"/>
              </w:rPr>
            </w:pPr>
            <w:r w:rsidRPr="009D3964">
              <w:rPr>
                <w:sz w:val="20"/>
                <w:szCs w:val="20"/>
              </w:rPr>
              <w:t>29.4</w:t>
            </w:r>
          </w:p>
        </w:tc>
      </w:tr>
      <w:tr w:rsidR="00981470" w:rsidRPr="009D3964" w:rsidTr="00CB6715">
        <w:trPr>
          <w:trHeight w:val="255"/>
        </w:trPr>
        <w:tc>
          <w:tcPr>
            <w:tcW w:w="2497" w:type="dxa"/>
            <w:tcBorders>
              <w:top w:val="nil"/>
              <w:left w:val="single" w:sz="8" w:space="0" w:color="auto"/>
              <w:bottom w:val="nil"/>
              <w:right w:val="single" w:sz="8" w:space="0" w:color="auto"/>
            </w:tcBorders>
            <w:shd w:val="clear" w:color="auto" w:fill="auto"/>
            <w:noWrap/>
            <w:vAlign w:val="bottom"/>
          </w:tcPr>
          <w:p w:rsidR="003E2EE2" w:rsidRDefault="00981470" w:rsidP="003E2EE2">
            <w:pPr>
              <w:widowControl/>
              <w:tabs>
                <w:tab w:val="center" w:pos="4320"/>
                <w:tab w:val="right" w:pos="8640"/>
              </w:tabs>
              <w:autoSpaceDE/>
              <w:autoSpaceDN/>
              <w:adjustRightInd/>
              <w:ind w:firstLineChars="300" w:firstLine="600"/>
              <w:rPr>
                <w:sz w:val="20"/>
                <w:szCs w:val="20"/>
              </w:rPr>
            </w:pPr>
            <w:r w:rsidRPr="009D3964">
              <w:rPr>
                <w:sz w:val="20"/>
                <w:szCs w:val="20"/>
              </w:rPr>
              <w:t>Appeals Denied</w:t>
            </w:r>
          </w:p>
        </w:tc>
        <w:tc>
          <w:tcPr>
            <w:tcW w:w="1055" w:type="dxa"/>
            <w:tcBorders>
              <w:top w:val="nil"/>
              <w:left w:val="nil"/>
              <w:bottom w:val="nil"/>
              <w:right w:val="nil"/>
            </w:tcBorders>
            <w:shd w:val="clear" w:color="auto" w:fill="auto"/>
            <w:noWrap/>
            <w:vAlign w:val="bottom"/>
          </w:tcPr>
          <w:p w:rsidR="003E2EE2" w:rsidRDefault="00981470" w:rsidP="003E2EE2">
            <w:pPr>
              <w:widowControl/>
              <w:tabs>
                <w:tab w:val="center" w:pos="4320"/>
                <w:tab w:val="right" w:pos="8640"/>
              </w:tabs>
              <w:autoSpaceDE/>
              <w:autoSpaceDN/>
              <w:adjustRightInd/>
              <w:jc w:val="center"/>
              <w:rPr>
                <w:sz w:val="20"/>
                <w:szCs w:val="20"/>
              </w:rPr>
            </w:pPr>
            <w:r w:rsidRPr="009D3964">
              <w:rPr>
                <w:sz w:val="20"/>
                <w:szCs w:val="20"/>
              </w:rPr>
              <w:t>10.3</w:t>
            </w:r>
          </w:p>
        </w:tc>
        <w:tc>
          <w:tcPr>
            <w:tcW w:w="1032" w:type="dxa"/>
            <w:tcBorders>
              <w:top w:val="nil"/>
              <w:left w:val="nil"/>
              <w:bottom w:val="nil"/>
              <w:right w:val="single" w:sz="8" w:space="0" w:color="auto"/>
            </w:tcBorders>
            <w:shd w:val="clear" w:color="auto" w:fill="auto"/>
            <w:noWrap/>
            <w:vAlign w:val="bottom"/>
          </w:tcPr>
          <w:p w:rsidR="003E2EE2" w:rsidRDefault="00981470" w:rsidP="003E2EE2">
            <w:pPr>
              <w:widowControl/>
              <w:tabs>
                <w:tab w:val="center" w:pos="4320"/>
                <w:tab w:val="right" w:pos="8640"/>
              </w:tabs>
              <w:autoSpaceDE/>
              <w:autoSpaceDN/>
              <w:adjustRightInd/>
              <w:jc w:val="center"/>
              <w:rPr>
                <w:sz w:val="20"/>
                <w:szCs w:val="20"/>
              </w:rPr>
            </w:pPr>
            <w:r w:rsidRPr="009D3964">
              <w:rPr>
                <w:sz w:val="20"/>
                <w:szCs w:val="20"/>
              </w:rPr>
              <w:t>22.5</w:t>
            </w:r>
          </w:p>
        </w:tc>
        <w:tc>
          <w:tcPr>
            <w:tcW w:w="1056" w:type="dxa"/>
            <w:tcBorders>
              <w:top w:val="nil"/>
              <w:left w:val="nil"/>
              <w:bottom w:val="nil"/>
              <w:right w:val="nil"/>
            </w:tcBorders>
            <w:shd w:val="clear" w:color="auto" w:fill="auto"/>
            <w:noWrap/>
            <w:vAlign w:val="bottom"/>
          </w:tcPr>
          <w:p w:rsidR="003E2EE2" w:rsidRDefault="00981470" w:rsidP="003E2EE2">
            <w:pPr>
              <w:widowControl/>
              <w:tabs>
                <w:tab w:val="center" w:pos="4320"/>
                <w:tab w:val="right" w:pos="8640"/>
              </w:tabs>
              <w:autoSpaceDE/>
              <w:autoSpaceDN/>
              <w:adjustRightInd/>
              <w:jc w:val="center"/>
              <w:rPr>
                <w:sz w:val="20"/>
                <w:szCs w:val="20"/>
              </w:rPr>
            </w:pPr>
            <w:r w:rsidRPr="009D3964">
              <w:rPr>
                <w:sz w:val="20"/>
                <w:szCs w:val="20"/>
              </w:rPr>
              <w:t>18.8</w:t>
            </w:r>
          </w:p>
        </w:tc>
        <w:tc>
          <w:tcPr>
            <w:tcW w:w="1032" w:type="dxa"/>
            <w:tcBorders>
              <w:top w:val="nil"/>
              <w:left w:val="nil"/>
              <w:bottom w:val="nil"/>
              <w:right w:val="single" w:sz="8" w:space="0" w:color="auto"/>
            </w:tcBorders>
            <w:shd w:val="clear" w:color="auto" w:fill="auto"/>
            <w:noWrap/>
            <w:vAlign w:val="bottom"/>
          </w:tcPr>
          <w:p w:rsidR="003E2EE2" w:rsidRDefault="00981470" w:rsidP="003E2EE2">
            <w:pPr>
              <w:widowControl/>
              <w:tabs>
                <w:tab w:val="center" w:pos="4320"/>
                <w:tab w:val="right" w:pos="8640"/>
              </w:tabs>
              <w:autoSpaceDE/>
              <w:autoSpaceDN/>
              <w:adjustRightInd/>
              <w:jc w:val="center"/>
              <w:rPr>
                <w:sz w:val="20"/>
                <w:szCs w:val="20"/>
              </w:rPr>
            </w:pPr>
            <w:r w:rsidRPr="009D3964">
              <w:rPr>
                <w:sz w:val="20"/>
                <w:szCs w:val="20"/>
              </w:rPr>
              <w:t>36.0</w:t>
            </w:r>
          </w:p>
        </w:tc>
        <w:tc>
          <w:tcPr>
            <w:tcW w:w="1056" w:type="dxa"/>
            <w:tcBorders>
              <w:top w:val="nil"/>
              <w:left w:val="nil"/>
              <w:bottom w:val="nil"/>
              <w:right w:val="nil"/>
            </w:tcBorders>
            <w:shd w:val="clear" w:color="auto" w:fill="auto"/>
            <w:noWrap/>
            <w:vAlign w:val="bottom"/>
          </w:tcPr>
          <w:p w:rsidR="003E2EE2" w:rsidRDefault="00981470" w:rsidP="003E2EE2">
            <w:pPr>
              <w:widowControl/>
              <w:tabs>
                <w:tab w:val="center" w:pos="4320"/>
                <w:tab w:val="right" w:pos="8640"/>
              </w:tabs>
              <w:autoSpaceDE/>
              <w:autoSpaceDN/>
              <w:adjustRightInd/>
              <w:jc w:val="center"/>
              <w:rPr>
                <w:sz w:val="20"/>
                <w:szCs w:val="20"/>
              </w:rPr>
            </w:pPr>
            <w:r w:rsidRPr="009D3964">
              <w:rPr>
                <w:sz w:val="20"/>
                <w:szCs w:val="20"/>
              </w:rPr>
              <w:t>25.8</w:t>
            </w:r>
          </w:p>
        </w:tc>
        <w:tc>
          <w:tcPr>
            <w:tcW w:w="1032" w:type="dxa"/>
            <w:tcBorders>
              <w:top w:val="nil"/>
              <w:left w:val="nil"/>
              <w:bottom w:val="nil"/>
              <w:right w:val="single" w:sz="8" w:space="0" w:color="auto"/>
            </w:tcBorders>
            <w:shd w:val="clear" w:color="auto" w:fill="auto"/>
            <w:noWrap/>
            <w:vAlign w:val="bottom"/>
          </w:tcPr>
          <w:p w:rsidR="003E2EE2" w:rsidRDefault="00981470" w:rsidP="003E2EE2">
            <w:pPr>
              <w:widowControl/>
              <w:tabs>
                <w:tab w:val="center" w:pos="4320"/>
                <w:tab w:val="right" w:pos="8640"/>
              </w:tabs>
              <w:autoSpaceDE/>
              <w:autoSpaceDN/>
              <w:adjustRightInd/>
              <w:jc w:val="center"/>
              <w:rPr>
                <w:sz w:val="20"/>
                <w:szCs w:val="20"/>
              </w:rPr>
            </w:pPr>
            <w:r w:rsidRPr="009D3964">
              <w:rPr>
                <w:sz w:val="20"/>
                <w:szCs w:val="20"/>
              </w:rPr>
              <w:t>44.1</w:t>
            </w:r>
          </w:p>
        </w:tc>
      </w:tr>
      <w:tr w:rsidR="00981470" w:rsidRPr="009D3964" w:rsidTr="00CB6715">
        <w:trPr>
          <w:trHeight w:val="255"/>
        </w:trPr>
        <w:tc>
          <w:tcPr>
            <w:tcW w:w="2497" w:type="dxa"/>
            <w:tcBorders>
              <w:top w:val="nil"/>
              <w:left w:val="single" w:sz="8" w:space="0" w:color="auto"/>
              <w:bottom w:val="nil"/>
              <w:right w:val="single" w:sz="8" w:space="0" w:color="auto"/>
            </w:tcBorders>
            <w:shd w:val="clear" w:color="auto" w:fill="auto"/>
            <w:noWrap/>
            <w:vAlign w:val="bottom"/>
          </w:tcPr>
          <w:p w:rsidR="003E2EE2" w:rsidRDefault="00981470" w:rsidP="003E2EE2">
            <w:pPr>
              <w:widowControl/>
              <w:tabs>
                <w:tab w:val="center" w:pos="4320"/>
                <w:tab w:val="right" w:pos="8640"/>
              </w:tabs>
              <w:autoSpaceDE/>
              <w:autoSpaceDN/>
              <w:adjustRightInd/>
              <w:ind w:firstLineChars="300" w:firstLine="600"/>
              <w:rPr>
                <w:sz w:val="20"/>
                <w:szCs w:val="20"/>
              </w:rPr>
            </w:pPr>
            <w:r w:rsidRPr="009D3964">
              <w:rPr>
                <w:sz w:val="20"/>
                <w:szCs w:val="20"/>
              </w:rPr>
              <w:t> </w:t>
            </w:r>
          </w:p>
        </w:tc>
        <w:tc>
          <w:tcPr>
            <w:tcW w:w="1055" w:type="dxa"/>
            <w:tcBorders>
              <w:top w:val="nil"/>
              <w:left w:val="nil"/>
              <w:bottom w:val="nil"/>
              <w:right w:val="nil"/>
            </w:tcBorders>
            <w:shd w:val="clear" w:color="auto" w:fill="auto"/>
            <w:noWrap/>
            <w:vAlign w:val="bottom"/>
          </w:tcPr>
          <w:p w:rsidR="00981470" w:rsidRPr="009D3964" w:rsidRDefault="00981470" w:rsidP="00CB6715">
            <w:pPr>
              <w:widowControl/>
              <w:autoSpaceDE/>
              <w:autoSpaceDN/>
              <w:adjustRightInd/>
              <w:jc w:val="center"/>
              <w:rPr>
                <w:sz w:val="20"/>
                <w:szCs w:val="20"/>
              </w:rPr>
            </w:pPr>
          </w:p>
        </w:tc>
        <w:tc>
          <w:tcPr>
            <w:tcW w:w="1032" w:type="dxa"/>
            <w:tcBorders>
              <w:top w:val="nil"/>
              <w:left w:val="nil"/>
              <w:bottom w:val="nil"/>
              <w:right w:val="single" w:sz="8" w:space="0" w:color="auto"/>
            </w:tcBorders>
            <w:shd w:val="clear" w:color="auto" w:fill="auto"/>
            <w:noWrap/>
            <w:vAlign w:val="bottom"/>
          </w:tcPr>
          <w:p w:rsidR="00981470" w:rsidRPr="009D3964" w:rsidRDefault="00981470" w:rsidP="00CB6715">
            <w:pPr>
              <w:widowControl/>
              <w:autoSpaceDE/>
              <w:autoSpaceDN/>
              <w:adjustRightInd/>
              <w:jc w:val="center"/>
              <w:rPr>
                <w:sz w:val="20"/>
                <w:szCs w:val="20"/>
              </w:rPr>
            </w:pPr>
            <w:r w:rsidRPr="009D3964">
              <w:rPr>
                <w:sz w:val="20"/>
                <w:szCs w:val="20"/>
              </w:rPr>
              <w:t> </w:t>
            </w:r>
          </w:p>
        </w:tc>
        <w:tc>
          <w:tcPr>
            <w:tcW w:w="1056" w:type="dxa"/>
            <w:tcBorders>
              <w:top w:val="nil"/>
              <w:left w:val="nil"/>
              <w:bottom w:val="nil"/>
              <w:right w:val="nil"/>
            </w:tcBorders>
            <w:shd w:val="clear" w:color="auto" w:fill="auto"/>
            <w:noWrap/>
            <w:vAlign w:val="bottom"/>
          </w:tcPr>
          <w:p w:rsidR="00981470" w:rsidRPr="009D3964" w:rsidRDefault="00981470" w:rsidP="00CB6715">
            <w:pPr>
              <w:widowControl/>
              <w:autoSpaceDE/>
              <w:autoSpaceDN/>
              <w:adjustRightInd/>
              <w:jc w:val="center"/>
              <w:rPr>
                <w:sz w:val="20"/>
                <w:szCs w:val="20"/>
              </w:rPr>
            </w:pPr>
          </w:p>
        </w:tc>
        <w:tc>
          <w:tcPr>
            <w:tcW w:w="1032" w:type="dxa"/>
            <w:tcBorders>
              <w:top w:val="nil"/>
              <w:left w:val="nil"/>
              <w:bottom w:val="nil"/>
              <w:right w:val="single" w:sz="8" w:space="0" w:color="auto"/>
            </w:tcBorders>
            <w:shd w:val="clear" w:color="auto" w:fill="auto"/>
            <w:noWrap/>
            <w:vAlign w:val="bottom"/>
          </w:tcPr>
          <w:p w:rsidR="00981470" w:rsidRPr="009D3964" w:rsidRDefault="00981470" w:rsidP="00CB6715">
            <w:pPr>
              <w:widowControl/>
              <w:autoSpaceDE/>
              <w:autoSpaceDN/>
              <w:adjustRightInd/>
              <w:jc w:val="center"/>
              <w:rPr>
                <w:sz w:val="20"/>
                <w:szCs w:val="20"/>
              </w:rPr>
            </w:pPr>
            <w:r w:rsidRPr="009D3964">
              <w:rPr>
                <w:sz w:val="20"/>
                <w:szCs w:val="20"/>
              </w:rPr>
              <w:t> </w:t>
            </w:r>
          </w:p>
        </w:tc>
        <w:tc>
          <w:tcPr>
            <w:tcW w:w="1056" w:type="dxa"/>
            <w:tcBorders>
              <w:top w:val="nil"/>
              <w:left w:val="nil"/>
              <w:bottom w:val="nil"/>
              <w:right w:val="nil"/>
            </w:tcBorders>
            <w:shd w:val="clear" w:color="auto" w:fill="auto"/>
            <w:noWrap/>
            <w:vAlign w:val="bottom"/>
          </w:tcPr>
          <w:p w:rsidR="00981470" w:rsidRPr="009D3964" w:rsidRDefault="00981470" w:rsidP="00CB6715">
            <w:pPr>
              <w:widowControl/>
              <w:autoSpaceDE/>
              <w:autoSpaceDN/>
              <w:adjustRightInd/>
              <w:jc w:val="center"/>
              <w:rPr>
                <w:sz w:val="20"/>
                <w:szCs w:val="20"/>
              </w:rPr>
            </w:pPr>
          </w:p>
        </w:tc>
        <w:tc>
          <w:tcPr>
            <w:tcW w:w="1032" w:type="dxa"/>
            <w:tcBorders>
              <w:top w:val="nil"/>
              <w:left w:val="nil"/>
              <w:bottom w:val="nil"/>
              <w:right w:val="single" w:sz="8" w:space="0" w:color="auto"/>
            </w:tcBorders>
            <w:shd w:val="clear" w:color="auto" w:fill="auto"/>
            <w:noWrap/>
            <w:vAlign w:val="bottom"/>
          </w:tcPr>
          <w:p w:rsidR="00981470" w:rsidRPr="009D3964" w:rsidRDefault="00981470" w:rsidP="00CB6715">
            <w:pPr>
              <w:widowControl/>
              <w:autoSpaceDE/>
              <w:autoSpaceDN/>
              <w:adjustRightInd/>
              <w:jc w:val="center"/>
              <w:rPr>
                <w:sz w:val="20"/>
                <w:szCs w:val="20"/>
              </w:rPr>
            </w:pPr>
            <w:r w:rsidRPr="009D3964">
              <w:rPr>
                <w:sz w:val="20"/>
                <w:szCs w:val="20"/>
              </w:rPr>
              <w:t> </w:t>
            </w:r>
          </w:p>
        </w:tc>
      </w:tr>
      <w:tr w:rsidR="00981470" w:rsidRPr="009D3964" w:rsidTr="00CB6715">
        <w:trPr>
          <w:trHeight w:val="270"/>
        </w:trPr>
        <w:tc>
          <w:tcPr>
            <w:tcW w:w="2497" w:type="dxa"/>
            <w:tcBorders>
              <w:top w:val="nil"/>
              <w:left w:val="single" w:sz="8" w:space="0" w:color="auto"/>
              <w:bottom w:val="single" w:sz="8" w:space="0" w:color="auto"/>
              <w:right w:val="single" w:sz="8" w:space="0" w:color="auto"/>
            </w:tcBorders>
            <w:shd w:val="clear" w:color="auto" w:fill="auto"/>
            <w:noWrap/>
            <w:vAlign w:val="bottom"/>
          </w:tcPr>
          <w:p w:rsidR="00981470" w:rsidRPr="009D3964" w:rsidRDefault="00981470" w:rsidP="00CB6715">
            <w:pPr>
              <w:widowControl/>
              <w:autoSpaceDE/>
              <w:autoSpaceDN/>
              <w:adjustRightInd/>
              <w:rPr>
                <w:b/>
                <w:bCs/>
                <w:sz w:val="20"/>
                <w:szCs w:val="20"/>
              </w:rPr>
            </w:pPr>
            <w:r w:rsidRPr="009D3964">
              <w:rPr>
                <w:b/>
                <w:bCs/>
                <w:sz w:val="20"/>
                <w:szCs w:val="20"/>
              </w:rPr>
              <w:t>Total New  External Appeals</w:t>
            </w:r>
          </w:p>
        </w:tc>
        <w:tc>
          <w:tcPr>
            <w:tcW w:w="1055" w:type="dxa"/>
            <w:tcBorders>
              <w:top w:val="nil"/>
              <w:left w:val="nil"/>
              <w:bottom w:val="single" w:sz="8" w:space="0" w:color="auto"/>
              <w:right w:val="nil"/>
            </w:tcBorders>
            <w:shd w:val="clear" w:color="auto" w:fill="auto"/>
            <w:noWrap/>
            <w:vAlign w:val="bottom"/>
          </w:tcPr>
          <w:p w:rsidR="00981470" w:rsidRPr="009D3964" w:rsidRDefault="00981470" w:rsidP="00CB6715">
            <w:pPr>
              <w:widowControl/>
              <w:autoSpaceDE/>
              <w:autoSpaceDN/>
              <w:adjustRightInd/>
              <w:jc w:val="center"/>
              <w:rPr>
                <w:sz w:val="20"/>
                <w:szCs w:val="20"/>
              </w:rPr>
            </w:pPr>
            <w:r w:rsidRPr="009D3964">
              <w:rPr>
                <w:sz w:val="20"/>
                <w:szCs w:val="20"/>
              </w:rPr>
              <w:t>0.6</w:t>
            </w:r>
          </w:p>
        </w:tc>
        <w:tc>
          <w:tcPr>
            <w:tcW w:w="1032" w:type="dxa"/>
            <w:tcBorders>
              <w:top w:val="nil"/>
              <w:left w:val="nil"/>
              <w:bottom w:val="single" w:sz="8" w:space="0" w:color="auto"/>
              <w:right w:val="single" w:sz="8" w:space="0" w:color="auto"/>
            </w:tcBorders>
            <w:shd w:val="clear" w:color="auto" w:fill="auto"/>
            <w:noWrap/>
            <w:vAlign w:val="bottom"/>
          </w:tcPr>
          <w:p w:rsidR="00981470" w:rsidRPr="009D3964" w:rsidRDefault="00981470" w:rsidP="00CB6715">
            <w:pPr>
              <w:widowControl/>
              <w:autoSpaceDE/>
              <w:autoSpaceDN/>
              <w:adjustRightInd/>
              <w:jc w:val="center"/>
              <w:rPr>
                <w:sz w:val="20"/>
                <w:szCs w:val="20"/>
              </w:rPr>
            </w:pPr>
            <w:r w:rsidRPr="009D3964">
              <w:rPr>
                <w:sz w:val="20"/>
                <w:szCs w:val="20"/>
              </w:rPr>
              <w:t>0.2</w:t>
            </w:r>
          </w:p>
        </w:tc>
        <w:tc>
          <w:tcPr>
            <w:tcW w:w="1056" w:type="dxa"/>
            <w:tcBorders>
              <w:top w:val="nil"/>
              <w:left w:val="nil"/>
              <w:bottom w:val="single" w:sz="8" w:space="0" w:color="auto"/>
              <w:right w:val="nil"/>
            </w:tcBorders>
            <w:shd w:val="clear" w:color="auto" w:fill="auto"/>
            <w:noWrap/>
            <w:vAlign w:val="bottom"/>
          </w:tcPr>
          <w:p w:rsidR="00981470" w:rsidRPr="009D3964" w:rsidRDefault="00981470" w:rsidP="00CB6715">
            <w:pPr>
              <w:widowControl/>
              <w:autoSpaceDE/>
              <w:autoSpaceDN/>
              <w:adjustRightInd/>
              <w:jc w:val="center"/>
              <w:rPr>
                <w:sz w:val="20"/>
                <w:szCs w:val="20"/>
              </w:rPr>
            </w:pPr>
            <w:r w:rsidRPr="009D3964">
              <w:rPr>
                <w:sz w:val="20"/>
                <w:szCs w:val="20"/>
              </w:rPr>
              <w:t>1.1</w:t>
            </w:r>
          </w:p>
        </w:tc>
        <w:tc>
          <w:tcPr>
            <w:tcW w:w="1032" w:type="dxa"/>
            <w:tcBorders>
              <w:top w:val="nil"/>
              <w:left w:val="nil"/>
              <w:bottom w:val="single" w:sz="8" w:space="0" w:color="auto"/>
              <w:right w:val="single" w:sz="8" w:space="0" w:color="auto"/>
            </w:tcBorders>
            <w:shd w:val="clear" w:color="auto" w:fill="auto"/>
            <w:noWrap/>
            <w:vAlign w:val="bottom"/>
          </w:tcPr>
          <w:p w:rsidR="00981470" w:rsidRPr="009D3964" w:rsidRDefault="00981470" w:rsidP="00CB6715">
            <w:pPr>
              <w:widowControl/>
              <w:autoSpaceDE/>
              <w:autoSpaceDN/>
              <w:adjustRightInd/>
              <w:jc w:val="center"/>
              <w:rPr>
                <w:sz w:val="20"/>
                <w:szCs w:val="20"/>
              </w:rPr>
            </w:pPr>
            <w:r w:rsidRPr="009D3964">
              <w:rPr>
                <w:sz w:val="20"/>
                <w:szCs w:val="20"/>
              </w:rPr>
              <w:t>0.3</w:t>
            </w:r>
          </w:p>
        </w:tc>
        <w:tc>
          <w:tcPr>
            <w:tcW w:w="1056" w:type="dxa"/>
            <w:tcBorders>
              <w:top w:val="nil"/>
              <w:left w:val="nil"/>
              <w:bottom w:val="single" w:sz="8" w:space="0" w:color="auto"/>
              <w:right w:val="nil"/>
            </w:tcBorders>
            <w:shd w:val="clear" w:color="auto" w:fill="auto"/>
            <w:noWrap/>
            <w:vAlign w:val="bottom"/>
          </w:tcPr>
          <w:p w:rsidR="00981470" w:rsidRPr="009D3964" w:rsidRDefault="00981470" w:rsidP="00CB6715">
            <w:pPr>
              <w:widowControl/>
              <w:autoSpaceDE/>
              <w:autoSpaceDN/>
              <w:adjustRightInd/>
              <w:jc w:val="center"/>
              <w:rPr>
                <w:sz w:val="20"/>
                <w:szCs w:val="20"/>
              </w:rPr>
            </w:pPr>
            <w:r w:rsidRPr="009D3964">
              <w:rPr>
                <w:sz w:val="20"/>
                <w:szCs w:val="20"/>
              </w:rPr>
              <w:t>1.5</w:t>
            </w:r>
          </w:p>
        </w:tc>
        <w:tc>
          <w:tcPr>
            <w:tcW w:w="1032" w:type="dxa"/>
            <w:tcBorders>
              <w:top w:val="nil"/>
              <w:left w:val="nil"/>
              <w:bottom w:val="single" w:sz="8" w:space="0" w:color="auto"/>
              <w:right w:val="single" w:sz="8" w:space="0" w:color="auto"/>
            </w:tcBorders>
            <w:shd w:val="clear" w:color="auto" w:fill="auto"/>
            <w:noWrap/>
            <w:vAlign w:val="bottom"/>
          </w:tcPr>
          <w:p w:rsidR="00981470" w:rsidRPr="009D3964" w:rsidRDefault="00981470" w:rsidP="00CB6715">
            <w:pPr>
              <w:widowControl/>
              <w:autoSpaceDE/>
              <w:autoSpaceDN/>
              <w:adjustRightInd/>
              <w:jc w:val="center"/>
              <w:rPr>
                <w:sz w:val="20"/>
                <w:szCs w:val="20"/>
              </w:rPr>
            </w:pPr>
            <w:r w:rsidRPr="009D3964">
              <w:rPr>
                <w:sz w:val="20"/>
                <w:szCs w:val="20"/>
              </w:rPr>
              <w:t>0.4</w:t>
            </w:r>
          </w:p>
        </w:tc>
      </w:tr>
    </w:tbl>
    <w:p w:rsidR="00981470" w:rsidRDefault="00981470" w:rsidP="00981470">
      <w:pPr>
        <w:widowControl/>
        <w:ind w:firstLine="720"/>
      </w:pPr>
    </w:p>
    <w:p w:rsidR="00981470" w:rsidRDefault="00981470" w:rsidP="00981470">
      <w:pPr>
        <w:widowControl/>
        <w:ind w:firstLine="720"/>
      </w:pPr>
    </w:p>
    <w:p w:rsidR="00981470" w:rsidRDefault="00981470" w:rsidP="00981470">
      <w:pPr>
        <w:widowControl/>
        <w:ind w:firstLine="720"/>
      </w:pPr>
      <w:r>
        <w:t xml:space="preserve">The transaction burden will vary widely with the type and complexity of claim in question, but the mix of claims and associated burdens generally are expected to be similar across plans of the same type.  The average time required for the information collection associated with any particular type of health benefit claim transaction will range from one minute for certain routine automatic notices to four and a half hours for certain disclosures on request following adverse claim determinations.  </w:t>
      </w:r>
    </w:p>
    <w:p w:rsidR="00981470" w:rsidRDefault="00981470" w:rsidP="00981470">
      <w:pPr>
        <w:widowControl/>
        <w:ind w:firstLine="720"/>
      </w:pPr>
    </w:p>
    <w:p w:rsidR="00981470" w:rsidRDefault="00981470" w:rsidP="00981470">
      <w:pPr>
        <w:widowControl/>
        <w:ind w:firstLine="720"/>
      </w:pPr>
      <w:r>
        <w:t>The Department estimates that approximately 93 percent of large group health and all small group health plans administer claims using a third-party provider.  Approximately 5 percent of individuals covered by group health insurance as well as all people covered in the individual market insurance claims are administered in-house.  In-house administration burdens are accounted for as hours, while purchased services are accounted for as dollar costs.  The hourly burden as well as mailing costs for plans processing claims in-house is described below:</w:t>
      </w:r>
    </w:p>
    <w:p w:rsidR="00981470" w:rsidRDefault="00981470" w:rsidP="00981470">
      <w:pPr>
        <w:widowControl/>
        <w:ind w:firstLine="720"/>
      </w:pPr>
    </w:p>
    <w:tbl>
      <w:tblPr>
        <w:tblW w:w="10333" w:type="dxa"/>
        <w:tblInd w:w="93" w:type="dxa"/>
        <w:tblLook w:val="0000"/>
      </w:tblPr>
      <w:tblGrid>
        <w:gridCol w:w="2565"/>
        <w:gridCol w:w="705"/>
        <w:gridCol w:w="1043"/>
        <w:gridCol w:w="960"/>
        <w:gridCol w:w="960"/>
        <w:gridCol w:w="1060"/>
        <w:gridCol w:w="960"/>
        <w:gridCol w:w="960"/>
        <w:gridCol w:w="1120"/>
      </w:tblGrid>
      <w:tr w:rsidR="00981470" w:rsidRPr="009D3964" w:rsidTr="00BE0E2B">
        <w:trPr>
          <w:trHeight w:val="255"/>
        </w:trPr>
        <w:tc>
          <w:tcPr>
            <w:tcW w:w="4313" w:type="dxa"/>
            <w:gridSpan w:val="3"/>
            <w:tcBorders>
              <w:top w:val="nil"/>
              <w:left w:val="nil"/>
              <w:bottom w:val="nil"/>
              <w:right w:val="nil"/>
            </w:tcBorders>
            <w:shd w:val="clear" w:color="auto" w:fill="auto"/>
            <w:noWrap/>
            <w:vAlign w:val="bottom"/>
          </w:tcPr>
          <w:p w:rsidR="00981470" w:rsidRPr="009D3964" w:rsidRDefault="00981470" w:rsidP="00CB6715">
            <w:pPr>
              <w:widowControl/>
              <w:autoSpaceDE/>
              <w:autoSpaceDN/>
              <w:adjustRightInd/>
              <w:rPr>
                <w:sz w:val="20"/>
                <w:szCs w:val="20"/>
              </w:rPr>
            </w:pPr>
            <w:r w:rsidRPr="009D3964">
              <w:rPr>
                <w:sz w:val="20"/>
                <w:szCs w:val="20"/>
              </w:rPr>
              <w:t>TABLE 2.--</w:t>
            </w:r>
            <w:r w:rsidRPr="009D3964">
              <w:rPr>
                <w:i/>
                <w:iCs/>
                <w:sz w:val="20"/>
                <w:szCs w:val="20"/>
              </w:rPr>
              <w:t>In-House Burden Hours (in thousands)</w:t>
            </w:r>
          </w:p>
        </w:tc>
        <w:tc>
          <w:tcPr>
            <w:tcW w:w="960" w:type="dxa"/>
            <w:tcBorders>
              <w:top w:val="nil"/>
              <w:left w:val="nil"/>
              <w:bottom w:val="nil"/>
              <w:right w:val="nil"/>
            </w:tcBorders>
            <w:shd w:val="clear" w:color="auto" w:fill="auto"/>
            <w:noWrap/>
            <w:vAlign w:val="bottom"/>
          </w:tcPr>
          <w:p w:rsidR="00981470" w:rsidRPr="009D3964" w:rsidRDefault="00981470" w:rsidP="00CB6715">
            <w:pPr>
              <w:widowControl/>
              <w:autoSpaceDE/>
              <w:autoSpaceDN/>
              <w:adjustRightInd/>
              <w:rPr>
                <w:sz w:val="20"/>
                <w:szCs w:val="20"/>
              </w:rPr>
            </w:pPr>
          </w:p>
        </w:tc>
        <w:tc>
          <w:tcPr>
            <w:tcW w:w="960" w:type="dxa"/>
            <w:tcBorders>
              <w:top w:val="nil"/>
              <w:left w:val="nil"/>
              <w:bottom w:val="nil"/>
              <w:right w:val="nil"/>
            </w:tcBorders>
            <w:shd w:val="clear" w:color="auto" w:fill="auto"/>
            <w:noWrap/>
            <w:vAlign w:val="bottom"/>
          </w:tcPr>
          <w:p w:rsidR="00981470" w:rsidRPr="009D3964" w:rsidRDefault="00981470" w:rsidP="00CB6715">
            <w:pPr>
              <w:widowControl/>
              <w:autoSpaceDE/>
              <w:autoSpaceDN/>
              <w:adjustRightInd/>
              <w:rPr>
                <w:sz w:val="20"/>
                <w:szCs w:val="20"/>
              </w:rPr>
            </w:pPr>
          </w:p>
        </w:tc>
        <w:tc>
          <w:tcPr>
            <w:tcW w:w="1060" w:type="dxa"/>
            <w:tcBorders>
              <w:top w:val="nil"/>
              <w:left w:val="nil"/>
              <w:bottom w:val="nil"/>
              <w:right w:val="nil"/>
            </w:tcBorders>
            <w:shd w:val="clear" w:color="auto" w:fill="auto"/>
            <w:noWrap/>
            <w:vAlign w:val="bottom"/>
          </w:tcPr>
          <w:p w:rsidR="00981470" w:rsidRPr="009D3964" w:rsidRDefault="00981470" w:rsidP="00CB6715">
            <w:pPr>
              <w:widowControl/>
              <w:autoSpaceDE/>
              <w:autoSpaceDN/>
              <w:adjustRightInd/>
              <w:rPr>
                <w:sz w:val="20"/>
                <w:szCs w:val="20"/>
              </w:rPr>
            </w:pPr>
          </w:p>
        </w:tc>
        <w:tc>
          <w:tcPr>
            <w:tcW w:w="960" w:type="dxa"/>
            <w:tcBorders>
              <w:top w:val="nil"/>
              <w:left w:val="nil"/>
              <w:bottom w:val="nil"/>
              <w:right w:val="nil"/>
            </w:tcBorders>
            <w:shd w:val="clear" w:color="auto" w:fill="auto"/>
            <w:noWrap/>
            <w:vAlign w:val="bottom"/>
          </w:tcPr>
          <w:p w:rsidR="00981470" w:rsidRPr="009D3964" w:rsidRDefault="00981470" w:rsidP="00CB6715">
            <w:pPr>
              <w:widowControl/>
              <w:autoSpaceDE/>
              <w:autoSpaceDN/>
              <w:adjustRightInd/>
              <w:rPr>
                <w:sz w:val="20"/>
                <w:szCs w:val="20"/>
              </w:rPr>
            </w:pPr>
          </w:p>
        </w:tc>
        <w:tc>
          <w:tcPr>
            <w:tcW w:w="960" w:type="dxa"/>
            <w:tcBorders>
              <w:top w:val="nil"/>
              <w:left w:val="nil"/>
              <w:bottom w:val="nil"/>
              <w:right w:val="nil"/>
            </w:tcBorders>
            <w:shd w:val="clear" w:color="auto" w:fill="auto"/>
            <w:noWrap/>
            <w:vAlign w:val="bottom"/>
          </w:tcPr>
          <w:p w:rsidR="00981470" w:rsidRPr="009D3964" w:rsidRDefault="00981470" w:rsidP="00CB6715">
            <w:pPr>
              <w:widowControl/>
              <w:autoSpaceDE/>
              <w:autoSpaceDN/>
              <w:adjustRightInd/>
              <w:rPr>
                <w:sz w:val="20"/>
                <w:szCs w:val="20"/>
              </w:rPr>
            </w:pPr>
          </w:p>
        </w:tc>
        <w:tc>
          <w:tcPr>
            <w:tcW w:w="1120" w:type="dxa"/>
            <w:tcBorders>
              <w:top w:val="nil"/>
              <w:left w:val="nil"/>
              <w:bottom w:val="nil"/>
              <w:right w:val="nil"/>
            </w:tcBorders>
            <w:shd w:val="clear" w:color="auto" w:fill="auto"/>
            <w:noWrap/>
            <w:vAlign w:val="bottom"/>
          </w:tcPr>
          <w:p w:rsidR="00981470" w:rsidRPr="009D3964" w:rsidRDefault="00981470" w:rsidP="00CB6715">
            <w:pPr>
              <w:widowControl/>
              <w:autoSpaceDE/>
              <w:autoSpaceDN/>
              <w:adjustRightInd/>
              <w:rPr>
                <w:sz w:val="20"/>
                <w:szCs w:val="20"/>
              </w:rPr>
            </w:pPr>
          </w:p>
        </w:tc>
      </w:tr>
      <w:tr w:rsidR="00981470" w:rsidRPr="009D3964" w:rsidTr="00BE0E2B">
        <w:trPr>
          <w:trHeight w:val="270"/>
        </w:trPr>
        <w:tc>
          <w:tcPr>
            <w:tcW w:w="2565" w:type="dxa"/>
            <w:tcBorders>
              <w:top w:val="nil"/>
              <w:left w:val="nil"/>
              <w:bottom w:val="nil"/>
              <w:right w:val="nil"/>
            </w:tcBorders>
            <w:shd w:val="clear" w:color="auto" w:fill="auto"/>
            <w:noWrap/>
            <w:vAlign w:val="bottom"/>
          </w:tcPr>
          <w:p w:rsidR="00981470" w:rsidRPr="009D3964" w:rsidRDefault="00981470" w:rsidP="00CB6715">
            <w:pPr>
              <w:widowControl/>
              <w:autoSpaceDE/>
              <w:autoSpaceDN/>
              <w:adjustRightInd/>
              <w:rPr>
                <w:sz w:val="20"/>
                <w:szCs w:val="20"/>
              </w:rPr>
            </w:pPr>
          </w:p>
        </w:tc>
        <w:tc>
          <w:tcPr>
            <w:tcW w:w="705" w:type="dxa"/>
            <w:tcBorders>
              <w:top w:val="nil"/>
              <w:left w:val="nil"/>
              <w:bottom w:val="nil"/>
              <w:right w:val="nil"/>
            </w:tcBorders>
            <w:shd w:val="clear" w:color="auto" w:fill="auto"/>
            <w:noWrap/>
            <w:vAlign w:val="bottom"/>
          </w:tcPr>
          <w:p w:rsidR="00981470" w:rsidRPr="009D3964" w:rsidRDefault="00981470" w:rsidP="00CB6715">
            <w:pPr>
              <w:widowControl/>
              <w:autoSpaceDE/>
              <w:autoSpaceDN/>
              <w:adjustRightInd/>
              <w:rPr>
                <w:sz w:val="20"/>
                <w:szCs w:val="20"/>
              </w:rPr>
            </w:pPr>
          </w:p>
        </w:tc>
        <w:tc>
          <w:tcPr>
            <w:tcW w:w="1043" w:type="dxa"/>
            <w:tcBorders>
              <w:top w:val="nil"/>
              <w:left w:val="nil"/>
              <w:bottom w:val="nil"/>
              <w:right w:val="nil"/>
            </w:tcBorders>
            <w:shd w:val="clear" w:color="auto" w:fill="auto"/>
            <w:noWrap/>
            <w:vAlign w:val="bottom"/>
          </w:tcPr>
          <w:p w:rsidR="00981470" w:rsidRPr="009D3964" w:rsidRDefault="00981470" w:rsidP="00CB6715">
            <w:pPr>
              <w:widowControl/>
              <w:autoSpaceDE/>
              <w:autoSpaceDN/>
              <w:adjustRightInd/>
              <w:rPr>
                <w:sz w:val="20"/>
                <w:szCs w:val="20"/>
              </w:rPr>
            </w:pPr>
          </w:p>
        </w:tc>
        <w:tc>
          <w:tcPr>
            <w:tcW w:w="960" w:type="dxa"/>
            <w:tcBorders>
              <w:top w:val="nil"/>
              <w:left w:val="nil"/>
              <w:bottom w:val="nil"/>
              <w:right w:val="nil"/>
            </w:tcBorders>
            <w:shd w:val="clear" w:color="auto" w:fill="auto"/>
            <w:noWrap/>
            <w:vAlign w:val="bottom"/>
          </w:tcPr>
          <w:p w:rsidR="00981470" w:rsidRPr="009D3964" w:rsidRDefault="00981470" w:rsidP="00CB6715">
            <w:pPr>
              <w:widowControl/>
              <w:autoSpaceDE/>
              <w:autoSpaceDN/>
              <w:adjustRightInd/>
              <w:rPr>
                <w:sz w:val="20"/>
                <w:szCs w:val="20"/>
              </w:rPr>
            </w:pPr>
          </w:p>
        </w:tc>
        <w:tc>
          <w:tcPr>
            <w:tcW w:w="960" w:type="dxa"/>
            <w:tcBorders>
              <w:top w:val="nil"/>
              <w:left w:val="nil"/>
              <w:bottom w:val="nil"/>
              <w:right w:val="nil"/>
            </w:tcBorders>
            <w:shd w:val="clear" w:color="auto" w:fill="auto"/>
            <w:noWrap/>
            <w:vAlign w:val="bottom"/>
          </w:tcPr>
          <w:p w:rsidR="00981470" w:rsidRPr="009D3964" w:rsidRDefault="00981470" w:rsidP="00CB6715">
            <w:pPr>
              <w:widowControl/>
              <w:autoSpaceDE/>
              <w:autoSpaceDN/>
              <w:adjustRightInd/>
              <w:rPr>
                <w:sz w:val="20"/>
                <w:szCs w:val="20"/>
              </w:rPr>
            </w:pPr>
          </w:p>
        </w:tc>
        <w:tc>
          <w:tcPr>
            <w:tcW w:w="1060" w:type="dxa"/>
            <w:tcBorders>
              <w:top w:val="nil"/>
              <w:left w:val="nil"/>
              <w:bottom w:val="nil"/>
              <w:right w:val="nil"/>
            </w:tcBorders>
            <w:shd w:val="clear" w:color="auto" w:fill="auto"/>
            <w:noWrap/>
            <w:vAlign w:val="bottom"/>
          </w:tcPr>
          <w:p w:rsidR="00981470" w:rsidRPr="009D3964" w:rsidRDefault="00981470" w:rsidP="00CB6715">
            <w:pPr>
              <w:widowControl/>
              <w:autoSpaceDE/>
              <w:autoSpaceDN/>
              <w:adjustRightInd/>
              <w:rPr>
                <w:sz w:val="20"/>
                <w:szCs w:val="20"/>
              </w:rPr>
            </w:pPr>
          </w:p>
        </w:tc>
        <w:tc>
          <w:tcPr>
            <w:tcW w:w="960" w:type="dxa"/>
            <w:tcBorders>
              <w:top w:val="nil"/>
              <w:left w:val="nil"/>
              <w:bottom w:val="nil"/>
              <w:right w:val="nil"/>
            </w:tcBorders>
            <w:shd w:val="clear" w:color="auto" w:fill="auto"/>
            <w:noWrap/>
            <w:vAlign w:val="bottom"/>
          </w:tcPr>
          <w:p w:rsidR="00981470" w:rsidRPr="009D3964" w:rsidRDefault="00981470" w:rsidP="00CB6715">
            <w:pPr>
              <w:widowControl/>
              <w:autoSpaceDE/>
              <w:autoSpaceDN/>
              <w:adjustRightInd/>
              <w:rPr>
                <w:sz w:val="20"/>
                <w:szCs w:val="20"/>
              </w:rPr>
            </w:pPr>
          </w:p>
        </w:tc>
        <w:tc>
          <w:tcPr>
            <w:tcW w:w="960" w:type="dxa"/>
            <w:tcBorders>
              <w:top w:val="nil"/>
              <w:left w:val="nil"/>
              <w:bottom w:val="nil"/>
              <w:right w:val="nil"/>
            </w:tcBorders>
            <w:shd w:val="clear" w:color="auto" w:fill="auto"/>
            <w:noWrap/>
            <w:vAlign w:val="bottom"/>
          </w:tcPr>
          <w:p w:rsidR="00981470" w:rsidRPr="009D3964" w:rsidRDefault="00981470" w:rsidP="00CB6715">
            <w:pPr>
              <w:widowControl/>
              <w:autoSpaceDE/>
              <w:autoSpaceDN/>
              <w:adjustRightInd/>
              <w:rPr>
                <w:sz w:val="20"/>
                <w:szCs w:val="20"/>
              </w:rPr>
            </w:pPr>
          </w:p>
        </w:tc>
        <w:tc>
          <w:tcPr>
            <w:tcW w:w="1120" w:type="dxa"/>
            <w:tcBorders>
              <w:top w:val="nil"/>
              <w:left w:val="nil"/>
              <w:bottom w:val="nil"/>
              <w:right w:val="nil"/>
            </w:tcBorders>
            <w:shd w:val="clear" w:color="auto" w:fill="auto"/>
            <w:noWrap/>
            <w:vAlign w:val="bottom"/>
          </w:tcPr>
          <w:p w:rsidR="00981470" w:rsidRPr="009D3964" w:rsidRDefault="00981470" w:rsidP="00CB6715">
            <w:pPr>
              <w:widowControl/>
              <w:autoSpaceDE/>
              <w:autoSpaceDN/>
              <w:adjustRightInd/>
              <w:rPr>
                <w:sz w:val="20"/>
                <w:szCs w:val="20"/>
              </w:rPr>
            </w:pPr>
          </w:p>
        </w:tc>
      </w:tr>
      <w:tr w:rsidR="00981470" w:rsidRPr="009D3964" w:rsidTr="00BE0E2B">
        <w:trPr>
          <w:trHeight w:val="270"/>
        </w:trPr>
        <w:tc>
          <w:tcPr>
            <w:tcW w:w="2565" w:type="dxa"/>
            <w:tcBorders>
              <w:top w:val="single" w:sz="8" w:space="0" w:color="auto"/>
              <w:left w:val="nil"/>
              <w:bottom w:val="nil"/>
              <w:right w:val="nil"/>
            </w:tcBorders>
            <w:shd w:val="clear" w:color="auto" w:fill="auto"/>
            <w:noWrap/>
            <w:vAlign w:val="bottom"/>
          </w:tcPr>
          <w:p w:rsidR="00981470" w:rsidRPr="009D3964" w:rsidRDefault="00981470" w:rsidP="00CB6715">
            <w:pPr>
              <w:widowControl/>
              <w:autoSpaceDE/>
              <w:autoSpaceDN/>
              <w:adjustRightInd/>
              <w:rPr>
                <w:sz w:val="20"/>
                <w:szCs w:val="20"/>
              </w:rPr>
            </w:pPr>
            <w:r w:rsidRPr="009D3964">
              <w:rPr>
                <w:sz w:val="20"/>
                <w:szCs w:val="20"/>
              </w:rPr>
              <w:t> </w:t>
            </w:r>
          </w:p>
        </w:tc>
        <w:tc>
          <w:tcPr>
            <w:tcW w:w="1748" w:type="dxa"/>
            <w:gridSpan w:val="2"/>
            <w:tcBorders>
              <w:top w:val="single" w:sz="8" w:space="0" w:color="auto"/>
              <w:left w:val="nil"/>
              <w:bottom w:val="single" w:sz="8" w:space="0" w:color="auto"/>
              <w:right w:val="nil"/>
            </w:tcBorders>
            <w:shd w:val="clear" w:color="auto" w:fill="auto"/>
            <w:noWrap/>
            <w:vAlign w:val="bottom"/>
          </w:tcPr>
          <w:p w:rsidR="00981470" w:rsidRPr="009D3964" w:rsidRDefault="00981470" w:rsidP="00CB6715">
            <w:pPr>
              <w:widowControl/>
              <w:autoSpaceDE/>
              <w:autoSpaceDN/>
              <w:adjustRightInd/>
              <w:jc w:val="center"/>
              <w:rPr>
                <w:sz w:val="20"/>
                <w:szCs w:val="20"/>
              </w:rPr>
            </w:pPr>
            <w:r w:rsidRPr="009D3964">
              <w:rPr>
                <w:sz w:val="20"/>
                <w:szCs w:val="20"/>
              </w:rPr>
              <w:t>2011</w:t>
            </w:r>
          </w:p>
        </w:tc>
        <w:tc>
          <w:tcPr>
            <w:tcW w:w="960" w:type="dxa"/>
            <w:tcBorders>
              <w:top w:val="single" w:sz="8" w:space="0" w:color="auto"/>
              <w:left w:val="nil"/>
              <w:bottom w:val="nil"/>
              <w:right w:val="nil"/>
            </w:tcBorders>
            <w:shd w:val="clear" w:color="auto" w:fill="auto"/>
            <w:vAlign w:val="bottom"/>
          </w:tcPr>
          <w:p w:rsidR="00981470" w:rsidRPr="009D3964" w:rsidRDefault="00981470" w:rsidP="00CB6715">
            <w:pPr>
              <w:widowControl/>
              <w:autoSpaceDE/>
              <w:autoSpaceDN/>
              <w:adjustRightInd/>
              <w:rPr>
                <w:sz w:val="20"/>
                <w:szCs w:val="20"/>
              </w:rPr>
            </w:pPr>
            <w:r w:rsidRPr="009D3964">
              <w:rPr>
                <w:sz w:val="20"/>
                <w:szCs w:val="20"/>
              </w:rPr>
              <w:t> </w:t>
            </w:r>
          </w:p>
        </w:tc>
        <w:tc>
          <w:tcPr>
            <w:tcW w:w="2020" w:type="dxa"/>
            <w:gridSpan w:val="2"/>
            <w:tcBorders>
              <w:top w:val="single" w:sz="8" w:space="0" w:color="auto"/>
              <w:left w:val="nil"/>
              <w:bottom w:val="single" w:sz="8" w:space="0" w:color="auto"/>
              <w:right w:val="nil"/>
            </w:tcBorders>
            <w:shd w:val="clear" w:color="auto" w:fill="auto"/>
            <w:noWrap/>
            <w:vAlign w:val="bottom"/>
          </w:tcPr>
          <w:p w:rsidR="00981470" w:rsidRPr="009D3964" w:rsidRDefault="00981470" w:rsidP="00CB6715">
            <w:pPr>
              <w:widowControl/>
              <w:autoSpaceDE/>
              <w:autoSpaceDN/>
              <w:adjustRightInd/>
              <w:jc w:val="center"/>
              <w:rPr>
                <w:sz w:val="20"/>
                <w:szCs w:val="20"/>
              </w:rPr>
            </w:pPr>
            <w:r w:rsidRPr="009D3964">
              <w:rPr>
                <w:sz w:val="20"/>
                <w:szCs w:val="20"/>
              </w:rPr>
              <w:t>2012</w:t>
            </w:r>
          </w:p>
        </w:tc>
        <w:tc>
          <w:tcPr>
            <w:tcW w:w="960" w:type="dxa"/>
            <w:tcBorders>
              <w:top w:val="single" w:sz="8" w:space="0" w:color="auto"/>
              <w:left w:val="nil"/>
              <w:bottom w:val="nil"/>
              <w:right w:val="nil"/>
            </w:tcBorders>
            <w:shd w:val="clear" w:color="auto" w:fill="auto"/>
            <w:vAlign w:val="bottom"/>
          </w:tcPr>
          <w:p w:rsidR="00981470" w:rsidRPr="009D3964" w:rsidRDefault="00981470" w:rsidP="00CB6715">
            <w:pPr>
              <w:widowControl/>
              <w:autoSpaceDE/>
              <w:autoSpaceDN/>
              <w:adjustRightInd/>
              <w:rPr>
                <w:sz w:val="20"/>
                <w:szCs w:val="20"/>
              </w:rPr>
            </w:pPr>
            <w:r w:rsidRPr="009D3964">
              <w:rPr>
                <w:sz w:val="20"/>
                <w:szCs w:val="20"/>
              </w:rPr>
              <w:t> </w:t>
            </w:r>
          </w:p>
        </w:tc>
        <w:tc>
          <w:tcPr>
            <w:tcW w:w="2080" w:type="dxa"/>
            <w:gridSpan w:val="2"/>
            <w:tcBorders>
              <w:top w:val="single" w:sz="8" w:space="0" w:color="auto"/>
              <w:left w:val="nil"/>
              <w:bottom w:val="single" w:sz="8" w:space="0" w:color="auto"/>
              <w:right w:val="nil"/>
            </w:tcBorders>
            <w:shd w:val="clear" w:color="auto" w:fill="auto"/>
            <w:noWrap/>
            <w:vAlign w:val="bottom"/>
          </w:tcPr>
          <w:p w:rsidR="00981470" w:rsidRPr="009D3964" w:rsidRDefault="00981470" w:rsidP="00CB6715">
            <w:pPr>
              <w:widowControl/>
              <w:autoSpaceDE/>
              <w:autoSpaceDN/>
              <w:adjustRightInd/>
              <w:jc w:val="center"/>
              <w:rPr>
                <w:sz w:val="20"/>
                <w:szCs w:val="20"/>
              </w:rPr>
            </w:pPr>
            <w:r w:rsidRPr="009D3964">
              <w:rPr>
                <w:sz w:val="20"/>
                <w:szCs w:val="20"/>
              </w:rPr>
              <w:t>2013</w:t>
            </w:r>
          </w:p>
        </w:tc>
      </w:tr>
      <w:tr w:rsidR="00981470" w:rsidRPr="009D3964" w:rsidTr="00BE0E2B">
        <w:trPr>
          <w:trHeight w:val="510"/>
        </w:trPr>
        <w:tc>
          <w:tcPr>
            <w:tcW w:w="2565" w:type="dxa"/>
            <w:tcBorders>
              <w:top w:val="single" w:sz="8" w:space="0" w:color="auto"/>
              <w:left w:val="nil"/>
              <w:bottom w:val="single" w:sz="4" w:space="0" w:color="auto"/>
              <w:right w:val="nil"/>
            </w:tcBorders>
            <w:shd w:val="clear" w:color="auto" w:fill="auto"/>
            <w:noWrap/>
            <w:vAlign w:val="bottom"/>
          </w:tcPr>
          <w:p w:rsidR="00981470" w:rsidRPr="009D3964" w:rsidRDefault="00981470" w:rsidP="00CB6715">
            <w:pPr>
              <w:widowControl/>
              <w:autoSpaceDE/>
              <w:autoSpaceDN/>
              <w:adjustRightInd/>
              <w:rPr>
                <w:sz w:val="20"/>
                <w:szCs w:val="20"/>
              </w:rPr>
            </w:pPr>
            <w:r w:rsidRPr="009D3964">
              <w:rPr>
                <w:sz w:val="20"/>
                <w:szCs w:val="20"/>
              </w:rPr>
              <w:t> </w:t>
            </w:r>
          </w:p>
        </w:tc>
        <w:tc>
          <w:tcPr>
            <w:tcW w:w="705" w:type="dxa"/>
            <w:tcBorders>
              <w:top w:val="nil"/>
              <w:left w:val="nil"/>
              <w:bottom w:val="single" w:sz="4" w:space="0" w:color="auto"/>
              <w:right w:val="nil"/>
            </w:tcBorders>
            <w:shd w:val="clear" w:color="auto" w:fill="auto"/>
            <w:noWrap/>
            <w:vAlign w:val="center"/>
          </w:tcPr>
          <w:p w:rsidR="00981470" w:rsidRPr="009D3964" w:rsidRDefault="00981470" w:rsidP="00CB6715">
            <w:pPr>
              <w:widowControl/>
              <w:autoSpaceDE/>
              <w:autoSpaceDN/>
              <w:adjustRightInd/>
              <w:jc w:val="center"/>
              <w:rPr>
                <w:sz w:val="20"/>
                <w:szCs w:val="20"/>
              </w:rPr>
            </w:pPr>
            <w:r w:rsidRPr="009D3964">
              <w:rPr>
                <w:sz w:val="20"/>
                <w:szCs w:val="20"/>
              </w:rPr>
              <w:t>Hours</w:t>
            </w:r>
          </w:p>
        </w:tc>
        <w:tc>
          <w:tcPr>
            <w:tcW w:w="1043" w:type="dxa"/>
            <w:tcBorders>
              <w:top w:val="nil"/>
              <w:left w:val="nil"/>
              <w:bottom w:val="single" w:sz="4" w:space="0" w:color="auto"/>
              <w:right w:val="nil"/>
            </w:tcBorders>
            <w:shd w:val="clear" w:color="auto" w:fill="auto"/>
            <w:vAlign w:val="center"/>
          </w:tcPr>
          <w:p w:rsidR="00981470" w:rsidRPr="009D3964" w:rsidRDefault="00981470" w:rsidP="00CB6715">
            <w:pPr>
              <w:widowControl/>
              <w:autoSpaceDE/>
              <w:autoSpaceDN/>
              <w:adjustRightInd/>
              <w:jc w:val="center"/>
              <w:rPr>
                <w:sz w:val="20"/>
                <w:szCs w:val="20"/>
              </w:rPr>
            </w:pPr>
            <w:r w:rsidRPr="009D3964">
              <w:rPr>
                <w:sz w:val="20"/>
                <w:szCs w:val="20"/>
              </w:rPr>
              <w:t>Mailing Cost</w:t>
            </w:r>
          </w:p>
        </w:tc>
        <w:tc>
          <w:tcPr>
            <w:tcW w:w="960" w:type="dxa"/>
            <w:tcBorders>
              <w:top w:val="single" w:sz="8" w:space="0" w:color="auto"/>
              <w:left w:val="nil"/>
              <w:bottom w:val="single" w:sz="4" w:space="0" w:color="auto"/>
              <w:right w:val="nil"/>
            </w:tcBorders>
            <w:shd w:val="clear" w:color="auto" w:fill="auto"/>
            <w:vAlign w:val="center"/>
          </w:tcPr>
          <w:p w:rsidR="00981470" w:rsidRPr="009D3964" w:rsidRDefault="00981470" w:rsidP="00CB6715">
            <w:pPr>
              <w:widowControl/>
              <w:autoSpaceDE/>
              <w:autoSpaceDN/>
              <w:adjustRightInd/>
              <w:jc w:val="center"/>
              <w:rPr>
                <w:sz w:val="20"/>
                <w:szCs w:val="20"/>
              </w:rPr>
            </w:pPr>
            <w:r w:rsidRPr="009D3964">
              <w:rPr>
                <w:sz w:val="20"/>
                <w:szCs w:val="20"/>
              </w:rPr>
              <w:t> </w:t>
            </w:r>
          </w:p>
        </w:tc>
        <w:tc>
          <w:tcPr>
            <w:tcW w:w="960" w:type="dxa"/>
            <w:tcBorders>
              <w:top w:val="nil"/>
              <w:left w:val="nil"/>
              <w:bottom w:val="single" w:sz="4" w:space="0" w:color="auto"/>
              <w:right w:val="nil"/>
            </w:tcBorders>
            <w:shd w:val="clear" w:color="auto" w:fill="auto"/>
            <w:noWrap/>
            <w:vAlign w:val="center"/>
          </w:tcPr>
          <w:p w:rsidR="00981470" w:rsidRPr="009D3964" w:rsidRDefault="00981470" w:rsidP="00CB6715">
            <w:pPr>
              <w:widowControl/>
              <w:autoSpaceDE/>
              <w:autoSpaceDN/>
              <w:adjustRightInd/>
              <w:jc w:val="center"/>
              <w:rPr>
                <w:sz w:val="20"/>
                <w:szCs w:val="20"/>
              </w:rPr>
            </w:pPr>
            <w:r w:rsidRPr="009D3964">
              <w:rPr>
                <w:sz w:val="20"/>
                <w:szCs w:val="20"/>
              </w:rPr>
              <w:t>Hours</w:t>
            </w:r>
          </w:p>
        </w:tc>
        <w:tc>
          <w:tcPr>
            <w:tcW w:w="1060" w:type="dxa"/>
            <w:tcBorders>
              <w:top w:val="nil"/>
              <w:left w:val="nil"/>
              <w:bottom w:val="single" w:sz="4" w:space="0" w:color="auto"/>
              <w:right w:val="nil"/>
            </w:tcBorders>
            <w:shd w:val="clear" w:color="auto" w:fill="auto"/>
            <w:vAlign w:val="center"/>
          </w:tcPr>
          <w:p w:rsidR="00981470" w:rsidRPr="009D3964" w:rsidRDefault="00981470" w:rsidP="00CB6715">
            <w:pPr>
              <w:widowControl/>
              <w:autoSpaceDE/>
              <w:autoSpaceDN/>
              <w:adjustRightInd/>
              <w:jc w:val="center"/>
              <w:rPr>
                <w:sz w:val="20"/>
                <w:szCs w:val="20"/>
              </w:rPr>
            </w:pPr>
            <w:r w:rsidRPr="009D3964">
              <w:rPr>
                <w:sz w:val="20"/>
                <w:szCs w:val="20"/>
              </w:rPr>
              <w:t>Mailing Cost</w:t>
            </w:r>
          </w:p>
        </w:tc>
        <w:tc>
          <w:tcPr>
            <w:tcW w:w="960" w:type="dxa"/>
            <w:tcBorders>
              <w:top w:val="single" w:sz="8" w:space="0" w:color="auto"/>
              <w:left w:val="nil"/>
              <w:bottom w:val="single" w:sz="4" w:space="0" w:color="auto"/>
              <w:right w:val="nil"/>
            </w:tcBorders>
            <w:shd w:val="clear" w:color="auto" w:fill="auto"/>
            <w:vAlign w:val="center"/>
          </w:tcPr>
          <w:p w:rsidR="00981470" w:rsidRPr="009D3964" w:rsidRDefault="00981470" w:rsidP="00CB6715">
            <w:pPr>
              <w:widowControl/>
              <w:autoSpaceDE/>
              <w:autoSpaceDN/>
              <w:adjustRightInd/>
              <w:jc w:val="center"/>
              <w:rPr>
                <w:sz w:val="20"/>
                <w:szCs w:val="20"/>
              </w:rPr>
            </w:pPr>
            <w:r w:rsidRPr="009D3964">
              <w:rPr>
                <w:sz w:val="20"/>
                <w:szCs w:val="20"/>
              </w:rPr>
              <w:t> </w:t>
            </w:r>
          </w:p>
        </w:tc>
        <w:tc>
          <w:tcPr>
            <w:tcW w:w="960" w:type="dxa"/>
            <w:tcBorders>
              <w:top w:val="nil"/>
              <w:left w:val="nil"/>
              <w:bottom w:val="single" w:sz="4" w:space="0" w:color="auto"/>
              <w:right w:val="nil"/>
            </w:tcBorders>
            <w:shd w:val="clear" w:color="auto" w:fill="auto"/>
            <w:noWrap/>
            <w:vAlign w:val="center"/>
          </w:tcPr>
          <w:p w:rsidR="00981470" w:rsidRPr="009D3964" w:rsidRDefault="00981470" w:rsidP="00CB6715">
            <w:pPr>
              <w:widowControl/>
              <w:autoSpaceDE/>
              <w:autoSpaceDN/>
              <w:adjustRightInd/>
              <w:jc w:val="center"/>
              <w:rPr>
                <w:sz w:val="20"/>
                <w:szCs w:val="20"/>
              </w:rPr>
            </w:pPr>
            <w:r w:rsidRPr="009D3964">
              <w:rPr>
                <w:sz w:val="20"/>
                <w:szCs w:val="20"/>
              </w:rPr>
              <w:t>Hours</w:t>
            </w:r>
          </w:p>
        </w:tc>
        <w:tc>
          <w:tcPr>
            <w:tcW w:w="1120" w:type="dxa"/>
            <w:tcBorders>
              <w:top w:val="nil"/>
              <w:left w:val="nil"/>
              <w:bottom w:val="single" w:sz="4" w:space="0" w:color="auto"/>
              <w:right w:val="nil"/>
            </w:tcBorders>
            <w:shd w:val="clear" w:color="auto" w:fill="auto"/>
            <w:vAlign w:val="center"/>
          </w:tcPr>
          <w:p w:rsidR="00981470" w:rsidRPr="009D3964" w:rsidRDefault="00981470" w:rsidP="00CB6715">
            <w:pPr>
              <w:widowControl/>
              <w:autoSpaceDE/>
              <w:autoSpaceDN/>
              <w:adjustRightInd/>
              <w:jc w:val="center"/>
              <w:rPr>
                <w:sz w:val="20"/>
                <w:szCs w:val="20"/>
              </w:rPr>
            </w:pPr>
            <w:r w:rsidRPr="009D3964">
              <w:rPr>
                <w:sz w:val="20"/>
                <w:szCs w:val="20"/>
              </w:rPr>
              <w:t>Mailing Cost</w:t>
            </w:r>
          </w:p>
        </w:tc>
      </w:tr>
      <w:tr w:rsidR="00981470" w:rsidRPr="009D3964" w:rsidTr="00BE0E2B">
        <w:trPr>
          <w:trHeight w:val="255"/>
        </w:trPr>
        <w:tc>
          <w:tcPr>
            <w:tcW w:w="2565" w:type="dxa"/>
            <w:tcBorders>
              <w:top w:val="nil"/>
              <w:left w:val="nil"/>
              <w:bottom w:val="nil"/>
              <w:right w:val="nil"/>
            </w:tcBorders>
            <w:shd w:val="clear" w:color="auto" w:fill="auto"/>
            <w:noWrap/>
            <w:vAlign w:val="bottom"/>
          </w:tcPr>
          <w:p w:rsidR="00981470" w:rsidRPr="009D3964" w:rsidRDefault="00981470" w:rsidP="00CB6715">
            <w:pPr>
              <w:widowControl/>
              <w:autoSpaceDE/>
              <w:autoSpaceDN/>
              <w:adjustRightInd/>
              <w:rPr>
                <w:sz w:val="20"/>
                <w:szCs w:val="20"/>
              </w:rPr>
            </w:pPr>
            <w:r w:rsidRPr="009D3964">
              <w:rPr>
                <w:sz w:val="20"/>
                <w:szCs w:val="20"/>
              </w:rPr>
              <w:t>Pre-Service</w:t>
            </w:r>
          </w:p>
        </w:tc>
        <w:tc>
          <w:tcPr>
            <w:tcW w:w="705" w:type="dxa"/>
            <w:tcBorders>
              <w:top w:val="nil"/>
              <w:left w:val="nil"/>
              <w:bottom w:val="nil"/>
              <w:right w:val="nil"/>
            </w:tcBorders>
            <w:shd w:val="clear" w:color="auto" w:fill="auto"/>
            <w:noWrap/>
            <w:vAlign w:val="bottom"/>
          </w:tcPr>
          <w:p w:rsidR="00981470" w:rsidRPr="009D3964" w:rsidRDefault="00981470" w:rsidP="00CB6715">
            <w:pPr>
              <w:widowControl/>
              <w:autoSpaceDE/>
              <w:autoSpaceDN/>
              <w:adjustRightInd/>
              <w:rPr>
                <w:sz w:val="20"/>
                <w:szCs w:val="20"/>
              </w:rPr>
            </w:pPr>
          </w:p>
        </w:tc>
        <w:tc>
          <w:tcPr>
            <w:tcW w:w="1043" w:type="dxa"/>
            <w:tcBorders>
              <w:top w:val="nil"/>
              <w:left w:val="nil"/>
              <w:bottom w:val="nil"/>
              <w:right w:val="nil"/>
            </w:tcBorders>
            <w:shd w:val="clear" w:color="auto" w:fill="auto"/>
            <w:noWrap/>
            <w:vAlign w:val="bottom"/>
          </w:tcPr>
          <w:p w:rsidR="00981470" w:rsidRPr="009D3964" w:rsidRDefault="00981470" w:rsidP="00CB6715">
            <w:pPr>
              <w:widowControl/>
              <w:autoSpaceDE/>
              <w:autoSpaceDN/>
              <w:adjustRightInd/>
              <w:rPr>
                <w:sz w:val="20"/>
                <w:szCs w:val="20"/>
              </w:rPr>
            </w:pPr>
          </w:p>
        </w:tc>
        <w:tc>
          <w:tcPr>
            <w:tcW w:w="960" w:type="dxa"/>
            <w:tcBorders>
              <w:top w:val="nil"/>
              <w:left w:val="nil"/>
              <w:bottom w:val="nil"/>
              <w:right w:val="nil"/>
            </w:tcBorders>
            <w:shd w:val="clear" w:color="auto" w:fill="auto"/>
            <w:noWrap/>
            <w:vAlign w:val="bottom"/>
          </w:tcPr>
          <w:p w:rsidR="00981470" w:rsidRPr="009D3964" w:rsidRDefault="00981470" w:rsidP="00CB6715">
            <w:pPr>
              <w:widowControl/>
              <w:autoSpaceDE/>
              <w:autoSpaceDN/>
              <w:adjustRightInd/>
              <w:rPr>
                <w:sz w:val="20"/>
                <w:szCs w:val="20"/>
              </w:rPr>
            </w:pPr>
          </w:p>
        </w:tc>
        <w:tc>
          <w:tcPr>
            <w:tcW w:w="960" w:type="dxa"/>
            <w:tcBorders>
              <w:top w:val="nil"/>
              <w:left w:val="nil"/>
              <w:bottom w:val="nil"/>
              <w:right w:val="nil"/>
            </w:tcBorders>
            <w:shd w:val="clear" w:color="auto" w:fill="auto"/>
            <w:noWrap/>
            <w:vAlign w:val="bottom"/>
          </w:tcPr>
          <w:p w:rsidR="00981470" w:rsidRPr="009D3964" w:rsidRDefault="00981470" w:rsidP="00CB6715">
            <w:pPr>
              <w:widowControl/>
              <w:autoSpaceDE/>
              <w:autoSpaceDN/>
              <w:adjustRightInd/>
              <w:rPr>
                <w:sz w:val="20"/>
                <w:szCs w:val="20"/>
              </w:rPr>
            </w:pPr>
          </w:p>
        </w:tc>
        <w:tc>
          <w:tcPr>
            <w:tcW w:w="1060" w:type="dxa"/>
            <w:tcBorders>
              <w:top w:val="nil"/>
              <w:left w:val="nil"/>
              <w:bottom w:val="nil"/>
              <w:right w:val="nil"/>
            </w:tcBorders>
            <w:shd w:val="clear" w:color="auto" w:fill="auto"/>
            <w:noWrap/>
            <w:vAlign w:val="bottom"/>
          </w:tcPr>
          <w:p w:rsidR="00981470" w:rsidRPr="009D3964" w:rsidRDefault="00981470" w:rsidP="00CB6715">
            <w:pPr>
              <w:widowControl/>
              <w:autoSpaceDE/>
              <w:autoSpaceDN/>
              <w:adjustRightInd/>
              <w:rPr>
                <w:sz w:val="20"/>
                <w:szCs w:val="20"/>
              </w:rPr>
            </w:pPr>
          </w:p>
        </w:tc>
        <w:tc>
          <w:tcPr>
            <w:tcW w:w="960" w:type="dxa"/>
            <w:tcBorders>
              <w:top w:val="nil"/>
              <w:left w:val="nil"/>
              <w:bottom w:val="nil"/>
              <w:right w:val="nil"/>
            </w:tcBorders>
            <w:shd w:val="clear" w:color="auto" w:fill="auto"/>
            <w:noWrap/>
            <w:vAlign w:val="bottom"/>
          </w:tcPr>
          <w:p w:rsidR="00981470" w:rsidRPr="009D3964" w:rsidRDefault="00981470" w:rsidP="00CB6715">
            <w:pPr>
              <w:widowControl/>
              <w:autoSpaceDE/>
              <w:autoSpaceDN/>
              <w:adjustRightInd/>
              <w:rPr>
                <w:sz w:val="20"/>
                <w:szCs w:val="20"/>
              </w:rPr>
            </w:pPr>
          </w:p>
        </w:tc>
        <w:tc>
          <w:tcPr>
            <w:tcW w:w="960" w:type="dxa"/>
            <w:tcBorders>
              <w:top w:val="nil"/>
              <w:left w:val="nil"/>
              <w:bottom w:val="nil"/>
              <w:right w:val="nil"/>
            </w:tcBorders>
            <w:shd w:val="clear" w:color="auto" w:fill="auto"/>
            <w:noWrap/>
            <w:vAlign w:val="bottom"/>
          </w:tcPr>
          <w:p w:rsidR="00981470" w:rsidRPr="009D3964" w:rsidRDefault="00981470" w:rsidP="00CB6715">
            <w:pPr>
              <w:widowControl/>
              <w:autoSpaceDE/>
              <w:autoSpaceDN/>
              <w:adjustRightInd/>
              <w:rPr>
                <w:sz w:val="20"/>
                <w:szCs w:val="20"/>
              </w:rPr>
            </w:pPr>
          </w:p>
        </w:tc>
        <w:tc>
          <w:tcPr>
            <w:tcW w:w="1120" w:type="dxa"/>
            <w:tcBorders>
              <w:top w:val="nil"/>
              <w:left w:val="nil"/>
              <w:bottom w:val="nil"/>
              <w:right w:val="nil"/>
            </w:tcBorders>
            <w:shd w:val="clear" w:color="auto" w:fill="auto"/>
            <w:noWrap/>
            <w:vAlign w:val="bottom"/>
          </w:tcPr>
          <w:p w:rsidR="00981470" w:rsidRPr="009D3964" w:rsidRDefault="00981470" w:rsidP="00CB6715">
            <w:pPr>
              <w:widowControl/>
              <w:autoSpaceDE/>
              <w:autoSpaceDN/>
              <w:adjustRightInd/>
              <w:rPr>
                <w:sz w:val="20"/>
                <w:szCs w:val="20"/>
              </w:rPr>
            </w:pPr>
          </w:p>
        </w:tc>
      </w:tr>
      <w:tr w:rsidR="00981470" w:rsidRPr="009D3964" w:rsidTr="00BE0E2B">
        <w:trPr>
          <w:trHeight w:val="255"/>
        </w:trPr>
        <w:tc>
          <w:tcPr>
            <w:tcW w:w="2565" w:type="dxa"/>
            <w:tcBorders>
              <w:top w:val="nil"/>
              <w:left w:val="nil"/>
              <w:bottom w:val="nil"/>
              <w:right w:val="nil"/>
            </w:tcBorders>
            <w:shd w:val="clear" w:color="auto" w:fill="auto"/>
            <w:noWrap/>
            <w:vAlign w:val="bottom"/>
          </w:tcPr>
          <w:p w:rsidR="00981470" w:rsidRPr="009D3964" w:rsidRDefault="00981470" w:rsidP="008D59EF">
            <w:pPr>
              <w:widowControl/>
              <w:autoSpaceDE/>
              <w:autoSpaceDN/>
              <w:adjustRightInd/>
              <w:ind w:firstLineChars="100" w:firstLine="200"/>
              <w:rPr>
                <w:sz w:val="20"/>
                <w:szCs w:val="20"/>
              </w:rPr>
            </w:pPr>
            <w:r w:rsidRPr="009D3964">
              <w:rPr>
                <w:sz w:val="20"/>
                <w:szCs w:val="20"/>
              </w:rPr>
              <w:t>Claim Approved</w:t>
            </w:r>
          </w:p>
        </w:tc>
        <w:tc>
          <w:tcPr>
            <w:tcW w:w="705" w:type="dxa"/>
            <w:tcBorders>
              <w:top w:val="nil"/>
              <w:left w:val="nil"/>
              <w:bottom w:val="nil"/>
              <w:right w:val="nil"/>
            </w:tcBorders>
            <w:shd w:val="clear" w:color="auto" w:fill="auto"/>
            <w:noWrap/>
            <w:vAlign w:val="bottom"/>
          </w:tcPr>
          <w:p w:rsidR="00981470" w:rsidRPr="009D3964" w:rsidRDefault="00981470" w:rsidP="00CB6715">
            <w:pPr>
              <w:widowControl/>
              <w:autoSpaceDE/>
              <w:autoSpaceDN/>
              <w:adjustRightInd/>
              <w:jc w:val="center"/>
              <w:rPr>
                <w:sz w:val="20"/>
                <w:szCs w:val="20"/>
              </w:rPr>
            </w:pPr>
            <w:r w:rsidRPr="009D3964">
              <w:rPr>
                <w:sz w:val="20"/>
                <w:szCs w:val="20"/>
              </w:rPr>
              <w:t>27.6</w:t>
            </w:r>
          </w:p>
        </w:tc>
        <w:tc>
          <w:tcPr>
            <w:tcW w:w="1043" w:type="dxa"/>
            <w:tcBorders>
              <w:top w:val="nil"/>
              <w:left w:val="nil"/>
              <w:bottom w:val="nil"/>
              <w:right w:val="nil"/>
            </w:tcBorders>
            <w:shd w:val="clear" w:color="auto" w:fill="auto"/>
            <w:noWrap/>
            <w:vAlign w:val="bottom"/>
          </w:tcPr>
          <w:p w:rsidR="00981470" w:rsidRPr="009D3964" w:rsidRDefault="00981470" w:rsidP="00CB6715">
            <w:pPr>
              <w:widowControl/>
              <w:autoSpaceDE/>
              <w:autoSpaceDN/>
              <w:adjustRightInd/>
              <w:jc w:val="center"/>
              <w:rPr>
                <w:sz w:val="20"/>
                <w:szCs w:val="20"/>
              </w:rPr>
            </w:pPr>
            <w:r w:rsidRPr="009D3964">
              <w:rPr>
                <w:sz w:val="20"/>
                <w:szCs w:val="20"/>
              </w:rPr>
              <w:t>$160.7</w:t>
            </w:r>
          </w:p>
        </w:tc>
        <w:tc>
          <w:tcPr>
            <w:tcW w:w="960" w:type="dxa"/>
            <w:tcBorders>
              <w:top w:val="nil"/>
              <w:left w:val="nil"/>
              <w:bottom w:val="nil"/>
              <w:right w:val="nil"/>
            </w:tcBorders>
            <w:shd w:val="clear" w:color="auto" w:fill="auto"/>
            <w:noWrap/>
            <w:vAlign w:val="bottom"/>
          </w:tcPr>
          <w:p w:rsidR="00981470" w:rsidRPr="009D3964" w:rsidRDefault="00981470" w:rsidP="00CB6715">
            <w:pPr>
              <w:widowControl/>
              <w:autoSpaceDE/>
              <w:autoSpaceDN/>
              <w:adjustRightInd/>
              <w:jc w:val="center"/>
              <w:rPr>
                <w:sz w:val="20"/>
                <w:szCs w:val="20"/>
              </w:rPr>
            </w:pPr>
          </w:p>
        </w:tc>
        <w:tc>
          <w:tcPr>
            <w:tcW w:w="960" w:type="dxa"/>
            <w:tcBorders>
              <w:top w:val="nil"/>
              <w:left w:val="nil"/>
              <w:bottom w:val="nil"/>
              <w:right w:val="nil"/>
            </w:tcBorders>
            <w:shd w:val="clear" w:color="auto" w:fill="auto"/>
            <w:noWrap/>
            <w:vAlign w:val="bottom"/>
          </w:tcPr>
          <w:p w:rsidR="00981470" w:rsidRPr="009D3964" w:rsidRDefault="00981470" w:rsidP="00CB6715">
            <w:pPr>
              <w:widowControl/>
              <w:autoSpaceDE/>
              <w:autoSpaceDN/>
              <w:adjustRightInd/>
              <w:jc w:val="center"/>
              <w:rPr>
                <w:sz w:val="20"/>
                <w:szCs w:val="20"/>
              </w:rPr>
            </w:pPr>
            <w:r w:rsidRPr="009D3964">
              <w:rPr>
                <w:sz w:val="20"/>
                <w:szCs w:val="20"/>
              </w:rPr>
              <w:t>44.4</w:t>
            </w:r>
          </w:p>
        </w:tc>
        <w:tc>
          <w:tcPr>
            <w:tcW w:w="1060" w:type="dxa"/>
            <w:tcBorders>
              <w:top w:val="nil"/>
              <w:left w:val="nil"/>
              <w:bottom w:val="nil"/>
              <w:right w:val="nil"/>
            </w:tcBorders>
            <w:shd w:val="clear" w:color="auto" w:fill="auto"/>
            <w:noWrap/>
            <w:vAlign w:val="bottom"/>
          </w:tcPr>
          <w:p w:rsidR="00981470" w:rsidRPr="009D3964" w:rsidRDefault="00981470" w:rsidP="00CB6715">
            <w:pPr>
              <w:widowControl/>
              <w:autoSpaceDE/>
              <w:autoSpaceDN/>
              <w:adjustRightInd/>
              <w:jc w:val="center"/>
              <w:rPr>
                <w:sz w:val="20"/>
                <w:szCs w:val="20"/>
              </w:rPr>
            </w:pPr>
            <w:r w:rsidRPr="009D3964">
              <w:rPr>
                <w:sz w:val="20"/>
                <w:szCs w:val="20"/>
              </w:rPr>
              <w:t>$259.0</w:t>
            </w:r>
          </w:p>
        </w:tc>
        <w:tc>
          <w:tcPr>
            <w:tcW w:w="960" w:type="dxa"/>
            <w:tcBorders>
              <w:top w:val="nil"/>
              <w:left w:val="nil"/>
              <w:bottom w:val="nil"/>
              <w:right w:val="nil"/>
            </w:tcBorders>
            <w:shd w:val="clear" w:color="auto" w:fill="auto"/>
            <w:noWrap/>
            <w:vAlign w:val="bottom"/>
          </w:tcPr>
          <w:p w:rsidR="00981470" w:rsidRPr="009D3964" w:rsidRDefault="00981470" w:rsidP="00CB6715">
            <w:pPr>
              <w:widowControl/>
              <w:autoSpaceDE/>
              <w:autoSpaceDN/>
              <w:adjustRightInd/>
              <w:jc w:val="center"/>
              <w:rPr>
                <w:sz w:val="20"/>
                <w:szCs w:val="20"/>
              </w:rPr>
            </w:pPr>
          </w:p>
        </w:tc>
        <w:tc>
          <w:tcPr>
            <w:tcW w:w="960" w:type="dxa"/>
            <w:tcBorders>
              <w:top w:val="nil"/>
              <w:left w:val="nil"/>
              <w:bottom w:val="nil"/>
              <w:right w:val="nil"/>
            </w:tcBorders>
            <w:shd w:val="clear" w:color="auto" w:fill="auto"/>
            <w:noWrap/>
            <w:vAlign w:val="bottom"/>
          </w:tcPr>
          <w:p w:rsidR="00981470" w:rsidRPr="009D3964" w:rsidRDefault="00981470" w:rsidP="00CB6715">
            <w:pPr>
              <w:widowControl/>
              <w:autoSpaceDE/>
              <w:autoSpaceDN/>
              <w:adjustRightInd/>
              <w:jc w:val="center"/>
              <w:rPr>
                <w:sz w:val="20"/>
                <w:szCs w:val="20"/>
              </w:rPr>
            </w:pPr>
            <w:r w:rsidRPr="009D3964">
              <w:rPr>
                <w:sz w:val="20"/>
                <w:szCs w:val="20"/>
              </w:rPr>
              <w:t>54.8</w:t>
            </w:r>
          </w:p>
        </w:tc>
        <w:tc>
          <w:tcPr>
            <w:tcW w:w="1120" w:type="dxa"/>
            <w:tcBorders>
              <w:top w:val="nil"/>
              <w:left w:val="nil"/>
              <w:bottom w:val="nil"/>
              <w:right w:val="nil"/>
            </w:tcBorders>
            <w:shd w:val="clear" w:color="auto" w:fill="auto"/>
            <w:noWrap/>
            <w:vAlign w:val="bottom"/>
          </w:tcPr>
          <w:p w:rsidR="00981470" w:rsidRPr="009D3964" w:rsidRDefault="00981470" w:rsidP="00CB6715">
            <w:pPr>
              <w:widowControl/>
              <w:autoSpaceDE/>
              <w:autoSpaceDN/>
              <w:adjustRightInd/>
              <w:jc w:val="center"/>
              <w:rPr>
                <w:sz w:val="20"/>
                <w:szCs w:val="20"/>
              </w:rPr>
            </w:pPr>
            <w:r w:rsidRPr="009D3964">
              <w:rPr>
                <w:sz w:val="20"/>
                <w:szCs w:val="20"/>
              </w:rPr>
              <w:t>$319.5</w:t>
            </w:r>
          </w:p>
        </w:tc>
      </w:tr>
      <w:tr w:rsidR="00981470" w:rsidRPr="009D3964" w:rsidTr="00BE0E2B">
        <w:trPr>
          <w:trHeight w:val="255"/>
        </w:trPr>
        <w:tc>
          <w:tcPr>
            <w:tcW w:w="2565" w:type="dxa"/>
            <w:tcBorders>
              <w:top w:val="nil"/>
              <w:left w:val="nil"/>
              <w:bottom w:val="nil"/>
              <w:right w:val="nil"/>
            </w:tcBorders>
            <w:shd w:val="clear" w:color="auto" w:fill="auto"/>
            <w:noWrap/>
            <w:vAlign w:val="bottom"/>
          </w:tcPr>
          <w:p w:rsidR="00981470" w:rsidRPr="009D3964" w:rsidRDefault="00981470" w:rsidP="008D59EF">
            <w:pPr>
              <w:widowControl/>
              <w:autoSpaceDE/>
              <w:autoSpaceDN/>
              <w:adjustRightInd/>
              <w:ind w:firstLineChars="100" w:firstLine="200"/>
              <w:rPr>
                <w:sz w:val="20"/>
                <w:szCs w:val="20"/>
              </w:rPr>
            </w:pPr>
            <w:r w:rsidRPr="009D3964">
              <w:rPr>
                <w:sz w:val="20"/>
                <w:szCs w:val="20"/>
              </w:rPr>
              <w:t>Claim Denied</w:t>
            </w:r>
          </w:p>
        </w:tc>
        <w:tc>
          <w:tcPr>
            <w:tcW w:w="705" w:type="dxa"/>
            <w:tcBorders>
              <w:top w:val="nil"/>
              <w:left w:val="nil"/>
              <w:bottom w:val="nil"/>
              <w:right w:val="nil"/>
            </w:tcBorders>
            <w:shd w:val="clear" w:color="auto" w:fill="auto"/>
            <w:noWrap/>
            <w:vAlign w:val="bottom"/>
          </w:tcPr>
          <w:p w:rsidR="00981470" w:rsidRPr="009D3964" w:rsidRDefault="00981470" w:rsidP="00CB6715">
            <w:pPr>
              <w:widowControl/>
              <w:autoSpaceDE/>
              <w:autoSpaceDN/>
              <w:adjustRightInd/>
              <w:jc w:val="center"/>
              <w:rPr>
                <w:sz w:val="20"/>
                <w:szCs w:val="20"/>
              </w:rPr>
            </w:pPr>
            <w:r w:rsidRPr="009D3964">
              <w:rPr>
                <w:sz w:val="20"/>
                <w:szCs w:val="20"/>
              </w:rPr>
              <w:t>9.7</w:t>
            </w:r>
          </w:p>
        </w:tc>
        <w:tc>
          <w:tcPr>
            <w:tcW w:w="1043" w:type="dxa"/>
            <w:tcBorders>
              <w:top w:val="nil"/>
              <w:left w:val="nil"/>
              <w:bottom w:val="nil"/>
              <w:right w:val="nil"/>
            </w:tcBorders>
            <w:shd w:val="clear" w:color="auto" w:fill="auto"/>
            <w:noWrap/>
            <w:vAlign w:val="bottom"/>
          </w:tcPr>
          <w:p w:rsidR="00981470" w:rsidRPr="009D3964" w:rsidRDefault="00981470" w:rsidP="00CB6715">
            <w:pPr>
              <w:widowControl/>
              <w:autoSpaceDE/>
              <w:autoSpaceDN/>
              <w:adjustRightInd/>
              <w:jc w:val="center"/>
              <w:rPr>
                <w:sz w:val="20"/>
                <w:szCs w:val="20"/>
              </w:rPr>
            </w:pPr>
            <w:r w:rsidRPr="009D3964">
              <w:rPr>
                <w:sz w:val="20"/>
                <w:szCs w:val="20"/>
              </w:rPr>
              <w:t>$28.4</w:t>
            </w:r>
          </w:p>
        </w:tc>
        <w:tc>
          <w:tcPr>
            <w:tcW w:w="960" w:type="dxa"/>
            <w:tcBorders>
              <w:top w:val="nil"/>
              <w:left w:val="nil"/>
              <w:bottom w:val="nil"/>
              <w:right w:val="nil"/>
            </w:tcBorders>
            <w:shd w:val="clear" w:color="auto" w:fill="auto"/>
            <w:noWrap/>
            <w:vAlign w:val="bottom"/>
          </w:tcPr>
          <w:p w:rsidR="00981470" w:rsidRPr="009D3964" w:rsidRDefault="00981470" w:rsidP="00CB6715">
            <w:pPr>
              <w:widowControl/>
              <w:autoSpaceDE/>
              <w:autoSpaceDN/>
              <w:adjustRightInd/>
              <w:jc w:val="center"/>
              <w:rPr>
                <w:sz w:val="20"/>
                <w:szCs w:val="20"/>
              </w:rPr>
            </w:pPr>
          </w:p>
        </w:tc>
        <w:tc>
          <w:tcPr>
            <w:tcW w:w="960" w:type="dxa"/>
            <w:tcBorders>
              <w:top w:val="nil"/>
              <w:left w:val="nil"/>
              <w:bottom w:val="nil"/>
              <w:right w:val="nil"/>
            </w:tcBorders>
            <w:shd w:val="clear" w:color="auto" w:fill="auto"/>
            <w:noWrap/>
            <w:vAlign w:val="bottom"/>
          </w:tcPr>
          <w:p w:rsidR="00981470" w:rsidRPr="009D3964" w:rsidRDefault="00981470" w:rsidP="00CB6715">
            <w:pPr>
              <w:widowControl/>
              <w:autoSpaceDE/>
              <w:autoSpaceDN/>
              <w:adjustRightInd/>
              <w:jc w:val="center"/>
              <w:rPr>
                <w:sz w:val="20"/>
                <w:szCs w:val="20"/>
              </w:rPr>
            </w:pPr>
            <w:r w:rsidRPr="009D3964">
              <w:rPr>
                <w:sz w:val="20"/>
                <w:szCs w:val="20"/>
              </w:rPr>
              <w:t>15.7</w:t>
            </w:r>
          </w:p>
        </w:tc>
        <w:tc>
          <w:tcPr>
            <w:tcW w:w="1060" w:type="dxa"/>
            <w:tcBorders>
              <w:top w:val="nil"/>
              <w:left w:val="nil"/>
              <w:bottom w:val="nil"/>
              <w:right w:val="nil"/>
            </w:tcBorders>
            <w:shd w:val="clear" w:color="auto" w:fill="auto"/>
            <w:noWrap/>
            <w:vAlign w:val="bottom"/>
          </w:tcPr>
          <w:p w:rsidR="003E2EE2" w:rsidRDefault="00981470">
            <w:pPr>
              <w:widowControl/>
              <w:tabs>
                <w:tab w:val="center" w:pos="4320"/>
                <w:tab w:val="right" w:pos="8640"/>
              </w:tabs>
              <w:autoSpaceDE/>
              <w:autoSpaceDN/>
              <w:adjustRightInd/>
              <w:jc w:val="center"/>
              <w:rPr>
                <w:sz w:val="20"/>
                <w:szCs w:val="20"/>
              </w:rPr>
            </w:pPr>
            <w:r w:rsidRPr="009D3964">
              <w:rPr>
                <w:sz w:val="20"/>
                <w:szCs w:val="20"/>
              </w:rPr>
              <w:t>$45.7</w:t>
            </w:r>
          </w:p>
        </w:tc>
        <w:tc>
          <w:tcPr>
            <w:tcW w:w="960" w:type="dxa"/>
            <w:tcBorders>
              <w:top w:val="nil"/>
              <w:left w:val="nil"/>
              <w:bottom w:val="nil"/>
              <w:right w:val="nil"/>
            </w:tcBorders>
            <w:shd w:val="clear" w:color="auto" w:fill="auto"/>
            <w:noWrap/>
            <w:vAlign w:val="bottom"/>
          </w:tcPr>
          <w:p w:rsidR="00981470" w:rsidRPr="009D3964" w:rsidRDefault="00981470" w:rsidP="00CB6715">
            <w:pPr>
              <w:widowControl/>
              <w:autoSpaceDE/>
              <w:autoSpaceDN/>
              <w:adjustRightInd/>
              <w:jc w:val="center"/>
              <w:rPr>
                <w:sz w:val="20"/>
                <w:szCs w:val="20"/>
              </w:rPr>
            </w:pPr>
          </w:p>
        </w:tc>
        <w:tc>
          <w:tcPr>
            <w:tcW w:w="960" w:type="dxa"/>
            <w:tcBorders>
              <w:top w:val="nil"/>
              <w:left w:val="nil"/>
              <w:bottom w:val="nil"/>
              <w:right w:val="nil"/>
            </w:tcBorders>
            <w:shd w:val="clear" w:color="auto" w:fill="auto"/>
            <w:noWrap/>
            <w:vAlign w:val="bottom"/>
          </w:tcPr>
          <w:p w:rsidR="00981470" w:rsidRPr="009D3964" w:rsidRDefault="00981470" w:rsidP="00CB6715">
            <w:pPr>
              <w:widowControl/>
              <w:autoSpaceDE/>
              <w:autoSpaceDN/>
              <w:adjustRightInd/>
              <w:jc w:val="center"/>
              <w:rPr>
                <w:sz w:val="20"/>
                <w:szCs w:val="20"/>
              </w:rPr>
            </w:pPr>
            <w:r w:rsidRPr="009D3964">
              <w:rPr>
                <w:sz w:val="20"/>
                <w:szCs w:val="20"/>
              </w:rPr>
              <w:t>19.3</w:t>
            </w:r>
          </w:p>
        </w:tc>
        <w:tc>
          <w:tcPr>
            <w:tcW w:w="1120" w:type="dxa"/>
            <w:tcBorders>
              <w:top w:val="nil"/>
              <w:left w:val="nil"/>
              <w:bottom w:val="nil"/>
              <w:right w:val="nil"/>
            </w:tcBorders>
            <w:shd w:val="clear" w:color="auto" w:fill="auto"/>
            <w:noWrap/>
            <w:vAlign w:val="bottom"/>
          </w:tcPr>
          <w:p w:rsidR="00981470" w:rsidRPr="009D3964" w:rsidRDefault="00981470" w:rsidP="00CB6715">
            <w:pPr>
              <w:widowControl/>
              <w:autoSpaceDE/>
              <w:autoSpaceDN/>
              <w:adjustRightInd/>
              <w:jc w:val="center"/>
              <w:rPr>
                <w:sz w:val="20"/>
                <w:szCs w:val="20"/>
              </w:rPr>
            </w:pPr>
            <w:r w:rsidRPr="009D3964">
              <w:rPr>
                <w:sz w:val="20"/>
                <w:szCs w:val="20"/>
              </w:rPr>
              <w:t>$56.4</w:t>
            </w:r>
          </w:p>
        </w:tc>
      </w:tr>
      <w:tr w:rsidR="00981470" w:rsidRPr="009D3964" w:rsidTr="00BE0E2B">
        <w:trPr>
          <w:trHeight w:val="255"/>
        </w:trPr>
        <w:tc>
          <w:tcPr>
            <w:tcW w:w="2565" w:type="dxa"/>
            <w:tcBorders>
              <w:top w:val="nil"/>
              <w:left w:val="nil"/>
              <w:bottom w:val="nil"/>
              <w:right w:val="nil"/>
            </w:tcBorders>
            <w:shd w:val="clear" w:color="auto" w:fill="auto"/>
            <w:noWrap/>
            <w:vAlign w:val="bottom"/>
          </w:tcPr>
          <w:p w:rsidR="00981470" w:rsidRPr="009D3964" w:rsidRDefault="00981470" w:rsidP="00CB6715">
            <w:pPr>
              <w:widowControl/>
              <w:autoSpaceDE/>
              <w:autoSpaceDN/>
              <w:adjustRightInd/>
              <w:rPr>
                <w:sz w:val="20"/>
                <w:szCs w:val="20"/>
              </w:rPr>
            </w:pPr>
            <w:r w:rsidRPr="009D3964">
              <w:rPr>
                <w:sz w:val="20"/>
                <w:szCs w:val="20"/>
              </w:rPr>
              <w:t>Post-Service</w:t>
            </w:r>
          </w:p>
        </w:tc>
        <w:tc>
          <w:tcPr>
            <w:tcW w:w="705" w:type="dxa"/>
            <w:tcBorders>
              <w:top w:val="nil"/>
              <w:left w:val="nil"/>
              <w:bottom w:val="nil"/>
              <w:right w:val="nil"/>
            </w:tcBorders>
            <w:shd w:val="clear" w:color="auto" w:fill="auto"/>
            <w:noWrap/>
            <w:vAlign w:val="bottom"/>
          </w:tcPr>
          <w:p w:rsidR="00981470" w:rsidRPr="009D3964" w:rsidRDefault="00981470" w:rsidP="00CB6715">
            <w:pPr>
              <w:widowControl/>
              <w:autoSpaceDE/>
              <w:autoSpaceDN/>
              <w:adjustRightInd/>
              <w:jc w:val="center"/>
              <w:rPr>
                <w:sz w:val="20"/>
                <w:szCs w:val="20"/>
              </w:rPr>
            </w:pPr>
          </w:p>
        </w:tc>
        <w:tc>
          <w:tcPr>
            <w:tcW w:w="1043" w:type="dxa"/>
            <w:tcBorders>
              <w:top w:val="nil"/>
              <w:left w:val="nil"/>
              <w:bottom w:val="nil"/>
              <w:right w:val="nil"/>
            </w:tcBorders>
            <w:shd w:val="clear" w:color="auto" w:fill="auto"/>
            <w:noWrap/>
            <w:vAlign w:val="bottom"/>
          </w:tcPr>
          <w:p w:rsidR="00981470" w:rsidRPr="009D3964" w:rsidRDefault="00981470" w:rsidP="00CB6715">
            <w:pPr>
              <w:widowControl/>
              <w:autoSpaceDE/>
              <w:autoSpaceDN/>
              <w:adjustRightInd/>
              <w:jc w:val="center"/>
              <w:rPr>
                <w:sz w:val="20"/>
                <w:szCs w:val="20"/>
              </w:rPr>
            </w:pPr>
          </w:p>
        </w:tc>
        <w:tc>
          <w:tcPr>
            <w:tcW w:w="960" w:type="dxa"/>
            <w:tcBorders>
              <w:top w:val="nil"/>
              <w:left w:val="nil"/>
              <w:bottom w:val="nil"/>
              <w:right w:val="nil"/>
            </w:tcBorders>
            <w:shd w:val="clear" w:color="auto" w:fill="auto"/>
            <w:noWrap/>
            <w:vAlign w:val="bottom"/>
          </w:tcPr>
          <w:p w:rsidR="00981470" w:rsidRPr="009D3964" w:rsidRDefault="00981470" w:rsidP="00CB6715">
            <w:pPr>
              <w:widowControl/>
              <w:autoSpaceDE/>
              <w:autoSpaceDN/>
              <w:adjustRightInd/>
              <w:jc w:val="center"/>
              <w:rPr>
                <w:sz w:val="20"/>
                <w:szCs w:val="20"/>
              </w:rPr>
            </w:pPr>
          </w:p>
        </w:tc>
        <w:tc>
          <w:tcPr>
            <w:tcW w:w="960" w:type="dxa"/>
            <w:tcBorders>
              <w:top w:val="nil"/>
              <w:left w:val="nil"/>
              <w:bottom w:val="nil"/>
              <w:right w:val="nil"/>
            </w:tcBorders>
            <w:shd w:val="clear" w:color="auto" w:fill="auto"/>
            <w:noWrap/>
            <w:vAlign w:val="bottom"/>
          </w:tcPr>
          <w:p w:rsidR="00981470" w:rsidRPr="009D3964" w:rsidRDefault="00981470" w:rsidP="00CB6715">
            <w:pPr>
              <w:widowControl/>
              <w:autoSpaceDE/>
              <w:autoSpaceDN/>
              <w:adjustRightInd/>
              <w:jc w:val="center"/>
              <w:rPr>
                <w:sz w:val="20"/>
                <w:szCs w:val="20"/>
              </w:rPr>
            </w:pPr>
          </w:p>
        </w:tc>
        <w:tc>
          <w:tcPr>
            <w:tcW w:w="1060" w:type="dxa"/>
            <w:tcBorders>
              <w:top w:val="nil"/>
              <w:left w:val="nil"/>
              <w:bottom w:val="nil"/>
              <w:right w:val="nil"/>
            </w:tcBorders>
            <w:shd w:val="clear" w:color="auto" w:fill="auto"/>
            <w:noWrap/>
            <w:vAlign w:val="bottom"/>
          </w:tcPr>
          <w:p w:rsidR="00981470" w:rsidRPr="009D3964" w:rsidRDefault="00981470" w:rsidP="00CB6715">
            <w:pPr>
              <w:widowControl/>
              <w:autoSpaceDE/>
              <w:autoSpaceDN/>
              <w:adjustRightInd/>
              <w:jc w:val="center"/>
              <w:rPr>
                <w:sz w:val="20"/>
                <w:szCs w:val="20"/>
              </w:rPr>
            </w:pPr>
          </w:p>
        </w:tc>
        <w:tc>
          <w:tcPr>
            <w:tcW w:w="960" w:type="dxa"/>
            <w:tcBorders>
              <w:top w:val="nil"/>
              <w:left w:val="nil"/>
              <w:bottom w:val="nil"/>
              <w:right w:val="nil"/>
            </w:tcBorders>
            <w:shd w:val="clear" w:color="auto" w:fill="auto"/>
            <w:noWrap/>
            <w:vAlign w:val="bottom"/>
          </w:tcPr>
          <w:p w:rsidR="00981470" w:rsidRPr="009D3964" w:rsidRDefault="00981470" w:rsidP="00CB6715">
            <w:pPr>
              <w:widowControl/>
              <w:autoSpaceDE/>
              <w:autoSpaceDN/>
              <w:adjustRightInd/>
              <w:jc w:val="center"/>
              <w:rPr>
                <w:sz w:val="20"/>
                <w:szCs w:val="20"/>
              </w:rPr>
            </w:pPr>
          </w:p>
        </w:tc>
        <w:tc>
          <w:tcPr>
            <w:tcW w:w="960" w:type="dxa"/>
            <w:tcBorders>
              <w:top w:val="nil"/>
              <w:left w:val="nil"/>
              <w:bottom w:val="nil"/>
              <w:right w:val="nil"/>
            </w:tcBorders>
            <w:shd w:val="clear" w:color="auto" w:fill="auto"/>
            <w:noWrap/>
            <w:vAlign w:val="bottom"/>
          </w:tcPr>
          <w:p w:rsidR="00981470" w:rsidRPr="009D3964" w:rsidRDefault="00981470" w:rsidP="00CB6715">
            <w:pPr>
              <w:widowControl/>
              <w:autoSpaceDE/>
              <w:autoSpaceDN/>
              <w:adjustRightInd/>
              <w:jc w:val="center"/>
              <w:rPr>
                <w:sz w:val="20"/>
                <w:szCs w:val="20"/>
              </w:rPr>
            </w:pPr>
          </w:p>
        </w:tc>
        <w:tc>
          <w:tcPr>
            <w:tcW w:w="1120" w:type="dxa"/>
            <w:tcBorders>
              <w:top w:val="nil"/>
              <w:left w:val="nil"/>
              <w:bottom w:val="nil"/>
              <w:right w:val="nil"/>
            </w:tcBorders>
            <w:shd w:val="clear" w:color="auto" w:fill="auto"/>
            <w:noWrap/>
            <w:vAlign w:val="bottom"/>
          </w:tcPr>
          <w:p w:rsidR="00981470" w:rsidRPr="009D3964" w:rsidRDefault="00981470" w:rsidP="00CB6715">
            <w:pPr>
              <w:widowControl/>
              <w:autoSpaceDE/>
              <w:autoSpaceDN/>
              <w:adjustRightInd/>
              <w:jc w:val="center"/>
              <w:rPr>
                <w:sz w:val="20"/>
                <w:szCs w:val="20"/>
              </w:rPr>
            </w:pPr>
          </w:p>
        </w:tc>
      </w:tr>
      <w:tr w:rsidR="00981470" w:rsidRPr="009D3964" w:rsidTr="00BE0E2B">
        <w:trPr>
          <w:trHeight w:val="255"/>
        </w:trPr>
        <w:tc>
          <w:tcPr>
            <w:tcW w:w="2565" w:type="dxa"/>
            <w:tcBorders>
              <w:top w:val="nil"/>
              <w:left w:val="nil"/>
              <w:bottom w:val="nil"/>
              <w:right w:val="nil"/>
            </w:tcBorders>
            <w:shd w:val="clear" w:color="auto" w:fill="auto"/>
            <w:noWrap/>
            <w:vAlign w:val="bottom"/>
          </w:tcPr>
          <w:p w:rsidR="00981470" w:rsidRPr="009D3964" w:rsidRDefault="00981470" w:rsidP="008D59EF">
            <w:pPr>
              <w:widowControl/>
              <w:autoSpaceDE/>
              <w:autoSpaceDN/>
              <w:adjustRightInd/>
              <w:ind w:firstLineChars="100" w:firstLine="200"/>
              <w:rPr>
                <w:sz w:val="20"/>
                <w:szCs w:val="20"/>
              </w:rPr>
            </w:pPr>
            <w:r w:rsidRPr="009D3964">
              <w:rPr>
                <w:sz w:val="20"/>
                <w:szCs w:val="20"/>
              </w:rPr>
              <w:t>Claim Denied</w:t>
            </w:r>
          </w:p>
        </w:tc>
        <w:tc>
          <w:tcPr>
            <w:tcW w:w="705" w:type="dxa"/>
            <w:tcBorders>
              <w:top w:val="nil"/>
              <w:left w:val="nil"/>
              <w:bottom w:val="nil"/>
              <w:right w:val="nil"/>
            </w:tcBorders>
            <w:shd w:val="clear" w:color="auto" w:fill="auto"/>
            <w:noWrap/>
            <w:vAlign w:val="bottom"/>
          </w:tcPr>
          <w:p w:rsidR="00981470" w:rsidRPr="009D3964" w:rsidRDefault="00981470" w:rsidP="00CB6715">
            <w:pPr>
              <w:widowControl/>
              <w:autoSpaceDE/>
              <w:autoSpaceDN/>
              <w:adjustRightInd/>
              <w:jc w:val="center"/>
              <w:rPr>
                <w:sz w:val="20"/>
                <w:szCs w:val="20"/>
              </w:rPr>
            </w:pPr>
            <w:r w:rsidRPr="009D3964">
              <w:rPr>
                <w:sz w:val="20"/>
                <w:szCs w:val="20"/>
              </w:rPr>
              <w:t>314.5</w:t>
            </w:r>
          </w:p>
        </w:tc>
        <w:tc>
          <w:tcPr>
            <w:tcW w:w="1043" w:type="dxa"/>
            <w:tcBorders>
              <w:top w:val="nil"/>
              <w:left w:val="nil"/>
              <w:bottom w:val="nil"/>
              <w:right w:val="nil"/>
            </w:tcBorders>
            <w:shd w:val="clear" w:color="auto" w:fill="auto"/>
            <w:noWrap/>
            <w:vAlign w:val="bottom"/>
          </w:tcPr>
          <w:p w:rsidR="00981470" w:rsidRPr="009D3964" w:rsidRDefault="00981470" w:rsidP="00CB6715">
            <w:pPr>
              <w:widowControl/>
              <w:autoSpaceDE/>
              <w:autoSpaceDN/>
              <w:adjustRightInd/>
              <w:jc w:val="center"/>
              <w:rPr>
                <w:sz w:val="20"/>
                <w:szCs w:val="20"/>
              </w:rPr>
            </w:pPr>
            <w:r w:rsidRPr="009D3964">
              <w:rPr>
                <w:sz w:val="20"/>
                <w:szCs w:val="20"/>
              </w:rPr>
              <w:t>$917.1</w:t>
            </w:r>
          </w:p>
        </w:tc>
        <w:tc>
          <w:tcPr>
            <w:tcW w:w="960" w:type="dxa"/>
            <w:tcBorders>
              <w:top w:val="nil"/>
              <w:left w:val="nil"/>
              <w:bottom w:val="nil"/>
              <w:right w:val="nil"/>
            </w:tcBorders>
            <w:shd w:val="clear" w:color="auto" w:fill="auto"/>
            <w:noWrap/>
            <w:vAlign w:val="bottom"/>
          </w:tcPr>
          <w:p w:rsidR="00981470" w:rsidRPr="009D3964" w:rsidRDefault="00981470" w:rsidP="00CB6715">
            <w:pPr>
              <w:widowControl/>
              <w:autoSpaceDE/>
              <w:autoSpaceDN/>
              <w:adjustRightInd/>
              <w:jc w:val="center"/>
              <w:rPr>
                <w:sz w:val="20"/>
                <w:szCs w:val="20"/>
              </w:rPr>
            </w:pPr>
          </w:p>
        </w:tc>
        <w:tc>
          <w:tcPr>
            <w:tcW w:w="960" w:type="dxa"/>
            <w:tcBorders>
              <w:top w:val="nil"/>
              <w:left w:val="nil"/>
              <w:bottom w:val="nil"/>
              <w:right w:val="nil"/>
            </w:tcBorders>
            <w:shd w:val="clear" w:color="auto" w:fill="auto"/>
            <w:noWrap/>
            <w:vAlign w:val="bottom"/>
          </w:tcPr>
          <w:p w:rsidR="00981470" w:rsidRPr="009D3964" w:rsidRDefault="00981470" w:rsidP="00CB6715">
            <w:pPr>
              <w:widowControl/>
              <w:autoSpaceDE/>
              <w:autoSpaceDN/>
              <w:adjustRightInd/>
              <w:jc w:val="center"/>
              <w:rPr>
                <w:sz w:val="20"/>
                <w:szCs w:val="20"/>
              </w:rPr>
            </w:pPr>
            <w:r w:rsidRPr="009D3964">
              <w:rPr>
                <w:sz w:val="20"/>
                <w:szCs w:val="20"/>
              </w:rPr>
              <w:t>506.8</w:t>
            </w:r>
          </w:p>
        </w:tc>
        <w:tc>
          <w:tcPr>
            <w:tcW w:w="1060" w:type="dxa"/>
            <w:tcBorders>
              <w:top w:val="nil"/>
              <w:left w:val="nil"/>
              <w:bottom w:val="nil"/>
              <w:right w:val="nil"/>
            </w:tcBorders>
            <w:shd w:val="clear" w:color="auto" w:fill="auto"/>
            <w:noWrap/>
            <w:vAlign w:val="bottom"/>
          </w:tcPr>
          <w:p w:rsidR="00981470" w:rsidRPr="009D3964" w:rsidRDefault="00981470" w:rsidP="00CB6715">
            <w:pPr>
              <w:widowControl/>
              <w:autoSpaceDE/>
              <w:autoSpaceDN/>
              <w:adjustRightInd/>
              <w:jc w:val="center"/>
              <w:rPr>
                <w:sz w:val="20"/>
                <w:szCs w:val="20"/>
              </w:rPr>
            </w:pPr>
            <w:r w:rsidRPr="009D3964">
              <w:rPr>
                <w:sz w:val="20"/>
                <w:szCs w:val="20"/>
              </w:rPr>
              <w:t>$1,477.9</w:t>
            </w:r>
          </w:p>
        </w:tc>
        <w:tc>
          <w:tcPr>
            <w:tcW w:w="960" w:type="dxa"/>
            <w:tcBorders>
              <w:top w:val="nil"/>
              <w:left w:val="nil"/>
              <w:bottom w:val="nil"/>
              <w:right w:val="nil"/>
            </w:tcBorders>
            <w:shd w:val="clear" w:color="auto" w:fill="auto"/>
            <w:noWrap/>
            <w:vAlign w:val="bottom"/>
          </w:tcPr>
          <w:p w:rsidR="00981470" w:rsidRPr="009D3964" w:rsidRDefault="00981470" w:rsidP="00CB6715">
            <w:pPr>
              <w:widowControl/>
              <w:autoSpaceDE/>
              <w:autoSpaceDN/>
              <w:adjustRightInd/>
              <w:jc w:val="center"/>
              <w:rPr>
                <w:sz w:val="20"/>
                <w:szCs w:val="20"/>
              </w:rPr>
            </w:pPr>
          </w:p>
        </w:tc>
        <w:tc>
          <w:tcPr>
            <w:tcW w:w="960" w:type="dxa"/>
            <w:tcBorders>
              <w:top w:val="nil"/>
              <w:left w:val="nil"/>
              <w:bottom w:val="nil"/>
              <w:right w:val="nil"/>
            </w:tcBorders>
            <w:shd w:val="clear" w:color="auto" w:fill="auto"/>
            <w:noWrap/>
            <w:vAlign w:val="bottom"/>
          </w:tcPr>
          <w:p w:rsidR="00981470" w:rsidRPr="009D3964" w:rsidRDefault="00981470" w:rsidP="00CB6715">
            <w:pPr>
              <w:widowControl/>
              <w:autoSpaceDE/>
              <w:autoSpaceDN/>
              <w:adjustRightInd/>
              <w:jc w:val="center"/>
              <w:rPr>
                <w:sz w:val="20"/>
                <w:szCs w:val="20"/>
              </w:rPr>
            </w:pPr>
            <w:r w:rsidRPr="009D3964">
              <w:rPr>
                <w:sz w:val="20"/>
                <w:szCs w:val="20"/>
              </w:rPr>
              <w:t>625.1</w:t>
            </w:r>
          </w:p>
        </w:tc>
        <w:tc>
          <w:tcPr>
            <w:tcW w:w="1120" w:type="dxa"/>
            <w:tcBorders>
              <w:top w:val="nil"/>
              <w:left w:val="nil"/>
              <w:bottom w:val="nil"/>
              <w:right w:val="nil"/>
            </w:tcBorders>
            <w:shd w:val="clear" w:color="auto" w:fill="auto"/>
            <w:noWrap/>
            <w:vAlign w:val="bottom"/>
          </w:tcPr>
          <w:p w:rsidR="00981470" w:rsidRPr="009D3964" w:rsidRDefault="00981470" w:rsidP="00CB6715">
            <w:pPr>
              <w:widowControl/>
              <w:autoSpaceDE/>
              <w:autoSpaceDN/>
              <w:adjustRightInd/>
              <w:jc w:val="center"/>
              <w:rPr>
                <w:sz w:val="20"/>
                <w:szCs w:val="20"/>
              </w:rPr>
            </w:pPr>
            <w:r w:rsidRPr="009D3964">
              <w:rPr>
                <w:sz w:val="20"/>
                <w:szCs w:val="20"/>
              </w:rPr>
              <w:t>$1,822.9</w:t>
            </w:r>
          </w:p>
        </w:tc>
      </w:tr>
      <w:tr w:rsidR="00981470" w:rsidRPr="009D3964" w:rsidTr="00BE0E2B">
        <w:trPr>
          <w:trHeight w:val="255"/>
        </w:trPr>
        <w:tc>
          <w:tcPr>
            <w:tcW w:w="2565" w:type="dxa"/>
            <w:tcBorders>
              <w:top w:val="nil"/>
              <w:left w:val="nil"/>
              <w:bottom w:val="nil"/>
              <w:right w:val="nil"/>
            </w:tcBorders>
            <w:shd w:val="clear" w:color="auto" w:fill="auto"/>
            <w:noWrap/>
            <w:vAlign w:val="bottom"/>
          </w:tcPr>
          <w:p w:rsidR="00981470" w:rsidRPr="009D3964" w:rsidRDefault="00981470" w:rsidP="008D59EF">
            <w:pPr>
              <w:widowControl/>
              <w:autoSpaceDE/>
              <w:autoSpaceDN/>
              <w:adjustRightInd/>
              <w:ind w:firstLineChars="100" w:firstLine="200"/>
              <w:rPr>
                <w:sz w:val="20"/>
                <w:szCs w:val="20"/>
              </w:rPr>
            </w:pPr>
            <w:r w:rsidRPr="009D3964">
              <w:rPr>
                <w:sz w:val="20"/>
                <w:szCs w:val="20"/>
              </w:rPr>
              <w:t>Claim Extended</w:t>
            </w:r>
          </w:p>
        </w:tc>
        <w:tc>
          <w:tcPr>
            <w:tcW w:w="705" w:type="dxa"/>
            <w:tcBorders>
              <w:top w:val="nil"/>
              <w:left w:val="nil"/>
              <w:bottom w:val="nil"/>
              <w:right w:val="nil"/>
            </w:tcBorders>
            <w:shd w:val="clear" w:color="auto" w:fill="auto"/>
            <w:noWrap/>
            <w:vAlign w:val="bottom"/>
          </w:tcPr>
          <w:p w:rsidR="00981470" w:rsidRPr="009D3964" w:rsidRDefault="00981470" w:rsidP="00CB6715">
            <w:pPr>
              <w:widowControl/>
              <w:autoSpaceDE/>
              <w:autoSpaceDN/>
              <w:adjustRightInd/>
              <w:jc w:val="center"/>
              <w:rPr>
                <w:sz w:val="20"/>
                <w:szCs w:val="20"/>
              </w:rPr>
            </w:pPr>
            <w:r w:rsidRPr="009D3964">
              <w:rPr>
                <w:sz w:val="20"/>
                <w:szCs w:val="20"/>
              </w:rPr>
              <w:t>94.5</w:t>
            </w:r>
          </w:p>
        </w:tc>
        <w:tc>
          <w:tcPr>
            <w:tcW w:w="1043" w:type="dxa"/>
            <w:tcBorders>
              <w:top w:val="nil"/>
              <w:left w:val="nil"/>
              <w:bottom w:val="nil"/>
              <w:right w:val="nil"/>
            </w:tcBorders>
            <w:shd w:val="clear" w:color="auto" w:fill="auto"/>
            <w:noWrap/>
            <w:vAlign w:val="bottom"/>
          </w:tcPr>
          <w:p w:rsidR="00981470" w:rsidRPr="009D3964" w:rsidRDefault="00981470" w:rsidP="00CB6715">
            <w:pPr>
              <w:widowControl/>
              <w:autoSpaceDE/>
              <w:autoSpaceDN/>
              <w:adjustRightInd/>
              <w:jc w:val="center"/>
              <w:rPr>
                <w:sz w:val="20"/>
                <w:szCs w:val="20"/>
              </w:rPr>
            </w:pPr>
            <w:r w:rsidRPr="009D3964">
              <w:rPr>
                <w:sz w:val="20"/>
                <w:szCs w:val="20"/>
              </w:rPr>
              <w:t>$551.2</w:t>
            </w:r>
          </w:p>
        </w:tc>
        <w:tc>
          <w:tcPr>
            <w:tcW w:w="960" w:type="dxa"/>
            <w:tcBorders>
              <w:top w:val="nil"/>
              <w:left w:val="nil"/>
              <w:bottom w:val="nil"/>
              <w:right w:val="nil"/>
            </w:tcBorders>
            <w:shd w:val="clear" w:color="auto" w:fill="auto"/>
            <w:noWrap/>
            <w:vAlign w:val="bottom"/>
          </w:tcPr>
          <w:p w:rsidR="00981470" w:rsidRPr="009D3964" w:rsidRDefault="00981470" w:rsidP="00CB6715">
            <w:pPr>
              <w:widowControl/>
              <w:autoSpaceDE/>
              <w:autoSpaceDN/>
              <w:adjustRightInd/>
              <w:jc w:val="center"/>
              <w:rPr>
                <w:sz w:val="20"/>
                <w:szCs w:val="20"/>
              </w:rPr>
            </w:pPr>
          </w:p>
        </w:tc>
        <w:tc>
          <w:tcPr>
            <w:tcW w:w="960" w:type="dxa"/>
            <w:tcBorders>
              <w:top w:val="nil"/>
              <w:left w:val="nil"/>
              <w:bottom w:val="nil"/>
              <w:right w:val="nil"/>
            </w:tcBorders>
            <w:shd w:val="clear" w:color="auto" w:fill="auto"/>
            <w:noWrap/>
            <w:vAlign w:val="bottom"/>
          </w:tcPr>
          <w:p w:rsidR="00981470" w:rsidRPr="009D3964" w:rsidRDefault="00981470" w:rsidP="00CB6715">
            <w:pPr>
              <w:widowControl/>
              <w:autoSpaceDE/>
              <w:autoSpaceDN/>
              <w:adjustRightInd/>
              <w:jc w:val="center"/>
              <w:rPr>
                <w:sz w:val="20"/>
                <w:szCs w:val="20"/>
              </w:rPr>
            </w:pPr>
            <w:r w:rsidRPr="009D3964">
              <w:rPr>
                <w:sz w:val="20"/>
                <w:szCs w:val="20"/>
              </w:rPr>
              <w:t>151.7</w:t>
            </w:r>
          </w:p>
        </w:tc>
        <w:tc>
          <w:tcPr>
            <w:tcW w:w="1060" w:type="dxa"/>
            <w:tcBorders>
              <w:top w:val="nil"/>
              <w:left w:val="nil"/>
              <w:bottom w:val="nil"/>
              <w:right w:val="nil"/>
            </w:tcBorders>
            <w:shd w:val="clear" w:color="auto" w:fill="auto"/>
            <w:noWrap/>
            <w:vAlign w:val="bottom"/>
          </w:tcPr>
          <w:p w:rsidR="00981470" w:rsidRPr="009D3964" w:rsidRDefault="00981470" w:rsidP="00CB6715">
            <w:pPr>
              <w:widowControl/>
              <w:autoSpaceDE/>
              <w:autoSpaceDN/>
              <w:adjustRightInd/>
              <w:jc w:val="center"/>
              <w:rPr>
                <w:sz w:val="20"/>
                <w:szCs w:val="20"/>
              </w:rPr>
            </w:pPr>
            <w:r w:rsidRPr="009D3964">
              <w:rPr>
                <w:sz w:val="20"/>
                <w:szCs w:val="20"/>
              </w:rPr>
              <w:t>$884.6</w:t>
            </w:r>
          </w:p>
        </w:tc>
        <w:tc>
          <w:tcPr>
            <w:tcW w:w="960" w:type="dxa"/>
            <w:tcBorders>
              <w:top w:val="nil"/>
              <w:left w:val="nil"/>
              <w:bottom w:val="nil"/>
              <w:right w:val="nil"/>
            </w:tcBorders>
            <w:shd w:val="clear" w:color="auto" w:fill="auto"/>
            <w:noWrap/>
            <w:vAlign w:val="bottom"/>
          </w:tcPr>
          <w:p w:rsidR="00981470" w:rsidRPr="009D3964" w:rsidRDefault="00981470" w:rsidP="00CB6715">
            <w:pPr>
              <w:widowControl/>
              <w:autoSpaceDE/>
              <w:autoSpaceDN/>
              <w:adjustRightInd/>
              <w:jc w:val="center"/>
              <w:rPr>
                <w:sz w:val="20"/>
                <w:szCs w:val="20"/>
              </w:rPr>
            </w:pPr>
          </w:p>
        </w:tc>
        <w:tc>
          <w:tcPr>
            <w:tcW w:w="960" w:type="dxa"/>
            <w:tcBorders>
              <w:top w:val="nil"/>
              <w:left w:val="nil"/>
              <w:bottom w:val="nil"/>
              <w:right w:val="nil"/>
            </w:tcBorders>
            <w:shd w:val="clear" w:color="auto" w:fill="auto"/>
            <w:noWrap/>
            <w:vAlign w:val="bottom"/>
          </w:tcPr>
          <w:p w:rsidR="00981470" w:rsidRPr="009D3964" w:rsidRDefault="00981470" w:rsidP="00CB6715">
            <w:pPr>
              <w:widowControl/>
              <w:autoSpaceDE/>
              <w:autoSpaceDN/>
              <w:adjustRightInd/>
              <w:jc w:val="center"/>
              <w:rPr>
                <w:sz w:val="20"/>
                <w:szCs w:val="20"/>
              </w:rPr>
            </w:pPr>
            <w:r w:rsidRPr="009D3964">
              <w:rPr>
                <w:sz w:val="20"/>
                <w:szCs w:val="20"/>
              </w:rPr>
              <w:t>186.3</w:t>
            </w:r>
          </w:p>
        </w:tc>
        <w:tc>
          <w:tcPr>
            <w:tcW w:w="1120" w:type="dxa"/>
            <w:tcBorders>
              <w:top w:val="nil"/>
              <w:left w:val="nil"/>
              <w:bottom w:val="nil"/>
              <w:right w:val="nil"/>
            </w:tcBorders>
            <w:shd w:val="clear" w:color="auto" w:fill="auto"/>
            <w:noWrap/>
            <w:vAlign w:val="bottom"/>
          </w:tcPr>
          <w:p w:rsidR="00981470" w:rsidRPr="009D3964" w:rsidRDefault="00981470" w:rsidP="00CB6715">
            <w:pPr>
              <w:widowControl/>
              <w:autoSpaceDE/>
              <w:autoSpaceDN/>
              <w:adjustRightInd/>
              <w:jc w:val="center"/>
              <w:rPr>
                <w:sz w:val="20"/>
                <w:szCs w:val="20"/>
              </w:rPr>
            </w:pPr>
            <w:r w:rsidRPr="009D3964">
              <w:rPr>
                <w:sz w:val="20"/>
                <w:szCs w:val="20"/>
              </w:rPr>
              <w:t>$1,086.7</w:t>
            </w:r>
          </w:p>
        </w:tc>
      </w:tr>
      <w:tr w:rsidR="00981470" w:rsidRPr="009D3964" w:rsidTr="00BE0E2B">
        <w:trPr>
          <w:trHeight w:val="255"/>
        </w:trPr>
        <w:tc>
          <w:tcPr>
            <w:tcW w:w="2565" w:type="dxa"/>
            <w:tcBorders>
              <w:top w:val="nil"/>
              <w:left w:val="nil"/>
              <w:bottom w:val="nil"/>
              <w:right w:val="nil"/>
            </w:tcBorders>
            <w:shd w:val="clear" w:color="auto" w:fill="auto"/>
            <w:noWrap/>
            <w:vAlign w:val="bottom"/>
          </w:tcPr>
          <w:p w:rsidR="00981470" w:rsidRPr="009D3964" w:rsidRDefault="00981470" w:rsidP="00CB6715">
            <w:pPr>
              <w:widowControl/>
              <w:autoSpaceDE/>
              <w:autoSpaceDN/>
              <w:adjustRightInd/>
              <w:rPr>
                <w:sz w:val="20"/>
                <w:szCs w:val="20"/>
              </w:rPr>
            </w:pPr>
            <w:r w:rsidRPr="009D3964">
              <w:rPr>
                <w:sz w:val="20"/>
                <w:szCs w:val="20"/>
              </w:rPr>
              <w:t>Denial Appeal</w:t>
            </w:r>
          </w:p>
        </w:tc>
        <w:tc>
          <w:tcPr>
            <w:tcW w:w="705" w:type="dxa"/>
            <w:tcBorders>
              <w:top w:val="nil"/>
              <w:left w:val="nil"/>
              <w:bottom w:val="nil"/>
              <w:right w:val="nil"/>
            </w:tcBorders>
            <w:shd w:val="clear" w:color="auto" w:fill="auto"/>
            <w:noWrap/>
            <w:vAlign w:val="bottom"/>
          </w:tcPr>
          <w:p w:rsidR="00981470" w:rsidRPr="009D3964" w:rsidRDefault="00981470" w:rsidP="00CB6715">
            <w:pPr>
              <w:widowControl/>
              <w:autoSpaceDE/>
              <w:autoSpaceDN/>
              <w:adjustRightInd/>
              <w:jc w:val="center"/>
              <w:rPr>
                <w:sz w:val="20"/>
                <w:szCs w:val="20"/>
              </w:rPr>
            </w:pPr>
          </w:p>
        </w:tc>
        <w:tc>
          <w:tcPr>
            <w:tcW w:w="1043" w:type="dxa"/>
            <w:tcBorders>
              <w:top w:val="nil"/>
              <w:left w:val="nil"/>
              <w:bottom w:val="nil"/>
              <w:right w:val="nil"/>
            </w:tcBorders>
            <w:shd w:val="clear" w:color="auto" w:fill="auto"/>
            <w:noWrap/>
            <w:vAlign w:val="bottom"/>
          </w:tcPr>
          <w:p w:rsidR="00981470" w:rsidRPr="009D3964" w:rsidRDefault="00981470" w:rsidP="00CB6715">
            <w:pPr>
              <w:widowControl/>
              <w:autoSpaceDE/>
              <w:autoSpaceDN/>
              <w:adjustRightInd/>
              <w:jc w:val="center"/>
              <w:rPr>
                <w:sz w:val="20"/>
                <w:szCs w:val="20"/>
              </w:rPr>
            </w:pPr>
          </w:p>
        </w:tc>
        <w:tc>
          <w:tcPr>
            <w:tcW w:w="960" w:type="dxa"/>
            <w:tcBorders>
              <w:top w:val="nil"/>
              <w:left w:val="nil"/>
              <w:bottom w:val="nil"/>
              <w:right w:val="nil"/>
            </w:tcBorders>
            <w:shd w:val="clear" w:color="auto" w:fill="auto"/>
            <w:noWrap/>
            <w:vAlign w:val="bottom"/>
          </w:tcPr>
          <w:p w:rsidR="00981470" w:rsidRPr="009D3964" w:rsidRDefault="00981470" w:rsidP="00CB6715">
            <w:pPr>
              <w:widowControl/>
              <w:autoSpaceDE/>
              <w:autoSpaceDN/>
              <w:adjustRightInd/>
              <w:jc w:val="center"/>
              <w:rPr>
                <w:sz w:val="20"/>
                <w:szCs w:val="20"/>
              </w:rPr>
            </w:pPr>
          </w:p>
        </w:tc>
        <w:tc>
          <w:tcPr>
            <w:tcW w:w="960" w:type="dxa"/>
            <w:tcBorders>
              <w:top w:val="nil"/>
              <w:left w:val="nil"/>
              <w:bottom w:val="nil"/>
              <w:right w:val="nil"/>
            </w:tcBorders>
            <w:shd w:val="clear" w:color="auto" w:fill="auto"/>
            <w:noWrap/>
            <w:vAlign w:val="bottom"/>
          </w:tcPr>
          <w:p w:rsidR="00981470" w:rsidRPr="009D3964" w:rsidRDefault="00981470" w:rsidP="00CB6715">
            <w:pPr>
              <w:widowControl/>
              <w:autoSpaceDE/>
              <w:autoSpaceDN/>
              <w:adjustRightInd/>
              <w:jc w:val="center"/>
              <w:rPr>
                <w:sz w:val="20"/>
                <w:szCs w:val="20"/>
              </w:rPr>
            </w:pPr>
          </w:p>
        </w:tc>
        <w:tc>
          <w:tcPr>
            <w:tcW w:w="1060" w:type="dxa"/>
            <w:tcBorders>
              <w:top w:val="nil"/>
              <w:left w:val="nil"/>
              <w:bottom w:val="nil"/>
              <w:right w:val="nil"/>
            </w:tcBorders>
            <w:shd w:val="clear" w:color="auto" w:fill="auto"/>
            <w:noWrap/>
            <w:vAlign w:val="bottom"/>
          </w:tcPr>
          <w:p w:rsidR="00981470" w:rsidRPr="009D3964" w:rsidRDefault="00981470" w:rsidP="00CB6715">
            <w:pPr>
              <w:widowControl/>
              <w:autoSpaceDE/>
              <w:autoSpaceDN/>
              <w:adjustRightInd/>
              <w:jc w:val="center"/>
              <w:rPr>
                <w:sz w:val="20"/>
                <w:szCs w:val="20"/>
              </w:rPr>
            </w:pPr>
          </w:p>
        </w:tc>
        <w:tc>
          <w:tcPr>
            <w:tcW w:w="960" w:type="dxa"/>
            <w:tcBorders>
              <w:top w:val="nil"/>
              <w:left w:val="nil"/>
              <w:bottom w:val="nil"/>
              <w:right w:val="nil"/>
            </w:tcBorders>
            <w:shd w:val="clear" w:color="auto" w:fill="auto"/>
            <w:noWrap/>
            <w:vAlign w:val="bottom"/>
          </w:tcPr>
          <w:p w:rsidR="00981470" w:rsidRPr="009D3964" w:rsidRDefault="00981470" w:rsidP="00CB6715">
            <w:pPr>
              <w:widowControl/>
              <w:autoSpaceDE/>
              <w:autoSpaceDN/>
              <w:adjustRightInd/>
              <w:jc w:val="center"/>
              <w:rPr>
                <w:sz w:val="20"/>
                <w:szCs w:val="20"/>
              </w:rPr>
            </w:pPr>
          </w:p>
        </w:tc>
        <w:tc>
          <w:tcPr>
            <w:tcW w:w="960" w:type="dxa"/>
            <w:tcBorders>
              <w:top w:val="nil"/>
              <w:left w:val="nil"/>
              <w:bottom w:val="nil"/>
              <w:right w:val="nil"/>
            </w:tcBorders>
            <w:shd w:val="clear" w:color="auto" w:fill="auto"/>
            <w:noWrap/>
            <w:vAlign w:val="bottom"/>
          </w:tcPr>
          <w:p w:rsidR="00981470" w:rsidRPr="009D3964" w:rsidRDefault="00981470" w:rsidP="00CB6715">
            <w:pPr>
              <w:widowControl/>
              <w:autoSpaceDE/>
              <w:autoSpaceDN/>
              <w:adjustRightInd/>
              <w:jc w:val="center"/>
              <w:rPr>
                <w:sz w:val="20"/>
                <w:szCs w:val="20"/>
              </w:rPr>
            </w:pPr>
          </w:p>
        </w:tc>
        <w:tc>
          <w:tcPr>
            <w:tcW w:w="1120" w:type="dxa"/>
            <w:tcBorders>
              <w:top w:val="nil"/>
              <w:left w:val="nil"/>
              <w:bottom w:val="nil"/>
              <w:right w:val="nil"/>
            </w:tcBorders>
            <w:shd w:val="clear" w:color="auto" w:fill="auto"/>
            <w:noWrap/>
            <w:vAlign w:val="bottom"/>
          </w:tcPr>
          <w:p w:rsidR="00981470" w:rsidRPr="009D3964" w:rsidRDefault="00981470" w:rsidP="00CB6715">
            <w:pPr>
              <w:widowControl/>
              <w:autoSpaceDE/>
              <w:autoSpaceDN/>
              <w:adjustRightInd/>
              <w:jc w:val="center"/>
              <w:rPr>
                <w:sz w:val="20"/>
                <w:szCs w:val="20"/>
              </w:rPr>
            </w:pPr>
          </w:p>
        </w:tc>
      </w:tr>
      <w:tr w:rsidR="00981470" w:rsidRPr="009D3964" w:rsidTr="00BE0E2B">
        <w:trPr>
          <w:trHeight w:val="255"/>
        </w:trPr>
        <w:tc>
          <w:tcPr>
            <w:tcW w:w="2565" w:type="dxa"/>
            <w:tcBorders>
              <w:top w:val="nil"/>
              <w:left w:val="nil"/>
              <w:bottom w:val="nil"/>
              <w:right w:val="nil"/>
            </w:tcBorders>
            <w:shd w:val="clear" w:color="auto" w:fill="auto"/>
            <w:noWrap/>
            <w:vAlign w:val="bottom"/>
          </w:tcPr>
          <w:p w:rsidR="00981470" w:rsidRPr="009D3964" w:rsidRDefault="00981470" w:rsidP="008D59EF">
            <w:pPr>
              <w:widowControl/>
              <w:autoSpaceDE/>
              <w:autoSpaceDN/>
              <w:adjustRightInd/>
              <w:ind w:firstLineChars="100" w:firstLine="200"/>
              <w:rPr>
                <w:sz w:val="20"/>
                <w:szCs w:val="20"/>
              </w:rPr>
            </w:pPr>
            <w:r w:rsidRPr="009D3964">
              <w:rPr>
                <w:sz w:val="20"/>
                <w:szCs w:val="20"/>
              </w:rPr>
              <w:lastRenderedPageBreak/>
              <w:t>Total</w:t>
            </w:r>
          </w:p>
        </w:tc>
        <w:tc>
          <w:tcPr>
            <w:tcW w:w="705" w:type="dxa"/>
            <w:tcBorders>
              <w:top w:val="nil"/>
              <w:left w:val="nil"/>
              <w:bottom w:val="nil"/>
              <w:right w:val="nil"/>
            </w:tcBorders>
            <w:shd w:val="clear" w:color="auto" w:fill="auto"/>
            <w:noWrap/>
            <w:vAlign w:val="bottom"/>
          </w:tcPr>
          <w:p w:rsidR="00981470" w:rsidRPr="009D3964" w:rsidRDefault="00981470" w:rsidP="00CB6715">
            <w:pPr>
              <w:widowControl/>
              <w:autoSpaceDE/>
              <w:autoSpaceDN/>
              <w:adjustRightInd/>
              <w:jc w:val="center"/>
              <w:rPr>
                <w:sz w:val="20"/>
                <w:szCs w:val="20"/>
              </w:rPr>
            </w:pPr>
            <w:r w:rsidRPr="009D3964">
              <w:rPr>
                <w:sz w:val="20"/>
                <w:szCs w:val="20"/>
              </w:rPr>
              <w:t>116.7</w:t>
            </w:r>
          </w:p>
        </w:tc>
        <w:tc>
          <w:tcPr>
            <w:tcW w:w="1043" w:type="dxa"/>
            <w:tcBorders>
              <w:top w:val="nil"/>
              <w:left w:val="nil"/>
              <w:bottom w:val="nil"/>
              <w:right w:val="nil"/>
            </w:tcBorders>
            <w:shd w:val="clear" w:color="auto" w:fill="auto"/>
            <w:noWrap/>
            <w:vAlign w:val="bottom"/>
          </w:tcPr>
          <w:p w:rsidR="00981470" w:rsidRPr="009D3964" w:rsidRDefault="00981470" w:rsidP="00CB6715">
            <w:pPr>
              <w:widowControl/>
              <w:autoSpaceDE/>
              <w:autoSpaceDN/>
              <w:adjustRightInd/>
              <w:jc w:val="center"/>
              <w:rPr>
                <w:sz w:val="20"/>
                <w:szCs w:val="20"/>
              </w:rPr>
            </w:pPr>
            <w:r w:rsidRPr="009D3964">
              <w:rPr>
                <w:sz w:val="20"/>
                <w:szCs w:val="20"/>
              </w:rPr>
              <w:t>$29.1</w:t>
            </w:r>
          </w:p>
        </w:tc>
        <w:tc>
          <w:tcPr>
            <w:tcW w:w="960" w:type="dxa"/>
            <w:tcBorders>
              <w:top w:val="nil"/>
              <w:left w:val="nil"/>
              <w:bottom w:val="nil"/>
              <w:right w:val="nil"/>
            </w:tcBorders>
            <w:shd w:val="clear" w:color="auto" w:fill="auto"/>
            <w:noWrap/>
            <w:vAlign w:val="bottom"/>
          </w:tcPr>
          <w:p w:rsidR="00981470" w:rsidRPr="009D3964" w:rsidRDefault="00981470" w:rsidP="00CB6715">
            <w:pPr>
              <w:widowControl/>
              <w:autoSpaceDE/>
              <w:autoSpaceDN/>
              <w:adjustRightInd/>
              <w:jc w:val="center"/>
              <w:rPr>
                <w:sz w:val="20"/>
                <w:szCs w:val="20"/>
              </w:rPr>
            </w:pPr>
          </w:p>
        </w:tc>
        <w:tc>
          <w:tcPr>
            <w:tcW w:w="960" w:type="dxa"/>
            <w:tcBorders>
              <w:top w:val="nil"/>
              <w:left w:val="nil"/>
              <w:bottom w:val="nil"/>
              <w:right w:val="nil"/>
            </w:tcBorders>
            <w:shd w:val="clear" w:color="auto" w:fill="auto"/>
            <w:noWrap/>
            <w:vAlign w:val="bottom"/>
          </w:tcPr>
          <w:p w:rsidR="00981470" w:rsidRPr="009D3964" w:rsidRDefault="00981470" w:rsidP="00CB6715">
            <w:pPr>
              <w:widowControl/>
              <w:autoSpaceDE/>
              <w:autoSpaceDN/>
              <w:adjustRightInd/>
              <w:jc w:val="center"/>
              <w:rPr>
                <w:sz w:val="20"/>
                <w:szCs w:val="20"/>
              </w:rPr>
            </w:pPr>
            <w:r w:rsidRPr="009D3964">
              <w:rPr>
                <w:sz w:val="20"/>
                <w:szCs w:val="20"/>
              </w:rPr>
              <w:t>264.7</w:t>
            </w:r>
          </w:p>
        </w:tc>
        <w:tc>
          <w:tcPr>
            <w:tcW w:w="1060" w:type="dxa"/>
            <w:tcBorders>
              <w:top w:val="nil"/>
              <w:left w:val="nil"/>
              <w:bottom w:val="nil"/>
              <w:right w:val="nil"/>
            </w:tcBorders>
            <w:shd w:val="clear" w:color="auto" w:fill="auto"/>
            <w:noWrap/>
            <w:vAlign w:val="bottom"/>
          </w:tcPr>
          <w:p w:rsidR="00981470" w:rsidRPr="009D3964" w:rsidRDefault="00981470" w:rsidP="00CB6715">
            <w:pPr>
              <w:widowControl/>
              <w:autoSpaceDE/>
              <w:autoSpaceDN/>
              <w:adjustRightInd/>
              <w:jc w:val="center"/>
              <w:rPr>
                <w:sz w:val="20"/>
                <w:szCs w:val="20"/>
              </w:rPr>
            </w:pPr>
            <w:r w:rsidRPr="009D3964">
              <w:rPr>
                <w:sz w:val="20"/>
                <w:szCs w:val="20"/>
              </w:rPr>
              <w:t>$46.7</w:t>
            </w:r>
          </w:p>
        </w:tc>
        <w:tc>
          <w:tcPr>
            <w:tcW w:w="960" w:type="dxa"/>
            <w:tcBorders>
              <w:top w:val="nil"/>
              <w:left w:val="nil"/>
              <w:bottom w:val="nil"/>
              <w:right w:val="nil"/>
            </w:tcBorders>
            <w:shd w:val="clear" w:color="auto" w:fill="auto"/>
            <w:noWrap/>
            <w:vAlign w:val="bottom"/>
          </w:tcPr>
          <w:p w:rsidR="00981470" w:rsidRPr="009D3964" w:rsidRDefault="00981470" w:rsidP="00CB6715">
            <w:pPr>
              <w:widowControl/>
              <w:autoSpaceDE/>
              <w:autoSpaceDN/>
              <w:adjustRightInd/>
              <w:jc w:val="center"/>
              <w:rPr>
                <w:sz w:val="20"/>
                <w:szCs w:val="20"/>
              </w:rPr>
            </w:pPr>
          </w:p>
        </w:tc>
        <w:tc>
          <w:tcPr>
            <w:tcW w:w="960" w:type="dxa"/>
            <w:tcBorders>
              <w:top w:val="nil"/>
              <w:left w:val="nil"/>
              <w:bottom w:val="nil"/>
              <w:right w:val="nil"/>
            </w:tcBorders>
            <w:shd w:val="clear" w:color="auto" w:fill="auto"/>
            <w:noWrap/>
            <w:vAlign w:val="bottom"/>
          </w:tcPr>
          <w:p w:rsidR="00981470" w:rsidRPr="009D3964" w:rsidRDefault="00981470" w:rsidP="00CB6715">
            <w:pPr>
              <w:widowControl/>
              <w:autoSpaceDE/>
              <w:autoSpaceDN/>
              <w:adjustRightInd/>
              <w:jc w:val="center"/>
              <w:rPr>
                <w:sz w:val="20"/>
                <w:szCs w:val="20"/>
              </w:rPr>
            </w:pPr>
            <w:r w:rsidRPr="009D3964">
              <w:rPr>
                <w:sz w:val="20"/>
                <w:szCs w:val="20"/>
              </w:rPr>
              <w:t>325.2</w:t>
            </w:r>
          </w:p>
        </w:tc>
        <w:tc>
          <w:tcPr>
            <w:tcW w:w="1120" w:type="dxa"/>
            <w:tcBorders>
              <w:top w:val="nil"/>
              <w:left w:val="nil"/>
              <w:bottom w:val="nil"/>
              <w:right w:val="nil"/>
            </w:tcBorders>
            <w:shd w:val="clear" w:color="auto" w:fill="auto"/>
            <w:noWrap/>
            <w:vAlign w:val="bottom"/>
          </w:tcPr>
          <w:p w:rsidR="00981470" w:rsidRPr="009D3964" w:rsidRDefault="00981470" w:rsidP="00CB6715">
            <w:pPr>
              <w:widowControl/>
              <w:autoSpaceDE/>
              <w:autoSpaceDN/>
              <w:adjustRightInd/>
              <w:jc w:val="center"/>
              <w:rPr>
                <w:sz w:val="20"/>
                <w:szCs w:val="20"/>
              </w:rPr>
            </w:pPr>
            <w:r w:rsidRPr="009D3964">
              <w:rPr>
                <w:sz w:val="20"/>
                <w:szCs w:val="20"/>
              </w:rPr>
              <w:t>$57.4</w:t>
            </w:r>
          </w:p>
        </w:tc>
      </w:tr>
      <w:tr w:rsidR="00981470" w:rsidRPr="009D3964" w:rsidTr="00BE0E2B">
        <w:trPr>
          <w:trHeight w:val="255"/>
        </w:trPr>
        <w:tc>
          <w:tcPr>
            <w:tcW w:w="2565" w:type="dxa"/>
            <w:tcBorders>
              <w:top w:val="nil"/>
              <w:left w:val="nil"/>
              <w:bottom w:val="nil"/>
              <w:right w:val="nil"/>
            </w:tcBorders>
            <w:shd w:val="clear" w:color="auto" w:fill="auto"/>
            <w:noWrap/>
            <w:vAlign w:val="bottom"/>
          </w:tcPr>
          <w:p w:rsidR="00981470" w:rsidRPr="009D3964" w:rsidRDefault="00981470" w:rsidP="008D59EF">
            <w:pPr>
              <w:widowControl/>
              <w:autoSpaceDE/>
              <w:autoSpaceDN/>
              <w:adjustRightInd/>
              <w:ind w:firstLineChars="200" w:firstLine="400"/>
              <w:rPr>
                <w:sz w:val="20"/>
                <w:szCs w:val="20"/>
              </w:rPr>
            </w:pPr>
            <w:r w:rsidRPr="009D3964">
              <w:rPr>
                <w:sz w:val="20"/>
                <w:szCs w:val="20"/>
              </w:rPr>
              <w:t>Appeal</w:t>
            </w:r>
            <w:r>
              <w:rPr>
                <w:sz w:val="20"/>
                <w:szCs w:val="20"/>
              </w:rPr>
              <w:t xml:space="preserve"> </w:t>
            </w:r>
            <w:r w:rsidRPr="009D3964">
              <w:rPr>
                <w:sz w:val="20"/>
                <w:szCs w:val="20"/>
              </w:rPr>
              <w:t xml:space="preserve"> Approved</w:t>
            </w:r>
          </w:p>
        </w:tc>
        <w:tc>
          <w:tcPr>
            <w:tcW w:w="705" w:type="dxa"/>
            <w:tcBorders>
              <w:top w:val="nil"/>
              <w:left w:val="nil"/>
              <w:bottom w:val="nil"/>
              <w:right w:val="nil"/>
            </w:tcBorders>
            <w:shd w:val="clear" w:color="auto" w:fill="auto"/>
            <w:noWrap/>
            <w:vAlign w:val="bottom"/>
          </w:tcPr>
          <w:p w:rsidR="00981470" w:rsidRPr="009D3964" w:rsidRDefault="00981470" w:rsidP="00CB6715">
            <w:pPr>
              <w:widowControl/>
              <w:autoSpaceDE/>
              <w:autoSpaceDN/>
              <w:adjustRightInd/>
              <w:jc w:val="center"/>
              <w:rPr>
                <w:sz w:val="20"/>
                <w:szCs w:val="20"/>
              </w:rPr>
            </w:pPr>
            <w:r w:rsidRPr="009D3964">
              <w:rPr>
                <w:sz w:val="20"/>
                <w:szCs w:val="20"/>
              </w:rPr>
              <w:t>28.6</w:t>
            </w:r>
          </w:p>
        </w:tc>
        <w:tc>
          <w:tcPr>
            <w:tcW w:w="1043" w:type="dxa"/>
            <w:tcBorders>
              <w:top w:val="nil"/>
              <w:left w:val="nil"/>
              <w:bottom w:val="nil"/>
              <w:right w:val="nil"/>
            </w:tcBorders>
            <w:shd w:val="clear" w:color="auto" w:fill="auto"/>
            <w:noWrap/>
            <w:vAlign w:val="bottom"/>
          </w:tcPr>
          <w:p w:rsidR="00981470" w:rsidRPr="009D3964" w:rsidRDefault="00981470" w:rsidP="00CB6715">
            <w:pPr>
              <w:widowControl/>
              <w:autoSpaceDE/>
              <w:autoSpaceDN/>
              <w:adjustRightInd/>
              <w:jc w:val="center"/>
              <w:rPr>
                <w:sz w:val="20"/>
                <w:szCs w:val="20"/>
              </w:rPr>
            </w:pPr>
            <w:r w:rsidRPr="009D3964">
              <w:rPr>
                <w:sz w:val="20"/>
                <w:szCs w:val="20"/>
              </w:rPr>
              <w:t>$11.6</w:t>
            </w:r>
          </w:p>
        </w:tc>
        <w:tc>
          <w:tcPr>
            <w:tcW w:w="960" w:type="dxa"/>
            <w:tcBorders>
              <w:top w:val="nil"/>
              <w:left w:val="nil"/>
              <w:bottom w:val="nil"/>
              <w:right w:val="nil"/>
            </w:tcBorders>
            <w:shd w:val="clear" w:color="auto" w:fill="auto"/>
            <w:noWrap/>
            <w:vAlign w:val="bottom"/>
          </w:tcPr>
          <w:p w:rsidR="00981470" w:rsidRPr="009D3964" w:rsidRDefault="00981470" w:rsidP="00CB6715">
            <w:pPr>
              <w:widowControl/>
              <w:autoSpaceDE/>
              <w:autoSpaceDN/>
              <w:adjustRightInd/>
              <w:jc w:val="center"/>
              <w:rPr>
                <w:sz w:val="20"/>
                <w:szCs w:val="20"/>
              </w:rPr>
            </w:pPr>
          </w:p>
        </w:tc>
        <w:tc>
          <w:tcPr>
            <w:tcW w:w="960" w:type="dxa"/>
            <w:tcBorders>
              <w:top w:val="nil"/>
              <w:left w:val="nil"/>
              <w:bottom w:val="nil"/>
              <w:right w:val="nil"/>
            </w:tcBorders>
            <w:shd w:val="clear" w:color="auto" w:fill="auto"/>
            <w:noWrap/>
            <w:vAlign w:val="bottom"/>
          </w:tcPr>
          <w:p w:rsidR="00981470" w:rsidRPr="009D3964" w:rsidRDefault="00981470" w:rsidP="00CB6715">
            <w:pPr>
              <w:widowControl/>
              <w:autoSpaceDE/>
              <w:autoSpaceDN/>
              <w:adjustRightInd/>
              <w:jc w:val="center"/>
              <w:rPr>
                <w:sz w:val="20"/>
                <w:szCs w:val="20"/>
              </w:rPr>
            </w:pPr>
            <w:r w:rsidRPr="009D3964">
              <w:rPr>
                <w:sz w:val="20"/>
                <w:szCs w:val="20"/>
              </w:rPr>
              <w:t>60.8</w:t>
            </w:r>
          </w:p>
        </w:tc>
        <w:tc>
          <w:tcPr>
            <w:tcW w:w="1060" w:type="dxa"/>
            <w:tcBorders>
              <w:top w:val="nil"/>
              <w:left w:val="nil"/>
              <w:bottom w:val="nil"/>
              <w:right w:val="nil"/>
            </w:tcBorders>
            <w:shd w:val="clear" w:color="auto" w:fill="auto"/>
            <w:noWrap/>
            <w:vAlign w:val="bottom"/>
          </w:tcPr>
          <w:p w:rsidR="00981470" w:rsidRPr="009D3964" w:rsidRDefault="00981470" w:rsidP="00CB6715">
            <w:pPr>
              <w:widowControl/>
              <w:autoSpaceDE/>
              <w:autoSpaceDN/>
              <w:adjustRightInd/>
              <w:jc w:val="center"/>
              <w:rPr>
                <w:sz w:val="20"/>
                <w:szCs w:val="20"/>
              </w:rPr>
            </w:pPr>
            <w:r w:rsidRPr="009D3964">
              <w:rPr>
                <w:sz w:val="20"/>
                <w:szCs w:val="20"/>
              </w:rPr>
              <w:t>$18.7</w:t>
            </w:r>
          </w:p>
        </w:tc>
        <w:tc>
          <w:tcPr>
            <w:tcW w:w="960" w:type="dxa"/>
            <w:tcBorders>
              <w:top w:val="nil"/>
              <w:left w:val="nil"/>
              <w:bottom w:val="nil"/>
              <w:right w:val="nil"/>
            </w:tcBorders>
            <w:shd w:val="clear" w:color="auto" w:fill="auto"/>
            <w:noWrap/>
            <w:vAlign w:val="bottom"/>
          </w:tcPr>
          <w:p w:rsidR="00981470" w:rsidRPr="009D3964" w:rsidRDefault="00981470" w:rsidP="00CB6715">
            <w:pPr>
              <w:widowControl/>
              <w:autoSpaceDE/>
              <w:autoSpaceDN/>
              <w:adjustRightInd/>
              <w:jc w:val="center"/>
              <w:rPr>
                <w:sz w:val="20"/>
                <w:szCs w:val="20"/>
              </w:rPr>
            </w:pPr>
          </w:p>
        </w:tc>
        <w:tc>
          <w:tcPr>
            <w:tcW w:w="960" w:type="dxa"/>
            <w:tcBorders>
              <w:top w:val="nil"/>
              <w:left w:val="nil"/>
              <w:bottom w:val="nil"/>
              <w:right w:val="nil"/>
            </w:tcBorders>
            <w:shd w:val="clear" w:color="auto" w:fill="auto"/>
            <w:noWrap/>
            <w:vAlign w:val="bottom"/>
          </w:tcPr>
          <w:p w:rsidR="00981470" w:rsidRPr="009D3964" w:rsidRDefault="00981470" w:rsidP="00CB6715">
            <w:pPr>
              <w:widowControl/>
              <w:autoSpaceDE/>
              <w:autoSpaceDN/>
              <w:adjustRightInd/>
              <w:jc w:val="center"/>
              <w:rPr>
                <w:sz w:val="20"/>
                <w:szCs w:val="20"/>
              </w:rPr>
            </w:pPr>
            <w:r w:rsidRPr="009D3964">
              <w:rPr>
                <w:sz w:val="20"/>
                <w:szCs w:val="20"/>
              </w:rPr>
              <w:t>74.7</w:t>
            </w:r>
          </w:p>
        </w:tc>
        <w:tc>
          <w:tcPr>
            <w:tcW w:w="1120" w:type="dxa"/>
            <w:tcBorders>
              <w:top w:val="nil"/>
              <w:left w:val="nil"/>
              <w:bottom w:val="nil"/>
              <w:right w:val="nil"/>
            </w:tcBorders>
            <w:shd w:val="clear" w:color="auto" w:fill="auto"/>
            <w:noWrap/>
            <w:vAlign w:val="bottom"/>
          </w:tcPr>
          <w:p w:rsidR="00981470" w:rsidRPr="009D3964" w:rsidRDefault="00981470" w:rsidP="00CB6715">
            <w:pPr>
              <w:widowControl/>
              <w:autoSpaceDE/>
              <w:autoSpaceDN/>
              <w:adjustRightInd/>
              <w:jc w:val="center"/>
              <w:rPr>
                <w:sz w:val="20"/>
                <w:szCs w:val="20"/>
              </w:rPr>
            </w:pPr>
            <w:r w:rsidRPr="009D3964">
              <w:rPr>
                <w:sz w:val="20"/>
                <w:szCs w:val="20"/>
              </w:rPr>
              <w:t>$23.0</w:t>
            </w:r>
          </w:p>
        </w:tc>
      </w:tr>
      <w:tr w:rsidR="00981470" w:rsidRPr="009D3964" w:rsidTr="00BE0E2B">
        <w:trPr>
          <w:trHeight w:val="255"/>
        </w:trPr>
        <w:tc>
          <w:tcPr>
            <w:tcW w:w="2565" w:type="dxa"/>
            <w:tcBorders>
              <w:top w:val="nil"/>
              <w:left w:val="nil"/>
              <w:bottom w:val="nil"/>
              <w:right w:val="nil"/>
            </w:tcBorders>
            <w:shd w:val="clear" w:color="auto" w:fill="auto"/>
            <w:noWrap/>
            <w:vAlign w:val="bottom"/>
          </w:tcPr>
          <w:p w:rsidR="00981470" w:rsidRPr="009D3964" w:rsidRDefault="00981470" w:rsidP="008D59EF">
            <w:pPr>
              <w:widowControl/>
              <w:autoSpaceDE/>
              <w:autoSpaceDN/>
              <w:adjustRightInd/>
              <w:ind w:firstLineChars="200" w:firstLine="400"/>
              <w:rPr>
                <w:sz w:val="20"/>
                <w:szCs w:val="20"/>
              </w:rPr>
            </w:pPr>
            <w:r w:rsidRPr="009D3964">
              <w:rPr>
                <w:sz w:val="20"/>
                <w:szCs w:val="20"/>
              </w:rPr>
              <w:t>Appeal Denied</w:t>
            </w:r>
          </w:p>
        </w:tc>
        <w:tc>
          <w:tcPr>
            <w:tcW w:w="705" w:type="dxa"/>
            <w:tcBorders>
              <w:top w:val="nil"/>
              <w:left w:val="nil"/>
              <w:bottom w:val="nil"/>
              <w:right w:val="nil"/>
            </w:tcBorders>
            <w:shd w:val="clear" w:color="auto" w:fill="auto"/>
            <w:noWrap/>
            <w:vAlign w:val="bottom"/>
          </w:tcPr>
          <w:p w:rsidR="00981470" w:rsidRPr="009D3964" w:rsidRDefault="00981470" w:rsidP="00CB6715">
            <w:pPr>
              <w:widowControl/>
              <w:autoSpaceDE/>
              <w:autoSpaceDN/>
              <w:adjustRightInd/>
              <w:jc w:val="center"/>
              <w:rPr>
                <w:sz w:val="20"/>
                <w:szCs w:val="20"/>
              </w:rPr>
            </w:pPr>
            <w:r w:rsidRPr="009D3964">
              <w:rPr>
                <w:sz w:val="20"/>
                <w:szCs w:val="20"/>
              </w:rPr>
              <w:t>88.1</w:t>
            </w:r>
          </w:p>
        </w:tc>
        <w:tc>
          <w:tcPr>
            <w:tcW w:w="1043" w:type="dxa"/>
            <w:tcBorders>
              <w:top w:val="nil"/>
              <w:left w:val="nil"/>
              <w:bottom w:val="nil"/>
              <w:right w:val="nil"/>
            </w:tcBorders>
            <w:shd w:val="clear" w:color="auto" w:fill="auto"/>
            <w:noWrap/>
            <w:vAlign w:val="bottom"/>
          </w:tcPr>
          <w:p w:rsidR="00981470" w:rsidRPr="009D3964" w:rsidRDefault="00981470" w:rsidP="00CB6715">
            <w:pPr>
              <w:widowControl/>
              <w:autoSpaceDE/>
              <w:autoSpaceDN/>
              <w:adjustRightInd/>
              <w:jc w:val="center"/>
              <w:rPr>
                <w:sz w:val="20"/>
                <w:szCs w:val="20"/>
              </w:rPr>
            </w:pPr>
            <w:r w:rsidRPr="009D3964">
              <w:rPr>
                <w:sz w:val="20"/>
                <w:szCs w:val="20"/>
              </w:rPr>
              <w:t>$17.5</w:t>
            </w:r>
          </w:p>
        </w:tc>
        <w:tc>
          <w:tcPr>
            <w:tcW w:w="960" w:type="dxa"/>
            <w:tcBorders>
              <w:top w:val="nil"/>
              <w:left w:val="nil"/>
              <w:bottom w:val="nil"/>
              <w:right w:val="nil"/>
            </w:tcBorders>
            <w:shd w:val="clear" w:color="auto" w:fill="auto"/>
            <w:noWrap/>
            <w:vAlign w:val="bottom"/>
          </w:tcPr>
          <w:p w:rsidR="00981470" w:rsidRPr="009D3964" w:rsidRDefault="00981470" w:rsidP="00CB6715">
            <w:pPr>
              <w:widowControl/>
              <w:autoSpaceDE/>
              <w:autoSpaceDN/>
              <w:adjustRightInd/>
              <w:jc w:val="center"/>
              <w:rPr>
                <w:sz w:val="20"/>
                <w:szCs w:val="20"/>
              </w:rPr>
            </w:pPr>
          </w:p>
        </w:tc>
        <w:tc>
          <w:tcPr>
            <w:tcW w:w="960" w:type="dxa"/>
            <w:tcBorders>
              <w:top w:val="nil"/>
              <w:left w:val="nil"/>
              <w:bottom w:val="nil"/>
              <w:right w:val="nil"/>
            </w:tcBorders>
            <w:shd w:val="clear" w:color="auto" w:fill="auto"/>
            <w:noWrap/>
            <w:vAlign w:val="bottom"/>
          </w:tcPr>
          <w:p w:rsidR="003E2EE2" w:rsidRDefault="00981470">
            <w:pPr>
              <w:widowControl/>
              <w:tabs>
                <w:tab w:val="center" w:pos="4320"/>
                <w:tab w:val="right" w:pos="8640"/>
              </w:tabs>
              <w:autoSpaceDE/>
              <w:autoSpaceDN/>
              <w:adjustRightInd/>
              <w:jc w:val="center"/>
              <w:rPr>
                <w:sz w:val="20"/>
                <w:szCs w:val="20"/>
              </w:rPr>
            </w:pPr>
            <w:r w:rsidRPr="009D3964">
              <w:rPr>
                <w:sz w:val="20"/>
                <w:szCs w:val="20"/>
              </w:rPr>
              <w:t>203.9</w:t>
            </w:r>
          </w:p>
        </w:tc>
        <w:tc>
          <w:tcPr>
            <w:tcW w:w="1060" w:type="dxa"/>
            <w:tcBorders>
              <w:top w:val="nil"/>
              <w:left w:val="nil"/>
              <w:bottom w:val="nil"/>
              <w:right w:val="nil"/>
            </w:tcBorders>
            <w:shd w:val="clear" w:color="auto" w:fill="auto"/>
            <w:noWrap/>
            <w:vAlign w:val="bottom"/>
          </w:tcPr>
          <w:p w:rsidR="003E2EE2" w:rsidRDefault="00981470">
            <w:pPr>
              <w:widowControl/>
              <w:tabs>
                <w:tab w:val="center" w:pos="4320"/>
                <w:tab w:val="right" w:pos="8640"/>
              </w:tabs>
              <w:autoSpaceDE/>
              <w:autoSpaceDN/>
              <w:adjustRightInd/>
              <w:jc w:val="center"/>
              <w:rPr>
                <w:sz w:val="20"/>
                <w:szCs w:val="20"/>
              </w:rPr>
            </w:pPr>
            <w:r w:rsidRPr="009D3964">
              <w:rPr>
                <w:sz w:val="20"/>
                <w:szCs w:val="20"/>
              </w:rPr>
              <w:t>$28.0</w:t>
            </w:r>
          </w:p>
        </w:tc>
        <w:tc>
          <w:tcPr>
            <w:tcW w:w="960" w:type="dxa"/>
            <w:tcBorders>
              <w:top w:val="nil"/>
              <w:left w:val="nil"/>
              <w:bottom w:val="nil"/>
              <w:right w:val="nil"/>
            </w:tcBorders>
            <w:shd w:val="clear" w:color="auto" w:fill="auto"/>
            <w:noWrap/>
            <w:vAlign w:val="bottom"/>
          </w:tcPr>
          <w:p w:rsidR="00981470" w:rsidRPr="009D3964" w:rsidRDefault="00981470" w:rsidP="00CB6715">
            <w:pPr>
              <w:widowControl/>
              <w:autoSpaceDE/>
              <w:autoSpaceDN/>
              <w:adjustRightInd/>
              <w:jc w:val="center"/>
              <w:rPr>
                <w:sz w:val="20"/>
                <w:szCs w:val="20"/>
              </w:rPr>
            </w:pPr>
          </w:p>
        </w:tc>
        <w:tc>
          <w:tcPr>
            <w:tcW w:w="960" w:type="dxa"/>
            <w:tcBorders>
              <w:top w:val="nil"/>
              <w:left w:val="nil"/>
              <w:bottom w:val="nil"/>
              <w:right w:val="nil"/>
            </w:tcBorders>
            <w:shd w:val="clear" w:color="auto" w:fill="auto"/>
            <w:noWrap/>
            <w:vAlign w:val="bottom"/>
          </w:tcPr>
          <w:p w:rsidR="00981470" w:rsidRPr="009D3964" w:rsidRDefault="00981470" w:rsidP="00CB6715">
            <w:pPr>
              <w:widowControl/>
              <w:autoSpaceDE/>
              <w:autoSpaceDN/>
              <w:adjustRightInd/>
              <w:jc w:val="center"/>
              <w:rPr>
                <w:sz w:val="20"/>
                <w:szCs w:val="20"/>
              </w:rPr>
            </w:pPr>
            <w:r w:rsidRPr="009D3964">
              <w:rPr>
                <w:sz w:val="20"/>
                <w:szCs w:val="20"/>
              </w:rPr>
              <w:t>250.5</w:t>
            </w:r>
          </w:p>
        </w:tc>
        <w:tc>
          <w:tcPr>
            <w:tcW w:w="1120" w:type="dxa"/>
            <w:tcBorders>
              <w:top w:val="nil"/>
              <w:left w:val="nil"/>
              <w:bottom w:val="nil"/>
              <w:right w:val="nil"/>
            </w:tcBorders>
            <w:shd w:val="clear" w:color="auto" w:fill="auto"/>
            <w:noWrap/>
            <w:vAlign w:val="bottom"/>
          </w:tcPr>
          <w:p w:rsidR="00981470" w:rsidRPr="009D3964" w:rsidRDefault="00981470" w:rsidP="00CB6715">
            <w:pPr>
              <w:widowControl/>
              <w:autoSpaceDE/>
              <w:autoSpaceDN/>
              <w:adjustRightInd/>
              <w:jc w:val="center"/>
              <w:rPr>
                <w:sz w:val="20"/>
                <w:szCs w:val="20"/>
              </w:rPr>
            </w:pPr>
            <w:r w:rsidRPr="009D3964">
              <w:rPr>
                <w:sz w:val="20"/>
                <w:szCs w:val="20"/>
              </w:rPr>
              <w:t>$34.4</w:t>
            </w:r>
          </w:p>
        </w:tc>
      </w:tr>
      <w:tr w:rsidR="00981470" w:rsidRPr="009D3964" w:rsidTr="00BE0E2B">
        <w:trPr>
          <w:trHeight w:val="255"/>
        </w:trPr>
        <w:tc>
          <w:tcPr>
            <w:tcW w:w="2565" w:type="dxa"/>
            <w:tcBorders>
              <w:top w:val="nil"/>
              <w:left w:val="nil"/>
              <w:bottom w:val="nil"/>
              <w:right w:val="nil"/>
            </w:tcBorders>
            <w:shd w:val="clear" w:color="auto" w:fill="auto"/>
            <w:noWrap/>
            <w:vAlign w:val="bottom"/>
          </w:tcPr>
          <w:p w:rsidR="00981470" w:rsidRPr="009D3964" w:rsidRDefault="00981470" w:rsidP="008D59EF">
            <w:pPr>
              <w:widowControl/>
              <w:autoSpaceDE/>
              <w:autoSpaceDN/>
              <w:adjustRightInd/>
              <w:ind w:firstLineChars="100" w:firstLine="200"/>
              <w:rPr>
                <w:sz w:val="20"/>
                <w:szCs w:val="20"/>
              </w:rPr>
            </w:pPr>
            <w:r w:rsidRPr="009D3964">
              <w:rPr>
                <w:sz w:val="20"/>
                <w:szCs w:val="20"/>
              </w:rPr>
              <w:t>Medical</w:t>
            </w:r>
          </w:p>
        </w:tc>
        <w:tc>
          <w:tcPr>
            <w:tcW w:w="705" w:type="dxa"/>
            <w:tcBorders>
              <w:top w:val="nil"/>
              <w:left w:val="nil"/>
              <w:bottom w:val="nil"/>
              <w:right w:val="nil"/>
            </w:tcBorders>
            <w:shd w:val="clear" w:color="auto" w:fill="auto"/>
            <w:noWrap/>
            <w:vAlign w:val="bottom"/>
          </w:tcPr>
          <w:p w:rsidR="00981470" w:rsidRPr="009D3964" w:rsidRDefault="00981470" w:rsidP="00CB6715">
            <w:pPr>
              <w:widowControl/>
              <w:autoSpaceDE/>
              <w:autoSpaceDN/>
              <w:adjustRightInd/>
              <w:jc w:val="center"/>
              <w:rPr>
                <w:sz w:val="20"/>
                <w:szCs w:val="20"/>
              </w:rPr>
            </w:pPr>
            <w:r w:rsidRPr="009D3964">
              <w:rPr>
                <w:sz w:val="20"/>
                <w:szCs w:val="20"/>
              </w:rPr>
              <w:t>70.1</w:t>
            </w:r>
          </w:p>
        </w:tc>
        <w:tc>
          <w:tcPr>
            <w:tcW w:w="1043" w:type="dxa"/>
            <w:tcBorders>
              <w:top w:val="nil"/>
              <w:left w:val="nil"/>
              <w:bottom w:val="nil"/>
              <w:right w:val="nil"/>
            </w:tcBorders>
            <w:shd w:val="clear" w:color="auto" w:fill="auto"/>
            <w:noWrap/>
            <w:vAlign w:val="bottom"/>
          </w:tcPr>
          <w:p w:rsidR="00981470" w:rsidRPr="009D3964" w:rsidRDefault="00981470" w:rsidP="00CB6715">
            <w:pPr>
              <w:widowControl/>
              <w:autoSpaceDE/>
              <w:autoSpaceDN/>
              <w:adjustRightInd/>
              <w:jc w:val="center"/>
              <w:rPr>
                <w:sz w:val="20"/>
                <w:szCs w:val="20"/>
              </w:rPr>
            </w:pPr>
            <w:r w:rsidRPr="009D3964">
              <w:rPr>
                <w:sz w:val="20"/>
                <w:szCs w:val="20"/>
              </w:rPr>
              <w:t>$8.4</w:t>
            </w:r>
          </w:p>
        </w:tc>
        <w:tc>
          <w:tcPr>
            <w:tcW w:w="960" w:type="dxa"/>
            <w:tcBorders>
              <w:top w:val="nil"/>
              <w:left w:val="nil"/>
              <w:bottom w:val="nil"/>
              <w:right w:val="nil"/>
            </w:tcBorders>
            <w:shd w:val="clear" w:color="auto" w:fill="auto"/>
            <w:noWrap/>
            <w:vAlign w:val="bottom"/>
          </w:tcPr>
          <w:p w:rsidR="00981470" w:rsidRPr="009D3964" w:rsidRDefault="00981470" w:rsidP="00CB6715">
            <w:pPr>
              <w:widowControl/>
              <w:autoSpaceDE/>
              <w:autoSpaceDN/>
              <w:adjustRightInd/>
              <w:jc w:val="center"/>
              <w:rPr>
                <w:sz w:val="20"/>
                <w:szCs w:val="20"/>
              </w:rPr>
            </w:pPr>
          </w:p>
        </w:tc>
        <w:tc>
          <w:tcPr>
            <w:tcW w:w="960" w:type="dxa"/>
            <w:tcBorders>
              <w:top w:val="nil"/>
              <w:left w:val="nil"/>
              <w:bottom w:val="nil"/>
              <w:right w:val="nil"/>
            </w:tcBorders>
            <w:shd w:val="clear" w:color="auto" w:fill="auto"/>
            <w:noWrap/>
            <w:vAlign w:val="bottom"/>
          </w:tcPr>
          <w:p w:rsidR="00981470" w:rsidRPr="009D3964" w:rsidRDefault="00981470" w:rsidP="00CB6715">
            <w:pPr>
              <w:widowControl/>
              <w:autoSpaceDE/>
              <w:autoSpaceDN/>
              <w:adjustRightInd/>
              <w:jc w:val="center"/>
              <w:rPr>
                <w:sz w:val="20"/>
                <w:szCs w:val="20"/>
              </w:rPr>
            </w:pPr>
            <w:r w:rsidRPr="009D3964">
              <w:rPr>
                <w:sz w:val="20"/>
                <w:szCs w:val="20"/>
              </w:rPr>
              <w:t>190.1</w:t>
            </w:r>
          </w:p>
        </w:tc>
        <w:tc>
          <w:tcPr>
            <w:tcW w:w="1060" w:type="dxa"/>
            <w:tcBorders>
              <w:top w:val="nil"/>
              <w:left w:val="nil"/>
              <w:bottom w:val="nil"/>
              <w:right w:val="nil"/>
            </w:tcBorders>
            <w:shd w:val="clear" w:color="auto" w:fill="auto"/>
            <w:noWrap/>
            <w:vAlign w:val="bottom"/>
          </w:tcPr>
          <w:p w:rsidR="00981470" w:rsidRPr="009D3964" w:rsidRDefault="00981470" w:rsidP="00CB6715">
            <w:pPr>
              <w:widowControl/>
              <w:autoSpaceDE/>
              <w:autoSpaceDN/>
              <w:adjustRightInd/>
              <w:jc w:val="center"/>
              <w:rPr>
                <w:sz w:val="20"/>
                <w:szCs w:val="20"/>
              </w:rPr>
            </w:pPr>
            <w:r w:rsidRPr="009D3964">
              <w:rPr>
                <w:sz w:val="20"/>
                <w:szCs w:val="20"/>
              </w:rPr>
              <w:t>$13.5</w:t>
            </w:r>
          </w:p>
        </w:tc>
        <w:tc>
          <w:tcPr>
            <w:tcW w:w="960" w:type="dxa"/>
            <w:tcBorders>
              <w:top w:val="nil"/>
              <w:left w:val="nil"/>
              <w:bottom w:val="nil"/>
              <w:right w:val="nil"/>
            </w:tcBorders>
            <w:shd w:val="clear" w:color="auto" w:fill="auto"/>
            <w:noWrap/>
            <w:vAlign w:val="bottom"/>
          </w:tcPr>
          <w:p w:rsidR="00981470" w:rsidRPr="009D3964" w:rsidRDefault="00981470" w:rsidP="00CB6715">
            <w:pPr>
              <w:widowControl/>
              <w:autoSpaceDE/>
              <w:autoSpaceDN/>
              <w:adjustRightInd/>
              <w:jc w:val="center"/>
              <w:rPr>
                <w:sz w:val="20"/>
                <w:szCs w:val="20"/>
              </w:rPr>
            </w:pPr>
          </w:p>
        </w:tc>
        <w:tc>
          <w:tcPr>
            <w:tcW w:w="960" w:type="dxa"/>
            <w:tcBorders>
              <w:top w:val="nil"/>
              <w:left w:val="nil"/>
              <w:bottom w:val="nil"/>
              <w:right w:val="nil"/>
            </w:tcBorders>
            <w:shd w:val="clear" w:color="auto" w:fill="auto"/>
            <w:noWrap/>
            <w:vAlign w:val="bottom"/>
          </w:tcPr>
          <w:p w:rsidR="00981470" w:rsidRPr="009D3964" w:rsidRDefault="00981470" w:rsidP="00CB6715">
            <w:pPr>
              <w:widowControl/>
              <w:autoSpaceDE/>
              <w:autoSpaceDN/>
              <w:adjustRightInd/>
              <w:jc w:val="center"/>
              <w:rPr>
                <w:sz w:val="20"/>
                <w:szCs w:val="20"/>
              </w:rPr>
            </w:pPr>
            <w:r w:rsidRPr="009D3964">
              <w:rPr>
                <w:sz w:val="20"/>
                <w:szCs w:val="20"/>
              </w:rPr>
              <w:t>233.5</w:t>
            </w:r>
          </w:p>
        </w:tc>
        <w:tc>
          <w:tcPr>
            <w:tcW w:w="1120" w:type="dxa"/>
            <w:tcBorders>
              <w:top w:val="nil"/>
              <w:left w:val="nil"/>
              <w:bottom w:val="nil"/>
              <w:right w:val="nil"/>
            </w:tcBorders>
            <w:shd w:val="clear" w:color="auto" w:fill="auto"/>
            <w:noWrap/>
            <w:vAlign w:val="bottom"/>
          </w:tcPr>
          <w:p w:rsidR="00981470" w:rsidRPr="009D3964" w:rsidRDefault="00981470" w:rsidP="00CB6715">
            <w:pPr>
              <w:widowControl/>
              <w:autoSpaceDE/>
              <w:autoSpaceDN/>
              <w:adjustRightInd/>
              <w:jc w:val="center"/>
              <w:rPr>
                <w:sz w:val="20"/>
                <w:szCs w:val="20"/>
              </w:rPr>
            </w:pPr>
            <w:r w:rsidRPr="009D3964">
              <w:rPr>
                <w:sz w:val="20"/>
                <w:szCs w:val="20"/>
              </w:rPr>
              <w:t>$16.6</w:t>
            </w:r>
          </w:p>
        </w:tc>
      </w:tr>
      <w:tr w:rsidR="00981470" w:rsidRPr="009D3964" w:rsidTr="00BE0E2B">
        <w:trPr>
          <w:trHeight w:val="255"/>
        </w:trPr>
        <w:tc>
          <w:tcPr>
            <w:tcW w:w="2565" w:type="dxa"/>
            <w:tcBorders>
              <w:top w:val="nil"/>
              <w:left w:val="nil"/>
              <w:bottom w:val="nil"/>
              <w:right w:val="nil"/>
            </w:tcBorders>
            <w:shd w:val="clear" w:color="auto" w:fill="auto"/>
            <w:noWrap/>
            <w:vAlign w:val="bottom"/>
          </w:tcPr>
          <w:p w:rsidR="00981470" w:rsidRPr="009D3964" w:rsidRDefault="00981470" w:rsidP="008D59EF">
            <w:pPr>
              <w:widowControl/>
              <w:autoSpaceDE/>
              <w:autoSpaceDN/>
              <w:adjustRightInd/>
              <w:ind w:firstLineChars="200" w:firstLine="400"/>
              <w:rPr>
                <w:sz w:val="20"/>
                <w:szCs w:val="20"/>
              </w:rPr>
            </w:pPr>
            <w:r w:rsidRPr="009D3964">
              <w:rPr>
                <w:sz w:val="20"/>
                <w:szCs w:val="20"/>
              </w:rPr>
              <w:t>Claim Approved</w:t>
            </w:r>
          </w:p>
        </w:tc>
        <w:tc>
          <w:tcPr>
            <w:tcW w:w="705" w:type="dxa"/>
            <w:tcBorders>
              <w:top w:val="nil"/>
              <w:left w:val="nil"/>
              <w:bottom w:val="nil"/>
              <w:right w:val="nil"/>
            </w:tcBorders>
            <w:shd w:val="clear" w:color="auto" w:fill="auto"/>
            <w:noWrap/>
            <w:vAlign w:val="bottom"/>
          </w:tcPr>
          <w:p w:rsidR="00981470" w:rsidRPr="009D3964" w:rsidRDefault="00981470" w:rsidP="00CB6715">
            <w:pPr>
              <w:widowControl/>
              <w:autoSpaceDE/>
              <w:autoSpaceDN/>
              <w:adjustRightInd/>
              <w:jc w:val="center"/>
              <w:rPr>
                <w:sz w:val="20"/>
                <w:szCs w:val="20"/>
              </w:rPr>
            </w:pPr>
            <w:r w:rsidRPr="009D3964">
              <w:rPr>
                <w:sz w:val="20"/>
                <w:szCs w:val="20"/>
              </w:rPr>
              <w:t>28.1</w:t>
            </w:r>
          </w:p>
        </w:tc>
        <w:tc>
          <w:tcPr>
            <w:tcW w:w="1043" w:type="dxa"/>
            <w:tcBorders>
              <w:top w:val="nil"/>
              <w:left w:val="nil"/>
              <w:bottom w:val="nil"/>
              <w:right w:val="nil"/>
            </w:tcBorders>
            <w:shd w:val="clear" w:color="auto" w:fill="auto"/>
            <w:noWrap/>
            <w:vAlign w:val="bottom"/>
          </w:tcPr>
          <w:p w:rsidR="003E2EE2" w:rsidRDefault="00981470">
            <w:pPr>
              <w:widowControl/>
              <w:tabs>
                <w:tab w:val="center" w:pos="4320"/>
                <w:tab w:val="right" w:pos="8640"/>
              </w:tabs>
              <w:autoSpaceDE/>
              <w:autoSpaceDN/>
              <w:adjustRightInd/>
              <w:jc w:val="center"/>
              <w:rPr>
                <w:sz w:val="20"/>
                <w:szCs w:val="20"/>
              </w:rPr>
            </w:pPr>
            <w:r w:rsidRPr="009D3964">
              <w:rPr>
                <w:sz w:val="20"/>
                <w:szCs w:val="20"/>
              </w:rPr>
              <w:t>$3.4</w:t>
            </w:r>
          </w:p>
        </w:tc>
        <w:tc>
          <w:tcPr>
            <w:tcW w:w="960" w:type="dxa"/>
            <w:tcBorders>
              <w:top w:val="nil"/>
              <w:left w:val="nil"/>
              <w:bottom w:val="nil"/>
              <w:right w:val="nil"/>
            </w:tcBorders>
            <w:shd w:val="clear" w:color="auto" w:fill="auto"/>
            <w:noWrap/>
            <w:vAlign w:val="bottom"/>
          </w:tcPr>
          <w:p w:rsidR="00981470" w:rsidRPr="009D3964" w:rsidRDefault="00981470" w:rsidP="00CB6715">
            <w:pPr>
              <w:widowControl/>
              <w:autoSpaceDE/>
              <w:autoSpaceDN/>
              <w:adjustRightInd/>
              <w:jc w:val="center"/>
              <w:rPr>
                <w:sz w:val="20"/>
                <w:szCs w:val="20"/>
              </w:rPr>
            </w:pPr>
          </w:p>
        </w:tc>
        <w:tc>
          <w:tcPr>
            <w:tcW w:w="960" w:type="dxa"/>
            <w:tcBorders>
              <w:top w:val="nil"/>
              <w:left w:val="nil"/>
              <w:bottom w:val="nil"/>
              <w:right w:val="nil"/>
            </w:tcBorders>
            <w:shd w:val="clear" w:color="auto" w:fill="auto"/>
            <w:noWrap/>
            <w:vAlign w:val="bottom"/>
          </w:tcPr>
          <w:p w:rsidR="00981470" w:rsidRPr="009D3964" w:rsidRDefault="00981470" w:rsidP="00CB6715">
            <w:pPr>
              <w:widowControl/>
              <w:autoSpaceDE/>
              <w:autoSpaceDN/>
              <w:adjustRightInd/>
              <w:jc w:val="center"/>
              <w:rPr>
                <w:sz w:val="20"/>
                <w:szCs w:val="20"/>
              </w:rPr>
            </w:pPr>
            <w:r w:rsidRPr="009D3964">
              <w:rPr>
                <w:sz w:val="20"/>
                <w:szCs w:val="20"/>
              </w:rPr>
              <w:t>60.0</w:t>
            </w:r>
          </w:p>
        </w:tc>
        <w:tc>
          <w:tcPr>
            <w:tcW w:w="1060" w:type="dxa"/>
            <w:tcBorders>
              <w:top w:val="nil"/>
              <w:left w:val="nil"/>
              <w:bottom w:val="nil"/>
              <w:right w:val="nil"/>
            </w:tcBorders>
            <w:shd w:val="clear" w:color="auto" w:fill="auto"/>
            <w:noWrap/>
            <w:vAlign w:val="bottom"/>
          </w:tcPr>
          <w:p w:rsidR="00981470" w:rsidRPr="009D3964" w:rsidRDefault="00981470" w:rsidP="00CB6715">
            <w:pPr>
              <w:widowControl/>
              <w:autoSpaceDE/>
              <w:autoSpaceDN/>
              <w:adjustRightInd/>
              <w:jc w:val="center"/>
              <w:rPr>
                <w:sz w:val="20"/>
                <w:szCs w:val="20"/>
              </w:rPr>
            </w:pPr>
            <w:r w:rsidRPr="009D3964">
              <w:rPr>
                <w:sz w:val="20"/>
                <w:szCs w:val="20"/>
              </w:rPr>
              <w:t>$5.4</w:t>
            </w:r>
          </w:p>
        </w:tc>
        <w:tc>
          <w:tcPr>
            <w:tcW w:w="960" w:type="dxa"/>
            <w:tcBorders>
              <w:top w:val="nil"/>
              <w:left w:val="nil"/>
              <w:bottom w:val="nil"/>
              <w:right w:val="nil"/>
            </w:tcBorders>
            <w:shd w:val="clear" w:color="auto" w:fill="auto"/>
            <w:noWrap/>
            <w:vAlign w:val="bottom"/>
          </w:tcPr>
          <w:p w:rsidR="00981470" w:rsidRPr="009D3964" w:rsidRDefault="00981470" w:rsidP="00CB6715">
            <w:pPr>
              <w:widowControl/>
              <w:autoSpaceDE/>
              <w:autoSpaceDN/>
              <w:adjustRightInd/>
              <w:jc w:val="center"/>
              <w:rPr>
                <w:sz w:val="20"/>
                <w:szCs w:val="20"/>
              </w:rPr>
            </w:pPr>
          </w:p>
        </w:tc>
        <w:tc>
          <w:tcPr>
            <w:tcW w:w="960" w:type="dxa"/>
            <w:tcBorders>
              <w:top w:val="nil"/>
              <w:left w:val="nil"/>
              <w:bottom w:val="nil"/>
              <w:right w:val="nil"/>
            </w:tcBorders>
            <w:shd w:val="clear" w:color="auto" w:fill="auto"/>
            <w:noWrap/>
            <w:vAlign w:val="bottom"/>
          </w:tcPr>
          <w:p w:rsidR="00981470" w:rsidRPr="009D3964" w:rsidRDefault="00981470" w:rsidP="00CB6715">
            <w:pPr>
              <w:widowControl/>
              <w:autoSpaceDE/>
              <w:autoSpaceDN/>
              <w:adjustRightInd/>
              <w:jc w:val="center"/>
              <w:rPr>
                <w:sz w:val="20"/>
                <w:szCs w:val="20"/>
              </w:rPr>
            </w:pPr>
            <w:r w:rsidRPr="009D3964">
              <w:rPr>
                <w:sz w:val="20"/>
                <w:szCs w:val="20"/>
              </w:rPr>
              <w:t>73.7</w:t>
            </w:r>
          </w:p>
        </w:tc>
        <w:tc>
          <w:tcPr>
            <w:tcW w:w="1120" w:type="dxa"/>
            <w:tcBorders>
              <w:top w:val="nil"/>
              <w:left w:val="nil"/>
              <w:bottom w:val="nil"/>
              <w:right w:val="nil"/>
            </w:tcBorders>
            <w:shd w:val="clear" w:color="auto" w:fill="auto"/>
            <w:noWrap/>
            <w:vAlign w:val="bottom"/>
          </w:tcPr>
          <w:p w:rsidR="00981470" w:rsidRPr="009D3964" w:rsidRDefault="00981470" w:rsidP="00CB6715">
            <w:pPr>
              <w:widowControl/>
              <w:autoSpaceDE/>
              <w:autoSpaceDN/>
              <w:adjustRightInd/>
              <w:jc w:val="center"/>
              <w:rPr>
                <w:sz w:val="20"/>
                <w:szCs w:val="20"/>
              </w:rPr>
            </w:pPr>
            <w:r w:rsidRPr="009D3964">
              <w:rPr>
                <w:sz w:val="20"/>
                <w:szCs w:val="20"/>
              </w:rPr>
              <w:t>$6.6</w:t>
            </w:r>
          </w:p>
        </w:tc>
      </w:tr>
      <w:tr w:rsidR="00981470" w:rsidRPr="009D3964" w:rsidTr="00BE0E2B">
        <w:trPr>
          <w:trHeight w:val="255"/>
        </w:trPr>
        <w:tc>
          <w:tcPr>
            <w:tcW w:w="2565" w:type="dxa"/>
            <w:tcBorders>
              <w:top w:val="nil"/>
              <w:left w:val="nil"/>
              <w:bottom w:val="nil"/>
              <w:right w:val="nil"/>
            </w:tcBorders>
            <w:shd w:val="clear" w:color="auto" w:fill="auto"/>
            <w:noWrap/>
            <w:vAlign w:val="bottom"/>
          </w:tcPr>
          <w:p w:rsidR="00981470" w:rsidRPr="009D3964" w:rsidRDefault="00981470" w:rsidP="008D59EF">
            <w:pPr>
              <w:widowControl/>
              <w:autoSpaceDE/>
              <w:autoSpaceDN/>
              <w:adjustRightInd/>
              <w:ind w:firstLineChars="200" w:firstLine="400"/>
              <w:rPr>
                <w:sz w:val="20"/>
                <w:szCs w:val="20"/>
              </w:rPr>
            </w:pPr>
            <w:r w:rsidRPr="009D3964">
              <w:rPr>
                <w:sz w:val="20"/>
                <w:szCs w:val="20"/>
              </w:rPr>
              <w:t>Claim Denied</w:t>
            </w:r>
          </w:p>
        </w:tc>
        <w:tc>
          <w:tcPr>
            <w:tcW w:w="705" w:type="dxa"/>
            <w:tcBorders>
              <w:top w:val="nil"/>
              <w:left w:val="nil"/>
              <w:bottom w:val="nil"/>
              <w:right w:val="nil"/>
            </w:tcBorders>
            <w:shd w:val="clear" w:color="auto" w:fill="auto"/>
            <w:noWrap/>
            <w:vAlign w:val="bottom"/>
          </w:tcPr>
          <w:p w:rsidR="00981470" w:rsidRPr="009D3964" w:rsidRDefault="00981470" w:rsidP="00CB6715">
            <w:pPr>
              <w:widowControl/>
              <w:autoSpaceDE/>
              <w:autoSpaceDN/>
              <w:adjustRightInd/>
              <w:jc w:val="center"/>
              <w:rPr>
                <w:sz w:val="20"/>
                <w:szCs w:val="20"/>
              </w:rPr>
            </w:pPr>
            <w:r w:rsidRPr="009D3964">
              <w:rPr>
                <w:sz w:val="20"/>
                <w:szCs w:val="20"/>
              </w:rPr>
              <w:t>42.1</w:t>
            </w:r>
          </w:p>
        </w:tc>
        <w:tc>
          <w:tcPr>
            <w:tcW w:w="1043" w:type="dxa"/>
            <w:tcBorders>
              <w:top w:val="nil"/>
              <w:left w:val="nil"/>
              <w:bottom w:val="nil"/>
              <w:right w:val="nil"/>
            </w:tcBorders>
            <w:shd w:val="clear" w:color="auto" w:fill="auto"/>
            <w:noWrap/>
            <w:vAlign w:val="bottom"/>
          </w:tcPr>
          <w:p w:rsidR="00981470" w:rsidRPr="009D3964" w:rsidRDefault="00981470" w:rsidP="00CB6715">
            <w:pPr>
              <w:widowControl/>
              <w:autoSpaceDE/>
              <w:autoSpaceDN/>
              <w:adjustRightInd/>
              <w:jc w:val="center"/>
              <w:rPr>
                <w:sz w:val="20"/>
                <w:szCs w:val="20"/>
              </w:rPr>
            </w:pPr>
            <w:r w:rsidRPr="009D3964">
              <w:rPr>
                <w:sz w:val="20"/>
                <w:szCs w:val="20"/>
              </w:rPr>
              <w:t>$5.0</w:t>
            </w:r>
          </w:p>
        </w:tc>
        <w:tc>
          <w:tcPr>
            <w:tcW w:w="960" w:type="dxa"/>
            <w:tcBorders>
              <w:top w:val="nil"/>
              <w:left w:val="nil"/>
              <w:bottom w:val="nil"/>
              <w:right w:val="nil"/>
            </w:tcBorders>
            <w:shd w:val="clear" w:color="auto" w:fill="auto"/>
            <w:noWrap/>
            <w:vAlign w:val="bottom"/>
          </w:tcPr>
          <w:p w:rsidR="00981470" w:rsidRPr="009D3964" w:rsidRDefault="00981470" w:rsidP="00CB6715">
            <w:pPr>
              <w:widowControl/>
              <w:autoSpaceDE/>
              <w:autoSpaceDN/>
              <w:adjustRightInd/>
              <w:jc w:val="center"/>
              <w:rPr>
                <w:sz w:val="20"/>
                <w:szCs w:val="20"/>
              </w:rPr>
            </w:pPr>
          </w:p>
        </w:tc>
        <w:tc>
          <w:tcPr>
            <w:tcW w:w="960" w:type="dxa"/>
            <w:tcBorders>
              <w:top w:val="nil"/>
              <w:left w:val="nil"/>
              <w:bottom w:val="nil"/>
              <w:right w:val="nil"/>
            </w:tcBorders>
            <w:shd w:val="clear" w:color="auto" w:fill="auto"/>
            <w:noWrap/>
            <w:vAlign w:val="bottom"/>
          </w:tcPr>
          <w:p w:rsidR="00981470" w:rsidRPr="009D3964" w:rsidRDefault="00981470" w:rsidP="00CB6715">
            <w:pPr>
              <w:widowControl/>
              <w:autoSpaceDE/>
              <w:autoSpaceDN/>
              <w:adjustRightInd/>
              <w:jc w:val="center"/>
              <w:rPr>
                <w:sz w:val="20"/>
                <w:szCs w:val="20"/>
              </w:rPr>
            </w:pPr>
            <w:r w:rsidRPr="009D3964">
              <w:rPr>
                <w:sz w:val="20"/>
                <w:szCs w:val="20"/>
              </w:rPr>
              <w:t>130.1</w:t>
            </w:r>
          </w:p>
        </w:tc>
        <w:tc>
          <w:tcPr>
            <w:tcW w:w="1060" w:type="dxa"/>
            <w:tcBorders>
              <w:top w:val="nil"/>
              <w:left w:val="nil"/>
              <w:bottom w:val="nil"/>
              <w:right w:val="nil"/>
            </w:tcBorders>
            <w:shd w:val="clear" w:color="auto" w:fill="auto"/>
            <w:noWrap/>
            <w:vAlign w:val="bottom"/>
          </w:tcPr>
          <w:p w:rsidR="00981470" w:rsidRPr="009D3964" w:rsidRDefault="00981470" w:rsidP="00CB6715">
            <w:pPr>
              <w:widowControl/>
              <w:autoSpaceDE/>
              <w:autoSpaceDN/>
              <w:adjustRightInd/>
              <w:jc w:val="center"/>
              <w:rPr>
                <w:sz w:val="20"/>
                <w:szCs w:val="20"/>
              </w:rPr>
            </w:pPr>
            <w:r w:rsidRPr="009D3964">
              <w:rPr>
                <w:sz w:val="20"/>
                <w:szCs w:val="20"/>
              </w:rPr>
              <w:t>$8.1</w:t>
            </w:r>
          </w:p>
        </w:tc>
        <w:tc>
          <w:tcPr>
            <w:tcW w:w="960" w:type="dxa"/>
            <w:tcBorders>
              <w:top w:val="nil"/>
              <w:left w:val="nil"/>
              <w:bottom w:val="nil"/>
              <w:right w:val="nil"/>
            </w:tcBorders>
            <w:shd w:val="clear" w:color="auto" w:fill="auto"/>
            <w:noWrap/>
            <w:vAlign w:val="bottom"/>
          </w:tcPr>
          <w:p w:rsidR="00981470" w:rsidRPr="009D3964" w:rsidRDefault="00981470" w:rsidP="00CB6715">
            <w:pPr>
              <w:widowControl/>
              <w:autoSpaceDE/>
              <w:autoSpaceDN/>
              <w:adjustRightInd/>
              <w:jc w:val="center"/>
              <w:rPr>
                <w:sz w:val="20"/>
                <w:szCs w:val="20"/>
              </w:rPr>
            </w:pPr>
          </w:p>
        </w:tc>
        <w:tc>
          <w:tcPr>
            <w:tcW w:w="960" w:type="dxa"/>
            <w:tcBorders>
              <w:top w:val="nil"/>
              <w:left w:val="nil"/>
              <w:bottom w:val="nil"/>
              <w:right w:val="nil"/>
            </w:tcBorders>
            <w:shd w:val="clear" w:color="auto" w:fill="auto"/>
            <w:noWrap/>
            <w:vAlign w:val="bottom"/>
          </w:tcPr>
          <w:p w:rsidR="00981470" w:rsidRPr="009D3964" w:rsidRDefault="00981470" w:rsidP="00CB6715">
            <w:pPr>
              <w:widowControl/>
              <w:autoSpaceDE/>
              <w:autoSpaceDN/>
              <w:adjustRightInd/>
              <w:jc w:val="center"/>
              <w:rPr>
                <w:sz w:val="20"/>
                <w:szCs w:val="20"/>
              </w:rPr>
            </w:pPr>
            <w:r w:rsidRPr="009D3964">
              <w:rPr>
                <w:sz w:val="20"/>
                <w:szCs w:val="20"/>
              </w:rPr>
              <w:t>159.8</w:t>
            </w:r>
          </w:p>
        </w:tc>
        <w:tc>
          <w:tcPr>
            <w:tcW w:w="1120" w:type="dxa"/>
            <w:tcBorders>
              <w:top w:val="nil"/>
              <w:left w:val="nil"/>
              <w:bottom w:val="nil"/>
              <w:right w:val="nil"/>
            </w:tcBorders>
            <w:shd w:val="clear" w:color="auto" w:fill="auto"/>
            <w:noWrap/>
            <w:vAlign w:val="bottom"/>
          </w:tcPr>
          <w:p w:rsidR="00981470" w:rsidRPr="009D3964" w:rsidRDefault="00981470" w:rsidP="00CB6715">
            <w:pPr>
              <w:widowControl/>
              <w:autoSpaceDE/>
              <w:autoSpaceDN/>
              <w:adjustRightInd/>
              <w:jc w:val="center"/>
              <w:rPr>
                <w:sz w:val="20"/>
                <w:szCs w:val="20"/>
              </w:rPr>
            </w:pPr>
            <w:r w:rsidRPr="009D3964">
              <w:rPr>
                <w:sz w:val="20"/>
                <w:szCs w:val="20"/>
              </w:rPr>
              <w:t>$10.0</w:t>
            </w:r>
          </w:p>
        </w:tc>
      </w:tr>
      <w:tr w:rsidR="00981470" w:rsidRPr="009D3964" w:rsidTr="00BE0E2B">
        <w:trPr>
          <w:trHeight w:val="255"/>
        </w:trPr>
        <w:tc>
          <w:tcPr>
            <w:tcW w:w="2565" w:type="dxa"/>
            <w:tcBorders>
              <w:top w:val="nil"/>
              <w:left w:val="nil"/>
              <w:bottom w:val="nil"/>
              <w:right w:val="nil"/>
            </w:tcBorders>
            <w:shd w:val="clear" w:color="auto" w:fill="auto"/>
            <w:noWrap/>
            <w:vAlign w:val="bottom"/>
          </w:tcPr>
          <w:p w:rsidR="00981470" w:rsidRPr="009D3964" w:rsidRDefault="00981470" w:rsidP="008D59EF">
            <w:pPr>
              <w:widowControl/>
              <w:autoSpaceDE/>
              <w:autoSpaceDN/>
              <w:adjustRightInd/>
              <w:ind w:firstLineChars="100" w:firstLine="200"/>
              <w:rPr>
                <w:sz w:val="20"/>
                <w:szCs w:val="20"/>
              </w:rPr>
            </w:pPr>
            <w:r w:rsidRPr="009D3964">
              <w:rPr>
                <w:sz w:val="20"/>
                <w:szCs w:val="20"/>
              </w:rPr>
              <w:t>Administrative</w:t>
            </w:r>
          </w:p>
        </w:tc>
        <w:tc>
          <w:tcPr>
            <w:tcW w:w="705" w:type="dxa"/>
            <w:tcBorders>
              <w:top w:val="nil"/>
              <w:left w:val="nil"/>
              <w:bottom w:val="nil"/>
              <w:right w:val="nil"/>
            </w:tcBorders>
            <w:shd w:val="clear" w:color="auto" w:fill="auto"/>
            <w:noWrap/>
            <w:vAlign w:val="bottom"/>
          </w:tcPr>
          <w:p w:rsidR="00981470" w:rsidRPr="009D3964" w:rsidRDefault="00981470" w:rsidP="00CB6715">
            <w:pPr>
              <w:widowControl/>
              <w:autoSpaceDE/>
              <w:autoSpaceDN/>
              <w:adjustRightInd/>
              <w:jc w:val="center"/>
              <w:rPr>
                <w:sz w:val="20"/>
                <w:szCs w:val="20"/>
              </w:rPr>
            </w:pPr>
            <w:r w:rsidRPr="009D3964">
              <w:rPr>
                <w:sz w:val="20"/>
                <w:szCs w:val="20"/>
              </w:rPr>
              <w:t>46.5</w:t>
            </w:r>
          </w:p>
        </w:tc>
        <w:tc>
          <w:tcPr>
            <w:tcW w:w="1043" w:type="dxa"/>
            <w:tcBorders>
              <w:top w:val="nil"/>
              <w:left w:val="nil"/>
              <w:bottom w:val="nil"/>
              <w:right w:val="nil"/>
            </w:tcBorders>
            <w:shd w:val="clear" w:color="auto" w:fill="auto"/>
            <w:noWrap/>
            <w:vAlign w:val="bottom"/>
          </w:tcPr>
          <w:p w:rsidR="00981470" w:rsidRPr="009D3964" w:rsidRDefault="00981470" w:rsidP="00CB6715">
            <w:pPr>
              <w:widowControl/>
              <w:autoSpaceDE/>
              <w:autoSpaceDN/>
              <w:adjustRightInd/>
              <w:jc w:val="center"/>
              <w:rPr>
                <w:sz w:val="20"/>
                <w:szCs w:val="20"/>
              </w:rPr>
            </w:pPr>
            <w:r w:rsidRPr="009D3964">
              <w:rPr>
                <w:sz w:val="20"/>
                <w:szCs w:val="20"/>
              </w:rPr>
              <w:t>$20.7</w:t>
            </w:r>
          </w:p>
        </w:tc>
        <w:tc>
          <w:tcPr>
            <w:tcW w:w="960" w:type="dxa"/>
            <w:tcBorders>
              <w:top w:val="nil"/>
              <w:left w:val="nil"/>
              <w:bottom w:val="nil"/>
              <w:right w:val="nil"/>
            </w:tcBorders>
            <w:shd w:val="clear" w:color="auto" w:fill="auto"/>
            <w:noWrap/>
            <w:vAlign w:val="bottom"/>
          </w:tcPr>
          <w:p w:rsidR="00981470" w:rsidRPr="009D3964" w:rsidRDefault="00981470" w:rsidP="00CB6715">
            <w:pPr>
              <w:widowControl/>
              <w:autoSpaceDE/>
              <w:autoSpaceDN/>
              <w:adjustRightInd/>
              <w:jc w:val="center"/>
              <w:rPr>
                <w:sz w:val="20"/>
                <w:szCs w:val="20"/>
              </w:rPr>
            </w:pPr>
          </w:p>
        </w:tc>
        <w:tc>
          <w:tcPr>
            <w:tcW w:w="960" w:type="dxa"/>
            <w:tcBorders>
              <w:top w:val="nil"/>
              <w:left w:val="nil"/>
              <w:bottom w:val="nil"/>
              <w:right w:val="nil"/>
            </w:tcBorders>
            <w:shd w:val="clear" w:color="auto" w:fill="auto"/>
            <w:noWrap/>
            <w:vAlign w:val="bottom"/>
          </w:tcPr>
          <w:p w:rsidR="00981470" w:rsidRPr="009D3964" w:rsidRDefault="00981470" w:rsidP="00CB6715">
            <w:pPr>
              <w:widowControl/>
              <w:autoSpaceDE/>
              <w:autoSpaceDN/>
              <w:adjustRightInd/>
              <w:jc w:val="center"/>
              <w:rPr>
                <w:sz w:val="20"/>
                <w:szCs w:val="20"/>
              </w:rPr>
            </w:pPr>
            <w:r w:rsidRPr="009D3964">
              <w:rPr>
                <w:sz w:val="20"/>
                <w:szCs w:val="20"/>
              </w:rPr>
              <w:t>74.7</w:t>
            </w:r>
          </w:p>
        </w:tc>
        <w:tc>
          <w:tcPr>
            <w:tcW w:w="1060" w:type="dxa"/>
            <w:tcBorders>
              <w:top w:val="nil"/>
              <w:left w:val="nil"/>
              <w:bottom w:val="nil"/>
              <w:right w:val="nil"/>
            </w:tcBorders>
            <w:shd w:val="clear" w:color="auto" w:fill="auto"/>
            <w:noWrap/>
            <w:vAlign w:val="bottom"/>
          </w:tcPr>
          <w:p w:rsidR="00981470" w:rsidRPr="009D3964" w:rsidRDefault="00981470" w:rsidP="00CB6715">
            <w:pPr>
              <w:widowControl/>
              <w:autoSpaceDE/>
              <w:autoSpaceDN/>
              <w:adjustRightInd/>
              <w:jc w:val="center"/>
              <w:rPr>
                <w:sz w:val="20"/>
                <w:szCs w:val="20"/>
              </w:rPr>
            </w:pPr>
            <w:r w:rsidRPr="009D3964">
              <w:rPr>
                <w:sz w:val="20"/>
                <w:szCs w:val="20"/>
              </w:rPr>
              <w:t>$33.2</w:t>
            </w:r>
          </w:p>
        </w:tc>
        <w:tc>
          <w:tcPr>
            <w:tcW w:w="960" w:type="dxa"/>
            <w:tcBorders>
              <w:top w:val="nil"/>
              <w:left w:val="nil"/>
              <w:bottom w:val="nil"/>
              <w:right w:val="nil"/>
            </w:tcBorders>
            <w:shd w:val="clear" w:color="auto" w:fill="auto"/>
            <w:noWrap/>
            <w:vAlign w:val="bottom"/>
          </w:tcPr>
          <w:p w:rsidR="00981470" w:rsidRPr="009D3964" w:rsidRDefault="00981470" w:rsidP="00CB6715">
            <w:pPr>
              <w:widowControl/>
              <w:autoSpaceDE/>
              <w:autoSpaceDN/>
              <w:adjustRightInd/>
              <w:jc w:val="center"/>
              <w:rPr>
                <w:sz w:val="20"/>
                <w:szCs w:val="20"/>
              </w:rPr>
            </w:pPr>
          </w:p>
        </w:tc>
        <w:tc>
          <w:tcPr>
            <w:tcW w:w="960" w:type="dxa"/>
            <w:tcBorders>
              <w:top w:val="nil"/>
              <w:left w:val="nil"/>
              <w:bottom w:val="nil"/>
              <w:right w:val="nil"/>
            </w:tcBorders>
            <w:shd w:val="clear" w:color="auto" w:fill="auto"/>
            <w:noWrap/>
            <w:vAlign w:val="bottom"/>
          </w:tcPr>
          <w:p w:rsidR="00981470" w:rsidRPr="009D3964" w:rsidRDefault="00981470" w:rsidP="00CB6715">
            <w:pPr>
              <w:widowControl/>
              <w:autoSpaceDE/>
              <w:autoSpaceDN/>
              <w:adjustRightInd/>
              <w:jc w:val="center"/>
              <w:rPr>
                <w:sz w:val="20"/>
                <w:szCs w:val="20"/>
              </w:rPr>
            </w:pPr>
            <w:r w:rsidRPr="009D3964">
              <w:rPr>
                <w:sz w:val="20"/>
                <w:szCs w:val="20"/>
              </w:rPr>
              <w:t>91.7</w:t>
            </w:r>
          </w:p>
        </w:tc>
        <w:tc>
          <w:tcPr>
            <w:tcW w:w="1120" w:type="dxa"/>
            <w:tcBorders>
              <w:top w:val="nil"/>
              <w:left w:val="nil"/>
              <w:bottom w:val="nil"/>
              <w:right w:val="nil"/>
            </w:tcBorders>
            <w:shd w:val="clear" w:color="auto" w:fill="auto"/>
            <w:noWrap/>
            <w:vAlign w:val="bottom"/>
          </w:tcPr>
          <w:p w:rsidR="00981470" w:rsidRPr="009D3964" w:rsidRDefault="00981470" w:rsidP="00CB6715">
            <w:pPr>
              <w:widowControl/>
              <w:autoSpaceDE/>
              <w:autoSpaceDN/>
              <w:adjustRightInd/>
              <w:jc w:val="center"/>
              <w:rPr>
                <w:sz w:val="20"/>
                <w:szCs w:val="20"/>
              </w:rPr>
            </w:pPr>
            <w:r w:rsidRPr="009D3964">
              <w:rPr>
                <w:sz w:val="20"/>
                <w:szCs w:val="20"/>
              </w:rPr>
              <w:t>$40.8</w:t>
            </w:r>
          </w:p>
        </w:tc>
      </w:tr>
      <w:tr w:rsidR="00981470" w:rsidRPr="009D3964" w:rsidTr="00BE0E2B">
        <w:trPr>
          <w:trHeight w:val="255"/>
        </w:trPr>
        <w:tc>
          <w:tcPr>
            <w:tcW w:w="2565" w:type="dxa"/>
            <w:tcBorders>
              <w:top w:val="nil"/>
              <w:left w:val="nil"/>
              <w:bottom w:val="nil"/>
              <w:right w:val="nil"/>
            </w:tcBorders>
            <w:shd w:val="clear" w:color="auto" w:fill="auto"/>
            <w:noWrap/>
            <w:vAlign w:val="bottom"/>
          </w:tcPr>
          <w:p w:rsidR="00981470" w:rsidRPr="009D3964" w:rsidRDefault="00981470" w:rsidP="008D59EF">
            <w:pPr>
              <w:widowControl/>
              <w:autoSpaceDE/>
              <w:autoSpaceDN/>
              <w:adjustRightInd/>
              <w:ind w:firstLineChars="200" w:firstLine="400"/>
              <w:rPr>
                <w:sz w:val="20"/>
                <w:szCs w:val="20"/>
              </w:rPr>
            </w:pPr>
            <w:r w:rsidRPr="009D3964">
              <w:rPr>
                <w:sz w:val="20"/>
                <w:szCs w:val="20"/>
              </w:rPr>
              <w:t>Claim Approved</w:t>
            </w:r>
          </w:p>
        </w:tc>
        <w:tc>
          <w:tcPr>
            <w:tcW w:w="705" w:type="dxa"/>
            <w:tcBorders>
              <w:top w:val="nil"/>
              <w:left w:val="nil"/>
              <w:bottom w:val="nil"/>
              <w:right w:val="nil"/>
            </w:tcBorders>
            <w:shd w:val="clear" w:color="auto" w:fill="auto"/>
            <w:noWrap/>
            <w:vAlign w:val="bottom"/>
          </w:tcPr>
          <w:p w:rsidR="00981470" w:rsidRPr="009D3964" w:rsidRDefault="00981470" w:rsidP="00CB6715">
            <w:pPr>
              <w:widowControl/>
              <w:autoSpaceDE/>
              <w:autoSpaceDN/>
              <w:adjustRightInd/>
              <w:jc w:val="center"/>
              <w:rPr>
                <w:sz w:val="20"/>
                <w:szCs w:val="20"/>
              </w:rPr>
            </w:pPr>
            <w:r w:rsidRPr="009D3964">
              <w:rPr>
                <w:sz w:val="20"/>
                <w:szCs w:val="20"/>
              </w:rPr>
              <w:t>0.5</w:t>
            </w:r>
          </w:p>
        </w:tc>
        <w:tc>
          <w:tcPr>
            <w:tcW w:w="1043" w:type="dxa"/>
            <w:tcBorders>
              <w:top w:val="nil"/>
              <w:left w:val="nil"/>
              <w:bottom w:val="nil"/>
              <w:right w:val="nil"/>
            </w:tcBorders>
            <w:shd w:val="clear" w:color="auto" w:fill="auto"/>
            <w:noWrap/>
            <w:vAlign w:val="bottom"/>
          </w:tcPr>
          <w:p w:rsidR="00981470" w:rsidRPr="009D3964" w:rsidRDefault="00981470" w:rsidP="00CB6715">
            <w:pPr>
              <w:widowControl/>
              <w:autoSpaceDE/>
              <w:autoSpaceDN/>
              <w:adjustRightInd/>
              <w:jc w:val="center"/>
              <w:rPr>
                <w:sz w:val="20"/>
                <w:szCs w:val="20"/>
              </w:rPr>
            </w:pPr>
            <w:r w:rsidRPr="009D3964">
              <w:rPr>
                <w:sz w:val="20"/>
                <w:szCs w:val="20"/>
              </w:rPr>
              <w:t>$8.3</w:t>
            </w:r>
          </w:p>
        </w:tc>
        <w:tc>
          <w:tcPr>
            <w:tcW w:w="960" w:type="dxa"/>
            <w:tcBorders>
              <w:top w:val="nil"/>
              <w:left w:val="nil"/>
              <w:bottom w:val="nil"/>
              <w:right w:val="nil"/>
            </w:tcBorders>
            <w:shd w:val="clear" w:color="auto" w:fill="auto"/>
            <w:noWrap/>
            <w:vAlign w:val="bottom"/>
          </w:tcPr>
          <w:p w:rsidR="00981470" w:rsidRPr="009D3964" w:rsidRDefault="00981470" w:rsidP="00CB6715">
            <w:pPr>
              <w:widowControl/>
              <w:autoSpaceDE/>
              <w:autoSpaceDN/>
              <w:adjustRightInd/>
              <w:jc w:val="center"/>
              <w:rPr>
                <w:sz w:val="20"/>
                <w:szCs w:val="20"/>
              </w:rPr>
            </w:pPr>
          </w:p>
        </w:tc>
        <w:tc>
          <w:tcPr>
            <w:tcW w:w="960" w:type="dxa"/>
            <w:tcBorders>
              <w:top w:val="nil"/>
              <w:left w:val="nil"/>
              <w:bottom w:val="nil"/>
              <w:right w:val="nil"/>
            </w:tcBorders>
            <w:shd w:val="clear" w:color="auto" w:fill="auto"/>
            <w:noWrap/>
            <w:vAlign w:val="bottom"/>
          </w:tcPr>
          <w:p w:rsidR="00981470" w:rsidRPr="009D3964" w:rsidRDefault="00981470" w:rsidP="00CB6715">
            <w:pPr>
              <w:widowControl/>
              <w:autoSpaceDE/>
              <w:autoSpaceDN/>
              <w:adjustRightInd/>
              <w:jc w:val="center"/>
              <w:rPr>
                <w:sz w:val="20"/>
                <w:szCs w:val="20"/>
              </w:rPr>
            </w:pPr>
            <w:r w:rsidRPr="009D3964">
              <w:rPr>
                <w:sz w:val="20"/>
                <w:szCs w:val="20"/>
              </w:rPr>
              <w:t>0.8</w:t>
            </w:r>
          </w:p>
        </w:tc>
        <w:tc>
          <w:tcPr>
            <w:tcW w:w="1060" w:type="dxa"/>
            <w:tcBorders>
              <w:top w:val="nil"/>
              <w:left w:val="nil"/>
              <w:bottom w:val="nil"/>
              <w:right w:val="nil"/>
            </w:tcBorders>
            <w:shd w:val="clear" w:color="auto" w:fill="auto"/>
            <w:noWrap/>
            <w:vAlign w:val="bottom"/>
          </w:tcPr>
          <w:p w:rsidR="00981470" w:rsidRPr="009D3964" w:rsidRDefault="00981470" w:rsidP="00CB6715">
            <w:pPr>
              <w:widowControl/>
              <w:autoSpaceDE/>
              <w:autoSpaceDN/>
              <w:adjustRightInd/>
              <w:jc w:val="center"/>
              <w:rPr>
                <w:sz w:val="20"/>
                <w:szCs w:val="20"/>
              </w:rPr>
            </w:pPr>
            <w:r w:rsidRPr="009D3964">
              <w:rPr>
                <w:sz w:val="20"/>
                <w:szCs w:val="20"/>
              </w:rPr>
              <w:t>$13.3</w:t>
            </w:r>
          </w:p>
        </w:tc>
        <w:tc>
          <w:tcPr>
            <w:tcW w:w="960" w:type="dxa"/>
            <w:tcBorders>
              <w:top w:val="nil"/>
              <w:left w:val="nil"/>
              <w:bottom w:val="nil"/>
              <w:right w:val="nil"/>
            </w:tcBorders>
            <w:shd w:val="clear" w:color="auto" w:fill="auto"/>
            <w:noWrap/>
            <w:vAlign w:val="bottom"/>
          </w:tcPr>
          <w:p w:rsidR="00981470" w:rsidRPr="009D3964" w:rsidRDefault="00981470" w:rsidP="00CB6715">
            <w:pPr>
              <w:widowControl/>
              <w:autoSpaceDE/>
              <w:autoSpaceDN/>
              <w:adjustRightInd/>
              <w:jc w:val="center"/>
              <w:rPr>
                <w:sz w:val="20"/>
                <w:szCs w:val="20"/>
              </w:rPr>
            </w:pPr>
          </w:p>
        </w:tc>
        <w:tc>
          <w:tcPr>
            <w:tcW w:w="960" w:type="dxa"/>
            <w:tcBorders>
              <w:top w:val="nil"/>
              <w:left w:val="nil"/>
              <w:bottom w:val="nil"/>
              <w:right w:val="nil"/>
            </w:tcBorders>
            <w:shd w:val="clear" w:color="auto" w:fill="auto"/>
            <w:noWrap/>
            <w:vAlign w:val="bottom"/>
          </w:tcPr>
          <w:p w:rsidR="00981470" w:rsidRPr="009D3964" w:rsidRDefault="00981470" w:rsidP="00CB6715">
            <w:pPr>
              <w:widowControl/>
              <w:autoSpaceDE/>
              <w:autoSpaceDN/>
              <w:adjustRightInd/>
              <w:jc w:val="center"/>
              <w:rPr>
                <w:sz w:val="20"/>
                <w:szCs w:val="20"/>
              </w:rPr>
            </w:pPr>
            <w:r w:rsidRPr="009D3964">
              <w:rPr>
                <w:sz w:val="20"/>
                <w:szCs w:val="20"/>
              </w:rPr>
              <w:t>1.0</w:t>
            </w:r>
          </w:p>
        </w:tc>
        <w:tc>
          <w:tcPr>
            <w:tcW w:w="1120" w:type="dxa"/>
            <w:tcBorders>
              <w:top w:val="nil"/>
              <w:left w:val="nil"/>
              <w:bottom w:val="nil"/>
              <w:right w:val="nil"/>
            </w:tcBorders>
            <w:shd w:val="clear" w:color="auto" w:fill="auto"/>
            <w:noWrap/>
            <w:vAlign w:val="bottom"/>
          </w:tcPr>
          <w:p w:rsidR="00981470" w:rsidRPr="009D3964" w:rsidRDefault="00981470" w:rsidP="00CB6715">
            <w:pPr>
              <w:widowControl/>
              <w:autoSpaceDE/>
              <w:autoSpaceDN/>
              <w:adjustRightInd/>
              <w:jc w:val="center"/>
              <w:rPr>
                <w:sz w:val="20"/>
                <w:szCs w:val="20"/>
              </w:rPr>
            </w:pPr>
            <w:r w:rsidRPr="009D3964">
              <w:rPr>
                <w:sz w:val="20"/>
                <w:szCs w:val="20"/>
              </w:rPr>
              <w:t>$16.3</w:t>
            </w:r>
          </w:p>
        </w:tc>
      </w:tr>
      <w:tr w:rsidR="00981470" w:rsidRPr="009D3964" w:rsidTr="00BE0E2B">
        <w:trPr>
          <w:trHeight w:val="255"/>
        </w:trPr>
        <w:tc>
          <w:tcPr>
            <w:tcW w:w="2565" w:type="dxa"/>
            <w:tcBorders>
              <w:top w:val="nil"/>
              <w:left w:val="nil"/>
              <w:bottom w:val="nil"/>
              <w:right w:val="nil"/>
            </w:tcBorders>
            <w:shd w:val="clear" w:color="auto" w:fill="auto"/>
            <w:noWrap/>
            <w:vAlign w:val="bottom"/>
          </w:tcPr>
          <w:p w:rsidR="00981470" w:rsidRPr="009D3964" w:rsidRDefault="00981470" w:rsidP="008D59EF">
            <w:pPr>
              <w:widowControl/>
              <w:autoSpaceDE/>
              <w:autoSpaceDN/>
              <w:adjustRightInd/>
              <w:ind w:firstLineChars="200" w:firstLine="400"/>
              <w:rPr>
                <w:sz w:val="20"/>
                <w:szCs w:val="20"/>
              </w:rPr>
            </w:pPr>
            <w:r w:rsidRPr="009D3964">
              <w:rPr>
                <w:sz w:val="20"/>
                <w:szCs w:val="20"/>
              </w:rPr>
              <w:t>Claim Denied</w:t>
            </w:r>
          </w:p>
        </w:tc>
        <w:tc>
          <w:tcPr>
            <w:tcW w:w="705" w:type="dxa"/>
            <w:tcBorders>
              <w:top w:val="nil"/>
              <w:left w:val="nil"/>
              <w:bottom w:val="nil"/>
              <w:right w:val="nil"/>
            </w:tcBorders>
            <w:shd w:val="clear" w:color="auto" w:fill="auto"/>
            <w:noWrap/>
            <w:vAlign w:val="bottom"/>
          </w:tcPr>
          <w:p w:rsidR="00981470" w:rsidRPr="009D3964" w:rsidRDefault="00981470" w:rsidP="00CB6715">
            <w:pPr>
              <w:widowControl/>
              <w:autoSpaceDE/>
              <w:autoSpaceDN/>
              <w:adjustRightInd/>
              <w:jc w:val="center"/>
              <w:rPr>
                <w:sz w:val="20"/>
                <w:szCs w:val="20"/>
              </w:rPr>
            </w:pPr>
            <w:r w:rsidRPr="009D3964">
              <w:rPr>
                <w:sz w:val="20"/>
                <w:szCs w:val="20"/>
              </w:rPr>
              <w:t>46.0</w:t>
            </w:r>
          </w:p>
        </w:tc>
        <w:tc>
          <w:tcPr>
            <w:tcW w:w="1043" w:type="dxa"/>
            <w:tcBorders>
              <w:top w:val="nil"/>
              <w:left w:val="nil"/>
              <w:bottom w:val="nil"/>
              <w:right w:val="nil"/>
            </w:tcBorders>
            <w:shd w:val="clear" w:color="auto" w:fill="auto"/>
            <w:noWrap/>
            <w:vAlign w:val="bottom"/>
          </w:tcPr>
          <w:p w:rsidR="00981470" w:rsidRPr="009D3964" w:rsidRDefault="00981470" w:rsidP="00CB6715">
            <w:pPr>
              <w:widowControl/>
              <w:autoSpaceDE/>
              <w:autoSpaceDN/>
              <w:adjustRightInd/>
              <w:jc w:val="center"/>
              <w:rPr>
                <w:sz w:val="20"/>
                <w:szCs w:val="20"/>
              </w:rPr>
            </w:pPr>
            <w:r w:rsidRPr="009D3964">
              <w:rPr>
                <w:sz w:val="20"/>
                <w:szCs w:val="20"/>
              </w:rPr>
              <w:t>$12.4</w:t>
            </w:r>
          </w:p>
        </w:tc>
        <w:tc>
          <w:tcPr>
            <w:tcW w:w="960" w:type="dxa"/>
            <w:tcBorders>
              <w:top w:val="nil"/>
              <w:left w:val="nil"/>
              <w:bottom w:val="nil"/>
              <w:right w:val="nil"/>
            </w:tcBorders>
            <w:shd w:val="clear" w:color="auto" w:fill="auto"/>
            <w:noWrap/>
            <w:vAlign w:val="bottom"/>
          </w:tcPr>
          <w:p w:rsidR="00981470" w:rsidRPr="009D3964" w:rsidRDefault="00981470" w:rsidP="00CB6715">
            <w:pPr>
              <w:widowControl/>
              <w:autoSpaceDE/>
              <w:autoSpaceDN/>
              <w:adjustRightInd/>
              <w:jc w:val="center"/>
              <w:rPr>
                <w:sz w:val="20"/>
                <w:szCs w:val="20"/>
              </w:rPr>
            </w:pPr>
          </w:p>
        </w:tc>
        <w:tc>
          <w:tcPr>
            <w:tcW w:w="960" w:type="dxa"/>
            <w:tcBorders>
              <w:top w:val="nil"/>
              <w:left w:val="nil"/>
              <w:bottom w:val="nil"/>
              <w:right w:val="nil"/>
            </w:tcBorders>
            <w:shd w:val="clear" w:color="auto" w:fill="auto"/>
            <w:noWrap/>
            <w:vAlign w:val="bottom"/>
          </w:tcPr>
          <w:p w:rsidR="00981470" w:rsidRPr="009D3964" w:rsidRDefault="00981470" w:rsidP="00CB6715">
            <w:pPr>
              <w:widowControl/>
              <w:autoSpaceDE/>
              <w:autoSpaceDN/>
              <w:adjustRightInd/>
              <w:jc w:val="center"/>
              <w:rPr>
                <w:sz w:val="20"/>
                <w:szCs w:val="20"/>
              </w:rPr>
            </w:pPr>
            <w:r w:rsidRPr="009D3964">
              <w:rPr>
                <w:sz w:val="20"/>
                <w:szCs w:val="20"/>
              </w:rPr>
              <w:t>73.8</w:t>
            </w:r>
          </w:p>
        </w:tc>
        <w:tc>
          <w:tcPr>
            <w:tcW w:w="1060" w:type="dxa"/>
            <w:tcBorders>
              <w:top w:val="nil"/>
              <w:left w:val="nil"/>
              <w:bottom w:val="nil"/>
              <w:right w:val="nil"/>
            </w:tcBorders>
            <w:shd w:val="clear" w:color="auto" w:fill="auto"/>
            <w:noWrap/>
            <w:vAlign w:val="bottom"/>
          </w:tcPr>
          <w:p w:rsidR="00981470" w:rsidRPr="009D3964" w:rsidRDefault="00981470" w:rsidP="00CB6715">
            <w:pPr>
              <w:widowControl/>
              <w:autoSpaceDE/>
              <w:autoSpaceDN/>
              <w:adjustRightInd/>
              <w:jc w:val="center"/>
              <w:rPr>
                <w:sz w:val="20"/>
                <w:szCs w:val="20"/>
              </w:rPr>
            </w:pPr>
            <w:r w:rsidRPr="009D3964">
              <w:rPr>
                <w:sz w:val="20"/>
                <w:szCs w:val="20"/>
              </w:rPr>
              <w:t>$19.9</w:t>
            </w:r>
          </w:p>
        </w:tc>
        <w:tc>
          <w:tcPr>
            <w:tcW w:w="960" w:type="dxa"/>
            <w:tcBorders>
              <w:top w:val="nil"/>
              <w:left w:val="nil"/>
              <w:bottom w:val="nil"/>
              <w:right w:val="nil"/>
            </w:tcBorders>
            <w:shd w:val="clear" w:color="auto" w:fill="auto"/>
            <w:noWrap/>
            <w:vAlign w:val="bottom"/>
          </w:tcPr>
          <w:p w:rsidR="00981470" w:rsidRPr="009D3964" w:rsidRDefault="00981470" w:rsidP="00CB6715">
            <w:pPr>
              <w:widowControl/>
              <w:autoSpaceDE/>
              <w:autoSpaceDN/>
              <w:adjustRightInd/>
              <w:jc w:val="center"/>
              <w:rPr>
                <w:sz w:val="20"/>
                <w:szCs w:val="20"/>
              </w:rPr>
            </w:pPr>
          </w:p>
        </w:tc>
        <w:tc>
          <w:tcPr>
            <w:tcW w:w="960" w:type="dxa"/>
            <w:tcBorders>
              <w:top w:val="nil"/>
              <w:left w:val="nil"/>
              <w:bottom w:val="nil"/>
              <w:right w:val="nil"/>
            </w:tcBorders>
            <w:shd w:val="clear" w:color="auto" w:fill="auto"/>
            <w:noWrap/>
            <w:vAlign w:val="bottom"/>
          </w:tcPr>
          <w:p w:rsidR="00981470" w:rsidRPr="009D3964" w:rsidRDefault="00981470" w:rsidP="00CB6715">
            <w:pPr>
              <w:widowControl/>
              <w:autoSpaceDE/>
              <w:autoSpaceDN/>
              <w:adjustRightInd/>
              <w:jc w:val="center"/>
              <w:rPr>
                <w:sz w:val="20"/>
                <w:szCs w:val="20"/>
              </w:rPr>
            </w:pPr>
            <w:r w:rsidRPr="009D3964">
              <w:rPr>
                <w:sz w:val="20"/>
                <w:szCs w:val="20"/>
              </w:rPr>
              <w:t>90.7</w:t>
            </w:r>
          </w:p>
        </w:tc>
        <w:tc>
          <w:tcPr>
            <w:tcW w:w="1120" w:type="dxa"/>
            <w:tcBorders>
              <w:top w:val="nil"/>
              <w:left w:val="nil"/>
              <w:bottom w:val="nil"/>
              <w:right w:val="nil"/>
            </w:tcBorders>
            <w:shd w:val="clear" w:color="auto" w:fill="auto"/>
            <w:noWrap/>
            <w:vAlign w:val="bottom"/>
          </w:tcPr>
          <w:p w:rsidR="00981470" w:rsidRPr="009D3964" w:rsidRDefault="00981470" w:rsidP="00CB6715">
            <w:pPr>
              <w:widowControl/>
              <w:autoSpaceDE/>
              <w:autoSpaceDN/>
              <w:adjustRightInd/>
              <w:jc w:val="center"/>
              <w:rPr>
                <w:sz w:val="20"/>
                <w:szCs w:val="20"/>
              </w:rPr>
            </w:pPr>
            <w:r w:rsidRPr="009D3964">
              <w:rPr>
                <w:sz w:val="20"/>
                <w:szCs w:val="20"/>
              </w:rPr>
              <w:t>$24.5</w:t>
            </w:r>
          </w:p>
        </w:tc>
      </w:tr>
      <w:tr w:rsidR="00981470" w:rsidRPr="009D3964" w:rsidTr="00BE0E2B">
        <w:trPr>
          <w:trHeight w:val="255"/>
        </w:trPr>
        <w:tc>
          <w:tcPr>
            <w:tcW w:w="2565" w:type="dxa"/>
            <w:tcBorders>
              <w:top w:val="nil"/>
              <w:left w:val="nil"/>
              <w:bottom w:val="nil"/>
              <w:right w:val="nil"/>
            </w:tcBorders>
            <w:shd w:val="clear" w:color="auto" w:fill="auto"/>
            <w:noWrap/>
            <w:vAlign w:val="bottom"/>
          </w:tcPr>
          <w:p w:rsidR="00981470" w:rsidRPr="009D3964" w:rsidRDefault="00981470" w:rsidP="00CB6715">
            <w:pPr>
              <w:widowControl/>
              <w:autoSpaceDE/>
              <w:autoSpaceDN/>
              <w:adjustRightInd/>
              <w:rPr>
                <w:sz w:val="20"/>
                <w:szCs w:val="20"/>
              </w:rPr>
            </w:pPr>
            <w:r w:rsidRPr="009D3964">
              <w:rPr>
                <w:sz w:val="20"/>
                <w:szCs w:val="20"/>
              </w:rPr>
              <w:t>Fair and Full Review</w:t>
            </w:r>
          </w:p>
        </w:tc>
        <w:tc>
          <w:tcPr>
            <w:tcW w:w="705" w:type="dxa"/>
            <w:tcBorders>
              <w:top w:val="nil"/>
              <w:left w:val="nil"/>
              <w:bottom w:val="nil"/>
              <w:right w:val="nil"/>
            </w:tcBorders>
            <w:shd w:val="clear" w:color="auto" w:fill="auto"/>
            <w:noWrap/>
            <w:vAlign w:val="bottom"/>
          </w:tcPr>
          <w:p w:rsidR="00981470" w:rsidRPr="009D3964" w:rsidRDefault="00981470" w:rsidP="00CB6715">
            <w:pPr>
              <w:widowControl/>
              <w:autoSpaceDE/>
              <w:autoSpaceDN/>
              <w:adjustRightInd/>
              <w:jc w:val="center"/>
              <w:rPr>
                <w:sz w:val="20"/>
                <w:szCs w:val="20"/>
              </w:rPr>
            </w:pPr>
            <w:r w:rsidRPr="009D3964">
              <w:rPr>
                <w:sz w:val="20"/>
                <w:szCs w:val="20"/>
              </w:rPr>
              <w:t>3.1</w:t>
            </w:r>
          </w:p>
        </w:tc>
        <w:tc>
          <w:tcPr>
            <w:tcW w:w="1043" w:type="dxa"/>
            <w:tcBorders>
              <w:top w:val="nil"/>
              <w:left w:val="nil"/>
              <w:bottom w:val="nil"/>
              <w:right w:val="nil"/>
            </w:tcBorders>
            <w:shd w:val="clear" w:color="auto" w:fill="auto"/>
            <w:noWrap/>
            <w:vAlign w:val="bottom"/>
          </w:tcPr>
          <w:p w:rsidR="00981470" w:rsidRPr="009D3964" w:rsidRDefault="00981470" w:rsidP="00CB6715">
            <w:pPr>
              <w:widowControl/>
              <w:autoSpaceDE/>
              <w:autoSpaceDN/>
              <w:adjustRightInd/>
              <w:jc w:val="center"/>
              <w:rPr>
                <w:sz w:val="20"/>
                <w:szCs w:val="20"/>
              </w:rPr>
            </w:pPr>
            <w:r w:rsidRPr="009D3964">
              <w:rPr>
                <w:sz w:val="20"/>
                <w:szCs w:val="20"/>
              </w:rPr>
              <w:t>$16.1</w:t>
            </w:r>
          </w:p>
        </w:tc>
        <w:tc>
          <w:tcPr>
            <w:tcW w:w="960" w:type="dxa"/>
            <w:tcBorders>
              <w:top w:val="nil"/>
              <w:left w:val="nil"/>
              <w:bottom w:val="nil"/>
              <w:right w:val="nil"/>
            </w:tcBorders>
            <w:shd w:val="clear" w:color="auto" w:fill="auto"/>
            <w:noWrap/>
            <w:vAlign w:val="bottom"/>
          </w:tcPr>
          <w:p w:rsidR="00981470" w:rsidRPr="009D3964" w:rsidRDefault="00981470" w:rsidP="00CB6715">
            <w:pPr>
              <w:widowControl/>
              <w:autoSpaceDE/>
              <w:autoSpaceDN/>
              <w:adjustRightInd/>
              <w:jc w:val="center"/>
              <w:rPr>
                <w:sz w:val="20"/>
                <w:szCs w:val="20"/>
              </w:rPr>
            </w:pPr>
          </w:p>
        </w:tc>
        <w:tc>
          <w:tcPr>
            <w:tcW w:w="960" w:type="dxa"/>
            <w:tcBorders>
              <w:top w:val="nil"/>
              <w:left w:val="nil"/>
              <w:bottom w:val="nil"/>
              <w:right w:val="nil"/>
            </w:tcBorders>
            <w:shd w:val="clear" w:color="auto" w:fill="auto"/>
            <w:noWrap/>
            <w:vAlign w:val="bottom"/>
          </w:tcPr>
          <w:p w:rsidR="00981470" w:rsidRPr="009D3964" w:rsidRDefault="00981470" w:rsidP="00CB6715">
            <w:pPr>
              <w:widowControl/>
              <w:autoSpaceDE/>
              <w:autoSpaceDN/>
              <w:adjustRightInd/>
              <w:jc w:val="center"/>
              <w:rPr>
                <w:sz w:val="20"/>
                <w:szCs w:val="20"/>
              </w:rPr>
            </w:pPr>
            <w:r w:rsidRPr="009D3964">
              <w:rPr>
                <w:sz w:val="20"/>
                <w:szCs w:val="20"/>
              </w:rPr>
              <w:t>5.0</w:t>
            </w:r>
          </w:p>
        </w:tc>
        <w:tc>
          <w:tcPr>
            <w:tcW w:w="1060" w:type="dxa"/>
            <w:tcBorders>
              <w:top w:val="nil"/>
              <w:left w:val="nil"/>
              <w:bottom w:val="nil"/>
              <w:right w:val="nil"/>
            </w:tcBorders>
            <w:shd w:val="clear" w:color="auto" w:fill="auto"/>
            <w:noWrap/>
            <w:vAlign w:val="bottom"/>
          </w:tcPr>
          <w:p w:rsidR="00981470" w:rsidRPr="009D3964" w:rsidRDefault="00981470" w:rsidP="00CB6715">
            <w:pPr>
              <w:widowControl/>
              <w:autoSpaceDE/>
              <w:autoSpaceDN/>
              <w:adjustRightInd/>
              <w:jc w:val="center"/>
              <w:rPr>
                <w:sz w:val="20"/>
                <w:szCs w:val="20"/>
              </w:rPr>
            </w:pPr>
            <w:r w:rsidRPr="009D3964">
              <w:rPr>
                <w:sz w:val="20"/>
                <w:szCs w:val="20"/>
              </w:rPr>
              <w:t>$25.9</w:t>
            </w:r>
          </w:p>
        </w:tc>
        <w:tc>
          <w:tcPr>
            <w:tcW w:w="960" w:type="dxa"/>
            <w:tcBorders>
              <w:top w:val="nil"/>
              <w:left w:val="nil"/>
              <w:bottom w:val="nil"/>
              <w:right w:val="nil"/>
            </w:tcBorders>
            <w:shd w:val="clear" w:color="auto" w:fill="auto"/>
            <w:noWrap/>
            <w:vAlign w:val="bottom"/>
          </w:tcPr>
          <w:p w:rsidR="00981470" w:rsidRPr="009D3964" w:rsidRDefault="00981470" w:rsidP="00CB6715">
            <w:pPr>
              <w:widowControl/>
              <w:autoSpaceDE/>
              <w:autoSpaceDN/>
              <w:adjustRightInd/>
              <w:jc w:val="center"/>
              <w:rPr>
                <w:sz w:val="20"/>
                <w:szCs w:val="20"/>
              </w:rPr>
            </w:pPr>
          </w:p>
        </w:tc>
        <w:tc>
          <w:tcPr>
            <w:tcW w:w="960" w:type="dxa"/>
            <w:tcBorders>
              <w:top w:val="nil"/>
              <w:left w:val="nil"/>
              <w:bottom w:val="nil"/>
              <w:right w:val="nil"/>
            </w:tcBorders>
            <w:shd w:val="clear" w:color="auto" w:fill="auto"/>
            <w:noWrap/>
            <w:vAlign w:val="bottom"/>
          </w:tcPr>
          <w:p w:rsidR="00981470" w:rsidRPr="009D3964" w:rsidRDefault="00981470" w:rsidP="00CB6715">
            <w:pPr>
              <w:widowControl/>
              <w:autoSpaceDE/>
              <w:autoSpaceDN/>
              <w:adjustRightInd/>
              <w:jc w:val="center"/>
              <w:rPr>
                <w:sz w:val="20"/>
                <w:szCs w:val="20"/>
              </w:rPr>
            </w:pPr>
            <w:r w:rsidRPr="009D3964">
              <w:rPr>
                <w:sz w:val="20"/>
                <w:szCs w:val="20"/>
              </w:rPr>
              <w:t>0.2</w:t>
            </w:r>
          </w:p>
        </w:tc>
        <w:tc>
          <w:tcPr>
            <w:tcW w:w="1120" w:type="dxa"/>
            <w:tcBorders>
              <w:top w:val="nil"/>
              <w:left w:val="nil"/>
              <w:bottom w:val="nil"/>
              <w:right w:val="nil"/>
            </w:tcBorders>
            <w:shd w:val="clear" w:color="auto" w:fill="auto"/>
            <w:noWrap/>
            <w:vAlign w:val="bottom"/>
          </w:tcPr>
          <w:p w:rsidR="00981470" w:rsidRPr="009D3964" w:rsidRDefault="00981470" w:rsidP="00CB6715">
            <w:pPr>
              <w:widowControl/>
              <w:autoSpaceDE/>
              <w:autoSpaceDN/>
              <w:adjustRightInd/>
              <w:jc w:val="center"/>
              <w:rPr>
                <w:sz w:val="20"/>
                <w:szCs w:val="20"/>
              </w:rPr>
            </w:pPr>
            <w:r w:rsidRPr="009D3964">
              <w:rPr>
                <w:sz w:val="20"/>
                <w:szCs w:val="20"/>
              </w:rPr>
              <w:t>$0.8</w:t>
            </w:r>
          </w:p>
        </w:tc>
      </w:tr>
      <w:tr w:rsidR="00981470" w:rsidRPr="009D3964" w:rsidTr="00BE0E2B">
        <w:trPr>
          <w:trHeight w:val="585"/>
        </w:trPr>
        <w:tc>
          <w:tcPr>
            <w:tcW w:w="2565" w:type="dxa"/>
            <w:tcBorders>
              <w:top w:val="nil"/>
              <w:left w:val="nil"/>
              <w:bottom w:val="nil"/>
              <w:right w:val="nil"/>
            </w:tcBorders>
            <w:shd w:val="clear" w:color="auto" w:fill="auto"/>
            <w:vAlign w:val="bottom"/>
          </w:tcPr>
          <w:p w:rsidR="00981470" w:rsidRPr="009D3964" w:rsidRDefault="00981470" w:rsidP="00CB6715">
            <w:pPr>
              <w:widowControl/>
              <w:autoSpaceDE/>
              <w:autoSpaceDN/>
              <w:adjustRightInd/>
              <w:rPr>
                <w:sz w:val="20"/>
                <w:szCs w:val="20"/>
              </w:rPr>
            </w:pPr>
            <w:r w:rsidRPr="009D3964">
              <w:rPr>
                <w:sz w:val="20"/>
                <w:szCs w:val="20"/>
              </w:rPr>
              <w:t>External Review</w:t>
            </w:r>
          </w:p>
        </w:tc>
        <w:tc>
          <w:tcPr>
            <w:tcW w:w="705" w:type="dxa"/>
            <w:tcBorders>
              <w:top w:val="nil"/>
              <w:left w:val="nil"/>
              <w:bottom w:val="nil"/>
              <w:right w:val="nil"/>
            </w:tcBorders>
            <w:shd w:val="clear" w:color="auto" w:fill="auto"/>
            <w:noWrap/>
            <w:vAlign w:val="bottom"/>
          </w:tcPr>
          <w:p w:rsidR="00981470" w:rsidRPr="009D3964" w:rsidRDefault="00E16547" w:rsidP="00E16547">
            <w:pPr>
              <w:widowControl/>
              <w:autoSpaceDE/>
              <w:autoSpaceDN/>
              <w:adjustRightInd/>
              <w:jc w:val="center"/>
              <w:rPr>
                <w:sz w:val="20"/>
                <w:szCs w:val="20"/>
              </w:rPr>
            </w:pPr>
            <w:r>
              <w:rPr>
                <w:sz w:val="20"/>
                <w:szCs w:val="20"/>
              </w:rPr>
              <w:t>4</w:t>
            </w:r>
            <w:r w:rsidR="00310AC0">
              <w:rPr>
                <w:sz w:val="20"/>
                <w:szCs w:val="20"/>
              </w:rPr>
              <w:t>.</w:t>
            </w:r>
            <w:r>
              <w:rPr>
                <w:sz w:val="20"/>
                <w:szCs w:val="20"/>
              </w:rPr>
              <w:t>5</w:t>
            </w:r>
          </w:p>
        </w:tc>
        <w:tc>
          <w:tcPr>
            <w:tcW w:w="1043" w:type="dxa"/>
            <w:tcBorders>
              <w:top w:val="nil"/>
              <w:left w:val="nil"/>
              <w:bottom w:val="nil"/>
              <w:right w:val="nil"/>
            </w:tcBorders>
            <w:shd w:val="clear" w:color="auto" w:fill="auto"/>
            <w:noWrap/>
            <w:vAlign w:val="bottom"/>
          </w:tcPr>
          <w:p w:rsidR="003E2EE2" w:rsidRDefault="00981470">
            <w:pPr>
              <w:widowControl/>
              <w:tabs>
                <w:tab w:val="center" w:pos="4320"/>
                <w:tab w:val="right" w:pos="8640"/>
              </w:tabs>
              <w:autoSpaceDE/>
              <w:autoSpaceDN/>
              <w:adjustRightInd/>
              <w:jc w:val="center"/>
              <w:rPr>
                <w:sz w:val="20"/>
                <w:szCs w:val="20"/>
              </w:rPr>
            </w:pPr>
            <w:r w:rsidRPr="009D3964">
              <w:rPr>
                <w:sz w:val="20"/>
                <w:szCs w:val="20"/>
              </w:rPr>
              <w:t>0.1</w:t>
            </w:r>
          </w:p>
        </w:tc>
        <w:tc>
          <w:tcPr>
            <w:tcW w:w="960" w:type="dxa"/>
            <w:tcBorders>
              <w:top w:val="nil"/>
              <w:left w:val="nil"/>
              <w:bottom w:val="nil"/>
              <w:right w:val="nil"/>
            </w:tcBorders>
            <w:shd w:val="clear" w:color="auto" w:fill="auto"/>
            <w:noWrap/>
            <w:vAlign w:val="bottom"/>
          </w:tcPr>
          <w:p w:rsidR="00981470" w:rsidRPr="009D3964" w:rsidRDefault="00981470" w:rsidP="00CB6715">
            <w:pPr>
              <w:widowControl/>
              <w:autoSpaceDE/>
              <w:autoSpaceDN/>
              <w:adjustRightInd/>
              <w:jc w:val="center"/>
              <w:rPr>
                <w:sz w:val="20"/>
                <w:szCs w:val="20"/>
              </w:rPr>
            </w:pPr>
          </w:p>
        </w:tc>
        <w:tc>
          <w:tcPr>
            <w:tcW w:w="960" w:type="dxa"/>
            <w:tcBorders>
              <w:top w:val="nil"/>
              <w:left w:val="nil"/>
              <w:bottom w:val="nil"/>
              <w:right w:val="nil"/>
            </w:tcBorders>
            <w:shd w:val="clear" w:color="auto" w:fill="auto"/>
            <w:noWrap/>
            <w:vAlign w:val="bottom"/>
          </w:tcPr>
          <w:p w:rsidR="00981470" w:rsidRPr="009D3964" w:rsidRDefault="00E95ACD" w:rsidP="00CB6715">
            <w:pPr>
              <w:widowControl/>
              <w:autoSpaceDE/>
              <w:autoSpaceDN/>
              <w:adjustRightInd/>
              <w:jc w:val="center"/>
              <w:rPr>
                <w:sz w:val="20"/>
                <w:szCs w:val="20"/>
              </w:rPr>
            </w:pPr>
            <w:r w:rsidRPr="000006A5">
              <w:rPr>
                <w:sz w:val="20"/>
                <w:szCs w:val="20"/>
              </w:rPr>
              <w:t>8</w:t>
            </w:r>
            <w:r w:rsidR="000D25CD" w:rsidRPr="000006A5">
              <w:rPr>
                <w:sz w:val="20"/>
                <w:szCs w:val="20"/>
              </w:rPr>
              <w:t>.</w:t>
            </w:r>
            <w:r w:rsidRPr="000006A5">
              <w:rPr>
                <w:sz w:val="20"/>
                <w:szCs w:val="20"/>
              </w:rPr>
              <w:t>6</w:t>
            </w:r>
          </w:p>
        </w:tc>
        <w:tc>
          <w:tcPr>
            <w:tcW w:w="1060" w:type="dxa"/>
            <w:tcBorders>
              <w:top w:val="nil"/>
              <w:left w:val="nil"/>
              <w:bottom w:val="nil"/>
              <w:right w:val="nil"/>
            </w:tcBorders>
            <w:shd w:val="clear" w:color="auto" w:fill="auto"/>
            <w:noWrap/>
            <w:vAlign w:val="bottom"/>
          </w:tcPr>
          <w:p w:rsidR="00981470" w:rsidRPr="009D3964" w:rsidRDefault="00981470" w:rsidP="00CB6715">
            <w:pPr>
              <w:widowControl/>
              <w:autoSpaceDE/>
              <w:autoSpaceDN/>
              <w:adjustRightInd/>
              <w:jc w:val="center"/>
              <w:rPr>
                <w:sz w:val="20"/>
                <w:szCs w:val="20"/>
              </w:rPr>
            </w:pPr>
            <w:r w:rsidRPr="009D3964">
              <w:rPr>
                <w:sz w:val="20"/>
                <w:szCs w:val="20"/>
              </w:rPr>
              <w:t>0.2</w:t>
            </w:r>
          </w:p>
        </w:tc>
        <w:tc>
          <w:tcPr>
            <w:tcW w:w="960" w:type="dxa"/>
            <w:tcBorders>
              <w:top w:val="nil"/>
              <w:left w:val="nil"/>
              <w:bottom w:val="nil"/>
              <w:right w:val="nil"/>
            </w:tcBorders>
            <w:shd w:val="clear" w:color="auto" w:fill="auto"/>
            <w:noWrap/>
            <w:vAlign w:val="bottom"/>
          </w:tcPr>
          <w:p w:rsidR="00981470" w:rsidRPr="009D3964" w:rsidRDefault="00981470" w:rsidP="00CB6715">
            <w:pPr>
              <w:widowControl/>
              <w:autoSpaceDE/>
              <w:autoSpaceDN/>
              <w:adjustRightInd/>
              <w:jc w:val="center"/>
              <w:rPr>
                <w:sz w:val="20"/>
                <w:szCs w:val="20"/>
              </w:rPr>
            </w:pPr>
          </w:p>
        </w:tc>
        <w:tc>
          <w:tcPr>
            <w:tcW w:w="960" w:type="dxa"/>
            <w:tcBorders>
              <w:top w:val="nil"/>
              <w:left w:val="nil"/>
              <w:bottom w:val="nil"/>
              <w:right w:val="nil"/>
            </w:tcBorders>
            <w:shd w:val="clear" w:color="auto" w:fill="auto"/>
            <w:noWrap/>
            <w:vAlign w:val="bottom"/>
          </w:tcPr>
          <w:p w:rsidR="00981470" w:rsidRPr="009D3964" w:rsidRDefault="000D25CD" w:rsidP="00E16547">
            <w:pPr>
              <w:widowControl/>
              <w:autoSpaceDE/>
              <w:autoSpaceDN/>
              <w:adjustRightInd/>
              <w:jc w:val="center"/>
              <w:rPr>
                <w:sz w:val="20"/>
                <w:szCs w:val="20"/>
              </w:rPr>
            </w:pPr>
            <w:r w:rsidRPr="000006A5">
              <w:rPr>
                <w:sz w:val="20"/>
                <w:szCs w:val="20"/>
              </w:rPr>
              <w:t>1</w:t>
            </w:r>
            <w:r w:rsidR="00E95ACD" w:rsidRPr="000006A5">
              <w:rPr>
                <w:sz w:val="20"/>
                <w:szCs w:val="20"/>
              </w:rPr>
              <w:t>1.5</w:t>
            </w:r>
          </w:p>
        </w:tc>
        <w:tc>
          <w:tcPr>
            <w:tcW w:w="1120" w:type="dxa"/>
            <w:tcBorders>
              <w:top w:val="nil"/>
              <w:left w:val="nil"/>
              <w:bottom w:val="nil"/>
              <w:right w:val="nil"/>
            </w:tcBorders>
            <w:shd w:val="clear" w:color="auto" w:fill="auto"/>
            <w:noWrap/>
            <w:vAlign w:val="bottom"/>
          </w:tcPr>
          <w:p w:rsidR="00981470" w:rsidRPr="009D3964" w:rsidRDefault="00981470" w:rsidP="00CB6715">
            <w:pPr>
              <w:widowControl/>
              <w:autoSpaceDE/>
              <w:autoSpaceDN/>
              <w:adjustRightInd/>
              <w:jc w:val="center"/>
              <w:rPr>
                <w:sz w:val="20"/>
                <w:szCs w:val="20"/>
              </w:rPr>
            </w:pPr>
            <w:r w:rsidRPr="009D3964">
              <w:rPr>
                <w:sz w:val="20"/>
                <w:szCs w:val="20"/>
              </w:rPr>
              <w:t>0.2</w:t>
            </w:r>
          </w:p>
        </w:tc>
      </w:tr>
      <w:tr w:rsidR="00981470" w:rsidRPr="009D3964" w:rsidTr="00BE0E2B">
        <w:trPr>
          <w:trHeight w:val="270"/>
        </w:trPr>
        <w:tc>
          <w:tcPr>
            <w:tcW w:w="2565" w:type="dxa"/>
            <w:tcBorders>
              <w:top w:val="single" w:sz="4" w:space="0" w:color="auto"/>
              <w:left w:val="nil"/>
              <w:bottom w:val="single" w:sz="8" w:space="0" w:color="auto"/>
              <w:right w:val="nil"/>
            </w:tcBorders>
            <w:shd w:val="clear" w:color="auto" w:fill="auto"/>
            <w:noWrap/>
            <w:vAlign w:val="bottom"/>
          </w:tcPr>
          <w:p w:rsidR="00981470" w:rsidRPr="009D3964" w:rsidRDefault="00981470" w:rsidP="00CB6715">
            <w:pPr>
              <w:widowControl/>
              <w:autoSpaceDE/>
              <w:autoSpaceDN/>
              <w:adjustRightInd/>
              <w:rPr>
                <w:b/>
                <w:bCs/>
                <w:sz w:val="20"/>
                <w:szCs w:val="20"/>
              </w:rPr>
            </w:pPr>
            <w:r w:rsidRPr="009D3964">
              <w:rPr>
                <w:b/>
                <w:bCs/>
                <w:sz w:val="20"/>
                <w:szCs w:val="20"/>
              </w:rPr>
              <w:t>Total</w:t>
            </w:r>
          </w:p>
        </w:tc>
        <w:tc>
          <w:tcPr>
            <w:tcW w:w="705" w:type="dxa"/>
            <w:tcBorders>
              <w:top w:val="single" w:sz="4" w:space="0" w:color="auto"/>
              <w:left w:val="nil"/>
              <w:bottom w:val="single" w:sz="8" w:space="0" w:color="auto"/>
              <w:right w:val="nil"/>
            </w:tcBorders>
            <w:shd w:val="clear" w:color="auto" w:fill="auto"/>
            <w:noWrap/>
            <w:vAlign w:val="bottom"/>
          </w:tcPr>
          <w:p w:rsidR="00981470" w:rsidRPr="009D3964" w:rsidRDefault="00310AC0" w:rsidP="00CB6715">
            <w:pPr>
              <w:widowControl/>
              <w:autoSpaceDE/>
              <w:autoSpaceDN/>
              <w:adjustRightInd/>
              <w:jc w:val="center"/>
              <w:rPr>
                <w:b/>
                <w:bCs/>
                <w:sz w:val="20"/>
                <w:szCs w:val="20"/>
              </w:rPr>
            </w:pPr>
            <w:r>
              <w:rPr>
                <w:b/>
                <w:bCs/>
                <w:sz w:val="20"/>
                <w:szCs w:val="20"/>
              </w:rPr>
              <w:t>57</w:t>
            </w:r>
            <w:r w:rsidR="00E41A67">
              <w:rPr>
                <w:b/>
                <w:bCs/>
                <w:sz w:val="20"/>
                <w:szCs w:val="20"/>
              </w:rPr>
              <w:t>0.8</w:t>
            </w:r>
          </w:p>
        </w:tc>
        <w:tc>
          <w:tcPr>
            <w:tcW w:w="1043" w:type="dxa"/>
            <w:tcBorders>
              <w:top w:val="single" w:sz="4" w:space="0" w:color="auto"/>
              <w:left w:val="nil"/>
              <w:bottom w:val="single" w:sz="8" w:space="0" w:color="auto"/>
              <w:right w:val="nil"/>
            </w:tcBorders>
            <w:shd w:val="clear" w:color="auto" w:fill="auto"/>
            <w:noWrap/>
            <w:vAlign w:val="bottom"/>
          </w:tcPr>
          <w:p w:rsidR="00981470" w:rsidRPr="009D3964" w:rsidRDefault="00981470" w:rsidP="00CB6715">
            <w:pPr>
              <w:widowControl/>
              <w:autoSpaceDE/>
              <w:autoSpaceDN/>
              <w:adjustRightInd/>
              <w:jc w:val="center"/>
              <w:rPr>
                <w:b/>
                <w:bCs/>
                <w:sz w:val="20"/>
                <w:szCs w:val="20"/>
              </w:rPr>
            </w:pPr>
            <w:r w:rsidRPr="009D3964">
              <w:rPr>
                <w:b/>
                <w:bCs/>
                <w:sz w:val="20"/>
                <w:szCs w:val="20"/>
              </w:rPr>
              <w:t>$1,702.9</w:t>
            </w:r>
          </w:p>
        </w:tc>
        <w:tc>
          <w:tcPr>
            <w:tcW w:w="960" w:type="dxa"/>
            <w:tcBorders>
              <w:top w:val="single" w:sz="4" w:space="0" w:color="auto"/>
              <w:left w:val="nil"/>
              <w:bottom w:val="single" w:sz="8" w:space="0" w:color="auto"/>
              <w:right w:val="nil"/>
            </w:tcBorders>
            <w:shd w:val="clear" w:color="auto" w:fill="auto"/>
            <w:noWrap/>
            <w:vAlign w:val="bottom"/>
          </w:tcPr>
          <w:p w:rsidR="00981470" w:rsidRPr="009D3964" w:rsidRDefault="00981470" w:rsidP="00CB6715">
            <w:pPr>
              <w:widowControl/>
              <w:autoSpaceDE/>
              <w:autoSpaceDN/>
              <w:adjustRightInd/>
              <w:jc w:val="center"/>
              <w:rPr>
                <w:b/>
                <w:bCs/>
                <w:sz w:val="20"/>
                <w:szCs w:val="20"/>
              </w:rPr>
            </w:pPr>
            <w:r w:rsidRPr="009D3964">
              <w:rPr>
                <w:b/>
                <w:bCs/>
                <w:sz w:val="20"/>
                <w:szCs w:val="20"/>
              </w:rPr>
              <w:t> </w:t>
            </w:r>
          </w:p>
        </w:tc>
        <w:tc>
          <w:tcPr>
            <w:tcW w:w="960" w:type="dxa"/>
            <w:tcBorders>
              <w:top w:val="single" w:sz="4" w:space="0" w:color="auto"/>
              <w:left w:val="nil"/>
              <w:bottom w:val="single" w:sz="8" w:space="0" w:color="auto"/>
              <w:right w:val="nil"/>
            </w:tcBorders>
            <w:shd w:val="clear" w:color="auto" w:fill="auto"/>
            <w:noWrap/>
            <w:vAlign w:val="bottom"/>
          </w:tcPr>
          <w:p w:rsidR="00981470" w:rsidRPr="009D3964" w:rsidRDefault="000D25CD" w:rsidP="00DA2E8C">
            <w:pPr>
              <w:widowControl/>
              <w:autoSpaceDE/>
              <w:autoSpaceDN/>
              <w:adjustRightInd/>
              <w:jc w:val="center"/>
              <w:rPr>
                <w:b/>
                <w:bCs/>
                <w:sz w:val="20"/>
                <w:szCs w:val="20"/>
              </w:rPr>
            </w:pPr>
            <w:r w:rsidRPr="000006A5">
              <w:rPr>
                <w:b/>
                <w:bCs/>
                <w:sz w:val="20"/>
                <w:szCs w:val="20"/>
              </w:rPr>
              <w:t>99</w:t>
            </w:r>
            <w:r w:rsidR="00E95ACD" w:rsidRPr="000006A5">
              <w:rPr>
                <w:b/>
                <w:bCs/>
                <w:sz w:val="20"/>
                <w:szCs w:val="20"/>
              </w:rPr>
              <w:t>7</w:t>
            </w:r>
            <w:r w:rsidRPr="000006A5">
              <w:rPr>
                <w:b/>
                <w:bCs/>
                <w:sz w:val="20"/>
                <w:szCs w:val="20"/>
              </w:rPr>
              <w:t>.</w:t>
            </w:r>
            <w:r w:rsidR="00E95ACD" w:rsidRPr="000006A5">
              <w:rPr>
                <w:b/>
                <w:bCs/>
                <w:sz w:val="20"/>
                <w:szCs w:val="20"/>
              </w:rPr>
              <w:t>2</w:t>
            </w:r>
          </w:p>
        </w:tc>
        <w:tc>
          <w:tcPr>
            <w:tcW w:w="1060" w:type="dxa"/>
            <w:tcBorders>
              <w:top w:val="single" w:sz="4" w:space="0" w:color="auto"/>
              <w:left w:val="nil"/>
              <w:bottom w:val="single" w:sz="8" w:space="0" w:color="auto"/>
              <w:right w:val="nil"/>
            </w:tcBorders>
            <w:shd w:val="clear" w:color="auto" w:fill="auto"/>
            <w:noWrap/>
            <w:vAlign w:val="bottom"/>
          </w:tcPr>
          <w:p w:rsidR="00981470" w:rsidRPr="009D3964" w:rsidRDefault="00981470" w:rsidP="00CB6715">
            <w:pPr>
              <w:widowControl/>
              <w:autoSpaceDE/>
              <w:autoSpaceDN/>
              <w:adjustRightInd/>
              <w:jc w:val="center"/>
              <w:rPr>
                <w:b/>
                <w:bCs/>
                <w:sz w:val="20"/>
                <w:szCs w:val="20"/>
              </w:rPr>
            </w:pPr>
            <w:r w:rsidRPr="009D3964">
              <w:rPr>
                <w:b/>
                <w:bCs/>
                <w:sz w:val="20"/>
                <w:szCs w:val="20"/>
              </w:rPr>
              <w:t>$2,740.0</w:t>
            </w:r>
          </w:p>
        </w:tc>
        <w:tc>
          <w:tcPr>
            <w:tcW w:w="960" w:type="dxa"/>
            <w:tcBorders>
              <w:top w:val="single" w:sz="4" w:space="0" w:color="auto"/>
              <w:left w:val="nil"/>
              <w:bottom w:val="single" w:sz="8" w:space="0" w:color="auto"/>
              <w:right w:val="nil"/>
            </w:tcBorders>
            <w:shd w:val="clear" w:color="auto" w:fill="auto"/>
            <w:noWrap/>
            <w:vAlign w:val="bottom"/>
          </w:tcPr>
          <w:p w:rsidR="00981470" w:rsidRPr="009D3964" w:rsidRDefault="00981470" w:rsidP="00CB6715">
            <w:pPr>
              <w:widowControl/>
              <w:autoSpaceDE/>
              <w:autoSpaceDN/>
              <w:adjustRightInd/>
              <w:jc w:val="center"/>
              <w:rPr>
                <w:b/>
                <w:bCs/>
                <w:sz w:val="20"/>
                <w:szCs w:val="20"/>
              </w:rPr>
            </w:pPr>
            <w:r w:rsidRPr="009D3964">
              <w:rPr>
                <w:b/>
                <w:bCs/>
                <w:sz w:val="20"/>
                <w:szCs w:val="20"/>
              </w:rPr>
              <w:t> </w:t>
            </w:r>
          </w:p>
        </w:tc>
        <w:tc>
          <w:tcPr>
            <w:tcW w:w="960" w:type="dxa"/>
            <w:tcBorders>
              <w:top w:val="single" w:sz="4" w:space="0" w:color="auto"/>
              <w:left w:val="nil"/>
              <w:bottom w:val="single" w:sz="8" w:space="0" w:color="auto"/>
              <w:right w:val="nil"/>
            </w:tcBorders>
            <w:shd w:val="clear" w:color="auto" w:fill="auto"/>
            <w:noWrap/>
            <w:vAlign w:val="bottom"/>
          </w:tcPr>
          <w:p w:rsidR="00981470" w:rsidRPr="009D3964" w:rsidRDefault="000D25CD" w:rsidP="00CB6715">
            <w:pPr>
              <w:widowControl/>
              <w:autoSpaceDE/>
              <w:autoSpaceDN/>
              <w:adjustRightInd/>
              <w:jc w:val="center"/>
              <w:rPr>
                <w:b/>
                <w:bCs/>
                <w:sz w:val="20"/>
                <w:szCs w:val="20"/>
              </w:rPr>
            </w:pPr>
            <w:r w:rsidRPr="000006A5">
              <w:rPr>
                <w:b/>
                <w:bCs/>
                <w:sz w:val="20"/>
                <w:szCs w:val="20"/>
              </w:rPr>
              <w:t>122</w:t>
            </w:r>
            <w:r w:rsidR="00E95ACD" w:rsidRPr="000006A5">
              <w:rPr>
                <w:b/>
                <w:bCs/>
                <w:sz w:val="20"/>
                <w:szCs w:val="20"/>
              </w:rPr>
              <w:t>2</w:t>
            </w:r>
            <w:r w:rsidRPr="000006A5">
              <w:rPr>
                <w:b/>
                <w:bCs/>
                <w:sz w:val="20"/>
                <w:szCs w:val="20"/>
              </w:rPr>
              <w:t>.</w:t>
            </w:r>
            <w:r w:rsidR="00E95ACD" w:rsidRPr="000006A5">
              <w:rPr>
                <w:b/>
                <w:bCs/>
                <w:sz w:val="20"/>
                <w:szCs w:val="20"/>
              </w:rPr>
              <w:t>8</w:t>
            </w:r>
          </w:p>
        </w:tc>
        <w:tc>
          <w:tcPr>
            <w:tcW w:w="1120" w:type="dxa"/>
            <w:tcBorders>
              <w:top w:val="single" w:sz="4" w:space="0" w:color="auto"/>
              <w:left w:val="nil"/>
              <w:bottom w:val="single" w:sz="8" w:space="0" w:color="auto"/>
              <w:right w:val="nil"/>
            </w:tcBorders>
            <w:shd w:val="clear" w:color="auto" w:fill="auto"/>
            <w:noWrap/>
            <w:vAlign w:val="bottom"/>
          </w:tcPr>
          <w:p w:rsidR="00981470" w:rsidRPr="009D3964" w:rsidRDefault="00981470" w:rsidP="00CB6715">
            <w:pPr>
              <w:widowControl/>
              <w:autoSpaceDE/>
              <w:autoSpaceDN/>
              <w:adjustRightInd/>
              <w:jc w:val="center"/>
              <w:rPr>
                <w:b/>
                <w:bCs/>
                <w:sz w:val="20"/>
                <w:szCs w:val="20"/>
              </w:rPr>
            </w:pPr>
            <w:r w:rsidRPr="009D3964">
              <w:rPr>
                <w:b/>
                <w:bCs/>
                <w:sz w:val="20"/>
                <w:szCs w:val="20"/>
              </w:rPr>
              <w:t>$3,343.9</w:t>
            </w:r>
          </w:p>
        </w:tc>
      </w:tr>
      <w:tr w:rsidR="00981470" w:rsidRPr="009D3964" w:rsidTr="00BE0E2B">
        <w:trPr>
          <w:trHeight w:val="255"/>
        </w:trPr>
        <w:tc>
          <w:tcPr>
            <w:tcW w:w="10333" w:type="dxa"/>
            <w:gridSpan w:val="9"/>
            <w:vMerge w:val="restart"/>
            <w:tcBorders>
              <w:top w:val="single" w:sz="8" w:space="0" w:color="auto"/>
              <w:left w:val="nil"/>
              <w:bottom w:val="nil"/>
              <w:right w:val="nil"/>
            </w:tcBorders>
            <w:shd w:val="clear" w:color="auto" w:fill="auto"/>
            <w:vAlign w:val="bottom"/>
          </w:tcPr>
          <w:p w:rsidR="00981470" w:rsidRPr="009D3964" w:rsidRDefault="00981470" w:rsidP="00CB6715">
            <w:pPr>
              <w:widowControl/>
              <w:autoSpaceDE/>
              <w:autoSpaceDN/>
              <w:adjustRightInd/>
              <w:rPr>
                <w:sz w:val="20"/>
                <w:szCs w:val="20"/>
              </w:rPr>
            </w:pPr>
            <w:r w:rsidRPr="009D3964">
              <w:rPr>
                <w:sz w:val="20"/>
                <w:szCs w:val="20"/>
              </w:rPr>
              <w:t>Note: Assumed that 7 percent of large plan process these claims in-house in the Group Market.  Large plans account for 67.8 percent of policy-holders and therefore 4.7 percent of claims are processed in-house.  Assumed all Individual Market claims are processed in-house.</w:t>
            </w:r>
          </w:p>
        </w:tc>
      </w:tr>
      <w:tr w:rsidR="00981470" w:rsidRPr="009D3964" w:rsidTr="00BE0E2B">
        <w:trPr>
          <w:trHeight w:val="255"/>
        </w:trPr>
        <w:tc>
          <w:tcPr>
            <w:tcW w:w="10333" w:type="dxa"/>
            <w:gridSpan w:val="9"/>
            <w:vMerge/>
            <w:tcBorders>
              <w:top w:val="single" w:sz="8" w:space="0" w:color="auto"/>
              <w:left w:val="nil"/>
              <w:bottom w:val="nil"/>
              <w:right w:val="nil"/>
            </w:tcBorders>
            <w:vAlign w:val="center"/>
          </w:tcPr>
          <w:p w:rsidR="00981470" w:rsidRPr="009D3964" w:rsidRDefault="00981470" w:rsidP="00CB6715">
            <w:pPr>
              <w:widowControl/>
              <w:autoSpaceDE/>
              <w:autoSpaceDN/>
              <w:adjustRightInd/>
              <w:rPr>
                <w:sz w:val="20"/>
                <w:szCs w:val="20"/>
              </w:rPr>
            </w:pPr>
          </w:p>
        </w:tc>
      </w:tr>
      <w:tr w:rsidR="00981470" w:rsidRPr="009D3964" w:rsidTr="00BE0E2B">
        <w:trPr>
          <w:trHeight w:val="255"/>
        </w:trPr>
        <w:tc>
          <w:tcPr>
            <w:tcW w:w="10333" w:type="dxa"/>
            <w:gridSpan w:val="9"/>
            <w:vMerge/>
            <w:tcBorders>
              <w:top w:val="single" w:sz="8" w:space="0" w:color="auto"/>
              <w:left w:val="nil"/>
              <w:bottom w:val="nil"/>
              <w:right w:val="nil"/>
            </w:tcBorders>
            <w:vAlign w:val="center"/>
          </w:tcPr>
          <w:p w:rsidR="00981470" w:rsidRPr="009D3964" w:rsidRDefault="00981470" w:rsidP="00CB6715">
            <w:pPr>
              <w:widowControl/>
              <w:autoSpaceDE/>
              <w:autoSpaceDN/>
              <w:adjustRightInd/>
              <w:rPr>
                <w:sz w:val="20"/>
                <w:szCs w:val="20"/>
              </w:rPr>
            </w:pPr>
          </w:p>
        </w:tc>
      </w:tr>
    </w:tbl>
    <w:p w:rsidR="00981470" w:rsidRDefault="00981470" w:rsidP="00981470">
      <w:pPr>
        <w:widowControl/>
        <w:ind w:firstLine="720"/>
      </w:pPr>
    </w:p>
    <w:p w:rsidR="00981470" w:rsidRDefault="00981470" w:rsidP="00981470">
      <w:pPr>
        <w:widowControl/>
        <w:ind w:firstLine="720"/>
      </w:pPr>
      <w:r>
        <w:t xml:space="preserve">Total burden hours are estimated at </w:t>
      </w:r>
      <w:r w:rsidR="00310AC0">
        <w:t>57</w:t>
      </w:r>
      <w:r w:rsidR="00E41A67">
        <w:t>0,800</w:t>
      </w:r>
      <w:r>
        <w:t xml:space="preserve"> hours in 2011, </w:t>
      </w:r>
      <w:r w:rsidR="000D25CD" w:rsidRPr="000006A5">
        <w:t>99</w:t>
      </w:r>
      <w:r w:rsidR="00E95ACD" w:rsidRPr="000006A5">
        <w:t>7</w:t>
      </w:r>
      <w:r w:rsidR="000D25CD" w:rsidRPr="000006A5">
        <w:t>,</w:t>
      </w:r>
      <w:r w:rsidR="009B60C8" w:rsidRPr="000006A5">
        <w:t>2</w:t>
      </w:r>
      <w:r w:rsidR="00E95ACD" w:rsidRPr="000006A5">
        <w:t>00</w:t>
      </w:r>
      <w:r w:rsidR="002431EA">
        <w:t xml:space="preserve"> hours in 2012 and 1,</w:t>
      </w:r>
      <w:r w:rsidR="000D25CD" w:rsidRPr="000006A5">
        <w:t>22</w:t>
      </w:r>
      <w:r w:rsidR="009B60C8" w:rsidRPr="000006A5">
        <w:t>2</w:t>
      </w:r>
      <w:r w:rsidR="000D25CD" w:rsidRPr="000006A5">
        <w:t>,</w:t>
      </w:r>
      <w:r w:rsidR="00E95ACD" w:rsidRPr="000006A5">
        <w:t>8</w:t>
      </w:r>
      <w:r w:rsidR="000D25CD" w:rsidRPr="000006A5">
        <w:t>00</w:t>
      </w:r>
      <w:r>
        <w:t xml:space="preserve"> hours in 2013.  Equivalent costs are estimated at $28.</w:t>
      </w:r>
      <w:r w:rsidR="00E41A67">
        <w:t>2</w:t>
      </w:r>
      <w:r w:rsidR="003629EA">
        <w:t xml:space="preserve"> </w:t>
      </w:r>
      <w:r>
        <w:t>million in 2011, $57.</w:t>
      </w:r>
      <w:r w:rsidR="00310AC0">
        <w:t>4</w:t>
      </w:r>
      <w:r w:rsidR="003629EA">
        <w:t xml:space="preserve"> </w:t>
      </w:r>
      <w:r>
        <w:t>million in 2012 and $70.</w:t>
      </w:r>
      <w:r w:rsidR="00E9237D" w:rsidRPr="000006A5">
        <w:t>4</w:t>
      </w:r>
      <w:r>
        <w:t xml:space="preserve"> million in 2013.</w:t>
      </w:r>
      <w:r w:rsidR="003629EA">
        <w:t xml:space="preserve">  This hour burden and estimated costs burden takes into account the burden that is associated with the external review process and described below.  </w:t>
      </w:r>
    </w:p>
    <w:p w:rsidR="00401CCD" w:rsidRDefault="00401CCD" w:rsidP="00981470">
      <w:pPr>
        <w:widowControl/>
        <w:ind w:firstLine="720"/>
      </w:pPr>
    </w:p>
    <w:p w:rsidR="00401CCD" w:rsidRPr="00401CCD" w:rsidRDefault="00401CCD" w:rsidP="00401CCD">
      <w:pPr>
        <w:widowControl/>
        <w:rPr>
          <w:u w:val="single"/>
        </w:rPr>
      </w:pPr>
      <w:r w:rsidRPr="00401CCD">
        <w:rPr>
          <w:u w:val="single"/>
        </w:rPr>
        <w:t>External Review Process</w:t>
      </w:r>
    </w:p>
    <w:p w:rsidR="00401CCD" w:rsidRDefault="00401CCD" w:rsidP="00401CCD">
      <w:pPr>
        <w:widowControl/>
      </w:pPr>
    </w:p>
    <w:p w:rsidR="00D6537A" w:rsidRDefault="008965C5" w:rsidP="00F71B43">
      <w:pPr>
        <w:ind w:firstLine="720"/>
      </w:pPr>
      <w:r>
        <w:t>This</w:t>
      </w:r>
      <w:r w:rsidR="00401CCD" w:rsidRPr="006871C5">
        <w:t xml:space="preserve"> ICR is being amended to account for the added burden of the disclosure requirements of the</w:t>
      </w:r>
      <w:r w:rsidR="008D59EF">
        <w:t xml:space="preserve"> </w:t>
      </w:r>
      <w:r w:rsidR="00B56C7A">
        <w:t>Federal external review</w:t>
      </w:r>
      <w:r w:rsidR="00401CCD" w:rsidRPr="006871C5">
        <w:t xml:space="preserve"> </w:t>
      </w:r>
      <w:r w:rsidR="00B56C7A">
        <w:t>p</w:t>
      </w:r>
      <w:r w:rsidR="00401CCD" w:rsidRPr="006871C5">
        <w:t>rocess</w:t>
      </w:r>
      <w:r w:rsidR="001C4225">
        <w:t xml:space="preserve"> for </w:t>
      </w:r>
      <w:r w:rsidR="006C0B48">
        <w:t>health insurance i</w:t>
      </w:r>
      <w:r w:rsidR="00491E8E" w:rsidRPr="00491E8E">
        <w:t xml:space="preserve">ssuers in </w:t>
      </w:r>
      <w:r w:rsidR="006C0B48">
        <w:t>S</w:t>
      </w:r>
      <w:r w:rsidR="00491E8E" w:rsidRPr="00491E8E">
        <w:t xml:space="preserve">tates where State external review processes do not meet the (b)(1) or (b)(2) standard of PHS Act 2719 </w:t>
      </w:r>
      <w:r w:rsidR="00DB06CC">
        <w:t xml:space="preserve">(“health insurance issuers”) </w:t>
      </w:r>
      <w:r w:rsidR="00491E8E" w:rsidRPr="00491E8E">
        <w:t xml:space="preserve">See </w:t>
      </w:r>
      <w:r w:rsidR="007912DE">
        <w:t>[</w:t>
      </w:r>
      <w:r w:rsidR="00491E8E" w:rsidRPr="00491E8E">
        <w:t>“</w:t>
      </w:r>
      <w:r w:rsidR="00310AC0">
        <w:t>Guidance on External Review for Group Health Plans and Health Insurance Issuers Offering Group and Individual Health Coverage and Guidance for States on State External Review Processes</w:t>
      </w:r>
      <w:r w:rsidR="00491E8E" w:rsidRPr="00491E8E">
        <w:t>” on CCIIO website – http://cciio.cms.gov] and self-funded non-federal governmental plans not subject to a compliant state or territory external review process</w:t>
      </w:r>
      <w:r w:rsidR="008A6BDE">
        <w:t xml:space="preserve"> [See “</w:t>
      </w:r>
      <w:r w:rsidR="00310AC0">
        <w:t xml:space="preserve">Instructions for Self Insured Non-Federal Governmental Health Plans and Health Insurance Issuers Offering Group and Individual Health Coverage on How to Elect a Federal External Review Process </w:t>
      </w:r>
      <w:r w:rsidR="008A6BDE">
        <w:t xml:space="preserve">” on CCIIO website – http://cciio.cms.gov].  </w:t>
      </w:r>
      <w:r w:rsidR="006C0B48">
        <w:t>Note that</w:t>
      </w:r>
      <w:r w:rsidR="00DB06CC">
        <w:t xml:space="preserve"> both health insurance issuers and</w:t>
      </w:r>
      <w:r w:rsidR="006C0B48">
        <w:t xml:space="preserve"> self-funded non-federal governmental plans have an option of contracting with Independent Review Organizations (IROs) as described in the Department of Labor Technical Release 2010-01.  </w:t>
      </w:r>
    </w:p>
    <w:p w:rsidR="00600EE0" w:rsidRDefault="006C0B48" w:rsidP="00F71B43">
      <w:pPr>
        <w:ind w:firstLine="720"/>
      </w:pPr>
      <w:r>
        <w:t xml:space="preserve">It is assumed that self-funded non-federal governmental plans will use the HHS </w:t>
      </w:r>
      <w:r w:rsidR="00B56C7A">
        <w:t>F</w:t>
      </w:r>
      <w:r>
        <w:t>ederal external review process because this will result in less administrative burden since they do not need to initiate contracts on their own.</w:t>
      </w:r>
      <w:r w:rsidR="00CB094F">
        <w:t xml:space="preserve">  </w:t>
      </w:r>
      <w:r w:rsidR="00D6537A">
        <w:t xml:space="preserve">Additionally, non-federal governmental plans will not have to pay for independent reviews under the HHS process.  It is further assumed that 50 </w:t>
      </w:r>
      <w:r w:rsidR="00D6537A">
        <w:lastRenderedPageBreak/>
        <w:t>percent of</w:t>
      </w:r>
      <w:r w:rsidR="00AE705E">
        <w:t xml:space="preserve"> external appeals in the fully insured market in states that do not meet the standards outlined above</w:t>
      </w:r>
      <w:r w:rsidR="00D6537A">
        <w:t xml:space="preserve"> will </w:t>
      </w:r>
      <w:r w:rsidR="00A96ED5">
        <w:t>be determined by</w:t>
      </w:r>
      <w:r w:rsidR="00D6537A">
        <w:t xml:space="preserve"> the HHS</w:t>
      </w:r>
      <w:r w:rsidR="00AE705E">
        <w:t xml:space="preserve"> Federal external review</w:t>
      </w:r>
      <w:r w:rsidR="00D6537A">
        <w:t xml:space="preserve"> process</w:t>
      </w:r>
      <w:r w:rsidR="00E6378C">
        <w:t xml:space="preserve">. </w:t>
      </w:r>
      <w:r w:rsidR="00D6537A">
        <w:t xml:space="preserve"> </w:t>
      </w:r>
      <w:r w:rsidR="00AD4E00">
        <w:t>It</w:t>
      </w:r>
      <w:r w:rsidR="00AE705E">
        <w:t xml:space="preserve"> </w:t>
      </w:r>
      <w:r w:rsidR="00AD4E00">
        <w:t>is estimated to be 50 percent</w:t>
      </w:r>
      <w:r w:rsidR="00AE705E">
        <w:t xml:space="preserve"> because of the unknown interplay of several factors that will influence issuers’ choice of which </w:t>
      </w:r>
      <w:r w:rsidR="00A96ED5">
        <w:t xml:space="preserve">Federal </w:t>
      </w:r>
      <w:r w:rsidR="00600EE0">
        <w:t>external review process to use.  These factors are:</w:t>
      </w:r>
    </w:p>
    <w:p w:rsidR="00341062" w:rsidRDefault="00E6378C">
      <w:pPr>
        <w:pStyle w:val="ListParagraph"/>
        <w:numPr>
          <w:ilvl w:val="0"/>
          <w:numId w:val="5"/>
        </w:numPr>
      </w:pPr>
      <w:r>
        <w:t>Health insurance issuers in the HHS Federal external review process would have a lower administrative and cost burden when compared with those in the Department of Labor process.  Issuers that choose the HHS process would not have to enter into a private contract with IROs where the issuers would be forced to pay for their own external reviews.</w:t>
      </w:r>
    </w:p>
    <w:p w:rsidR="00341062" w:rsidRDefault="00D6537A">
      <w:pPr>
        <w:pStyle w:val="ListParagraph"/>
        <w:numPr>
          <w:ilvl w:val="0"/>
          <w:numId w:val="5"/>
        </w:numPr>
      </w:pPr>
      <w:r>
        <w:t xml:space="preserve">Many health insurance issuers act as third party administrators </w:t>
      </w:r>
      <w:r w:rsidR="00584628">
        <w:t xml:space="preserve">for </w:t>
      </w:r>
      <w:r w:rsidR="00AE705E">
        <w:t>self-insured</w:t>
      </w:r>
      <w:r w:rsidR="00584628">
        <w:t xml:space="preserve"> ERISA plans and accordingly</w:t>
      </w:r>
      <w:r w:rsidR="00600EE0">
        <w:t>,</w:t>
      </w:r>
      <w:r w:rsidR="00584628">
        <w:t xml:space="preserve"> already contract with IROs.  Therefore</w:t>
      </w:r>
      <w:r>
        <w:t xml:space="preserve">, </w:t>
      </w:r>
      <w:r w:rsidR="00600EE0">
        <w:t xml:space="preserve">they </w:t>
      </w:r>
      <w:r w:rsidR="001E5B39">
        <w:t>may be</w:t>
      </w:r>
      <w:r w:rsidR="00600EE0">
        <w:t xml:space="preserve"> incentivized to</w:t>
      </w:r>
      <w:r>
        <w:t xml:space="preserve"> utilize the process described in the Department of Labor Technical Release 2010-01</w:t>
      </w:r>
      <w:r w:rsidR="00584628">
        <w:t xml:space="preserve"> in order to achieve continuity across their external review process</w:t>
      </w:r>
      <w:r>
        <w:t xml:space="preserve">.  </w:t>
      </w:r>
    </w:p>
    <w:p w:rsidR="00341062" w:rsidRDefault="001E5B39">
      <w:pPr>
        <w:pStyle w:val="ListParagraph"/>
        <w:numPr>
          <w:ilvl w:val="0"/>
          <w:numId w:val="5"/>
        </w:numPr>
      </w:pPr>
      <w:r>
        <w:t xml:space="preserve">Finally, some issuers may be apprehensive about direct Federal involvement in their process and prefer to contract privately with IROs as prescribed by the Department of Labor Technical Release 2010-01. </w:t>
      </w:r>
    </w:p>
    <w:p w:rsidR="00341062" w:rsidRDefault="00D6537A">
      <w:r>
        <w:t xml:space="preserve">Both health insurance issuers and </w:t>
      </w:r>
      <w:r w:rsidR="00CB094F">
        <w:t>self-funded non-federal governmental health plans must disclose</w:t>
      </w:r>
      <w:r w:rsidR="00482989">
        <w:t xml:space="preserve"> electronically</w:t>
      </w:r>
      <w:r w:rsidR="00CB094F">
        <w:t xml:space="preserve"> to HHS whether they will use the HHS administered </w:t>
      </w:r>
      <w:r w:rsidR="00B56C7A">
        <w:t>F</w:t>
      </w:r>
      <w:r w:rsidR="00CB094F">
        <w:t xml:space="preserve">ederal external review process or are following the Department of Labor Technical Release 2010-01. </w:t>
      </w:r>
      <w:r w:rsidR="00AD4E00">
        <w:t xml:space="preserve"> </w:t>
      </w:r>
      <w:r w:rsidR="00CB094F">
        <w:t>This burde</w:t>
      </w:r>
      <w:r w:rsidR="00310AC0">
        <w:t>n is accounted for in this ICR.</w:t>
      </w:r>
      <w:r w:rsidR="00CB094F">
        <w:t xml:space="preserve"> </w:t>
      </w:r>
    </w:p>
    <w:p w:rsidR="003A4C14" w:rsidRDefault="00C17F1C" w:rsidP="00F71B43">
      <w:pPr>
        <w:ind w:firstLine="720"/>
      </w:pPr>
      <w:r w:rsidRPr="006871C5">
        <w:t>First</w:t>
      </w:r>
      <w:r w:rsidR="008A6BDE">
        <w:t>, health insurance issuers and self-funded non-federal governmental plans</w:t>
      </w:r>
      <w:r w:rsidR="00CB094F">
        <w:t xml:space="preserve"> that have opted to use the </w:t>
      </w:r>
      <w:r w:rsidR="003A4C14">
        <w:t xml:space="preserve">either </w:t>
      </w:r>
      <w:r w:rsidR="00CB094F">
        <w:t>HHS Federal external review process</w:t>
      </w:r>
      <w:r w:rsidR="008A6BDE">
        <w:t xml:space="preserve"> </w:t>
      </w:r>
      <w:r w:rsidR="003A4C14">
        <w:t xml:space="preserve">or the Department of Labor’s Federal external review process </w:t>
      </w:r>
      <w:r w:rsidR="00CB094F">
        <w:t xml:space="preserve">(“applicable plans and issuers”) </w:t>
      </w:r>
      <w:r w:rsidR="00310AC0">
        <w:t>will be required to notify HHS as to which Federal external review process they will be using</w:t>
      </w:r>
      <w:r w:rsidR="003A5157">
        <w:t>.</w:t>
      </w:r>
      <w:r w:rsidR="008D59EF">
        <w:t xml:space="preserve">  </w:t>
      </w:r>
      <w:r w:rsidR="00310AC0">
        <w:t>If they are using the HHS process, t</w:t>
      </w:r>
      <w:r w:rsidR="00601A91">
        <w:t xml:space="preserve">hey will also be required to submit to </w:t>
      </w:r>
      <w:r w:rsidR="00F71B43">
        <w:t>HHS</w:t>
      </w:r>
      <w:r w:rsidR="00601A91">
        <w:t xml:space="preserve"> all notices pertaining to external review rights including the notice of adverse benefit determination and the notice of final internal adverse benefit determination.  If these notices are updated at any time, updated copies of these notices will need to be submitted to </w:t>
      </w:r>
      <w:r w:rsidR="00F71B43">
        <w:t>HHS</w:t>
      </w:r>
      <w:r w:rsidR="00601A91">
        <w:t>.</w:t>
      </w:r>
      <w:r w:rsidRPr="006871C5">
        <w:t xml:space="preserve">  </w:t>
      </w:r>
    </w:p>
    <w:p w:rsidR="00401CCD" w:rsidRDefault="002431EA" w:rsidP="00F71B43">
      <w:pPr>
        <w:ind w:firstLine="720"/>
      </w:pPr>
      <w:r>
        <w:t>T</w:t>
      </w:r>
      <w:r w:rsidR="00401CCD" w:rsidRPr="006871C5">
        <w:t>h</w:t>
      </w:r>
      <w:r w:rsidR="00F71B43">
        <w:t>e</w:t>
      </w:r>
      <w:r w:rsidR="00401CCD" w:rsidRPr="006871C5">
        <w:t xml:space="preserve"> </w:t>
      </w:r>
      <w:r w:rsidR="00CB094F">
        <w:t xml:space="preserve">HHS </w:t>
      </w:r>
      <w:r w:rsidR="00B56C7A">
        <w:t>F</w:t>
      </w:r>
      <w:r w:rsidR="00F71B43">
        <w:t xml:space="preserve">ederal </w:t>
      </w:r>
      <w:r w:rsidR="00C17F1C" w:rsidRPr="006871C5">
        <w:t>external review process</w:t>
      </w:r>
      <w:r>
        <w:t xml:space="preserve"> also</w:t>
      </w:r>
      <w:r w:rsidR="00C17F1C" w:rsidRPr="006871C5">
        <w:t xml:space="preserve"> </w:t>
      </w:r>
      <w:r w:rsidR="00401CCD" w:rsidRPr="006871C5">
        <w:t>requires</w:t>
      </w:r>
      <w:r w:rsidR="00AB28BA" w:rsidRPr="002431EA">
        <w:rPr>
          <w:rStyle w:val="FootnoteReference"/>
          <w:vertAlign w:val="superscript"/>
        </w:rPr>
        <w:footnoteReference w:id="2"/>
      </w:r>
      <w:r w:rsidR="00401CCD" w:rsidRPr="006871C5">
        <w:t xml:space="preserve"> 1) </w:t>
      </w:r>
      <w:r w:rsidR="00CB094F">
        <w:t>The OPM appointed examiner (“the examiner”)</w:t>
      </w:r>
      <w:r w:rsidR="00CB094F" w:rsidRPr="006871C5">
        <w:t xml:space="preserve"> </w:t>
      </w:r>
      <w:r w:rsidR="001243E2" w:rsidRPr="006871C5">
        <w:t xml:space="preserve">to conduct a preliminary review of a claimant’s eligibility for external review 2) </w:t>
      </w:r>
      <w:r w:rsidR="00CB094F">
        <w:t>Applicable plans and issuers</w:t>
      </w:r>
      <w:r w:rsidR="001243E2" w:rsidRPr="006871C5">
        <w:t xml:space="preserve"> to provide </w:t>
      </w:r>
      <w:r w:rsidR="00CB094F">
        <w:t>the examiner</w:t>
      </w:r>
      <w:r w:rsidR="00CB094F" w:rsidRPr="006871C5">
        <w:t xml:space="preserve"> </w:t>
      </w:r>
      <w:r w:rsidR="001243E2" w:rsidRPr="006871C5">
        <w:t xml:space="preserve">with documentation and other information considered in making adverse benefit determinations or final adverse benefit determinations </w:t>
      </w:r>
      <w:r w:rsidR="00CB094F">
        <w:t>3</w:t>
      </w:r>
      <w:r w:rsidR="001243E2" w:rsidRPr="006871C5">
        <w:t xml:space="preserve">) </w:t>
      </w:r>
      <w:r w:rsidR="00CB094F">
        <w:t>The examiner</w:t>
      </w:r>
      <w:r w:rsidR="001243E2" w:rsidRPr="006871C5">
        <w:t xml:space="preserve"> to notify the claimants who are ineligible for external review that they are ineligible</w:t>
      </w:r>
      <w:r w:rsidR="00CF2D07">
        <w:t xml:space="preserve"> </w:t>
      </w:r>
      <w:r w:rsidR="00671B39" w:rsidRPr="006871C5">
        <w:t>5</w:t>
      </w:r>
      <w:r w:rsidR="00401CCD" w:rsidRPr="006871C5">
        <w:t xml:space="preserve">) </w:t>
      </w:r>
      <w:r w:rsidR="00CB094F">
        <w:t>The examiner</w:t>
      </w:r>
      <w:r w:rsidR="00CB094F" w:rsidRPr="006871C5">
        <w:t xml:space="preserve"> </w:t>
      </w:r>
      <w:r>
        <w:t>to</w:t>
      </w:r>
      <w:r w:rsidR="00401CCD" w:rsidRPr="006871C5">
        <w:t xml:space="preserve"> forward to the</w:t>
      </w:r>
      <w:r w:rsidR="00991174">
        <w:t xml:space="preserve"> </w:t>
      </w:r>
      <w:r w:rsidR="00CB094F">
        <w:t>applicable plan or issuer</w:t>
      </w:r>
      <w:r w:rsidR="00991174">
        <w:t xml:space="preserve"> </w:t>
      </w:r>
      <w:r w:rsidR="00401CCD" w:rsidRPr="006871C5">
        <w:t xml:space="preserve">any information submitted by the claimant; </w:t>
      </w:r>
      <w:r w:rsidR="00671B39" w:rsidRPr="006871C5">
        <w:t>6</w:t>
      </w:r>
      <w:r w:rsidR="00401CCD" w:rsidRPr="006871C5">
        <w:t xml:space="preserve">) </w:t>
      </w:r>
      <w:r>
        <w:t xml:space="preserve">That </w:t>
      </w:r>
      <w:r w:rsidR="00401CCD" w:rsidRPr="006871C5">
        <w:t xml:space="preserve">if the </w:t>
      </w:r>
      <w:r w:rsidR="00CB094F">
        <w:t>applicable plan or issuer</w:t>
      </w:r>
      <w:r w:rsidR="00991174">
        <w:t xml:space="preserve"> </w:t>
      </w:r>
      <w:r w:rsidR="00401CCD" w:rsidRPr="006871C5">
        <w:t xml:space="preserve">reverses its </w:t>
      </w:r>
      <w:r w:rsidR="00401CCD" w:rsidRPr="006871C5">
        <w:lastRenderedPageBreak/>
        <w:t>decision</w:t>
      </w:r>
      <w:r>
        <w:t>,</w:t>
      </w:r>
      <w:r w:rsidR="00401CCD" w:rsidRPr="006871C5">
        <w:t xml:space="preserve"> it must notify the claimant</w:t>
      </w:r>
      <w:r w:rsidR="00C17F1C" w:rsidRPr="006871C5">
        <w:t xml:space="preserve"> </w:t>
      </w:r>
      <w:r w:rsidR="00401CCD" w:rsidRPr="006871C5">
        <w:t xml:space="preserve">and </w:t>
      </w:r>
      <w:r w:rsidR="00CB094F">
        <w:t>the examiner</w:t>
      </w:r>
      <w:r w:rsidR="00401CCD" w:rsidRPr="006871C5">
        <w:t xml:space="preserve">; </w:t>
      </w:r>
      <w:r w:rsidR="001B1941">
        <w:t>7</w:t>
      </w:r>
      <w:r w:rsidR="00401CCD" w:rsidRPr="006871C5">
        <w:t xml:space="preserve">) </w:t>
      </w:r>
      <w:r w:rsidR="00CB094F">
        <w:t>The examiner</w:t>
      </w:r>
      <w:r w:rsidR="00CB094F" w:rsidRPr="006871C5">
        <w:t xml:space="preserve"> </w:t>
      </w:r>
      <w:r>
        <w:t>to</w:t>
      </w:r>
      <w:r w:rsidR="00401CCD" w:rsidRPr="006871C5">
        <w:t xml:space="preserve"> notify claimant and </w:t>
      </w:r>
      <w:r w:rsidR="00F71B43">
        <w:t xml:space="preserve">the </w:t>
      </w:r>
      <w:r w:rsidR="00CB094F">
        <w:t xml:space="preserve">applicable plan or issuer </w:t>
      </w:r>
      <w:r w:rsidR="00401CCD" w:rsidRPr="006871C5">
        <w:t xml:space="preserve">of result of final external </w:t>
      </w:r>
      <w:r w:rsidR="00F71B43">
        <w:t>review</w:t>
      </w:r>
      <w:r w:rsidR="00401CCD" w:rsidRPr="006871C5">
        <w:t xml:space="preserve">(burden previously accounted for); </w:t>
      </w:r>
      <w:r w:rsidR="001B1941">
        <w:t>8</w:t>
      </w:r>
      <w:r w:rsidR="00401CCD" w:rsidRPr="006871C5">
        <w:t xml:space="preserve">) </w:t>
      </w:r>
      <w:r w:rsidR="00CB094F">
        <w:t xml:space="preserve">The examiner </w:t>
      </w:r>
      <w:r>
        <w:t>to</w:t>
      </w:r>
      <w:r w:rsidR="00401CCD" w:rsidRPr="006871C5">
        <w:t xml:space="preserve"> maintain records for </w:t>
      </w:r>
      <w:r w:rsidR="00991174">
        <w:t>six</w:t>
      </w:r>
      <w:r w:rsidR="00991174" w:rsidRPr="006871C5">
        <w:t xml:space="preserve"> </w:t>
      </w:r>
      <w:r w:rsidR="00401CCD" w:rsidRPr="006871C5">
        <w:t>years.</w:t>
      </w:r>
    </w:p>
    <w:p w:rsidR="00791D6A" w:rsidRDefault="00791D6A" w:rsidP="00F71B43">
      <w:pPr>
        <w:ind w:firstLine="720"/>
      </w:pPr>
      <w:r w:rsidRPr="00310AC0">
        <w:t xml:space="preserve">Health insurance issuers </w:t>
      </w:r>
      <w:r w:rsidR="00101F4D" w:rsidRPr="00310AC0">
        <w:t xml:space="preserve">and self-funded non-federal governmental plans in States where State external review processes do not meet the (b)(1) or (b)(2) standard of PHS Act 2719 </w:t>
      </w:r>
      <w:r w:rsidRPr="00310AC0">
        <w:t>that decide to follow the Department of Labor’s Federal external review process will be subject to the following different set of requirements.  1</w:t>
      </w:r>
      <w:r w:rsidR="00101F4D" w:rsidRPr="00310AC0">
        <w:t xml:space="preserve">) Issuers must conduct a preliminary review of claimant requests for external review in order to determine eligibility. 2) Following the preliminary review; issuers must notify the claimant whether or not they are eligible for external review 3) if the claimant is eligible, the issuer must forward to the IRO all documentation and other information considered when making its adverse benefit determination. 4) The IRO must forward all information submitted by the claimant back to the issuer. 5) Next, the IRO must notify claimant and the applicable plan or issuer of result of final external review. 6) Finally, the IRO must retain its records for </w:t>
      </w:r>
      <w:r w:rsidR="00310AC0">
        <w:t>six</w:t>
      </w:r>
      <w:r w:rsidR="00161D3A" w:rsidRPr="00161D3A">
        <w:t xml:space="preserve"> </w:t>
      </w:r>
      <w:r w:rsidR="000D421B" w:rsidRPr="00161D3A">
        <w:t>y</w:t>
      </w:r>
      <w:r w:rsidR="00101F4D" w:rsidRPr="00310AC0">
        <w:t>ears.</w:t>
      </w:r>
      <w:r w:rsidR="000D421B">
        <w:t xml:space="preserve">  </w:t>
      </w:r>
      <w:r>
        <w:t xml:space="preserve"> </w:t>
      </w:r>
    </w:p>
    <w:p w:rsidR="00401CCD" w:rsidRDefault="00401CCD" w:rsidP="00F71B43">
      <w:pPr>
        <w:ind w:firstLine="720"/>
      </w:pPr>
      <w:r>
        <w:t xml:space="preserve">It is estimated that there will be </w:t>
      </w:r>
      <w:r w:rsidR="00EA45DC">
        <w:t xml:space="preserve">7,440 </w:t>
      </w:r>
      <w:r>
        <w:t xml:space="preserve">external </w:t>
      </w:r>
      <w:r w:rsidR="00EA45DC">
        <w:t xml:space="preserve">reviews </w:t>
      </w:r>
      <w:r>
        <w:t>conducted in a year for the affected population.</w:t>
      </w:r>
      <w:r w:rsidR="00491E8E" w:rsidRPr="00491E8E">
        <w:rPr>
          <w:rStyle w:val="FootnoteReference"/>
          <w:vertAlign w:val="superscript"/>
        </w:rPr>
        <w:footnoteReference w:id="3"/>
      </w:r>
      <w:r>
        <w:t xml:space="preserve">  </w:t>
      </w:r>
    </w:p>
    <w:p w:rsidR="00F257C2" w:rsidRPr="00377220" w:rsidRDefault="00C1712C" w:rsidP="00F71B43">
      <w:pPr>
        <w:ind w:firstLine="720"/>
        <w:rPr>
          <w:highlight w:val="yellow"/>
        </w:rPr>
      </w:pPr>
      <w:r>
        <w:t>The</w:t>
      </w:r>
      <w:r w:rsidR="00BE1768">
        <w:t xml:space="preserve"> total</w:t>
      </w:r>
      <w:r>
        <w:t xml:space="preserve"> hour burden</w:t>
      </w:r>
      <w:r w:rsidR="00BE1768">
        <w:t xml:space="preserve"> associated with </w:t>
      </w:r>
      <w:r w:rsidR="00FC0F24">
        <w:t xml:space="preserve">the </w:t>
      </w:r>
      <w:r w:rsidR="00B56C7A">
        <w:t>F</w:t>
      </w:r>
      <w:r w:rsidR="00F71B43">
        <w:t xml:space="preserve">ederal </w:t>
      </w:r>
      <w:r w:rsidR="00BE1768">
        <w:t xml:space="preserve">external review process for </w:t>
      </w:r>
      <w:r w:rsidR="00FC0F24">
        <w:t xml:space="preserve">affected self-funded non-federal governmental health plans and health insurance issuers is </w:t>
      </w:r>
      <w:r w:rsidR="00E41A67">
        <w:t>4522</w:t>
      </w:r>
      <w:r w:rsidR="00FC0F24">
        <w:t xml:space="preserve"> with an equivalent cost of $</w:t>
      </w:r>
      <w:r w:rsidR="00E41A67">
        <w:t>123,907</w:t>
      </w:r>
      <w:r w:rsidR="00FC0F24">
        <w:t xml:space="preserve">. </w:t>
      </w:r>
      <w:r w:rsidR="00F257C2">
        <w:t xml:space="preserve">  </w:t>
      </w:r>
      <w:r w:rsidR="005C7BEC" w:rsidRPr="003D41BC">
        <w:t>This number includes 4,496 hours accounting for the disclosure requirement at an equivalent cost of $123,236 and 26 hours to conduct preliminary reviews of external review requests coming with an equivalent cost of $671</w:t>
      </w:r>
      <w:r w:rsidR="005C7BEC" w:rsidRPr="000006A5">
        <w:t xml:space="preserve">. </w:t>
      </w:r>
      <w:r w:rsidR="00F257C2">
        <w:t xml:space="preserve">We made reasonable estimates for the amount of time it would take for each of the steps outlined above, assuming that a clerical worker could prepare most of the documents that would need to be sent forward.  We used salary data provided by the Department of Labor National Occupational Employment Survey.   </w:t>
      </w:r>
    </w:p>
    <w:p w:rsidR="006A2554" w:rsidRDefault="0021271B" w:rsidP="00F71B43">
      <w:pPr>
        <w:ind w:firstLine="720"/>
      </w:pPr>
      <w:r>
        <w:t xml:space="preserve"> </w:t>
      </w:r>
      <w:r w:rsidR="00E41A67">
        <w:t>All of these hours are attributed to the HHS Federal Process in addition to the overall disclosure requirements because we are assuming that all of the self-funded non-federal</w:t>
      </w:r>
      <w:r w:rsidR="006A2554">
        <w:t xml:space="preserve"> governmental</w:t>
      </w:r>
      <w:r w:rsidR="00E41A67">
        <w:t xml:space="preserve"> plans</w:t>
      </w:r>
      <w:r w:rsidR="006A2554">
        <w:t xml:space="preserve"> will choose the HHS process. Furthermore, the burden for health insurance issuers and self-funded non-federal governmental health plans that are not yet in the HHS process is not accounted for in 2011 because they have until January 1, 2012 to comply.</w:t>
      </w:r>
      <w:r w:rsidR="00E41A67">
        <w:t xml:space="preserve"> </w:t>
      </w:r>
    </w:p>
    <w:p w:rsidR="00356444" w:rsidRDefault="001C4225" w:rsidP="00F71B43">
      <w:pPr>
        <w:ind w:firstLine="720"/>
      </w:pPr>
      <w:r>
        <w:t xml:space="preserve"> </w:t>
      </w:r>
      <w:r w:rsidR="006A2554">
        <w:t xml:space="preserve">Overtime, as more plans lose grandfathered status, </w:t>
      </w:r>
      <w:r>
        <w:t xml:space="preserve">the number of </w:t>
      </w:r>
      <w:r w:rsidR="00FB5067">
        <w:t>health insurance issuers and self-funded non-federal governmental health plans</w:t>
      </w:r>
      <w:r w:rsidR="00FB5067" w:rsidDel="00FB5067">
        <w:t xml:space="preserve"> </w:t>
      </w:r>
      <w:r w:rsidR="00F257C2">
        <w:t>subject to the Federal external review process</w:t>
      </w:r>
      <w:r>
        <w:t xml:space="preserve"> </w:t>
      </w:r>
      <w:r w:rsidR="004021AB">
        <w:t>will increase;</w:t>
      </w:r>
      <w:r>
        <w:t xml:space="preserve"> the hour burden will increase proportionately, resulting in an estimat</w:t>
      </w:r>
      <w:r w:rsidR="00F257C2">
        <w:t xml:space="preserve">ed hour burden of </w:t>
      </w:r>
      <w:r w:rsidR="005C7BEC" w:rsidRPr="00C707AC">
        <w:t>8,559 hours in 2012 which includes 603 burden</w:t>
      </w:r>
      <w:r w:rsidR="006F3FF4">
        <w:t xml:space="preserve"> </w:t>
      </w:r>
      <w:r>
        <w:t xml:space="preserve">hours </w:t>
      </w:r>
      <w:r w:rsidR="005C7BEC" w:rsidRPr="00C707AC">
        <w:t>for preliminary review</w:t>
      </w:r>
      <w:r>
        <w:t xml:space="preserve"> and </w:t>
      </w:r>
      <w:r w:rsidR="005C7BEC" w:rsidRPr="00C707AC">
        <w:t>7,956 burden</w:t>
      </w:r>
      <w:r w:rsidR="006F3FF4">
        <w:t xml:space="preserve"> </w:t>
      </w:r>
      <w:r>
        <w:t xml:space="preserve">hours </w:t>
      </w:r>
      <w:r w:rsidR="005C7BEC" w:rsidRPr="00C707AC">
        <w:t xml:space="preserve">for disclosure.   </w:t>
      </w:r>
      <w:r w:rsidR="005C7BEC" w:rsidRPr="003D41BC">
        <w:t>The</w:t>
      </w:r>
      <w:r w:rsidR="004021AB">
        <w:t xml:space="preserve">re is an estimated $233,792 </w:t>
      </w:r>
      <w:r w:rsidR="006F3FF4">
        <w:t xml:space="preserve">equivalent </w:t>
      </w:r>
      <w:r w:rsidR="004021AB">
        <w:t>cost associated with</w:t>
      </w:r>
      <w:r w:rsidR="005C7BEC" w:rsidRPr="003D41BC">
        <w:t xml:space="preserve"> 2012 </w:t>
      </w:r>
      <w:r w:rsidR="004021AB">
        <w:t>which is</w:t>
      </w:r>
      <w:r w:rsidR="005C7BEC">
        <w:t xml:space="preserve"> </w:t>
      </w:r>
      <w:r w:rsidR="005C7BEC" w:rsidRPr="003D41BC">
        <w:t>comprised of $1</w:t>
      </w:r>
      <w:r w:rsidR="005C7BEC">
        <w:t xml:space="preserve">5,768 </w:t>
      </w:r>
      <w:r w:rsidR="005C7BEC" w:rsidRPr="003D41BC">
        <w:t>for preliminary review and $2</w:t>
      </w:r>
      <w:r w:rsidR="005C7BEC">
        <w:t>18</w:t>
      </w:r>
      <w:r w:rsidR="005C7BEC" w:rsidRPr="003D41BC">
        <w:t>,</w:t>
      </w:r>
      <w:r w:rsidR="005C7BEC">
        <w:t>024</w:t>
      </w:r>
      <w:r w:rsidR="005C7BEC" w:rsidRPr="003D41BC">
        <w:t xml:space="preserve"> for disclosure. </w:t>
      </w:r>
    </w:p>
    <w:p w:rsidR="005C7BEC" w:rsidRDefault="005C7BEC" w:rsidP="006A2554">
      <w:pPr>
        <w:ind w:firstLine="720"/>
      </w:pPr>
      <w:r w:rsidRPr="003D41BC">
        <w:t xml:space="preserve"> The hour burden and equivalent cost for the </w:t>
      </w:r>
      <w:r>
        <w:t>HHS</w:t>
      </w:r>
      <w:r w:rsidRPr="003D41BC">
        <w:t xml:space="preserve"> process in 2013 </w:t>
      </w:r>
      <w:r>
        <w:t>is estimated to be 11</w:t>
      </w:r>
      <w:r w:rsidRPr="003D41BC">
        <w:t>,</w:t>
      </w:r>
      <w:r>
        <w:t>465</w:t>
      </w:r>
      <w:r w:rsidRPr="003D41BC">
        <w:t xml:space="preserve"> hours and $</w:t>
      </w:r>
      <w:r>
        <w:t>313</w:t>
      </w:r>
      <w:r w:rsidRPr="003D41BC">
        <w:t>,</w:t>
      </w:r>
      <w:r>
        <w:t>178</w:t>
      </w:r>
      <w:r w:rsidRPr="003D41BC">
        <w:t xml:space="preserve"> respectively.  The total disclosure hour burden associated with 2013 </w:t>
      </w:r>
      <w:r w:rsidRPr="003D41BC">
        <w:lastRenderedPageBreak/>
        <w:t>is estimated to be 10,</w:t>
      </w:r>
      <w:r>
        <w:t>657</w:t>
      </w:r>
      <w:r w:rsidRPr="003D41BC">
        <w:t xml:space="preserve"> hours with a</w:t>
      </w:r>
      <w:r>
        <w:t>n equivalent cost of $292</w:t>
      </w:r>
      <w:r w:rsidRPr="003D41BC">
        <w:t>,</w:t>
      </w:r>
      <w:r>
        <w:t>056</w:t>
      </w:r>
      <w:r w:rsidRPr="003D41BC">
        <w:t xml:space="preserve">; the total preliminary review </w:t>
      </w:r>
      <w:r>
        <w:t xml:space="preserve">hour burden is estimated to be 808 </w:t>
      </w:r>
      <w:r w:rsidRPr="003D41BC">
        <w:t>hours with an equivalent cost of $</w:t>
      </w:r>
      <w:r>
        <w:t>21,122</w:t>
      </w:r>
      <w:r w:rsidRPr="003D41BC">
        <w:t>.</w:t>
      </w:r>
    </w:p>
    <w:p w:rsidR="00356444" w:rsidRDefault="005C7BEC" w:rsidP="00F71B43">
      <w:pPr>
        <w:ind w:firstLine="720"/>
      </w:pPr>
      <w:r>
        <w:t xml:space="preserve">There is no record retention burden placed on self-funded nonfederal governmental plans and health insurance issuers that elect the HHS process because OPM’s contractor retains all records. </w:t>
      </w:r>
    </w:p>
    <w:p w:rsidR="00696114" w:rsidRDefault="00696114" w:rsidP="00E431D2">
      <w:pPr>
        <w:widowControl/>
      </w:pPr>
    </w:p>
    <w:p w:rsidR="00FC2F3E" w:rsidRDefault="00FC2F3E">
      <w:pPr>
        <w:pStyle w:val="Quick1"/>
        <w:widowControl/>
        <w:tabs>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r>
        <w:rPr>
          <w:i/>
          <w:iCs/>
          <w:sz w:val="20"/>
        </w:rPr>
        <w:t>Provide an estimate of the total annual cost burden to respondents or recordkeepers resulting from the collection of information.  (Do not include the cost of any hour burden shown in Items 12 or 14).</w:t>
      </w:r>
    </w:p>
    <w:p w:rsidR="00FC2F3E" w:rsidRDefault="00FC2F3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981470" w:rsidRDefault="00002344" w:rsidP="0098147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rsidR="00981470">
        <w:t>As indicat</w:t>
      </w:r>
      <w:r w:rsidR="002431EA">
        <w:t>ed in question 12, the bulk of g</w:t>
      </w:r>
      <w:r w:rsidR="00981470">
        <w:t xml:space="preserve">roup </w:t>
      </w:r>
      <w:r w:rsidR="002431EA">
        <w:t>m</w:t>
      </w:r>
      <w:r w:rsidR="00981470">
        <w:t xml:space="preserve">arket claims will be processed by third-party service providers.  Total costs </w:t>
      </w:r>
      <w:r w:rsidR="00DE440A">
        <w:t>are</w:t>
      </w:r>
      <w:r w:rsidR="00981470">
        <w:t xml:space="preserve"> estimated by multiplying the number of responses by the amount of time required to prepare the documents and then multiplying this by the appropriate hourly cost of either clerical workers ($26.14), doctors ($154.07) or lawyers (119.03),</w:t>
      </w:r>
      <w:r w:rsidR="00981470" w:rsidRPr="002231E4">
        <w:rPr>
          <w:rStyle w:val="FootnoteReference"/>
          <w:vertAlign w:val="superscript"/>
        </w:rPr>
        <w:footnoteReference w:id="4"/>
      </w:r>
      <w:r w:rsidR="00981470">
        <w:t xml:space="preserve"> and then adding the cost of copying and mailing responses (0.54 each for those not sent electronically).  These costs are described below:</w:t>
      </w:r>
    </w:p>
    <w:p w:rsidR="00981470" w:rsidRDefault="00981470" w:rsidP="0098147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981470" w:rsidRDefault="00981470" w:rsidP="0098147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4D7B95" w:rsidRDefault="004D7B95" w:rsidP="0098147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4D7B95" w:rsidRDefault="004D7B95" w:rsidP="0098147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bl>
      <w:tblPr>
        <w:tblW w:w="11780" w:type="dxa"/>
        <w:tblInd w:w="-972" w:type="dxa"/>
        <w:tblLook w:val="0000"/>
      </w:tblPr>
      <w:tblGrid>
        <w:gridCol w:w="2060"/>
        <w:gridCol w:w="1080"/>
        <w:gridCol w:w="1080"/>
        <w:gridCol w:w="1080"/>
        <w:gridCol w:w="1080"/>
        <w:gridCol w:w="1080"/>
        <w:gridCol w:w="1080"/>
        <w:gridCol w:w="1080"/>
        <w:gridCol w:w="1080"/>
        <w:gridCol w:w="1080"/>
      </w:tblGrid>
      <w:tr w:rsidR="00981470" w:rsidRPr="0030398A" w:rsidTr="00CB6715">
        <w:trPr>
          <w:trHeight w:val="270"/>
        </w:trPr>
        <w:tc>
          <w:tcPr>
            <w:tcW w:w="4220" w:type="dxa"/>
            <w:gridSpan w:val="3"/>
            <w:tcBorders>
              <w:top w:val="nil"/>
              <w:left w:val="nil"/>
              <w:bottom w:val="nil"/>
              <w:right w:val="nil"/>
            </w:tcBorders>
            <w:shd w:val="clear" w:color="auto" w:fill="auto"/>
            <w:noWrap/>
            <w:vAlign w:val="bottom"/>
          </w:tcPr>
          <w:p w:rsidR="00981470" w:rsidRPr="0030398A" w:rsidRDefault="00981470" w:rsidP="00CB6715">
            <w:pPr>
              <w:widowControl/>
              <w:autoSpaceDE/>
              <w:autoSpaceDN/>
              <w:adjustRightInd/>
              <w:rPr>
                <w:sz w:val="20"/>
                <w:szCs w:val="20"/>
              </w:rPr>
            </w:pPr>
            <w:r w:rsidRPr="0030398A">
              <w:rPr>
                <w:sz w:val="20"/>
                <w:szCs w:val="20"/>
              </w:rPr>
              <w:t>Table 3.--</w:t>
            </w:r>
            <w:r w:rsidRPr="0030398A">
              <w:rPr>
                <w:i/>
                <w:iCs/>
                <w:sz w:val="20"/>
                <w:szCs w:val="20"/>
              </w:rPr>
              <w:t>Out-House Burden Cost (in thousands)</w:t>
            </w:r>
          </w:p>
        </w:tc>
        <w:tc>
          <w:tcPr>
            <w:tcW w:w="1080" w:type="dxa"/>
            <w:tcBorders>
              <w:top w:val="nil"/>
              <w:left w:val="nil"/>
              <w:bottom w:val="nil"/>
              <w:right w:val="nil"/>
            </w:tcBorders>
            <w:shd w:val="clear" w:color="auto" w:fill="auto"/>
            <w:noWrap/>
            <w:vAlign w:val="bottom"/>
          </w:tcPr>
          <w:p w:rsidR="00981470" w:rsidRPr="0030398A" w:rsidRDefault="00981470" w:rsidP="00CB6715">
            <w:pPr>
              <w:widowControl/>
              <w:autoSpaceDE/>
              <w:autoSpaceDN/>
              <w:adjustRightInd/>
              <w:rPr>
                <w:sz w:val="20"/>
                <w:szCs w:val="20"/>
              </w:rPr>
            </w:pPr>
          </w:p>
        </w:tc>
        <w:tc>
          <w:tcPr>
            <w:tcW w:w="1080" w:type="dxa"/>
            <w:tcBorders>
              <w:top w:val="nil"/>
              <w:left w:val="nil"/>
              <w:bottom w:val="nil"/>
              <w:right w:val="nil"/>
            </w:tcBorders>
            <w:shd w:val="clear" w:color="auto" w:fill="auto"/>
            <w:noWrap/>
            <w:vAlign w:val="bottom"/>
          </w:tcPr>
          <w:p w:rsidR="00981470" w:rsidRPr="0030398A" w:rsidRDefault="00981470" w:rsidP="00CB6715">
            <w:pPr>
              <w:widowControl/>
              <w:autoSpaceDE/>
              <w:autoSpaceDN/>
              <w:adjustRightInd/>
              <w:rPr>
                <w:sz w:val="20"/>
                <w:szCs w:val="20"/>
              </w:rPr>
            </w:pPr>
          </w:p>
        </w:tc>
        <w:tc>
          <w:tcPr>
            <w:tcW w:w="1080" w:type="dxa"/>
            <w:tcBorders>
              <w:top w:val="nil"/>
              <w:left w:val="nil"/>
              <w:bottom w:val="nil"/>
              <w:right w:val="nil"/>
            </w:tcBorders>
            <w:shd w:val="clear" w:color="auto" w:fill="auto"/>
            <w:noWrap/>
            <w:vAlign w:val="bottom"/>
          </w:tcPr>
          <w:p w:rsidR="00981470" w:rsidRPr="0030398A" w:rsidRDefault="00981470" w:rsidP="00CB6715">
            <w:pPr>
              <w:widowControl/>
              <w:autoSpaceDE/>
              <w:autoSpaceDN/>
              <w:adjustRightInd/>
              <w:rPr>
                <w:sz w:val="20"/>
                <w:szCs w:val="20"/>
              </w:rPr>
            </w:pPr>
          </w:p>
        </w:tc>
        <w:tc>
          <w:tcPr>
            <w:tcW w:w="1080" w:type="dxa"/>
            <w:tcBorders>
              <w:top w:val="nil"/>
              <w:left w:val="nil"/>
              <w:bottom w:val="nil"/>
              <w:right w:val="nil"/>
            </w:tcBorders>
            <w:shd w:val="clear" w:color="auto" w:fill="auto"/>
            <w:noWrap/>
            <w:vAlign w:val="bottom"/>
          </w:tcPr>
          <w:p w:rsidR="00981470" w:rsidRPr="0030398A" w:rsidRDefault="00981470" w:rsidP="00CB6715">
            <w:pPr>
              <w:widowControl/>
              <w:autoSpaceDE/>
              <w:autoSpaceDN/>
              <w:adjustRightInd/>
              <w:rPr>
                <w:sz w:val="20"/>
                <w:szCs w:val="20"/>
              </w:rPr>
            </w:pPr>
          </w:p>
        </w:tc>
        <w:tc>
          <w:tcPr>
            <w:tcW w:w="1080" w:type="dxa"/>
            <w:tcBorders>
              <w:top w:val="nil"/>
              <w:left w:val="nil"/>
              <w:bottom w:val="nil"/>
              <w:right w:val="nil"/>
            </w:tcBorders>
            <w:shd w:val="clear" w:color="auto" w:fill="auto"/>
            <w:noWrap/>
            <w:vAlign w:val="bottom"/>
          </w:tcPr>
          <w:p w:rsidR="00981470" w:rsidRPr="0030398A" w:rsidRDefault="00981470" w:rsidP="00CB6715">
            <w:pPr>
              <w:widowControl/>
              <w:autoSpaceDE/>
              <w:autoSpaceDN/>
              <w:adjustRightInd/>
              <w:rPr>
                <w:sz w:val="20"/>
                <w:szCs w:val="20"/>
              </w:rPr>
            </w:pPr>
          </w:p>
        </w:tc>
        <w:tc>
          <w:tcPr>
            <w:tcW w:w="1080" w:type="dxa"/>
            <w:tcBorders>
              <w:top w:val="nil"/>
              <w:left w:val="nil"/>
              <w:bottom w:val="nil"/>
              <w:right w:val="nil"/>
            </w:tcBorders>
            <w:shd w:val="clear" w:color="auto" w:fill="auto"/>
            <w:noWrap/>
            <w:vAlign w:val="bottom"/>
          </w:tcPr>
          <w:p w:rsidR="00981470" w:rsidRPr="0030398A" w:rsidRDefault="00981470" w:rsidP="00CB6715">
            <w:pPr>
              <w:widowControl/>
              <w:autoSpaceDE/>
              <w:autoSpaceDN/>
              <w:adjustRightInd/>
              <w:rPr>
                <w:sz w:val="20"/>
                <w:szCs w:val="20"/>
              </w:rPr>
            </w:pPr>
          </w:p>
        </w:tc>
        <w:tc>
          <w:tcPr>
            <w:tcW w:w="1080" w:type="dxa"/>
            <w:tcBorders>
              <w:top w:val="nil"/>
              <w:left w:val="nil"/>
              <w:bottom w:val="nil"/>
              <w:right w:val="nil"/>
            </w:tcBorders>
            <w:shd w:val="clear" w:color="auto" w:fill="auto"/>
            <w:noWrap/>
            <w:vAlign w:val="bottom"/>
          </w:tcPr>
          <w:p w:rsidR="00981470" w:rsidRPr="0030398A" w:rsidRDefault="00981470" w:rsidP="00CB6715">
            <w:pPr>
              <w:widowControl/>
              <w:autoSpaceDE/>
              <w:autoSpaceDN/>
              <w:adjustRightInd/>
              <w:rPr>
                <w:sz w:val="20"/>
                <w:szCs w:val="20"/>
              </w:rPr>
            </w:pPr>
          </w:p>
        </w:tc>
      </w:tr>
      <w:tr w:rsidR="00981470" w:rsidRPr="0030398A" w:rsidTr="00CB6715">
        <w:trPr>
          <w:trHeight w:val="270"/>
        </w:trPr>
        <w:tc>
          <w:tcPr>
            <w:tcW w:w="2060" w:type="dxa"/>
            <w:tcBorders>
              <w:top w:val="single" w:sz="8" w:space="0" w:color="auto"/>
              <w:left w:val="nil"/>
              <w:bottom w:val="nil"/>
              <w:right w:val="nil"/>
            </w:tcBorders>
            <w:shd w:val="clear" w:color="auto" w:fill="auto"/>
            <w:noWrap/>
            <w:vAlign w:val="bottom"/>
          </w:tcPr>
          <w:p w:rsidR="00981470" w:rsidRPr="0030398A" w:rsidRDefault="00981470" w:rsidP="00CB6715">
            <w:pPr>
              <w:widowControl/>
              <w:autoSpaceDE/>
              <w:autoSpaceDN/>
              <w:adjustRightInd/>
              <w:rPr>
                <w:sz w:val="20"/>
                <w:szCs w:val="20"/>
              </w:rPr>
            </w:pPr>
            <w:r w:rsidRPr="0030398A">
              <w:rPr>
                <w:sz w:val="20"/>
                <w:szCs w:val="20"/>
              </w:rPr>
              <w:t> </w:t>
            </w:r>
          </w:p>
        </w:tc>
        <w:tc>
          <w:tcPr>
            <w:tcW w:w="1080" w:type="dxa"/>
            <w:tcBorders>
              <w:top w:val="single" w:sz="8" w:space="0" w:color="auto"/>
              <w:left w:val="nil"/>
              <w:bottom w:val="single" w:sz="8" w:space="0" w:color="auto"/>
              <w:right w:val="nil"/>
            </w:tcBorders>
            <w:shd w:val="clear" w:color="auto" w:fill="auto"/>
            <w:noWrap/>
            <w:vAlign w:val="center"/>
          </w:tcPr>
          <w:p w:rsidR="00981470" w:rsidRPr="0030398A" w:rsidRDefault="00981470" w:rsidP="00CB6715">
            <w:pPr>
              <w:widowControl/>
              <w:autoSpaceDE/>
              <w:autoSpaceDN/>
              <w:adjustRightInd/>
              <w:jc w:val="center"/>
              <w:rPr>
                <w:sz w:val="20"/>
                <w:szCs w:val="20"/>
              </w:rPr>
            </w:pPr>
            <w:r w:rsidRPr="0030398A">
              <w:rPr>
                <w:sz w:val="20"/>
                <w:szCs w:val="20"/>
              </w:rPr>
              <w:t> </w:t>
            </w:r>
          </w:p>
        </w:tc>
        <w:tc>
          <w:tcPr>
            <w:tcW w:w="1080" w:type="dxa"/>
            <w:tcBorders>
              <w:top w:val="single" w:sz="8" w:space="0" w:color="auto"/>
              <w:left w:val="nil"/>
              <w:bottom w:val="single" w:sz="8" w:space="0" w:color="auto"/>
              <w:right w:val="nil"/>
            </w:tcBorders>
            <w:shd w:val="clear" w:color="auto" w:fill="auto"/>
            <w:noWrap/>
            <w:vAlign w:val="bottom"/>
          </w:tcPr>
          <w:p w:rsidR="00981470" w:rsidRPr="0030398A" w:rsidRDefault="00981470" w:rsidP="00CB6715">
            <w:pPr>
              <w:widowControl/>
              <w:autoSpaceDE/>
              <w:autoSpaceDN/>
              <w:adjustRightInd/>
              <w:jc w:val="center"/>
              <w:rPr>
                <w:sz w:val="20"/>
                <w:szCs w:val="20"/>
              </w:rPr>
            </w:pPr>
            <w:r w:rsidRPr="0030398A">
              <w:rPr>
                <w:sz w:val="20"/>
                <w:szCs w:val="20"/>
              </w:rPr>
              <w:t>2011</w:t>
            </w:r>
          </w:p>
        </w:tc>
        <w:tc>
          <w:tcPr>
            <w:tcW w:w="1080" w:type="dxa"/>
            <w:tcBorders>
              <w:top w:val="single" w:sz="8" w:space="0" w:color="auto"/>
              <w:left w:val="nil"/>
              <w:bottom w:val="nil"/>
              <w:right w:val="nil"/>
            </w:tcBorders>
            <w:shd w:val="clear" w:color="auto" w:fill="auto"/>
            <w:vAlign w:val="bottom"/>
          </w:tcPr>
          <w:p w:rsidR="00981470" w:rsidRPr="0030398A" w:rsidRDefault="00981470" w:rsidP="00CB6715">
            <w:pPr>
              <w:widowControl/>
              <w:autoSpaceDE/>
              <w:autoSpaceDN/>
              <w:adjustRightInd/>
              <w:rPr>
                <w:sz w:val="20"/>
                <w:szCs w:val="20"/>
              </w:rPr>
            </w:pPr>
            <w:r w:rsidRPr="0030398A">
              <w:rPr>
                <w:sz w:val="20"/>
                <w:szCs w:val="20"/>
              </w:rPr>
              <w:t> </w:t>
            </w:r>
          </w:p>
        </w:tc>
        <w:tc>
          <w:tcPr>
            <w:tcW w:w="1080" w:type="dxa"/>
            <w:tcBorders>
              <w:top w:val="single" w:sz="8" w:space="0" w:color="auto"/>
              <w:left w:val="single" w:sz="8" w:space="0" w:color="auto"/>
              <w:bottom w:val="single" w:sz="8" w:space="0" w:color="auto"/>
              <w:right w:val="nil"/>
            </w:tcBorders>
            <w:shd w:val="clear" w:color="auto" w:fill="auto"/>
            <w:noWrap/>
            <w:vAlign w:val="center"/>
          </w:tcPr>
          <w:p w:rsidR="00981470" w:rsidRPr="0030398A" w:rsidRDefault="00981470" w:rsidP="00CB6715">
            <w:pPr>
              <w:widowControl/>
              <w:autoSpaceDE/>
              <w:autoSpaceDN/>
              <w:adjustRightInd/>
              <w:jc w:val="center"/>
              <w:rPr>
                <w:sz w:val="20"/>
                <w:szCs w:val="20"/>
              </w:rPr>
            </w:pPr>
            <w:r w:rsidRPr="0030398A">
              <w:rPr>
                <w:sz w:val="20"/>
                <w:szCs w:val="20"/>
              </w:rPr>
              <w:t> </w:t>
            </w:r>
          </w:p>
        </w:tc>
        <w:tc>
          <w:tcPr>
            <w:tcW w:w="1080" w:type="dxa"/>
            <w:tcBorders>
              <w:top w:val="single" w:sz="8" w:space="0" w:color="auto"/>
              <w:left w:val="nil"/>
              <w:bottom w:val="single" w:sz="8" w:space="0" w:color="auto"/>
              <w:right w:val="nil"/>
            </w:tcBorders>
            <w:shd w:val="clear" w:color="auto" w:fill="auto"/>
            <w:noWrap/>
            <w:vAlign w:val="bottom"/>
          </w:tcPr>
          <w:p w:rsidR="00981470" w:rsidRPr="0030398A" w:rsidRDefault="00981470" w:rsidP="00CB6715">
            <w:pPr>
              <w:widowControl/>
              <w:autoSpaceDE/>
              <w:autoSpaceDN/>
              <w:adjustRightInd/>
              <w:jc w:val="center"/>
              <w:rPr>
                <w:sz w:val="20"/>
                <w:szCs w:val="20"/>
              </w:rPr>
            </w:pPr>
            <w:r w:rsidRPr="0030398A">
              <w:rPr>
                <w:sz w:val="20"/>
                <w:szCs w:val="20"/>
              </w:rPr>
              <w:t>2012</w:t>
            </w:r>
          </w:p>
        </w:tc>
        <w:tc>
          <w:tcPr>
            <w:tcW w:w="1080" w:type="dxa"/>
            <w:tcBorders>
              <w:top w:val="single" w:sz="8" w:space="0" w:color="auto"/>
              <w:left w:val="nil"/>
              <w:bottom w:val="nil"/>
              <w:right w:val="single" w:sz="8" w:space="0" w:color="auto"/>
            </w:tcBorders>
            <w:shd w:val="clear" w:color="auto" w:fill="auto"/>
            <w:vAlign w:val="bottom"/>
          </w:tcPr>
          <w:p w:rsidR="00981470" w:rsidRPr="0030398A" w:rsidRDefault="00981470" w:rsidP="00CB6715">
            <w:pPr>
              <w:widowControl/>
              <w:autoSpaceDE/>
              <w:autoSpaceDN/>
              <w:adjustRightInd/>
              <w:rPr>
                <w:sz w:val="20"/>
                <w:szCs w:val="20"/>
              </w:rPr>
            </w:pPr>
            <w:r w:rsidRPr="0030398A">
              <w:rPr>
                <w:sz w:val="20"/>
                <w:szCs w:val="20"/>
              </w:rPr>
              <w:t> </w:t>
            </w:r>
          </w:p>
        </w:tc>
        <w:tc>
          <w:tcPr>
            <w:tcW w:w="1080" w:type="dxa"/>
            <w:tcBorders>
              <w:top w:val="single" w:sz="8" w:space="0" w:color="auto"/>
              <w:left w:val="nil"/>
              <w:bottom w:val="single" w:sz="8" w:space="0" w:color="auto"/>
              <w:right w:val="nil"/>
            </w:tcBorders>
            <w:shd w:val="clear" w:color="auto" w:fill="auto"/>
            <w:noWrap/>
            <w:vAlign w:val="center"/>
          </w:tcPr>
          <w:p w:rsidR="00981470" w:rsidRPr="0030398A" w:rsidRDefault="00981470" w:rsidP="00CB6715">
            <w:pPr>
              <w:widowControl/>
              <w:autoSpaceDE/>
              <w:autoSpaceDN/>
              <w:adjustRightInd/>
              <w:jc w:val="center"/>
              <w:rPr>
                <w:sz w:val="20"/>
                <w:szCs w:val="20"/>
              </w:rPr>
            </w:pPr>
            <w:r w:rsidRPr="0030398A">
              <w:rPr>
                <w:sz w:val="20"/>
                <w:szCs w:val="20"/>
              </w:rPr>
              <w:t> </w:t>
            </w:r>
          </w:p>
        </w:tc>
        <w:tc>
          <w:tcPr>
            <w:tcW w:w="1080" w:type="dxa"/>
            <w:tcBorders>
              <w:top w:val="single" w:sz="8" w:space="0" w:color="auto"/>
              <w:left w:val="nil"/>
              <w:bottom w:val="single" w:sz="8" w:space="0" w:color="auto"/>
              <w:right w:val="nil"/>
            </w:tcBorders>
            <w:shd w:val="clear" w:color="auto" w:fill="auto"/>
            <w:noWrap/>
            <w:vAlign w:val="bottom"/>
          </w:tcPr>
          <w:p w:rsidR="00981470" w:rsidRPr="0030398A" w:rsidRDefault="00981470" w:rsidP="00CB6715">
            <w:pPr>
              <w:widowControl/>
              <w:autoSpaceDE/>
              <w:autoSpaceDN/>
              <w:adjustRightInd/>
              <w:jc w:val="center"/>
              <w:rPr>
                <w:sz w:val="20"/>
                <w:szCs w:val="20"/>
              </w:rPr>
            </w:pPr>
            <w:r w:rsidRPr="0030398A">
              <w:rPr>
                <w:sz w:val="20"/>
                <w:szCs w:val="20"/>
              </w:rPr>
              <w:t>2013</w:t>
            </w:r>
          </w:p>
        </w:tc>
        <w:tc>
          <w:tcPr>
            <w:tcW w:w="1080" w:type="dxa"/>
            <w:tcBorders>
              <w:top w:val="single" w:sz="8" w:space="0" w:color="auto"/>
              <w:left w:val="nil"/>
              <w:bottom w:val="nil"/>
              <w:right w:val="nil"/>
            </w:tcBorders>
            <w:shd w:val="clear" w:color="auto" w:fill="auto"/>
            <w:vAlign w:val="bottom"/>
          </w:tcPr>
          <w:p w:rsidR="00981470" w:rsidRPr="0030398A" w:rsidRDefault="00981470" w:rsidP="00CB6715">
            <w:pPr>
              <w:widowControl/>
              <w:autoSpaceDE/>
              <w:autoSpaceDN/>
              <w:adjustRightInd/>
              <w:rPr>
                <w:sz w:val="20"/>
                <w:szCs w:val="20"/>
              </w:rPr>
            </w:pPr>
            <w:r w:rsidRPr="0030398A">
              <w:rPr>
                <w:sz w:val="20"/>
                <w:szCs w:val="20"/>
              </w:rPr>
              <w:t> </w:t>
            </w:r>
          </w:p>
        </w:tc>
      </w:tr>
      <w:tr w:rsidR="00981470" w:rsidRPr="0030398A" w:rsidTr="00CB6715">
        <w:trPr>
          <w:trHeight w:val="525"/>
        </w:trPr>
        <w:tc>
          <w:tcPr>
            <w:tcW w:w="2060" w:type="dxa"/>
            <w:tcBorders>
              <w:top w:val="nil"/>
              <w:left w:val="nil"/>
              <w:bottom w:val="single" w:sz="8" w:space="0" w:color="auto"/>
              <w:right w:val="nil"/>
            </w:tcBorders>
            <w:shd w:val="clear" w:color="auto" w:fill="auto"/>
            <w:noWrap/>
            <w:vAlign w:val="bottom"/>
          </w:tcPr>
          <w:p w:rsidR="00981470" w:rsidRPr="0030398A" w:rsidRDefault="00981470" w:rsidP="00CB6715">
            <w:pPr>
              <w:widowControl/>
              <w:autoSpaceDE/>
              <w:autoSpaceDN/>
              <w:adjustRightInd/>
              <w:rPr>
                <w:sz w:val="20"/>
                <w:szCs w:val="20"/>
              </w:rPr>
            </w:pPr>
            <w:r w:rsidRPr="0030398A">
              <w:rPr>
                <w:sz w:val="20"/>
                <w:szCs w:val="20"/>
              </w:rPr>
              <w:t> </w:t>
            </w:r>
          </w:p>
        </w:tc>
        <w:tc>
          <w:tcPr>
            <w:tcW w:w="1080" w:type="dxa"/>
            <w:tcBorders>
              <w:top w:val="nil"/>
              <w:left w:val="nil"/>
              <w:bottom w:val="single" w:sz="4" w:space="0" w:color="auto"/>
              <w:right w:val="nil"/>
            </w:tcBorders>
            <w:shd w:val="clear" w:color="auto" w:fill="auto"/>
            <w:vAlign w:val="center"/>
          </w:tcPr>
          <w:p w:rsidR="00981470" w:rsidRPr="0030398A" w:rsidRDefault="00981470" w:rsidP="00CB6715">
            <w:pPr>
              <w:widowControl/>
              <w:autoSpaceDE/>
              <w:autoSpaceDN/>
              <w:adjustRightInd/>
              <w:jc w:val="center"/>
              <w:rPr>
                <w:sz w:val="20"/>
                <w:szCs w:val="20"/>
              </w:rPr>
            </w:pPr>
            <w:r w:rsidRPr="0030398A">
              <w:rPr>
                <w:sz w:val="20"/>
                <w:szCs w:val="20"/>
              </w:rPr>
              <w:t>Hours Cost</w:t>
            </w:r>
          </w:p>
        </w:tc>
        <w:tc>
          <w:tcPr>
            <w:tcW w:w="1080" w:type="dxa"/>
            <w:tcBorders>
              <w:top w:val="nil"/>
              <w:left w:val="nil"/>
              <w:bottom w:val="single" w:sz="4" w:space="0" w:color="auto"/>
              <w:right w:val="nil"/>
            </w:tcBorders>
            <w:shd w:val="clear" w:color="auto" w:fill="auto"/>
            <w:vAlign w:val="center"/>
          </w:tcPr>
          <w:p w:rsidR="00981470" w:rsidRPr="0030398A" w:rsidRDefault="00981470" w:rsidP="00CB6715">
            <w:pPr>
              <w:widowControl/>
              <w:autoSpaceDE/>
              <w:autoSpaceDN/>
              <w:adjustRightInd/>
              <w:jc w:val="center"/>
              <w:rPr>
                <w:sz w:val="20"/>
                <w:szCs w:val="20"/>
              </w:rPr>
            </w:pPr>
            <w:r w:rsidRPr="0030398A">
              <w:rPr>
                <w:sz w:val="20"/>
                <w:szCs w:val="20"/>
              </w:rPr>
              <w:t>Mailing Cost</w:t>
            </w:r>
          </w:p>
        </w:tc>
        <w:tc>
          <w:tcPr>
            <w:tcW w:w="1080" w:type="dxa"/>
            <w:tcBorders>
              <w:top w:val="single" w:sz="8" w:space="0" w:color="auto"/>
              <w:left w:val="nil"/>
              <w:bottom w:val="single" w:sz="4" w:space="0" w:color="auto"/>
              <w:right w:val="nil"/>
            </w:tcBorders>
            <w:shd w:val="clear" w:color="auto" w:fill="auto"/>
            <w:vAlign w:val="center"/>
          </w:tcPr>
          <w:p w:rsidR="00981470" w:rsidRPr="0030398A" w:rsidRDefault="00981470" w:rsidP="00CB6715">
            <w:pPr>
              <w:widowControl/>
              <w:autoSpaceDE/>
              <w:autoSpaceDN/>
              <w:adjustRightInd/>
              <w:jc w:val="center"/>
              <w:rPr>
                <w:sz w:val="20"/>
                <w:szCs w:val="20"/>
              </w:rPr>
            </w:pPr>
            <w:r w:rsidRPr="0030398A">
              <w:rPr>
                <w:sz w:val="20"/>
                <w:szCs w:val="20"/>
              </w:rPr>
              <w:t>Total Costs</w:t>
            </w:r>
          </w:p>
        </w:tc>
        <w:tc>
          <w:tcPr>
            <w:tcW w:w="1080" w:type="dxa"/>
            <w:tcBorders>
              <w:top w:val="nil"/>
              <w:left w:val="single" w:sz="8" w:space="0" w:color="auto"/>
              <w:bottom w:val="single" w:sz="4" w:space="0" w:color="auto"/>
              <w:right w:val="nil"/>
            </w:tcBorders>
            <w:shd w:val="clear" w:color="auto" w:fill="auto"/>
            <w:vAlign w:val="center"/>
          </w:tcPr>
          <w:p w:rsidR="00981470" w:rsidRPr="0030398A" w:rsidRDefault="00981470" w:rsidP="00CB6715">
            <w:pPr>
              <w:widowControl/>
              <w:autoSpaceDE/>
              <w:autoSpaceDN/>
              <w:adjustRightInd/>
              <w:jc w:val="center"/>
              <w:rPr>
                <w:sz w:val="20"/>
                <w:szCs w:val="20"/>
              </w:rPr>
            </w:pPr>
            <w:r w:rsidRPr="0030398A">
              <w:rPr>
                <w:sz w:val="20"/>
                <w:szCs w:val="20"/>
              </w:rPr>
              <w:t>Hours Cost</w:t>
            </w:r>
          </w:p>
        </w:tc>
        <w:tc>
          <w:tcPr>
            <w:tcW w:w="1080" w:type="dxa"/>
            <w:tcBorders>
              <w:top w:val="nil"/>
              <w:left w:val="nil"/>
              <w:bottom w:val="single" w:sz="4" w:space="0" w:color="auto"/>
              <w:right w:val="nil"/>
            </w:tcBorders>
            <w:shd w:val="clear" w:color="auto" w:fill="auto"/>
            <w:vAlign w:val="center"/>
          </w:tcPr>
          <w:p w:rsidR="00981470" w:rsidRPr="0030398A" w:rsidRDefault="00981470" w:rsidP="00CB6715">
            <w:pPr>
              <w:widowControl/>
              <w:autoSpaceDE/>
              <w:autoSpaceDN/>
              <w:adjustRightInd/>
              <w:jc w:val="center"/>
              <w:rPr>
                <w:sz w:val="20"/>
                <w:szCs w:val="20"/>
              </w:rPr>
            </w:pPr>
            <w:r w:rsidRPr="0030398A">
              <w:rPr>
                <w:sz w:val="20"/>
                <w:szCs w:val="20"/>
              </w:rPr>
              <w:t>Mailing Cost</w:t>
            </w:r>
          </w:p>
        </w:tc>
        <w:tc>
          <w:tcPr>
            <w:tcW w:w="1080" w:type="dxa"/>
            <w:tcBorders>
              <w:top w:val="single" w:sz="8" w:space="0" w:color="auto"/>
              <w:left w:val="nil"/>
              <w:bottom w:val="single" w:sz="4" w:space="0" w:color="auto"/>
              <w:right w:val="single" w:sz="8" w:space="0" w:color="auto"/>
            </w:tcBorders>
            <w:shd w:val="clear" w:color="auto" w:fill="auto"/>
            <w:vAlign w:val="center"/>
          </w:tcPr>
          <w:p w:rsidR="00981470" w:rsidRPr="0030398A" w:rsidRDefault="00981470" w:rsidP="00CB6715">
            <w:pPr>
              <w:widowControl/>
              <w:autoSpaceDE/>
              <w:autoSpaceDN/>
              <w:adjustRightInd/>
              <w:jc w:val="center"/>
              <w:rPr>
                <w:sz w:val="20"/>
                <w:szCs w:val="20"/>
              </w:rPr>
            </w:pPr>
            <w:r w:rsidRPr="0030398A">
              <w:rPr>
                <w:sz w:val="20"/>
                <w:szCs w:val="20"/>
              </w:rPr>
              <w:t>Total Costs</w:t>
            </w:r>
          </w:p>
        </w:tc>
        <w:tc>
          <w:tcPr>
            <w:tcW w:w="1080" w:type="dxa"/>
            <w:tcBorders>
              <w:top w:val="nil"/>
              <w:left w:val="nil"/>
              <w:bottom w:val="single" w:sz="4" w:space="0" w:color="auto"/>
              <w:right w:val="nil"/>
            </w:tcBorders>
            <w:shd w:val="clear" w:color="auto" w:fill="auto"/>
            <w:vAlign w:val="center"/>
          </w:tcPr>
          <w:p w:rsidR="00981470" w:rsidRPr="0030398A" w:rsidRDefault="00981470" w:rsidP="00CB6715">
            <w:pPr>
              <w:widowControl/>
              <w:autoSpaceDE/>
              <w:autoSpaceDN/>
              <w:adjustRightInd/>
              <w:jc w:val="center"/>
              <w:rPr>
                <w:sz w:val="20"/>
                <w:szCs w:val="20"/>
              </w:rPr>
            </w:pPr>
            <w:r w:rsidRPr="0030398A">
              <w:rPr>
                <w:sz w:val="20"/>
                <w:szCs w:val="20"/>
              </w:rPr>
              <w:t>Hours Cost</w:t>
            </w:r>
          </w:p>
        </w:tc>
        <w:tc>
          <w:tcPr>
            <w:tcW w:w="1080" w:type="dxa"/>
            <w:tcBorders>
              <w:top w:val="nil"/>
              <w:left w:val="nil"/>
              <w:bottom w:val="single" w:sz="4" w:space="0" w:color="auto"/>
              <w:right w:val="nil"/>
            </w:tcBorders>
            <w:shd w:val="clear" w:color="auto" w:fill="auto"/>
            <w:vAlign w:val="center"/>
          </w:tcPr>
          <w:p w:rsidR="00981470" w:rsidRPr="0030398A" w:rsidRDefault="00981470" w:rsidP="00CB6715">
            <w:pPr>
              <w:widowControl/>
              <w:autoSpaceDE/>
              <w:autoSpaceDN/>
              <w:adjustRightInd/>
              <w:jc w:val="center"/>
              <w:rPr>
                <w:sz w:val="20"/>
                <w:szCs w:val="20"/>
              </w:rPr>
            </w:pPr>
            <w:r w:rsidRPr="0030398A">
              <w:rPr>
                <w:sz w:val="20"/>
                <w:szCs w:val="20"/>
              </w:rPr>
              <w:t>Mailing Cost</w:t>
            </w:r>
          </w:p>
        </w:tc>
        <w:tc>
          <w:tcPr>
            <w:tcW w:w="1080" w:type="dxa"/>
            <w:tcBorders>
              <w:top w:val="single" w:sz="8" w:space="0" w:color="auto"/>
              <w:left w:val="nil"/>
              <w:bottom w:val="single" w:sz="4" w:space="0" w:color="auto"/>
              <w:right w:val="nil"/>
            </w:tcBorders>
            <w:shd w:val="clear" w:color="auto" w:fill="auto"/>
            <w:vAlign w:val="center"/>
          </w:tcPr>
          <w:p w:rsidR="00981470" w:rsidRPr="0030398A" w:rsidRDefault="00981470" w:rsidP="00CB6715">
            <w:pPr>
              <w:widowControl/>
              <w:autoSpaceDE/>
              <w:autoSpaceDN/>
              <w:adjustRightInd/>
              <w:jc w:val="center"/>
              <w:rPr>
                <w:sz w:val="20"/>
                <w:szCs w:val="20"/>
              </w:rPr>
            </w:pPr>
            <w:r w:rsidRPr="0030398A">
              <w:rPr>
                <w:sz w:val="20"/>
                <w:szCs w:val="20"/>
              </w:rPr>
              <w:t>Total Costs</w:t>
            </w:r>
          </w:p>
        </w:tc>
      </w:tr>
      <w:tr w:rsidR="00981470" w:rsidRPr="0030398A" w:rsidTr="00CB6715">
        <w:trPr>
          <w:trHeight w:val="255"/>
        </w:trPr>
        <w:tc>
          <w:tcPr>
            <w:tcW w:w="2060" w:type="dxa"/>
            <w:tcBorders>
              <w:top w:val="nil"/>
              <w:left w:val="nil"/>
              <w:bottom w:val="nil"/>
              <w:right w:val="nil"/>
            </w:tcBorders>
            <w:shd w:val="clear" w:color="auto" w:fill="auto"/>
            <w:noWrap/>
            <w:vAlign w:val="bottom"/>
          </w:tcPr>
          <w:p w:rsidR="00981470" w:rsidRPr="0030398A" w:rsidRDefault="00981470" w:rsidP="00CB6715">
            <w:pPr>
              <w:widowControl/>
              <w:autoSpaceDE/>
              <w:autoSpaceDN/>
              <w:adjustRightInd/>
              <w:rPr>
                <w:sz w:val="20"/>
                <w:szCs w:val="20"/>
              </w:rPr>
            </w:pPr>
            <w:r w:rsidRPr="0030398A">
              <w:rPr>
                <w:sz w:val="20"/>
                <w:szCs w:val="20"/>
              </w:rPr>
              <w:t>Pre-Service</w:t>
            </w:r>
          </w:p>
        </w:tc>
        <w:tc>
          <w:tcPr>
            <w:tcW w:w="1080" w:type="dxa"/>
            <w:tcBorders>
              <w:top w:val="nil"/>
              <w:left w:val="nil"/>
              <w:bottom w:val="nil"/>
              <w:right w:val="nil"/>
            </w:tcBorders>
            <w:shd w:val="clear" w:color="auto" w:fill="auto"/>
            <w:noWrap/>
            <w:vAlign w:val="bottom"/>
          </w:tcPr>
          <w:p w:rsidR="00981470" w:rsidRPr="0030398A" w:rsidRDefault="00981470" w:rsidP="00CB6715">
            <w:pPr>
              <w:widowControl/>
              <w:autoSpaceDE/>
              <w:autoSpaceDN/>
              <w:adjustRightInd/>
              <w:rPr>
                <w:sz w:val="20"/>
                <w:szCs w:val="20"/>
              </w:rPr>
            </w:pPr>
          </w:p>
        </w:tc>
        <w:tc>
          <w:tcPr>
            <w:tcW w:w="1080" w:type="dxa"/>
            <w:tcBorders>
              <w:top w:val="nil"/>
              <w:left w:val="nil"/>
              <w:bottom w:val="nil"/>
              <w:right w:val="nil"/>
            </w:tcBorders>
            <w:shd w:val="clear" w:color="auto" w:fill="auto"/>
            <w:noWrap/>
            <w:vAlign w:val="bottom"/>
          </w:tcPr>
          <w:p w:rsidR="00981470" w:rsidRPr="0030398A" w:rsidRDefault="00981470" w:rsidP="00CB6715">
            <w:pPr>
              <w:widowControl/>
              <w:autoSpaceDE/>
              <w:autoSpaceDN/>
              <w:adjustRightInd/>
              <w:rPr>
                <w:sz w:val="20"/>
                <w:szCs w:val="20"/>
              </w:rPr>
            </w:pPr>
          </w:p>
        </w:tc>
        <w:tc>
          <w:tcPr>
            <w:tcW w:w="1080" w:type="dxa"/>
            <w:tcBorders>
              <w:top w:val="nil"/>
              <w:left w:val="nil"/>
              <w:bottom w:val="nil"/>
              <w:right w:val="nil"/>
            </w:tcBorders>
            <w:shd w:val="clear" w:color="auto" w:fill="auto"/>
            <w:noWrap/>
            <w:vAlign w:val="bottom"/>
          </w:tcPr>
          <w:p w:rsidR="00981470" w:rsidRPr="0030398A" w:rsidRDefault="00981470" w:rsidP="00CB6715">
            <w:pPr>
              <w:widowControl/>
              <w:autoSpaceDE/>
              <w:autoSpaceDN/>
              <w:adjustRightInd/>
              <w:rPr>
                <w:sz w:val="20"/>
                <w:szCs w:val="20"/>
              </w:rPr>
            </w:pPr>
          </w:p>
        </w:tc>
        <w:tc>
          <w:tcPr>
            <w:tcW w:w="1080" w:type="dxa"/>
            <w:tcBorders>
              <w:top w:val="nil"/>
              <w:left w:val="single" w:sz="8" w:space="0" w:color="auto"/>
              <w:bottom w:val="nil"/>
              <w:right w:val="nil"/>
            </w:tcBorders>
            <w:shd w:val="clear" w:color="auto" w:fill="auto"/>
            <w:noWrap/>
            <w:vAlign w:val="bottom"/>
          </w:tcPr>
          <w:p w:rsidR="00981470" w:rsidRPr="0030398A" w:rsidRDefault="00981470" w:rsidP="00CB6715">
            <w:pPr>
              <w:widowControl/>
              <w:autoSpaceDE/>
              <w:autoSpaceDN/>
              <w:adjustRightInd/>
              <w:rPr>
                <w:sz w:val="20"/>
                <w:szCs w:val="20"/>
              </w:rPr>
            </w:pPr>
            <w:r w:rsidRPr="0030398A">
              <w:rPr>
                <w:sz w:val="20"/>
                <w:szCs w:val="20"/>
              </w:rPr>
              <w:t> </w:t>
            </w:r>
          </w:p>
        </w:tc>
        <w:tc>
          <w:tcPr>
            <w:tcW w:w="1080" w:type="dxa"/>
            <w:tcBorders>
              <w:top w:val="nil"/>
              <w:left w:val="nil"/>
              <w:bottom w:val="nil"/>
              <w:right w:val="nil"/>
            </w:tcBorders>
            <w:shd w:val="clear" w:color="auto" w:fill="auto"/>
            <w:noWrap/>
            <w:vAlign w:val="bottom"/>
          </w:tcPr>
          <w:p w:rsidR="00981470" w:rsidRPr="0030398A" w:rsidRDefault="00981470" w:rsidP="00CB6715">
            <w:pPr>
              <w:widowControl/>
              <w:autoSpaceDE/>
              <w:autoSpaceDN/>
              <w:adjustRightInd/>
              <w:rPr>
                <w:sz w:val="20"/>
                <w:szCs w:val="20"/>
              </w:rPr>
            </w:pPr>
          </w:p>
        </w:tc>
        <w:tc>
          <w:tcPr>
            <w:tcW w:w="1080" w:type="dxa"/>
            <w:tcBorders>
              <w:top w:val="nil"/>
              <w:left w:val="nil"/>
              <w:bottom w:val="nil"/>
              <w:right w:val="single" w:sz="8" w:space="0" w:color="auto"/>
            </w:tcBorders>
            <w:shd w:val="clear" w:color="auto" w:fill="auto"/>
            <w:noWrap/>
            <w:vAlign w:val="bottom"/>
          </w:tcPr>
          <w:p w:rsidR="00981470" w:rsidRPr="0030398A" w:rsidRDefault="00981470" w:rsidP="00CB6715">
            <w:pPr>
              <w:widowControl/>
              <w:autoSpaceDE/>
              <w:autoSpaceDN/>
              <w:adjustRightInd/>
              <w:rPr>
                <w:sz w:val="20"/>
                <w:szCs w:val="20"/>
              </w:rPr>
            </w:pPr>
            <w:r w:rsidRPr="0030398A">
              <w:rPr>
                <w:sz w:val="20"/>
                <w:szCs w:val="20"/>
              </w:rPr>
              <w:t> </w:t>
            </w:r>
          </w:p>
        </w:tc>
        <w:tc>
          <w:tcPr>
            <w:tcW w:w="1080" w:type="dxa"/>
            <w:tcBorders>
              <w:top w:val="nil"/>
              <w:left w:val="nil"/>
              <w:bottom w:val="nil"/>
              <w:right w:val="nil"/>
            </w:tcBorders>
            <w:shd w:val="clear" w:color="auto" w:fill="auto"/>
            <w:noWrap/>
            <w:vAlign w:val="bottom"/>
          </w:tcPr>
          <w:p w:rsidR="00981470" w:rsidRPr="0030398A" w:rsidRDefault="00981470" w:rsidP="00CB6715">
            <w:pPr>
              <w:widowControl/>
              <w:autoSpaceDE/>
              <w:autoSpaceDN/>
              <w:adjustRightInd/>
              <w:rPr>
                <w:sz w:val="20"/>
                <w:szCs w:val="20"/>
              </w:rPr>
            </w:pPr>
          </w:p>
        </w:tc>
        <w:tc>
          <w:tcPr>
            <w:tcW w:w="1080" w:type="dxa"/>
            <w:tcBorders>
              <w:top w:val="nil"/>
              <w:left w:val="nil"/>
              <w:bottom w:val="nil"/>
              <w:right w:val="nil"/>
            </w:tcBorders>
            <w:shd w:val="clear" w:color="auto" w:fill="auto"/>
            <w:noWrap/>
            <w:vAlign w:val="bottom"/>
          </w:tcPr>
          <w:p w:rsidR="00981470" w:rsidRPr="0030398A" w:rsidRDefault="00981470" w:rsidP="00CB6715">
            <w:pPr>
              <w:widowControl/>
              <w:autoSpaceDE/>
              <w:autoSpaceDN/>
              <w:adjustRightInd/>
              <w:rPr>
                <w:sz w:val="20"/>
                <w:szCs w:val="20"/>
              </w:rPr>
            </w:pPr>
          </w:p>
        </w:tc>
        <w:tc>
          <w:tcPr>
            <w:tcW w:w="1080" w:type="dxa"/>
            <w:tcBorders>
              <w:top w:val="nil"/>
              <w:left w:val="nil"/>
              <w:bottom w:val="nil"/>
              <w:right w:val="nil"/>
            </w:tcBorders>
            <w:shd w:val="clear" w:color="auto" w:fill="auto"/>
            <w:noWrap/>
            <w:vAlign w:val="bottom"/>
          </w:tcPr>
          <w:p w:rsidR="00981470" w:rsidRPr="0030398A" w:rsidRDefault="00981470" w:rsidP="00CB6715">
            <w:pPr>
              <w:widowControl/>
              <w:autoSpaceDE/>
              <w:autoSpaceDN/>
              <w:adjustRightInd/>
              <w:rPr>
                <w:sz w:val="20"/>
                <w:szCs w:val="20"/>
              </w:rPr>
            </w:pPr>
          </w:p>
        </w:tc>
      </w:tr>
      <w:tr w:rsidR="00981470" w:rsidRPr="0030398A" w:rsidTr="00CB6715">
        <w:trPr>
          <w:trHeight w:val="255"/>
        </w:trPr>
        <w:tc>
          <w:tcPr>
            <w:tcW w:w="2060" w:type="dxa"/>
            <w:tcBorders>
              <w:top w:val="nil"/>
              <w:left w:val="nil"/>
              <w:bottom w:val="nil"/>
              <w:right w:val="nil"/>
            </w:tcBorders>
            <w:shd w:val="clear" w:color="auto" w:fill="auto"/>
            <w:noWrap/>
            <w:vAlign w:val="bottom"/>
          </w:tcPr>
          <w:p w:rsidR="00981470" w:rsidRPr="0030398A" w:rsidRDefault="00981470" w:rsidP="008D59EF">
            <w:pPr>
              <w:widowControl/>
              <w:autoSpaceDE/>
              <w:autoSpaceDN/>
              <w:adjustRightInd/>
              <w:ind w:firstLineChars="100" w:firstLine="200"/>
              <w:rPr>
                <w:sz w:val="20"/>
                <w:szCs w:val="20"/>
              </w:rPr>
            </w:pPr>
            <w:r w:rsidRPr="0030398A">
              <w:rPr>
                <w:sz w:val="20"/>
                <w:szCs w:val="20"/>
              </w:rPr>
              <w:t>Claim Approved</w:t>
            </w:r>
          </w:p>
        </w:tc>
        <w:tc>
          <w:tcPr>
            <w:tcW w:w="1080" w:type="dxa"/>
            <w:tcBorders>
              <w:top w:val="nil"/>
              <w:left w:val="nil"/>
              <w:bottom w:val="nil"/>
              <w:right w:val="nil"/>
            </w:tcBorders>
            <w:shd w:val="clear" w:color="auto" w:fill="auto"/>
            <w:noWrap/>
            <w:vAlign w:val="bottom"/>
          </w:tcPr>
          <w:p w:rsidR="00981470" w:rsidRPr="0030398A" w:rsidRDefault="00981470" w:rsidP="00CB6715">
            <w:pPr>
              <w:widowControl/>
              <w:autoSpaceDE/>
              <w:autoSpaceDN/>
              <w:adjustRightInd/>
              <w:jc w:val="center"/>
              <w:rPr>
                <w:sz w:val="20"/>
                <w:szCs w:val="20"/>
              </w:rPr>
            </w:pPr>
            <w:r w:rsidRPr="0030398A">
              <w:rPr>
                <w:sz w:val="20"/>
                <w:szCs w:val="20"/>
              </w:rPr>
              <w:t>$744.9</w:t>
            </w:r>
          </w:p>
        </w:tc>
        <w:tc>
          <w:tcPr>
            <w:tcW w:w="1080" w:type="dxa"/>
            <w:tcBorders>
              <w:top w:val="nil"/>
              <w:left w:val="nil"/>
              <w:bottom w:val="nil"/>
              <w:right w:val="nil"/>
            </w:tcBorders>
            <w:shd w:val="clear" w:color="auto" w:fill="auto"/>
            <w:noWrap/>
            <w:vAlign w:val="bottom"/>
          </w:tcPr>
          <w:p w:rsidR="00981470" w:rsidRPr="0030398A" w:rsidRDefault="00981470" w:rsidP="00CB6715">
            <w:pPr>
              <w:widowControl/>
              <w:autoSpaceDE/>
              <w:autoSpaceDN/>
              <w:adjustRightInd/>
              <w:jc w:val="center"/>
              <w:rPr>
                <w:sz w:val="20"/>
                <w:szCs w:val="20"/>
              </w:rPr>
            </w:pPr>
            <w:r w:rsidRPr="0030398A">
              <w:rPr>
                <w:sz w:val="20"/>
                <w:szCs w:val="20"/>
              </w:rPr>
              <w:t>$166.2</w:t>
            </w:r>
          </w:p>
        </w:tc>
        <w:tc>
          <w:tcPr>
            <w:tcW w:w="1080" w:type="dxa"/>
            <w:tcBorders>
              <w:top w:val="nil"/>
              <w:left w:val="nil"/>
              <w:bottom w:val="nil"/>
              <w:right w:val="nil"/>
            </w:tcBorders>
            <w:shd w:val="clear" w:color="auto" w:fill="auto"/>
            <w:noWrap/>
            <w:vAlign w:val="bottom"/>
          </w:tcPr>
          <w:p w:rsidR="00981470" w:rsidRPr="0030398A" w:rsidRDefault="00981470" w:rsidP="00CB6715">
            <w:pPr>
              <w:widowControl/>
              <w:autoSpaceDE/>
              <w:autoSpaceDN/>
              <w:adjustRightInd/>
              <w:jc w:val="center"/>
              <w:rPr>
                <w:sz w:val="20"/>
                <w:szCs w:val="20"/>
              </w:rPr>
            </w:pPr>
            <w:r w:rsidRPr="0030398A">
              <w:rPr>
                <w:sz w:val="20"/>
                <w:szCs w:val="20"/>
              </w:rPr>
              <w:t>$911.1</w:t>
            </w:r>
          </w:p>
        </w:tc>
        <w:tc>
          <w:tcPr>
            <w:tcW w:w="1080" w:type="dxa"/>
            <w:tcBorders>
              <w:top w:val="nil"/>
              <w:left w:val="single" w:sz="8" w:space="0" w:color="auto"/>
              <w:bottom w:val="nil"/>
              <w:right w:val="nil"/>
            </w:tcBorders>
            <w:shd w:val="clear" w:color="auto" w:fill="auto"/>
            <w:noWrap/>
            <w:vAlign w:val="bottom"/>
          </w:tcPr>
          <w:p w:rsidR="00981470" w:rsidRPr="0030398A" w:rsidRDefault="00981470" w:rsidP="00CB6715">
            <w:pPr>
              <w:widowControl/>
              <w:autoSpaceDE/>
              <w:autoSpaceDN/>
              <w:adjustRightInd/>
              <w:jc w:val="center"/>
              <w:rPr>
                <w:sz w:val="20"/>
                <w:szCs w:val="20"/>
              </w:rPr>
            </w:pPr>
            <w:r w:rsidRPr="0030398A">
              <w:rPr>
                <w:sz w:val="20"/>
                <w:szCs w:val="20"/>
              </w:rPr>
              <w:t>$1,358.1</w:t>
            </w:r>
          </w:p>
        </w:tc>
        <w:tc>
          <w:tcPr>
            <w:tcW w:w="1080" w:type="dxa"/>
            <w:tcBorders>
              <w:top w:val="nil"/>
              <w:left w:val="nil"/>
              <w:bottom w:val="nil"/>
              <w:right w:val="nil"/>
            </w:tcBorders>
            <w:shd w:val="clear" w:color="auto" w:fill="auto"/>
            <w:noWrap/>
            <w:vAlign w:val="bottom"/>
          </w:tcPr>
          <w:p w:rsidR="00981470" w:rsidRPr="0030398A" w:rsidRDefault="00981470" w:rsidP="00CB6715">
            <w:pPr>
              <w:widowControl/>
              <w:autoSpaceDE/>
              <w:autoSpaceDN/>
              <w:adjustRightInd/>
              <w:jc w:val="center"/>
              <w:rPr>
                <w:sz w:val="20"/>
                <w:szCs w:val="20"/>
              </w:rPr>
            </w:pPr>
            <w:r w:rsidRPr="0030398A">
              <w:rPr>
                <w:sz w:val="20"/>
                <w:szCs w:val="20"/>
              </w:rPr>
              <w:t>$303.0</w:t>
            </w:r>
          </w:p>
        </w:tc>
        <w:tc>
          <w:tcPr>
            <w:tcW w:w="1080" w:type="dxa"/>
            <w:tcBorders>
              <w:top w:val="nil"/>
              <w:left w:val="nil"/>
              <w:bottom w:val="nil"/>
              <w:right w:val="single" w:sz="8" w:space="0" w:color="auto"/>
            </w:tcBorders>
            <w:shd w:val="clear" w:color="auto" w:fill="auto"/>
            <w:noWrap/>
            <w:vAlign w:val="bottom"/>
          </w:tcPr>
          <w:p w:rsidR="00981470" w:rsidRPr="0030398A" w:rsidRDefault="00981470" w:rsidP="00CB6715">
            <w:pPr>
              <w:widowControl/>
              <w:autoSpaceDE/>
              <w:autoSpaceDN/>
              <w:adjustRightInd/>
              <w:jc w:val="center"/>
              <w:rPr>
                <w:sz w:val="20"/>
                <w:szCs w:val="20"/>
              </w:rPr>
            </w:pPr>
            <w:r w:rsidRPr="0030398A">
              <w:rPr>
                <w:sz w:val="20"/>
                <w:szCs w:val="20"/>
              </w:rPr>
              <w:t>$1,661.1</w:t>
            </w:r>
          </w:p>
        </w:tc>
        <w:tc>
          <w:tcPr>
            <w:tcW w:w="1080" w:type="dxa"/>
            <w:tcBorders>
              <w:top w:val="nil"/>
              <w:left w:val="nil"/>
              <w:bottom w:val="nil"/>
              <w:right w:val="nil"/>
            </w:tcBorders>
            <w:shd w:val="clear" w:color="auto" w:fill="auto"/>
            <w:noWrap/>
            <w:vAlign w:val="bottom"/>
          </w:tcPr>
          <w:p w:rsidR="00981470" w:rsidRPr="0030398A" w:rsidRDefault="00981470" w:rsidP="00CB6715">
            <w:pPr>
              <w:widowControl/>
              <w:autoSpaceDE/>
              <w:autoSpaceDN/>
              <w:adjustRightInd/>
              <w:jc w:val="center"/>
              <w:rPr>
                <w:sz w:val="20"/>
                <w:szCs w:val="20"/>
              </w:rPr>
            </w:pPr>
            <w:r w:rsidRPr="0030398A">
              <w:rPr>
                <w:sz w:val="20"/>
                <w:szCs w:val="20"/>
              </w:rPr>
              <w:t>$1,862.8</w:t>
            </w:r>
          </w:p>
        </w:tc>
        <w:tc>
          <w:tcPr>
            <w:tcW w:w="1080" w:type="dxa"/>
            <w:tcBorders>
              <w:top w:val="nil"/>
              <w:left w:val="nil"/>
              <w:bottom w:val="nil"/>
              <w:right w:val="nil"/>
            </w:tcBorders>
            <w:shd w:val="clear" w:color="auto" w:fill="auto"/>
            <w:noWrap/>
            <w:vAlign w:val="bottom"/>
          </w:tcPr>
          <w:p w:rsidR="00981470" w:rsidRPr="0030398A" w:rsidRDefault="00981470" w:rsidP="00CB6715">
            <w:pPr>
              <w:widowControl/>
              <w:autoSpaceDE/>
              <w:autoSpaceDN/>
              <w:adjustRightInd/>
              <w:jc w:val="center"/>
              <w:rPr>
                <w:sz w:val="20"/>
                <w:szCs w:val="20"/>
              </w:rPr>
            </w:pPr>
            <w:r w:rsidRPr="0030398A">
              <w:rPr>
                <w:sz w:val="20"/>
                <w:szCs w:val="20"/>
              </w:rPr>
              <w:t>$415.6</w:t>
            </w:r>
          </w:p>
        </w:tc>
        <w:tc>
          <w:tcPr>
            <w:tcW w:w="1080" w:type="dxa"/>
            <w:tcBorders>
              <w:top w:val="nil"/>
              <w:left w:val="nil"/>
              <w:bottom w:val="nil"/>
              <w:right w:val="nil"/>
            </w:tcBorders>
            <w:shd w:val="clear" w:color="auto" w:fill="auto"/>
            <w:noWrap/>
            <w:vAlign w:val="bottom"/>
          </w:tcPr>
          <w:p w:rsidR="00981470" w:rsidRPr="0030398A" w:rsidRDefault="00981470" w:rsidP="00CB6715">
            <w:pPr>
              <w:widowControl/>
              <w:autoSpaceDE/>
              <w:autoSpaceDN/>
              <w:adjustRightInd/>
              <w:jc w:val="center"/>
              <w:rPr>
                <w:sz w:val="20"/>
                <w:szCs w:val="20"/>
              </w:rPr>
            </w:pPr>
            <w:r w:rsidRPr="0030398A">
              <w:rPr>
                <w:sz w:val="20"/>
                <w:szCs w:val="20"/>
              </w:rPr>
              <w:t>$2,278.4</w:t>
            </w:r>
          </w:p>
        </w:tc>
      </w:tr>
      <w:tr w:rsidR="00981470" w:rsidRPr="0030398A" w:rsidTr="00CB6715">
        <w:trPr>
          <w:trHeight w:val="255"/>
        </w:trPr>
        <w:tc>
          <w:tcPr>
            <w:tcW w:w="2060" w:type="dxa"/>
            <w:tcBorders>
              <w:top w:val="nil"/>
              <w:left w:val="nil"/>
              <w:bottom w:val="nil"/>
              <w:right w:val="nil"/>
            </w:tcBorders>
            <w:shd w:val="clear" w:color="auto" w:fill="auto"/>
            <w:noWrap/>
            <w:vAlign w:val="bottom"/>
          </w:tcPr>
          <w:p w:rsidR="00981470" w:rsidRPr="0030398A" w:rsidRDefault="00981470" w:rsidP="008D59EF">
            <w:pPr>
              <w:widowControl/>
              <w:autoSpaceDE/>
              <w:autoSpaceDN/>
              <w:adjustRightInd/>
              <w:ind w:firstLineChars="100" w:firstLine="200"/>
              <w:rPr>
                <w:sz w:val="20"/>
                <w:szCs w:val="20"/>
              </w:rPr>
            </w:pPr>
            <w:r w:rsidRPr="0030398A">
              <w:rPr>
                <w:sz w:val="20"/>
                <w:szCs w:val="20"/>
              </w:rPr>
              <w:t>Claim Denied</w:t>
            </w:r>
          </w:p>
        </w:tc>
        <w:tc>
          <w:tcPr>
            <w:tcW w:w="1080" w:type="dxa"/>
            <w:tcBorders>
              <w:top w:val="nil"/>
              <w:left w:val="nil"/>
              <w:bottom w:val="nil"/>
              <w:right w:val="nil"/>
            </w:tcBorders>
            <w:shd w:val="clear" w:color="auto" w:fill="auto"/>
            <w:noWrap/>
            <w:vAlign w:val="bottom"/>
          </w:tcPr>
          <w:p w:rsidR="00981470" w:rsidRPr="0030398A" w:rsidRDefault="00981470" w:rsidP="00CB6715">
            <w:pPr>
              <w:widowControl/>
              <w:autoSpaceDE/>
              <w:autoSpaceDN/>
              <w:adjustRightInd/>
              <w:jc w:val="center"/>
              <w:rPr>
                <w:sz w:val="20"/>
                <w:szCs w:val="20"/>
              </w:rPr>
            </w:pPr>
            <w:r w:rsidRPr="0030398A">
              <w:rPr>
                <w:sz w:val="20"/>
                <w:szCs w:val="20"/>
              </w:rPr>
              <w:t>$262.9</w:t>
            </w:r>
          </w:p>
        </w:tc>
        <w:tc>
          <w:tcPr>
            <w:tcW w:w="1080" w:type="dxa"/>
            <w:tcBorders>
              <w:top w:val="nil"/>
              <w:left w:val="nil"/>
              <w:bottom w:val="nil"/>
              <w:right w:val="nil"/>
            </w:tcBorders>
            <w:shd w:val="clear" w:color="auto" w:fill="auto"/>
            <w:noWrap/>
            <w:vAlign w:val="bottom"/>
          </w:tcPr>
          <w:p w:rsidR="00981470" w:rsidRPr="0030398A" w:rsidRDefault="00981470" w:rsidP="00CB6715">
            <w:pPr>
              <w:widowControl/>
              <w:autoSpaceDE/>
              <w:autoSpaceDN/>
              <w:adjustRightInd/>
              <w:jc w:val="center"/>
              <w:rPr>
                <w:sz w:val="20"/>
                <w:szCs w:val="20"/>
              </w:rPr>
            </w:pPr>
            <w:r w:rsidRPr="0030398A">
              <w:rPr>
                <w:sz w:val="20"/>
                <w:szCs w:val="20"/>
              </w:rPr>
              <w:t>$29.3</w:t>
            </w:r>
          </w:p>
        </w:tc>
        <w:tc>
          <w:tcPr>
            <w:tcW w:w="1080" w:type="dxa"/>
            <w:tcBorders>
              <w:top w:val="nil"/>
              <w:left w:val="nil"/>
              <w:bottom w:val="nil"/>
              <w:right w:val="nil"/>
            </w:tcBorders>
            <w:shd w:val="clear" w:color="auto" w:fill="auto"/>
            <w:noWrap/>
            <w:vAlign w:val="bottom"/>
          </w:tcPr>
          <w:p w:rsidR="00981470" w:rsidRPr="0030398A" w:rsidRDefault="00981470" w:rsidP="00CB6715">
            <w:pPr>
              <w:widowControl/>
              <w:autoSpaceDE/>
              <w:autoSpaceDN/>
              <w:adjustRightInd/>
              <w:jc w:val="center"/>
              <w:rPr>
                <w:sz w:val="20"/>
                <w:szCs w:val="20"/>
              </w:rPr>
            </w:pPr>
            <w:r w:rsidRPr="0030398A">
              <w:rPr>
                <w:sz w:val="20"/>
                <w:szCs w:val="20"/>
              </w:rPr>
              <w:t>$292.2</w:t>
            </w:r>
          </w:p>
        </w:tc>
        <w:tc>
          <w:tcPr>
            <w:tcW w:w="1080" w:type="dxa"/>
            <w:tcBorders>
              <w:top w:val="nil"/>
              <w:left w:val="single" w:sz="8" w:space="0" w:color="auto"/>
              <w:bottom w:val="nil"/>
              <w:right w:val="nil"/>
            </w:tcBorders>
            <w:shd w:val="clear" w:color="auto" w:fill="auto"/>
            <w:noWrap/>
            <w:vAlign w:val="bottom"/>
          </w:tcPr>
          <w:p w:rsidR="00981470" w:rsidRPr="0030398A" w:rsidRDefault="00981470" w:rsidP="00CB6715">
            <w:pPr>
              <w:widowControl/>
              <w:autoSpaceDE/>
              <w:autoSpaceDN/>
              <w:adjustRightInd/>
              <w:jc w:val="center"/>
              <w:rPr>
                <w:sz w:val="20"/>
                <w:szCs w:val="20"/>
              </w:rPr>
            </w:pPr>
            <w:r w:rsidRPr="0030398A">
              <w:rPr>
                <w:sz w:val="20"/>
                <w:szCs w:val="20"/>
              </w:rPr>
              <w:t>$479.3</w:t>
            </w:r>
          </w:p>
        </w:tc>
        <w:tc>
          <w:tcPr>
            <w:tcW w:w="1080" w:type="dxa"/>
            <w:tcBorders>
              <w:top w:val="nil"/>
              <w:left w:val="nil"/>
              <w:bottom w:val="nil"/>
              <w:right w:val="nil"/>
            </w:tcBorders>
            <w:shd w:val="clear" w:color="auto" w:fill="auto"/>
            <w:noWrap/>
            <w:vAlign w:val="bottom"/>
          </w:tcPr>
          <w:p w:rsidR="00981470" w:rsidRPr="0030398A" w:rsidRDefault="00981470" w:rsidP="00CB6715">
            <w:pPr>
              <w:widowControl/>
              <w:autoSpaceDE/>
              <w:autoSpaceDN/>
              <w:adjustRightInd/>
              <w:jc w:val="center"/>
              <w:rPr>
                <w:sz w:val="20"/>
                <w:szCs w:val="20"/>
              </w:rPr>
            </w:pPr>
            <w:r w:rsidRPr="0030398A">
              <w:rPr>
                <w:sz w:val="20"/>
                <w:szCs w:val="20"/>
              </w:rPr>
              <w:t>$53.5</w:t>
            </w:r>
          </w:p>
        </w:tc>
        <w:tc>
          <w:tcPr>
            <w:tcW w:w="1080" w:type="dxa"/>
            <w:tcBorders>
              <w:top w:val="nil"/>
              <w:left w:val="nil"/>
              <w:bottom w:val="nil"/>
              <w:right w:val="single" w:sz="8" w:space="0" w:color="auto"/>
            </w:tcBorders>
            <w:shd w:val="clear" w:color="auto" w:fill="auto"/>
            <w:noWrap/>
            <w:vAlign w:val="bottom"/>
          </w:tcPr>
          <w:p w:rsidR="00981470" w:rsidRPr="0030398A" w:rsidRDefault="00981470" w:rsidP="00CB6715">
            <w:pPr>
              <w:widowControl/>
              <w:autoSpaceDE/>
              <w:autoSpaceDN/>
              <w:adjustRightInd/>
              <w:jc w:val="center"/>
              <w:rPr>
                <w:sz w:val="20"/>
                <w:szCs w:val="20"/>
              </w:rPr>
            </w:pPr>
            <w:r w:rsidRPr="0030398A">
              <w:rPr>
                <w:sz w:val="20"/>
                <w:szCs w:val="20"/>
              </w:rPr>
              <w:t>$532.8</w:t>
            </w:r>
          </w:p>
        </w:tc>
        <w:tc>
          <w:tcPr>
            <w:tcW w:w="1080" w:type="dxa"/>
            <w:tcBorders>
              <w:top w:val="nil"/>
              <w:left w:val="nil"/>
              <w:bottom w:val="nil"/>
              <w:right w:val="nil"/>
            </w:tcBorders>
            <w:shd w:val="clear" w:color="auto" w:fill="auto"/>
            <w:noWrap/>
            <w:vAlign w:val="bottom"/>
          </w:tcPr>
          <w:p w:rsidR="00981470" w:rsidRPr="0030398A" w:rsidRDefault="00981470" w:rsidP="00CB6715">
            <w:pPr>
              <w:widowControl/>
              <w:autoSpaceDE/>
              <w:autoSpaceDN/>
              <w:adjustRightInd/>
              <w:jc w:val="center"/>
              <w:rPr>
                <w:sz w:val="20"/>
                <w:szCs w:val="20"/>
              </w:rPr>
            </w:pPr>
            <w:r w:rsidRPr="0030398A">
              <w:rPr>
                <w:sz w:val="20"/>
                <w:szCs w:val="20"/>
              </w:rPr>
              <w:t>$657.5</w:t>
            </w:r>
          </w:p>
        </w:tc>
        <w:tc>
          <w:tcPr>
            <w:tcW w:w="1080" w:type="dxa"/>
            <w:tcBorders>
              <w:top w:val="nil"/>
              <w:left w:val="nil"/>
              <w:bottom w:val="nil"/>
              <w:right w:val="nil"/>
            </w:tcBorders>
            <w:shd w:val="clear" w:color="auto" w:fill="auto"/>
            <w:noWrap/>
            <w:vAlign w:val="bottom"/>
          </w:tcPr>
          <w:p w:rsidR="00981470" w:rsidRPr="0030398A" w:rsidRDefault="00981470" w:rsidP="00CB6715">
            <w:pPr>
              <w:widowControl/>
              <w:autoSpaceDE/>
              <w:autoSpaceDN/>
              <w:adjustRightInd/>
              <w:jc w:val="center"/>
              <w:rPr>
                <w:sz w:val="20"/>
                <w:szCs w:val="20"/>
              </w:rPr>
            </w:pPr>
            <w:r w:rsidRPr="0030398A">
              <w:rPr>
                <w:sz w:val="20"/>
                <w:szCs w:val="20"/>
              </w:rPr>
              <w:t>$73.3</w:t>
            </w:r>
          </w:p>
        </w:tc>
        <w:tc>
          <w:tcPr>
            <w:tcW w:w="1080" w:type="dxa"/>
            <w:tcBorders>
              <w:top w:val="nil"/>
              <w:left w:val="nil"/>
              <w:bottom w:val="nil"/>
              <w:right w:val="nil"/>
            </w:tcBorders>
            <w:shd w:val="clear" w:color="auto" w:fill="auto"/>
            <w:noWrap/>
            <w:vAlign w:val="bottom"/>
          </w:tcPr>
          <w:p w:rsidR="00981470" w:rsidRPr="0030398A" w:rsidRDefault="00981470" w:rsidP="00CB6715">
            <w:pPr>
              <w:widowControl/>
              <w:autoSpaceDE/>
              <w:autoSpaceDN/>
              <w:adjustRightInd/>
              <w:jc w:val="center"/>
              <w:rPr>
                <w:sz w:val="20"/>
                <w:szCs w:val="20"/>
              </w:rPr>
            </w:pPr>
            <w:r w:rsidRPr="0030398A">
              <w:rPr>
                <w:sz w:val="20"/>
                <w:szCs w:val="20"/>
              </w:rPr>
              <w:t>$730.8</w:t>
            </w:r>
          </w:p>
        </w:tc>
      </w:tr>
      <w:tr w:rsidR="00981470" w:rsidRPr="0030398A" w:rsidTr="00CB6715">
        <w:trPr>
          <w:trHeight w:val="255"/>
        </w:trPr>
        <w:tc>
          <w:tcPr>
            <w:tcW w:w="2060" w:type="dxa"/>
            <w:tcBorders>
              <w:top w:val="nil"/>
              <w:left w:val="nil"/>
              <w:bottom w:val="nil"/>
              <w:right w:val="nil"/>
            </w:tcBorders>
            <w:shd w:val="clear" w:color="auto" w:fill="auto"/>
            <w:noWrap/>
            <w:vAlign w:val="bottom"/>
          </w:tcPr>
          <w:p w:rsidR="00981470" w:rsidRPr="0030398A" w:rsidRDefault="00981470" w:rsidP="00CB6715">
            <w:pPr>
              <w:widowControl/>
              <w:autoSpaceDE/>
              <w:autoSpaceDN/>
              <w:adjustRightInd/>
              <w:rPr>
                <w:sz w:val="20"/>
                <w:szCs w:val="20"/>
              </w:rPr>
            </w:pPr>
            <w:r w:rsidRPr="0030398A">
              <w:rPr>
                <w:sz w:val="20"/>
                <w:szCs w:val="20"/>
              </w:rPr>
              <w:t>Post-Service</w:t>
            </w:r>
          </w:p>
        </w:tc>
        <w:tc>
          <w:tcPr>
            <w:tcW w:w="1080" w:type="dxa"/>
            <w:tcBorders>
              <w:top w:val="nil"/>
              <w:left w:val="nil"/>
              <w:bottom w:val="nil"/>
              <w:right w:val="nil"/>
            </w:tcBorders>
            <w:shd w:val="clear" w:color="auto" w:fill="auto"/>
            <w:noWrap/>
            <w:vAlign w:val="bottom"/>
          </w:tcPr>
          <w:p w:rsidR="00981470" w:rsidRPr="0030398A" w:rsidRDefault="00981470" w:rsidP="00CB6715">
            <w:pPr>
              <w:widowControl/>
              <w:autoSpaceDE/>
              <w:autoSpaceDN/>
              <w:adjustRightInd/>
              <w:jc w:val="center"/>
              <w:rPr>
                <w:sz w:val="20"/>
                <w:szCs w:val="20"/>
              </w:rPr>
            </w:pPr>
          </w:p>
        </w:tc>
        <w:tc>
          <w:tcPr>
            <w:tcW w:w="1080" w:type="dxa"/>
            <w:tcBorders>
              <w:top w:val="nil"/>
              <w:left w:val="nil"/>
              <w:bottom w:val="nil"/>
              <w:right w:val="nil"/>
            </w:tcBorders>
            <w:shd w:val="clear" w:color="auto" w:fill="auto"/>
            <w:noWrap/>
            <w:vAlign w:val="bottom"/>
          </w:tcPr>
          <w:p w:rsidR="00981470" w:rsidRPr="0030398A" w:rsidRDefault="00981470" w:rsidP="00CB6715">
            <w:pPr>
              <w:widowControl/>
              <w:autoSpaceDE/>
              <w:autoSpaceDN/>
              <w:adjustRightInd/>
              <w:jc w:val="center"/>
              <w:rPr>
                <w:sz w:val="20"/>
                <w:szCs w:val="20"/>
              </w:rPr>
            </w:pPr>
          </w:p>
        </w:tc>
        <w:tc>
          <w:tcPr>
            <w:tcW w:w="1080" w:type="dxa"/>
            <w:tcBorders>
              <w:top w:val="nil"/>
              <w:left w:val="nil"/>
              <w:bottom w:val="nil"/>
              <w:right w:val="nil"/>
            </w:tcBorders>
            <w:shd w:val="clear" w:color="auto" w:fill="auto"/>
            <w:noWrap/>
            <w:vAlign w:val="bottom"/>
          </w:tcPr>
          <w:p w:rsidR="00981470" w:rsidRPr="0030398A" w:rsidRDefault="00981470" w:rsidP="00CB6715">
            <w:pPr>
              <w:widowControl/>
              <w:autoSpaceDE/>
              <w:autoSpaceDN/>
              <w:adjustRightInd/>
              <w:jc w:val="center"/>
              <w:rPr>
                <w:sz w:val="20"/>
                <w:szCs w:val="20"/>
              </w:rPr>
            </w:pPr>
          </w:p>
        </w:tc>
        <w:tc>
          <w:tcPr>
            <w:tcW w:w="1080" w:type="dxa"/>
            <w:tcBorders>
              <w:top w:val="nil"/>
              <w:left w:val="single" w:sz="8" w:space="0" w:color="auto"/>
              <w:bottom w:val="nil"/>
              <w:right w:val="nil"/>
            </w:tcBorders>
            <w:shd w:val="clear" w:color="auto" w:fill="auto"/>
            <w:noWrap/>
            <w:vAlign w:val="bottom"/>
          </w:tcPr>
          <w:p w:rsidR="00981470" w:rsidRPr="0030398A" w:rsidRDefault="00981470" w:rsidP="00CB6715">
            <w:pPr>
              <w:widowControl/>
              <w:autoSpaceDE/>
              <w:autoSpaceDN/>
              <w:adjustRightInd/>
              <w:jc w:val="center"/>
              <w:rPr>
                <w:sz w:val="20"/>
                <w:szCs w:val="20"/>
              </w:rPr>
            </w:pPr>
            <w:r w:rsidRPr="0030398A">
              <w:rPr>
                <w:sz w:val="20"/>
                <w:szCs w:val="20"/>
              </w:rPr>
              <w:t> </w:t>
            </w:r>
          </w:p>
        </w:tc>
        <w:tc>
          <w:tcPr>
            <w:tcW w:w="1080" w:type="dxa"/>
            <w:tcBorders>
              <w:top w:val="nil"/>
              <w:left w:val="nil"/>
              <w:bottom w:val="nil"/>
              <w:right w:val="nil"/>
            </w:tcBorders>
            <w:shd w:val="clear" w:color="auto" w:fill="auto"/>
            <w:noWrap/>
            <w:vAlign w:val="bottom"/>
          </w:tcPr>
          <w:p w:rsidR="00981470" w:rsidRPr="0030398A" w:rsidRDefault="00981470" w:rsidP="00CB6715">
            <w:pPr>
              <w:widowControl/>
              <w:autoSpaceDE/>
              <w:autoSpaceDN/>
              <w:adjustRightInd/>
              <w:jc w:val="center"/>
              <w:rPr>
                <w:sz w:val="20"/>
                <w:szCs w:val="20"/>
              </w:rPr>
            </w:pPr>
          </w:p>
        </w:tc>
        <w:tc>
          <w:tcPr>
            <w:tcW w:w="1080" w:type="dxa"/>
            <w:tcBorders>
              <w:top w:val="nil"/>
              <w:left w:val="nil"/>
              <w:bottom w:val="nil"/>
              <w:right w:val="single" w:sz="8" w:space="0" w:color="auto"/>
            </w:tcBorders>
            <w:shd w:val="clear" w:color="auto" w:fill="auto"/>
            <w:noWrap/>
            <w:vAlign w:val="bottom"/>
          </w:tcPr>
          <w:p w:rsidR="00981470" w:rsidRPr="0030398A" w:rsidRDefault="00981470" w:rsidP="00CB6715">
            <w:pPr>
              <w:widowControl/>
              <w:autoSpaceDE/>
              <w:autoSpaceDN/>
              <w:adjustRightInd/>
              <w:jc w:val="center"/>
              <w:rPr>
                <w:sz w:val="20"/>
                <w:szCs w:val="20"/>
              </w:rPr>
            </w:pPr>
            <w:r w:rsidRPr="0030398A">
              <w:rPr>
                <w:sz w:val="20"/>
                <w:szCs w:val="20"/>
              </w:rPr>
              <w:t> </w:t>
            </w:r>
          </w:p>
        </w:tc>
        <w:tc>
          <w:tcPr>
            <w:tcW w:w="1080" w:type="dxa"/>
            <w:tcBorders>
              <w:top w:val="nil"/>
              <w:left w:val="nil"/>
              <w:bottom w:val="nil"/>
              <w:right w:val="nil"/>
            </w:tcBorders>
            <w:shd w:val="clear" w:color="auto" w:fill="auto"/>
            <w:noWrap/>
            <w:vAlign w:val="bottom"/>
          </w:tcPr>
          <w:p w:rsidR="00981470" w:rsidRPr="0030398A" w:rsidRDefault="00981470" w:rsidP="00CB6715">
            <w:pPr>
              <w:widowControl/>
              <w:autoSpaceDE/>
              <w:autoSpaceDN/>
              <w:adjustRightInd/>
              <w:jc w:val="center"/>
              <w:rPr>
                <w:sz w:val="20"/>
                <w:szCs w:val="20"/>
              </w:rPr>
            </w:pPr>
          </w:p>
        </w:tc>
        <w:tc>
          <w:tcPr>
            <w:tcW w:w="1080" w:type="dxa"/>
            <w:tcBorders>
              <w:top w:val="nil"/>
              <w:left w:val="nil"/>
              <w:bottom w:val="nil"/>
              <w:right w:val="nil"/>
            </w:tcBorders>
            <w:shd w:val="clear" w:color="auto" w:fill="auto"/>
            <w:noWrap/>
            <w:vAlign w:val="bottom"/>
          </w:tcPr>
          <w:p w:rsidR="00981470" w:rsidRPr="0030398A" w:rsidRDefault="00981470" w:rsidP="00CB6715">
            <w:pPr>
              <w:widowControl/>
              <w:autoSpaceDE/>
              <w:autoSpaceDN/>
              <w:adjustRightInd/>
              <w:jc w:val="center"/>
              <w:rPr>
                <w:sz w:val="20"/>
                <w:szCs w:val="20"/>
              </w:rPr>
            </w:pPr>
          </w:p>
        </w:tc>
        <w:tc>
          <w:tcPr>
            <w:tcW w:w="1080" w:type="dxa"/>
            <w:tcBorders>
              <w:top w:val="nil"/>
              <w:left w:val="nil"/>
              <w:bottom w:val="nil"/>
              <w:right w:val="nil"/>
            </w:tcBorders>
            <w:shd w:val="clear" w:color="auto" w:fill="auto"/>
            <w:noWrap/>
            <w:vAlign w:val="bottom"/>
          </w:tcPr>
          <w:p w:rsidR="00981470" w:rsidRPr="0030398A" w:rsidRDefault="00981470" w:rsidP="00CB6715">
            <w:pPr>
              <w:widowControl/>
              <w:autoSpaceDE/>
              <w:autoSpaceDN/>
              <w:adjustRightInd/>
              <w:jc w:val="center"/>
              <w:rPr>
                <w:sz w:val="20"/>
                <w:szCs w:val="20"/>
              </w:rPr>
            </w:pPr>
          </w:p>
        </w:tc>
      </w:tr>
      <w:tr w:rsidR="00981470" w:rsidRPr="0030398A" w:rsidTr="00CB6715">
        <w:trPr>
          <w:trHeight w:val="255"/>
        </w:trPr>
        <w:tc>
          <w:tcPr>
            <w:tcW w:w="2060" w:type="dxa"/>
            <w:tcBorders>
              <w:top w:val="nil"/>
              <w:left w:val="nil"/>
              <w:bottom w:val="nil"/>
              <w:right w:val="nil"/>
            </w:tcBorders>
            <w:shd w:val="clear" w:color="auto" w:fill="auto"/>
            <w:noWrap/>
            <w:vAlign w:val="bottom"/>
          </w:tcPr>
          <w:p w:rsidR="00981470" w:rsidRPr="0030398A" w:rsidRDefault="00981470" w:rsidP="008D59EF">
            <w:pPr>
              <w:widowControl/>
              <w:autoSpaceDE/>
              <w:autoSpaceDN/>
              <w:adjustRightInd/>
              <w:ind w:firstLineChars="100" w:firstLine="200"/>
              <w:rPr>
                <w:sz w:val="20"/>
                <w:szCs w:val="20"/>
              </w:rPr>
            </w:pPr>
            <w:r w:rsidRPr="0030398A">
              <w:rPr>
                <w:sz w:val="20"/>
                <w:szCs w:val="20"/>
              </w:rPr>
              <w:t>Claim Denied</w:t>
            </w:r>
          </w:p>
        </w:tc>
        <w:tc>
          <w:tcPr>
            <w:tcW w:w="1080" w:type="dxa"/>
            <w:tcBorders>
              <w:top w:val="nil"/>
              <w:left w:val="nil"/>
              <w:bottom w:val="nil"/>
              <w:right w:val="nil"/>
            </w:tcBorders>
            <w:shd w:val="clear" w:color="auto" w:fill="auto"/>
            <w:noWrap/>
            <w:vAlign w:val="bottom"/>
          </w:tcPr>
          <w:p w:rsidR="00981470" w:rsidRPr="0030398A" w:rsidRDefault="00981470" w:rsidP="00CB6715">
            <w:pPr>
              <w:widowControl/>
              <w:autoSpaceDE/>
              <w:autoSpaceDN/>
              <w:adjustRightInd/>
              <w:jc w:val="center"/>
              <w:rPr>
                <w:sz w:val="20"/>
                <w:szCs w:val="20"/>
              </w:rPr>
            </w:pPr>
            <w:r w:rsidRPr="0030398A">
              <w:rPr>
                <w:sz w:val="20"/>
                <w:szCs w:val="20"/>
              </w:rPr>
              <w:t>$8,500.9</w:t>
            </w:r>
          </w:p>
        </w:tc>
        <w:tc>
          <w:tcPr>
            <w:tcW w:w="1080" w:type="dxa"/>
            <w:tcBorders>
              <w:top w:val="nil"/>
              <w:left w:val="nil"/>
              <w:bottom w:val="nil"/>
              <w:right w:val="nil"/>
            </w:tcBorders>
            <w:shd w:val="clear" w:color="auto" w:fill="auto"/>
            <w:noWrap/>
            <w:vAlign w:val="bottom"/>
          </w:tcPr>
          <w:p w:rsidR="00981470" w:rsidRPr="0030398A" w:rsidRDefault="00981470" w:rsidP="00CB6715">
            <w:pPr>
              <w:widowControl/>
              <w:autoSpaceDE/>
              <w:autoSpaceDN/>
              <w:adjustRightInd/>
              <w:jc w:val="center"/>
              <w:rPr>
                <w:sz w:val="20"/>
                <w:szCs w:val="20"/>
              </w:rPr>
            </w:pPr>
            <w:r w:rsidRPr="0030398A">
              <w:rPr>
                <w:sz w:val="20"/>
                <w:szCs w:val="20"/>
              </w:rPr>
              <w:t>$948.3</w:t>
            </w:r>
          </w:p>
        </w:tc>
        <w:tc>
          <w:tcPr>
            <w:tcW w:w="1080" w:type="dxa"/>
            <w:tcBorders>
              <w:top w:val="nil"/>
              <w:left w:val="nil"/>
              <w:bottom w:val="nil"/>
              <w:right w:val="nil"/>
            </w:tcBorders>
            <w:shd w:val="clear" w:color="auto" w:fill="auto"/>
            <w:noWrap/>
            <w:vAlign w:val="bottom"/>
          </w:tcPr>
          <w:p w:rsidR="00981470" w:rsidRPr="0030398A" w:rsidRDefault="00981470" w:rsidP="00CB6715">
            <w:pPr>
              <w:widowControl/>
              <w:autoSpaceDE/>
              <w:autoSpaceDN/>
              <w:adjustRightInd/>
              <w:jc w:val="center"/>
              <w:rPr>
                <w:sz w:val="20"/>
                <w:szCs w:val="20"/>
              </w:rPr>
            </w:pPr>
            <w:r w:rsidRPr="0030398A">
              <w:rPr>
                <w:sz w:val="20"/>
                <w:szCs w:val="20"/>
              </w:rPr>
              <w:t>$9,449.2</w:t>
            </w:r>
          </w:p>
        </w:tc>
        <w:tc>
          <w:tcPr>
            <w:tcW w:w="1080" w:type="dxa"/>
            <w:tcBorders>
              <w:top w:val="nil"/>
              <w:left w:val="single" w:sz="8" w:space="0" w:color="auto"/>
              <w:bottom w:val="nil"/>
              <w:right w:val="nil"/>
            </w:tcBorders>
            <w:shd w:val="clear" w:color="auto" w:fill="auto"/>
            <w:noWrap/>
            <w:vAlign w:val="bottom"/>
          </w:tcPr>
          <w:p w:rsidR="00981470" w:rsidRPr="0030398A" w:rsidRDefault="00981470" w:rsidP="00CB6715">
            <w:pPr>
              <w:widowControl/>
              <w:autoSpaceDE/>
              <w:autoSpaceDN/>
              <w:adjustRightInd/>
              <w:jc w:val="center"/>
              <w:rPr>
                <w:sz w:val="20"/>
                <w:szCs w:val="20"/>
              </w:rPr>
            </w:pPr>
            <w:r w:rsidRPr="0030398A">
              <w:rPr>
                <w:sz w:val="20"/>
                <w:szCs w:val="20"/>
              </w:rPr>
              <w:t>$15,498.3</w:t>
            </w:r>
          </w:p>
        </w:tc>
        <w:tc>
          <w:tcPr>
            <w:tcW w:w="1080" w:type="dxa"/>
            <w:tcBorders>
              <w:top w:val="nil"/>
              <w:left w:val="nil"/>
              <w:bottom w:val="nil"/>
              <w:right w:val="nil"/>
            </w:tcBorders>
            <w:shd w:val="clear" w:color="auto" w:fill="auto"/>
            <w:noWrap/>
            <w:vAlign w:val="bottom"/>
          </w:tcPr>
          <w:p w:rsidR="00981470" w:rsidRPr="0030398A" w:rsidRDefault="00981470" w:rsidP="00CB6715">
            <w:pPr>
              <w:widowControl/>
              <w:autoSpaceDE/>
              <w:autoSpaceDN/>
              <w:adjustRightInd/>
              <w:jc w:val="center"/>
              <w:rPr>
                <w:sz w:val="20"/>
                <w:szCs w:val="20"/>
              </w:rPr>
            </w:pPr>
            <w:r w:rsidRPr="0030398A">
              <w:rPr>
                <w:sz w:val="20"/>
                <w:szCs w:val="20"/>
              </w:rPr>
              <w:t>$1,728.9</w:t>
            </w:r>
          </w:p>
        </w:tc>
        <w:tc>
          <w:tcPr>
            <w:tcW w:w="1080" w:type="dxa"/>
            <w:tcBorders>
              <w:top w:val="nil"/>
              <w:left w:val="nil"/>
              <w:bottom w:val="nil"/>
              <w:right w:val="single" w:sz="8" w:space="0" w:color="auto"/>
            </w:tcBorders>
            <w:shd w:val="clear" w:color="auto" w:fill="auto"/>
            <w:noWrap/>
            <w:vAlign w:val="bottom"/>
          </w:tcPr>
          <w:p w:rsidR="00981470" w:rsidRPr="0030398A" w:rsidRDefault="00981470" w:rsidP="00CB6715">
            <w:pPr>
              <w:widowControl/>
              <w:autoSpaceDE/>
              <w:autoSpaceDN/>
              <w:adjustRightInd/>
              <w:jc w:val="center"/>
              <w:rPr>
                <w:sz w:val="20"/>
                <w:szCs w:val="20"/>
              </w:rPr>
            </w:pPr>
            <w:r w:rsidRPr="0030398A">
              <w:rPr>
                <w:sz w:val="20"/>
                <w:szCs w:val="20"/>
              </w:rPr>
              <w:t>$17,227.1</w:t>
            </w:r>
          </w:p>
        </w:tc>
        <w:tc>
          <w:tcPr>
            <w:tcW w:w="1080" w:type="dxa"/>
            <w:tcBorders>
              <w:top w:val="nil"/>
              <w:left w:val="nil"/>
              <w:bottom w:val="nil"/>
              <w:right w:val="nil"/>
            </w:tcBorders>
            <w:shd w:val="clear" w:color="auto" w:fill="auto"/>
            <w:noWrap/>
            <w:vAlign w:val="bottom"/>
          </w:tcPr>
          <w:p w:rsidR="00981470" w:rsidRPr="0030398A" w:rsidRDefault="00981470" w:rsidP="00CB6715">
            <w:pPr>
              <w:widowControl/>
              <w:autoSpaceDE/>
              <w:autoSpaceDN/>
              <w:adjustRightInd/>
              <w:jc w:val="center"/>
              <w:rPr>
                <w:sz w:val="20"/>
                <w:szCs w:val="20"/>
              </w:rPr>
            </w:pPr>
            <w:r w:rsidRPr="0030398A">
              <w:rPr>
                <w:sz w:val="20"/>
                <w:szCs w:val="20"/>
              </w:rPr>
              <w:t>$21,258.0</w:t>
            </w:r>
          </w:p>
        </w:tc>
        <w:tc>
          <w:tcPr>
            <w:tcW w:w="1080" w:type="dxa"/>
            <w:tcBorders>
              <w:top w:val="nil"/>
              <w:left w:val="nil"/>
              <w:bottom w:val="nil"/>
              <w:right w:val="nil"/>
            </w:tcBorders>
            <w:shd w:val="clear" w:color="auto" w:fill="auto"/>
            <w:noWrap/>
            <w:vAlign w:val="bottom"/>
          </w:tcPr>
          <w:p w:rsidR="00981470" w:rsidRPr="0030398A" w:rsidRDefault="00981470" w:rsidP="00CB6715">
            <w:pPr>
              <w:widowControl/>
              <w:autoSpaceDE/>
              <w:autoSpaceDN/>
              <w:adjustRightInd/>
              <w:jc w:val="center"/>
              <w:rPr>
                <w:sz w:val="20"/>
                <w:szCs w:val="20"/>
              </w:rPr>
            </w:pPr>
            <w:r w:rsidRPr="0030398A">
              <w:rPr>
                <w:sz w:val="20"/>
                <w:szCs w:val="20"/>
              </w:rPr>
              <w:t>$2,371.4</w:t>
            </w:r>
          </w:p>
        </w:tc>
        <w:tc>
          <w:tcPr>
            <w:tcW w:w="1080" w:type="dxa"/>
            <w:tcBorders>
              <w:top w:val="nil"/>
              <w:left w:val="nil"/>
              <w:bottom w:val="nil"/>
              <w:right w:val="nil"/>
            </w:tcBorders>
            <w:shd w:val="clear" w:color="auto" w:fill="auto"/>
            <w:noWrap/>
            <w:vAlign w:val="bottom"/>
          </w:tcPr>
          <w:p w:rsidR="00981470" w:rsidRPr="0030398A" w:rsidRDefault="00981470" w:rsidP="00CB6715">
            <w:pPr>
              <w:widowControl/>
              <w:autoSpaceDE/>
              <w:autoSpaceDN/>
              <w:adjustRightInd/>
              <w:jc w:val="center"/>
              <w:rPr>
                <w:sz w:val="20"/>
                <w:szCs w:val="20"/>
              </w:rPr>
            </w:pPr>
            <w:r w:rsidRPr="0030398A">
              <w:rPr>
                <w:sz w:val="20"/>
                <w:szCs w:val="20"/>
              </w:rPr>
              <w:t>$23,629.4</w:t>
            </w:r>
          </w:p>
        </w:tc>
      </w:tr>
      <w:tr w:rsidR="00981470" w:rsidRPr="0030398A" w:rsidTr="00CB6715">
        <w:trPr>
          <w:trHeight w:val="255"/>
        </w:trPr>
        <w:tc>
          <w:tcPr>
            <w:tcW w:w="2060" w:type="dxa"/>
            <w:tcBorders>
              <w:top w:val="nil"/>
              <w:left w:val="nil"/>
              <w:bottom w:val="nil"/>
              <w:right w:val="nil"/>
            </w:tcBorders>
            <w:shd w:val="clear" w:color="auto" w:fill="auto"/>
            <w:noWrap/>
            <w:vAlign w:val="bottom"/>
          </w:tcPr>
          <w:p w:rsidR="00981470" w:rsidRPr="0030398A" w:rsidRDefault="00981470" w:rsidP="008D59EF">
            <w:pPr>
              <w:widowControl/>
              <w:autoSpaceDE/>
              <w:autoSpaceDN/>
              <w:adjustRightInd/>
              <w:ind w:firstLineChars="100" w:firstLine="200"/>
              <w:rPr>
                <w:sz w:val="20"/>
                <w:szCs w:val="20"/>
              </w:rPr>
            </w:pPr>
            <w:r w:rsidRPr="0030398A">
              <w:rPr>
                <w:sz w:val="20"/>
                <w:szCs w:val="20"/>
              </w:rPr>
              <w:t>Claim Extended</w:t>
            </w:r>
          </w:p>
        </w:tc>
        <w:tc>
          <w:tcPr>
            <w:tcW w:w="1080" w:type="dxa"/>
            <w:tcBorders>
              <w:top w:val="nil"/>
              <w:left w:val="nil"/>
              <w:bottom w:val="nil"/>
              <w:right w:val="nil"/>
            </w:tcBorders>
            <w:shd w:val="clear" w:color="auto" w:fill="auto"/>
            <w:noWrap/>
            <w:vAlign w:val="bottom"/>
          </w:tcPr>
          <w:p w:rsidR="00981470" w:rsidRPr="0030398A" w:rsidRDefault="00981470" w:rsidP="00CB6715">
            <w:pPr>
              <w:widowControl/>
              <w:autoSpaceDE/>
              <w:autoSpaceDN/>
              <w:adjustRightInd/>
              <w:jc w:val="center"/>
              <w:rPr>
                <w:sz w:val="20"/>
                <w:szCs w:val="20"/>
              </w:rPr>
            </w:pPr>
            <w:r w:rsidRPr="0030398A">
              <w:rPr>
                <w:sz w:val="20"/>
                <w:szCs w:val="20"/>
              </w:rPr>
              <w:t>$1,054.1</w:t>
            </w:r>
          </w:p>
        </w:tc>
        <w:tc>
          <w:tcPr>
            <w:tcW w:w="1080" w:type="dxa"/>
            <w:tcBorders>
              <w:top w:val="nil"/>
              <w:left w:val="nil"/>
              <w:bottom w:val="nil"/>
              <w:right w:val="nil"/>
            </w:tcBorders>
            <w:shd w:val="clear" w:color="auto" w:fill="auto"/>
            <w:noWrap/>
            <w:vAlign w:val="bottom"/>
          </w:tcPr>
          <w:p w:rsidR="00981470" w:rsidRPr="0030398A" w:rsidRDefault="00981470" w:rsidP="00CB6715">
            <w:pPr>
              <w:widowControl/>
              <w:autoSpaceDE/>
              <w:autoSpaceDN/>
              <w:adjustRightInd/>
              <w:jc w:val="center"/>
              <w:rPr>
                <w:sz w:val="20"/>
                <w:szCs w:val="20"/>
              </w:rPr>
            </w:pPr>
            <w:r w:rsidRPr="0030398A">
              <w:rPr>
                <w:sz w:val="20"/>
                <w:szCs w:val="20"/>
              </w:rPr>
              <w:t>$235.2</w:t>
            </w:r>
          </w:p>
        </w:tc>
        <w:tc>
          <w:tcPr>
            <w:tcW w:w="1080" w:type="dxa"/>
            <w:tcBorders>
              <w:top w:val="nil"/>
              <w:left w:val="nil"/>
              <w:bottom w:val="nil"/>
              <w:right w:val="nil"/>
            </w:tcBorders>
            <w:shd w:val="clear" w:color="auto" w:fill="auto"/>
            <w:noWrap/>
            <w:vAlign w:val="bottom"/>
          </w:tcPr>
          <w:p w:rsidR="00981470" w:rsidRPr="0030398A" w:rsidRDefault="00981470" w:rsidP="00CB6715">
            <w:pPr>
              <w:widowControl/>
              <w:autoSpaceDE/>
              <w:autoSpaceDN/>
              <w:adjustRightInd/>
              <w:jc w:val="center"/>
              <w:rPr>
                <w:sz w:val="20"/>
                <w:szCs w:val="20"/>
              </w:rPr>
            </w:pPr>
            <w:r w:rsidRPr="0030398A">
              <w:rPr>
                <w:sz w:val="20"/>
                <w:szCs w:val="20"/>
              </w:rPr>
              <w:t>$1,289.3</w:t>
            </w:r>
          </w:p>
        </w:tc>
        <w:tc>
          <w:tcPr>
            <w:tcW w:w="1080" w:type="dxa"/>
            <w:tcBorders>
              <w:top w:val="nil"/>
              <w:left w:val="single" w:sz="8" w:space="0" w:color="auto"/>
              <w:bottom w:val="nil"/>
              <w:right w:val="nil"/>
            </w:tcBorders>
            <w:shd w:val="clear" w:color="auto" w:fill="auto"/>
            <w:noWrap/>
            <w:vAlign w:val="bottom"/>
          </w:tcPr>
          <w:p w:rsidR="00981470" w:rsidRPr="0030398A" w:rsidRDefault="00981470" w:rsidP="00CB6715">
            <w:pPr>
              <w:widowControl/>
              <w:autoSpaceDE/>
              <w:autoSpaceDN/>
              <w:adjustRightInd/>
              <w:jc w:val="center"/>
              <w:rPr>
                <w:sz w:val="20"/>
                <w:szCs w:val="20"/>
              </w:rPr>
            </w:pPr>
            <w:r w:rsidRPr="0030398A">
              <w:rPr>
                <w:sz w:val="20"/>
                <w:szCs w:val="20"/>
              </w:rPr>
              <w:t>$1,921.8</w:t>
            </w:r>
          </w:p>
        </w:tc>
        <w:tc>
          <w:tcPr>
            <w:tcW w:w="1080" w:type="dxa"/>
            <w:tcBorders>
              <w:top w:val="nil"/>
              <w:left w:val="nil"/>
              <w:bottom w:val="nil"/>
              <w:right w:val="nil"/>
            </w:tcBorders>
            <w:shd w:val="clear" w:color="auto" w:fill="auto"/>
            <w:noWrap/>
            <w:vAlign w:val="bottom"/>
          </w:tcPr>
          <w:p w:rsidR="00981470" w:rsidRPr="0030398A" w:rsidRDefault="00981470" w:rsidP="00CB6715">
            <w:pPr>
              <w:widowControl/>
              <w:autoSpaceDE/>
              <w:autoSpaceDN/>
              <w:adjustRightInd/>
              <w:jc w:val="center"/>
              <w:rPr>
                <w:sz w:val="20"/>
                <w:szCs w:val="20"/>
              </w:rPr>
            </w:pPr>
            <w:r w:rsidRPr="0030398A">
              <w:rPr>
                <w:sz w:val="20"/>
                <w:szCs w:val="20"/>
              </w:rPr>
              <w:t>$428.8</w:t>
            </w:r>
          </w:p>
        </w:tc>
        <w:tc>
          <w:tcPr>
            <w:tcW w:w="1080" w:type="dxa"/>
            <w:tcBorders>
              <w:top w:val="nil"/>
              <w:left w:val="nil"/>
              <w:bottom w:val="nil"/>
              <w:right w:val="single" w:sz="8" w:space="0" w:color="auto"/>
            </w:tcBorders>
            <w:shd w:val="clear" w:color="auto" w:fill="auto"/>
            <w:noWrap/>
            <w:vAlign w:val="bottom"/>
          </w:tcPr>
          <w:p w:rsidR="00981470" w:rsidRPr="0030398A" w:rsidRDefault="00981470" w:rsidP="00CB6715">
            <w:pPr>
              <w:widowControl/>
              <w:autoSpaceDE/>
              <w:autoSpaceDN/>
              <w:adjustRightInd/>
              <w:jc w:val="center"/>
              <w:rPr>
                <w:sz w:val="20"/>
                <w:szCs w:val="20"/>
              </w:rPr>
            </w:pPr>
            <w:r w:rsidRPr="0030398A">
              <w:rPr>
                <w:sz w:val="20"/>
                <w:szCs w:val="20"/>
              </w:rPr>
              <w:t>$2,350.5</w:t>
            </w:r>
          </w:p>
        </w:tc>
        <w:tc>
          <w:tcPr>
            <w:tcW w:w="1080" w:type="dxa"/>
            <w:tcBorders>
              <w:top w:val="nil"/>
              <w:left w:val="nil"/>
              <w:bottom w:val="nil"/>
              <w:right w:val="nil"/>
            </w:tcBorders>
            <w:shd w:val="clear" w:color="auto" w:fill="auto"/>
            <w:noWrap/>
            <w:vAlign w:val="bottom"/>
          </w:tcPr>
          <w:p w:rsidR="00981470" w:rsidRPr="0030398A" w:rsidRDefault="00981470" w:rsidP="00CB6715">
            <w:pPr>
              <w:widowControl/>
              <w:autoSpaceDE/>
              <w:autoSpaceDN/>
              <w:adjustRightInd/>
              <w:jc w:val="center"/>
              <w:rPr>
                <w:sz w:val="20"/>
                <w:szCs w:val="20"/>
              </w:rPr>
            </w:pPr>
            <w:r w:rsidRPr="0030398A">
              <w:rPr>
                <w:sz w:val="20"/>
                <w:szCs w:val="20"/>
              </w:rPr>
              <w:t>$2,636.0</w:t>
            </w:r>
          </w:p>
        </w:tc>
        <w:tc>
          <w:tcPr>
            <w:tcW w:w="1080" w:type="dxa"/>
            <w:tcBorders>
              <w:top w:val="nil"/>
              <w:left w:val="nil"/>
              <w:bottom w:val="nil"/>
              <w:right w:val="nil"/>
            </w:tcBorders>
            <w:shd w:val="clear" w:color="auto" w:fill="auto"/>
            <w:noWrap/>
            <w:vAlign w:val="bottom"/>
          </w:tcPr>
          <w:p w:rsidR="00981470" w:rsidRPr="0030398A" w:rsidRDefault="00981470" w:rsidP="00CB6715">
            <w:pPr>
              <w:widowControl/>
              <w:autoSpaceDE/>
              <w:autoSpaceDN/>
              <w:adjustRightInd/>
              <w:jc w:val="center"/>
              <w:rPr>
                <w:sz w:val="20"/>
                <w:szCs w:val="20"/>
              </w:rPr>
            </w:pPr>
            <w:r w:rsidRPr="0030398A">
              <w:rPr>
                <w:sz w:val="20"/>
                <w:szCs w:val="20"/>
              </w:rPr>
              <w:t>$588.1</w:t>
            </w:r>
          </w:p>
        </w:tc>
        <w:tc>
          <w:tcPr>
            <w:tcW w:w="1080" w:type="dxa"/>
            <w:tcBorders>
              <w:top w:val="nil"/>
              <w:left w:val="nil"/>
              <w:bottom w:val="nil"/>
              <w:right w:val="nil"/>
            </w:tcBorders>
            <w:shd w:val="clear" w:color="auto" w:fill="auto"/>
            <w:noWrap/>
            <w:vAlign w:val="bottom"/>
          </w:tcPr>
          <w:p w:rsidR="00981470" w:rsidRPr="0030398A" w:rsidRDefault="00981470" w:rsidP="00CB6715">
            <w:pPr>
              <w:widowControl/>
              <w:autoSpaceDE/>
              <w:autoSpaceDN/>
              <w:adjustRightInd/>
              <w:jc w:val="center"/>
              <w:rPr>
                <w:sz w:val="20"/>
                <w:szCs w:val="20"/>
              </w:rPr>
            </w:pPr>
            <w:r w:rsidRPr="0030398A">
              <w:rPr>
                <w:sz w:val="20"/>
                <w:szCs w:val="20"/>
              </w:rPr>
              <w:t>$3,224.1</w:t>
            </w:r>
          </w:p>
        </w:tc>
      </w:tr>
      <w:tr w:rsidR="00981470" w:rsidRPr="0030398A" w:rsidTr="00CB6715">
        <w:trPr>
          <w:trHeight w:val="255"/>
        </w:trPr>
        <w:tc>
          <w:tcPr>
            <w:tcW w:w="2060" w:type="dxa"/>
            <w:tcBorders>
              <w:top w:val="nil"/>
              <w:left w:val="nil"/>
              <w:bottom w:val="nil"/>
              <w:right w:val="nil"/>
            </w:tcBorders>
            <w:shd w:val="clear" w:color="auto" w:fill="auto"/>
            <w:noWrap/>
            <w:vAlign w:val="bottom"/>
          </w:tcPr>
          <w:p w:rsidR="00981470" w:rsidRPr="0030398A" w:rsidRDefault="00981470" w:rsidP="00CB6715">
            <w:pPr>
              <w:widowControl/>
              <w:autoSpaceDE/>
              <w:autoSpaceDN/>
              <w:adjustRightInd/>
              <w:rPr>
                <w:sz w:val="20"/>
                <w:szCs w:val="20"/>
              </w:rPr>
            </w:pPr>
            <w:r w:rsidRPr="0030398A">
              <w:rPr>
                <w:sz w:val="20"/>
                <w:szCs w:val="20"/>
              </w:rPr>
              <w:t>Denial Appeal</w:t>
            </w:r>
          </w:p>
        </w:tc>
        <w:tc>
          <w:tcPr>
            <w:tcW w:w="1080" w:type="dxa"/>
            <w:tcBorders>
              <w:top w:val="nil"/>
              <w:left w:val="nil"/>
              <w:bottom w:val="nil"/>
              <w:right w:val="nil"/>
            </w:tcBorders>
            <w:shd w:val="clear" w:color="auto" w:fill="auto"/>
            <w:noWrap/>
            <w:vAlign w:val="bottom"/>
          </w:tcPr>
          <w:p w:rsidR="00981470" w:rsidRPr="0030398A" w:rsidRDefault="00981470" w:rsidP="00CB6715">
            <w:pPr>
              <w:widowControl/>
              <w:autoSpaceDE/>
              <w:autoSpaceDN/>
              <w:adjustRightInd/>
              <w:jc w:val="center"/>
              <w:rPr>
                <w:sz w:val="20"/>
                <w:szCs w:val="20"/>
              </w:rPr>
            </w:pPr>
          </w:p>
        </w:tc>
        <w:tc>
          <w:tcPr>
            <w:tcW w:w="1080" w:type="dxa"/>
            <w:tcBorders>
              <w:top w:val="nil"/>
              <w:left w:val="nil"/>
              <w:bottom w:val="nil"/>
              <w:right w:val="nil"/>
            </w:tcBorders>
            <w:shd w:val="clear" w:color="auto" w:fill="auto"/>
            <w:noWrap/>
            <w:vAlign w:val="bottom"/>
          </w:tcPr>
          <w:p w:rsidR="00981470" w:rsidRPr="0030398A" w:rsidRDefault="00981470" w:rsidP="00CB6715">
            <w:pPr>
              <w:widowControl/>
              <w:autoSpaceDE/>
              <w:autoSpaceDN/>
              <w:adjustRightInd/>
              <w:jc w:val="center"/>
              <w:rPr>
                <w:sz w:val="20"/>
                <w:szCs w:val="20"/>
              </w:rPr>
            </w:pPr>
          </w:p>
        </w:tc>
        <w:tc>
          <w:tcPr>
            <w:tcW w:w="1080" w:type="dxa"/>
            <w:tcBorders>
              <w:top w:val="nil"/>
              <w:left w:val="nil"/>
              <w:bottom w:val="nil"/>
              <w:right w:val="nil"/>
            </w:tcBorders>
            <w:shd w:val="clear" w:color="auto" w:fill="auto"/>
            <w:noWrap/>
            <w:vAlign w:val="bottom"/>
          </w:tcPr>
          <w:p w:rsidR="00981470" w:rsidRPr="0030398A" w:rsidRDefault="00981470" w:rsidP="00CB6715">
            <w:pPr>
              <w:widowControl/>
              <w:autoSpaceDE/>
              <w:autoSpaceDN/>
              <w:adjustRightInd/>
              <w:jc w:val="center"/>
              <w:rPr>
                <w:sz w:val="20"/>
                <w:szCs w:val="20"/>
              </w:rPr>
            </w:pPr>
          </w:p>
        </w:tc>
        <w:tc>
          <w:tcPr>
            <w:tcW w:w="1080" w:type="dxa"/>
            <w:tcBorders>
              <w:top w:val="nil"/>
              <w:left w:val="single" w:sz="8" w:space="0" w:color="auto"/>
              <w:bottom w:val="nil"/>
              <w:right w:val="nil"/>
            </w:tcBorders>
            <w:shd w:val="clear" w:color="auto" w:fill="auto"/>
            <w:noWrap/>
            <w:vAlign w:val="bottom"/>
          </w:tcPr>
          <w:p w:rsidR="00981470" w:rsidRPr="0030398A" w:rsidRDefault="00981470" w:rsidP="00CB6715">
            <w:pPr>
              <w:widowControl/>
              <w:autoSpaceDE/>
              <w:autoSpaceDN/>
              <w:adjustRightInd/>
              <w:jc w:val="center"/>
              <w:rPr>
                <w:sz w:val="20"/>
                <w:szCs w:val="20"/>
              </w:rPr>
            </w:pPr>
            <w:r w:rsidRPr="0030398A">
              <w:rPr>
                <w:sz w:val="20"/>
                <w:szCs w:val="20"/>
              </w:rPr>
              <w:t> </w:t>
            </w:r>
          </w:p>
        </w:tc>
        <w:tc>
          <w:tcPr>
            <w:tcW w:w="1080" w:type="dxa"/>
            <w:tcBorders>
              <w:top w:val="nil"/>
              <w:left w:val="nil"/>
              <w:bottom w:val="nil"/>
              <w:right w:val="nil"/>
            </w:tcBorders>
            <w:shd w:val="clear" w:color="auto" w:fill="auto"/>
            <w:noWrap/>
            <w:vAlign w:val="bottom"/>
          </w:tcPr>
          <w:p w:rsidR="00981470" w:rsidRPr="0030398A" w:rsidRDefault="00981470" w:rsidP="00CB6715">
            <w:pPr>
              <w:widowControl/>
              <w:autoSpaceDE/>
              <w:autoSpaceDN/>
              <w:adjustRightInd/>
              <w:jc w:val="center"/>
              <w:rPr>
                <w:sz w:val="20"/>
                <w:szCs w:val="20"/>
              </w:rPr>
            </w:pPr>
          </w:p>
        </w:tc>
        <w:tc>
          <w:tcPr>
            <w:tcW w:w="1080" w:type="dxa"/>
            <w:tcBorders>
              <w:top w:val="nil"/>
              <w:left w:val="nil"/>
              <w:bottom w:val="nil"/>
              <w:right w:val="single" w:sz="8" w:space="0" w:color="auto"/>
            </w:tcBorders>
            <w:shd w:val="clear" w:color="auto" w:fill="auto"/>
            <w:noWrap/>
            <w:vAlign w:val="bottom"/>
          </w:tcPr>
          <w:p w:rsidR="00981470" w:rsidRPr="0030398A" w:rsidRDefault="00981470" w:rsidP="00CB6715">
            <w:pPr>
              <w:widowControl/>
              <w:autoSpaceDE/>
              <w:autoSpaceDN/>
              <w:adjustRightInd/>
              <w:jc w:val="center"/>
              <w:rPr>
                <w:sz w:val="20"/>
                <w:szCs w:val="20"/>
              </w:rPr>
            </w:pPr>
            <w:r w:rsidRPr="0030398A">
              <w:rPr>
                <w:sz w:val="20"/>
                <w:szCs w:val="20"/>
              </w:rPr>
              <w:t> </w:t>
            </w:r>
          </w:p>
        </w:tc>
        <w:tc>
          <w:tcPr>
            <w:tcW w:w="1080" w:type="dxa"/>
            <w:tcBorders>
              <w:top w:val="nil"/>
              <w:left w:val="nil"/>
              <w:bottom w:val="nil"/>
              <w:right w:val="nil"/>
            </w:tcBorders>
            <w:shd w:val="clear" w:color="auto" w:fill="auto"/>
            <w:noWrap/>
            <w:vAlign w:val="bottom"/>
          </w:tcPr>
          <w:p w:rsidR="00981470" w:rsidRPr="0030398A" w:rsidRDefault="00981470" w:rsidP="00CB6715">
            <w:pPr>
              <w:widowControl/>
              <w:autoSpaceDE/>
              <w:autoSpaceDN/>
              <w:adjustRightInd/>
              <w:jc w:val="center"/>
              <w:rPr>
                <w:sz w:val="20"/>
                <w:szCs w:val="20"/>
              </w:rPr>
            </w:pPr>
          </w:p>
        </w:tc>
        <w:tc>
          <w:tcPr>
            <w:tcW w:w="1080" w:type="dxa"/>
            <w:tcBorders>
              <w:top w:val="nil"/>
              <w:left w:val="nil"/>
              <w:bottom w:val="nil"/>
              <w:right w:val="nil"/>
            </w:tcBorders>
            <w:shd w:val="clear" w:color="auto" w:fill="auto"/>
            <w:noWrap/>
            <w:vAlign w:val="bottom"/>
          </w:tcPr>
          <w:p w:rsidR="00981470" w:rsidRPr="0030398A" w:rsidRDefault="00981470" w:rsidP="00CB6715">
            <w:pPr>
              <w:widowControl/>
              <w:autoSpaceDE/>
              <w:autoSpaceDN/>
              <w:adjustRightInd/>
              <w:jc w:val="center"/>
              <w:rPr>
                <w:sz w:val="20"/>
                <w:szCs w:val="20"/>
              </w:rPr>
            </w:pPr>
          </w:p>
        </w:tc>
        <w:tc>
          <w:tcPr>
            <w:tcW w:w="1080" w:type="dxa"/>
            <w:tcBorders>
              <w:top w:val="nil"/>
              <w:left w:val="nil"/>
              <w:bottom w:val="nil"/>
              <w:right w:val="nil"/>
            </w:tcBorders>
            <w:shd w:val="clear" w:color="auto" w:fill="auto"/>
            <w:noWrap/>
            <w:vAlign w:val="bottom"/>
          </w:tcPr>
          <w:p w:rsidR="00981470" w:rsidRPr="0030398A" w:rsidRDefault="00981470" w:rsidP="00CB6715">
            <w:pPr>
              <w:widowControl/>
              <w:autoSpaceDE/>
              <w:autoSpaceDN/>
              <w:adjustRightInd/>
              <w:jc w:val="center"/>
              <w:rPr>
                <w:sz w:val="20"/>
                <w:szCs w:val="20"/>
              </w:rPr>
            </w:pPr>
          </w:p>
        </w:tc>
      </w:tr>
      <w:tr w:rsidR="00981470" w:rsidRPr="0030398A" w:rsidTr="00CB6715">
        <w:trPr>
          <w:trHeight w:val="255"/>
        </w:trPr>
        <w:tc>
          <w:tcPr>
            <w:tcW w:w="2060" w:type="dxa"/>
            <w:tcBorders>
              <w:top w:val="nil"/>
              <w:left w:val="nil"/>
              <w:bottom w:val="nil"/>
              <w:right w:val="nil"/>
            </w:tcBorders>
            <w:shd w:val="clear" w:color="auto" w:fill="auto"/>
            <w:noWrap/>
            <w:vAlign w:val="bottom"/>
          </w:tcPr>
          <w:p w:rsidR="00981470" w:rsidRPr="0030398A" w:rsidRDefault="00981470" w:rsidP="008D59EF">
            <w:pPr>
              <w:widowControl/>
              <w:autoSpaceDE/>
              <w:autoSpaceDN/>
              <w:adjustRightInd/>
              <w:ind w:firstLineChars="100" w:firstLine="200"/>
              <w:rPr>
                <w:sz w:val="20"/>
                <w:szCs w:val="20"/>
              </w:rPr>
            </w:pPr>
            <w:r w:rsidRPr="0030398A">
              <w:rPr>
                <w:sz w:val="20"/>
                <w:szCs w:val="20"/>
              </w:rPr>
              <w:t>Total</w:t>
            </w:r>
          </w:p>
        </w:tc>
        <w:tc>
          <w:tcPr>
            <w:tcW w:w="1080" w:type="dxa"/>
            <w:tcBorders>
              <w:top w:val="nil"/>
              <w:left w:val="nil"/>
              <w:bottom w:val="nil"/>
              <w:right w:val="nil"/>
            </w:tcBorders>
            <w:shd w:val="clear" w:color="auto" w:fill="auto"/>
            <w:noWrap/>
            <w:vAlign w:val="bottom"/>
          </w:tcPr>
          <w:p w:rsidR="00981470" w:rsidRPr="0030398A" w:rsidRDefault="00981470" w:rsidP="00CB6715">
            <w:pPr>
              <w:widowControl/>
              <w:autoSpaceDE/>
              <w:autoSpaceDN/>
              <w:adjustRightInd/>
              <w:jc w:val="center"/>
              <w:rPr>
                <w:sz w:val="20"/>
                <w:szCs w:val="20"/>
              </w:rPr>
            </w:pPr>
            <w:r w:rsidRPr="0030398A">
              <w:rPr>
                <w:sz w:val="20"/>
                <w:szCs w:val="20"/>
              </w:rPr>
              <w:t>$6,972.8</w:t>
            </w:r>
          </w:p>
        </w:tc>
        <w:tc>
          <w:tcPr>
            <w:tcW w:w="1080" w:type="dxa"/>
            <w:tcBorders>
              <w:top w:val="nil"/>
              <w:left w:val="nil"/>
              <w:bottom w:val="nil"/>
              <w:right w:val="nil"/>
            </w:tcBorders>
            <w:shd w:val="clear" w:color="auto" w:fill="auto"/>
            <w:noWrap/>
            <w:vAlign w:val="bottom"/>
          </w:tcPr>
          <w:p w:rsidR="00981470" w:rsidRPr="0030398A" w:rsidRDefault="00981470" w:rsidP="00CB6715">
            <w:pPr>
              <w:widowControl/>
              <w:autoSpaceDE/>
              <w:autoSpaceDN/>
              <w:adjustRightInd/>
              <w:jc w:val="center"/>
              <w:rPr>
                <w:sz w:val="20"/>
                <w:szCs w:val="20"/>
              </w:rPr>
            </w:pPr>
            <w:r w:rsidRPr="0030398A">
              <w:rPr>
                <w:sz w:val="20"/>
                <w:szCs w:val="20"/>
              </w:rPr>
              <w:t>$12.4</w:t>
            </w:r>
          </w:p>
        </w:tc>
        <w:tc>
          <w:tcPr>
            <w:tcW w:w="1080" w:type="dxa"/>
            <w:tcBorders>
              <w:top w:val="nil"/>
              <w:left w:val="nil"/>
              <w:bottom w:val="nil"/>
              <w:right w:val="nil"/>
            </w:tcBorders>
            <w:shd w:val="clear" w:color="auto" w:fill="auto"/>
            <w:noWrap/>
            <w:vAlign w:val="bottom"/>
          </w:tcPr>
          <w:p w:rsidR="00981470" w:rsidRPr="0030398A" w:rsidRDefault="00981470" w:rsidP="00CB6715">
            <w:pPr>
              <w:widowControl/>
              <w:autoSpaceDE/>
              <w:autoSpaceDN/>
              <w:adjustRightInd/>
              <w:jc w:val="center"/>
              <w:rPr>
                <w:sz w:val="20"/>
                <w:szCs w:val="20"/>
              </w:rPr>
            </w:pPr>
            <w:r w:rsidRPr="0030398A">
              <w:rPr>
                <w:sz w:val="20"/>
                <w:szCs w:val="20"/>
              </w:rPr>
              <w:t>$6,985.2</w:t>
            </w:r>
          </w:p>
        </w:tc>
        <w:tc>
          <w:tcPr>
            <w:tcW w:w="1080" w:type="dxa"/>
            <w:tcBorders>
              <w:top w:val="nil"/>
              <w:left w:val="single" w:sz="8" w:space="0" w:color="auto"/>
              <w:bottom w:val="nil"/>
              <w:right w:val="nil"/>
            </w:tcBorders>
            <w:shd w:val="clear" w:color="auto" w:fill="auto"/>
            <w:noWrap/>
            <w:vAlign w:val="bottom"/>
          </w:tcPr>
          <w:p w:rsidR="00981470" w:rsidRPr="0030398A" w:rsidRDefault="00981470" w:rsidP="00CB6715">
            <w:pPr>
              <w:widowControl/>
              <w:autoSpaceDE/>
              <w:autoSpaceDN/>
              <w:adjustRightInd/>
              <w:jc w:val="center"/>
              <w:rPr>
                <w:sz w:val="20"/>
                <w:szCs w:val="20"/>
              </w:rPr>
            </w:pPr>
            <w:r w:rsidRPr="0030398A">
              <w:rPr>
                <w:sz w:val="20"/>
                <w:szCs w:val="20"/>
              </w:rPr>
              <w:t>$12,712.2</w:t>
            </w:r>
          </w:p>
        </w:tc>
        <w:tc>
          <w:tcPr>
            <w:tcW w:w="1080" w:type="dxa"/>
            <w:tcBorders>
              <w:top w:val="nil"/>
              <w:left w:val="nil"/>
              <w:bottom w:val="nil"/>
              <w:right w:val="nil"/>
            </w:tcBorders>
            <w:shd w:val="clear" w:color="auto" w:fill="auto"/>
            <w:noWrap/>
            <w:vAlign w:val="bottom"/>
          </w:tcPr>
          <w:p w:rsidR="00981470" w:rsidRPr="0030398A" w:rsidRDefault="00981470" w:rsidP="00CB6715">
            <w:pPr>
              <w:widowControl/>
              <w:autoSpaceDE/>
              <w:autoSpaceDN/>
              <w:adjustRightInd/>
              <w:jc w:val="center"/>
              <w:rPr>
                <w:sz w:val="20"/>
                <w:szCs w:val="20"/>
              </w:rPr>
            </w:pPr>
            <w:r w:rsidRPr="0030398A">
              <w:rPr>
                <w:sz w:val="20"/>
                <w:szCs w:val="20"/>
              </w:rPr>
              <w:t>$22.7</w:t>
            </w:r>
          </w:p>
        </w:tc>
        <w:tc>
          <w:tcPr>
            <w:tcW w:w="1080" w:type="dxa"/>
            <w:tcBorders>
              <w:top w:val="nil"/>
              <w:left w:val="nil"/>
              <w:bottom w:val="nil"/>
              <w:right w:val="single" w:sz="8" w:space="0" w:color="auto"/>
            </w:tcBorders>
            <w:shd w:val="clear" w:color="auto" w:fill="auto"/>
            <w:noWrap/>
            <w:vAlign w:val="bottom"/>
          </w:tcPr>
          <w:p w:rsidR="00981470" w:rsidRPr="0030398A" w:rsidRDefault="00981470" w:rsidP="00CB6715">
            <w:pPr>
              <w:widowControl/>
              <w:autoSpaceDE/>
              <w:autoSpaceDN/>
              <w:adjustRightInd/>
              <w:jc w:val="center"/>
              <w:rPr>
                <w:sz w:val="20"/>
                <w:szCs w:val="20"/>
              </w:rPr>
            </w:pPr>
            <w:r w:rsidRPr="0030398A">
              <w:rPr>
                <w:sz w:val="20"/>
                <w:szCs w:val="20"/>
              </w:rPr>
              <w:t>$12,734.9</w:t>
            </w:r>
          </w:p>
        </w:tc>
        <w:tc>
          <w:tcPr>
            <w:tcW w:w="1080" w:type="dxa"/>
            <w:tcBorders>
              <w:top w:val="nil"/>
              <w:left w:val="nil"/>
              <w:bottom w:val="nil"/>
              <w:right w:val="nil"/>
            </w:tcBorders>
            <w:shd w:val="clear" w:color="auto" w:fill="auto"/>
            <w:noWrap/>
            <w:vAlign w:val="bottom"/>
          </w:tcPr>
          <w:p w:rsidR="00981470" w:rsidRPr="0030398A" w:rsidRDefault="00981470" w:rsidP="00CB6715">
            <w:pPr>
              <w:widowControl/>
              <w:autoSpaceDE/>
              <w:autoSpaceDN/>
              <w:adjustRightInd/>
              <w:jc w:val="center"/>
              <w:rPr>
                <w:sz w:val="20"/>
                <w:szCs w:val="20"/>
              </w:rPr>
            </w:pPr>
            <w:r w:rsidRPr="0030398A">
              <w:rPr>
                <w:sz w:val="20"/>
                <w:szCs w:val="20"/>
              </w:rPr>
              <w:t>$17,436.6</w:t>
            </w:r>
          </w:p>
        </w:tc>
        <w:tc>
          <w:tcPr>
            <w:tcW w:w="1080" w:type="dxa"/>
            <w:tcBorders>
              <w:top w:val="nil"/>
              <w:left w:val="nil"/>
              <w:bottom w:val="nil"/>
              <w:right w:val="nil"/>
            </w:tcBorders>
            <w:shd w:val="clear" w:color="auto" w:fill="auto"/>
            <w:noWrap/>
            <w:vAlign w:val="bottom"/>
          </w:tcPr>
          <w:p w:rsidR="00981470" w:rsidRPr="0030398A" w:rsidRDefault="00981470" w:rsidP="00CB6715">
            <w:pPr>
              <w:widowControl/>
              <w:autoSpaceDE/>
              <w:autoSpaceDN/>
              <w:adjustRightInd/>
              <w:jc w:val="center"/>
              <w:rPr>
                <w:sz w:val="20"/>
                <w:szCs w:val="20"/>
              </w:rPr>
            </w:pPr>
            <w:r w:rsidRPr="0030398A">
              <w:rPr>
                <w:sz w:val="20"/>
                <w:szCs w:val="20"/>
              </w:rPr>
              <w:t>$31.1</w:t>
            </w:r>
          </w:p>
        </w:tc>
        <w:tc>
          <w:tcPr>
            <w:tcW w:w="1080" w:type="dxa"/>
            <w:tcBorders>
              <w:top w:val="nil"/>
              <w:left w:val="nil"/>
              <w:bottom w:val="nil"/>
              <w:right w:val="nil"/>
            </w:tcBorders>
            <w:shd w:val="clear" w:color="auto" w:fill="auto"/>
            <w:noWrap/>
            <w:vAlign w:val="bottom"/>
          </w:tcPr>
          <w:p w:rsidR="00981470" w:rsidRPr="0030398A" w:rsidRDefault="00981470" w:rsidP="00CB6715">
            <w:pPr>
              <w:widowControl/>
              <w:autoSpaceDE/>
              <w:autoSpaceDN/>
              <w:adjustRightInd/>
              <w:jc w:val="center"/>
              <w:rPr>
                <w:sz w:val="20"/>
                <w:szCs w:val="20"/>
              </w:rPr>
            </w:pPr>
            <w:r w:rsidRPr="0030398A">
              <w:rPr>
                <w:sz w:val="20"/>
                <w:szCs w:val="20"/>
              </w:rPr>
              <w:t>$17,467.6</w:t>
            </w:r>
          </w:p>
        </w:tc>
      </w:tr>
      <w:tr w:rsidR="00981470" w:rsidRPr="0030398A" w:rsidTr="00CB6715">
        <w:trPr>
          <w:trHeight w:val="255"/>
        </w:trPr>
        <w:tc>
          <w:tcPr>
            <w:tcW w:w="2060" w:type="dxa"/>
            <w:tcBorders>
              <w:top w:val="nil"/>
              <w:left w:val="nil"/>
              <w:bottom w:val="nil"/>
              <w:right w:val="nil"/>
            </w:tcBorders>
            <w:shd w:val="clear" w:color="auto" w:fill="auto"/>
            <w:noWrap/>
            <w:vAlign w:val="bottom"/>
          </w:tcPr>
          <w:p w:rsidR="00981470" w:rsidRPr="0030398A" w:rsidRDefault="00981470" w:rsidP="008D59EF">
            <w:pPr>
              <w:widowControl/>
              <w:autoSpaceDE/>
              <w:autoSpaceDN/>
              <w:adjustRightInd/>
              <w:ind w:firstLineChars="200" w:firstLine="400"/>
              <w:rPr>
                <w:sz w:val="20"/>
                <w:szCs w:val="20"/>
              </w:rPr>
            </w:pPr>
            <w:r w:rsidRPr="0030398A">
              <w:rPr>
                <w:sz w:val="20"/>
                <w:szCs w:val="20"/>
              </w:rPr>
              <w:t>Appeal Approved</w:t>
            </w:r>
          </w:p>
        </w:tc>
        <w:tc>
          <w:tcPr>
            <w:tcW w:w="1080" w:type="dxa"/>
            <w:tcBorders>
              <w:top w:val="nil"/>
              <w:left w:val="nil"/>
              <w:bottom w:val="nil"/>
              <w:right w:val="nil"/>
            </w:tcBorders>
            <w:shd w:val="clear" w:color="auto" w:fill="auto"/>
            <w:noWrap/>
            <w:vAlign w:val="bottom"/>
          </w:tcPr>
          <w:p w:rsidR="00981470" w:rsidRPr="0030398A" w:rsidRDefault="00981470" w:rsidP="00CB6715">
            <w:pPr>
              <w:widowControl/>
              <w:autoSpaceDE/>
              <w:autoSpaceDN/>
              <w:adjustRightInd/>
              <w:jc w:val="center"/>
              <w:rPr>
                <w:sz w:val="20"/>
                <w:szCs w:val="20"/>
              </w:rPr>
            </w:pPr>
            <w:r w:rsidRPr="0030398A">
              <w:rPr>
                <w:sz w:val="20"/>
                <w:szCs w:val="20"/>
              </w:rPr>
              <w:t>$1,870.0</w:t>
            </w:r>
          </w:p>
        </w:tc>
        <w:tc>
          <w:tcPr>
            <w:tcW w:w="1080" w:type="dxa"/>
            <w:tcBorders>
              <w:top w:val="nil"/>
              <w:left w:val="nil"/>
              <w:bottom w:val="nil"/>
              <w:right w:val="nil"/>
            </w:tcBorders>
            <w:shd w:val="clear" w:color="auto" w:fill="auto"/>
            <w:noWrap/>
            <w:vAlign w:val="bottom"/>
          </w:tcPr>
          <w:p w:rsidR="00981470" w:rsidRPr="0030398A" w:rsidRDefault="00981470" w:rsidP="00CB6715">
            <w:pPr>
              <w:widowControl/>
              <w:autoSpaceDE/>
              <w:autoSpaceDN/>
              <w:adjustRightInd/>
              <w:jc w:val="center"/>
              <w:rPr>
                <w:sz w:val="20"/>
                <w:szCs w:val="20"/>
              </w:rPr>
            </w:pPr>
            <w:r w:rsidRPr="0030398A">
              <w:rPr>
                <w:sz w:val="20"/>
                <w:szCs w:val="20"/>
              </w:rPr>
              <w:t>$5.0</w:t>
            </w:r>
          </w:p>
        </w:tc>
        <w:tc>
          <w:tcPr>
            <w:tcW w:w="1080" w:type="dxa"/>
            <w:tcBorders>
              <w:top w:val="nil"/>
              <w:left w:val="nil"/>
              <w:bottom w:val="nil"/>
              <w:right w:val="nil"/>
            </w:tcBorders>
            <w:shd w:val="clear" w:color="auto" w:fill="auto"/>
            <w:noWrap/>
            <w:vAlign w:val="bottom"/>
          </w:tcPr>
          <w:p w:rsidR="00981470" w:rsidRPr="0030398A" w:rsidRDefault="00981470" w:rsidP="00CB6715">
            <w:pPr>
              <w:widowControl/>
              <w:autoSpaceDE/>
              <w:autoSpaceDN/>
              <w:adjustRightInd/>
              <w:jc w:val="center"/>
              <w:rPr>
                <w:sz w:val="20"/>
                <w:szCs w:val="20"/>
              </w:rPr>
            </w:pPr>
            <w:r w:rsidRPr="0030398A">
              <w:rPr>
                <w:sz w:val="20"/>
                <w:szCs w:val="20"/>
              </w:rPr>
              <w:t>$1,875.0</w:t>
            </w:r>
          </w:p>
        </w:tc>
        <w:tc>
          <w:tcPr>
            <w:tcW w:w="1080" w:type="dxa"/>
            <w:tcBorders>
              <w:top w:val="nil"/>
              <w:left w:val="single" w:sz="8" w:space="0" w:color="auto"/>
              <w:bottom w:val="nil"/>
              <w:right w:val="nil"/>
            </w:tcBorders>
            <w:shd w:val="clear" w:color="auto" w:fill="auto"/>
            <w:noWrap/>
            <w:vAlign w:val="bottom"/>
          </w:tcPr>
          <w:p w:rsidR="00981470" w:rsidRPr="0030398A" w:rsidRDefault="00981470" w:rsidP="00CB6715">
            <w:pPr>
              <w:widowControl/>
              <w:autoSpaceDE/>
              <w:autoSpaceDN/>
              <w:adjustRightInd/>
              <w:jc w:val="center"/>
              <w:rPr>
                <w:sz w:val="20"/>
                <w:szCs w:val="20"/>
              </w:rPr>
            </w:pPr>
            <w:r w:rsidRPr="0030398A">
              <w:rPr>
                <w:sz w:val="20"/>
                <w:szCs w:val="20"/>
              </w:rPr>
              <w:t>$3,409.3</w:t>
            </w:r>
          </w:p>
        </w:tc>
        <w:tc>
          <w:tcPr>
            <w:tcW w:w="1080" w:type="dxa"/>
            <w:tcBorders>
              <w:top w:val="nil"/>
              <w:left w:val="nil"/>
              <w:bottom w:val="nil"/>
              <w:right w:val="nil"/>
            </w:tcBorders>
            <w:shd w:val="clear" w:color="auto" w:fill="auto"/>
            <w:noWrap/>
            <w:vAlign w:val="bottom"/>
          </w:tcPr>
          <w:p w:rsidR="00981470" w:rsidRPr="0030398A" w:rsidRDefault="00981470" w:rsidP="00CB6715">
            <w:pPr>
              <w:widowControl/>
              <w:autoSpaceDE/>
              <w:autoSpaceDN/>
              <w:adjustRightInd/>
              <w:jc w:val="center"/>
              <w:rPr>
                <w:sz w:val="20"/>
                <w:szCs w:val="20"/>
              </w:rPr>
            </w:pPr>
            <w:r w:rsidRPr="0030398A">
              <w:rPr>
                <w:sz w:val="20"/>
                <w:szCs w:val="20"/>
              </w:rPr>
              <w:t>$9.1</w:t>
            </w:r>
          </w:p>
        </w:tc>
        <w:tc>
          <w:tcPr>
            <w:tcW w:w="1080" w:type="dxa"/>
            <w:tcBorders>
              <w:top w:val="nil"/>
              <w:left w:val="nil"/>
              <w:bottom w:val="nil"/>
              <w:right w:val="single" w:sz="8" w:space="0" w:color="auto"/>
            </w:tcBorders>
            <w:shd w:val="clear" w:color="auto" w:fill="auto"/>
            <w:noWrap/>
            <w:vAlign w:val="bottom"/>
          </w:tcPr>
          <w:p w:rsidR="00981470" w:rsidRPr="0030398A" w:rsidRDefault="00981470" w:rsidP="00CB6715">
            <w:pPr>
              <w:widowControl/>
              <w:autoSpaceDE/>
              <w:autoSpaceDN/>
              <w:adjustRightInd/>
              <w:jc w:val="center"/>
              <w:rPr>
                <w:sz w:val="20"/>
                <w:szCs w:val="20"/>
              </w:rPr>
            </w:pPr>
            <w:r w:rsidRPr="0030398A">
              <w:rPr>
                <w:sz w:val="20"/>
                <w:szCs w:val="20"/>
              </w:rPr>
              <w:t>$3,418.4</w:t>
            </w:r>
          </w:p>
        </w:tc>
        <w:tc>
          <w:tcPr>
            <w:tcW w:w="1080" w:type="dxa"/>
            <w:tcBorders>
              <w:top w:val="nil"/>
              <w:left w:val="nil"/>
              <w:bottom w:val="nil"/>
              <w:right w:val="nil"/>
            </w:tcBorders>
            <w:shd w:val="clear" w:color="auto" w:fill="auto"/>
            <w:noWrap/>
            <w:vAlign w:val="bottom"/>
          </w:tcPr>
          <w:p w:rsidR="00981470" w:rsidRPr="0030398A" w:rsidRDefault="00981470" w:rsidP="00CB6715">
            <w:pPr>
              <w:widowControl/>
              <w:autoSpaceDE/>
              <w:autoSpaceDN/>
              <w:adjustRightInd/>
              <w:jc w:val="center"/>
              <w:rPr>
                <w:sz w:val="20"/>
                <w:szCs w:val="20"/>
              </w:rPr>
            </w:pPr>
            <w:r w:rsidRPr="0030398A">
              <w:rPr>
                <w:sz w:val="20"/>
                <w:szCs w:val="20"/>
              </w:rPr>
              <w:t>$4,676.3</w:t>
            </w:r>
          </w:p>
        </w:tc>
        <w:tc>
          <w:tcPr>
            <w:tcW w:w="1080" w:type="dxa"/>
            <w:tcBorders>
              <w:top w:val="nil"/>
              <w:left w:val="nil"/>
              <w:bottom w:val="nil"/>
              <w:right w:val="nil"/>
            </w:tcBorders>
            <w:shd w:val="clear" w:color="auto" w:fill="auto"/>
            <w:noWrap/>
            <w:vAlign w:val="bottom"/>
          </w:tcPr>
          <w:p w:rsidR="00981470" w:rsidRPr="0030398A" w:rsidRDefault="00981470" w:rsidP="00CB6715">
            <w:pPr>
              <w:widowControl/>
              <w:autoSpaceDE/>
              <w:autoSpaceDN/>
              <w:adjustRightInd/>
              <w:jc w:val="center"/>
              <w:rPr>
                <w:sz w:val="20"/>
                <w:szCs w:val="20"/>
              </w:rPr>
            </w:pPr>
            <w:r w:rsidRPr="0030398A">
              <w:rPr>
                <w:sz w:val="20"/>
                <w:szCs w:val="20"/>
              </w:rPr>
              <w:t>$12.4</w:t>
            </w:r>
          </w:p>
        </w:tc>
        <w:tc>
          <w:tcPr>
            <w:tcW w:w="1080" w:type="dxa"/>
            <w:tcBorders>
              <w:top w:val="nil"/>
              <w:left w:val="nil"/>
              <w:bottom w:val="nil"/>
              <w:right w:val="nil"/>
            </w:tcBorders>
            <w:shd w:val="clear" w:color="auto" w:fill="auto"/>
            <w:noWrap/>
            <w:vAlign w:val="bottom"/>
          </w:tcPr>
          <w:p w:rsidR="00981470" w:rsidRPr="0030398A" w:rsidRDefault="00981470" w:rsidP="00CB6715">
            <w:pPr>
              <w:widowControl/>
              <w:autoSpaceDE/>
              <w:autoSpaceDN/>
              <w:adjustRightInd/>
              <w:jc w:val="center"/>
              <w:rPr>
                <w:sz w:val="20"/>
                <w:szCs w:val="20"/>
              </w:rPr>
            </w:pPr>
            <w:r w:rsidRPr="0030398A">
              <w:rPr>
                <w:sz w:val="20"/>
                <w:szCs w:val="20"/>
              </w:rPr>
              <w:t>$4,688.7</w:t>
            </w:r>
          </w:p>
        </w:tc>
      </w:tr>
      <w:tr w:rsidR="00981470" w:rsidRPr="0030398A" w:rsidTr="00CB6715">
        <w:trPr>
          <w:trHeight w:val="255"/>
        </w:trPr>
        <w:tc>
          <w:tcPr>
            <w:tcW w:w="2060" w:type="dxa"/>
            <w:tcBorders>
              <w:top w:val="nil"/>
              <w:left w:val="nil"/>
              <w:bottom w:val="nil"/>
              <w:right w:val="nil"/>
            </w:tcBorders>
            <w:shd w:val="clear" w:color="auto" w:fill="auto"/>
            <w:noWrap/>
            <w:vAlign w:val="bottom"/>
          </w:tcPr>
          <w:p w:rsidR="00981470" w:rsidRPr="0030398A" w:rsidRDefault="00981470" w:rsidP="008D59EF">
            <w:pPr>
              <w:widowControl/>
              <w:autoSpaceDE/>
              <w:autoSpaceDN/>
              <w:adjustRightInd/>
              <w:ind w:firstLineChars="200" w:firstLine="400"/>
              <w:rPr>
                <w:sz w:val="20"/>
                <w:szCs w:val="20"/>
              </w:rPr>
            </w:pPr>
            <w:r w:rsidRPr="0030398A">
              <w:rPr>
                <w:sz w:val="20"/>
                <w:szCs w:val="20"/>
              </w:rPr>
              <w:t>Appeal Denied</w:t>
            </w:r>
          </w:p>
        </w:tc>
        <w:tc>
          <w:tcPr>
            <w:tcW w:w="1080" w:type="dxa"/>
            <w:tcBorders>
              <w:top w:val="nil"/>
              <w:left w:val="nil"/>
              <w:bottom w:val="nil"/>
              <w:right w:val="nil"/>
            </w:tcBorders>
            <w:shd w:val="clear" w:color="auto" w:fill="auto"/>
            <w:noWrap/>
            <w:vAlign w:val="bottom"/>
          </w:tcPr>
          <w:p w:rsidR="00981470" w:rsidRPr="0030398A" w:rsidRDefault="00981470" w:rsidP="00CB6715">
            <w:pPr>
              <w:widowControl/>
              <w:autoSpaceDE/>
              <w:autoSpaceDN/>
              <w:adjustRightInd/>
              <w:jc w:val="center"/>
              <w:rPr>
                <w:sz w:val="20"/>
                <w:szCs w:val="20"/>
              </w:rPr>
            </w:pPr>
            <w:r w:rsidRPr="0030398A">
              <w:rPr>
                <w:sz w:val="20"/>
                <w:szCs w:val="20"/>
              </w:rPr>
              <w:t>$5,102.7</w:t>
            </w:r>
          </w:p>
        </w:tc>
        <w:tc>
          <w:tcPr>
            <w:tcW w:w="1080" w:type="dxa"/>
            <w:tcBorders>
              <w:top w:val="nil"/>
              <w:left w:val="nil"/>
              <w:bottom w:val="nil"/>
              <w:right w:val="nil"/>
            </w:tcBorders>
            <w:shd w:val="clear" w:color="auto" w:fill="auto"/>
            <w:noWrap/>
            <w:vAlign w:val="bottom"/>
          </w:tcPr>
          <w:p w:rsidR="00981470" w:rsidRPr="0030398A" w:rsidRDefault="00981470" w:rsidP="00CB6715">
            <w:pPr>
              <w:widowControl/>
              <w:autoSpaceDE/>
              <w:autoSpaceDN/>
              <w:adjustRightInd/>
              <w:jc w:val="center"/>
              <w:rPr>
                <w:sz w:val="20"/>
                <w:szCs w:val="20"/>
              </w:rPr>
            </w:pPr>
            <w:r w:rsidRPr="0030398A">
              <w:rPr>
                <w:sz w:val="20"/>
                <w:szCs w:val="20"/>
              </w:rPr>
              <w:t>$7.5</w:t>
            </w:r>
          </w:p>
        </w:tc>
        <w:tc>
          <w:tcPr>
            <w:tcW w:w="1080" w:type="dxa"/>
            <w:tcBorders>
              <w:top w:val="nil"/>
              <w:left w:val="nil"/>
              <w:bottom w:val="nil"/>
              <w:right w:val="nil"/>
            </w:tcBorders>
            <w:shd w:val="clear" w:color="auto" w:fill="auto"/>
            <w:noWrap/>
            <w:vAlign w:val="bottom"/>
          </w:tcPr>
          <w:p w:rsidR="00981470" w:rsidRPr="0030398A" w:rsidRDefault="00981470" w:rsidP="00CB6715">
            <w:pPr>
              <w:widowControl/>
              <w:autoSpaceDE/>
              <w:autoSpaceDN/>
              <w:adjustRightInd/>
              <w:jc w:val="center"/>
              <w:rPr>
                <w:sz w:val="20"/>
                <w:szCs w:val="20"/>
              </w:rPr>
            </w:pPr>
            <w:r w:rsidRPr="0030398A">
              <w:rPr>
                <w:sz w:val="20"/>
                <w:szCs w:val="20"/>
              </w:rPr>
              <w:t>$5,110.2</w:t>
            </w:r>
          </w:p>
        </w:tc>
        <w:tc>
          <w:tcPr>
            <w:tcW w:w="1080" w:type="dxa"/>
            <w:tcBorders>
              <w:top w:val="nil"/>
              <w:left w:val="single" w:sz="8" w:space="0" w:color="auto"/>
              <w:bottom w:val="nil"/>
              <w:right w:val="nil"/>
            </w:tcBorders>
            <w:shd w:val="clear" w:color="auto" w:fill="auto"/>
            <w:noWrap/>
            <w:vAlign w:val="bottom"/>
          </w:tcPr>
          <w:p w:rsidR="00981470" w:rsidRPr="0030398A" w:rsidRDefault="00981470" w:rsidP="00CB6715">
            <w:pPr>
              <w:widowControl/>
              <w:autoSpaceDE/>
              <w:autoSpaceDN/>
              <w:adjustRightInd/>
              <w:jc w:val="center"/>
              <w:rPr>
                <w:sz w:val="20"/>
                <w:szCs w:val="20"/>
              </w:rPr>
            </w:pPr>
            <w:r w:rsidRPr="0030398A">
              <w:rPr>
                <w:sz w:val="20"/>
                <w:szCs w:val="20"/>
              </w:rPr>
              <w:t>$9,302.9</w:t>
            </w:r>
          </w:p>
        </w:tc>
        <w:tc>
          <w:tcPr>
            <w:tcW w:w="1080" w:type="dxa"/>
            <w:tcBorders>
              <w:top w:val="nil"/>
              <w:left w:val="nil"/>
              <w:bottom w:val="nil"/>
              <w:right w:val="nil"/>
            </w:tcBorders>
            <w:shd w:val="clear" w:color="auto" w:fill="auto"/>
            <w:noWrap/>
            <w:vAlign w:val="bottom"/>
          </w:tcPr>
          <w:p w:rsidR="00981470" w:rsidRPr="0030398A" w:rsidRDefault="00981470" w:rsidP="00CB6715">
            <w:pPr>
              <w:widowControl/>
              <w:autoSpaceDE/>
              <w:autoSpaceDN/>
              <w:adjustRightInd/>
              <w:jc w:val="center"/>
              <w:rPr>
                <w:sz w:val="20"/>
                <w:szCs w:val="20"/>
              </w:rPr>
            </w:pPr>
            <w:r w:rsidRPr="0030398A">
              <w:rPr>
                <w:sz w:val="20"/>
                <w:szCs w:val="20"/>
              </w:rPr>
              <w:t>$13.6</w:t>
            </w:r>
          </w:p>
        </w:tc>
        <w:tc>
          <w:tcPr>
            <w:tcW w:w="1080" w:type="dxa"/>
            <w:tcBorders>
              <w:top w:val="nil"/>
              <w:left w:val="nil"/>
              <w:bottom w:val="nil"/>
              <w:right w:val="single" w:sz="8" w:space="0" w:color="auto"/>
            </w:tcBorders>
            <w:shd w:val="clear" w:color="auto" w:fill="auto"/>
            <w:noWrap/>
            <w:vAlign w:val="bottom"/>
          </w:tcPr>
          <w:p w:rsidR="00981470" w:rsidRPr="0030398A" w:rsidRDefault="00981470" w:rsidP="00CB6715">
            <w:pPr>
              <w:widowControl/>
              <w:autoSpaceDE/>
              <w:autoSpaceDN/>
              <w:adjustRightInd/>
              <w:jc w:val="center"/>
              <w:rPr>
                <w:sz w:val="20"/>
                <w:szCs w:val="20"/>
              </w:rPr>
            </w:pPr>
            <w:r w:rsidRPr="0030398A">
              <w:rPr>
                <w:sz w:val="20"/>
                <w:szCs w:val="20"/>
              </w:rPr>
              <w:t>$9,316.5</w:t>
            </w:r>
          </w:p>
        </w:tc>
        <w:tc>
          <w:tcPr>
            <w:tcW w:w="1080" w:type="dxa"/>
            <w:tcBorders>
              <w:top w:val="nil"/>
              <w:left w:val="nil"/>
              <w:bottom w:val="nil"/>
              <w:right w:val="nil"/>
            </w:tcBorders>
            <w:shd w:val="clear" w:color="auto" w:fill="auto"/>
            <w:noWrap/>
            <w:vAlign w:val="bottom"/>
          </w:tcPr>
          <w:p w:rsidR="00981470" w:rsidRPr="0030398A" w:rsidRDefault="00981470" w:rsidP="00CB6715">
            <w:pPr>
              <w:widowControl/>
              <w:autoSpaceDE/>
              <w:autoSpaceDN/>
              <w:adjustRightInd/>
              <w:jc w:val="center"/>
              <w:rPr>
                <w:sz w:val="20"/>
                <w:szCs w:val="20"/>
              </w:rPr>
            </w:pPr>
            <w:r w:rsidRPr="0030398A">
              <w:rPr>
                <w:sz w:val="20"/>
                <w:szCs w:val="20"/>
              </w:rPr>
              <w:t>$12,760.3</w:t>
            </w:r>
          </w:p>
        </w:tc>
        <w:tc>
          <w:tcPr>
            <w:tcW w:w="1080" w:type="dxa"/>
            <w:tcBorders>
              <w:top w:val="nil"/>
              <w:left w:val="nil"/>
              <w:bottom w:val="nil"/>
              <w:right w:val="nil"/>
            </w:tcBorders>
            <w:shd w:val="clear" w:color="auto" w:fill="auto"/>
            <w:noWrap/>
            <w:vAlign w:val="bottom"/>
          </w:tcPr>
          <w:p w:rsidR="00981470" w:rsidRPr="0030398A" w:rsidRDefault="00981470" w:rsidP="00CB6715">
            <w:pPr>
              <w:widowControl/>
              <w:autoSpaceDE/>
              <w:autoSpaceDN/>
              <w:adjustRightInd/>
              <w:jc w:val="center"/>
              <w:rPr>
                <w:sz w:val="20"/>
                <w:szCs w:val="20"/>
              </w:rPr>
            </w:pPr>
            <w:r w:rsidRPr="0030398A">
              <w:rPr>
                <w:sz w:val="20"/>
                <w:szCs w:val="20"/>
              </w:rPr>
              <w:t>$18.6</w:t>
            </w:r>
          </w:p>
        </w:tc>
        <w:tc>
          <w:tcPr>
            <w:tcW w:w="1080" w:type="dxa"/>
            <w:tcBorders>
              <w:top w:val="nil"/>
              <w:left w:val="nil"/>
              <w:bottom w:val="nil"/>
              <w:right w:val="nil"/>
            </w:tcBorders>
            <w:shd w:val="clear" w:color="auto" w:fill="auto"/>
            <w:noWrap/>
            <w:vAlign w:val="bottom"/>
          </w:tcPr>
          <w:p w:rsidR="00981470" w:rsidRPr="0030398A" w:rsidRDefault="00981470" w:rsidP="00CB6715">
            <w:pPr>
              <w:widowControl/>
              <w:autoSpaceDE/>
              <w:autoSpaceDN/>
              <w:adjustRightInd/>
              <w:jc w:val="center"/>
              <w:rPr>
                <w:sz w:val="20"/>
                <w:szCs w:val="20"/>
              </w:rPr>
            </w:pPr>
            <w:r w:rsidRPr="0030398A">
              <w:rPr>
                <w:sz w:val="20"/>
                <w:szCs w:val="20"/>
              </w:rPr>
              <w:t>$12,778.9</w:t>
            </w:r>
          </w:p>
        </w:tc>
      </w:tr>
      <w:tr w:rsidR="00981470" w:rsidRPr="0030398A" w:rsidTr="00CB6715">
        <w:trPr>
          <w:trHeight w:val="255"/>
        </w:trPr>
        <w:tc>
          <w:tcPr>
            <w:tcW w:w="2060" w:type="dxa"/>
            <w:tcBorders>
              <w:top w:val="nil"/>
              <w:left w:val="nil"/>
              <w:bottom w:val="nil"/>
              <w:right w:val="nil"/>
            </w:tcBorders>
            <w:shd w:val="clear" w:color="auto" w:fill="auto"/>
            <w:noWrap/>
            <w:vAlign w:val="bottom"/>
          </w:tcPr>
          <w:p w:rsidR="00981470" w:rsidRPr="0030398A" w:rsidRDefault="00981470" w:rsidP="008D59EF">
            <w:pPr>
              <w:widowControl/>
              <w:autoSpaceDE/>
              <w:autoSpaceDN/>
              <w:adjustRightInd/>
              <w:ind w:firstLineChars="100" w:firstLine="200"/>
              <w:rPr>
                <w:sz w:val="20"/>
                <w:szCs w:val="20"/>
              </w:rPr>
            </w:pPr>
            <w:r w:rsidRPr="0030398A">
              <w:rPr>
                <w:sz w:val="20"/>
                <w:szCs w:val="20"/>
              </w:rPr>
              <w:t>Medical</w:t>
            </w:r>
          </w:p>
        </w:tc>
        <w:tc>
          <w:tcPr>
            <w:tcW w:w="1080" w:type="dxa"/>
            <w:tcBorders>
              <w:top w:val="nil"/>
              <w:left w:val="nil"/>
              <w:bottom w:val="nil"/>
              <w:right w:val="nil"/>
            </w:tcBorders>
            <w:shd w:val="clear" w:color="auto" w:fill="auto"/>
            <w:noWrap/>
            <w:vAlign w:val="bottom"/>
          </w:tcPr>
          <w:p w:rsidR="00981470" w:rsidRPr="0030398A" w:rsidRDefault="00981470" w:rsidP="00CB6715">
            <w:pPr>
              <w:widowControl/>
              <w:autoSpaceDE/>
              <w:autoSpaceDN/>
              <w:adjustRightInd/>
              <w:jc w:val="center"/>
              <w:rPr>
                <w:sz w:val="20"/>
                <w:szCs w:val="20"/>
              </w:rPr>
            </w:pPr>
            <w:r w:rsidRPr="0030398A">
              <w:rPr>
                <w:sz w:val="20"/>
                <w:szCs w:val="20"/>
              </w:rPr>
              <w:t>$4,610.2</w:t>
            </w:r>
          </w:p>
        </w:tc>
        <w:tc>
          <w:tcPr>
            <w:tcW w:w="1080" w:type="dxa"/>
            <w:tcBorders>
              <w:top w:val="nil"/>
              <w:left w:val="nil"/>
              <w:bottom w:val="nil"/>
              <w:right w:val="nil"/>
            </w:tcBorders>
            <w:shd w:val="clear" w:color="auto" w:fill="auto"/>
            <w:noWrap/>
            <w:vAlign w:val="bottom"/>
          </w:tcPr>
          <w:p w:rsidR="00981470" w:rsidRPr="0030398A" w:rsidRDefault="00981470" w:rsidP="00CB6715">
            <w:pPr>
              <w:widowControl/>
              <w:autoSpaceDE/>
              <w:autoSpaceDN/>
              <w:adjustRightInd/>
              <w:jc w:val="center"/>
              <w:rPr>
                <w:sz w:val="20"/>
                <w:szCs w:val="20"/>
              </w:rPr>
            </w:pPr>
            <w:r w:rsidRPr="0030398A">
              <w:rPr>
                <w:sz w:val="20"/>
                <w:szCs w:val="20"/>
              </w:rPr>
              <w:t>--</w:t>
            </w:r>
          </w:p>
        </w:tc>
        <w:tc>
          <w:tcPr>
            <w:tcW w:w="1080" w:type="dxa"/>
            <w:tcBorders>
              <w:top w:val="nil"/>
              <w:left w:val="nil"/>
              <w:bottom w:val="nil"/>
              <w:right w:val="nil"/>
            </w:tcBorders>
            <w:shd w:val="clear" w:color="auto" w:fill="auto"/>
            <w:noWrap/>
            <w:vAlign w:val="bottom"/>
          </w:tcPr>
          <w:p w:rsidR="00981470" w:rsidRPr="0030398A" w:rsidRDefault="00981470" w:rsidP="00CB6715">
            <w:pPr>
              <w:widowControl/>
              <w:autoSpaceDE/>
              <w:autoSpaceDN/>
              <w:adjustRightInd/>
              <w:jc w:val="center"/>
              <w:rPr>
                <w:sz w:val="20"/>
                <w:szCs w:val="20"/>
              </w:rPr>
            </w:pPr>
            <w:r w:rsidRPr="0030398A">
              <w:rPr>
                <w:sz w:val="20"/>
                <w:szCs w:val="20"/>
              </w:rPr>
              <w:t>$4,610.2</w:t>
            </w:r>
          </w:p>
        </w:tc>
        <w:tc>
          <w:tcPr>
            <w:tcW w:w="1080" w:type="dxa"/>
            <w:tcBorders>
              <w:top w:val="nil"/>
              <w:left w:val="single" w:sz="8" w:space="0" w:color="auto"/>
              <w:bottom w:val="nil"/>
              <w:right w:val="nil"/>
            </w:tcBorders>
            <w:shd w:val="clear" w:color="auto" w:fill="auto"/>
            <w:noWrap/>
            <w:vAlign w:val="bottom"/>
          </w:tcPr>
          <w:p w:rsidR="00981470" w:rsidRPr="0030398A" w:rsidRDefault="00981470" w:rsidP="00CB6715">
            <w:pPr>
              <w:widowControl/>
              <w:autoSpaceDE/>
              <w:autoSpaceDN/>
              <w:adjustRightInd/>
              <w:jc w:val="center"/>
              <w:rPr>
                <w:sz w:val="20"/>
                <w:szCs w:val="20"/>
              </w:rPr>
            </w:pPr>
            <w:r w:rsidRPr="0030398A">
              <w:rPr>
                <w:sz w:val="20"/>
                <w:szCs w:val="20"/>
              </w:rPr>
              <w:t>$8,404.9</w:t>
            </w:r>
          </w:p>
        </w:tc>
        <w:tc>
          <w:tcPr>
            <w:tcW w:w="1080" w:type="dxa"/>
            <w:tcBorders>
              <w:top w:val="nil"/>
              <w:left w:val="nil"/>
              <w:bottom w:val="nil"/>
              <w:right w:val="nil"/>
            </w:tcBorders>
            <w:shd w:val="clear" w:color="auto" w:fill="auto"/>
            <w:noWrap/>
            <w:vAlign w:val="bottom"/>
          </w:tcPr>
          <w:p w:rsidR="00981470" w:rsidRPr="0030398A" w:rsidRDefault="00981470" w:rsidP="00CB6715">
            <w:pPr>
              <w:widowControl/>
              <w:autoSpaceDE/>
              <w:autoSpaceDN/>
              <w:adjustRightInd/>
              <w:jc w:val="center"/>
              <w:rPr>
                <w:sz w:val="20"/>
                <w:szCs w:val="20"/>
              </w:rPr>
            </w:pPr>
            <w:r w:rsidRPr="0030398A">
              <w:rPr>
                <w:sz w:val="20"/>
                <w:szCs w:val="20"/>
              </w:rPr>
              <w:t>--</w:t>
            </w:r>
          </w:p>
        </w:tc>
        <w:tc>
          <w:tcPr>
            <w:tcW w:w="1080" w:type="dxa"/>
            <w:tcBorders>
              <w:top w:val="nil"/>
              <w:left w:val="nil"/>
              <w:bottom w:val="nil"/>
              <w:right w:val="single" w:sz="8" w:space="0" w:color="auto"/>
            </w:tcBorders>
            <w:shd w:val="clear" w:color="auto" w:fill="auto"/>
            <w:noWrap/>
            <w:vAlign w:val="bottom"/>
          </w:tcPr>
          <w:p w:rsidR="00981470" w:rsidRPr="0030398A" w:rsidRDefault="00981470" w:rsidP="00CB6715">
            <w:pPr>
              <w:widowControl/>
              <w:autoSpaceDE/>
              <w:autoSpaceDN/>
              <w:adjustRightInd/>
              <w:jc w:val="center"/>
              <w:rPr>
                <w:sz w:val="20"/>
                <w:szCs w:val="20"/>
              </w:rPr>
            </w:pPr>
            <w:r w:rsidRPr="0030398A">
              <w:rPr>
                <w:sz w:val="20"/>
                <w:szCs w:val="20"/>
              </w:rPr>
              <w:t>$8,404.9</w:t>
            </w:r>
          </w:p>
        </w:tc>
        <w:tc>
          <w:tcPr>
            <w:tcW w:w="1080" w:type="dxa"/>
            <w:tcBorders>
              <w:top w:val="nil"/>
              <w:left w:val="nil"/>
              <w:bottom w:val="nil"/>
              <w:right w:val="nil"/>
            </w:tcBorders>
            <w:shd w:val="clear" w:color="auto" w:fill="auto"/>
            <w:noWrap/>
            <w:vAlign w:val="bottom"/>
          </w:tcPr>
          <w:p w:rsidR="00981470" w:rsidRPr="0030398A" w:rsidRDefault="00981470" w:rsidP="00CB6715">
            <w:pPr>
              <w:widowControl/>
              <w:autoSpaceDE/>
              <w:autoSpaceDN/>
              <w:adjustRightInd/>
              <w:jc w:val="center"/>
              <w:rPr>
                <w:sz w:val="20"/>
                <w:szCs w:val="20"/>
              </w:rPr>
            </w:pPr>
            <w:r w:rsidRPr="0030398A">
              <w:rPr>
                <w:sz w:val="20"/>
                <w:szCs w:val="20"/>
              </w:rPr>
              <w:t>$11,528.4</w:t>
            </w:r>
          </w:p>
        </w:tc>
        <w:tc>
          <w:tcPr>
            <w:tcW w:w="1080" w:type="dxa"/>
            <w:tcBorders>
              <w:top w:val="nil"/>
              <w:left w:val="nil"/>
              <w:bottom w:val="nil"/>
              <w:right w:val="nil"/>
            </w:tcBorders>
            <w:shd w:val="clear" w:color="auto" w:fill="auto"/>
            <w:noWrap/>
            <w:vAlign w:val="bottom"/>
          </w:tcPr>
          <w:p w:rsidR="00981470" w:rsidRPr="0030398A" w:rsidRDefault="00981470" w:rsidP="00CB6715">
            <w:pPr>
              <w:widowControl/>
              <w:autoSpaceDE/>
              <w:autoSpaceDN/>
              <w:adjustRightInd/>
              <w:jc w:val="center"/>
              <w:rPr>
                <w:sz w:val="20"/>
                <w:szCs w:val="20"/>
              </w:rPr>
            </w:pPr>
            <w:r w:rsidRPr="0030398A">
              <w:rPr>
                <w:sz w:val="20"/>
                <w:szCs w:val="20"/>
              </w:rPr>
              <w:t>--</w:t>
            </w:r>
          </w:p>
        </w:tc>
        <w:tc>
          <w:tcPr>
            <w:tcW w:w="1080" w:type="dxa"/>
            <w:tcBorders>
              <w:top w:val="nil"/>
              <w:left w:val="nil"/>
              <w:bottom w:val="nil"/>
              <w:right w:val="nil"/>
            </w:tcBorders>
            <w:shd w:val="clear" w:color="auto" w:fill="auto"/>
            <w:noWrap/>
            <w:vAlign w:val="bottom"/>
          </w:tcPr>
          <w:p w:rsidR="00981470" w:rsidRPr="0030398A" w:rsidRDefault="00981470" w:rsidP="00CB6715">
            <w:pPr>
              <w:widowControl/>
              <w:autoSpaceDE/>
              <w:autoSpaceDN/>
              <w:adjustRightInd/>
              <w:jc w:val="center"/>
              <w:rPr>
                <w:sz w:val="20"/>
                <w:szCs w:val="20"/>
              </w:rPr>
            </w:pPr>
            <w:r w:rsidRPr="0030398A">
              <w:rPr>
                <w:sz w:val="20"/>
                <w:szCs w:val="20"/>
              </w:rPr>
              <w:t>$11,528.4</w:t>
            </w:r>
          </w:p>
        </w:tc>
      </w:tr>
      <w:tr w:rsidR="00981470" w:rsidRPr="0030398A" w:rsidTr="00CB6715">
        <w:trPr>
          <w:trHeight w:val="255"/>
        </w:trPr>
        <w:tc>
          <w:tcPr>
            <w:tcW w:w="2060" w:type="dxa"/>
            <w:tcBorders>
              <w:top w:val="nil"/>
              <w:left w:val="nil"/>
              <w:bottom w:val="nil"/>
              <w:right w:val="nil"/>
            </w:tcBorders>
            <w:shd w:val="clear" w:color="auto" w:fill="auto"/>
            <w:noWrap/>
            <w:vAlign w:val="bottom"/>
          </w:tcPr>
          <w:p w:rsidR="00981470" w:rsidRPr="0030398A" w:rsidRDefault="00981470" w:rsidP="008D59EF">
            <w:pPr>
              <w:widowControl/>
              <w:autoSpaceDE/>
              <w:autoSpaceDN/>
              <w:adjustRightInd/>
              <w:ind w:firstLineChars="200" w:firstLine="400"/>
              <w:rPr>
                <w:sz w:val="20"/>
                <w:szCs w:val="20"/>
              </w:rPr>
            </w:pPr>
            <w:r w:rsidRPr="0030398A">
              <w:rPr>
                <w:sz w:val="20"/>
                <w:szCs w:val="20"/>
              </w:rPr>
              <w:t>Claim Approved</w:t>
            </w:r>
          </w:p>
        </w:tc>
        <w:tc>
          <w:tcPr>
            <w:tcW w:w="1080" w:type="dxa"/>
            <w:tcBorders>
              <w:top w:val="nil"/>
              <w:left w:val="nil"/>
              <w:bottom w:val="nil"/>
              <w:right w:val="nil"/>
            </w:tcBorders>
            <w:shd w:val="clear" w:color="auto" w:fill="auto"/>
            <w:noWrap/>
            <w:vAlign w:val="bottom"/>
          </w:tcPr>
          <w:p w:rsidR="00981470" w:rsidRPr="0030398A" w:rsidRDefault="00981470" w:rsidP="00CB6715">
            <w:pPr>
              <w:widowControl/>
              <w:autoSpaceDE/>
              <w:autoSpaceDN/>
              <w:adjustRightInd/>
              <w:jc w:val="center"/>
              <w:rPr>
                <w:sz w:val="20"/>
                <w:szCs w:val="20"/>
              </w:rPr>
            </w:pPr>
            <w:r w:rsidRPr="0030398A">
              <w:rPr>
                <w:sz w:val="20"/>
                <w:szCs w:val="20"/>
              </w:rPr>
              <w:t>$1,844.1</w:t>
            </w:r>
          </w:p>
        </w:tc>
        <w:tc>
          <w:tcPr>
            <w:tcW w:w="1080" w:type="dxa"/>
            <w:tcBorders>
              <w:top w:val="nil"/>
              <w:left w:val="nil"/>
              <w:bottom w:val="nil"/>
              <w:right w:val="nil"/>
            </w:tcBorders>
            <w:shd w:val="clear" w:color="auto" w:fill="auto"/>
            <w:noWrap/>
            <w:vAlign w:val="bottom"/>
          </w:tcPr>
          <w:p w:rsidR="00981470" w:rsidRPr="0030398A" w:rsidRDefault="00981470" w:rsidP="00CB6715">
            <w:pPr>
              <w:widowControl/>
              <w:autoSpaceDE/>
              <w:autoSpaceDN/>
              <w:adjustRightInd/>
              <w:jc w:val="center"/>
              <w:rPr>
                <w:sz w:val="20"/>
                <w:szCs w:val="20"/>
              </w:rPr>
            </w:pPr>
            <w:r w:rsidRPr="0030398A">
              <w:rPr>
                <w:sz w:val="20"/>
                <w:szCs w:val="20"/>
              </w:rPr>
              <w:t>--</w:t>
            </w:r>
          </w:p>
        </w:tc>
        <w:tc>
          <w:tcPr>
            <w:tcW w:w="1080" w:type="dxa"/>
            <w:tcBorders>
              <w:top w:val="nil"/>
              <w:left w:val="nil"/>
              <w:bottom w:val="nil"/>
              <w:right w:val="nil"/>
            </w:tcBorders>
            <w:shd w:val="clear" w:color="auto" w:fill="auto"/>
            <w:noWrap/>
            <w:vAlign w:val="bottom"/>
          </w:tcPr>
          <w:p w:rsidR="00981470" w:rsidRPr="0030398A" w:rsidRDefault="00981470" w:rsidP="00CB6715">
            <w:pPr>
              <w:widowControl/>
              <w:autoSpaceDE/>
              <w:autoSpaceDN/>
              <w:adjustRightInd/>
              <w:jc w:val="center"/>
              <w:rPr>
                <w:sz w:val="20"/>
                <w:szCs w:val="20"/>
              </w:rPr>
            </w:pPr>
            <w:r w:rsidRPr="0030398A">
              <w:rPr>
                <w:sz w:val="20"/>
                <w:szCs w:val="20"/>
              </w:rPr>
              <w:t>$1,844.1</w:t>
            </w:r>
          </w:p>
        </w:tc>
        <w:tc>
          <w:tcPr>
            <w:tcW w:w="1080" w:type="dxa"/>
            <w:tcBorders>
              <w:top w:val="nil"/>
              <w:left w:val="single" w:sz="8" w:space="0" w:color="auto"/>
              <w:bottom w:val="nil"/>
              <w:right w:val="nil"/>
            </w:tcBorders>
            <w:shd w:val="clear" w:color="auto" w:fill="auto"/>
            <w:noWrap/>
            <w:vAlign w:val="bottom"/>
          </w:tcPr>
          <w:p w:rsidR="00981470" w:rsidRPr="0030398A" w:rsidRDefault="00981470" w:rsidP="00CB6715">
            <w:pPr>
              <w:widowControl/>
              <w:autoSpaceDE/>
              <w:autoSpaceDN/>
              <w:adjustRightInd/>
              <w:jc w:val="center"/>
              <w:rPr>
                <w:sz w:val="20"/>
                <w:szCs w:val="20"/>
              </w:rPr>
            </w:pPr>
            <w:r w:rsidRPr="0030398A">
              <w:rPr>
                <w:sz w:val="20"/>
                <w:szCs w:val="20"/>
              </w:rPr>
              <w:t>$3,362.0</w:t>
            </w:r>
          </w:p>
        </w:tc>
        <w:tc>
          <w:tcPr>
            <w:tcW w:w="1080" w:type="dxa"/>
            <w:tcBorders>
              <w:top w:val="nil"/>
              <w:left w:val="nil"/>
              <w:bottom w:val="nil"/>
              <w:right w:val="nil"/>
            </w:tcBorders>
            <w:shd w:val="clear" w:color="auto" w:fill="auto"/>
            <w:noWrap/>
            <w:vAlign w:val="bottom"/>
          </w:tcPr>
          <w:p w:rsidR="00981470" w:rsidRPr="0030398A" w:rsidRDefault="00981470" w:rsidP="00CB6715">
            <w:pPr>
              <w:widowControl/>
              <w:autoSpaceDE/>
              <w:autoSpaceDN/>
              <w:adjustRightInd/>
              <w:jc w:val="center"/>
              <w:rPr>
                <w:sz w:val="20"/>
                <w:szCs w:val="20"/>
              </w:rPr>
            </w:pPr>
            <w:r w:rsidRPr="0030398A">
              <w:rPr>
                <w:sz w:val="20"/>
                <w:szCs w:val="20"/>
              </w:rPr>
              <w:t>--</w:t>
            </w:r>
          </w:p>
        </w:tc>
        <w:tc>
          <w:tcPr>
            <w:tcW w:w="1080" w:type="dxa"/>
            <w:tcBorders>
              <w:top w:val="nil"/>
              <w:left w:val="nil"/>
              <w:bottom w:val="nil"/>
              <w:right w:val="single" w:sz="8" w:space="0" w:color="auto"/>
            </w:tcBorders>
            <w:shd w:val="clear" w:color="auto" w:fill="auto"/>
            <w:noWrap/>
            <w:vAlign w:val="bottom"/>
          </w:tcPr>
          <w:p w:rsidR="00981470" w:rsidRPr="0030398A" w:rsidRDefault="00981470" w:rsidP="00CB6715">
            <w:pPr>
              <w:widowControl/>
              <w:autoSpaceDE/>
              <w:autoSpaceDN/>
              <w:adjustRightInd/>
              <w:jc w:val="center"/>
              <w:rPr>
                <w:sz w:val="20"/>
                <w:szCs w:val="20"/>
              </w:rPr>
            </w:pPr>
            <w:r w:rsidRPr="0030398A">
              <w:rPr>
                <w:sz w:val="20"/>
                <w:szCs w:val="20"/>
              </w:rPr>
              <w:t>$3,362.0</w:t>
            </w:r>
          </w:p>
        </w:tc>
        <w:tc>
          <w:tcPr>
            <w:tcW w:w="1080" w:type="dxa"/>
            <w:tcBorders>
              <w:top w:val="nil"/>
              <w:left w:val="nil"/>
              <w:bottom w:val="nil"/>
              <w:right w:val="nil"/>
            </w:tcBorders>
            <w:shd w:val="clear" w:color="auto" w:fill="auto"/>
            <w:noWrap/>
            <w:vAlign w:val="bottom"/>
          </w:tcPr>
          <w:p w:rsidR="00981470" w:rsidRPr="0030398A" w:rsidRDefault="00981470" w:rsidP="00CB6715">
            <w:pPr>
              <w:widowControl/>
              <w:autoSpaceDE/>
              <w:autoSpaceDN/>
              <w:adjustRightInd/>
              <w:jc w:val="center"/>
              <w:rPr>
                <w:sz w:val="20"/>
                <w:szCs w:val="20"/>
              </w:rPr>
            </w:pPr>
            <w:r w:rsidRPr="0030398A">
              <w:rPr>
                <w:sz w:val="20"/>
                <w:szCs w:val="20"/>
              </w:rPr>
              <w:t>$4,611.4</w:t>
            </w:r>
          </w:p>
        </w:tc>
        <w:tc>
          <w:tcPr>
            <w:tcW w:w="1080" w:type="dxa"/>
            <w:tcBorders>
              <w:top w:val="nil"/>
              <w:left w:val="nil"/>
              <w:bottom w:val="nil"/>
              <w:right w:val="nil"/>
            </w:tcBorders>
            <w:shd w:val="clear" w:color="auto" w:fill="auto"/>
            <w:noWrap/>
            <w:vAlign w:val="bottom"/>
          </w:tcPr>
          <w:p w:rsidR="00981470" w:rsidRPr="0030398A" w:rsidRDefault="00981470" w:rsidP="00CB6715">
            <w:pPr>
              <w:widowControl/>
              <w:autoSpaceDE/>
              <w:autoSpaceDN/>
              <w:adjustRightInd/>
              <w:jc w:val="center"/>
              <w:rPr>
                <w:sz w:val="20"/>
                <w:szCs w:val="20"/>
              </w:rPr>
            </w:pPr>
            <w:r w:rsidRPr="0030398A">
              <w:rPr>
                <w:sz w:val="20"/>
                <w:szCs w:val="20"/>
              </w:rPr>
              <w:t>--</w:t>
            </w:r>
          </w:p>
        </w:tc>
        <w:tc>
          <w:tcPr>
            <w:tcW w:w="1080" w:type="dxa"/>
            <w:tcBorders>
              <w:top w:val="nil"/>
              <w:left w:val="nil"/>
              <w:bottom w:val="nil"/>
              <w:right w:val="nil"/>
            </w:tcBorders>
            <w:shd w:val="clear" w:color="auto" w:fill="auto"/>
            <w:noWrap/>
            <w:vAlign w:val="bottom"/>
          </w:tcPr>
          <w:p w:rsidR="00981470" w:rsidRPr="0030398A" w:rsidRDefault="00981470" w:rsidP="00CB6715">
            <w:pPr>
              <w:widowControl/>
              <w:autoSpaceDE/>
              <w:autoSpaceDN/>
              <w:adjustRightInd/>
              <w:jc w:val="center"/>
              <w:rPr>
                <w:sz w:val="20"/>
                <w:szCs w:val="20"/>
              </w:rPr>
            </w:pPr>
            <w:r w:rsidRPr="0030398A">
              <w:rPr>
                <w:sz w:val="20"/>
                <w:szCs w:val="20"/>
              </w:rPr>
              <w:t>$4,611.4</w:t>
            </w:r>
          </w:p>
        </w:tc>
      </w:tr>
      <w:tr w:rsidR="00981470" w:rsidRPr="0030398A" w:rsidTr="00CB6715">
        <w:trPr>
          <w:trHeight w:val="270"/>
        </w:trPr>
        <w:tc>
          <w:tcPr>
            <w:tcW w:w="2060" w:type="dxa"/>
            <w:tcBorders>
              <w:top w:val="nil"/>
              <w:left w:val="nil"/>
              <w:bottom w:val="nil"/>
              <w:right w:val="nil"/>
            </w:tcBorders>
            <w:shd w:val="clear" w:color="auto" w:fill="auto"/>
            <w:noWrap/>
            <w:vAlign w:val="bottom"/>
          </w:tcPr>
          <w:p w:rsidR="00981470" w:rsidRPr="0030398A" w:rsidRDefault="00981470" w:rsidP="008D59EF">
            <w:pPr>
              <w:widowControl/>
              <w:autoSpaceDE/>
              <w:autoSpaceDN/>
              <w:adjustRightInd/>
              <w:ind w:firstLineChars="200" w:firstLine="400"/>
              <w:rPr>
                <w:sz w:val="20"/>
                <w:szCs w:val="20"/>
              </w:rPr>
            </w:pPr>
            <w:r w:rsidRPr="0030398A">
              <w:rPr>
                <w:sz w:val="20"/>
                <w:szCs w:val="20"/>
              </w:rPr>
              <w:t>Claim Denied</w:t>
            </w:r>
          </w:p>
        </w:tc>
        <w:tc>
          <w:tcPr>
            <w:tcW w:w="1080" w:type="dxa"/>
            <w:tcBorders>
              <w:top w:val="nil"/>
              <w:left w:val="nil"/>
              <w:bottom w:val="nil"/>
              <w:right w:val="nil"/>
            </w:tcBorders>
            <w:shd w:val="clear" w:color="auto" w:fill="auto"/>
            <w:noWrap/>
            <w:vAlign w:val="bottom"/>
          </w:tcPr>
          <w:p w:rsidR="00981470" w:rsidRPr="0030398A" w:rsidRDefault="00981470" w:rsidP="00CB6715">
            <w:pPr>
              <w:widowControl/>
              <w:autoSpaceDE/>
              <w:autoSpaceDN/>
              <w:adjustRightInd/>
              <w:jc w:val="center"/>
              <w:rPr>
                <w:sz w:val="20"/>
                <w:szCs w:val="20"/>
              </w:rPr>
            </w:pPr>
            <w:r w:rsidRPr="0030398A">
              <w:rPr>
                <w:sz w:val="20"/>
                <w:szCs w:val="20"/>
              </w:rPr>
              <w:t>$2,766.1</w:t>
            </w:r>
          </w:p>
        </w:tc>
        <w:tc>
          <w:tcPr>
            <w:tcW w:w="1080" w:type="dxa"/>
            <w:tcBorders>
              <w:top w:val="nil"/>
              <w:left w:val="nil"/>
              <w:bottom w:val="nil"/>
              <w:right w:val="nil"/>
            </w:tcBorders>
            <w:shd w:val="clear" w:color="auto" w:fill="auto"/>
            <w:noWrap/>
            <w:vAlign w:val="bottom"/>
          </w:tcPr>
          <w:p w:rsidR="00981470" w:rsidRPr="0030398A" w:rsidRDefault="00981470" w:rsidP="00CB6715">
            <w:pPr>
              <w:widowControl/>
              <w:autoSpaceDE/>
              <w:autoSpaceDN/>
              <w:adjustRightInd/>
              <w:jc w:val="center"/>
              <w:rPr>
                <w:sz w:val="20"/>
                <w:szCs w:val="20"/>
              </w:rPr>
            </w:pPr>
            <w:r w:rsidRPr="0030398A">
              <w:rPr>
                <w:sz w:val="20"/>
                <w:szCs w:val="20"/>
              </w:rPr>
              <w:t>--</w:t>
            </w:r>
          </w:p>
        </w:tc>
        <w:tc>
          <w:tcPr>
            <w:tcW w:w="1080" w:type="dxa"/>
            <w:tcBorders>
              <w:top w:val="nil"/>
              <w:left w:val="nil"/>
              <w:bottom w:val="nil"/>
              <w:right w:val="nil"/>
            </w:tcBorders>
            <w:shd w:val="clear" w:color="auto" w:fill="auto"/>
            <w:noWrap/>
            <w:vAlign w:val="bottom"/>
          </w:tcPr>
          <w:p w:rsidR="00981470" w:rsidRPr="0030398A" w:rsidRDefault="00981470" w:rsidP="00CB6715">
            <w:pPr>
              <w:widowControl/>
              <w:autoSpaceDE/>
              <w:autoSpaceDN/>
              <w:adjustRightInd/>
              <w:jc w:val="center"/>
              <w:rPr>
                <w:sz w:val="20"/>
                <w:szCs w:val="20"/>
              </w:rPr>
            </w:pPr>
            <w:r w:rsidRPr="0030398A">
              <w:rPr>
                <w:sz w:val="20"/>
                <w:szCs w:val="20"/>
              </w:rPr>
              <w:t>$2,766.1</w:t>
            </w:r>
          </w:p>
        </w:tc>
        <w:tc>
          <w:tcPr>
            <w:tcW w:w="1080" w:type="dxa"/>
            <w:tcBorders>
              <w:top w:val="nil"/>
              <w:left w:val="single" w:sz="8" w:space="0" w:color="auto"/>
              <w:bottom w:val="nil"/>
              <w:right w:val="nil"/>
            </w:tcBorders>
            <w:shd w:val="clear" w:color="auto" w:fill="auto"/>
            <w:noWrap/>
            <w:vAlign w:val="bottom"/>
          </w:tcPr>
          <w:p w:rsidR="00981470" w:rsidRPr="0030398A" w:rsidRDefault="00981470" w:rsidP="00CB6715">
            <w:pPr>
              <w:widowControl/>
              <w:autoSpaceDE/>
              <w:autoSpaceDN/>
              <w:adjustRightInd/>
              <w:jc w:val="center"/>
              <w:rPr>
                <w:sz w:val="20"/>
                <w:szCs w:val="20"/>
              </w:rPr>
            </w:pPr>
            <w:r w:rsidRPr="0030398A">
              <w:rPr>
                <w:sz w:val="20"/>
                <w:szCs w:val="20"/>
              </w:rPr>
              <w:t>$5,042.9</w:t>
            </w:r>
          </w:p>
        </w:tc>
        <w:tc>
          <w:tcPr>
            <w:tcW w:w="1080" w:type="dxa"/>
            <w:tcBorders>
              <w:top w:val="nil"/>
              <w:left w:val="nil"/>
              <w:bottom w:val="nil"/>
              <w:right w:val="nil"/>
            </w:tcBorders>
            <w:shd w:val="clear" w:color="auto" w:fill="auto"/>
            <w:noWrap/>
            <w:vAlign w:val="bottom"/>
          </w:tcPr>
          <w:p w:rsidR="00981470" w:rsidRPr="0030398A" w:rsidRDefault="00981470" w:rsidP="00CB6715">
            <w:pPr>
              <w:widowControl/>
              <w:autoSpaceDE/>
              <w:autoSpaceDN/>
              <w:adjustRightInd/>
              <w:jc w:val="center"/>
              <w:rPr>
                <w:sz w:val="20"/>
                <w:szCs w:val="20"/>
              </w:rPr>
            </w:pPr>
            <w:r w:rsidRPr="0030398A">
              <w:rPr>
                <w:sz w:val="20"/>
                <w:szCs w:val="20"/>
              </w:rPr>
              <w:t>--</w:t>
            </w:r>
          </w:p>
        </w:tc>
        <w:tc>
          <w:tcPr>
            <w:tcW w:w="1080" w:type="dxa"/>
            <w:tcBorders>
              <w:top w:val="nil"/>
              <w:left w:val="nil"/>
              <w:bottom w:val="nil"/>
              <w:right w:val="single" w:sz="8" w:space="0" w:color="auto"/>
            </w:tcBorders>
            <w:shd w:val="clear" w:color="auto" w:fill="auto"/>
            <w:noWrap/>
            <w:vAlign w:val="bottom"/>
          </w:tcPr>
          <w:p w:rsidR="00981470" w:rsidRPr="0030398A" w:rsidRDefault="00981470" w:rsidP="00CB6715">
            <w:pPr>
              <w:widowControl/>
              <w:autoSpaceDE/>
              <w:autoSpaceDN/>
              <w:adjustRightInd/>
              <w:jc w:val="center"/>
              <w:rPr>
                <w:sz w:val="20"/>
                <w:szCs w:val="20"/>
              </w:rPr>
            </w:pPr>
            <w:r w:rsidRPr="0030398A">
              <w:rPr>
                <w:sz w:val="20"/>
                <w:szCs w:val="20"/>
              </w:rPr>
              <w:t>$5,042.9</w:t>
            </w:r>
          </w:p>
        </w:tc>
        <w:tc>
          <w:tcPr>
            <w:tcW w:w="1080" w:type="dxa"/>
            <w:tcBorders>
              <w:top w:val="nil"/>
              <w:left w:val="nil"/>
              <w:bottom w:val="nil"/>
              <w:right w:val="nil"/>
            </w:tcBorders>
            <w:shd w:val="clear" w:color="auto" w:fill="auto"/>
            <w:noWrap/>
            <w:vAlign w:val="bottom"/>
          </w:tcPr>
          <w:p w:rsidR="00981470" w:rsidRPr="0030398A" w:rsidRDefault="00981470" w:rsidP="00CB6715">
            <w:pPr>
              <w:widowControl/>
              <w:autoSpaceDE/>
              <w:autoSpaceDN/>
              <w:adjustRightInd/>
              <w:jc w:val="center"/>
              <w:rPr>
                <w:sz w:val="20"/>
                <w:szCs w:val="20"/>
              </w:rPr>
            </w:pPr>
            <w:r w:rsidRPr="0030398A">
              <w:rPr>
                <w:sz w:val="20"/>
                <w:szCs w:val="20"/>
              </w:rPr>
              <w:t>$6,917.1</w:t>
            </w:r>
          </w:p>
        </w:tc>
        <w:tc>
          <w:tcPr>
            <w:tcW w:w="1080" w:type="dxa"/>
            <w:tcBorders>
              <w:top w:val="nil"/>
              <w:left w:val="nil"/>
              <w:bottom w:val="nil"/>
              <w:right w:val="nil"/>
            </w:tcBorders>
            <w:shd w:val="clear" w:color="auto" w:fill="auto"/>
            <w:noWrap/>
            <w:vAlign w:val="bottom"/>
          </w:tcPr>
          <w:p w:rsidR="00981470" w:rsidRPr="0030398A" w:rsidRDefault="00981470" w:rsidP="00CB6715">
            <w:pPr>
              <w:widowControl/>
              <w:autoSpaceDE/>
              <w:autoSpaceDN/>
              <w:adjustRightInd/>
              <w:jc w:val="center"/>
              <w:rPr>
                <w:sz w:val="20"/>
                <w:szCs w:val="20"/>
              </w:rPr>
            </w:pPr>
            <w:r w:rsidRPr="0030398A">
              <w:rPr>
                <w:sz w:val="20"/>
                <w:szCs w:val="20"/>
              </w:rPr>
              <w:t>--</w:t>
            </w:r>
          </w:p>
        </w:tc>
        <w:tc>
          <w:tcPr>
            <w:tcW w:w="1080" w:type="dxa"/>
            <w:tcBorders>
              <w:top w:val="nil"/>
              <w:left w:val="nil"/>
              <w:bottom w:val="nil"/>
              <w:right w:val="nil"/>
            </w:tcBorders>
            <w:shd w:val="clear" w:color="auto" w:fill="auto"/>
            <w:noWrap/>
            <w:vAlign w:val="bottom"/>
          </w:tcPr>
          <w:p w:rsidR="00981470" w:rsidRPr="0030398A" w:rsidRDefault="00981470" w:rsidP="00CB6715">
            <w:pPr>
              <w:widowControl/>
              <w:autoSpaceDE/>
              <w:autoSpaceDN/>
              <w:adjustRightInd/>
              <w:jc w:val="center"/>
              <w:rPr>
                <w:sz w:val="20"/>
                <w:szCs w:val="20"/>
              </w:rPr>
            </w:pPr>
            <w:r w:rsidRPr="0030398A">
              <w:rPr>
                <w:sz w:val="20"/>
                <w:szCs w:val="20"/>
              </w:rPr>
              <w:t>$6,917.1</w:t>
            </w:r>
          </w:p>
        </w:tc>
      </w:tr>
      <w:tr w:rsidR="00981470" w:rsidRPr="0030398A" w:rsidTr="00CB6715">
        <w:trPr>
          <w:trHeight w:val="255"/>
        </w:trPr>
        <w:tc>
          <w:tcPr>
            <w:tcW w:w="2060" w:type="dxa"/>
            <w:tcBorders>
              <w:top w:val="nil"/>
              <w:left w:val="nil"/>
              <w:bottom w:val="nil"/>
              <w:right w:val="nil"/>
            </w:tcBorders>
            <w:shd w:val="clear" w:color="auto" w:fill="auto"/>
            <w:noWrap/>
            <w:vAlign w:val="bottom"/>
          </w:tcPr>
          <w:p w:rsidR="00981470" w:rsidRPr="0030398A" w:rsidRDefault="00981470" w:rsidP="008D59EF">
            <w:pPr>
              <w:widowControl/>
              <w:autoSpaceDE/>
              <w:autoSpaceDN/>
              <w:adjustRightInd/>
              <w:ind w:firstLineChars="100" w:firstLine="200"/>
              <w:rPr>
                <w:sz w:val="20"/>
                <w:szCs w:val="20"/>
              </w:rPr>
            </w:pPr>
            <w:r w:rsidRPr="0030398A">
              <w:rPr>
                <w:sz w:val="20"/>
                <w:szCs w:val="20"/>
              </w:rPr>
              <w:t>Administrative</w:t>
            </w:r>
          </w:p>
        </w:tc>
        <w:tc>
          <w:tcPr>
            <w:tcW w:w="1080" w:type="dxa"/>
            <w:tcBorders>
              <w:top w:val="nil"/>
              <w:left w:val="nil"/>
              <w:bottom w:val="nil"/>
              <w:right w:val="nil"/>
            </w:tcBorders>
            <w:shd w:val="clear" w:color="auto" w:fill="auto"/>
            <w:noWrap/>
            <w:vAlign w:val="bottom"/>
          </w:tcPr>
          <w:p w:rsidR="00981470" w:rsidRPr="0030398A" w:rsidRDefault="00981470" w:rsidP="00CB6715">
            <w:pPr>
              <w:widowControl/>
              <w:autoSpaceDE/>
              <w:autoSpaceDN/>
              <w:adjustRightInd/>
              <w:jc w:val="center"/>
              <w:rPr>
                <w:sz w:val="20"/>
                <w:szCs w:val="20"/>
              </w:rPr>
            </w:pPr>
            <w:r w:rsidRPr="0030398A">
              <w:rPr>
                <w:sz w:val="20"/>
                <w:szCs w:val="20"/>
              </w:rPr>
              <w:t>$2,362.6</w:t>
            </w:r>
          </w:p>
        </w:tc>
        <w:tc>
          <w:tcPr>
            <w:tcW w:w="1080" w:type="dxa"/>
            <w:tcBorders>
              <w:top w:val="nil"/>
              <w:left w:val="nil"/>
              <w:bottom w:val="nil"/>
              <w:right w:val="nil"/>
            </w:tcBorders>
            <w:shd w:val="clear" w:color="auto" w:fill="auto"/>
            <w:noWrap/>
            <w:vAlign w:val="bottom"/>
          </w:tcPr>
          <w:p w:rsidR="00981470" w:rsidRPr="0030398A" w:rsidRDefault="00981470" w:rsidP="00CB6715">
            <w:pPr>
              <w:widowControl/>
              <w:autoSpaceDE/>
              <w:autoSpaceDN/>
              <w:adjustRightInd/>
              <w:jc w:val="center"/>
              <w:rPr>
                <w:sz w:val="20"/>
                <w:szCs w:val="20"/>
              </w:rPr>
            </w:pPr>
            <w:r w:rsidRPr="0030398A">
              <w:rPr>
                <w:sz w:val="20"/>
                <w:szCs w:val="20"/>
              </w:rPr>
              <w:t>--</w:t>
            </w:r>
          </w:p>
        </w:tc>
        <w:tc>
          <w:tcPr>
            <w:tcW w:w="1080" w:type="dxa"/>
            <w:tcBorders>
              <w:top w:val="nil"/>
              <w:left w:val="nil"/>
              <w:bottom w:val="nil"/>
              <w:right w:val="nil"/>
            </w:tcBorders>
            <w:shd w:val="clear" w:color="auto" w:fill="auto"/>
            <w:noWrap/>
            <w:vAlign w:val="bottom"/>
          </w:tcPr>
          <w:p w:rsidR="00981470" w:rsidRPr="0030398A" w:rsidRDefault="00981470" w:rsidP="00CB6715">
            <w:pPr>
              <w:widowControl/>
              <w:autoSpaceDE/>
              <w:autoSpaceDN/>
              <w:adjustRightInd/>
              <w:jc w:val="center"/>
              <w:rPr>
                <w:sz w:val="20"/>
                <w:szCs w:val="20"/>
              </w:rPr>
            </w:pPr>
            <w:r w:rsidRPr="0030398A">
              <w:rPr>
                <w:sz w:val="20"/>
                <w:szCs w:val="20"/>
              </w:rPr>
              <w:t>$2,362.6</w:t>
            </w:r>
          </w:p>
        </w:tc>
        <w:tc>
          <w:tcPr>
            <w:tcW w:w="1080" w:type="dxa"/>
            <w:tcBorders>
              <w:top w:val="nil"/>
              <w:left w:val="single" w:sz="8" w:space="0" w:color="auto"/>
              <w:bottom w:val="nil"/>
              <w:right w:val="nil"/>
            </w:tcBorders>
            <w:shd w:val="clear" w:color="auto" w:fill="auto"/>
            <w:noWrap/>
            <w:vAlign w:val="bottom"/>
          </w:tcPr>
          <w:p w:rsidR="00981470" w:rsidRPr="0030398A" w:rsidRDefault="00981470" w:rsidP="00CB6715">
            <w:pPr>
              <w:widowControl/>
              <w:autoSpaceDE/>
              <w:autoSpaceDN/>
              <w:adjustRightInd/>
              <w:jc w:val="center"/>
              <w:rPr>
                <w:sz w:val="20"/>
                <w:szCs w:val="20"/>
              </w:rPr>
            </w:pPr>
            <w:r w:rsidRPr="0030398A">
              <w:rPr>
                <w:sz w:val="20"/>
                <w:szCs w:val="20"/>
              </w:rPr>
              <w:t>$4,307.3</w:t>
            </w:r>
          </w:p>
        </w:tc>
        <w:tc>
          <w:tcPr>
            <w:tcW w:w="1080" w:type="dxa"/>
            <w:tcBorders>
              <w:top w:val="nil"/>
              <w:left w:val="nil"/>
              <w:bottom w:val="nil"/>
              <w:right w:val="nil"/>
            </w:tcBorders>
            <w:shd w:val="clear" w:color="auto" w:fill="auto"/>
            <w:noWrap/>
            <w:vAlign w:val="bottom"/>
          </w:tcPr>
          <w:p w:rsidR="00981470" w:rsidRPr="0030398A" w:rsidRDefault="00981470" w:rsidP="00CB6715">
            <w:pPr>
              <w:widowControl/>
              <w:autoSpaceDE/>
              <w:autoSpaceDN/>
              <w:adjustRightInd/>
              <w:jc w:val="center"/>
              <w:rPr>
                <w:sz w:val="20"/>
                <w:szCs w:val="20"/>
              </w:rPr>
            </w:pPr>
            <w:r w:rsidRPr="0030398A">
              <w:rPr>
                <w:sz w:val="20"/>
                <w:szCs w:val="20"/>
              </w:rPr>
              <w:t>--</w:t>
            </w:r>
          </w:p>
        </w:tc>
        <w:tc>
          <w:tcPr>
            <w:tcW w:w="1080" w:type="dxa"/>
            <w:tcBorders>
              <w:top w:val="nil"/>
              <w:left w:val="nil"/>
              <w:bottom w:val="nil"/>
              <w:right w:val="single" w:sz="8" w:space="0" w:color="auto"/>
            </w:tcBorders>
            <w:shd w:val="clear" w:color="auto" w:fill="auto"/>
            <w:noWrap/>
            <w:vAlign w:val="bottom"/>
          </w:tcPr>
          <w:p w:rsidR="00981470" w:rsidRPr="0030398A" w:rsidRDefault="00981470" w:rsidP="00CB6715">
            <w:pPr>
              <w:widowControl/>
              <w:autoSpaceDE/>
              <w:autoSpaceDN/>
              <w:adjustRightInd/>
              <w:jc w:val="center"/>
              <w:rPr>
                <w:sz w:val="20"/>
                <w:szCs w:val="20"/>
              </w:rPr>
            </w:pPr>
            <w:r w:rsidRPr="0030398A">
              <w:rPr>
                <w:sz w:val="20"/>
                <w:szCs w:val="20"/>
              </w:rPr>
              <w:t>$4,307.3</w:t>
            </w:r>
          </w:p>
        </w:tc>
        <w:tc>
          <w:tcPr>
            <w:tcW w:w="1080" w:type="dxa"/>
            <w:tcBorders>
              <w:top w:val="nil"/>
              <w:left w:val="nil"/>
              <w:bottom w:val="nil"/>
              <w:right w:val="nil"/>
            </w:tcBorders>
            <w:shd w:val="clear" w:color="auto" w:fill="auto"/>
            <w:noWrap/>
            <w:vAlign w:val="bottom"/>
          </w:tcPr>
          <w:p w:rsidR="00981470" w:rsidRPr="0030398A" w:rsidRDefault="00981470" w:rsidP="00CB6715">
            <w:pPr>
              <w:widowControl/>
              <w:autoSpaceDE/>
              <w:autoSpaceDN/>
              <w:adjustRightInd/>
              <w:jc w:val="center"/>
              <w:rPr>
                <w:sz w:val="20"/>
                <w:szCs w:val="20"/>
              </w:rPr>
            </w:pPr>
            <w:r w:rsidRPr="0030398A">
              <w:rPr>
                <w:sz w:val="20"/>
                <w:szCs w:val="20"/>
              </w:rPr>
              <w:t>$5,908.1</w:t>
            </w:r>
          </w:p>
        </w:tc>
        <w:tc>
          <w:tcPr>
            <w:tcW w:w="1080" w:type="dxa"/>
            <w:tcBorders>
              <w:top w:val="nil"/>
              <w:left w:val="nil"/>
              <w:bottom w:val="nil"/>
              <w:right w:val="nil"/>
            </w:tcBorders>
            <w:shd w:val="clear" w:color="auto" w:fill="auto"/>
            <w:noWrap/>
            <w:vAlign w:val="bottom"/>
          </w:tcPr>
          <w:p w:rsidR="00981470" w:rsidRPr="0030398A" w:rsidRDefault="00981470" w:rsidP="00CB6715">
            <w:pPr>
              <w:widowControl/>
              <w:autoSpaceDE/>
              <w:autoSpaceDN/>
              <w:adjustRightInd/>
              <w:jc w:val="center"/>
              <w:rPr>
                <w:sz w:val="20"/>
                <w:szCs w:val="20"/>
              </w:rPr>
            </w:pPr>
            <w:r w:rsidRPr="0030398A">
              <w:rPr>
                <w:sz w:val="20"/>
                <w:szCs w:val="20"/>
              </w:rPr>
              <w:t>--</w:t>
            </w:r>
          </w:p>
        </w:tc>
        <w:tc>
          <w:tcPr>
            <w:tcW w:w="1080" w:type="dxa"/>
            <w:tcBorders>
              <w:top w:val="nil"/>
              <w:left w:val="nil"/>
              <w:bottom w:val="nil"/>
              <w:right w:val="nil"/>
            </w:tcBorders>
            <w:shd w:val="clear" w:color="auto" w:fill="auto"/>
            <w:noWrap/>
            <w:vAlign w:val="bottom"/>
          </w:tcPr>
          <w:p w:rsidR="00981470" w:rsidRPr="0030398A" w:rsidRDefault="00981470" w:rsidP="00CB6715">
            <w:pPr>
              <w:widowControl/>
              <w:autoSpaceDE/>
              <w:autoSpaceDN/>
              <w:adjustRightInd/>
              <w:jc w:val="center"/>
              <w:rPr>
                <w:sz w:val="20"/>
                <w:szCs w:val="20"/>
              </w:rPr>
            </w:pPr>
            <w:r w:rsidRPr="0030398A">
              <w:rPr>
                <w:sz w:val="20"/>
                <w:szCs w:val="20"/>
              </w:rPr>
              <w:t>$5,908.1</w:t>
            </w:r>
          </w:p>
        </w:tc>
      </w:tr>
      <w:tr w:rsidR="00981470" w:rsidRPr="0030398A" w:rsidTr="00CB6715">
        <w:trPr>
          <w:trHeight w:val="255"/>
        </w:trPr>
        <w:tc>
          <w:tcPr>
            <w:tcW w:w="2060" w:type="dxa"/>
            <w:tcBorders>
              <w:top w:val="nil"/>
              <w:left w:val="nil"/>
              <w:bottom w:val="nil"/>
              <w:right w:val="nil"/>
            </w:tcBorders>
            <w:shd w:val="clear" w:color="auto" w:fill="auto"/>
            <w:noWrap/>
            <w:vAlign w:val="bottom"/>
          </w:tcPr>
          <w:p w:rsidR="00981470" w:rsidRPr="0030398A" w:rsidRDefault="00981470" w:rsidP="008D59EF">
            <w:pPr>
              <w:widowControl/>
              <w:autoSpaceDE/>
              <w:autoSpaceDN/>
              <w:adjustRightInd/>
              <w:ind w:firstLineChars="200" w:firstLine="400"/>
              <w:rPr>
                <w:sz w:val="20"/>
                <w:szCs w:val="20"/>
              </w:rPr>
            </w:pPr>
            <w:r w:rsidRPr="0030398A">
              <w:rPr>
                <w:sz w:val="20"/>
                <w:szCs w:val="20"/>
              </w:rPr>
              <w:t>Claim Approved</w:t>
            </w:r>
          </w:p>
        </w:tc>
        <w:tc>
          <w:tcPr>
            <w:tcW w:w="1080" w:type="dxa"/>
            <w:tcBorders>
              <w:top w:val="nil"/>
              <w:left w:val="nil"/>
              <w:bottom w:val="nil"/>
              <w:right w:val="nil"/>
            </w:tcBorders>
            <w:shd w:val="clear" w:color="auto" w:fill="auto"/>
            <w:noWrap/>
            <w:vAlign w:val="bottom"/>
          </w:tcPr>
          <w:p w:rsidR="00981470" w:rsidRPr="0030398A" w:rsidRDefault="00981470" w:rsidP="00CB6715">
            <w:pPr>
              <w:widowControl/>
              <w:autoSpaceDE/>
              <w:autoSpaceDN/>
              <w:adjustRightInd/>
              <w:jc w:val="center"/>
              <w:rPr>
                <w:sz w:val="20"/>
                <w:szCs w:val="20"/>
              </w:rPr>
            </w:pPr>
            <w:r w:rsidRPr="0030398A">
              <w:rPr>
                <w:sz w:val="20"/>
                <w:szCs w:val="20"/>
              </w:rPr>
              <w:t>$26.0</w:t>
            </w:r>
          </w:p>
        </w:tc>
        <w:tc>
          <w:tcPr>
            <w:tcW w:w="1080" w:type="dxa"/>
            <w:tcBorders>
              <w:top w:val="nil"/>
              <w:left w:val="nil"/>
              <w:bottom w:val="nil"/>
              <w:right w:val="nil"/>
            </w:tcBorders>
            <w:shd w:val="clear" w:color="auto" w:fill="auto"/>
            <w:noWrap/>
            <w:vAlign w:val="bottom"/>
          </w:tcPr>
          <w:p w:rsidR="00981470" w:rsidRPr="0030398A" w:rsidRDefault="00981470" w:rsidP="00CB6715">
            <w:pPr>
              <w:widowControl/>
              <w:autoSpaceDE/>
              <w:autoSpaceDN/>
              <w:adjustRightInd/>
              <w:jc w:val="center"/>
              <w:rPr>
                <w:sz w:val="20"/>
                <w:szCs w:val="20"/>
              </w:rPr>
            </w:pPr>
            <w:r w:rsidRPr="0030398A">
              <w:rPr>
                <w:sz w:val="20"/>
                <w:szCs w:val="20"/>
              </w:rPr>
              <w:t>--</w:t>
            </w:r>
          </w:p>
        </w:tc>
        <w:tc>
          <w:tcPr>
            <w:tcW w:w="1080" w:type="dxa"/>
            <w:tcBorders>
              <w:top w:val="nil"/>
              <w:left w:val="nil"/>
              <w:bottom w:val="nil"/>
              <w:right w:val="nil"/>
            </w:tcBorders>
            <w:shd w:val="clear" w:color="auto" w:fill="auto"/>
            <w:noWrap/>
            <w:vAlign w:val="bottom"/>
          </w:tcPr>
          <w:p w:rsidR="00981470" w:rsidRPr="0030398A" w:rsidRDefault="00981470" w:rsidP="00CB6715">
            <w:pPr>
              <w:widowControl/>
              <w:autoSpaceDE/>
              <w:autoSpaceDN/>
              <w:adjustRightInd/>
              <w:jc w:val="center"/>
              <w:rPr>
                <w:sz w:val="20"/>
                <w:szCs w:val="20"/>
              </w:rPr>
            </w:pPr>
            <w:r w:rsidRPr="0030398A">
              <w:rPr>
                <w:sz w:val="20"/>
                <w:szCs w:val="20"/>
              </w:rPr>
              <w:t>$26.0</w:t>
            </w:r>
          </w:p>
        </w:tc>
        <w:tc>
          <w:tcPr>
            <w:tcW w:w="1080" w:type="dxa"/>
            <w:tcBorders>
              <w:top w:val="nil"/>
              <w:left w:val="single" w:sz="8" w:space="0" w:color="auto"/>
              <w:bottom w:val="nil"/>
              <w:right w:val="nil"/>
            </w:tcBorders>
            <w:shd w:val="clear" w:color="auto" w:fill="auto"/>
            <w:noWrap/>
            <w:vAlign w:val="bottom"/>
          </w:tcPr>
          <w:p w:rsidR="00981470" w:rsidRPr="0030398A" w:rsidRDefault="00981470" w:rsidP="00CB6715">
            <w:pPr>
              <w:widowControl/>
              <w:autoSpaceDE/>
              <w:autoSpaceDN/>
              <w:adjustRightInd/>
              <w:jc w:val="center"/>
              <w:rPr>
                <w:sz w:val="20"/>
                <w:szCs w:val="20"/>
              </w:rPr>
            </w:pPr>
            <w:r w:rsidRPr="0030398A">
              <w:rPr>
                <w:sz w:val="20"/>
                <w:szCs w:val="20"/>
              </w:rPr>
              <w:t>$47.3</w:t>
            </w:r>
          </w:p>
        </w:tc>
        <w:tc>
          <w:tcPr>
            <w:tcW w:w="1080" w:type="dxa"/>
            <w:tcBorders>
              <w:top w:val="nil"/>
              <w:left w:val="nil"/>
              <w:bottom w:val="nil"/>
              <w:right w:val="nil"/>
            </w:tcBorders>
            <w:shd w:val="clear" w:color="auto" w:fill="auto"/>
            <w:noWrap/>
            <w:vAlign w:val="bottom"/>
          </w:tcPr>
          <w:p w:rsidR="00981470" w:rsidRPr="0030398A" w:rsidRDefault="00981470" w:rsidP="00CB6715">
            <w:pPr>
              <w:widowControl/>
              <w:autoSpaceDE/>
              <w:autoSpaceDN/>
              <w:adjustRightInd/>
              <w:jc w:val="center"/>
              <w:rPr>
                <w:sz w:val="20"/>
                <w:szCs w:val="20"/>
              </w:rPr>
            </w:pPr>
            <w:r w:rsidRPr="0030398A">
              <w:rPr>
                <w:sz w:val="20"/>
                <w:szCs w:val="20"/>
              </w:rPr>
              <w:t>--</w:t>
            </w:r>
          </w:p>
        </w:tc>
        <w:tc>
          <w:tcPr>
            <w:tcW w:w="1080" w:type="dxa"/>
            <w:tcBorders>
              <w:top w:val="nil"/>
              <w:left w:val="nil"/>
              <w:bottom w:val="nil"/>
              <w:right w:val="single" w:sz="8" w:space="0" w:color="auto"/>
            </w:tcBorders>
            <w:shd w:val="clear" w:color="auto" w:fill="auto"/>
            <w:noWrap/>
            <w:vAlign w:val="bottom"/>
          </w:tcPr>
          <w:p w:rsidR="00981470" w:rsidRPr="0030398A" w:rsidRDefault="00981470" w:rsidP="00CB6715">
            <w:pPr>
              <w:widowControl/>
              <w:autoSpaceDE/>
              <w:autoSpaceDN/>
              <w:adjustRightInd/>
              <w:jc w:val="center"/>
              <w:rPr>
                <w:sz w:val="20"/>
                <w:szCs w:val="20"/>
              </w:rPr>
            </w:pPr>
            <w:r w:rsidRPr="0030398A">
              <w:rPr>
                <w:sz w:val="20"/>
                <w:szCs w:val="20"/>
              </w:rPr>
              <w:t>$47.3</w:t>
            </w:r>
          </w:p>
        </w:tc>
        <w:tc>
          <w:tcPr>
            <w:tcW w:w="1080" w:type="dxa"/>
            <w:tcBorders>
              <w:top w:val="nil"/>
              <w:left w:val="nil"/>
              <w:bottom w:val="nil"/>
              <w:right w:val="nil"/>
            </w:tcBorders>
            <w:shd w:val="clear" w:color="auto" w:fill="auto"/>
            <w:noWrap/>
            <w:vAlign w:val="bottom"/>
          </w:tcPr>
          <w:p w:rsidR="00981470" w:rsidRPr="0030398A" w:rsidRDefault="00981470" w:rsidP="00CB6715">
            <w:pPr>
              <w:widowControl/>
              <w:autoSpaceDE/>
              <w:autoSpaceDN/>
              <w:adjustRightInd/>
              <w:jc w:val="center"/>
              <w:rPr>
                <w:sz w:val="20"/>
                <w:szCs w:val="20"/>
              </w:rPr>
            </w:pPr>
            <w:r w:rsidRPr="0030398A">
              <w:rPr>
                <w:sz w:val="20"/>
                <w:szCs w:val="20"/>
              </w:rPr>
              <w:t>$64.9</w:t>
            </w:r>
          </w:p>
        </w:tc>
        <w:tc>
          <w:tcPr>
            <w:tcW w:w="1080" w:type="dxa"/>
            <w:tcBorders>
              <w:top w:val="nil"/>
              <w:left w:val="nil"/>
              <w:bottom w:val="nil"/>
              <w:right w:val="nil"/>
            </w:tcBorders>
            <w:shd w:val="clear" w:color="auto" w:fill="auto"/>
            <w:noWrap/>
            <w:vAlign w:val="bottom"/>
          </w:tcPr>
          <w:p w:rsidR="00981470" w:rsidRPr="0030398A" w:rsidRDefault="00981470" w:rsidP="00CB6715">
            <w:pPr>
              <w:widowControl/>
              <w:autoSpaceDE/>
              <w:autoSpaceDN/>
              <w:adjustRightInd/>
              <w:jc w:val="center"/>
              <w:rPr>
                <w:sz w:val="20"/>
                <w:szCs w:val="20"/>
              </w:rPr>
            </w:pPr>
            <w:r w:rsidRPr="0030398A">
              <w:rPr>
                <w:sz w:val="20"/>
                <w:szCs w:val="20"/>
              </w:rPr>
              <w:t>--</w:t>
            </w:r>
          </w:p>
        </w:tc>
        <w:tc>
          <w:tcPr>
            <w:tcW w:w="1080" w:type="dxa"/>
            <w:tcBorders>
              <w:top w:val="nil"/>
              <w:left w:val="nil"/>
              <w:bottom w:val="nil"/>
              <w:right w:val="nil"/>
            </w:tcBorders>
            <w:shd w:val="clear" w:color="auto" w:fill="auto"/>
            <w:noWrap/>
            <w:vAlign w:val="bottom"/>
          </w:tcPr>
          <w:p w:rsidR="00981470" w:rsidRPr="0030398A" w:rsidRDefault="00981470" w:rsidP="00CB6715">
            <w:pPr>
              <w:widowControl/>
              <w:autoSpaceDE/>
              <w:autoSpaceDN/>
              <w:adjustRightInd/>
              <w:jc w:val="center"/>
              <w:rPr>
                <w:sz w:val="20"/>
                <w:szCs w:val="20"/>
              </w:rPr>
            </w:pPr>
            <w:r w:rsidRPr="0030398A">
              <w:rPr>
                <w:sz w:val="20"/>
                <w:szCs w:val="20"/>
              </w:rPr>
              <w:t>$64.9</w:t>
            </w:r>
          </w:p>
        </w:tc>
      </w:tr>
      <w:tr w:rsidR="00981470" w:rsidRPr="0030398A" w:rsidTr="00CB6715">
        <w:trPr>
          <w:trHeight w:val="255"/>
        </w:trPr>
        <w:tc>
          <w:tcPr>
            <w:tcW w:w="2060" w:type="dxa"/>
            <w:tcBorders>
              <w:top w:val="nil"/>
              <w:left w:val="nil"/>
              <w:bottom w:val="nil"/>
              <w:right w:val="nil"/>
            </w:tcBorders>
            <w:shd w:val="clear" w:color="auto" w:fill="auto"/>
            <w:noWrap/>
            <w:vAlign w:val="bottom"/>
          </w:tcPr>
          <w:p w:rsidR="00981470" w:rsidRPr="0030398A" w:rsidRDefault="00981470" w:rsidP="008D59EF">
            <w:pPr>
              <w:widowControl/>
              <w:autoSpaceDE/>
              <w:autoSpaceDN/>
              <w:adjustRightInd/>
              <w:ind w:firstLineChars="200" w:firstLine="400"/>
              <w:rPr>
                <w:sz w:val="20"/>
                <w:szCs w:val="20"/>
              </w:rPr>
            </w:pPr>
            <w:r w:rsidRPr="0030398A">
              <w:rPr>
                <w:sz w:val="20"/>
                <w:szCs w:val="20"/>
              </w:rPr>
              <w:lastRenderedPageBreak/>
              <w:t>Claim Denied</w:t>
            </w:r>
          </w:p>
        </w:tc>
        <w:tc>
          <w:tcPr>
            <w:tcW w:w="1080" w:type="dxa"/>
            <w:tcBorders>
              <w:top w:val="nil"/>
              <w:left w:val="nil"/>
              <w:bottom w:val="nil"/>
              <w:right w:val="nil"/>
            </w:tcBorders>
            <w:shd w:val="clear" w:color="auto" w:fill="auto"/>
            <w:noWrap/>
            <w:vAlign w:val="bottom"/>
          </w:tcPr>
          <w:p w:rsidR="00981470" w:rsidRPr="0030398A" w:rsidRDefault="00981470" w:rsidP="00CB6715">
            <w:pPr>
              <w:widowControl/>
              <w:autoSpaceDE/>
              <w:autoSpaceDN/>
              <w:adjustRightInd/>
              <w:jc w:val="center"/>
              <w:rPr>
                <w:sz w:val="20"/>
                <w:szCs w:val="20"/>
              </w:rPr>
            </w:pPr>
            <w:r w:rsidRPr="0030398A">
              <w:rPr>
                <w:sz w:val="20"/>
                <w:szCs w:val="20"/>
              </w:rPr>
              <w:t>$2,336.7</w:t>
            </w:r>
          </w:p>
        </w:tc>
        <w:tc>
          <w:tcPr>
            <w:tcW w:w="1080" w:type="dxa"/>
            <w:tcBorders>
              <w:top w:val="nil"/>
              <w:left w:val="nil"/>
              <w:bottom w:val="nil"/>
              <w:right w:val="nil"/>
            </w:tcBorders>
            <w:shd w:val="clear" w:color="auto" w:fill="auto"/>
            <w:noWrap/>
            <w:vAlign w:val="bottom"/>
          </w:tcPr>
          <w:p w:rsidR="00981470" w:rsidRPr="0030398A" w:rsidRDefault="00981470" w:rsidP="00CB6715">
            <w:pPr>
              <w:widowControl/>
              <w:autoSpaceDE/>
              <w:autoSpaceDN/>
              <w:adjustRightInd/>
              <w:jc w:val="center"/>
              <w:rPr>
                <w:sz w:val="20"/>
                <w:szCs w:val="20"/>
              </w:rPr>
            </w:pPr>
            <w:r w:rsidRPr="0030398A">
              <w:rPr>
                <w:sz w:val="20"/>
                <w:szCs w:val="20"/>
              </w:rPr>
              <w:t>--</w:t>
            </w:r>
          </w:p>
        </w:tc>
        <w:tc>
          <w:tcPr>
            <w:tcW w:w="1080" w:type="dxa"/>
            <w:tcBorders>
              <w:top w:val="nil"/>
              <w:left w:val="nil"/>
              <w:bottom w:val="nil"/>
              <w:right w:val="nil"/>
            </w:tcBorders>
            <w:shd w:val="clear" w:color="auto" w:fill="auto"/>
            <w:noWrap/>
            <w:vAlign w:val="bottom"/>
          </w:tcPr>
          <w:p w:rsidR="00981470" w:rsidRPr="0030398A" w:rsidRDefault="00981470" w:rsidP="00CB6715">
            <w:pPr>
              <w:widowControl/>
              <w:autoSpaceDE/>
              <w:autoSpaceDN/>
              <w:adjustRightInd/>
              <w:jc w:val="center"/>
              <w:rPr>
                <w:sz w:val="20"/>
                <w:szCs w:val="20"/>
              </w:rPr>
            </w:pPr>
            <w:r w:rsidRPr="0030398A">
              <w:rPr>
                <w:sz w:val="20"/>
                <w:szCs w:val="20"/>
              </w:rPr>
              <w:t>$2,336.7</w:t>
            </w:r>
          </w:p>
        </w:tc>
        <w:tc>
          <w:tcPr>
            <w:tcW w:w="1080" w:type="dxa"/>
            <w:tcBorders>
              <w:top w:val="nil"/>
              <w:left w:val="single" w:sz="8" w:space="0" w:color="auto"/>
              <w:bottom w:val="nil"/>
              <w:right w:val="nil"/>
            </w:tcBorders>
            <w:shd w:val="clear" w:color="auto" w:fill="auto"/>
            <w:noWrap/>
            <w:vAlign w:val="bottom"/>
          </w:tcPr>
          <w:p w:rsidR="00981470" w:rsidRPr="0030398A" w:rsidRDefault="00981470" w:rsidP="00CB6715">
            <w:pPr>
              <w:widowControl/>
              <w:autoSpaceDE/>
              <w:autoSpaceDN/>
              <w:adjustRightInd/>
              <w:jc w:val="center"/>
              <w:rPr>
                <w:sz w:val="20"/>
                <w:szCs w:val="20"/>
              </w:rPr>
            </w:pPr>
            <w:r w:rsidRPr="0030398A">
              <w:rPr>
                <w:sz w:val="20"/>
                <w:szCs w:val="20"/>
              </w:rPr>
              <w:t>$4,260.0</w:t>
            </w:r>
          </w:p>
        </w:tc>
        <w:tc>
          <w:tcPr>
            <w:tcW w:w="1080" w:type="dxa"/>
            <w:tcBorders>
              <w:top w:val="nil"/>
              <w:left w:val="nil"/>
              <w:bottom w:val="nil"/>
              <w:right w:val="nil"/>
            </w:tcBorders>
            <w:shd w:val="clear" w:color="auto" w:fill="auto"/>
            <w:noWrap/>
            <w:vAlign w:val="bottom"/>
          </w:tcPr>
          <w:p w:rsidR="00981470" w:rsidRPr="0030398A" w:rsidRDefault="00981470" w:rsidP="00CB6715">
            <w:pPr>
              <w:widowControl/>
              <w:autoSpaceDE/>
              <w:autoSpaceDN/>
              <w:adjustRightInd/>
              <w:jc w:val="center"/>
              <w:rPr>
                <w:sz w:val="20"/>
                <w:szCs w:val="20"/>
              </w:rPr>
            </w:pPr>
            <w:r w:rsidRPr="0030398A">
              <w:rPr>
                <w:sz w:val="20"/>
                <w:szCs w:val="20"/>
              </w:rPr>
              <w:t>--</w:t>
            </w:r>
          </w:p>
        </w:tc>
        <w:tc>
          <w:tcPr>
            <w:tcW w:w="1080" w:type="dxa"/>
            <w:tcBorders>
              <w:top w:val="nil"/>
              <w:left w:val="nil"/>
              <w:bottom w:val="nil"/>
              <w:right w:val="single" w:sz="8" w:space="0" w:color="auto"/>
            </w:tcBorders>
            <w:shd w:val="clear" w:color="auto" w:fill="auto"/>
            <w:noWrap/>
            <w:vAlign w:val="bottom"/>
          </w:tcPr>
          <w:p w:rsidR="00981470" w:rsidRPr="0030398A" w:rsidRDefault="00981470" w:rsidP="00CB6715">
            <w:pPr>
              <w:widowControl/>
              <w:autoSpaceDE/>
              <w:autoSpaceDN/>
              <w:adjustRightInd/>
              <w:jc w:val="center"/>
              <w:rPr>
                <w:sz w:val="20"/>
                <w:szCs w:val="20"/>
              </w:rPr>
            </w:pPr>
            <w:r w:rsidRPr="0030398A">
              <w:rPr>
                <w:sz w:val="20"/>
                <w:szCs w:val="20"/>
              </w:rPr>
              <w:t>$4,260.0</w:t>
            </w:r>
          </w:p>
        </w:tc>
        <w:tc>
          <w:tcPr>
            <w:tcW w:w="1080" w:type="dxa"/>
            <w:tcBorders>
              <w:top w:val="nil"/>
              <w:left w:val="nil"/>
              <w:bottom w:val="nil"/>
              <w:right w:val="nil"/>
            </w:tcBorders>
            <w:shd w:val="clear" w:color="auto" w:fill="auto"/>
            <w:noWrap/>
            <w:vAlign w:val="bottom"/>
          </w:tcPr>
          <w:p w:rsidR="00981470" w:rsidRPr="0030398A" w:rsidRDefault="00981470" w:rsidP="00CB6715">
            <w:pPr>
              <w:widowControl/>
              <w:autoSpaceDE/>
              <w:autoSpaceDN/>
              <w:adjustRightInd/>
              <w:jc w:val="center"/>
              <w:rPr>
                <w:sz w:val="20"/>
                <w:szCs w:val="20"/>
              </w:rPr>
            </w:pPr>
            <w:r w:rsidRPr="0030398A">
              <w:rPr>
                <w:sz w:val="20"/>
                <w:szCs w:val="20"/>
              </w:rPr>
              <w:t>$5,843.2</w:t>
            </w:r>
          </w:p>
        </w:tc>
        <w:tc>
          <w:tcPr>
            <w:tcW w:w="1080" w:type="dxa"/>
            <w:tcBorders>
              <w:top w:val="nil"/>
              <w:left w:val="nil"/>
              <w:bottom w:val="nil"/>
              <w:right w:val="nil"/>
            </w:tcBorders>
            <w:shd w:val="clear" w:color="auto" w:fill="auto"/>
            <w:noWrap/>
            <w:vAlign w:val="bottom"/>
          </w:tcPr>
          <w:p w:rsidR="00981470" w:rsidRPr="0030398A" w:rsidRDefault="00981470" w:rsidP="00CB6715">
            <w:pPr>
              <w:widowControl/>
              <w:autoSpaceDE/>
              <w:autoSpaceDN/>
              <w:adjustRightInd/>
              <w:jc w:val="center"/>
              <w:rPr>
                <w:sz w:val="20"/>
                <w:szCs w:val="20"/>
              </w:rPr>
            </w:pPr>
            <w:r w:rsidRPr="0030398A">
              <w:rPr>
                <w:sz w:val="20"/>
                <w:szCs w:val="20"/>
              </w:rPr>
              <w:t>--</w:t>
            </w:r>
          </w:p>
        </w:tc>
        <w:tc>
          <w:tcPr>
            <w:tcW w:w="1080" w:type="dxa"/>
            <w:tcBorders>
              <w:top w:val="nil"/>
              <w:left w:val="nil"/>
              <w:bottom w:val="nil"/>
              <w:right w:val="nil"/>
            </w:tcBorders>
            <w:shd w:val="clear" w:color="auto" w:fill="auto"/>
            <w:noWrap/>
            <w:vAlign w:val="bottom"/>
          </w:tcPr>
          <w:p w:rsidR="00981470" w:rsidRPr="0030398A" w:rsidRDefault="00981470" w:rsidP="00CB6715">
            <w:pPr>
              <w:widowControl/>
              <w:autoSpaceDE/>
              <w:autoSpaceDN/>
              <w:adjustRightInd/>
              <w:jc w:val="center"/>
              <w:rPr>
                <w:sz w:val="20"/>
                <w:szCs w:val="20"/>
              </w:rPr>
            </w:pPr>
            <w:r w:rsidRPr="0030398A">
              <w:rPr>
                <w:sz w:val="20"/>
                <w:szCs w:val="20"/>
              </w:rPr>
              <w:t>$5,843.2</w:t>
            </w:r>
          </w:p>
        </w:tc>
      </w:tr>
      <w:tr w:rsidR="00981470" w:rsidRPr="0030398A" w:rsidTr="00B4528F">
        <w:trPr>
          <w:trHeight w:val="255"/>
        </w:trPr>
        <w:tc>
          <w:tcPr>
            <w:tcW w:w="2060" w:type="dxa"/>
            <w:tcBorders>
              <w:top w:val="nil"/>
              <w:left w:val="nil"/>
              <w:bottom w:val="nil"/>
              <w:right w:val="nil"/>
            </w:tcBorders>
            <w:shd w:val="clear" w:color="auto" w:fill="auto"/>
            <w:noWrap/>
            <w:vAlign w:val="bottom"/>
          </w:tcPr>
          <w:p w:rsidR="00981470" w:rsidRPr="0030398A" w:rsidRDefault="00981470" w:rsidP="00CB6715">
            <w:pPr>
              <w:widowControl/>
              <w:autoSpaceDE/>
              <w:autoSpaceDN/>
              <w:adjustRightInd/>
              <w:rPr>
                <w:sz w:val="20"/>
                <w:szCs w:val="20"/>
              </w:rPr>
            </w:pPr>
            <w:r w:rsidRPr="0030398A">
              <w:rPr>
                <w:sz w:val="20"/>
                <w:szCs w:val="20"/>
              </w:rPr>
              <w:t>Fair and Full Review</w:t>
            </w:r>
          </w:p>
        </w:tc>
        <w:tc>
          <w:tcPr>
            <w:tcW w:w="1080" w:type="dxa"/>
            <w:tcBorders>
              <w:top w:val="nil"/>
              <w:left w:val="nil"/>
              <w:bottom w:val="nil"/>
              <w:right w:val="nil"/>
            </w:tcBorders>
            <w:shd w:val="clear" w:color="auto" w:fill="auto"/>
            <w:noWrap/>
            <w:vAlign w:val="bottom"/>
          </w:tcPr>
          <w:p w:rsidR="00981470" w:rsidRPr="0030398A" w:rsidRDefault="00981470" w:rsidP="00CB6715">
            <w:pPr>
              <w:widowControl/>
              <w:autoSpaceDE/>
              <w:autoSpaceDN/>
              <w:adjustRightInd/>
              <w:jc w:val="center"/>
              <w:rPr>
                <w:sz w:val="20"/>
                <w:szCs w:val="20"/>
              </w:rPr>
            </w:pPr>
            <w:r w:rsidRPr="0030398A">
              <w:rPr>
                <w:sz w:val="20"/>
                <w:szCs w:val="20"/>
              </w:rPr>
              <w:t>$36.0</w:t>
            </w:r>
          </w:p>
        </w:tc>
        <w:tc>
          <w:tcPr>
            <w:tcW w:w="1080" w:type="dxa"/>
            <w:tcBorders>
              <w:top w:val="nil"/>
              <w:left w:val="nil"/>
              <w:bottom w:val="nil"/>
              <w:right w:val="nil"/>
            </w:tcBorders>
            <w:shd w:val="clear" w:color="auto" w:fill="auto"/>
            <w:noWrap/>
            <w:vAlign w:val="bottom"/>
          </w:tcPr>
          <w:p w:rsidR="00981470" w:rsidRPr="0030398A" w:rsidRDefault="00981470" w:rsidP="00CB6715">
            <w:pPr>
              <w:widowControl/>
              <w:autoSpaceDE/>
              <w:autoSpaceDN/>
              <w:adjustRightInd/>
              <w:jc w:val="center"/>
              <w:rPr>
                <w:sz w:val="20"/>
                <w:szCs w:val="20"/>
              </w:rPr>
            </w:pPr>
            <w:r w:rsidRPr="0030398A">
              <w:rPr>
                <w:sz w:val="20"/>
                <w:szCs w:val="20"/>
              </w:rPr>
              <w:t>$6.9</w:t>
            </w:r>
          </w:p>
        </w:tc>
        <w:tc>
          <w:tcPr>
            <w:tcW w:w="1080" w:type="dxa"/>
            <w:tcBorders>
              <w:top w:val="nil"/>
              <w:left w:val="nil"/>
              <w:bottom w:val="nil"/>
              <w:right w:val="nil"/>
            </w:tcBorders>
            <w:shd w:val="clear" w:color="auto" w:fill="auto"/>
            <w:noWrap/>
            <w:vAlign w:val="bottom"/>
          </w:tcPr>
          <w:p w:rsidR="00981470" w:rsidRPr="0030398A" w:rsidRDefault="00981470" w:rsidP="00CB6715">
            <w:pPr>
              <w:widowControl/>
              <w:autoSpaceDE/>
              <w:autoSpaceDN/>
              <w:adjustRightInd/>
              <w:jc w:val="center"/>
              <w:rPr>
                <w:sz w:val="20"/>
                <w:szCs w:val="20"/>
              </w:rPr>
            </w:pPr>
            <w:r w:rsidRPr="0030398A">
              <w:rPr>
                <w:sz w:val="20"/>
                <w:szCs w:val="20"/>
              </w:rPr>
              <w:t>$42.9</w:t>
            </w:r>
          </w:p>
        </w:tc>
        <w:tc>
          <w:tcPr>
            <w:tcW w:w="1080" w:type="dxa"/>
            <w:tcBorders>
              <w:top w:val="nil"/>
              <w:left w:val="single" w:sz="8" w:space="0" w:color="auto"/>
              <w:right w:val="nil"/>
            </w:tcBorders>
            <w:shd w:val="clear" w:color="auto" w:fill="auto"/>
            <w:noWrap/>
            <w:vAlign w:val="bottom"/>
          </w:tcPr>
          <w:p w:rsidR="00981470" w:rsidRPr="0030398A" w:rsidRDefault="00981470" w:rsidP="00CB6715">
            <w:pPr>
              <w:widowControl/>
              <w:autoSpaceDE/>
              <w:autoSpaceDN/>
              <w:adjustRightInd/>
              <w:jc w:val="center"/>
              <w:rPr>
                <w:sz w:val="20"/>
                <w:szCs w:val="20"/>
              </w:rPr>
            </w:pPr>
            <w:r w:rsidRPr="0030398A">
              <w:rPr>
                <w:sz w:val="20"/>
                <w:szCs w:val="20"/>
              </w:rPr>
              <w:t>$65.7</w:t>
            </w:r>
          </w:p>
        </w:tc>
        <w:tc>
          <w:tcPr>
            <w:tcW w:w="1080" w:type="dxa"/>
            <w:tcBorders>
              <w:top w:val="nil"/>
              <w:left w:val="nil"/>
              <w:bottom w:val="nil"/>
              <w:right w:val="nil"/>
            </w:tcBorders>
            <w:shd w:val="clear" w:color="auto" w:fill="auto"/>
            <w:noWrap/>
            <w:vAlign w:val="bottom"/>
          </w:tcPr>
          <w:p w:rsidR="00981470" w:rsidRPr="0030398A" w:rsidRDefault="00981470" w:rsidP="00CB6715">
            <w:pPr>
              <w:widowControl/>
              <w:autoSpaceDE/>
              <w:autoSpaceDN/>
              <w:adjustRightInd/>
              <w:jc w:val="center"/>
              <w:rPr>
                <w:sz w:val="20"/>
                <w:szCs w:val="20"/>
              </w:rPr>
            </w:pPr>
            <w:r w:rsidRPr="0030398A">
              <w:rPr>
                <w:sz w:val="20"/>
                <w:szCs w:val="20"/>
              </w:rPr>
              <w:t>$12.6</w:t>
            </w:r>
          </w:p>
        </w:tc>
        <w:tc>
          <w:tcPr>
            <w:tcW w:w="1080" w:type="dxa"/>
            <w:tcBorders>
              <w:top w:val="nil"/>
              <w:left w:val="nil"/>
              <w:bottom w:val="nil"/>
              <w:right w:val="single" w:sz="8" w:space="0" w:color="auto"/>
            </w:tcBorders>
            <w:shd w:val="clear" w:color="auto" w:fill="auto"/>
            <w:noWrap/>
            <w:vAlign w:val="bottom"/>
          </w:tcPr>
          <w:p w:rsidR="00981470" w:rsidRPr="0030398A" w:rsidRDefault="00981470" w:rsidP="00CB6715">
            <w:pPr>
              <w:widowControl/>
              <w:autoSpaceDE/>
              <w:autoSpaceDN/>
              <w:adjustRightInd/>
              <w:jc w:val="center"/>
              <w:rPr>
                <w:sz w:val="20"/>
                <w:szCs w:val="20"/>
              </w:rPr>
            </w:pPr>
            <w:r w:rsidRPr="0030398A">
              <w:rPr>
                <w:sz w:val="20"/>
                <w:szCs w:val="20"/>
              </w:rPr>
              <w:t>$78.3</w:t>
            </w:r>
          </w:p>
        </w:tc>
        <w:tc>
          <w:tcPr>
            <w:tcW w:w="1080" w:type="dxa"/>
            <w:tcBorders>
              <w:top w:val="nil"/>
              <w:left w:val="nil"/>
              <w:right w:val="nil"/>
            </w:tcBorders>
            <w:shd w:val="clear" w:color="auto" w:fill="auto"/>
            <w:noWrap/>
            <w:vAlign w:val="bottom"/>
          </w:tcPr>
          <w:p w:rsidR="00981470" w:rsidRPr="0030398A" w:rsidRDefault="00981470" w:rsidP="00CB6715">
            <w:pPr>
              <w:widowControl/>
              <w:autoSpaceDE/>
              <w:autoSpaceDN/>
              <w:adjustRightInd/>
              <w:jc w:val="center"/>
              <w:rPr>
                <w:sz w:val="20"/>
                <w:szCs w:val="20"/>
              </w:rPr>
            </w:pPr>
            <w:r w:rsidRPr="0030398A">
              <w:rPr>
                <w:sz w:val="20"/>
                <w:szCs w:val="20"/>
              </w:rPr>
              <w:t>$318.8</w:t>
            </w:r>
          </w:p>
        </w:tc>
        <w:tc>
          <w:tcPr>
            <w:tcW w:w="1080" w:type="dxa"/>
            <w:tcBorders>
              <w:top w:val="nil"/>
              <w:left w:val="nil"/>
              <w:bottom w:val="nil"/>
              <w:right w:val="nil"/>
            </w:tcBorders>
            <w:shd w:val="clear" w:color="auto" w:fill="auto"/>
            <w:noWrap/>
            <w:vAlign w:val="bottom"/>
          </w:tcPr>
          <w:p w:rsidR="00981470" w:rsidRPr="0030398A" w:rsidRDefault="00981470" w:rsidP="00CB6715">
            <w:pPr>
              <w:widowControl/>
              <w:autoSpaceDE/>
              <w:autoSpaceDN/>
              <w:adjustRightInd/>
              <w:jc w:val="center"/>
              <w:rPr>
                <w:sz w:val="20"/>
                <w:szCs w:val="20"/>
              </w:rPr>
            </w:pPr>
            <w:r w:rsidRPr="0030398A">
              <w:rPr>
                <w:sz w:val="20"/>
                <w:szCs w:val="20"/>
              </w:rPr>
              <w:t>$60.9</w:t>
            </w:r>
          </w:p>
        </w:tc>
        <w:tc>
          <w:tcPr>
            <w:tcW w:w="1080" w:type="dxa"/>
            <w:tcBorders>
              <w:top w:val="nil"/>
              <w:left w:val="nil"/>
              <w:bottom w:val="nil"/>
              <w:right w:val="nil"/>
            </w:tcBorders>
            <w:shd w:val="clear" w:color="auto" w:fill="auto"/>
            <w:noWrap/>
            <w:vAlign w:val="bottom"/>
          </w:tcPr>
          <w:p w:rsidR="00981470" w:rsidRPr="0030398A" w:rsidRDefault="00981470" w:rsidP="00CB6715">
            <w:pPr>
              <w:widowControl/>
              <w:autoSpaceDE/>
              <w:autoSpaceDN/>
              <w:adjustRightInd/>
              <w:jc w:val="center"/>
              <w:rPr>
                <w:sz w:val="20"/>
                <w:szCs w:val="20"/>
              </w:rPr>
            </w:pPr>
            <w:r w:rsidRPr="0030398A">
              <w:rPr>
                <w:sz w:val="20"/>
                <w:szCs w:val="20"/>
              </w:rPr>
              <w:t>$379.7</w:t>
            </w:r>
          </w:p>
        </w:tc>
      </w:tr>
      <w:tr w:rsidR="00B4528F" w:rsidRPr="0030398A" w:rsidTr="00B4528F">
        <w:trPr>
          <w:trHeight w:val="180"/>
        </w:trPr>
        <w:tc>
          <w:tcPr>
            <w:tcW w:w="2060" w:type="dxa"/>
            <w:tcBorders>
              <w:top w:val="nil"/>
              <w:left w:val="nil"/>
              <w:bottom w:val="nil"/>
              <w:right w:val="nil"/>
            </w:tcBorders>
            <w:shd w:val="clear" w:color="auto" w:fill="auto"/>
            <w:vAlign w:val="bottom"/>
          </w:tcPr>
          <w:p w:rsidR="00B4528F" w:rsidRPr="0030398A" w:rsidRDefault="00B4528F" w:rsidP="00CC15CD">
            <w:pPr>
              <w:widowControl/>
              <w:autoSpaceDE/>
              <w:autoSpaceDN/>
              <w:adjustRightInd/>
              <w:rPr>
                <w:sz w:val="20"/>
                <w:szCs w:val="20"/>
              </w:rPr>
            </w:pPr>
            <w:r>
              <w:rPr>
                <w:sz w:val="20"/>
                <w:szCs w:val="20"/>
              </w:rPr>
              <w:t xml:space="preserve">External Review </w:t>
            </w:r>
          </w:p>
        </w:tc>
        <w:tc>
          <w:tcPr>
            <w:tcW w:w="1080" w:type="dxa"/>
            <w:tcBorders>
              <w:top w:val="nil"/>
              <w:left w:val="nil"/>
              <w:bottom w:val="nil"/>
              <w:right w:val="nil"/>
            </w:tcBorders>
            <w:shd w:val="clear" w:color="auto" w:fill="auto"/>
            <w:noWrap/>
            <w:vAlign w:val="bottom"/>
          </w:tcPr>
          <w:p w:rsidR="00B4528F" w:rsidRPr="0030398A" w:rsidRDefault="00B4528F" w:rsidP="00CC15CD">
            <w:pPr>
              <w:widowControl/>
              <w:autoSpaceDE/>
              <w:autoSpaceDN/>
              <w:adjustRightInd/>
              <w:jc w:val="center"/>
              <w:rPr>
                <w:sz w:val="20"/>
                <w:szCs w:val="20"/>
              </w:rPr>
            </w:pPr>
            <w:r>
              <w:rPr>
                <w:sz w:val="20"/>
                <w:szCs w:val="20"/>
              </w:rPr>
              <w:t>--</w:t>
            </w:r>
          </w:p>
        </w:tc>
        <w:tc>
          <w:tcPr>
            <w:tcW w:w="1080" w:type="dxa"/>
            <w:tcBorders>
              <w:top w:val="nil"/>
              <w:left w:val="nil"/>
              <w:bottom w:val="nil"/>
              <w:right w:val="nil"/>
            </w:tcBorders>
            <w:shd w:val="clear" w:color="auto" w:fill="auto"/>
            <w:noWrap/>
            <w:vAlign w:val="bottom"/>
          </w:tcPr>
          <w:p w:rsidR="00B4528F" w:rsidRPr="0030398A" w:rsidRDefault="00B4528F" w:rsidP="00B4528F">
            <w:pPr>
              <w:widowControl/>
              <w:autoSpaceDE/>
              <w:autoSpaceDN/>
              <w:adjustRightInd/>
              <w:jc w:val="center"/>
              <w:rPr>
                <w:sz w:val="20"/>
                <w:szCs w:val="20"/>
              </w:rPr>
            </w:pPr>
            <w:r>
              <w:rPr>
                <w:sz w:val="20"/>
                <w:szCs w:val="20"/>
              </w:rPr>
              <w:t>--</w:t>
            </w:r>
          </w:p>
        </w:tc>
        <w:tc>
          <w:tcPr>
            <w:tcW w:w="1080" w:type="dxa"/>
            <w:tcBorders>
              <w:top w:val="nil"/>
              <w:left w:val="nil"/>
              <w:bottom w:val="nil"/>
              <w:right w:val="nil"/>
            </w:tcBorders>
            <w:shd w:val="clear" w:color="auto" w:fill="auto"/>
            <w:noWrap/>
            <w:vAlign w:val="bottom"/>
          </w:tcPr>
          <w:p w:rsidR="00B4528F" w:rsidRPr="0030398A" w:rsidRDefault="00B4528F" w:rsidP="00B4528F">
            <w:pPr>
              <w:widowControl/>
              <w:autoSpaceDE/>
              <w:autoSpaceDN/>
              <w:adjustRightInd/>
              <w:jc w:val="center"/>
              <w:rPr>
                <w:sz w:val="20"/>
                <w:szCs w:val="20"/>
              </w:rPr>
            </w:pPr>
            <w:r w:rsidRPr="0030398A">
              <w:rPr>
                <w:sz w:val="20"/>
                <w:szCs w:val="20"/>
              </w:rPr>
              <w:t>$</w:t>
            </w:r>
            <w:r>
              <w:rPr>
                <w:sz w:val="20"/>
                <w:szCs w:val="20"/>
              </w:rPr>
              <w:t>.4</w:t>
            </w:r>
          </w:p>
        </w:tc>
        <w:tc>
          <w:tcPr>
            <w:tcW w:w="1080" w:type="dxa"/>
            <w:tcBorders>
              <w:left w:val="single" w:sz="8" w:space="0" w:color="auto"/>
              <w:right w:val="nil"/>
            </w:tcBorders>
            <w:shd w:val="clear" w:color="auto" w:fill="auto"/>
            <w:noWrap/>
            <w:vAlign w:val="bottom"/>
          </w:tcPr>
          <w:p w:rsidR="00B4528F" w:rsidRPr="0030398A" w:rsidRDefault="00B4528F" w:rsidP="00B4528F">
            <w:pPr>
              <w:widowControl/>
              <w:autoSpaceDE/>
              <w:autoSpaceDN/>
              <w:adjustRightInd/>
              <w:jc w:val="center"/>
              <w:rPr>
                <w:sz w:val="20"/>
                <w:szCs w:val="20"/>
              </w:rPr>
            </w:pPr>
            <w:r>
              <w:rPr>
                <w:sz w:val="20"/>
                <w:szCs w:val="20"/>
              </w:rPr>
              <w:t>--</w:t>
            </w:r>
          </w:p>
        </w:tc>
        <w:tc>
          <w:tcPr>
            <w:tcW w:w="1080" w:type="dxa"/>
            <w:tcBorders>
              <w:top w:val="nil"/>
              <w:left w:val="nil"/>
              <w:bottom w:val="nil"/>
              <w:right w:val="nil"/>
            </w:tcBorders>
            <w:shd w:val="clear" w:color="auto" w:fill="auto"/>
            <w:noWrap/>
            <w:vAlign w:val="bottom"/>
          </w:tcPr>
          <w:p w:rsidR="00B4528F" w:rsidRPr="0030398A" w:rsidRDefault="00B4528F" w:rsidP="00CC15CD">
            <w:pPr>
              <w:widowControl/>
              <w:autoSpaceDE/>
              <w:autoSpaceDN/>
              <w:adjustRightInd/>
              <w:jc w:val="center"/>
              <w:rPr>
                <w:sz w:val="20"/>
                <w:szCs w:val="20"/>
              </w:rPr>
            </w:pPr>
            <w:r>
              <w:rPr>
                <w:sz w:val="20"/>
                <w:szCs w:val="20"/>
              </w:rPr>
              <w:t>--</w:t>
            </w:r>
          </w:p>
        </w:tc>
        <w:tc>
          <w:tcPr>
            <w:tcW w:w="1080" w:type="dxa"/>
            <w:tcBorders>
              <w:top w:val="nil"/>
              <w:left w:val="nil"/>
              <w:bottom w:val="nil"/>
              <w:right w:val="single" w:sz="8" w:space="0" w:color="auto"/>
            </w:tcBorders>
            <w:shd w:val="clear" w:color="auto" w:fill="auto"/>
            <w:noWrap/>
            <w:vAlign w:val="bottom"/>
          </w:tcPr>
          <w:p w:rsidR="00B4528F" w:rsidRPr="0030398A" w:rsidRDefault="00B4528F" w:rsidP="00CC15CD">
            <w:pPr>
              <w:widowControl/>
              <w:autoSpaceDE/>
              <w:autoSpaceDN/>
              <w:adjustRightInd/>
              <w:jc w:val="center"/>
              <w:rPr>
                <w:sz w:val="20"/>
                <w:szCs w:val="20"/>
              </w:rPr>
            </w:pPr>
            <w:r w:rsidRPr="0030398A">
              <w:rPr>
                <w:sz w:val="20"/>
                <w:szCs w:val="20"/>
              </w:rPr>
              <w:t>$</w:t>
            </w:r>
            <w:r w:rsidR="006D56D3">
              <w:rPr>
                <w:sz w:val="20"/>
                <w:szCs w:val="20"/>
              </w:rPr>
              <w:t>1</w:t>
            </w:r>
            <w:r>
              <w:rPr>
                <w:sz w:val="20"/>
                <w:szCs w:val="20"/>
              </w:rPr>
              <w:t>0</w:t>
            </w:r>
            <w:r w:rsidRPr="0030398A">
              <w:rPr>
                <w:sz w:val="20"/>
                <w:szCs w:val="20"/>
              </w:rPr>
              <w:t>.</w:t>
            </w:r>
            <w:r w:rsidR="006D56D3">
              <w:rPr>
                <w:sz w:val="20"/>
                <w:szCs w:val="20"/>
              </w:rPr>
              <w:t>4</w:t>
            </w:r>
          </w:p>
        </w:tc>
        <w:tc>
          <w:tcPr>
            <w:tcW w:w="1080" w:type="dxa"/>
            <w:tcBorders>
              <w:left w:val="nil"/>
              <w:right w:val="nil"/>
            </w:tcBorders>
            <w:shd w:val="clear" w:color="auto" w:fill="auto"/>
            <w:noWrap/>
            <w:vAlign w:val="bottom"/>
          </w:tcPr>
          <w:p w:rsidR="00B4528F" w:rsidRPr="0030398A" w:rsidRDefault="00B4528F" w:rsidP="00CC15CD">
            <w:pPr>
              <w:widowControl/>
              <w:autoSpaceDE/>
              <w:autoSpaceDN/>
              <w:adjustRightInd/>
              <w:jc w:val="center"/>
              <w:rPr>
                <w:sz w:val="20"/>
                <w:szCs w:val="20"/>
              </w:rPr>
            </w:pPr>
            <w:r>
              <w:rPr>
                <w:sz w:val="20"/>
                <w:szCs w:val="20"/>
              </w:rPr>
              <w:t>--</w:t>
            </w:r>
          </w:p>
        </w:tc>
        <w:tc>
          <w:tcPr>
            <w:tcW w:w="1080" w:type="dxa"/>
            <w:tcBorders>
              <w:top w:val="nil"/>
              <w:left w:val="nil"/>
              <w:bottom w:val="nil"/>
              <w:right w:val="nil"/>
            </w:tcBorders>
            <w:shd w:val="clear" w:color="auto" w:fill="auto"/>
            <w:noWrap/>
            <w:vAlign w:val="bottom"/>
          </w:tcPr>
          <w:p w:rsidR="00B4528F" w:rsidRPr="0030398A" w:rsidRDefault="00B4528F" w:rsidP="00CC15CD">
            <w:pPr>
              <w:widowControl/>
              <w:autoSpaceDE/>
              <w:autoSpaceDN/>
              <w:adjustRightInd/>
              <w:jc w:val="center"/>
              <w:rPr>
                <w:sz w:val="20"/>
                <w:szCs w:val="20"/>
              </w:rPr>
            </w:pPr>
            <w:r>
              <w:rPr>
                <w:sz w:val="20"/>
                <w:szCs w:val="20"/>
              </w:rPr>
              <w:t>--</w:t>
            </w:r>
          </w:p>
        </w:tc>
        <w:tc>
          <w:tcPr>
            <w:tcW w:w="1080" w:type="dxa"/>
            <w:tcBorders>
              <w:top w:val="nil"/>
              <w:left w:val="nil"/>
              <w:bottom w:val="nil"/>
              <w:right w:val="nil"/>
            </w:tcBorders>
            <w:shd w:val="clear" w:color="auto" w:fill="auto"/>
            <w:noWrap/>
            <w:vAlign w:val="bottom"/>
          </w:tcPr>
          <w:p w:rsidR="00B4528F" w:rsidRPr="0030398A" w:rsidRDefault="00B4528F" w:rsidP="00B4528F">
            <w:pPr>
              <w:widowControl/>
              <w:autoSpaceDE/>
              <w:autoSpaceDN/>
              <w:adjustRightInd/>
              <w:jc w:val="center"/>
              <w:rPr>
                <w:sz w:val="20"/>
                <w:szCs w:val="20"/>
              </w:rPr>
            </w:pPr>
            <w:r w:rsidRPr="0030398A">
              <w:rPr>
                <w:sz w:val="20"/>
                <w:szCs w:val="20"/>
              </w:rPr>
              <w:t>$</w:t>
            </w:r>
            <w:r w:rsidR="006D56D3">
              <w:rPr>
                <w:sz w:val="20"/>
                <w:szCs w:val="20"/>
              </w:rPr>
              <w:t>1</w:t>
            </w:r>
            <w:r>
              <w:rPr>
                <w:sz w:val="20"/>
                <w:szCs w:val="20"/>
              </w:rPr>
              <w:t>4.</w:t>
            </w:r>
            <w:r w:rsidR="006D56D3">
              <w:rPr>
                <w:sz w:val="20"/>
                <w:szCs w:val="20"/>
              </w:rPr>
              <w:t>0</w:t>
            </w:r>
          </w:p>
        </w:tc>
      </w:tr>
      <w:tr w:rsidR="00E16547" w:rsidRPr="0030398A" w:rsidTr="00B4528F">
        <w:trPr>
          <w:trHeight w:val="207"/>
        </w:trPr>
        <w:tc>
          <w:tcPr>
            <w:tcW w:w="2060" w:type="dxa"/>
            <w:tcBorders>
              <w:top w:val="nil"/>
              <w:left w:val="nil"/>
              <w:bottom w:val="nil"/>
              <w:right w:val="nil"/>
            </w:tcBorders>
            <w:shd w:val="clear" w:color="auto" w:fill="auto"/>
            <w:vAlign w:val="bottom"/>
          </w:tcPr>
          <w:p w:rsidR="00E16547" w:rsidRDefault="00E16547" w:rsidP="00E16547">
            <w:pPr>
              <w:widowControl/>
              <w:autoSpaceDE/>
              <w:autoSpaceDN/>
              <w:adjustRightInd/>
              <w:ind w:left="432"/>
              <w:rPr>
                <w:sz w:val="20"/>
                <w:szCs w:val="20"/>
              </w:rPr>
            </w:pPr>
            <w:r>
              <w:rPr>
                <w:sz w:val="20"/>
                <w:szCs w:val="20"/>
              </w:rPr>
              <w:t>Translation Cost</w:t>
            </w:r>
          </w:p>
        </w:tc>
        <w:tc>
          <w:tcPr>
            <w:tcW w:w="1080" w:type="dxa"/>
            <w:tcBorders>
              <w:top w:val="nil"/>
              <w:left w:val="nil"/>
              <w:bottom w:val="nil"/>
              <w:right w:val="nil"/>
            </w:tcBorders>
            <w:shd w:val="clear" w:color="auto" w:fill="auto"/>
            <w:noWrap/>
            <w:vAlign w:val="bottom"/>
          </w:tcPr>
          <w:p w:rsidR="00E16547" w:rsidRPr="0030398A" w:rsidRDefault="00E16547" w:rsidP="00CB6715">
            <w:pPr>
              <w:widowControl/>
              <w:autoSpaceDE/>
              <w:autoSpaceDN/>
              <w:adjustRightInd/>
              <w:jc w:val="center"/>
              <w:rPr>
                <w:sz w:val="20"/>
                <w:szCs w:val="20"/>
              </w:rPr>
            </w:pPr>
            <w:r>
              <w:rPr>
                <w:sz w:val="20"/>
                <w:szCs w:val="20"/>
              </w:rPr>
              <w:t>--</w:t>
            </w:r>
          </w:p>
        </w:tc>
        <w:tc>
          <w:tcPr>
            <w:tcW w:w="1080" w:type="dxa"/>
            <w:tcBorders>
              <w:top w:val="nil"/>
              <w:left w:val="nil"/>
              <w:bottom w:val="nil"/>
              <w:right w:val="nil"/>
            </w:tcBorders>
            <w:shd w:val="clear" w:color="auto" w:fill="auto"/>
            <w:noWrap/>
            <w:vAlign w:val="bottom"/>
          </w:tcPr>
          <w:p w:rsidR="00E16547" w:rsidRPr="0030398A" w:rsidRDefault="00E16547" w:rsidP="00CB6715">
            <w:pPr>
              <w:widowControl/>
              <w:autoSpaceDE/>
              <w:autoSpaceDN/>
              <w:adjustRightInd/>
              <w:jc w:val="center"/>
              <w:rPr>
                <w:sz w:val="20"/>
                <w:szCs w:val="20"/>
              </w:rPr>
            </w:pPr>
            <w:r>
              <w:rPr>
                <w:sz w:val="20"/>
                <w:szCs w:val="20"/>
              </w:rPr>
              <w:t>--</w:t>
            </w:r>
          </w:p>
        </w:tc>
        <w:tc>
          <w:tcPr>
            <w:tcW w:w="1080" w:type="dxa"/>
            <w:tcBorders>
              <w:top w:val="nil"/>
              <w:left w:val="nil"/>
              <w:bottom w:val="nil"/>
              <w:right w:val="nil"/>
            </w:tcBorders>
            <w:shd w:val="clear" w:color="auto" w:fill="auto"/>
            <w:noWrap/>
            <w:vAlign w:val="bottom"/>
          </w:tcPr>
          <w:p w:rsidR="00E16547" w:rsidRPr="0030398A" w:rsidRDefault="00E16547" w:rsidP="00CB6715">
            <w:pPr>
              <w:widowControl/>
              <w:autoSpaceDE/>
              <w:autoSpaceDN/>
              <w:adjustRightInd/>
              <w:jc w:val="center"/>
              <w:rPr>
                <w:sz w:val="20"/>
                <w:szCs w:val="20"/>
              </w:rPr>
            </w:pPr>
            <w:r>
              <w:rPr>
                <w:sz w:val="20"/>
                <w:szCs w:val="20"/>
              </w:rPr>
              <w:t>--</w:t>
            </w:r>
          </w:p>
        </w:tc>
        <w:tc>
          <w:tcPr>
            <w:tcW w:w="1080" w:type="dxa"/>
            <w:tcBorders>
              <w:top w:val="nil"/>
              <w:left w:val="single" w:sz="8" w:space="0" w:color="auto"/>
              <w:bottom w:val="single" w:sz="4" w:space="0" w:color="auto"/>
              <w:right w:val="nil"/>
            </w:tcBorders>
            <w:shd w:val="clear" w:color="auto" w:fill="auto"/>
            <w:noWrap/>
            <w:vAlign w:val="bottom"/>
          </w:tcPr>
          <w:p w:rsidR="00E16547" w:rsidRPr="0030398A" w:rsidRDefault="00E16547" w:rsidP="00CB6715">
            <w:pPr>
              <w:widowControl/>
              <w:autoSpaceDE/>
              <w:autoSpaceDN/>
              <w:adjustRightInd/>
              <w:jc w:val="center"/>
              <w:rPr>
                <w:sz w:val="20"/>
                <w:szCs w:val="20"/>
              </w:rPr>
            </w:pPr>
            <w:r>
              <w:rPr>
                <w:sz w:val="20"/>
                <w:szCs w:val="20"/>
              </w:rPr>
              <w:t>--</w:t>
            </w:r>
          </w:p>
        </w:tc>
        <w:tc>
          <w:tcPr>
            <w:tcW w:w="1080" w:type="dxa"/>
            <w:tcBorders>
              <w:top w:val="nil"/>
              <w:left w:val="nil"/>
              <w:bottom w:val="nil"/>
              <w:right w:val="nil"/>
            </w:tcBorders>
            <w:shd w:val="clear" w:color="auto" w:fill="auto"/>
            <w:noWrap/>
            <w:vAlign w:val="bottom"/>
          </w:tcPr>
          <w:p w:rsidR="00E16547" w:rsidRPr="0030398A" w:rsidRDefault="00E16547" w:rsidP="00CB6715">
            <w:pPr>
              <w:widowControl/>
              <w:autoSpaceDE/>
              <w:autoSpaceDN/>
              <w:adjustRightInd/>
              <w:jc w:val="center"/>
              <w:rPr>
                <w:sz w:val="20"/>
                <w:szCs w:val="20"/>
              </w:rPr>
            </w:pPr>
            <w:r>
              <w:rPr>
                <w:sz w:val="20"/>
                <w:szCs w:val="20"/>
              </w:rPr>
              <w:t>--</w:t>
            </w:r>
          </w:p>
        </w:tc>
        <w:tc>
          <w:tcPr>
            <w:tcW w:w="1080" w:type="dxa"/>
            <w:tcBorders>
              <w:top w:val="nil"/>
              <w:left w:val="nil"/>
              <w:bottom w:val="nil"/>
              <w:right w:val="single" w:sz="8" w:space="0" w:color="auto"/>
            </w:tcBorders>
            <w:shd w:val="clear" w:color="auto" w:fill="auto"/>
            <w:noWrap/>
            <w:vAlign w:val="bottom"/>
          </w:tcPr>
          <w:p w:rsidR="00E16547" w:rsidRPr="0030398A" w:rsidRDefault="00E16547" w:rsidP="00CB6715">
            <w:pPr>
              <w:widowControl/>
              <w:autoSpaceDE/>
              <w:autoSpaceDN/>
              <w:adjustRightInd/>
              <w:jc w:val="center"/>
              <w:rPr>
                <w:sz w:val="20"/>
                <w:szCs w:val="20"/>
              </w:rPr>
            </w:pPr>
            <w:r>
              <w:rPr>
                <w:sz w:val="20"/>
                <w:szCs w:val="20"/>
              </w:rPr>
              <w:t>$430.0</w:t>
            </w:r>
          </w:p>
        </w:tc>
        <w:tc>
          <w:tcPr>
            <w:tcW w:w="1080" w:type="dxa"/>
            <w:tcBorders>
              <w:top w:val="nil"/>
              <w:left w:val="nil"/>
              <w:bottom w:val="single" w:sz="4" w:space="0" w:color="auto"/>
              <w:right w:val="nil"/>
            </w:tcBorders>
            <w:shd w:val="clear" w:color="auto" w:fill="auto"/>
            <w:noWrap/>
            <w:vAlign w:val="bottom"/>
          </w:tcPr>
          <w:p w:rsidR="00E16547" w:rsidRPr="0030398A" w:rsidRDefault="00E16547" w:rsidP="00CB6715">
            <w:pPr>
              <w:widowControl/>
              <w:autoSpaceDE/>
              <w:autoSpaceDN/>
              <w:adjustRightInd/>
              <w:jc w:val="center"/>
              <w:rPr>
                <w:sz w:val="20"/>
                <w:szCs w:val="20"/>
              </w:rPr>
            </w:pPr>
            <w:r>
              <w:rPr>
                <w:sz w:val="20"/>
                <w:szCs w:val="20"/>
              </w:rPr>
              <w:t>--</w:t>
            </w:r>
          </w:p>
        </w:tc>
        <w:tc>
          <w:tcPr>
            <w:tcW w:w="1080" w:type="dxa"/>
            <w:tcBorders>
              <w:top w:val="nil"/>
              <w:left w:val="nil"/>
              <w:bottom w:val="nil"/>
              <w:right w:val="nil"/>
            </w:tcBorders>
            <w:shd w:val="clear" w:color="auto" w:fill="auto"/>
            <w:noWrap/>
            <w:vAlign w:val="bottom"/>
          </w:tcPr>
          <w:p w:rsidR="00E16547" w:rsidRPr="0030398A" w:rsidRDefault="00E16547" w:rsidP="00CB6715">
            <w:pPr>
              <w:widowControl/>
              <w:autoSpaceDE/>
              <w:autoSpaceDN/>
              <w:adjustRightInd/>
              <w:jc w:val="center"/>
              <w:rPr>
                <w:sz w:val="20"/>
                <w:szCs w:val="20"/>
              </w:rPr>
            </w:pPr>
            <w:r>
              <w:rPr>
                <w:sz w:val="20"/>
                <w:szCs w:val="20"/>
              </w:rPr>
              <w:t>--</w:t>
            </w:r>
          </w:p>
        </w:tc>
        <w:tc>
          <w:tcPr>
            <w:tcW w:w="1080" w:type="dxa"/>
            <w:tcBorders>
              <w:top w:val="nil"/>
              <w:left w:val="nil"/>
              <w:bottom w:val="nil"/>
              <w:right w:val="nil"/>
            </w:tcBorders>
            <w:shd w:val="clear" w:color="auto" w:fill="auto"/>
            <w:noWrap/>
            <w:vAlign w:val="bottom"/>
          </w:tcPr>
          <w:p w:rsidR="00E16547" w:rsidRPr="0030398A" w:rsidRDefault="00E16547" w:rsidP="00CB6715">
            <w:pPr>
              <w:widowControl/>
              <w:autoSpaceDE/>
              <w:autoSpaceDN/>
              <w:adjustRightInd/>
              <w:jc w:val="center"/>
              <w:rPr>
                <w:sz w:val="20"/>
                <w:szCs w:val="20"/>
              </w:rPr>
            </w:pPr>
            <w:r>
              <w:rPr>
                <w:sz w:val="20"/>
                <w:szCs w:val="20"/>
              </w:rPr>
              <w:t>$430.0</w:t>
            </w:r>
          </w:p>
        </w:tc>
      </w:tr>
      <w:tr w:rsidR="00981470" w:rsidRPr="0030398A" w:rsidTr="00B4528F">
        <w:trPr>
          <w:trHeight w:val="270"/>
        </w:trPr>
        <w:tc>
          <w:tcPr>
            <w:tcW w:w="2060" w:type="dxa"/>
            <w:tcBorders>
              <w:top w:val="single" w:sz="4" w:space="0" w:color="auto"/>
              <w:left w:val="nil"/>
              <w:bottom w:val="single" w:sz="8" w:space="0" w:color="auto"/>
              <w:right w:val="nil"/>
            </w:tcBorders>
            <w:shd w:val="clear" w:color="auto" w:fill="auto"/>
            <w:noWrap/>
            <w:vAlign w:val="bottom"/>
          </w:tcPr>
          <w:p w:rsidR="00981470" w:rsidRPr="0030398A" w:rsidRDefault="00981470" w:rsidP="00CB6715">
            <w:pPr>
              <w:widowControl/>
              <w:autoSpaceDE/>
              <w:autoSpaceDN/>
              <w:adjustRightInd/>
              <w:rPr>
                <w:b/>
                <w:bCs/>
                <w:sz w:val="20"/>
                <w:szCs w:val="20"/>
              </w:rPr>
            </w:pPr>
            <w:r w:rsidRPr="0030398A">
              <w:rPr>
                <w:b/>
                <w:bCs/>
                <w:sz w:val="20"/>
                <w:szCs w:val="20"/>
              </w:rPr>
              <w:t>Total Costs</w:t>
            </w:r>
          </w:p>
        </w:tc>
        <w:tc>
          <w:tcPr>
            <w:tcW w:w="1080" w:type="dxa"/>
            <w:tcBorders>
              <w:top w:val="single" w:sz="4" w:space="0" w:color="auto"/>
              <w:left w:val="nil"/>
              <w:bottom w:val="single" w:sz="8" w:space="0" w:color="auto"/>
              <w:right w:val="nil"/>
            </w:tcBorders>
            <w:shd w:val="clear" w:color="auto" w:fill="auto"/>
            <w:noWrap/>
            <w:vAlign w:val="bottom"/>
          </w:tcPr>
          <w:p w:rsidR="00981470" w:rsidRPr="0030398A" w:rsidRDefault="00981470" w:rsidP="00DA2E8C">
            <w:pPr>
              <w:widowControl/>
              <w:autoSpaceDE/>
              <w:autoSpaceDN/>
              <w:adjustRightInd/>
              <w:jc w:val="center"/>
              <w:rPr>
                <w:b/>
                <w:bCs/>
                <w:sz w:val="20"/>
                <w:szCs w:val="20"/>
              </w:rPr>
            </w:pPr>
          </w:p>
        </w:tc>
        <w:tc>
          <w:tcPr>
            <w:tcW w:w="1080" w:type="dxa"/>
            <w:tcBorders>
              <w:top w:val="single" w:sz="4" w:space="0" w:color="auto"/>
              <w:left w:val="nil"/>
              <w:bottom w:val="single" w:sz="8" w:space="0" w:color="auto"/>
              <w:right w:val="nil"/>
            </w:tcBorders>
            <w:shd w:val="clear" w:color="auto" w:fill="auto"/>
            <w:noWrap/>
            <w:vAlign w:val="bottom"/>
          </w:tcPr>
          <w:p w:rsidR="00981470" w:rsidRPr="0030398A" w:rsidRDefault="00981470" w:rsidP="00CB6715">
            <w:pPr>
              <w:widowControl/>
              <w:autoSpaceDE/>
              <w:autoSpaceDN/>
              <w:adjustRightInd/>
              <w:jc w:val="center"/>
              <w:rPr>
                <w:b/>
                <w:bCs/>
                <w:sz w:val="20"/>
                <w:szCs w:val="20"/>
              </w:rPr>
            </w:pPr>
          </w:p>
        </w:tc>
        <w:tc>
          <w:tcPr>
            <w:tcW w:w="1080" w:type="dxa"/>
            <w:tcBorders>
              <w:top w:val="single" w:sz="4" w:space="0" w:color="auto"/>
              <w:left w:val="nil"/>
              <w:bottom w:val="single" w:sz="8" w:space="0" w:color="auto"/>
              <w:right w:val="nil"/>
            </w:tcBorders>
            <w:shd w:val="clear" w:color="auto" w:fill="auto"/>
            <w:noWrap/>
            <w:vAlign w:val="bottom"/>
          </w:tcPr>
          <w:p w:rsidR="00981470" w:rsidRPr="0030398A" w:rsidRDefault="00981470" w:rsidP="00B4528F">
            <w:pPr>
              <w:widowControl/>
              <w:autoSpaceDE/>
              <w:autoSpaceDN/>
              <w:adjustRightInd/>
              <w:jc w:val="center"/>
              <w:rPr>
                <w:b/>
                <w:bCs/>
                <w:sz w:val="20"/>
                <w:szCs w:val="20"/>
              </w:rPr>
            </w:pPr>
            <w:r w:rsidRPr="0030398A">
              <w:rPr>
                <w:b/>
                <w:bCs/>
                <w:sz w:val="20"/>
                <w:szCs w:val="20"/>
              </w:rPr>
              <w:t>$</w:t>
            </w:r>
            <w:r w:rsidR="00B4528F">
              <w:rPr>
                <w:b/>
                <w:bCs/>
                <w:sz w:val="20"/>
                <w:szCs w:val="20"/>
              </w:rPr>
              <w:t>20</w:t>
            </w:r>
            <w:r w:rsidRPr="0030398A">
              <w:rPr>
                <w:b/>
                <w:bCs/>
                <w:sz w:val="20"/>
                <w:szCs w:val="20"/>
              </w:rPr>
              <w:t>,</w:t>
            </w:r>
            <w:r w:rsidR="00B4528F">
              <w:rPr>
                <w:b/>
                <w:bCs/>
                <w:sz w:val="20"/>
                <w:szCs w:val="20"/>
              </w:rPr>
              <w:t>733</w:t>
            </w:r>
            <w:r w:rsidRPr="0030398A">
              <w:rPr>
                <w:b/>
                <w:bCs/>
                <w:sz w:val="20"/>
                <w:szCs w:val="20"/>
              </w:rPr>
              <w:t>.</w:t>
            </w:r>
            <w:r w:rsidR="00B4528F">
              <w:rPr>
                <w:b/>
                <w:bCs/>
                <w:sz w:val="20"/>
                <w:szCs w:val="20"/>
              </w:rPr>
              <w:t>2</w:t>
            </w:r>
          </w:p>
        </w:tc>
        <w:tc>
          <w:tcPr>
            <w:tcW w:w="1080" w:type="dxa"/>
            <w:tcBorders>
              <w:top w:val="single" w:sz="4" w:space="0" w:color="auto"/>
              <w:left w:val="single" w:sz="8" w:space="0" w:color="auto"/>
              <w:bottom w:val="single" w:sz="8" w:space="0" w:color="auto"/>
              <w:right w:val="nil"/>
            </w:tcBorders>
            <w:shd w:val="clear" w:color="auto" w:fill="auto"/>
            <w:noWrap/>
            <w:vAlign w:val="bottom"/>
          </w:tcPr>
          <w:p w:rsidR="00981470" w:rsidRPr="0030398A" w:rsidRDefault="00981470" w:rsidP="00DA2E8C">
            <w:pPr>
              <w:widowControl/>
              <w:autoSpaceDE/>
              <w:autoSpaceDN/>
              <w:adjustRightInd/>
              <w:jc w:val="center"/>
              <w:rPr>
                <w:b/>
                <w:bCs/>
                <w:sz w:val="20"/>
                <w:szCs w:val="20"/>
              </w:rPr>
            </w:pPr>
          </w:p>
        </w:tc>
        <w:tc>
          <w:tcPr>
            <w:tcW w:w="1080" w:type="dxa"/>
            <w:tcBorders>
              <w:top w:val="single" w:sz="4" w:space="0" w:color="auto"/>
              <w:left w:val="nil"/>
              <w:bottom w:val="single" w:sz="8" w:space="0" w:color="auto"/>
              <w:right w:val="nil"/>
            </w:tcBorders>
            <w:shd w:val="clear" w:color="auto" w:fill="auto"/>
            <w:noWrap/>
            <w:vAlign w:val="bottom"/>
          </w:tcPr>
          <w:p w:rsidR="00981470" w:rsidRPr="0030398A" w:rsidRDefault="00981470" w:rsidP="00CB6715">
            <w:pPr>
              <w:widowControl/>
              <w:autoSpaceDE/>
              <w:autoSpaceDN/>
              <w:adjustRightInd/>
              <w:jc w:val="center"/>
              <w:rPr>
                <w:b/>
                <w:bCs/>
                <w:sz w:val="20"/>
                <w:szCs w:val="20"/>
              </w:rPr>
            </w:pPr>
          </w:p>
        </w:tc>
        <w:tc>
          <w:tcPr>
            <w:tcW w:w="1080" w:type="dxa"/>
            <w:tcBorders>
              <w:top w:val="single" w:sz="4" w:space="0" w:color="auto"/>
              <w:left w:val="nil"/>
              <w:bottom w:val="single" w:sz="8" w:space="0" w:color="auto"/>
              <w:right w:val="single" w:sz="8" w:space="0" w:color="auto"/>
            </w:tcBorders>
            <w:shd w:val="clear" w:color="auto" w:fill="auto"/>
            <w:noWrap/>
            <w:vAlign w:val="bottom"/>
          </w:tcPr>
          <w:p w:rsidR="00981470" w:rsidRPr="0030398A" w:rsidRDefault="00B4528F" w:rsidP="00B4528F">
            <w:pPr>
              <w:widowControl/>
              <w:autoSpaceDE/>
              <w:autoSpaceDN/>
              <w:adjustRightInd/>
              <w:jc w:val="center"/>
              <w:rPr>
                <w:b/>
                <w:bCs/>
                <w:sz w:val="20"/>
                <w:szCs w:val="20"/>
              </w:rPr>
            </w:pPr>
            <w:r>
              <w:rPr>
                <w:b/>
                <w:bCs/>
                <w:sz w:val="20"/>
                <w:szCs w:val="20"/>
              </w:rPr>
              <w:t>$37</w:t>
            </w:r>
            <w:r w:rsidR="00981470" w:rsidRPr="0030398A">
              <w:rPr>
                <w:b/>
                <w:bCs/>
                <w:sz w:val="20"/>
                <w:szCs w:val="20"/>
              </w:rPr>
              <w:t>,</w:t>
            </w:r>
            <w:r w:rsidR="006879A4">
              <w:rPr>
                <w:b/>
                <w:bCs/>
                <w:sz w:val="20"/>
                <w:szCs w:val="20"/>
              </w:rPr>
              <w:t>874.1</w:t>
            </w:r>
          </w:p>
        </w:tc>
        <w:tc>
          <w:tcPr>
            <w:tcW w:w="1080" w:type="dxa"/>
            <w:tcBorders>
              <w:top w:val="single" w:sz="4" w:space="0" w:color="auto"/>
              <w:left w:val="nil"/>
              <w:bottom w:val="single" w:sz="8" w:space="0" w:color="auto"/>
              <w:right w:val="nil"/>
            </w:tcBorders>
            <w:shd w:val="clear" w:color="auto" w:fill="auto"/>
            <w:noWrap/>
            <w:vAlign w:val="bottom"/>
          </w:tcPr>
          <w:p w:rsidR="00981470" w:rsidRPr="0030398A" w:rsidRDefault="00981470" w:rsidP="00CB6715">
            <w:pPr>
              <w:widowControl/>
              <w:autoSpaceDE/>
              <w:autoSpaceDN/>
              <w:adjustRightInd/>
              <w:jc w:val="center"/>
              <w:rPr>
                <w:b/>
                <w:bCs/>
                <w:sz w:val="20"/>
                <w:szCs w:val="20"/>
              </w:rPr>
            </w:pPr>
          </w:p>
        </w:tc>
        <w:tc>
          <w:tcPr>
            <w:tcW w:w="1080" w:type="dxa"/>
            <w:tcBorders>
              <w:top w:val="single" w:sz="4" w:space="0" w:color="auto"/>
              <w:left w:val="nil"/>
              <w:bottom w:val="single" w:sz="8" w:space="0" w:color="auto"/>
              <w:right w:val="nil"/>
            </w:tcBorders>
            <w:shd w:val="clear" w:color="auto" w:fill="auto"/>
            <w:noWrap/>
            <w:vAlign w:val="bottom"/>
          </w:tcPr>
          <w:p w:rsidR="00981470" w:rsidRPr="0030398A" w:rsidRDefault="00981470" w:rsidP="00DA2E8C">
            <w:pPr>
              <w:widowControl/>
              <w:autoSpaceDE/>
              <w:autoSpaceDN/>
              <w:adjustRightInd/>
              <w:jc w:val="center"/>
              <w:rPr>
                <w:b/>
                <w:bCs/>
                <w:sz w:val="20"/>
                <w:szCs w:val="20"/>
              </w:rPr>
            </w:pPr>
          </w:p>
        </w:tc>
        <w:tc>
          <w:tcPr>
            <w:tcW w:w="1080" w:type="dxa"/>
            <w:tcBorders>
              <w:top w:val="single" w:sz="4" w:space="0" w:color="auto"/>
              <w:left w:val="nil"/>
              <w:bottom w:val="single" w:sz="8" w:space="0" w:color="auto"/>
              <w:right w:val="nil"/>
            </w:tcBorders>
            <w:shd w:val="clear" w:color="auto" w:fill="auto"/>
            <w:noWrap/>
            <w:vAlign w:val="bottom"/>
          </w:tcPr>
          <w:p w:rsidR="003E2EE2" w:rsidRDefault="00981470" w:rsidP="003E2EE2">
            <w:pPr>
              <w:rPr>
                <w:b/>
                <w:bCs/>
                <w:sz w:val="20"/>
                <w:szCs w:val="20"/>
              </w:rPr>
            </w:pPr>
            <w:r w:rsidRPr="0030398A">
              <w:rPr>
                <w:b/>
                <w:bCs/>
                <w:sz w:val="20"/>
                <w:szCs w:val="20"/>
              </w:rPr>
              <w:t>$</w:t>
            </w:r>
            <w:r w:rsidR="0080043C">
              <w:rPr>
                <w:b/>
                <w:bCs/>
                <w:sz w:val="20"/>
                <w:szCs w:val="20"/>
              </w:rPr>
              <w:t>51</w:t>
            </w:r>
            <w:r w:rsidRPr="0030398A">
              <w:rPr>
                <w:b/>
                <w:bCs/>
                <w:sz w:val="20"/>
                <w:szCs w:val="20"/>
              </w:rPr>
              <w:t>,</w:t>
            </w:r>
            <w:r w:rsidR="0080043C">
              <w:rPr>
                <w:b/>
                <w:bCs/>
                <w:sz w:val="20"/>
                <w:szCs w:val="20"/>
              </w:rPr>
              <w:t>6</w:t>
            </w:r>
            <w:r w:rsidR="00E71A91">
              <w:rPr>
                <w:b/>
                <w:bCs/>
                <w:sz w:val="20"/>
                <w:szCs w:val="20"/>
              </w:rPr>
              <w:t>47.8</w:t>
            </w:r>
          </w:p>
        </w:tc>
      </w:tr>
    </w:tbl>
    <w:p w:rsidR="00981470" w:rsidRDefault="00981470" w:rsidP="00981470">
      <w:pPr>
        <w:ind w:left="-720" w:firstLine="1440"/>
      </w:pPr>
    </w:p>
    <w:p w:rsidR="00981470" w:rsidRDefault="00981470" w:rsidP="00981470">
      <w:pPr>
        <w:ind w:firstLine="720"/>
      </w:pPr>
    </w:p>
    <w:p w:rsidR="00401CCD" w:rsidRDefault="00401CCD" w:rsidP="00401CCD"/>
    <w:p w:rsidR="005900D6" w:rsidRPr="007945AA" w:rsidRDefault="005900D6" w:rsidP="005900D6">
      <w:pPr>
        <w:ind w:firstLine="720"/>
        <w:rPr>
          <w:b/>
        </w:rPr>
      </w:pPr>
      <w:r w:rsidRPr="007945AA">
        <w:rPr>
          <w:b/>
        </w:rPr>
        <w:t>Amendments to the Interim Final R</w:t>
      </w:r>
      <w:r>
        <w:rPr>
          <w:b/>
        </w:rPr>
        <w:t>ule</w:t>
      </w:r>
      <w:r w:rsidR="00F257C2">
        <w:rPr>
          <w:b/>
        </w:rPr>
        <w:t xml:space="preserve"> Regarding Internal Claims and Appeals</w:t>
      </w:r>
      <w:r w:rsidR="00C00394">
        <w:rPr>
          <w:b/>
        </w:rPr>
        <w:t xml:space="preserve"> (June 2011)</w:t>
      </w:r>
    </w:p>
    <w:p w:rsidR="005900D6" w:rsidRDefault="005900D6" w:rsidP="005900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5900D6" w:rsidRDefault="005900D6" w:rsidP="005900D6">
      <w:pPr>
        <w:ind w:firstLine="720"/>
      </w:pPr>
      <w:r>
        <w:t>These amendments make two changes to the interim final rules that impact the paperwork burden.  The first is an amendment no longer requiring that diagnosis and treatment codes be included on notices of adverse benefit determination and final internal adverse benefit determination.  Instead, these notices must include a statement notifying claimants of the opportunity to receive the codes on request and plans and issuers must then provide the codes upon request.  The Departments expect that this change will lower costs, because plans and issuers will no longer have to provide the codes on the notices.  Plans and issuers will incur a cost to establish procedures for receive, process, and mail the codes upon request; however, the Departments are unable to estimate such cost due to a lack of a basis for an estimate of the number of requests that will be made for the codes.</w:t>
      </w:r>
    </w:p>
    <w:p w:rsidR="005900D6" w:rsidRDefault="005900D6" w:rsidP="005900D6">
      <w:pPr>
        <w:ind w:firstLine="720"/>
      </w:pPr>
      <w:r>
        <w:t xml:space="preserve">The amendments also change the method for determining who is eligible to receive a notice in a culturally and linguistically appropriate manner in the group market, and the information that must be provided to such persons.  The previous group market rule was based on the number of employees at a firm.  The new group market rule is based on whether a participant or beneficiary resides in a county where ten percent or more of the population residing in the county is literate only in the same non-English language. </w:t>
      </w:r>
    </w:p>
    <w:p w:rsidR="005900D6" w:rsidRDefault="005900D6" w:rsidP="005900D6">
      <w:pPr>
        <w:ind w:firstLine="720"/>
      </w:pPr>
      <w:r>
        <w:t>Participants and beneficiaries residing in an affected county and speaking an applicable non-English language will now receive a one-sentence statement in all notices written in the applicable non-English language about the availability of language services.  In addition to including the statement, plan and issuers are required to provide a customer assistance process (such as a telephone hotline) with oral language services in the non-English language and provide written notices in the non-English language upon requests.</w:t>
      </w:r>
    </w:p>
    <w:p w:rsidR="005900D6" w:rsidRDefault="005900D6" w:rsidP="005900D6">
      <w:pPr>
        <w:ind w:firstLine="720"/>
      </w:pPr>
      <w:r>
        <w:t xml:space="preserve">The Department understands that oral translation services are already provided for nearly all covered participants and beneficiaries.  Therefore, no additional burden is associated with this requirement of the amendment. </w:t>
      </w:r>
    </w:p>
    <w:p w:rsidR="005900D6" w:rsidRDefault="005900D6" w:rsidP="005900D6">
      <w:pPr>
        <w:ind w:firstLine="720"/>
      </w:pPr>
      <w:r>
        <w:t xml:space="preserve">The Department expects that the largest cost associated with the amended rules for culturally and linguistically appropriate notices will be for plans and issuers to provide notices in the applicable non-English language upon request.  Based on the American Community Survey </w:t>
      </w:r>
      <w:r>
        <w:lastRenderedPageBreak/>
        <w:t>(ACS),</w:t>
      </w:r>
      <w:r w:rsidRPr="009F0CCD">
        <w:rPr>
          <w:rStyle w:val="FootnoteReference"/>
        </w:rPr>
        <w:t xml:space="preserve"> </w:t>
      </w:r>
      <w:r w:rsidRPr="005900D6">
        <w:rPr>
          <w:rStyle w:val="FootnoteReference"/>
          <w:vertAlign w:val="superscript"/>
        </w:rPr>
        <w:footnoteReference w:id="5"/>
      </w:r>
      <w:r>
        <w:t xml:space="preserve"> the Departments estimate that there are about 12 million individuals living in covered counties that are literate in a non-English Language.  The ACS does not have insurance coverage information.  Therefore, to estimate the percentage of the 12 million affected individuals that were insured, the Departments used the percent of the population in the State that reported being insured by public employer insurance in individual coverage from the 2009 CPS.</w:t>
      </w:r>
      <w:r w:rsidRPr="005900D6">
        <w:rPr>
          <w:rStyle w:val="FootnoteReference"/>
          <w:vertAlign w:val="superscript"/>
        </w:rPr>
        <w:footnoteReference w:id="6"/>
      </w:r>
      <w:r w:rsidRPr="00361A2E">
        <w:rPr>
          <w:vertAlign w:val="superscript"/>
        </w:rPr>
        <w:t xml:space="preserve"> </w:t>
      </w:r>
      <w:r>
        <w:t xml:space="preserve"> This results in an estimate of approximately 1.8 million individuals who are eligible to request translation services.</w:t>
      </w:r>
    </w:p>
    <w:p w:rsidR="005900D6" w:rsidRDefault="005900D6" w:rsidP="005900D6">
      <w:pPr>
        <w:ind w:firstLine="720"/>
      </w:pPr>
      <w:r>
        <w:t xml:space="preserve">In discussions with the regulated community, the Departments found that experience in California, which has a State law requirement for providing translation services, indicates that requests for translations of written documents averages 0.098 requests per 1,000 members.  While the </w:t>
      </w:r>
      <w:smartTag w:uri="urn:schemas-microsoft-com:office:smarttags" w:element="State">
        <w:r>
          <w:t>California</w:t>
        </w:r>
      </w:smartTag>
      <w:r>
        <w:t xml:space="preserve"> law is not identical to the amendment to the July 2010 regulations, and the demographics for </w:t>
      </w:r>
      <w:smartTag w:uri="urn:schemas-microsoft-com:office:smarttags" w:element="place">
        <w:smartTag w:uri="urn:schemas-microsoft-com:office:smarttags" w:element="State">
          <w:r>
            <w:t>California</w:t>
          </w:r>
        </w:smartTag>
      </w:smartTag>
      <w:r>
        <w:t xml:space="preserve"> do not match other counties, for purposes of this analysis, the Departments used this percentage to estimate of the number of translation service requests that plan and issuers can expect to receive.  Industry experts also told the Departments that while the cost of translation services varies, $500 per document is a reasonable approximation of translation cost.  </w:t>
      </w:r>
    </w:p>
    <w:p w:rsidR="005900D6" w:rsidRDefault="005900D6" w:rsidP="005900D6">
      <w:pPr>
        <w:ind w:firstLine="720"/>
      </w:pPr>
      <w:r>
        <w:t>Using the ACS and the CPS, the Departments estimate 8.8 million insured though public employer insurance or individual coverage lives in the affected counties.  Based on the foregoing, the Departments estimate that the cost burden to provide translation services will be approximately $430,000 annually (8,777,000 lives * 0.098/1000 * $500) starting in 2012.</w:t>
      </w:r>
    </w:p>
    <w:p w:rsidR="005900D6" w:rsidRDefault="005900D6" w:rsidP="005900D6">
      <w:pPr>
        <w:ind w:firstLine="720"/>
      </w:pPr>
    </w:p>
    <w:p w:rsidR="005900D6" w:rsidRPr="00866CE5" w:rsidRDefault="005900D6" w:rsidP="005900D6">
      <w:pPr>
        <w:ind w:firstLine="720"/>
      </w:pPr>
    </w:p>
    <w:p w:rsidR="00002344" w:rsidRDefault="00401CCD" w:rsidP="00401CCD">
      <w:pPr>
        <w:rPr>
          <w:u w:val="single"/>
        </w:rPr>
      </w:pPr>
      <w:r w:rsidRPr="00401CCD">
        <w:rPr>
          <w:u w:val="single"/>
        </w:rPr>
        <w:t>Federal External Review Process</w:t>
      </w:r>
      <w:r w:rsidR="00002344" w:rsidRPr="00401CCD">
        <w:rPr>
          <w:u w:val="single"/>
        </w:rPr>
        <w:t xml:space="preserve"> </w:t>
      </w:r>
    </w:p>
    <w:p w:rsidR="00401CCD" w:rsidRPr="00401CCD" w:rsidRDefault="00401CCD" w:rsidP="00401CCD">
      <w:pPr>
        <w:rPr>
          <w:u w:val="single"/>
        </w:rPr>
      </w:pPr>
    </w:p>
    <w:p w:rsidR="00341062" w:rsidRDefault="00F257C2" w:rsidP="00F257C2">
      <w:pPr>
        <w:ind w:firstLine="720"/>
      </w:pPr>
      <w:r>
        <w:t xml:space="preserve">The changes being made to the Federal External Review Process are explained above in #12.  </w:t>
      </w:r>
    </w:p>
    <w:p w:rsidR="000E4967" w:rsidRDefault="00401CCD" w:rsidP="00907E99">
      <w:pPr>
        <w:ind w:firstLine="720"/>
      </w:pPr>
      <w:r>
        <w:t xml:space="preserve">It is estimated that there will be a cost burden of </w:t>
      </w:r>
      <w:r w:rsidR="00671B39">
        <w:t>$</w:t>
      </w:r>
      <w:r w:rsidR="00482989">
        <w:t>444</w:t>
      </w:r>
      <w:r w:rsidR="00E84A87">
        <w:t xml:space="preserve"> </w:t>
      </w:r>
      <w:r>
        <w:t>in 2011.</w:t>
      </w:r>
      <w:r w:rsidR="00E52C8E">
        <w:t xml:space="preserve">  </w:t>
      </w:r>
      <w:r>
        <w:t>Th</w:t>
      </w:r>
      <w:r w:rsidR="00902A58">
        <w:t xml:space="preserve">is cost </w:t>
      </w:r>
      <w:r>
        <w:t xml:space="preserve">burden is a result </w:t>
      </w:r>
      <w:r w:rsidR="00902A58">
        <w:t xml:space="preserve">of sending the files for </w:t>
      </w:r>
      <w:r w:rsidR="00482989">
        <w:t xml:space="preserve">the </w:t>
      </w:r>
      <w:r w:rsidR="006A2554">
        <w:t>health insurance issuers and self-funded non-federal governmental health plans</w:t>
      </w:r>
      <w:r w:rsidR="00482989">
        <w:t xml:space="preserve"> using the HHS process</w:t>
      </w:r>
      <w:r w:rsidR="00D148AE">
        <w:t xml:space="preserve"> </w:t>
      </w:r>
      <w:r w:rsidR="00E84A87">
        <w:t>to the independent examiner</w:t>
      </w:r>
      <w:r w:rsidR="00902A58">
        <w:t xml:space="preserve"> at</w:t>
      </w:r>
      <w:r>
        <w:t xml:space="preserve"> $1.44 per </w:t>
      </w:r>
      <w:r w:rsidR="00E84A87">
        <w:t>appeal</w:t>
      </w:r>
      <w:r>
        <w:t xml:space="preserve">.  </w:t>
      </w:r>
      <w:r w:rsidR="00482989">
        <w:t xml:space="preserve">(Because we are assuming that all self-funded non-federal governmental plans will use the HHS process and issuers in most states other than those with no laws are not required to use the Federal external review process until January 1, 2012, this number is low).  </w:t>
      </w:r>
      <w:r w:rsidR="000E4967">
        <w:t>As the number of non-grandfathered plans increases</w:t>
      </w:r>
      <w:r w:rsidR="00482989">
        <w:t xml:space="preserve"> and the Federal external review process requirements increase</w:t>
      </w:r>
      <w:r w:rsidR="00D148AE">
        <w:t>,</w:t>
      </w:r>
      <w:r w:rsidR="000E4967">
        <w:t xml:space="preserve"> the cost burden will increase proportionately with an estimated cost burden of $</w:t>
      </w:r>
      <w:r w:rsidR="00E71A91" w:rsidRPr="000006A5">
        <w:t>10,423</w:t>
      </w:r>
      <w:r w:rsidR="00E84A87">
        <w:t xml:space="preserve"> </w:t>
      </w:r>
      <w:r w:rsidR="000E4967">
        <w:t>in 2012 and $</w:t>
      </w:r>
      <w:r w:rsidR="00E71A91" w:rsidRPr="000006A5">
        <w:t>13,963</w:t>
      </w:r>
      <w:r w:rsidR="000E4967">
        <w:t xml:space="preserve"> in 2013.</w:t>
      </w:r>
    </w:p>
    <w:p w:rsidR="00F257C2" w:rsidRDefault="00F257C2" w:rsidP="00907E99">
      <w:pPr>
        <w:ind w:firstLine="720"/>
      </w:pPr>
    </w:p>
    <w:p w:rsidR="00F257C2" w:rsidRDefault="00F257C2" w:rsidP="00F257C2">
      <w:pPr>
        <w:ind w:firstLine="720"/>
      </w:pPr>
      <w:r>
        <w:t xml:space="preserve">Due to the amendments, the Department has adjusted the total estimated costs of this information collection.  The Department estimates that </w:t>
      </w:r>
      <w:r w:rsidR="00482989">
        <w:t xml:space="preserve">issuers and </w:t>
      </w:r>
      <w:r>
        <w:t xml:space="preserve">state and local governmental plans will incur a </w:t>
      </w:r>
      <w:r w:rsidRPr="00866CE5">
        <w:t>total estimated cost burden for those plans that use service providers, including the cost of mailing all responses</w:t>
      </w:r>
      <w:r w:rsidR="001642AD">
        <w:t>,</w:t>
      </w:r>
      <w:r w:rsidRPr="00866CE5">
        <w:t xml:space="preserve"> </w:t>
      </w:r>
      <w:r w:rsidR="001642AD">
        <w:t xml:space="preserve">of </w:t>
      </w:r>
      <w:r w:rsidRPr="00866CE5">
        <w:t>$20.7 million in 2011, $37.</w:t>
      </w:r>
      <w:r>
        <w:t>9</w:t>
      </w:r>
      <w:r w:rsidRPr="00866CE5">
        <w:t xml:space="preserve"> million in 2012, and $51.</w:t>
      </w:r>
      <w:r w:rsidR="00E71A91" w:rsidRPr="000006A5">
        <w:t>6</w:t>
      </w:r>
      <w:r w:rsidRPr="00866CE5">
        <w:t xml:space="preserve"> million in 2013</w:t>
      </w:r>
      <w:r>
        <w:t xml:space="preserve">.  </w:t>
      </w:r>
    </w:p>
    <w:p w:rsidR="00F257C2" w:rsidRDefault="00F257C2" w:rsidP="00907E99">
      <w:pPr>
        <w:ind w:firstLine="720"/>
      </w:pPr>
    </w:p>
    <w:p w:rsidR="00401CCD" w:rsidRDefault="00401CCD" w:rsidP="00E52C8E"/>
    <w:p w:rsidR="00A71122" w:rsidRDefault="00A71122" w:rsidP="00A7112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p>
    <w:p w:rsidR="00FC2F3E" w:rsidRDefault="00FC2F3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i/>
          <w:iCs/>
          <w:sz w:val="20"/>
        </w:rPr>
      </w:pPr>
      <w:r>
        <w:t>14.</w:t>
      </w:r>
      <w:r>
        <w:tab/>
      </w:r>
      <w:r>
        <w:rPr>
          <w:i/>
          <w:iCs/>
          <w:sz w:val="20"/>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E84A87" w:rsidRDefault="00E84A8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i/>
          <w:iCs/>
          <w:sz w:val="20"/>
        </w:rPr>
      </w:pPr>
    </w:p>
    <w:p w:rsidR="00054D61" w:rsidRDefault="00491E8E">
      <w:pPr>
        <w:ind w:firstLine="720"/>
      </w:pPr>
      <w:r w:rsidRPr="00491E8E">
        <w:t xml:space="preserve">The Federal </w:t>
      </w:r>
      <w:r w:rsidR="00B56C7A">
        <w:t>e</w:t>
      </w:r>
      <w:r w:rsidRPr="00491E8E">
        <w:t xml:space="preserve">xternal </w:t>
      </w:r>
      <w:r w:rsidR="00B56C7A">
        <w:t>r</w:t>
      </w:r>
      <w:r w:rsidRPr="00491E8E">
        <w:t xml:space="preserve">eview process includes some </w:t>
      </w:r>
      <w:r w:rsidR="00C67723">
        <w:t xml:space="preserve">cost </w:t>
      </w:r>
      <w:r w:rsidR="00E84A87">
        <w:t>burden</w:t>
      </w:r>
      <w:r w:rsidRPr="00491E8E">
        <w:t xml:space="preserve"> to the government</w:t>
      </w:r>
      <w:r w:rsidR="00C67723">
        <w:t xml:space="preserve"> of $</w:t>
      </w:r>
      <w:r w:rsidR="00952EEF">
        <w:t>3,</w:t>
      </w:r>
      <w:r w:rsidR="00375EC0">
        <w:t xml:space="preserve">782 </w:t>
      </w:r>
      <w:r w:rsidR="00952EEF">
        <w:t>in FY 2011</w:t>
      </w:r>
      <w:r w:rsidRPr="00491E8E">
        <w:t>.</w:t>
      </w:r>
      <w:r w:rsidR="00E84A87">
        <w:t xml:space="preserve"> </w:t>
      </w:r>
      <w:r w:rsidRPr="00491E8E">
        <w:t xml:space="preserve"> </w:t>
      </w:r>
      <w:r w:rsidR="00E84A87">
        <w:t xml:space="preserve">This burden stems from </w:t>
      </w:r>
      <w:r w:rsidR="00C67723">
        <w:t xml:space="preserve">the following:  1) </w:t>
      </w:r>
      <w:r w:rsidR="002431EA">
        <w:t>M</w:t>
      </w:r>
      <w:r w:rsidR="00E84A87">
        <w:t>ailing notices to claimants that are determined i</w:t>
      </w:r>
      <w:r w:rsidR="00375EC0">
        <w:t xml:space="preserve">neligible for external review </w:t>
      </w:r>
      <w:r w:rsidR="00E52356">
        <w:t xml:space="preserve">with the assumptions of approximately </w:t>
      </w:r>
      <w:r w:rsidR="00C67723">
        <w:t>2</w:t>
      </w:r>
      <w:r w:rsidR="00E52356">
        <w:t>0% of external reviews ineligible for external review.</w:t>
      </w:r>
      <w:r w:rsidRPr="00491E8E">
        <w:rPr>
          <w:rStyle w:val="FootnoteReference"/>
          <w:vertAlign w:val="superscript"/>
        </w:rPr>
        <w:footnoteReference w:id="7"/>
      </w:r>
      <w:r w:rsidR="00E52356">
        <w:t xml:space="preserve">  </w:t>
      </w:r>
      <w:r w:rsidR="00C67723">
        <w:t xml:space="preserve">2) </w:t>
      </w:r>
      <w:r w:rsidR="002431EA">
        <w:t>Mailing</w:t>
      </w:r>
      <w:r w:rsidR="00C67723">
        <w:t xml:space="preserve"> any documents submitted by the claimant back to the plan</w:t>
      </w:r>
      <w:r w:rsidR="00952EEF">
        <w:t xml:space="preserve"> with the assumption that approximately 80% of eligible appeals will submit additional information.  </w:t>
      </w:r>
    </w:p>
    <w:p w:rsidR="00054D61" w:rsidRDefault="00952EEF">
      <w:pPr>
        <w:ind w:firstLine="720"/>
      </w:pPr>
      <w:r>
        <w:t>As the number of grandfathered plans increase</w:t>
      </w:r>
      <w:r w:rsidR="00375EC0">
        <w:t xml:space="preserve"> and federal external review requirements increase</w:t>
      </w:r>
      <w:r>
        <w:t>, the cost to the government is estimated to increase to $</w:t>
      </w:r>
      <w:r w:rsidR="00375EC0">
        <w:t>6,220</w:t>
      </w:r>
      <w:r>
        <w:t xml:space="preserve"> in 2012 and to $</w:t>
      </w:r>
      <w:r w:rsidR="00375EC0">
        <w:t>14,847</w:t>
      </w:r>
      <w:r>
        <w:t xml:space="preserve"> in 2013</w:t>
      </w:r>
    </w:p>
    <w:p w:rsidR="00FC2F3E" w:rsidRDefault="00FC2F3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FC2F3E" w:rsidRDefault="00FC2F3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FC2F3E" w:rsidRDefault="00FC2F3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0"/>
        </w:rPr>
      </w:pPr>
      <w:r>
        <w:t>15.</w:t>
      </w:r>
      <w:r>
        <w:tab/>
      </w:r>
      <w:r>
        <w:rPr>
          <w:i/>
          <w:iCs/>
          <w:sz w:val="20"/>
        </w:rPr>
        <w:t>Explain the reasons for any program changes or adjustments reporting in Items 13 or 14 of the OMB 83-I.</w:t>
      </w:r>
    </w:p>
    <w:p w:rsidR="00FC2F3E" w:rsidRDefault="00FC2F3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rsidR="0026572A" w:rsidRDefault="00584628" w:rsidP="00696114">
      <w:pPr>
        <w:widowControl/>
        <w:ind w:firstLine="720"/>
      </w:pPr>
      <w:r>
        <w:t xml:space="preserve">The amended IFR </w:t>
      </w:r>
      <w:r w:rsidR="0026572A">
        <w:t>made the following policy changes that altered the predicted cost and hour burden estimates associated with this information collection request:</w:t>
      </w:r>
    </w:p>
    <w:p w:rsidR="00341062" w:rsidRDefault="00C119B7">
      <w:pPr>
        <w:pStyle w:val="ListParagraph"/>
        <w:widowControl/>
        <w:numPr>
          <w:ilvl w:val="0"/>
          <w:numId w:val="7"/>
        </w:numPr>
      </w:pPr>
      <w:r>
        <w:t>G</w:t>
      </w:r>
      <w:r w:rsidR="00584628">
        <w:t>ranted health insurance issuers</w:t>
      </w:r>
      <w:r w:rsidR="008B23EE">
        <w:t xml:space="preserve"> </w:t>
      </w:r>
      <w:r w:rsidR="008B23EE" w:rsidRPr="00491E8E">
        <w:t xml:space="preserve">in </w:t>
      </w:r>
      <w:r w:rsidR="008B23EE">
        <w:t>S</w:t>
      </w:r>
      <w:r w:rsidR="008B23EE" w:rsidRPr="00491E8E">
        <w:t>tates where State external review processes do not meet the (b)(1) or (b)(2) standard of PHS Act 2719</w:t>
      </w:r>
      <w:r w:rsidR="00584628">
        <w:t xml:space="preserve"> the choice of whether to follow the HHS external review process or the process outlined in the Department of Labor Technical Release 2010-01</w:t>
      </w:r>
      <w:r>
        <w:t>.</w:t>
      </w:r>
      <w:r w:rsidR="008344FA">
        <w:t xml:space="preserve">  Previously the HHS federal external review process was only available to issuers in the 3 states and 4 territories without external review laws.</w:t>
      </w:r>
    </w:p>
    <w:p w:rsidR="008344FA" w:rsidRDefault="008344FA" w:rsidP="008344FA">
      <w:pPr>
        <w:pStyle w:val="ListParagraph"/>
        <w:widowControl/>
        <w:numPr>
          <w:ilvl w:val="0"/>
          <w:numId w:val="7"/>
        </w:numPr>
      </w:pPr>
      <w:r>
        <w:t xml:space="preserve">Granted self-funded non-federal governmental health plans the choice of whether to follow the HHS external review process or the process outlined in the Department of Labor Technical Release 2010-01.  Previously this choice was </w:t>
      </w:r>
      <w:r>
        <w:lastRenderedPageBreak/>
        <w:t xml:space="preserve">only available to the self-funded non-federal governmental health plans in the states and territories with no external review laws. </w:t>
      </w:r>
    </w:p>
    <w:p w:rsidR="008344FA" w:rsidRDefault="008344FA" w:rsidP="008344FA">
      <w:pPr>
        <w:pStyle w:val="ListParagraph"/>
        <w:widowControl/>
        <w:numPr>
          <w:ilvl w:val="0"/>
          <w:numId w:val="7"/>
        </w:numPr>
      </w:pPr>
      <w:r>
        <w:t xml:space="preserve">Because of the choice now available as explained in #1 and #2 above, HHS is requiring </w:t>
      </w:r>
      <w:r w:rsidR="006A2554">
        <w:t>health insurance issuers and self-funded non-federal governmental health plans</w:t>
      </w:r>
      <w:r>
        <w:t xml:space="preserve"> subject to the federal external review process to inform HHS as to which federal external review process it is choosing. </w:t>
      </w:r>
    </w:p>
    <w:p w:rsidR="00341062" w:rsidRDefault="004D7B95">
      <w:pPr>
        <w:pStyle w:val="ListParagraph"/>
        <w:widowControl/>
        <w:numPr>
          <w:ilvl w:val="0"/>
          <w:numId w:val="7"/>
        </w:numPr>
      </w:pPr>
      <w:r>
        <w:t xml:space="preserve">Changed the thresholds that determine CLAS notification requirements for group health plans. </w:t>
      </w:r>
    </w:p>
    <w:p w:rsidR="00341062" w:rsidRDefault="00F61198">
      <w:pPr>
        <w:pStyle w:val="ListParagraph"/>
        <w:widowControl/>
        <w:numPr>
          <w:ilvl w:val="0"/>
          <w:numId w:val="7"/>
        </w:numPr>
      </w:pPr>
      <w:r>
        <w:t xml:space="preserve">Removed the requirement that diagnostic and treatment codes be recorded on the notice of </w:t>
      </w:r>
      <w:r w:rsidR="004D7B95">
        <w:t>adverse benefit determination</w:t>
      </w:r>
      <w:r>
        <w:t>.</w:t>
      </w:r>
      <w:r w:rsidR="004D7B95">
        <w:t xml:space="preserve">  Instead, this information must be provided to claimants upon request.</w:t>
      </w:r>
    </w:p>
    <w:p w:rsidR="00341062" w:rsidRDefault="00F61198">
      <w:pPr>
        <w:pStyle w:val="ListParagraph"/>
        <w:widowControl/>
        <w:numPr>
          <w:ilvl w:val="0"/>
          <w:numId w:val="7"/>
        </w:numPr>
      </w:pPr>
      <w:r>
        <w:t xml:space="preserve">Extended the </w:t>
      </w:r>
      <w:r w:rsidR="004D7B95">
        <w:t xml:space="preserve">maximum </w:t>
      </w:r>
      <w:r>
        <w:t xml:space="preserve">timeline </w:t>
      </w:r>
      <w:r w:rsidR="004D7B95">
        <w:t xml:space="preserve">allotted </w:t>
      </w:r>
      <w:r>
        <w:t>for</w:t>
      </w:r>
      <w:r w:rsidR="004D7B95">
        <w:t xml:space="preserve"> the review of</w:t>
      </w:r>
      <w:r>
        <w:t xml:space="preserve"> urgent care claims from 24 to 72 hours.</w:t>
      </w:r>
    </w:p>
    <w:p w:rsidR="00341062" w:rsidRDefault="00C119B7">
      <w:pPr>
        <w:widowControl/>
      </w:pPr>
      <w:r>
        <w:t>In aggregate</w:t>
      </w:r>
      <w:r w:rsidR="00584628">
        <w:t>, the total cost and hour burden estimates went from $</w:t>
      </w:r>
      <w:r w:rsidR="00525673">
        <w:t>18,995,900</w:t>
      </w:r>
      <w:r w:rsidR="00584628">
        <w:t xml:space="preserve"> and 566,200 hours in 2011 to</w:t>
      </w:r>
      <w:r w:rsidR="002431EA">
        <w:t xml:space="preserve"> $20,</w:t>
      </w:r>
      <w:r w:rsidR="00DA2E8C">
        <w:t>7</w:t>
      </w:r>
      <w:r w:rsidR="002431EA">
        <w:t>33,200</w:t>
      </w:r>
      <w:r w:rsidR="00DA2E8C">
        <w:t xml:space="preserve"> and 570,800</w:t>
      </w:r>
      <w:r w:rsidR="002F01FE">
        <w:t xml:space="preserve"> hours</w:t>
      </w:r>
      <w:r w:rsidR="00584628">
        <w:t>, $</w:t>
      </w:r>
      <w:r w:rsidR="00525673">
        <w:t>34,632,000</w:t>
      </w:r>
      <w:r w:rsidR="00DA2E8C">
        <w:t xml:space="preserve"> and 988</w:t>
      </w:r>
      <w:r w:rsidR="00584628">
        <w:t>,</w:t>
      </w:r>
      <w:r w:rsidR="00DA2E8C">
        <w:t>500</w:t>
      </w:r>
      <w:r w:rsidR="00584628">
        <w:t xml:space="preserve"> hours in 2012 to</w:t>
      </w:r>
      <w:r w:rsidR="002431EA">
        <w:t xml:space="preserve"> $37,</w:t>
      </w:r>
      <w:r w:rsidR="00E71A91">
        <w:t>874</w:t>
      </w:r>
      <w:r w:rsidR="002431EA">
        <w:t>,</w:t>
      </w:r>
      <w:r w:rsidR="00E71A91">
        <w:t>1</w:t>
      </w:r>
      <w:r w:rsidR="00DA2E8C">
        <w:t>00 and 99</w:t>
      </w:r>
      <w:r w:rsidR="00E71A91">
        <w:t>7</w:t>
      </w:r>
      <w:r w:rsidR="00525673">
        <w:t>,</w:t>
      </w:r>
      <w:r w:rsidR="00E71A91">
        <w:t>2</w:t>
      </w:r>
      <w:r w:rsidR="00525673">
        <w:t xml:space="preserve"> hours</w:t>
      </w:r>
      <w:r w:rsidR="00584628">
        <w:t>, and $</w:t>
      </w:r>
      <w:r w:rsidR="00525673">
        <w:t>47,749,000</w:t>
      </w:r>
      <w:r w:rsidR="00584628">
        <w:t xml:space="preserve"> </w:t>
      </w:r>
      <w:r w:rsidR="00525673">
        <w:t>and 1,</w:t>
      </w:r>
      <w:r w:rsidR="00DA2E8C">
        <w:t>211,100 hours in 2013 to $51,6</w:t>
      </w:r>
      <w:r w:rsidR="009B60C8">
        <w:t>47</w:t>
      </w:r>
      <w:r w:rsidR="00525673">
        <w:t>,</w:t>
      </w:r>
      <w:r w:rsidR="009B60C8">
        <w:t>8</w:t>
      </w:r>
      <w:r w:rsidR="00DA2E8C">
        <w:t>00</w:t>
      </w:r>
      <w:r w:rsidR="00525673">
        <w:t xml:space="preserve"> and 1,22</w:t>
      </w:r>
      <w:r w:rsidR="009B60C8">
        <w:t>2</w:t>
      </w:r>
      <w:r w:rsidR="00525673">
        <w:t>,</w:t>
      </w:r>
      <w:r w:rsidR="009B60C8">
        <w:t>8</w:t>
      </w:r>
      <w:r w:rsidR="00DA2E8C">
        <w:t>00</w:t>
      </w:r>
      <w:r w:rsidR="00525673">
        <w:t xml:space="preserve"> hours </w:t>
      </w:r>
      <w:r>
        <w:t>because of these policy changes</w:t>
      </w:r>
      <w:r w:rsidR="00584628">
        <w:t>.</w:t>
      </w:r>
    </w:p>
    <w:p w:rsidR="00584628" w:rsidRDefault="00584628" w:rsidP="00696114">
      <w:pPr>
        <w:widowControl/>
        <w:ind w:firstLine="720"/>
      </w:pPr>
    </w:p>
    <w:p w:rsidR="00696114" w:rsidRDefault="00696114" w:rsidP="0069611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rsidR="00FC2F3E" w:rsidRDefault="00FC2F3E" w:rsidP="0043637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rsidR="00FC2F3E" w:rsidRDefault="00FC2F3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i/>
          <w:iCs/>
          <w:sz w:val="20"/>
        </w:rPr>
      </w:pPr>
      <w:r>
        <w:t>16.</w:t>
      </w:r>
      <w:r>
        <w:tab/>
      </w:r>
      <w:r>
        <w:rPr>
          <w:i/>
          <w:iCs/>
          <w:sz w:val="20"/>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FC2F3E" w:rsidRDefault="00FC2F3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FC2F3E" w:rsidRDefault="00FC2F3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t>Not applicable.</w:t>
      </w:r>
    </w:p>
    <w:p w:rsidR="00FC2F3E" w:rsidRDefault="00FC2F3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FC2F3E" w:rsidRDefault="00FC2F3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i/>
          <w:iCs/>
          <w:sz w:val="20"/>
        </w:rPr>
      </w:pPr>
      <w:r>
        <w:t>17.</w:t>
      </w:r>
      <w:r>
        <w:tab/>
      </w:r>
      <w:r>
        <w:rPr>
          <w:i/>
          <w:iCs/>
          <w:sz w:val="20"/>
        </w:rPr>
        <w:t>If seeking approval to not display the expiration date for OMB approval of the information collection, explain the reasons that display would be inappropriate.</w:t>
      </w:r>
    </w:p>
    <w:p w:rsidR="00FC2F3E" w:rsidRDefault="00FC2F3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FC2F3E" w:rsidRDefault="00FC2F3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t>The collection of information will display a currently valid OMB control number.</w:t>
      </w:r>
    </w:p>
    <w:p w:rsidR="00FC2F3E" w:rsidRDefault="00FC2F3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sectPr w:rsidR="00FC2F3E">
          <w:headerReference w:type="default" r:id="rId12"/>
          <w:footerReference w:type="default" r:id="rId13"/>
          <w:endnotePr>
            <w:numFmt w:val="decimal"/>
          </w:endnotePr>
          <w:type w:val="continuous"/>
          <w:pgSz w:w="12240" w:h="15840"/>
          <w:pgMar w:top="1440" w:right="1440" w:bottom="1440" w:left="1440" w:header="1440" w:footer="1440" w:gutter="0"/>
          <w:cols w:space="720"/>
          <w:noEndnote/>
        </w:sectPr>
      </w:pPr>
    </w:p>
    <w:p w:rsidR="00FC2F3E" w:rsidRDefault="00FC2F3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FC2F3E" w:rsidRDefault="00FC2F3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i/>
          <w:iCs/>
          <w:sz w:val="20"/>
        </w:rPr>
      </w:pPr>
      <w:r>
        <w:t>18.</w:t>
      </w:r>
      <w:r>
        <w:tab/>
      </w:r>
      <w:r>
        <w:rPr>
          <w:i/>
          <w:iCs/>
          <w:sz w:val="20"/>
        </w:rPr>
        <w:t>Explain each exception to the certification statement identified in Item 19, "Certification for Paperwork Reduction Act Submission," of OMB 83-I.</w:t>
      </w:r>
    </w:p>
    <w:p w:rsidR="00FC2F3E" w:rsidRDefault="00FC2F3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rsidR="00FC2F3E" w:rsidRDefault="00FC2F3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t>Not applicable; no exceptions to the certification statement.</w:t>
      </w:r>
    </w:p>
    <w:sectPr w:rsidR="00FC2F3E" w:rsidSect="00D16F92">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3179" w:rsidRDefault="00AB3179">
      <w:r>
        <w:separator/>
      </w:r>
    </w:p>
  </w:endnote>
  <w:endnote w:type="continuationSeparator" w:id="0">
    <w:p w:rsidR="00AB3179" w:rsidRDefault="00AB317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15CD" w:rsidRDefault="00CC15CD">
    <w:pPr>
      <w:spacing w:line="240" w:lineRule="exact"/>
    </w:pPr>
  </w:p>
  <w:p w:rsidR="00CC15CD" w:rsidRDefault="007E71A2">
    <w:pPr>
      <w:framePr w:w="9361" w:wrap="notBeside" w:vAnchor="text" w:hAnchor="text" w:x="1" w:y="1"/>
      <w:jc w:val="center"/>
    </w:pPr>
    <w:fldSimple w:instr="PAGE ">
      <w:r w:rsidR="006125A3">
        <w:rPr>
          <w:noProof/>
        </w:rPr>
        <w:t>6</w:t>
      </w:r>
    </w:fldSimple>
  </w:p>
  <w:p w:rsidR="00CC15CD" w:rsidRDefault="00CC15CD"/>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15CD" w:rsidRDefault="00CC15CD">
    <w:pPr>
      <w:spacing w:line="240" w:lineRule="exact"/>
    </w:pPr>
  </w:p>
  <w:p w:rsidR="00CC15CD" w:rsidRDefault="007E71A2">
    <w:pPr>
      <w:framePr w:w="9361" w:wrap="notBeside" w:vAnchor="text" w:hAnchor="text" w:x="1" w:y="1"/>
      <w:jc w:val="center"/>
    </w:pPr>
    <w:fldSimple w:instr="PAGE ">
      <w:r w:rsidR="006125A3">
        <w:rPr>
          <w:noProof/>
        </w:rPr>
        <w:t>7</w:t>
      </w:r>
    </w:fldSimple>
  </w:p>
  <w:p w:rsidR="00CC15CD" w:rsidRDefault="00CC15CD"/>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15CD" w:rsidRDefault="00CC15CD">
    <w:pPr>
      <w:spacing w:line="240" w:lineRule="exact"/>
    </w:pPr>
  </w:p>
  <w:p w:rsidR="00CC15CD" w:rsidRDefault="007E71A2">
    <w:pPr>
      <w:framePr w:w="9361" w:wrap="notBeside" w:vAnchor="text" w:hAnchor="text" w:x="1" w:y="1"/>
      <w:jc w:val="center"/>
    </w:pPr>
    <w:fldSimple w:instr="PAGE ">
      <w:r w:rsidR="006125A3">
        <w:rPr>
          <w:noProof/>
        </w:rPr>
        <w:t>16</w:t>
      </w:r>
    </w:fldSimple>
  </w:p>
  <w:p w:rsidR="00CC15CD" w:rsidRDefault="00CC15CD"/>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3179" w:rsidRDefault="00AB3179">
      <w:r>
        <w:separator/>
      </w:r>
    </w:p>
  </w:footnote>
  <w:footnote w:type="continuationSeparator" w:id="0">
    <w:p w:rsidR="00AB3179" w:rsidRDefault="00AB3179">
      <w:r>
        <w:continuationSeparator/>
      </w:r>
    </w:p>
  </w:footnote>
  <w:footnote w:id="1">
    <w:p w:rsidR="00CC15CD" w:rsidRPr="002E6801" w:rsidRDefault="00CC15CD" w:rsidP="00F40E45">
      <w:pPr>
        <w:pStyle w:val="FootnoteText"/>
      </w:pPr>
      <w:r>
        <w:rPr>
          <w:rStyle w:val="FootnoteReference"/>
        </w:rPr>
        <w:footnoteRef/>
      </w:r>
      <w:r>
        <w:t xml:space="preserve"> </w:t>
      </w:r>
      <w:r w:rsidRPr="002E6801">
        <w:t xml:space="preserve">Such evidence must be provided </w:t>
      </w:r>
      <w:r>
        <w:t xml:space="preserve">as soon as possible and </w:t>
      </w:r>
      <w:r w:rsidRPr="002E6801">
        <w:t xml:space="preserve">sufficiently in advance of the date on which the notice of adverse benefit determination on review is required to be provided to give the claimant a reasonable opportunity to respond prior to that date.  Additionally, before the plan or issuer can issue an adverse benefit determination on review based on a new or additional rationale, the claimant must be provided, free of charge, with the rationale.  The rationale must be provided </w:t>
      </w:r>
      <w:r>
        <w:t xml:space="preserve">as soon as possible and </w:t>
      </w:r>
      <w:r w:rsidRPr="002E6801">
        <w:t>sufficiently in advance of the date on which the notice of adverse benefit determination on review is required to be provided to give the claimant a reasonable opportunity to respond prior to that date.</w:t>
      </w:r>
    </w:p>
  </w:footnote>
  <w:footnote w:id="2">
    <w:p w:rsidR="00CC15CD" w:rsidRDefault="00CC15CD">
      <w:pPr>
        <w:pStyle w:val="FootnoteText"/>
      </w:pPr>
      <w:r>
        <w:rPr>
          <w:rStyle w:val="FootnoteReference"/>
        </w:rPr>
        <w:footnoteRef/>
      </w:r>
      <w:r>
        <w:t xml:space="preserve"> Note that these federal external requirements are not new and have been previously accounted for.  The change in this modification is that the process applies to all fully insured plans in states whose external review processes do not meet the requirements in 2719(b)(1) and 2719(b)(2) as well as to all non-grandfathered self-funded non-federal governmental health plans that choose to use the HHS process.  This choice is new as well. </w:t>
      </w:r>
    </w:p>
  </w:footnote>
  <w:footnote w:id="3">
    <w:p w:rsidR="00CC15CD" w:rsidRPr="001769E8" w:rsidRDefault="00CC15CD" w:rsidP="00401CCD">
      <w:pPr>
        <w:pStyle w:val="FootnoteText"/>
      </w:pPr>
      <w:r>
        <w:rPr>
          <w:rStyle w:val="FootnoteReference"/>
        </w:rPr>
        <w:footnoteRef/>
      </w:r>
      <w:r>
        <w:t xml:space="preserve"> Rate of external reviews is .03% and based on the experience of OPM that will be administering the HHS external review process</w:t>
      </w:r>
      <w:r w:rsidRPr="001769E8">
        <w:t>.</w:t>
      </w:r>
    </w:p>
  </w:footnote>
  <w:footnote w:id="4">
    <w:p w:rsidR="00CC15CD" w:rsidRPr="00736192" w:rsidRDefault="00CC15CD" w:rsidP="00981470">
      <w:pPr>
        <w:pStyle w:val="FootnoteText"/>
      </w:pPr>
      <w:r w:rsidRPr="00D32291">
        <w:rPr>
          <w:rStyle w:val="FootnoteReference"/>
          <w:vertAlign w:val="superscript"/>
        </w:rPr>
        <w:footnoteRef/>
      </w:r>
      <w:r>
        <w:t xml:space="preserve"> </w:t>
      </w:r>
      <w:r w:rsidRPr="00D57850">
        <w:t xml:space="preserve"> EBSA estimates of labor rates include wages, other benefits, and overhead based on the National Occupational Employment Survey (May 2008, Bureau of Labor Statistics) and the Employment Cost Index June 2009, Bureau of Labor Statistics).</w:t>
      </w:r>
    </w:p>
  </w:footnote>
  <w:footnote w:id="5">
    <w:p w:rsidR="00CC15CD" w:rsidRPr="005900D6" w:rsidRDefault="00CC15CD" w:rsidP="005900D6">
      <w:pPr>
        <w:pStyle w:val="FootnoteText"/>
      </w:pPr>
      <w:r w:rsidRPr="005900D6">
        <w:rPr>
          <w:rStyle w:val="FootnoteReference"/>
        </w:rPr>
        <w:footnoteRef/>
      </w:r>
      <w:r w:rsidRPr="005900D6">
        <w:t xml:space="preserve"> Data are from the 2005-2009 American Community Survey available at </w:t>
      </w:r>
      <w:hyperlink r:id="rId1" w:history="1">
        <w:r w:rsidRPr="005900D6">
          <w:rPr>
            <w:rStyle w:val="Hyperlink"/>
          </w:rPr>
          <w:t>www.census.gov/acs</w:t>
        </w:r>
      </w:hyperlink>
      <w:r w:rsidRPr="005900D6">
        <w:t xml:space="preserve"> .  Individuals counted reside in counties where at least 10 percent of the county speak a particular non-English language and speak English less than “very well” are counted.</w:t>
      </w:r>
    </w:p>
  </w:footnote>
  <w:footnote w:id="6">
    <w:p w:rsidR="00CC15CD" w:rsidRPr="00472E84" w:rsidRDefault="00CC15CD" w:rsidP="005900D6">
      <w:pPr>
        <w:pStyle w:val="FootnoteText"/>
        <w:rPr>
          <w:b/>
        </w:rPr>
      </w:pPr>
      <w:r w:rsidRPr="005900D6">
        <w:rPr>
          <w:rStyle w:val="FootnoteReference"/>
        </w:rPr>
        <w:footnoteRef/>
      </w:r>
      <w:r w:rsidRPr="005900D6">
        <w:t xml:space="preserve"> Please note that using state estimates of insurance coverage could lead to an over estimate if those reporting in the ACS survey that they speak English less than “very well” are less likely to be insured than the state average.</w:t>
      </w:r>
      <w:r w:rsidRPr="00472E84">
        <w:rPr>
          <w:b/>
        </w:rPr>
        <w:t xml:space="preserve">  </w:t>
      </w:r>
    </w:p>
  </w:footnote>
  <w:footnote w:id="7">
    <w:p w:rsidR="00CC15CD" w:rsidRDefault="00CC15CD">
      <w:pPr>
        <w:pStyle w:val="FootnoteText"/>
      </w:pPr>
      <w:r>
        <w:rPr>
          <w:rStyle w:val="FootnoteReference"/>
        </w:rPr>
        <w:footnoteRef/>
      </w:r>
      <w:r>
        <w:t xml:space="preserve"> This percentage of request that are ineligible is drawn from data provided by OPM on the FEHBP.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15CD" w:rsidRDefault="00CC15CD">
    <w:pPr>
      <w:jc w:val="right"/>
      <w:rPr>
        <w:sz w:val="20"/>
        <w:szCs w:val="2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15CD" w:rsidRDefault="00CC15CD" w:rsidP="00304EF3">
    <w:pPr>
      <w:jc w:val="right"/>
      <w:rPr>
        <w:b/>
        <w:bCs/>
        <w:sz w:val="20"/>
        <w:szCs w:val="20"/>
      </w:rPr>
    </w:pPr>
    <w:r>
      <w:rPr>
        <w:b/>
        <w:bCs/>
        <w:sz w:val="20"/>
        <w:szCs w:val="20"/>
      </w:rPr>
      <w:t xml:space="preserve">Affordable Care Act Internal Claims and Appeals and </w:t>
    </w:r>
  </w:p>
  <w:p w:rsidR="00CC15CD" w:rsidRDefault="00CC15CD" w:rsidP="00304EF3">
    <w:pPr>
      <w:jc w:val="right"/>
      <w:rPr>
        <w:b/>
        <w:bCs/>
        <w:sz w:val="20"/>
        <w:szCs w:val="20"/>
      </w:rPr>
    </w:pPr>
    <w:r>
      <w:rPr>
        <w:b/>
        <w:bCs/>
        <w:sz w:val="20"/>
        <w:szCs w:val="20"/>
      </w:rPr>
      <w:t>External Review Procedures for Non-grandfathered Plans</w:t>
    </w:r>
  </w:p>
  <w:p w:rsidR="00CC15CD" w:rsidRDefault="00CC15CD" w:rsidP="00304EF3">
    <w:pPr>
      <w:jc w:val="right"/>
      <w:rPr>
        <w:b/>
        <w:bCs/>
        <w:sz w:val="20"/>
        <w:szCs w:val="20"/>
      </w:rPr>
    </w:pPr>
    <w:r>
      <w:rPr>
        <w:b/>
        <w:bCs/>
        <w:sz w:val="20"/>
        <w:szCs w:val="20"/>
      </w:rPr>
      <w:t>OMB Control No. 0938-1099-MODIFICATION</w:t>
    </w:r>
  </w:p>
  <w:p w:rsidR="00CC15CD" w:rsidRDefault="00CC15CD" w:rsidP="00304EF3">
    <w:pPr>
      <w:jc w:val="right"/>
      <w:rPr>
        <w:sz w:val="20"/>
        <w:szCs w:val="20"/>
      </w:rPr>
    </w:pPr>
    <w:r>
      <w:rPr>
        <w:b/>
        <w:bCs/>
        <w:sz w:val="20"/>
        <w:szCs w:val="20"/>
      </w:rPr>
      <w:t>June 2011</w:t>
    </w:r>
  </w:p>
  <w:p w:rsidR="00CC15CD" w:rsidRPr="00304EF3" w:rsidRDefault="00CC15CD" w:rsidP="00304EF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0"/>
    <w:lvl w:ilvl="0">
      <w:start w:val="1"/>
      <w:numFmt w:val="decimal"/>
      <w:pStyle w:val="Quick1"/>
      <w:lvlText w:val="%1."/>
      <w:lvlJc w:val="left"/>
      <w:pPr>
        <w:tabs>
          <w:tab w:val="num" w:pos="720"/>
        </w:tabs>
      </w:pPr>
    </w:lvl>
  </w:abstractNum>
  <w:abstractNum w:abstractNumId="1">
    <w:nsid w:val="35DA34FF"/>
    <w:multiLevelType w:val="hybridMultilevel"/>
    <w:tmpl w:val="A9CED802"/>
    <w:lvl w:ilvl="0" w:tplc="0409000F">
      <w:start w:val="1"/>
      <w:numFmt w:val="decimal"/>
      <w:lvlText w:val="%1."/>
      <w:lvlJc w:val="left"/>
      <w:pPr>
        <w:ind w:left="1545" w:hanging="360"/>
      </w:pPr>
    </w:lvl>
    <w:lvl w:ilvl="1" w:tplc="04090019" w:tentative="1">
      <w:start w:val="1"/>
      <w:numFmt w:val="lowerLetter"/>
      <w:lvlText w:val="%2."/>
      <w:lvlJc w:val="left"/>
      <w:pPr>
        <w:ind w:left="2265" w:hanging="360"/>
      </w:pPr>
    </w:lvl>
    <w:lvl w:ilvl="2" w:tplc="0409001B" w:tentative="1">
      <w:start w:val="1"/>
      <w:numFmt w:val="lowerRoman"/>
      <w:lvlText w:val="%3."/>
      <w:lvlJc w:val="right"/>
      <w:pPr>
        <w:ind w:left="2985" w:hanging="180"/>
      </w:pPr>
    </w:lvl>
    <w:lvl w:ilvl="3" w:tplc="0409000F" w:tentative="1">
      <w:start w:val="1"/>
      <w:numFmt w:val="decimal"/>
      <w:lvlText w:val="%4."/>
      <w:lvlJc w:val="left"/>
      <w:pPr>
        <w:ind w:left="3705" w:hanging="360"/>
      </w:pPr>
    </w:lvl>
    <w:lvl w:ilvl="4" w:tplc="04090019" w:tentative="1">
      <w:start w:val="1"/>
      <w:numFmt w:val="lowerLetter"/>
      <w:lvlText w:val="%5."/>
      <w:lvlJc w:val="left"/>
      <w:pPr>
        <w:ind w:left="4425" w:hanging="360"/>
      </w:pPr>
    </w:lvl>
    <w:lvl w:ilvl="5" w:tplc="0409001B" w:tentative="1">
      <w:start w:val="1"/>
      <w:numFmt w:val="lowerRoman"/>
      <w:lvlText w:val="%6."/>
      <w:lvlJc w:val="right"/>
      <w:pPr>
        <w:ind w:left="5145" w:hanging="180"/>
      </w:pPr>
    </w:lvl>
    <w:lvl w:ilvl="6" w:tplc="0409000F" w:tentative="1">
      <w:start w:val="1"/>
      <w:numFmt w:val="decimal"/>
      <w:lvlText w:val="%7."/>
      <w:lvlJc w:val="left"/>
      <w:pPr>
        <w:ind w:left="5865" w:hanging="360"/>
      </w:pPr>
    </w:lvl>
    <w:lvl w:ilvl="7" w:tplc="04090019" w:tentative="1">
      <w:start w:val="1"/>
      <w:numFmt w:val="lowerLetter"/>
      <w:lvlText w:val="%8."/>
      <w:lvlJc w:val="left"/>
      <w:pPr>
        <w:ind w:left="6585" w:hanging="360"/>
      </w:pPr>
    </w:lvl>
    <w:lvl w:ilvl="8" w:tplc="0409001B" w:tentative="1">
      <w:start w:val="1"/>
      <w:numFmt w:val="lowerRoman"/>
      <w:lvlText w:val="%9."/>
      <w:lvlJc w:val="right"/>
      <w:pPr>
        <w:ind w:left="7305" w:hanging="180"/>
      </w:pPr>
    </w:lvl>
  </w:abstractNum>
  <w:abstractNum w:abstractNumId="2">
    <w:nsid w:val="40FB2BE9"/>
    <w:multiLevelType w:val="hybridMultilevel"/>
    <w:tmpl w:val="AC4EA08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440D6866"/>
    <w:multiLevelType w:val="hybridMultilevel"/>
    <w:tmpl w:val="75908D0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5BB157CE"/>
    <w:multiLevelType w:val="hybridMultilevel"/>
    <w:tmpl w:val="75908D0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656468D3"/>
    <w:multiLevelType w:val="hybridMultilevel"/>
    <w:tmpl w:val="79FAE1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6D0A6DFC"/>
    <w:multiLevelType w:val="hybridMultilevel"/>
    <w:tmpl w:val="413AA894"/>
    <w:lvl w:ilvl="0" w:tplc="81AACF04">
      <w:start w:val="7"/>
      <w:numFmt w:val="bullet"/>
      <w:lvlText w:val="-"/>
      <w:lvlJc w:val="left"/>
      <w:pPr>
        <w:tabs>
          <w:tab w:val="num" w:pos="1524"/>
        </w:tabs>
        <w:ind w:left="1524" w:hanging="840"/>
      </w:pPr>
      <w:rPr>
        <w:rFonts w:ascii="Times New Roman" w:eastAsia="Calibri" w:hAnsi="Times New Roman" w:cs="Times New Roman" w:hint="default"/>
      </w:rPr>
    </w:lvl>
    <w:lvl w:ilvl="1" w:tplc="04090003" w:tentative="1">
      <w:start w:val="1"/>
      <w:numFmt w:val="bullet"/>
      <w:lvlText w:val="o"/>
      <w:lvlJc w:val="left"/>
      <w:pPr>
        <w:tabs>
          <w:tab w:val="num" w:pos="1764"/>
        </w:tabs>
        <w:ind w:left="1764" w:hanging="360"/>
      </w:pPr>
      <w:rPr>
        <w:rFonts w:ascii="Courier New" w:hAnsi="Courier New" w:cs="Courier New" w:hint="default"/>
      </w:rPr>
    </w:lvl>
    <w:lvl w:ilvl="2" w:tplc="04090005" w:tentative="1">
      <w:start w:val="1"/>
      <w:numFmt w:val="bullet"/>
      <w:lvlText w:val=""/>
      <w:lvlJc w:val="left"/>
      <w:pPr>
        <w:tabs>
          <w:tab w:val="num" w:pos="2484"/>
        </w:tabs>
        <w:ind w:left="2484" w:hanging="360"/>
      </w:pPr>
      <w:rPr>
        <w:rFonts w:ascii="Wingdings" w:hAnsi="Wingdings" w:hint="default"/>
      </w:rPr>
    </w:lvl>
    <w:lvl w:ilvl="3" w:tplc="04090001" w:tentative="1">
      <w:start w:val="1"/>
      <w:numFmt w:val="bullet"/>
      <w:lvlText w:val=""/>
      <w:lvlJc w:val="left"/>
      <w:pPr>
        <w:tabs>
          <w:tab w:val="num" w:pos="3204"/>
        </w:tabs>
        <w:ind w:left="3204" w:hanging="360"/>
      </w:pPr>
      <w:rPr>
        <w:rFonts w:ascii="Symbol" w:hAnsi="Symbol" w:hint="default"/>
      </w:rPr>
    </w:lvl>
    <w:lvl w:ilvl="4" w:tplc="04090003" w:tentative="1">
      <w:start w:val="1"/>
      <w:numFmt w:val="bullet"/>
      <w:lvlText w:val="o"/>
      <w:lvlJc w:val="left"/>
      <w:pPr>
        <w:tabs>
          <w:tab w:val="num" w:pos="3924"/>
        </w:tabs>
        <w:ind w:left="3924" w:hanging="360"/>
      </w:pPr>
      <w:rPr>
        <w:rFonts w:ascii="Courier New" w:hAnsi="Courier New" w:cs="Courier New" w:hint="default"/>
      </w:rPr>
    </w:lvl>
    <w:lvl w:ilvl="5" w:tplc="04090005" w:tentative="1">
      <w:start w:val="1"/>
      <w:numFmt w:val="bullet"/>
      <w:lvlText w:val=""/>
      <w:lvlJc w:val="left"/>
      <w:pPr>
        <w:tabs>
          <w:tab w:val="num" w:pos="4644"/>
        </w:tabs>
        <w:ind w:left="4644" w:hanging="360"/>
      </w:pPr>
      <w:rPr>
        <w:rFonts w:ascii="Wingdings" w:hAnsi="Wingdings" w:hint="default"/>
      </w:rPr>
    </w:lvl>
    <w:lvl w:ilvl="6" w:tplc="04090001" w:tentative="1">
      <w:start w:val="1"/>
      <w:numFmt w:val="bullet"/>
      <w:lvlText w:val=""/>
      <w:lvlJc w:val="left"/>
      <w:pPr>
        <w:tabs>
          <w:tab w:val="num" w:pos="5364"/>
        </w:tabs>
        <w:ind w:left="5364" w:hanging="360"/>
      </w:pPr>
      <w:rPr>
        <w:rFonts w:ascii="Symbol" w:hAnsi="Symbol" w:hint="default"/>
      </w:rPr>
    </w:lvl>
    <w:lvl w:ilvl="7" w:tplc="04090003" w:tentative="1">
      <w:start w:val="1"/>
      <w:numFmt w:val="bullet"/>
      <w:lvlText w:val="o"/>
      <w:lvlJc w:val="left"/>
      <w:pPr>
        <w:tabs>
          <w:tab w:val="num" w:pos="6084"/>
        </w:tabs>
        <w:ind w:left="6084" w:hanging="360"/>
      </w:pPr>
      <w:rPr>
        <w:rFonts w:ascii="Courier New" w:hAnsi="Courier New" w:cs="Courier New" w:hint="default"/>
      </w:rPr>
    </w:lvl>
    <w:lvl w:ilvl="8" w:tplc="04090005" w:tentative="1">
      <w:start w:val="1"/>
      <w:numFmt w:val="bullet"/>
      <w:lvlText w:val=""/>
      <w:lvlJc w:val="left"/>
      <w:pPr>
        <w:tabs>
          <w:tab w:val="num" w:pos="6804"/>
        </w:tabs>
        <w:ind w:left="6804" w:hanging="360"/>
      </w:pPr>
      <w:rPr>
        <w:rFonts w:ascii="Wingdings" w:hAnsi="Wingdings" w:hint="default"/>
      </w:rPr>
    </w:lvl>
  </w:abstractNum>
  <w:num w:numId="1">
    <w:abstractNumId w:val="0"/>
    <w:lvlOverride w:ilvl="0">
      <w:startOverride w:val="1"/>
      <w:lvl w:ilvl="0">
        <w:start w:val="1"/>
        <w:numFmt w:val="decimal"/>
        <w:pStyle w:val="Quick1"/>
        <w:lvlText w:val="%1."/>
        <w:lvlJc w:val="left"/>
      </w:lvl>
    </w:lvlOverride>
  </w:num>
  <w:num w:numId="2">
    <w:abstractNumId w:val="0"/>
    <w:lvlOverride w:ilvl="0">
      <w:startOverride w:val="13"/>
      <w:lvl w:ilvl="0">
        <w:start w:val="13"/>
        <w:numFmt w:val="decimal"/>
        <w:pStyle w:val="Quick1"/>
        <w:lvlText w:val="%1."/>
        <w:lvlJc w:val="left"/>
      </w:lvl>
    </w:lvlOverride>
  </w:num>
  <w:num w:numId="3">
    <w:abstractNumId w:val="6"/>
  </w:num>
  <w:num w:numId="4">
    <w:abstractNumId w:val="5"/>
  </w:num>
  <w:num w:numId="5">
    <w:abstractNumId w:val="4"/>
  </w:num>
  <w:num w:numId="6">
    <w:abstractNumId w:val="3"/>
  </w:num>
  <w:num w:numId="7">
    <w:abstractNumId w:val="1"/>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rsids>
    <w:rsidRoot w:val="00037371"/>
    <w:rsid w:val="000006A5"/>
    <w:rsid w:val="00002344"/>
    <w:rsid w:val="00002589"/>
    <w:rsid w:val="00037371"/>
    <w:rsid w:val="00054D61"/>
    <w:rsid w:val="000814DA"/>
    <w:rsid w:val="0009069B"/>
    <w:rsid w:val="00095810"/>
    <w:rsid w:val="000A3BC4"/>
    <w:rsid w:val="000A4808"/>
    <w:rsid w:val="000B7A90"/>
    <w:rsid w:val="000C0021"/>
    <w:rsid w:val="000C6CE6"/>
    <w:rsid w:val="000D25CD"/>
    <w:rsid w:val="000D421B"/>
    <w:rsid w:val="000E4967"/>
    <w:rsid w:val="000F20D7"/>
    <w:rsid w:val="00101F4D"/>
    <w:rsid w:val="001243E2"/>
    <w:rsid w:val="00156940"/>
    <w:rsid w:val="00161D3A"/>
    <w:rsid w:val="001642AD"/>
    <w:rsid w:val="00181A8C"/>
    <w:rsid w:val="001A323F"/>
    <w:rsid w:val="001B1941"/>
    <w:rsid w:val="001C204A"/>
    <w:rsid w:val="001C4225"/>
    <w:rsid w:val="001C6719"/>
    <w:rsid w:val="001E12BC"/>
    <w:rsid w:val="001E5B39"/>
    <w:rsid w:val="001F135C"/>
    <w:rsid w:val="002062EB"/>
    <w:rsid w:val="0021271B"/>
    <w:rsid w:val="00221FA5"/>
    <w:rsid w:val="00230CFC"/>
    <w:rsid w:val="00234265"/>
    <w:rsid w:val="0023492D"/>
    <w:rsid w:val="00241947"/>
    <w:rsid w:val="002431EA"/>
    <w:rsid w:val="002512A8"/>
    <w:rsid w:val="0026572A"/>
    <w:rsid w:val="0026650F"/>
    <w:rsid w:val="00272374"/>
    <w:rsid w:val="00275873"/>
    <w:rsid w:val="002808E1"/>
    <w:rsid w:val="0028109D"/>
    <w:rsid w:val="00282710"/>
    <w:rsid w:val="0029564D"/>
    <w:rsid w:val="0029675C"/>
    <w:rsid w:val="002B3ED7"/>
    <w:rsid w:val="002B4B94"/>
    <w:rsid w:val="002F01FE"/>
    <w:rsid w:val="002F4CD3"/>
    <w:rsid w:val="003025C1"/>
    <w:rsid w:val="00302CDF"/>
    <w:rsid w:val="00304EF3"/>
    <w:rsid w:val="00310AC0"/>
    <w:rsid w:val="0031296B"/>
    <w:rsid w:val="00341062"/>
    <w:rsid w:val="00343035"/>
    <w:rsid w:val="00356444"/>
    <w:rsid w:val="003629EA"/>
    <w:rsid w:val="003727B5"/>
    <w:rsid w:val="00375EC0"/>
    <w:rsid w:val="00377220"/>
    <w:rsid w:val="00382728"/>
    <w:rsid w:val="00385452"/>
    <w:rsid w:val="0038614D"/>
    <w:rsid w:val="003919C5"/>
    <w:rsid w:val="003941B5"/>
    <w:rsid w:val="003A4C14"/>
    <w:rsid w:val="003A5157"/>
    <w:rsid w:val="003B7B66"/>
    <w:rsid w:val="003C3B4C"/>
    <w:rsid w:val="003E2EE2"/>
    <w:rsid w:val="003F1C68"/>
    <w:rsid w:val="00401CCD"/>
    <w:rsid w:val="004021AB"/>
    <w:rsid w:val="00417890"/>
    <w:rsid w:val="00426EBF"/>
    <w:rsid w:val="00436373"/>
    <w:rsid w:val="004616FF"/>
    <w:rsid w:val="00465376"/>
    <w:rsid w:val="00481C9F"/>
    <w:rsid w:val="00482989"/>
    <w:rsid w:val="00491E8E"/>
    <w:rsid w:val="004A37C1"/>
    <w:rsid w:val="004B3B02"/>
    <w:rsid w:val="004D7B95"/>
    <w:rsid w:val="004E087F"/>
    <w:rsid w:val="004F18FC"/>
    <w:rsid w:val="0050256E"/>
    <w:rsid w:val="0050257D"/>
    <w:rsid w:val="00502B9D"/>
    <w:rsid w:val="0050337C"/>
    <w:rsid w:val="0050385D"/>
    <w:rsid w:val="0052069E"/>
    <w:rsid w:val="0052244B"/>
    <w:rsid w:val="00525673"/>
    <w:rsid w:val="00570F51"/>
    <w:rsid w:val="00584628"/>
    <w:rsid w:val="005900D6"/>
    <w:rsid w:val="00594ED0"/>
    <w:rsid w:val="00595407"/>
    <w:rsid w:val="005A70F6"/>
    <w:rsid w:val="005B4BAE"/>
    <w:rsid w:val="005B7883"/>
    <w:rsid w:val="005C7BEC"/>
    <w:rsid w:val="005F46A3"/>
    <w:rsid w:val="00600EE0"/>
    <w:rsid w:val="00601A91"/>
    <w:rsid w:val="006125A3"/>
    <w:rsid w:val="00625A5D"/>
    <w:rsid w:val="0063066E"/>
    <w:rsid w:val="0064573D"/>
    <w:rsid w:val="00647110"/>
    <w:rsid w:val="006614F9"/>
    <w:rsid w:val="00665B57"/>
    <w:rsid w:val="00671B39"/>
    <w:rsid w:val="00676597"/>
    <w:rsid w:val="006849F0"/>
    <w:rsid w:val="006871C5"/>
    <w:rsid w:val="006879A4"/>
    <w:rsid w:val="00696114"/>
    <w:rsid w:val="0069616D"/>
    <w:rsid w:val="00697732"/>
    <w:rsid w:val="006A2554"/>
    <w:rsid w:val="006C0B48"/>
    <w:rsid w:val="006C590F"/>
    <w:rsid w:val="006D145E"/>
    <w:rsid w:val="006D437D"/>
    <w:rsid w:val="006D56D3"/>
    <w:rsid w:val="006D6D15"/>
    <w:rsid w:val="006D6FAC"/>
    <w:rsid w:val="006E082E"/>
    <w:rsid w:val="006F3FF4"/>
    <w:rsid w:val="0073735E"/>
    <w:rsid w:val="00737573"/>
    <w:rsid w:val="00752E2D"/>
    <w:rsid w:val="0075777B"/>
    <w:rsid w:val="00771E77"/>
    <w:rsid w:val="007912DE"/>
    <w:rsid w:val="00791D6A"/>
    <w:rsid w:val="007A1B61"/>
    <w:rsid w:val="007A3F37"/>
    <w:rsid w:val="007B6E8C"/>
    <w:rsid w:val="007B75E8"/>
    <w:rsid w:val="007E3107"/>
    <w:rsid w:val="007E71A2"/>
    <w:rsid w:val="0080043C"/>
    <w:rsid w:val="0080139A"/>
    <w:rsid w:val="00801ED7"/>
    <w:rsid w:val="00806213"/>
    <w:rsid w:val="008344FA"/>
    <w:rsid w:val="008965C5"/>
    <w:rsid w:val="008A5D98"/>
    <w:rsid w:val="008A6BDE"/>
    <w:rsid w:val="008B23EE"/>
    <w:rsid w:val="008D59EF"/>
    <w:rsid w:val="00902A58"/>
    <w:rsid w:val="00902C8E"/>
    <w:rsid w:val="0090699F"/>
    <w:rsid w:val="00907E99"/>
    <w:rsid w:val="00924C95"/>
    <w:rsid w:val="00934CA3"/>
    <w:rsid w:val="00950AE1"/>
    <w:rsid w:val="00951820"/>
    <w:rsid w:val="00952EEF"/>
    <w:rsid w:val="00973776"/>
    <w:rsid w:val="00981470"/>
    <w:rsid w:val="00991174"/>
    <w:rsid w:val="009938EB"/>
    <w:rsid w:val="00994E49"/>
    <w:rsid w:val="009A0073"/>
    <w:rsid w:val="009A3475"/>
    <w:rsid w:val="009B4B9D"/>
    <w:rsid w:val="009B60C8"/>
    <w:rsid w:val="009F44C1"/>
    <w:rsid w:val="00A3340B"/>
    <w:rsid w:val="00A36C21"/>
    <w:rsid w:val="00A424A7"/>
    <w:rsid w:val="00A4464B"/>
    <w:rsid w:val="00A62DC6"/>
    <w:rsid w:val="00A71122"/>
    <w:rsid w:val="00A73027"/>
    <w:rsid w:val="00A909EB"/>
    <w:rsid w:val="00A93B19"/>
    <w:rsid w:val="00A96ED5"/>
    <w:rsid w:val="00AA694D"/>
    <w:rsid w:val="00AB125F"/>
    <w:rsid w:val="00AB28BA"/>
    <w:rsid w:val="00AB3179"/>
    <w:rsid w:val="00AB3975"/>
    <w:rsid w:val="00AD4E00"/>
    <w:rsid w:val="00AE32A8"/>
    <w:rsid w:val="00AE705E"/>
    <w:rsid w:val="00B07E11"/>
    <w:rsid w:val="00B158B7"/>
    <w:rsid w:val="00B20E17"/>
    <w:rsid w:val="00B264CB"/>
    <w:rsid w:val="00B341EA"/>
    <w:rsid w:val="00B4528F"/>
    <w:rsid w:val="00B56C7A"/>
    <w:rsid w:val="00B60722"/>
    <w:rsid w:val="00B650C0"/>
    <w:rsid w:val="00B65856"/>
    <w:rsid w:val="00B67E43"/>
    <w:rsid w:val="00BA7C66"/>
    <w:rsid w:val="00BD48CA"/>
    <w:rsid w:val="00BE0E2B"/>
    <w:rsid w:val="00BE1768"/>
    <w:rsid w:val="00BE47A7"/>
    <w:rsid w:val="00C00394"/>
    <w:rsid w:val="00C119B7"/>
    <w:rsid w:val="00C14C08"/>
    <w:rsid w:val="00C1712C"/>
    <w:rsid w:val="00C17F1C"/>
    <w:rsid w:val="00C217C4"/>
    <w:rsid w:val="00C34E20"/>
    <w:rsid w:val="00C5435A"/>
    <w:rsid w:val="00C67723"/>
    <w:rsid w:val="00C70894"/>
    <w:rsid w:val="00C94F71"/>
    <w:rsid w:val="00CA7999"/>
    <w:rsid w:val="00CB094F"/>
    <w:rsid w:val="00CB5C57"/>
    <w:rsid w:val="00CB6715"/>
    <w:rsid w:val="00CC15CD"/>
    <w:rsid w:val="00CC7301"/>
    <w:rsid w:val="00CE2CF0"/>
    <w:rsid w:val="00CF2D07"/>
    <w:rsid w:val="00CF642B"/>
    <w:rsid w:val="00D06A09"/>
    <w:rsid w:val="00D148AE"/>
    <w:rsid w:val="00D16E5E"/>
    <w:rsid w:val="00D16F92"/>
    <w:rsid w:val="00D3022A"/>
    <w:rsid w:val="00D308DF"/>
    <w:rsid w:val="00D32291"/>
    <w:rsid w:val="00D3455B"/>
    <w:rsid w:val="00D42668"/>
    <w:rsid w:val="00D5309F"/>
    <w:rsid w:val="00D6537A"/>
    <w:rsid w:val="00D7082C"/>
    <w:rsid w:val="00D7101F"/>
    <w:rsid w:val="00D74CDD"/>
    <w:rsid w:val="00D83B51"/>
    <w:rsid w:val="00D9455F"/>
    <w:rsid w:val="00DA2E8C"/>
    <w:rsid w:val="00DB06CC"/>
    <w:rsid w:val="00DD43B9"/>
    <w:rsid w:val="00DE440A"/>
    <w:rsid w:val="00DF0D7B"/>
    <w:rsid w:val="00DF34E0"/>
    <w:rsid w:val="00E16547"/>
    <w:rsid w:val="00E278A9"/>
    <w:rsid w:val="00E40C5C"/>
    <w:rsid w:val="00E41A67"/>
    <w:rsid w:val="00E431D2"/>
    <w:rsid w:val="00E52356"/>
    <w:rsid w:val="00E52C8E"/>
    <w:rsid w:val="00E57F96"/>
    <w:rsid w:val="00E6378C"/>
    <w:rsid w:val="00E64AD3"/>
    <w:rsid w:val="00E71A91"/>
    <w:rsid w:val="00E72E32"/>
    <w:rsid w:val="00E84A87"/>
    <w:rsid w:val="00E9237D"/>
    <w:rsid w:val="00E95ACD"/>
    <w:rsid w:val="00EA45DC"/>
    <w:rsid w:val="00EC7102"/>
    <w:rsid w:val="00EF1F90"/>
    <w:rsid w:val="00EF6ED7"/>
    <w:rsid w:val="00F129F3"/>
    <w:rsid w:val="00F17C8E"/>
    <w:rsid w:val="00F257C2"/>
    <w:rsid w:val="00F36006"/>
    <w:rsid w:val="00F37C5B"/>
    <w:rsid w:val="00F40E45"/>
    <w:rsid w:val="00F54EAB"/>
    <w:rsid w:val="00F61198"/>
    <w:rsid w:val="00F62E43"/>
    <w:rsid w:val="00F71B43"/>
    <w:rsid w:val="00F842BD"/>
    <w:rsid w:val="00FA53A7"/>
    <w:rsid w:val="00FA5D4D"/>
    <w:rsid w:val="00FB4EFD"/>
    <w:rsid w:val="00FB5067"/>
    <w:rsid w:val="00FC0F24"/>
    <w:rsid w:val="00FC2F3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16F92"/>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D16F92"/>
  </w:style>
  <w:style w:type="paragraph" w:customStyle="1" w:styleId="Quick1">
    <w:name w:val="Quick 1."/>
    <w:basedOn w:val="Normal"/>
    <w:rsid w:val="00D16F92"/>
    <w:pPr>
      <w:numPr>
        <w:numId w:val="2"/>
      </w:numPr>
      <w:ind w:left="720" w:hanging="720"/>
    </w:pPr>
  </w:style>
  <w:style w:type="paragraph" w:styleId="Header">
    <w:name w:val="header"/>
    <w:basedOn w:val="Normal"/>
    <w:rsid w:val="00D16F92"/>
    <w:pPr>
      <w:tabs>
        <w:tab w:val="center" w:pos="4320"/>
        <w:tab w:val="right" w:pos="8640"/>
      </w:tabs>
    </w:pPr>
  </w:style>
  <w:style w:type="paragraph" w:styleId="Footer">
    <w:name w:val="footer"/>
    <w:basedOn w:val="Normal"/>
    <w:rsid w:val="00D16F92"/>
    <w:pPr>
      <w:tabs>
        <w:tab w:val="center" w:pos="4320"/>
        <w:tab w:val="right" w:pos="8640"/>
      </w:tabs>
    </w:pPr>
  </w:style>
  <w:style w:type="paragraph" w:styleId="BodyTextIndent">
    <w:name w:val="Body Text Indent"/>
    <w:basedOn w:val="Normal"/>
    <w:rsid w:val="00D16F92"/>
    <w:pPr>
      <w:widowControl/>
      <w:ind w:firstLine="720"/>
    </w:pPr>
  </w:style>
  <w:style w:type="paragraph" w:styleId="FootnoteText">
    <w:name w:val="footnote text"/>
    <w:basedOn w:val="Normal"/>
    <w:link w:val="FootnoteTextChar1"/>
    <w:semiHidden/>
    <w:rsid w:val="00A4464B"/>
    <w:rPr>
      <w:sz w:val="20"/>
      <w:szCs w:val="20"/>
    </w:rPr>
  </w:style>
  <w:style w:type="paragraph" w:styleId="BalloonText">
    <w:name w:val="Balloon Text"/>
    <w:basedOn w:val="Normal"/>
    <w:semiHidden/>
    <w:rsid w:val="002808E1"/>
    <w:rPr>
      <w:rFonts w:ascii="Tahoma" w:hAnsi="Tahoma" w:cs="Tahoma"/>
      <w:sz w:val="16"/>
      <w:szCs w:val="16"/>
    </w:rPr>
  </w:style>
  <w:style w:type="character" w:customStyle="1" w:styleId="footnoteref">
    <w:name w:val="footnote ref"/>
    <w:rsid w:val="00D308DF"/>
  </w:style>
  <w:style w:type="paragraph" w:styleId="BodyText">
    <w:name w:val="Body Text"/>
    <w:basedOn w:val="Normal"/>
    <w:rsid w:val="00D7082C"/>
    <w:pPr>
      <w:spacing w:after="120"/>
    </w:pPr>
  </w:style>
  <w:style w:type="character" w:customStyle="1" w:styleId="FootnoteTextChar1">
    <w:name w:val="Footnote Text Char1"/>
    <w:basedOn w:val="DefaultParagraphFont"/>
    <w:link w:val="FootnoteText"/>
    <w:semiHidden/>
    <w:locked/>
    <w:rsid w:val="00F40E45"/>
    <w:rPr>
      <w:lang w:val="en-US" w:eastAsia="en-US" w:bidi="ar-SA"/>
    </w:rPr>
  </w:style>
  <w:style w:type="character" w:customStyle="1" w:styleId="CharChar5">
    <w:name w:val="Char Char5"/>
    <w:basedOn w:val="DefaultParagraphFont"/>
    <w:semiHidden/>
    <w:locked/>
    <w:rsid w:val="00401CCD"/>
    <w:rPr>
      <w:rFonts w:cs="Times New Roman"/>
      <w:lang w:val="en-US" w:eastAsia="en-US" w:bidi="ar-SA"/>
    </w:rPr>
  </w:style>
  <w:style w:type="paragraph" w:styleId="CommentText">
    <w:name w:val="annotation text"/>
    <w:basedOn w:val="Normal"/>
    <w:link w:val="CommentTextChar"/>
    <w:uiPriority w:val="99"/>
    <w:semiHidden/>
    <w:rsid w:val="00401CCD"/>
    <w:pPr>
      <w:widowControl/>
      <w:autoSpaceDE/>
      <w:autoSpaceDN/>
      <w:adjustRightInd/>
    </w:pPr>
    <w:rPr>
      <w:sz w:val="20"/>
      <w:szCs w:val="20"/>
    </w:rPr>
  </w:style>
  <w:style w:type="character" w:customStyle="1" w:styleId="CommentTextChar">
    <w:name w:val="Comment Text Char"/>
    <w:basedOn w:val="DefaultParagraphFont"/>
    <w:link w:val="CommentText"/>
    <w:uiPriority w:val="99"/>
    <w:locked/>
    <w:rsid w:val="00401CCD"/>
    <w:rPr>
      <w:lang w:val="en-US" w:eastAsia="en-US" w:bidi="ar-SA"/>
    </w:rPr>
  </w:style>
  <w:style w:type="character" w:styleId="CommentReference">
    <w:name w:val="annotation reference"/>
    <w:basedOn w:val="DefaultParagraphFont"/>
    <w:uiPriority w:val="99"/>
    <w:semiHidden/>
    <w:rsid w:val="00401CCD"/>
    <w:rPr>
      <w:rFonts w:cs="Times New Roman"/>
      <w:sz w:val="16"/>
      <w:szCs w:val="16"/>
    </w:rPr>
  </w:style>
  <w:style w:type="character" w:customStyle="1" w:styleId="FootnoteTextChar">
    <w:name w:val="Footnote Text Char"/>
    <w:basedOn w:val="DefaultParagraphFont"/>
    <w:semiHidden/>
    <w:locked/>
    <w:rsid w:val="001C4225"/>
    <w:rPr>
      <w:lang w:val="en-US" w:eastAsia="en-US" w:bidi="ar-SA"/>
    </w:rPr>
  </w:style>
  <w:style w:type="character" w:styleId="Hyperlink">
    <w:name w:val="Hyperlink"/>
    <w:basedOn w:val="DefaultParagraphFont"/>
    <w:rsid w:val="005900D6"/>
    <w:rPr>
      <w:color w:val="0000FF"/>
      <w:u w:val="single"/>
    </w:rPr>
  </w:style>
  <w:style w:type="paragraph" w:styleId="CommentSubject">
    <w:name w:val="annotation subject"/>
    <w:basedOn w:val="CommentText"/>
    <w:next w:val="CommentText"/>
    <w:link w:val="CommentSubjectChar"/>
    <w:rsid w:val="00CF2D07"/>
    <w:pPr>
      <w:widowControl w:val="0"/>
      <w:autoSpaceDE w:val="0"/>
      <w:autoSpaceDN w:val="0"/>
      <w:adjustRightInd w:val="0"/>
    </w:pPr>
    <w:rPr>
      <w:b/>
      <w:bCs/>
    </w:rPr>
  </w:style>
  <w:style w:type="character" w:customStyle="1" w:styleId="CommentSubjectChar">
    <w:name w:val="Comment Subject Char"/>
    <w:basedOn w:val="CommentTextChar"/>
    <w:link w:val="CommentSubject"/>
    <w:rsid w:val="00CF2D07"/>
    <w:rPr>
      <w:b/>
      <w:bCs/>
    </w:rPr>
  </w:style>
  <w:style w:type="paragraph" w:styleId="ListParagraph">
    <w:name w:val="List Paragraph"/>
    <w:basedOn w:val="Normal"/>
    <w:uiPriority w:val="34"/>
    <w:qFormat/>
    <w:rsid w:val="00D9455F"/>
    <w:pPr>
      <w:ind w:left="720"/>
      <w:contextualSpacing/>
    </w:pPr>
  </w:style>
  <w:style w:type="paragraph" w:styleId="Revision">
    <w:name w:val="Revision"/>
    <w:hidden/>
    <w:uiPriority w:val="99"/>
    <w:semiHidden/>
    <w:rsid w:val="00C119B7"/>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census.gov/a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76DEDD-3D20-40F0-AD32-BAA9666E58CA}">
  <ds:schemaRefs>
    <ds:schemaRef ds:uri="http://schemas.openxmlformats.org/officeDocument/2006/bibliography"/>
  </ds:schemaRefs>
</ds:datastoreItem>
</file>

<file path=customXml/itemProps2.xml><?xml version="1.0" encoding="utf-8"?>
<ds:datastoreItem xmlns:ds="http://schemas.openxmlformats.org/officeDocument/2006/customXml" ds:itemID="{0068C5BF-02DF-411E-8643-53346DB340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6630</Words>
  <Characters>37793</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SUPPORTING STATEMENT FOR PAPERWORK REDUCTION ACT 1995 SUBMISSIONS</vt:lpstr>
    </vt:vector>
  </TitlesOfParts>
  <Company>US Department of Labor</Company>
  <LinksUpToDate>false</LinksUpToDate>
  <CharactersWithSpaces>44335</CharactersWithSpaces>
  <SharedDoc>false</SharedDoc>
  <HLinks>
    <vt:vector size="6" baseType="variant">
      <vt:variant>
        <vt:i4>6160453</vt:i4>
      </vt:variant>
      <vt:variant>
        <vt:i4>0</vt:i4>
      </vt:variant>
      <vt:variant>
        <vt:i4>0</vt:i4>
      </vt:variant>
      <vt:variant>
        <vt:i4>5</vt:i4>
      </vt:variant>
      <vt:variant>
        <vt:lpwstr>http://www.census.gov/acs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1995 SUBMISSIONS</dc:title>
  <dc:creator>ridgwayc</dc:creator>
  <cp:lastModifiedBy>bbarker</cp:lastModifiedBy>
  <cp:revision>2</cp:revision>
  <cp:lastPrinted>2011-10-17T23:21:00Z</cp:lastPrinted>
  <dcterms:created xsi:type="dcterms:W3CDTF">2011-11-09T18:22:00Z</dcterms:created>
  <dcterms:modified xsi:type="dcterms:W3CDTF">2011-11-09T18:22:00Z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-1744588997</vt:i4>
  </property>
  <property fmtid="{D5CDD505-2E9C-101B-9397-08002B2CF9AE}" pid="4" name="_EmailSubject">
    <vt:lpwstr>0938-1099</vt:lpwstr>
  </property>
  <property fmtid="{D5CDD505-2E9C-101B-9397-08002B2CF9AE}" pid="5" name="_AuthorEmail">
    <vt:lpwstr>WILLIAM.PARHAM@cms.hhs.gov</vt:lpwstr>
  </property>
  <property fmtid="{D5CDD505-2E9C-101B-9397-08002B2CF9AE}" pid="6" name="_AuthorEmailDisplayName">
    <vt:lpwstr>Parham, William N. (CMS/OSORA)</vt:lpwstr>
  </property>
  <property fmtid="{D5CDD505-2E9C-101B-9397-08002B2CF9AE}" pid="7" name="_PreviousAdHocReviewCycleID">
    <vt:i4>-974382936</vt:i4>
  </property>
  <property fmtid="{D5CDD505-2E9C-101B-9397-08002B2CF9AE}" pid="8" name="_ReviewingToolsShownOnce">
    <vt:lpwstr/>
  </property>
</Properties>
</file>