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98" w:rsidRDefault="00AF79BA" w:rsidP="006D7A98">
      <w:pPr>
        <w:jc w:val="center"/>
        <w:rPr>
          <w:b/>
        </w:rPr>
      </w:pPr>
      <w:r>
        <w:rPr>
          <w:b/>
        </w:rPr>
        <w:t xml:space="preserve">Discussion of </w:t>
      </w:r>
      <w:r w:rsidR="006D2044">
        <w:rPr>
          <w:b/>
        </w:rPr>
        <w:t xml:space="preserve">Threshold Calculation </w:t>
      </w:r>
      <w:r>
        <w:rPr>
          <w:b/>
        </w:rPr>
        <w:t>Examples</w:t>
      </w:r>
    </w:p>
    <w:p w:rsidR="00AF79BA" w:rsidRDefault="00AF79BA" w:rsidP="006D7A98">
      <w:pPr>
        <w:jc w:val="center"/>
        <w:rPr>
          <w:b/>
        </w:rPr>
      </w:pPr>
    </w:p>
    <w:p w:rsidR="00AF79BA" w:rsidRPr="006D2044" w:rsidRDefault="00AF79BA" w:rsidP="00AF79BA">
      <w:pPr>
        <w:autoSpaceDE w:val="0"/>
        <w:autoSpaceDN w:val="0"/>
        <w:rPr>
          <w:rFonts w:ascii="Times New Roman" w:eastAsia="Calibri" w:hAnsi="Times New Roman" w:cs="Times New Roman"/>
          <w:b/>
        </w:rPr>
      </w:pPr>
      <w:r w:rsidRPr="006D2044">
        <w:rPr>
          <w:rFonts w:ascii="Times New Roman" w:eastAsia="Calibri" w:hAnsi="Times New Roman" w:cs="Times New Roman"/>
          <w:b/>
        </w:rPr>
        <w:t>Examples:</w:t>
      </w:r>
    </w:p>
    <w:p w:rsidR="006001A4" w:rsidRDefault="00AF79BA" w:rsidP="006001A4">
      <w:pPr>
        <w:numPr>
          <w:ilvl w:val="0"/>
          <w:numId w:val="1"/>
        </w:numPr>
        <w:autoSpaceDE w:val="0"/>
        <w:autoSpaceDN w:val="0"/>
        <w:rPr>
          <w:rFonts w:ascii="Times New Roman" w:hAnsi="Times New Roman"/>
        </w:rPr>
      </w:pPr>
      <w:r w:rsidRPr="009E0C36">
        <w:rPr>
          <w:rFonts w:ascii="Times New Roman" w:eastAsia="Calibri" w:hAnsi="Times New Roman" w:cs="Times New Roman"/>
        </w:rPr>
        <w:t xml:space="preserve">If there was a simple 12% increase effective on January 1, the threshold test would be triggered as this exceeds the 10% threshold. </w:t>
      </w:r>
    </w:p>
    <w:p w:rsidR="006001A4" w:rsidRDefault="006001A4" w:rsidP="006001A4">
      <w:pPr>
        <w:autoSpaceDE w:val="0"/>
        <w:autoSpaceDN w:val="0"/>
        <w:rPr>
          <w:rFonts w:ascii="Times New Roman" w:hAnsi="Times New Roman"/>
          <w:i/>
        </w:rPr>
      </w:pPr>
      <w:r w:rsidRPr="006D2044">
        <w:rPr>
          <w:rFonts w:ascii="Times New Roman" w:hAnsi="Times New Roman"/>
          <w:i/>
        </w:rPr>
        <w:t>There were no comments on this simple one time cliff increase.</w:t>
      </w:r>
    </w:p>
    <w:p w:rsidR="00080B34" w:rsidRPr="006D2044" w:rsidRDefault="00080B34" w:rsidP="006001A4">
      <w:pPr>
        <w:autoSpaceDE w:val="0"/>
        <w:autoSpaceDN w:val="0"/>
        <w:rPr>
          <w:rFonts w:ascii="Times New Roman" w:eastAsia="Calibri" w:hAnsi="Times New Roman" w:cs="Times New Roman"/>
          <w:i/>
        </w:rPr>
      </w:pPr>
    </w:p>
    <w:p w:rsidR="006001A4" w:rsidRPr="006001A4" w:rsidRDefault="00AF79BA" w:rsidP="006001A4">
      <w:pPr>
        <w:pStyle w:val="ListParagraph"/>
        <w:numPr>
          <w:ilvl w:val="0"/>
          <w:numId w:val="1"/>
        </w:numPr>
        <w:autoSpaceDE w:val="0"/>
        <w:autoSpaceDN w:val="0"/>
        <w:rPr>
          <w:rFonts w:ascii="Times New Roman" w:hAnsi="Times New Roman"/>
        </w:rPr>
      </w:pPr>
      <w:r w:rsidRPr="006001A4">
        <w:rPr>
          <w:rFonts w:ascii="Times New Roman" w:eastAsia="Calibri" w:hAnsi="Times New Roman" w:cs="Times New Roman"/>
        </w:rPr>
        <w:t>If there was a simple 8% increase effective on January 1, the threshold test would not be triggered as this does not exceed the 10% threshold.</w:t>
      </w:r>
      <w:r w:rsidR="006001A4" w:rsidRPr="006001A4">
        <w:rPr>
          <w:rFonts w:ascii="Times New Roman" w:hAnsi="Times New Roman"/>
        </w:rPr>
        <w:t xml:space="preserve"> </w:t>
      </w:r>
    </w:p>
    <w:p w:rsidR="00AF79BA" w:rsidRDefault="006001A4" w:rsidP="006001A4">
      <w:pPr>
        <w:autoSpaceDE w:val="0"/>
        <w:autoSpaceDN w:val="0"/>
        <w:rPr>
          <w:rFonts w:ascii="Times New Roman" w:hAnsi="Times New Roman"/>
          <w:i/>
        </w:rPr>
      </w:pPr>
      <w:r w:rsidRPr="006D2044">
        <w:rPr>
          <w:rFonts w:ascii="Times New Roman" w:hAnsi="Times New Roman"/>
          <w:i/>
        </w:rPr>
        <w:t>There were no comments on this simple one time cliff increase.</w:t>
      </w:r>
    </w:p>
    <w:p w:rsidR="00080B34" w:rsidRPr="006D2044" w:rsidRDefault="00080B34" w:rsidP="006001A4">
      <w:pPr>
        <w:autoSpaceDE w:val="0"/>
        <w:autoSpaceDN w:val="0"/>
        <w:rPr>
          <w:rFonts w:ascii="Times New Roman" w:hAnsi="Times New Roman"/>
          <w:i/>
        </w:rPr>
      </w:pPr>
    </w:p>
    <w:p w:rsidR="00AF79BA" w:rsidRDefault="00AF79BA" w:rsidP="00AF79BA">
      <w:pPr>
        <w:numPr>
          <w:ilvl w:val="0"/>
          <w:numId w:val="1"/>
        </w:numPr>
        <w:autoSpaceDE w:val="0"/>
        <w:autoSpaceDN w:val="0"/>
        <w:rPr>
          <w:rFonts w:ascii="Times New Roman" w:hAnsi="Times New Roman"/>
        </w:rPr>
      </w:pPr>
      <w:r w:rsidRPr="009E0C36">
        <w:rPr>
          <w:rFonts w:ascii="Times New Roman" w:eastAsia="Calibri" w:hAnsi="Times New Roman" w:cs="Times New Roman"/>
        </w:rPr>
        <w:t>If there were already a simple 8% increase effective January 1, and there was a compound 4% increase effective July 1 added to the same product, then, using the annual window and the point of reference of the effective date of the 8% increase January, 1 the average compound increase for one year would be 10.16% which exceeds the 10% threshold and makes the increase subject to review.</w:t>
      </w:r>
    </w:p>
    <w:p w:rsidR="006001A4" w:rsidRPr="00080B34" w:rsidRDefault="006001A4" w:rsidP="006001A4">
      <w:pPr>
        <w:autoSpaceDE w:val="0"/>
        <w:autoSpaceDN w:val="0"/>
        <w:rPr>
          <w:rFonts w:ascii="Times New Roman" w:hAnsi="Times New Roman"/>
          <w:i/>
        </w:rPr>
      </w:pPr>
      <w:r w:rsidRPr="006D2044">
        <w:rPr>
          <w:rFonts w:ascii="Times New Roman" w:hAnsi="Times New Roman"/>
          <w:i/>
        </w:rPr>
        <w:t>Aetna commented on this example by summing the 8% and the 4%.  Th</w:t>
      </w:r>
      <w:r w:rsidR="006D2044">
        <w:rPr>
          <w:rFonts w:ascii="Times New Roman" w:hAnsi="Times New Roman"/>
          <w:i/>
        </w:rPr>
        <w:t>eir suggested</w:t>
      </w:r>
      <w:r w:rsidRPr="006D2044">
        <w:rPr>
          <w:rFonts w:ascii="Times New Roman" w:hAnsi="Times New Roman"/>
          <w:i/>
        </w:rPr>
        <w:t xml:space="preserve"> approach is incorrect</w:t>
      </w:r>
      <w:r w:rsidRPr="00080B34">
        <w:rPr>
          <w:rFonts w:ascii="Times New Roman" w:hAnsi="Times New Roman"/>
          <w:i/>
        </w:rPr>
        <w:t>.  The average increase is actually examined from the point of reference of the first increase date as follows:</w:t>
      </w:r>
    </w:p>
    <w:p w:rsidR="006001A4" w:rsidRPr="00080B34" w:rsidRDefault="006001A4" w:rsidP="006001A4">
      <w:pPr>
        <w:autoSpaceDE w:val="0"/>
        <w:autoSpaceDN w:val="0"/>
        <w:rPr>
          <w:rFonts w:ascii="Times New Roman" w:hAnsi="Times New Roman"/>
          <w:i/>
        </w:rPr>
      </w:pPr>
      <w:r w:rsidRPr="00080B34">
        <w:rPr>
          <w:rFonts w:ascii="Times New Roman" w:hAnsi="Times New Roman"/>
          <w:i/>
        </w:rPr>
        <w:t>In the case of one time increases.</w:t>
      </w:r>
    </w:p>
    <w:p w:rsidR="006001A4" w:rsidRDefault="006001A4" w:rsidP="006001A4">
      <w:pPr>
        <w:autoSpaceDE w:val="0"/>
        <w:autoSpaceDN w:val="0"/>
        <w:rPr>
          <w:rFonts w:ascii="Times New Roman" w:hAnsi="Times New Roman"/>
        </w:rPr>
      </w:pPr>
      <w:r>
        <w:rPr>
          <w:rFonts w:ascii="Times New Roman" w:hAnsi="Times New Roman"/>
        </w:rPr>
        <w:t xml:space="preserve">{ [ (6 x $108) + (6 x $112.32) ] / (12 x $100)  } - 1 = { $1,321.92 / $ 1,200 } - 1 =  </w:t>
      </w:r>
      <w:r w:rsidRPr="006001A4">
        <w:rPr>
          <w:rFonts w:ascii="Times New Roman" w:hAnsi="Times New Roman"/>
          <w:b/>
        </w:rPr>
        <w:t>10.16%</w:t>
      </w:r>
    </w:p>
    <w:p w:rsidR="006001A4" w:rsidRPr="006D2044" w:rsidRDefault="006001A4" w:rsidP="006001A4">
      <w:pPr>
        <w:autoSpaceDE w:val="0"/>
        <w:autoSpaceDN w:val="0"/>
        <w:rPr>
          <w:rFonts w:ascii="Times New Roman" w:hAnsi="Times New Roman"/>
          <w:i/>
        </w:rPr>
      </w:pPr>
      <w:r w:rsidRPr="006D2044">
        <w:rPr>
          <w:rFonts w:ascii="Times New Roman" w:hAnsi="Times New Roman"/>
          <w:i/>
        </w:rPr>
        <w:t xml:space="preserve">Since this fails the threshold test the 4% increase </w:t>
      </w:r>
      <w:r w:rsidR="006D2044" w:rsidRPr="006D2044">
        <w:rPr>
          <w:rFonts w:ascii="Times New Roman" w:hAnsi="Times New Roman"/>
          <w:i/>
        </w:rPr>
        <w:t xml:space="preserve">which triggers the threshold </w:t>
      </w:r>
      <w:r w:rsidRPr="006D2044">
        <w:rPr>
          <w:rFonts w:ascii="Times New Roman" w:hAnsi="Times New Roman"/>
          <w:i/>
        </w:rPr>
        <w:t xml:space="preserve">would be </w:t>
      </w:r>
      <w:r w:rsidR="006D2044" w:rsidRPr="006D2044">
        <w:rPr>
          <w:rFonts w:ascii="Times New Roman" w:hAnsi="Times New Roman"/>
          <w:i/>
        </w:rPr>
        <w:t xml:space="preserve">become </w:t>
      </w:r>
      <w:r w:rsidRPr="006D2044">
        <w:rPr>
          <w:rFonts w:ascii="Times New Roman" w:hAnsi="Times New Roman"/>
          <w:i/>
        </w:rPr>
        <w:t>subject to review.</w:t>
      </w:r>
    </w:p>
    <w:p w:rsidR="006001A4" w:rsidRPr="006D2044" w:rsidRDefault="006001A4" w:rsidP="006001A4">
      <w:pPr>
        <w:autoSpaceDE w:val="0"/>
        <w:autoSpaceDN w:val="0"/>
        <w:rPr>
          <w:rFonts w:ascii="Times New Roman" w:hAnsi="Times New Roman"/>
          <w:i/>
        </w:rPr>
      </w:pPr>
      <w:r w:rsidRPr="006D2044">
        <w:rPr>
          <w:rFonts w:ascii="Times New Roman" w:hAnsi="Times New Roman"/>
          <w:i/>
        </w:rPr>
        <w:t>The second part of the test is done as follows:</w:t>
      </w:r>
    </w:p>
    <w:p w:rsidR="006001A4" w:rsidRPr="006D2044" w:rsidRDefault="006001A4" w:rsidP="006001A4">
      <w:pPr>
        <w:autoSpaceDE w:val="0"/>
        <w:autoSpaceDN w:val="0"/>
        <w:rPr>
          <w:rFonts w:ascii="Times New Roman" w:hAnsi="Times New Roman"/>
          <w:i/>
        </w:rPr>
      </w:pPr>
      <w:r>
        <w:rPr>
          <w:rFonts w:ascii="Times New Roman" w:hAnsi="Times New Roman"/>
        </w:rPr>
        <w:t>{ (12 x $112.32)  / [ (6 x $100) + (6 x $108)] } - 1 = { $1,347.84 / $ 1,248 } - 1 =  8.00%</w:t>
      </w:r>
      <w:r w:rsidR="006D2044">
        <w:rPr>
          <w:rFonts w:ascii="Times New Roman" w:hAnsi="Times New Roman"/>
        </w:rPr>
        <w:t xml:space="preserve">, </w:t>
      </w:r>
      <w:r w:rsidR="006D2044" w:rsidRPr="006D2044">
        <w:rPr>
          <w:rFonts w:ascii="Times New Roman" w:hAnsi="Times New Roman"/>
          <w:i/>
        </w:rPr>
        <w:t xml:space="preserve">which passes the test. </w:t>
      </w:r>
    </w:p>
    <w:p w:rsidR="006D2044" w:rsidRPr="006D2044" w:rsidRDefault="006D2044" w:rsidP="006001A4">
      <w:pPr>
        <w:autoSpaceDE w:val="0"/>
        <w:autoSpaceDN w:val="0"/>
        <w:rPr>
          <w:rFonts w:ascii="Times New Roman" w:hAnsi="Times New Roman"/>
          <w:i/>
        </w:rPr>
      </w:pPr>
      <w:r w:rsidRPr="006D2044">
        <w:rPr>
          <w:rFonts w:ascii="Times New Roman" w:hAnsi="Times New Roman"/>
          <w:i/>
        </w:rPr>
        <w:t>This example shows that the cumulative effect in the case of multiple increase within one year can cause an average increase that exceeds the threshold.</w:t>
      </w:r>
    </w:p>
    <w:p w:rsidR="006001A4" w:rsidRDefault="006001A4" w:rsidP="006001A4">
      <w:pPr>
        <w:autoSpaceDE w:val="0"/>
        <w:autoSpaceDN w:val="0"/>
        <w:rPr>
          <w:rFonts w:ascii="Times New Roman" w:hAnsi="Times New Roman"/>
          <w:i/>
        </w:rPr>
      </w:pPr>
      <w:r w:rsidRPr="006D2044">
        <w:rPr>
          <w:rFonts w:ascii="Times New Roman" w:hAnsi="Times New Roman"/>
          <w:i/>
        </w:rPr>
        <w:t>(See the range named PRINT8 for this example</w:t>
      </w:r>
      <w:r w:rsidR="006D2044" w:rsidRPr="006D2044">
        <w:rPr>
          <w:rFonts w:ascii="Times New Roman" w:hAnsi="Times New Roman"/>
          <w:i/>
        </w:rPr>
        <w:t xml:space="preserve"> in the spreadsheet</w:t>
      </w:r>
      <w:r w:rsidRPr="006D2044">
        <w:rPr>
          <w:rFonts w:ascii="Times New Roman" w:hAnsi="Times New Roman"/>
          <w:i/>
        </w:rPr>
        <w:t>)</w:t>
      </w:r>
      <w:r w:rsidR="006D2044" w:rsidRPr="006D2044">
        <w:rPr>
          <w:rFonts w:ascii="Times New Roman" w:hAnsi="Times New Roman"/>
          <w:i/>
        </w:rPr>
        <w:t>.</w:t>
      </w:r>
    </w:p>
    <w:p w:rsidR="00080B34" w:rsidRDefault="00080B34" w:rsidP="006001A4">
      <w:pPr>
        <w:autoSpaceDE w:val="0"/>
        <w:autoSpaceDN w:val="0"/>
        <w:rPr>
          <w:rFonts w:ascii="Times New Roman" w:hAnsi="Times New Roman"/>
        </w:rPr>
      </w:pPr>
    </w:p>
    <w:p w:rsidR="006D2044" w:rsidRPr="009E0C36" w:rsidRDefault="006D2044" w:rsidP="006001A4">
      <w:pPr>
        <w:autoSpaceDE w:val="0"/>
        <w:autoSpaceDN w:val="0"/>
        <w:rPr>
          <w:rFonts w:ascii="Times New Roman" w:eastAsia="Calibri" w:hAnsi="Times New Roman" w:cs="Times New Roman"/>
        </w:rPr>
      </w:pPr>
    </w:p>
    <w:p w:rsidR="00AF79BA" w:rsidRPr="009E0C36" w:rsidRDefault="00AF79BA" w:rsidP="00AF79BA">
      <w:pPr>
        <w:numPr>
          <w:ilvl w:val="0"/>
          <w:numId w:val="1"/>
        </w:numPr>
        <w:autoSpaceDE w:val="0"/>
        <w:autoSpaceDN w:val="0"/>
        <w:rPr>
          <w:rFonts w:ascii="Times New Roman" w:eastAsia="Calibri" w:hAnsi="Times New Roman" w:cs="Times New Roman"/>
        </w:rPr>
      </w:pPr>
      <w:r w:rsidRPr="009E0C36">
        <w:rPr>
          <w:rFonts w:ascii="Times New Roman" w:eastAsia="Calibri" w:hAnsi="Times New Roman" w:cs="Times New Roman"/>
        </w:rPr>
        <w:lastRenderedPageBreak/>
        <w:t>If there was a 6% increase implemented semi-annually beginning January 1, the first 6% increase would not trigger the 10% threshold in and of itself.  The second semi-annual increase when combined with the 6% increase would result in a combined 9.18% average annual increase and also not trigger the threshold from the point of reference of the effective date of the first increase.  However, the second increase when combined with the first would exceed the threshold since it would comprise a 12.36% annual increase at the point of reference of the second increase.</w:t>
      </w:r>
    </w:p>
    <w:p w:rsidR="006D2044" w:rsidRPr="006D2044" w:rsidRDefault="006D2044" w:rsidP="006D2044">
      <w:pPr>
        <w:autoSpaceDE w:val="0"/>
        <w:autoSpaceDN w:val="0"/>
        <w:rPr>
          <w:rFonts w:ascii="Times New Roman" w:hAnsi="Times New Roman"/>
          <w:i/>
        </w:rPr>
      </w:pPr>
      <w:r w:rsidRPr="006D2044">
        <w:rPr>
          <w:rFonts w:ascii="Times New Roman" w:hAnsi="Times New Roman"/>
          <w:i/>
        </w:rPr>
        <w:t>There were several comments suggest so-called prospective and retrospective methods.  The average increase is actually examined from the point of reference of the first increase date as follows:</w:t>
      </w:r>
    </w:p>
    <w:p w:rsidR="006D2044" w:rsidRPr="000E21D2" w:rsidRDefault="006D2044" w:rsidP="00AF79BA">
      <w:pPr>
        <w:autoSpaceDE w:val="0"/>
        <w:autoSpaceDN w:val="0"/>
        <w:adjustRightInd w:val="0"/>
        <w:rPr>
          <w:rFonts w:ascii="Times New Roman" w:hAnsi="Times New Roman"/>
          <w:i/>
        </w:rPr>
      </w:pPr>
      <w:r w:rsidRPr="000E21D2">
        <w:rPr>
          <w:rFonts w:ascii="Times New Roman" w:hAnsi="Times New Roman"/>
          <w:i/>
        </w:rPr>
        <w:t>The initial increase of 6% results in an average increase of 6% as follows:</w:t>
      </w:r>
    </w:p>
    <w:p w:rsidR="006D2044" w:rsidRPr="000E21D2" w:rsidRDefault="006D2044" w:rsidP="00AF79BA">
      <w:pPr>
        <w:autoSpaceDE w:val="0"/>
        <w:autoSpaceDN w:val="0"/>
        <w:adjustRightInd w:val="0"/>
        <w:rPr>
          <w:rFonts w:ascii="Times New Roman" w:hAnsi="Times New Roman"/>
          <w:i/>
        </w:rPr>
      </w:pPr>
      <w:r>
        <w:rPr>
          <w:rFonts w:ascii="Times New Roman" w:hAnsi="Times New Roman"/>
        </w:rPr>
        <w:t>[</w:t>
      </w:r>
      <w:r w:rsidR="000E21D2">
        <w:rPr>
          <w:rFonts w:ascii="Times New Roman" w:hAnsi="Times New Roman"/>
        </w:rPr>
        <w:t xml:space="preserve"> </w:t>
      </w:r>
      <w:r>
        <w:rPr>
          <w:rFonts w:ascii="Times New Roman" w:hAnsi="Times New Roman"/>
        </w:rPr>
        <w:t>(</w:t>
      </w:r>
      <w:r w:rsidR="000E21D2">
        <w:rPr>
          <w:rFonts w:ascii="Times New Roman" w:hAnsi="Times New Roman"/>
        </w:rPr>
        <w:t xml:space="preserve"> </w:t>
      </w:r>
      <w:r>
        <w:rPr>
          <w:rFonts w:ascii="Times New Roman" w:hAnsi="Times New Roman"/>
        </w:rPr>
        <w:t>12 x $106</w:t>
      </w:r>
      <w:r w:rsidR="000E21D2">
        <w:rPr>
          <w:rFonts w:ascii="Times New Roman" w:hAnsi="Times New Roman"/>
        </w:rPr>
        <w:t xml:space="preserve"> </w:t>
      </w:r>
      <w:r>
        <w:rPr>
          <w:rFonts w:ascii="Times New Roman" w:hAnsi="Times New Roman"/>
        </w:rPr>
        <w:t xml:space="preserve">) / (12 x $100) ] -1 =  6.00%   </w:t>
      </w:r>
      <w:r w:rsidR="000E21D2" w:rsidRPr="000E21D2">
        <w:rPr>
          <w:rFonts w:ascii="Times New Roman" w:hAnsi="Times New Roman"/>
          <w:i/>
        </w:rPr>
        <w:t>Thus</w:t>
      </w:r>
      <w:r w:rsidRPr="000E21D2">
        <w:rPr>
          <w:rFonts w:ascii="Times New Roman" w:hAnsi="Times New Roman"/>
          <w:i/>
        </w:rPr>
        <w:t>, at the time the initial increase is filed</w:t>
      </w:r>
      <w:r w:rsidR="000E21D2" w:rsidRPr="000E21D2">
        <w:rPr>
          <w:rFonts w:ascii="Times New Roman" w:hAnsi="Times New Roman"/>
          <w:i/>
        </w:rPr>
        <w:t xml:space="preserve"> the threshold test is passed.</w:t>
      </w:r>
    </w:p>
    <w:p w:rsidR="000E21D2" w:rsidRPr="000E21D2" w:rsidRDefault="000E21D2" w:rsidP="00AF79BA">
      <w:pPr>
        <w:autoSpaceDE w:val="0"/>
        <w:autoSpaceDN w:val="0"/>
        <w:adjustRightInd w:val="0"/>
        <w:rPr>
          <w:rFonts w:ascii="Times New Roman" w:hAnsi="Times New Roman"/>
          <w:i/>
        </w:rPr>
      </w:pPr>
      <w:r w:rsidRPr="000E21D2">
        <w:rPr>
          <w:rFonts w:ascii="Times New Roman" w:hAnsi="Times New Roman"/>
          <w:i/>
        </w:rPr>
        <w:t>The second</w:t>
      </w:r>
      <w:r>
        <w:rPr>
          <w:rFonts w:ascii="Times New Roman" w:hAnsi="Times New Roman"/>
          <w:i/>
        </w:rPr>
        <w:t xml:space="preserve"> one time </w:t>
      </w:r>
      <w:r w:rsidRPr="000E21D2">
        <w:rPr>
          <w:rFonts w:ascii="Times New Roman" w:hAnsi="Times New Roman"/>
          <w:i/>
        </w:rPr>
        <w:t>increase</w:t>
      </w:r>
      <w:r>
        <w:rPr>
          <w:rFonts w:ascii="Times New Roman" w:hAnsi="Times New Roman"/>
          <w:i/>
        </w:rPr>
        <w:t xml:space="preserve"> results in the following</w:t>
      </w:r>
      <w:r w:rsidRPr="000E21D2">
        <w:rPr>
          <w:rFonts w:ascii="Times New Roman" w:hAnsi="Times New Roman"/>
          <w:i/>
        </w:rPr>
        <w:t>:</w:t>
      </w:r>
    </w:p>
    <w:p w:rsidR="000E21D2" w:rsidRPr="000E21D2" w:rsidRDefault="000E21D2" w:rsidP="00AF79BA">
      <w:pPr>
        <w:autoSpaceDE w:val="0"/>
        <w:autoSpaceDN w:val="0"/>
        <w:adjustRightInd w:val="0"/>
        <w:rPr>
          <w:rFonts w:ascii="Times New Roman" w:hAnsi="Times New Roman"/>
          <w:i/>
        </w:rPr>
      </w:pPr>
      <w:r>
        <w:rPr>
          <w:rFonts w:ascii="Times New Roman" w:hAnsi="Times New Roman"/>
        </w:rPr>
        <w:t xml:space="preserve">{ [ ( 6 x $106)  +( 6 x $112.36 ) ] / ( 12 x $100) } -1 = { $1,310.16 / $1,200 } -1 = 9.18%, </w:t>
      </w:r>
      <w:r w:rsidRPr="000E21D2">
        <w:rPr>
          <w:rFonts w:ascii="Times New Roman" w:hAnsi="Times New Roman"/>
          <w:i/>
        </w:rPr>
        <w:t>from the point of reference of January, and</w:t>
      </w:r>
    </w:p>
    <w:p w:rsidR="000E21D2" w:rsidRDefault="000E21D2" w:rsidP="00AF79BA">
      <w:pPr>
        <w:autoSpaceDE w:val="0"/>
        <w:autoSpaceDN w:val="0"/>
        <w:adjustRightInd w:val="0"/>
        <w:rPr>
          <w:rFonts w:ascii="Times New Roman" w:hAnsi="Times New Roman"/>
          <w:i/>
        </w:rPr>
      </w:pPr>
      <w:r>
        <w:rPr>
          <w:rFonts w:ascii="Times New Roman" w:hAnsi="Times New Roman"/>
        </w:rPr>
        <w:t xml:space="preserve">{ ( 12 x $112.36) / [ ( 6 x $100) + ( 6 x $106)]  } -1 = { $1,348.32 / $1,236 } - 1 = 9.09% </w:t>
      </w:r>
      <w:r w:rsidRPr="000E21D2">
        <w:rPr>
          <w:rFonts w:ascii="Times New Roman" w:hAnsi="Times New Roman"/>
          <w:i/>
        </w:rPr>
        <w:t>from the point of reference of July.  Hence the threshold is not triggered.</w:t>
      </w:r>
    </w:p>
    <w:p w:rsidR="00080B34" w:rsidRDefault="00080B34" w:rsidP="00080B34">
      <w:pPr>
        <w:autoSpaceDE w:val="0"/>
        <w:autoSpaceDN w:val="0"/>
        <w:rPr>
          <w:rFonts w:ascii="Times New Roman" w:hAnsi="Times New Roman"/>
          <w:i/>
        </w:rPr>
      </w:pPr>
      <w:r w:rsidRPr="006D2044">
        <w:rPr>
          <w:rFonts w:ascii="Times New Roman" w:hAnsi="Times New Roman"/>
          <w:i/>
        </w:rPr>
        <w:t>(See the range</w:t>
      </w:r>
      <w:r>
        <w:rPr>
          <w:rFonts w:ascii="Times New Roman" w:hAnsi="Times New Roman"/>
          <w:i/>
        </w:rPr>
        <w:t>s</w:t>
      </w:r>
      <w:r w:rsidRPr="006D2044">
        <w:rPr>
          <w:rFonts w:ascii="Times New Roman" w:hAnsi="Times New Roman"/>
          <w:i/>
        </w:rPr>
        <w:t xml:space="preserve"> named PRINT</w:t>
      </w:r>
      <w:r>
        <w:rPr>
          <w:rFonts w:ascii="Times New Roman" w:hAnsi="Times New Roman"/>
          <w:i/>
        </w:rPr>
        <w:t>1, PRINT2, and PRINT3,</w:t>
      </w:r>
      <w:r w:rsidRPr="006D2044">
        <w:rPr>
          <w:rFonts w:ascii="Times New Roman" w:hAnsi="Times New Roman"/>
          <w:i/>
        </w:rPr>
        <w:t xml:space="preserve"> for this </w:t>
      </w:r>
      <w:r>
        <w:rPr>
          <w:rFonts w:ascii="Times New Roman" w:hAnsi="Times New Roman"/>
          <w:i/>
        </w:rPr>
        <w:t>case scenario</w:t>
      </w:r>
      <w:r w:rsidRPr="006D2044">
        <w:rPr>
          <w:rFonts w:ascii="Times New Roman" w:hAnsi="Times New Roman"/>
          <w:i/>
        </w:rPr>
        <w:t xml:space="preserve"> in the spreadsheet).</w:t>
      </w:r>
    </w:p>
    <w:p w:rsidR="00080B34" w:rsidRDefault="00080B34" w:rsidP="00080B34">
      <w:pPr>
        <w:autoSpaceDE w:val="0"/>
        <w:autoSpaceDN w:val="0"/>
        <w:rPr>
          <w:rFonts w:ascii="Times New Roman" w:hAnsi="Times New Roman"/>
        </w:rPr>
      </w:pPr>
    </w:p>
    <w:p w:rsidR="00080B34" w:rsidRDefault="00080B34" w:rsidP="00080B34">
      <w:pPr>
        <w:autoSpaceDE w:val="0"/>
        <w:autoSpaceDN w:val="0"/>
        <w:rPr>
          <w:rFonts w:ascii="Times New Roman" w:hAnsi="Times New Roman"/>
        </w:rPr>
      </w:pPr>
      <w:r>
        <w:rPr>
          <w:rFonts w:ascii="Times New Roman" w:hAnsi="Times New Roman"/>
        </w:rPr>
        <w:t>The example continues with:</w:t>
      </w:r>
    </w:p>
    <w:p w:rsidR="00AF79BA" w:rsidRPr="009E0C36" w:rsidRDefault="00AF79BA" w:rsidP="00AF79BA">
      <w:pPr>
        <w:autoSpaceDE w:val="0"/>
        <w:autoSpaceDN w:val="0"/>
        <w:adjustRightInd w:val="0"/>
        <w:rPr>
          <w:rFonts w:ascii="Times New Roman" w:eastAsia="Calibri" w:hAnsi="Times New Roman" w:cs="Times New Roman"/>
        </w:rPr>
      </w:pPr>
      <w:r w:rsidRPr="009E0C36">
        <w:rPr>
          <w:rFonts w:ascii="Times New Roman" w:eastAsia="Calibri" w:hAnsi="Times New Roman" w:cs="Times New Roman"/>
        </w:rPr>
        <w:t xml:space="preserve">In the case of rolling m-thly periodic increases, each cumulative increase would be examined from within the one year window period measured from the effective date of each increase.  Thus, in the case of quarterly increases implemented upon renewal effective January 1, and quarterly thereafter.  Each quarter the combined four quarter increase spanning that annual period would be tested against the 10% threshold.  If the average increase exceeds the threshold then the combined increase would trigger reporting, if it does not exceed the threshold increase it would not be subject to review.  </w:t>
      </w:r>
    </w:p>
    <w:p w:rsidR="00080B34" w:rsidRDefault="00080B34" w:rsidP="00080B34">
      <w:pPr>
        <w:autoSpaceDE w:val="0"/>
        <w:autoSpaceDN w:val="0"/>
        <w:adjustRightInd w:val="0"/>
        <w:rPr>
          <w:rFonts w:ascii="Times New Roman" w:hAnsi="Times New Roman"/>
          <w:i/>
        </w:rPr>
      </w:pPr>
      <w:r>
        <w:rPr>
          <w:rFonts w:ascii="Times New Roman" w:hAnsi="Times New Roman"/>
          <w:i/>
        </w:rPr>
        <w:t>In the case of regular periodic increases semiannually the result triggers the threshold as follows:</w:t>
      </w:r>
    </w:p>
    <w:p w:rsidR="00080B34" w:rsidRPr="000E21D2" w:rsidRDefault="00080B34" w:rsidP="00080B34">
      <w:pPr>
        <w:autoSpaceDE w:val="0"/>
        <w:autoSpaceDN w:val="0"/>
        <w:adjustRightInd w:val="0"/>
        <w:rPr>
          <w:rFonts w:ascii="Times New Roman" w:hAnsi="Times New Roman"/>
        </w:rPr>
      </w:pPr>
      <w:r>
        <w:rPr>
          <w:rFonts w:ascii="Times New Roman" w:hAnsi="Times New Roman"/>
        </w:rPr>
        <w:t>{(Initial Premium) x [ ( 1.06</w:t>
      </w:r>
      <w:r w:rsidRPr="000E21D2">
        <w:rPr>
          <w:rFonts w:ascii="Times New Roman" w:hAnsi="Times New Roman"/>
          <w:vertAlign w:val="superscript"/>
        </w:rPr>
        <w:t>2</w:t>
      </w:r>
      <w:r>
        <w:rPr>
          <w:rFonts w:ascii="Times New Roman" w:hAnsi="Times New Roman"/>
        </w:rPr>
        <w:t xml:space="preserve"> ) + (1.06</w:t>
      </w:r>
      <w:r w:rsidRPr="000E21D2">
        <w:rPr>
          <w:rFonts w:ascii="Times New Roman" w:hAnsi="Times New Roman"/>
          <w:vertAlign w:val="superscript"/>
        </w:rPr>
        <w:t>3</w:t>
      </w:r>
      <w:r>
        <w:rPr>
          <w:rFonts w:ascii="Times New Roman" w:hAnsi="Times New Roman"/>
        </w:rPr>
        <w:t xml:space="preserve"> )] } / { (Initial Premium) x [ ( 1.06 ) + (1 )] = 12.36</w:t>
      </w:r>
    </w:p>
    <w:p w:rsidR="00080B34" w:rsidRDefault="00080B34" w:rsidP="00080B34">
      <w:pPr>
        <w:autoSpaceDE w:val="0"/>
        <w:autoSpaceDN w:val="0"/>
        <w:rPr>
          <w:rFonts w:ascii="Times New Roman" w:hAnsi="Times New Roman"/>
          <w:i/>
        </w:rPr>
      </w:pPr>
      <w:r w:rsidRPr="006D2044">
        <w:rPr>
          <w:rFonts w:ascii="Times New Roman" w:hAnsi="Times New Roman"/>
          <w:i/>
        </w:rPr>
        <w:t xml:space="preserve">(See the range named </w:t>
      </w:r>
      <w:r>
        <w:rPr>
          <w:rFonts w:ascii="Times New Roman" w:hAnsi="Times New Roman"/>
          <w:i/>
        </w:rPr>
        <w:t>PRINT3,</w:t>
      </w:r>
      <w:r w:rsidRPr="006D2044">
        <w:rPr>
          <w:rFonts w:ascii="Times New Roman" w:hAnsi="Times New Roman"/>
          <w:i/>
        </w:rPr>
        <w:t xml:space="preserve"> for this </w:t>
      </w:r>
      <w:r>
        <w:rPr>
          <w:rFonts w:ascii="Times New Roman" w:hAnsi="Times New Roman"/>
          <w:i/>
        </w:rPr>
        <w:t>case scenario</w:t>
      </w:r>
      <w:r w:rsidRPr="006D2044">
        <w:rPr>
          <w:rFonts w:ascii="Times New Roman" w:hAnsi="Times New Roman"/>
          <w:i/>
        </w:rPr>
        <w:t xml:space="preserve"> in the spreadsheet).</w:t>
      </w:r>
    </w:p>
    <w:p w:rsidR="00080B34" w:rsidRDefault="00080B34" w:rsidP="00080B34">
      <w:pPr>
        <w:autoSpaceDE w:val="0"/>
        <w:autoSpaceDN w:val="0"/>
        <w:rPr>
          <w:rFonts w:ascii="Times New Roman" w:hAnsi="Times New Roman"/>
          <w:i/>
        </w:rPr>
      </w:pPr>
    </w:p>
    <w:p w:rsidR="00080B34" w:rsidRDefault="00080B34" w:rsidP="00080B34">
      <w:pPr>
        <w:autoSpaceDE w:val="0"/>
        <w:autoSpaceDN w:val="0"/>
        <w:rPr>
          <w:rFonts w:ascii="Times New Roman" w:hAnsi="Times New Roman"/>
        </w:rPr>
      </w:pPr>
      <w:r>
        <w:rPr>
          <w:rFonts w:ascii="Times New Roman" w:hAnsi="Times New Roman"/>
        </w:rPr>
        <w:t xml:space="preserve">The example further states:         </w:t>
      </w:r>
    </w:p>
    <w:p w:rsidR="00080B34" w:rsidRDefault="00080B34" w:rsidP="00080B34">
      <w:pPr>
        <w:autoSpaceDE w:val="0"/>
        <w:autoSpaceDN w:val="0"/>
        <w:adjustRightInd w:val="0"/>
        <w:rPr>
          <w:rFonts w:ascii="Times New Roman" w:hAnsi="Times New Roman"/>
        </w:rPr>
      </w:pPr>
      <w:r w:rsidRPr="009E0C36">
        <w:rPr>
          <w:rFonts w:ascii="Times New Roman" w:eastAsia="Calibri" w:hAnsi="Times New Roman" w:cs="Times New Roman"/>
        </w:rPr>
        <w:t>Thus, a 2.2% compounded quarterly increase</w:t>
      </w:r>
      <w:r>
        <w:rPr>
          <w:rFonts w:ascii="Times New Roman" w:eastAsia="Calibri" w:hAnsi="Times New Roman" w:cs="Times New Roman"/>
        </w:rPr>
        <w:t xml:space="preserve"> would not exceed the threshold</w:t>
      </w:r>
      <w:r w:rsidRPr="009E0C36">
        <w:rPr>
          <w:rFonts w:ascii="Times New Roman" w:eastAsia="Calibri" w:hAnsi="Times New Roman" w:cs="Times New Roman"/>
        </w:rPr>
        <w:t>, but a similar 3% quarterly increase would exceed the threshold using the frame of reference of the fourth such quarterly increase.</w:t>
      </w:r>
    </w:p>
    <w:p w:rsidR="002460C5" w:rsidRPr="002460C5" w:rsidRDefault="002460C5" w:rsidP="00080B34">
      <w:pPr>
        <w:autoSpaceDE w:val="0"/>
        <w:autoSpaceDN w:val="0"/>
        <w:adjustRightInd w:val="0"/>
        <w:rPr>
          <w:rFonts w:ascii="Times New Roman" w:hAnsi="Times New Roman"/>
          <w:i/>
        </w:rPr>
      </w:pPr>
      <w:r w:rsidRPr="002460C5">
        <w:rPr>
          <w:rFonts w:ascii="Times New Roman" w:hAnsi="Times New Roman"/>
          <w:i/>
        </w:rPr>
        <w:lastRenderedPageBreak/>
        <w:t>The calculation</w:t>
      </w:r>
      <w:r>
        <w:rPr>
          <w:rFonts w:ascii="Times New Roman" w:hAnsi="Times New Roman"/>
          <w:i/>
        </w:rPr>
        <w:t>s are</w:t>
      </w:r>
      <w:r w:rsidRPr="002460C5">
        <w:rPr>
          <w:rFonts w:ascii="Times New Roman" w:hAnsi="Times New Roman"/>
          <w:i/>
        </w:rPr>
        <w:t xml:space="preserve"> as follows:</w:t>
      </w:r>
    </w:p>
    <w:p w:rsidR="00080B34" w:rsidRDefault="00080B34" w:rsidP="00080B34">
      <w:pPr>
        <w:autoSpaceDE w:val="0"/>
        <w:autoSpaceDN w:val="0"/>
        <w:adjustRightInd w:val="0"/>
        <w:rPr>
          <w:rFonts w:ascii="Times New Roman" w:hAnsi="Times New Roman"/>
        </w:rPr>
      </w:pPr>
      <w:r>
        <w:rPr>
          <w:rFonts w:ascii="Times New Roman" w:hAnsi="Times New Roman"/>
        </w:rPr>
        <w:t>{ (</w:t>
      </w:r>
      <w:r w:rsidRPr="00080B34">
        <w:rPr>
          <w:rFonts w:ascii="Times New Roman" w:hAnsi="Times New Roman"/>
        </w:rPr>
        <w:t xml:space="preserve"> </w:t>
      </w:r>
      <w:r>
        <w:rPr>
          <w:rFonts w:ascii="Times New Roman" w:hAnsi="Times New Roman"/>
        </w:rPr>
        <w:t>Initial Premium ) x [ ( 1.022</w:t>
      </w:r>
      <w:r>
        <w:rPr>
          <w:rFonts w:ascii="Times New Roman" w:hAnsi="Times New Roman"/>
          <w:vertAlign w:val="superscript"/>
        </w:rPr>
        <w:t>7</w:t>
      </w:r>
      <w:r>
        <w:rPr>
          <w:rFonts w:ascii="Times New Roman" w:hAnsi="Times New Roman"/>
        </w:rPr>
        <w:t xml:space="preserve"> ) + (1.022</w:t>
      </w:r>
      <w:r>
        <w:rPr>
          <w:rFonts w:ascii="Times New Roman" w:hAnsi="Times New Roman"/>
          <w:vertAlign w:val="superscript"/>
        </w:rPr>
        <w:t>6</w:t>
      </w:r>
      <w:r>
        <w:rPr>
          <w:rFonts w:ascii="Times New Roman" w:hAnsi="Times New Roman"/>
        </w:rPr>
        <w:t xml:space="preserve"> ) +  ( 1.022</w:t>
      </w:r>
      <w:r>
        <w:rPr>
          <w:rFonts w:ascii="Times New Roman" w:hAnsi="Times New Roman"/>
          <w:vertAlign w:val="superscript"/>
        </w:rPr>
        <w:t>5</w:t>
      </w:r>
      <w:r>
        <w:rPr>
          <w:rFonts w:ascii="Times New Roman" w:hAnsi="Times New Roman"/>
        </w:rPr>
        <w:t xml:space="preserve"> ) + (1.022</w:t>
      </w:r>
      <w:r w:rsidRPr="00080B34">
        <w:rPr>
          <w:rFonts w:ascii="Times New Roman" w:hAnsi="Times New Roman"/>
          <w:vertAlign w:val="superscript"/>
        </w:rPr>
        <w:t>4</w:t>
      </w:r>
      <w:r>
        <w:rPr>
          <w:rFonts w:ascii="Times New Roman" w:hAnsi="Times New Roman"/>
        </w:rPr>
        <w:t xml:space="preserve"> )] } / { (Initial Premium ) x [ ( 1.022</w:t>
      </w:r>
      <w:r>
        <w:rPr>
          <w:rFonts w:ascii="Times New Roman" w:hAnsi="Times New Roman"/>
          <w:vertAlign w:val="superscript"/>
        </w:rPr>
        <w:t xml:space="preserve">3 </w:t>
      </w:r>
      <w:r>
        <w:rPr>
          <w:rFonts w:ascii="Times New Roman" w:hAnsi="Times New Roman"/>
        </w:rPr>
        <w:t>) + (1.022</w:t>
      </w:r>
      <w:r>
        <w:rPr>
          <w:rFonts w:ascii="Times New Roman" w:hAnsi="Times New Roman"/>
          <w:vertAlign w:val="superscript"/>
        </w:rPr>
        <w:t>2</w:t>
      </w:r>
      <w:r>
        <w:rPr>
          <w:rFonts w:ascii="Times New Roman" w:hAnsi="Times New Roman"/>
        </w:rPr>
        <w:t xml:space="preserve"> ) +  ( 1.022 ) + (1 )] } - 1 = 9.09%</w:t>
      </w:r>
    </w:p>
    <w:p w:rsidR="002460C5" w:rsidRPr="002460C5" w:rsidRDefault="002460C5" w:rsidP="00080B34">
      <w:pPr>
        <w:autoSpaceDE w:val="0"/>
        <w:autoSpaceDN w:val="0"/>
        <w:adjustRightInd w:val="0"/>
        <w:rPr>
          <w:rFonts w:ascii="Times New Roman" w:hAnsi="Times New Roman"/>
          <w:i/>
        </w:rPr>
      </w:pPr>
      <w:r w:rsidRPr="002460C5">
        <w:rPr>
          <w:rFonts w:ascii="Times New Roman" w:hAnsi="Times New Roman"/>
          <w:i/>
        </w:rPr>
        <w:t xml:space="preserve">and, </w:t>
      </w:r>
    </w:p>
    <w:p w:rsidR="00080B34" w:rsidRDefault="00080B34" w:rsidP="00080B34">
      <w:pPr>
        <w:autoSpaceDE w:val="0"/>
        <w:autoSpaceDN w:val="0"/>
        <w:adjustRightInd w:val="0"/>
        <w:rPr>
          <w:rFonts w:ascii="Times New Roman" w:hAnsi="Times New Roman"/>
        </w:rPr>
      </w:pPr>
      <w:r>
        <w:rPr>
          <w:rFonts w:ascii="Times New Roman" w:hAnsi="Times New Roman"/>
        </w:rPr>
        <w:t>{ (</w:t>
      </w:r>
      <w:r w:rsidRPr="00080B34">
        <w:rPr>
          <w:rFonts w:ascii="Times New Roman" w:hAnsi="Times New Roman"/>
        </w:rPr>
        <w:t xml:space="preserve"> </w:t>
      </w:r>
      <w:r>
        <w:rPr>
          <w:rFonts w:ascii="Times New Roman" w:hAnsi="Times New Roman"/>
        </w:rPr>
        <w:t>Initial Premium ) x [ ( 1.03</w:t>
      </w:r>
      <w:r>
        <w:rPr>
          <w:rFonts w:ascii="Times New Roman" w:hAnsi="Times New Roman"/>
          <w:vertAlign w:val="superscript"/>
        </w:rPr>
        <w:t>7</w:t>
      </w:r>
      <w:r>
        <w:rPr>
          <w:rFonts w:ascii="Times New Roman" w:hAnsi="Times New Roman"/>
        </w:rPr>
        <w:t xml:space="preserve"> ) + (1.03</w:t>
      </w:r>
      <w:r>
        <w:rPr>
          <w:rFonts w:ascii="Times New Roman" w:hAnsi="Times New Roman"/>
          <w:vertAlign w:val="superscript"/>
        </w:rPr>
        <w:t>6</w:t>
      </w:r>
      <w:r>
        <w:rPr>
          <w:rFonts w:ascii="Times New Roman" w:hAnsi="Times New Roman"/>
        </w:rPr>
        <w:t xml:space="preserve"> ) +  ( 1.03</w:t>
      </w:r>
      <w:r>
        <w:rPr>
          <w:rFonts w:ascii="Times New Roman" w:hAnsi="Times New Roman"/>
          <w:vertAlign w:val="superscript"/>
        </w:rPr>
        <w:t>5</w:t>
      </w:r>
      <w:r>
        <w:rPr>
          <w:rFonts w:ascii="Times New Roman" w:hAnsi="Times New Roman"/>
        </w:rPr>
        <w:t xml:space="preserve"> ) + (1.03</w:t>
      </w:r>
      <w:r w:rsidRPr="00080B34">
        <w:rPr>
          <w:rFonts w:ascii="Times New Roman" w:hAnsi="Times New Roman"/>
          <w:vertAlign w:val="superscript"/>
        </w:rPr>
        <w:t>4</w:t>
      </w:r>
      <w:r>
        <w:rPr>
          <w:rFonts w:ascii="Times New Roman" w:hAnsi="Times New Roman"/>
        </w:rPr>
        <w:t xml:space="preserve"> )] } / { (Initial Premium ) x [ ( 1.03</w:t>
      </w:r>
      <w:r>
        <w:rPr>
          <w:rFonts w:ascii="Times New Roman" w:hAnsi="Times New Roman"/>
          <w:vertAlign w:val="superscript"/>
        </w:rPr>
        <w:t xml:space="preserve">3 </w:t>
      </w:r>
      <w:r>
        <w:rPr>
          <w:rFonts w:ascii="Times New Roman" w:hAnsi="Times New Roman"/>
        </w:rPr>
        <w:t>) + (1.03</w:t>
      </w:r>
      <w:r>
        <w:rPr>
          <w:rFonts w:ascii="Times New Roman" w:hAnsi="Times New Roman"/>
          <w:vertAlign w:val="superscript"/>
        </w:rPr>
        <w:t>2</w:t>
      </w:r>
      <w:r>
        <w:rPr>
          <w:rFonts w:ascii="Times New Roman" w:hAnsi="Times New Roman"/>
        </w:rPr>
        <w:t xml:space="preserve"> ) +  ( 1.03 ) + (1 )] } - 1 = </w:t>
      </w:r>
      <w:r w:rsidR="002460C5">
        <w:rPr>
          <w:rFonts w:ascii="Times New Roman" w:hAnsi="Times New Roman"/>
        </w:rPr>
        <w:t>12</w:t>
      </w:r>
      <w:r>
        <w:rPr>
          <w:rFonts w:ascii="Times New Roman" w:hAnsi="Times New Roman"/>
        </w:rPr>
        <w:t>.</w:t>
      </w:r>
      <w:r w:rsidR="002460C5">
        <w:rPr>
          <w:rFonts w:ascii="Times New Roman" w:hAnsi="Times New Roman"/>
        </w:rPr>
        <w:t>55</w:t>
      </w:r>
      <w:r>
        <w:rPr>
          <w:rFonts w:ascii="Times New Roman" w:hAnsi="Times New Roman"/>
        </w:rPr>
        <w:t>%</w:t>
      </w:r>
    </w:p>
    <w:p w:rsidR="002460C5" w:rsidRPr="002460C5" w:rsidRDefault="002460C5" w:rsidP="00080B34">
      <w:pPr>
        <w:autoSpaceDE w:val="0"/>
        <w:autoSpaceDN w:val="0"/>
        <w:adjustRightInd w:val="0"/>
        <w:rPr>
          <w:rFonts w:ascii="Times New Roman" w:eastAsia="Calibri" w:hAnsi="Times New Roman" w:cs="Times New Roman"/>
          <w:i/>
        </w:rPr>
      </w:pPr>
      <w:r w:rsidRPr="002460C5">
        <w:rPr>
          <w:rFonts w:ascii="Times New Roman" w:hAnsi="Times New Roman"/>
          <w:i/>
        </w:rPr>
        <w:t>respectively.</w:t>
      </w:r>
    </w:p>
    <w:p w:rsidR="00080B34" w:rsidRDefault="00080B34" w:rsidP="00080B34">
      <w:pPr>
        <w:autoSpaceDE w:val="0"/>
        <w:autoSpaceDN w:val="0"/>
        <w:rPr>
          <w:rFonts w:ascii="Times New Roman" w:hAnsi="Times New Roman"/>
          <w:i/>
        </w:rPr>
      </w:pPr>
      <w:r w:rsidRPr="006D2044">
        <w:rPr>
          <w:rFonts w:ascii="Times New Roman" w:hAnsi="Times New Roman"/>
          <w:i/>
        </w:rPr>
        <w:t>(See the range</w:t>
      </w:r>
      <w:r>
        <w:rPr>
          <w:rFonts w:ascii="Times New Roman" w:hAnsi="Times New Roman"/>
          <w:i/>
        </w:rPr>
        <w:t>s</w:t>
      </w:r>
      <w:r w:rsidRPr="006D2044">
        <w:rPr>
          <w:rFonts w:ascii="Times New Roman" w:hAnsi="Times New Roman"/>
          <w:i/>
        </w:rPr>
        <w:t xml:space="preserve"> named </w:t>
      </w:r>
      <w:r>
        <w:rPr>
          <w:rFonts w:ascii="Times New Roman" w:hAnsi="Times New Roman"/>
          <w:i/>
        </w:rPr>
        <w:t>PRINT10 and PRINT 11 respectively,</w:t>
      </w:r>
      <w:r w:rsidRPr="006D2044">
        <w:rPr>
          <w:rFonts w:ascii="Times New Roman" w:hAnsi="Times New Roman"/>
          <w:i/>
        </w:rPr>
        <w:t xml:space="preserve"> for th</w:t>
      </w:r>
      <w:r>
        <w:rPr>
          <w:rFonts w:ascii="Times New Roman" w:hAnsi="Times New Roman"/>
          <w:i/>
        </w:rPr>
        <w:t>ese</w:t>
      </w:r>
      <w:r w:rsidRPr="006D2044">
        <w:rPr>
          <w:rFonts w:ascii="Times New Roman" w:hAnsi="Times New Roman"/>
          <w:i/>
        </w:rPr>
        <w:t xml:space="preserve"> </w:t>
      </w:r>
      <w:r>
        <w:rPr>
          <w:rFonts w:ascii="Times New Roman" w:hAnsi="Times New Roman"/>
          <w:i/>
        </w:rPr>
        <w:t>case scenarios</w:t>
      </w:r>
      <w:r w:rsidRPr="006D2044">
        <w:rPr>
          <w:rFonts w:ascii="Times New Roman" w:hAnsi="Times New Roman"/>
          <w:i/>
        </w:rPr>
        <w:t xml:space="preserve"> in the spreadsheet</w:t>
      </w:r>
      <w:r w:rsidR="002460C5">
        <w:rPr>
          <w:rFonts w:ascii="Times New Roman" w:hAnsi="Times New Roman"/>
          <w:i/>
        </w:rPr>
        <w:t>.  Note that regardless of the value of the initial premium ($100 in the spreadsheet), the average increase is the same</w:t>
      </w:r>
      <w:r w:rsidRPr="006D2044">
        <w:rPr>
          <w:rFonts w:ascii="Times New Roman" w:hAnsi="Times New Roman"/>
          <w:i/>
        </w:rPr>
        <w:t>.</w:t>
      </w:r>
    </w:p>
    <w:p w:rsidR="002460C5" w:rsidRDefault="002460C5" w:rsidP="00080B34">
      <w:pPr>
        <w:autoSpaceDE w:val="0"/>
        <w:autoSpaceDN w:val="0"/>
        <w:rPr>
          <w:rFonts w:ascii="Times New Roman" w:hAnsi="Times New Roman"/>
          <w:i/>
        </w:rPr>
      </w:pPr>
      <w:r>
        <w:rPr>
          <w:rFonts w:ascii="Times New Roman" w:hAnsi="Times New Roman"/>
          <w:i/>
        </w:rPr>
        <w:t>The ranges named PRINT 12,PRINT15 and PRINT16, illustrate additional semi- annual, quarterly and monthly examples.)</w:t>
      </w:r>
    </w:p>
    <w:p w:rsidR="00B0560A" w:rsidRDefault="00B0560A" w:rsidP="00B0560A"/>
    <w:p w:rsidR="00B0560A" w:rsidRPr="00143F5A" w:rsidRDefault="00B0560A" w:rsidP="00B0560A">
      <w:pPr>
        <w:rPr>
          <w:i/>
        </w:rPr>
      </w:pPr>
      <w:r w:rsidRPr="00143F5A">
        <w:rPr>
          <w:i/>
        </w:rPr>
        <w:t xml:space="preserve">The BCBSA, and AHIP in their example C, raised a question as to how to treat two policies with different renewals in the same product.  In their example 4b (AHIP C), example 4 was expanded to include two polices.  The first policy with renewal in January experiences a 6% increase upon the renewal, then another 6% increase a year later upon the following January.  Whereas the second policy does not experience the first January increase in January but instead incurs a (1.06) x (1.06) increase in July upon its renewal.  </w:t>
      </w:r>
    </w:p>
    <w:p w:rsidR="00B0560A" w:rsidRPr="00143F5A" w:rsidRDefault="00B0560A" w:rsidP="00B0560A">
      <w:pPr>
        <w:rPr>
          <w:i/>
        </w:rPr>
      </w:pPr>
      <w:r w:rsidRPr="00143F5A">
        <w:rPr>
          <w:i/>
        </w:rPr>
        <w:t>The case would be treated as follows, whereby the premium for each</w:t>
      </w:r>
    </w:p>
    <w:p w:rsidR="00B0560A" w:rsidRDefault="00B0560A" w:rsidP="00B0560A">
      <w:r>
        <w:tab/>
        <w:t>Jan policy</w:t>
      </w:r>
      <w:r>
        <w:tab/>
      </w:r>
      <w:r>
        <w:tab/>
        <w:t xml:space="preserve">    July policy</w:t>
      </w:r>
      <w:r>
        <w:tab/>
      </w:r>
      <w:r>
        <w:tab/>
        <w:t>Jan policy = July policy</w:t>
      </w:r>
    </w:p>
    <w:p w:rsidR="00B0560A" w:rsidRDefault="00B0560A" w:rsidP="00B0560A">
      <w:r>
        <w:t>({  [ (12 x 106) + ( 6 x $100) + (6 x $112.36 ) ] } /2  ) /  (  [ 2 x  + (12 x 100) ] /2 ) - 1 = [ ( $1,272 + $1,274.16 ) / ( 2x $1,200)] - 1 =  6.09%</w:t>
      </w:r>
    </w:p>
    <w:p w:rsidR="00B0560A" w:rsidRDefault="00B0560A" w:rsidP="00B0560A">
      <w:r>
        <w:t xml:space="preserve">and, using July as the point of reference, </w:t>
      </w:r>
    </w:p>
    <w:p w:rsidR="00714DE4" w:rsidRDefault="00714DE4">
      <w:r>
        <w:tab/>
        <w:t>Jan policy</w:t>
      </w:r>
      <w:r>
        <w:tab/>
      </w:r>
      <w:r>
        <w:tab/>
        <w:t xml:space="preserve">    July policy</w:t>
      </w:r>
      <w:r>
        <w:tab/>
      </w:r>
      <w:r w:rsidR="00B0560A">
        <w:tab/>
      </w:r>
      <w:r w:rsidR="00B0560A">
        <w:tab/>
      </w:r>
      <w:r>
        <w:t>Jan policy</w:t>
      </w:r>
      <w:r>
        <w:tab/>
      </w:r>
      <w:r>
        <w:tab/>
        <w:t xml:space="preserve"> July</w:t>
      </w:r>
    </w:p>
    <w:p w:rsidR="00B9312F" w:rsidRDefault="00714DE4" w:rsidP="00714DE4">
      <w:r>
        <w:t>({  [ ( 6 x $106) + (6 x $112.36 ) ] + (12 x 112.36) } /2  ) /  ( { [ ( 6 x $100) + (6 x $106) ] + (12 x 100) } /2 ) - 1 = [ ( $1,310.16 + $1,348.32 ) / ($1,236 + $1,200)] - 1 =  9.13%</w:t>
      </w:r>
    </w:p>
    <w:p w:rsidR="00143F5A" w:rsidRDefault="00143F5A" w:rsidP="00143F5A">
      <w:pPr>
        <w:rPr>
          <w:rFonts w:ascii="Times New Roman" w:hAnsi="Times New Roman"/>
          <w:i/>
        </w:rPr>
      </w:pPr>
      <w:r w:rsidRPr="00143F5A">
        <w:rPr>
          <w:i/>
        </w:rPr>
        <w:t>Which does not meet the threshold test, hence the increase would not be subject to review.</w:t>
      </w:r>
      <w:r>
        <w:rPr>
          <w:i/>
        </w:rPr>
        <w:t xml:space="preserve">  </w:t>
      </w:r>
      <w:r w:rsidRPr="006D2044">
        <w:rPr>
          <w:rFonts w:ascii="Times New Roman" w:hAnsi="Times New Roman"/>
          <w:i/>
        </w:rPr>
        <w:t>(See the range named</w:t>
      </w:r>
      <w:r>
        <w:rPr>
          <w:rFonts w:ascii="Times New Roman" w:hAnsi="Times New Roman"/>
          <w:i/>
        </w:rPr>
        <w:t xml:space="preserve"> PRINT4, and</w:t>
      </w:r>
      <w:r w:rsidRPr="006D2044">
        <w:rPr>
          <w:rFonts w:ascii="Times New Roman" w:hAnsi="Times New Roman"/>
          <w:i/>
        </w:rPr>
        <w:t xml:space="preserve"> </w:t>
      </w:r>
      <w:r>
        <w:rPr>
          <w:rFonts w:ascii="Times New Roman" w:hAnsi="Times New Roman"/>
          <w:i/>
        </w:rPr>
        <w:t xml:space="preserve">PRINT5 </w:t>
      </w:r>
      <w:r w:rsidRPr="006D2044">
        <w:rPr>
          <w:rFonts w:ascii="Times New Roman" w:hAnsi="Times New Roman"/>
          <w:i/>
        </w:rPr>
        <w:t xml:space="preserve"> for th</w:t>
      </w:r>
      <w:r>
        <w:rPr>
          <w:rFonts w:ascii="Times New Roman" w:hAnsi="Times New Roman"/>
          <w:i/>
        </w:rPr>
        <w:t>is</w:t>
      </w:r>
      <w:r w:rsidRPr="006D2044">
        <w:rPr>
          <w:rFonts w:ascii="Times New Roman" w:hAnsi="Times New Roman"/>
          <w:i/>
        </w:rPr>
        <w:t xml:space="preserve"> </w:t>
      </w:r>
      <w:r>
        <w:rPr>
          <w:rFonts w:ascii="Times New Roman" w:hAnsi="Times New Roman"/>
          <w:i/>
        </w:rPr>
        <w:t>case scenario</w:t>
      </w:r>
      <w:r w:rsidRPr="006D2044">
        <w:rPr>
          <w:rFonts w:ascii="Times New Roman" w:hAnsi="Times New Roman"/>
          <w:i/>
        </w:rPr>
        <w:t xml:space="preserve"> in the spreadsheet</w:t>
      </w:r>
      <w:r>
        <w:rPr>
          <w:rFonts w:ascii="Times New Roman" w:hAnsi="Times New Roman"/>
          <w:i/>
        </w:rPr>
        <w:t>.)</w:t>
      </w:r>
    </w:p>
    <w:p w:rsidR="00143F5A" w:rsidRDefault="00143F5A" w:rsidP="00143F5A">
      <w:pPr>
        <w:rPr>
          <w:rFonts w:ascii="Times New Roman" w:hAnsi="Times New Roman"/>
          <w:i/>
        </w:rPr>
      </w:pPr>
    </w:p>
    <w:p w:rsidR="00143F5A" w:rsidRDefault="006A691B" w:rsidP="00143F5A">
      <w:pPr>
        <w:rPr>
          <w:rFonts w:ascii="Times New Roman" w:hAnsi="Times New Roman"/>
          <w:i/>
        </w:rPr>
      </w:pPr>
      <w:r>
        <w:rPr>
          <w:rFonts w:ascii="Times New Roman" w:hAnsi="Times New Roman"/>
          <w:i/>
        </w:rPr>
        <w:t xml:space="preserve">The </w:t>
      </w:r>
      <w:r w:rsidR="00143F5A">
        <w:rPr>
          <w:rFonts w:ascii="Times New Roman" w:hAnsi="Times New Roman"/>
          <w:i/>
        </w:rPr>
        <w:t>BCBS</w:t>
      </w:r>
      <w:r>
        <w:rPr>
          <w:rFonts w:ascii="Times New Roman" w:hAnsi="Times New Roman"/>
          <w:i/>
        </w:rPr>
        <w:t>A</w:t>
      </w:r>
      <w:r w:rsidR="00143F5A">
        <w:rPr>
          <w:rFonts w:ascii="Times New Roman" w:hAnsi="Times New Roman"/>
          <w:i/>
        </w:rPr>
        <w:t xml:space="preserve"> then addressed having cohorts of 100 policies each with separate renewals and premiums changing for the January cohort from $100, to $109 in January and to $112 in July; whereas the July </w:t>
      </w:r>
      <w:r w:rsidR="00143F5A">
        <w:rPr>
          <w:rFonts w:ascii="Times New Roman" w:hAnsi="Times New Roman"/>
          <w:i/>
        </w:rPr>
        <w:lastRenderedPageBreak/>
        <w:t>cohort has one increase from $100 to $112 in July.  The average premium increase is calculated across all 200 policies and results in a 9.54% increase.  The old average premium is $102.25 (the average of $104.50 from the January cohort and $100 for the July cohort because the cohorts are of equal size), and the average new premium is $112 making the average increase 9.54%.</w:t>
      </w:r>
    </w:p>
    <w:p w:rsidR="00143F5A" w:rsidRDefault="00143F5A" w:rsidP="00143F5A">
      <w:pPr>
        <w:rPr>
          <w:rFonts w:ascii="Times New Roman" w:hAnsi="Times New Roman"/>
          <w:i/>
        </w:rPr>
      </w:pPr>
      <w:r w:rsidRPr="006D2044">
        <w:rPr>
          <w:rFonts w:ascii="Times New Roman" w:hAnsi="Times New Roman"/>
          <w:i/>
        </w:rPr>
        <w:t>(See the range named</w:t>
      </w:r>
      <w:r>
        <w:rPr>
          <w:rFonts w:ascii="Times New Roman" w:hAnsi="Times New Roman"/>
          <w:i/>
        </w:rPr>
        <w:t xml:space="preserve"> PRINT6 </w:t>
      </w:r>
      <w:r w:rsidRPr="006D2044">
        <w:rPr>
          <w:rFonts w:ascii="Times New Roman" w:hAnsi="Times New Roman"/>
          <w:i/>
        </w:rPr>
        <w:t xml:space="preserve"> for th</w:t>
      </w:r>
      <w:r>
        <w:rPr>
          <w:rFonts w:ascii="Times New Roman" w:hAnsi="Times New Roman"/>
          <w:i/>
        </w:rPr>
        <w:t>is</w:t>
      </w:r>
      <w:r w:rsidRPr="006D2044">
        <w:rPr>
          <w:rFonts w:ascii="Times New Roman" w:hAnsi="Times New Roman"/>
          <w:i/>
        </w:rPr>
        <w:t xml:space="preserve"> </w:t>
      </w:r>
      <w:r>
        <w:rPr>
          <w:rFonts w:ascii="Times New Roman" w:hAnsi="Times New Roman"/>
          <w:i/>
        </w:rPr>
        <w:t>case scenario</w:t>
      </w:r>
      <w:r w:rsidRPr="006D2044">
        <w:rPr>
          <w:rFonts w:ascii="Times New Roman" w:hAnsi="Times New Roman"/>
          <w:i/>
        </w:rPr>
        <w:t xml:space="preserve"> in the spreadsheet</w:t>
      </w:r>
      <w:r>
        <w:rPr>
          <w:rFonts w:ascii="Times New Roman" w:hAnsi="Times New Roman"/>
          <w:i/>
        </w:rPr>
        <w:t>.)</w:t>
      </w:r>
    </w:p>
    <w:p w:rsidR="00143F5A" w:rsidRDefault="00143F5A" w:rsidP="00143F5A">
      <w:pPr>
        <w:rPr>
          <w:rFonts w:ascii="Times New Roman" w:hAnsi="Times New Roman"/>
          <w:i/>
        </w:rPr>
      </w:pPr>
    </w:p>
    <w:p w:rsidR="006A691B" w:rsidRDefault="006A691B" w:rsidP="00143F5A">
      <w:pPr>
        <w:rPr>
          <w:rFonts w:ascii="Times New Roman" w:hAnsi="Times New Roman"/>
          <w:i/>
        </w:rPr>
      </w:pPr>
      <w:r>
        <w:rPr>
          <w:rFonts w:ascii="Times New Roman" w:hAnsi="Times New Roman"/>
          <w:i/>
        </w:rPr>
        <w:t>The BCBSA example further amended to case 4 c(2) by changing the implementation of the second increase</w:t>
      </w:r>
      <w:r w:rsidR="008927CE">
        <w:rPr>
          <w:rFonts w:ascii="Times New Roman" w:hAnsi="Times New Roman"/>
          <w:i/>
        </w:rPr>
        <w:t xml:space="preserve"> </w:t>
      </w:r>
      <w:r>
        <w:rPr>
          <w:rFonts w:ascii="Times New Roman" w:hAnsi="Times New Roman"/>
          <w:i/>
        </w:rPr>
        <w:t>($112</w:t>
      </w:r>
      <w:r w:rsidR="008927CE">
        <w:rPr>
          <w:rFonts w:ascii="Times New Roman" w:hAnsi="Times New Roman"/>
          <w:i/>
        </w:rPr>
        <w:t xml:space="preserve"> monthly</w:t>
      </w:r>
      <w:r>
        <w:rPr>
          <w:rFonts w:ascii="Times New Roman" w:hAnsi="Times New Roman"/>
          <w:i/>
        </w:rPr>
        <w:t>)  to the January cohort until their January renewal date yields a slightly lower new average premium of $110.50 ($109 and $112 each for six months).  Which when averaged with the July cohort’s monthly premium of $112 yields a new average of $111.25 for all 200 policies, which in turn is an average 8.8% increase.</w:t>
      </w:r>
    </w:p>
    <w:p w:rsidR="006A691B" w:rsidRDefault="006A691B" w:rsidP="006A691B">
      <w:pPr>
        <w:rPr>
          <w:rFonts w:ascii="Times New Roman" w:hAnsi="Times New Roman"/>
          <w:i/>
        </w:rPr>
      </w:pPr>
      <w:r w:rsidRPr="006D2044">
        <w:rPr>
          <w:rFonts w:ascii="Times New Roman" w:hAnsi="Times New Roman"/>
          <w:i/>
        </w:rPr>
        <w:t>(See the range named</w:t>
      </w:r>
      <w:r>
        <w:rPr>
          <w:rFonts w:ascii="Times New Roman" w:hAnsi="Times New Roman"/>
          <w:i/>
        </w:rPr>
        <w:t xml:space="preserve"> PRINT7 </w:t>
      </w:r>
      <w:r w:rsidRPr="006D2044">
        <w:rPr>
          <w:rFonts w:ascii="Times New Roman" w:hAnsi="Times New Roman"/>
          <w:i/>
        </w:rPr>
        <w:t xml:space="preserve"> for th</w:t>
      </w:r>
      <w:r>
        <w:rPr>
          <w:rFonts w:ascii="Times New Roman" w:hAnsi="Times New Roman"/>
          <w:i/>
        </w:rPr>
        <w:t>is</w:t>
      </w:r>
      <w:r w:rsidRPr="006D2044">
        <w:rPr>
          <w:rFonts w:ascii="Times New Roman" w:hAnsi="Times New Roman"/>
          <w:i/>
        </w:rPr>
        <w:t xml:space="preserve"> </w:t>
      </w:r>
      <w:r>
        <w:rPr>
          <w:rFonts w:ascii="Times New Roman" w:hAnsi="Times New Roman"/>
          <w:i/>
        </w:rPr>
        <w:t>case scenario</w:t>
      </w:r>
      <w:r w:rsidRPr="006D2044">
        <w:rPr>
          <w:rFonts w:ascii="Times New Roman" w:hAnsi="Times New Roman"/>
          <w:i/>
        </w:rPr>
        <w:t xml:space="preserve"> in the spreadsheet</w:t>
      </w:r>
      <w:r>
        <w:rPr>
          <w:rFonts w:ascii="Times New Roman" w:hAnsi="Times New Roman"/>
          <w:i/>
        </w:rPr>
        <w:t>.)</w:t>
      </w:r>
    </w:p>
    <w:p w:rsidR="006A691B" w:rsidRDefault="006A691B" w:rsidP="00143F5A">
      <w:pPr>
        <w:rPr>
          <w:rFonts w:ascii="Times New Roman" w:hAnsi="Times New Roman"/>
          <w:i/>
        </w:rPr>
      </w:pPr>
    </w:p>
    <w:p w:rsidR="006A691B" w:rsidRDefault="006A691B" w:rsidP="00143F5A">
      <w:pPr>
        <w:rPr>
          <w:rFonts w:ascii="Times New Roman" w:hAnsi="Times New Roman"/>
          <w:i/>
        </w:rPr>
      </w:pPr>
      <w:r>
        <w:rPr>
          <w:rFonts w:ascii="Times New Roman" w:hAnsi="Times New Roman"/>
          <w:i/>
        </w:rPr>
        <w:t xml:space="preserve">AETNA took the original example 4and amended the second (July) increase from 6% to 4%.  The mathematics is exactly the same </w:t>
      </w:r>
      <w:r w:rsidR="008927CE">
        <w:rPr>
          <w:rFonts w:ascii="Times New Roman" w:hAnsi="Times New Roman"/>
          <w:i/>
        </w:rPr>
        <w:t>after substituting the 4% in.</w:t>
      </w:r>
    </w:p>
    <w:p w:rsidR="008927CE" w:rsidRPr="000E21D2" w:rsidRDefault="008927CE" w:rsidP="008927CE">
      <w:pPr>
        <w:autoSpaceDE w:val="0"/>
        <w:autoSpaceDN w:val="0"/>
        <w:adjustRightInd w:val="0"/>
        <w:rPr>
          <w:rFonts w:ascii="Times New Roman" w:hAnsi="Times New Roman"/>
          <w:i/>
        </w:rPr>
      </w:pPr>
      <w:r>
        <w:rPr>
          <w:rFonts w:ascii="Times New Roman" w:hAnsi="Times New Roman"/>
        </w:rPr>
        <w:t xml:space="preserve">{ [ ( 6 x $106)  +( 6 x $110.24 ) ] / ( 12 x $100) } -1 = { $1,297.44 / $1,200 } -1 = 8.12%, </w:t>
      </w:r>
      <w:r w:rsidRPr="000E21D2">
        <w:rPr>
          <w:rFonts w:ascii="Times New Roman" w:hAnsi="Times New Roman"/>
          <w:i/>
        </w:rPr>
        <w:t>from the point of reference of January, and</w:t>
      </w:r>
    </w:p>
    <w:p w:rsidR="008927CE" w:rsidRDefault="008927CE" w:rsidP="008927CE">
      <w:pPr>
        <w:autoSpaceDE w:val="0"/>
        <w:autoSpaceDN w:val="0"/>
        <w:adjustRightInd w:val="0"/>
        <w:rPr>
          <w:rFonts w:ascii="Times New Roman" w:hAnsi="Times New Roman"/>
          <w:i/>
        </w:rPr>
      </w:pPr>
      <w:r>
        <w:rPr>
          <w:rFonts w:ascii="Times New Roman" w:hAnsi="Times New Roman"/>
        </w:rPr>
        <w:t xml:space="preserve">{ ( 12 x $110.24) / [ ( 6 x $100) + ( 6 x $106)]  } -1 = { $1,322.88 / $1,236 } - 1 = 7.03% </w:t>
      </w:r>
      <w:r w:rsidRPr="000E21D2">
        <w:rPr>
          <w:rFonts w:ascii="Times New Roman" w:hAnsi="Times New Roman"/>
          <w:i/>
        </w:rPr>
        <w:t>from the point of reference of July.  Hence the threshold is not triggered.</w:t>
      </w:r>
    </w:p>
    <w:p w:rsidR="008927CE" w:rsidRDefault="008927CE" w:rsidP="008927CE">
      <w:pPr>
        <w:autoSpaceDE w:val="0"/>
        <w:autoSpaceDN w:val="0"/>
        <w:rPr>
          <w:rFonts w:ascii="Times New Roman" w:hAnsi="Times New Roman"/>
          <w:i/>
        </w:rPr>
      </w:pPr>
      <w:r w:rsidRPr="006D2044">
        <w:rPr>
          <w:rFonts w:ascii="Times New Roman" w:hAnsi="Times New Roman"/>
          <w:i/>
        </w:rPr>
        <w:t>(See the range</w:t>
      </w:r>
      <w:r>
        <w:rPr>
          <w:rFonts w:ascii="Times New Roman" w:hAnsi="Times New Roman"/>
          <w:i/>
        </w:rPr>
        <w:t>s</w:t>
      </w:r>
      <w:r w:rsidRPr="006D2044">
        <w:rPr>
          <w:rFonts w:ascii="Times New Roman" w:hAnsi="Times New Roman"/>
          <w:i/>
        </w:rPr>
        <w:t xml:space="preserve"> named PRINT</w:t>
      </w:r>
      <w:r>
        <w:rPr>
          <w:rFonts w:ascii="Times New Roman" w:hAnsi="Times New Roman"/>
          <w:i/>
        </w:rPr>
        <w:t>9</w:t>
      </w:r>
      <w:r w:rsidRPr="006D2044">
        <w:rPr>
          <w:rFonts w:ascii="Times New Roman" w:hAnsi="Times New Roman"/>
          <w:i/>
        </w:rPr>
        <w:t xml:space="preserve"> for this </w:t>
      </w:r>
      <w:r>
        <w:rPr>
          <w:rFonts w:ascii="Times New Roman" w:hAnsi="Times New Roman"/>
          <w:i/>
        </w:rPr>
        <w:t>case scenario</w:t>
      </w:r>
      <w:r w:rsidRPr="006D2044">
        <w:rPr>
          <w:rFonts w:ascii="Times New Roman" w:hAnsi="Times New Roman"/>
          <w:i/>
        </w:rPr>
        <w:t xml:space="preserve"> in the spreadsheet).</w:t>
      </w:r>
    </w:p>
    <w:p w:rsidR="008927CE" w:rsidRDefault="008927CE" w:rsidP="008927CE">
      <w:pPr>
        <w:autoSpaceDE w:val="0"/>
        <w:autoSpaceDN w:val="0"/>
        <w:rPr>
          <w:rFonts w:ascii="Times New Roman" w:hAnsi="Times New Roman"/>
          <w:i/>
        </w:rPr>
      </w:pPr>
    </w:p>
    <w:p w:rsidR="008927CE" w:rsidRDefault="008927CE" w:rsidP="008927CE">
      <w:pPr>
        <w:autoSpaceDE w:val="0"/>
        <w:autoSpaceDN w:val="0"/>
        <w:rPr>
          <w:rFonts w:ascii="Times New Roman" w:hAnsi="Times New Roman"/>
          <w:i/>
        </w:rPr>
      </w:pPr>
      <w:r>
        <w:rPr>
          <w:rFonts w:ascii="Times New Roman" w:hAnsi="Times New Roman"/>
          <w:i/>
        </w:rPr>
        <w:t xml:space="preserve">AHIP created an entirely new example </w:t>
      </w:r>
      <w:r w:rsidR="00430147">
        <w:rPr>
          <w:rFonts w:ascii="Times New Roman" w:hAnsi="Times New Roman"/>
          <w:i/>
        </w:rPr>
        <w:t xml:space="preserve">(AHIP F) </w:t>
      </w:r>
      <w:r>
        <w:rPr>
          <w:rFonts w:ascii="Times New Roman" w:hAnsi="Times New Roman"/>
          <w:i/>
        </w:rPr>
        <w:t>with a schedule of regular quarterly increases of varying magnitude ranging from 2.2% t</w:t>
      </w:r>
      <w:r w:rsidR="00430147">
        <w:rPr>
          <w:rFonts w:ascii="Times New Roman" w:hAnsi="Times New Roman"/>
          <w:i/>
        </w:rPr>
        <w:t>o</w:t>
      </w:r>
      <w:r>
        <w:rPr>
          <w:rFonts w:ascii="Times New Roman" w:hAnsi="Times New Roman"/>
          <w:i/>
        </w:rPr>
        <w:t xml:space="preserve"> 5%</w:t>
      </w:r>
      <w:r w:rsidR="00430147">
        <w:rPr>
          <w:rFonts w:ascii="Times New Roman" w:hAnsi="Times New Roman"/>
          <w:i/>
        </w:rPr>
        <w:t xml:space="preserve"> and beginning with an April increase.</w:t>
      </w:r>
      <w:r>
        <w:rPr>
          <w:rFonts w:ascii="Times New Roman" w:hAnsi="Times New Roman"/>
          <w:i/>
        </w:rPr>
        <w:t xml:space="preserve">  </w:t>
      </w:r>
      <w:r w:rsidRPr="006D2044">
        <w:rPr>
          <w:rFonts w:ascii="Times New Roman" w:hAnsi="Times New Roman"/>
          <w:i/>
        </w:rPr>
        <w:t>(See the range</w:t>
      </w:r>
      <w:r>
        <w:rPr>
          <w:rFonts w:ascii="Times New Roman" w:hAnsi="Times New Roman"/>
          <w:i/>
        </w:rPr>
        <w:t>s</w:t>
      </w:r>
      <w:r w:rsidRPr="006D2044">
        <w:rPr>
          <w:rFonts w:ascii="Times New Roman" w:hAnsi="Times New Roman"/>
          <w:i/>
        </w:rPr>
        <w:t xml:space="preserve"> named PRINT</w:t>
      </w:r>
      <w:r>
        <w:rPr>
          <w:rFonts w:ascii="Times New Roman" w:hAnsi="Times New Roman"/>
          <w:i/>
        </w:rPr>
        <w:t>13</w:t>
      </w:r>
      <w:r w:rsidRPr="006D2044">
        <w:rPr>
          <w:rFonts w:ascii="Times New Roman" w:hAnsi="Times New Roman"/>
          <w:i/>
        </w:rPr>
        <w:t xml:space="preserve"> for this </w:t>
      </w:r>
      <w:r>
        <w:rPr>
          <w:rFonts w:ascii="Times New Roman" w:hAnsi="Times New Roman"/>
          <w:i/>
        </w:rPr>
        <w:t>case scenario</w:t>
      </w:r>
      <w:r w:rsidRPr="006D2044">
        <w:rPr>
          <w:rFonts w:ascii="Times New Roman" w:hAnsi="Times New Roman"/>
          <w:i/>
        </w:rPr>
        <w:t xml:space="preserve"> in the spreadsheet).</w:t>
      </w:r>
      <w:r>
        <w:rPr>
          <w:rFonts w:ascii="Times New Roman" w:hAnsi="Times New Roman"/>
          <w:i/>
        </w:rPr>
        <w:t xml:space="preserve">  </w:t>
      </w:r>
      <w:r w:rsidR="00430147">
        <w:rPr>
          <w:rFonts w:ascii="Times New Roman" w:hAnsi="Times New Roman"/>
          <w:i/>
        </w:rPr>
        <w:t>In that example the average increase does exceed the threshold from the point of reference of the October (9.99% in aggregate over three quarters) and January (12.41% in aggregate over four quarters), the third and fourth increase respectively.</w:t>
      </w:r>
      <w:r w:rsidR="00570814">
        <w:rPr>
          <w:rFonts w:ascii="Times New Roman" w:hAnsi="Times New Roman"/>
          <w:i/>
        </w:rPr>
        <w:t xml:space="preserve">  In this case there are two frames of reference that yield a failure of the threshold test.  The first October and January effective dates with increases.</w:t>
      </w:r>
    </w:p>
    <w:p w:rsidR="00430147" w:rsidRDefault="00430147" w:rsidP="00430147">
      <w:pPr>
        <w:autoSpaceDE w:val="0"/>
        <w:autoSpaceDN w:val="0"/>
        <w:rPr>
          <w:rFonts w:ascii="Times New Roman" w:hAnsi="Times New Roman"/>
          <w:i/>
        </w:rPr>
      </w:pPr>
      <w:r w:rsidRPr="006D2044">
        <w:rPr>
          <w:rFonts w:ascii="Times New Roman" w:hAnsi="Times New Roman"/>
          <w:i/>
        </w:rPr>
        <w:t>See the range</w:t>
      </w:r>
      <w:r>
        <w:rPr>
          <w:rFonts w:ascii="Times New Roman" w:hAnsi="Times New Roman"/>
          <w:i/>
        </w:rPr>
        <w:t>s</w:t>
      </w:r>
      <w:r w:rsidRPr="006D2044">
        <w:rPr>
          <w:rFonts w:ascii="Times New Roman" w:hAnsi="Times New Roman"/>
          <w:i/>
        </w:rPr>
        <w:t xml:space="preserve"> named PRINT</w:t>
      </w:r>
      <w:r>
        <w:rPr>
          <w:rFonts w:ascii="Times New Roman" w:hAnsi="Times New Roman"/>
          <w:i/>
        </w:rPr>
        <w:t>13</w:t>
      </w:r>
      <w:r w:rsidRPr="006D2044">
        <w:rPr>
          <w:rFonts w:ascii="Times New Roman" w:hAnsi="Times New Roman"/>
          <w:i/>
        </w:rPr>
        <w:t xml:space="preserve"> for this </w:t>
      </w:r>
      <w:r>
        <w:rPr>
          <w:rFonts w:ascii="Times New Roman" w:hAnsi="Times New Roman"/>
          <w:i/>
        </w:rPr>
        <w:t>case scenario</w:t>
      </w:r>
      <w:r w:rsidRPr="006D2044">
        <w:rPr>
          <w:rFonts w:ascii="Times New Roman" w:hAnsi="Times New Roman"/>
          <w:i/>
        </w:rPr>
        <w:t xml:space="preserve"> in the spreadsheet</w:t>
      </w:r>
      <w:r>
        <w:rPr>
          <w:rFonts w:ascii="Times New Roman" w:hAnsi="Times New Roman"/>
          <w:i/>
        </w:rPr>
        <w:t xml:space="preserve"> to follow the arithmetic which I too long and unwieldy to write out here.</w:t>
      </w:r>
    </w:p>
    <w:p w:rsidR="00430147" w:rsidRDefault="00430147" w:rsidP="00430147">
      <w:pPr>
        <w:autoSpaceDE w:val="0"/>
        <w:autoSpaceDN w:val="0"/>
        <w:rPr>
          <w:rFonts w:ascii="Times New Roman" w:hAnsi="Times New Roman"/>
          <w:i/>
        </w:rPr>
      </w:pPr>
    </w:p>
    <w:p w:rsidR="00143F5A" w:rsidRPr="00143F5A" w:rsidRDefault="00430147" w:rsidP="000F0E94">
      <w:pPr>
        <w:autoSpaceDE w:val="0"/>
        <w:autoSpaceDN w:val="0"/>
        <w:rPr>
          <w:i/>
        </w:rPr>
      </w:pPr>
      <w:r>
        <w:rPr>
          <w:rFonts w:ascii="Times New Roman" w:hAnsi="Times New Roman"/>
          <w:i/>
        </w:rPr>
        <w:t>The AHIP F example was expanded to illustrate how the same set in increases implemented upon renewal using four equal cohorts</w:t>
      </w:r>
      <w:r w:rsidR="00570814">
        <w:rPr>
          <w:rFonts w:ascii="Times New Roman" w:hAnsi="Times New Roman"/>
          <w:i/>
        </w:rPr>
        <w:t xml:space="preserve"> incurring aggregate annual increases upon renewal would work.  In that instance since there are only one January cohort that actually incurs an increase that actually exceeds 10% the example fails to trip the threshold trigger, thus a review would not be conducted.</w:t>
      </w:r>
    </w:p>
    <w:sectPr w:rsidR="00143F5A" w:rsidRPr="00143F5A" w:rsidSect="00A32A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4D45"/>
    <w:multiLevelType w:val="hybridMultilevel"/>
    <w:tmpl w:val="576AD8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6338B"/>
    <w:rsid w:val="00046972"/>
    <w:rsid w:val="00080B34"/>
    <w:rsid w:val="000E21D2"/>
    <w:rsid w:val="000F0E94"/>
    <w:rsid w:val="00143F5A"/>
    <w:rsid w:val="00204F46"/>
    <w:rsid w:val="002460C5"/>
    <w:rsid w:val="0028135B"/>
    <w:rsid w:val="00316FFA"/>
    <w:rsid w:val="00430147"/>
    <w:rsid w:val="0048477A"/>
    <w:rsid w:val="005618A7"/>
    <w:rsid w:val="00570814"/>
    <w:rsid w:val="006001A4"/>
    <w:rsid w:val="0065307C"/>
    <w:rsid w:val="006A042E"/>
    <w:rsid w:val="006A691B"/>
    <w:rsid w:val="006D2044"/>
    <w:rsid w:val="006D7A98"/>
    <w:rsid w:val="00714DE4"/>
    <w:rsid w:val="008675C2"/>
    <w:rsid w:val="008927CE"/>
    <w:rsid w:val="009B2025"/>
    <w:rsid w:val="00A32AA0"/>
    <w:rsid w:val="00AF79BA"/>
    <w:rsid w:val="00B0560A"/>
    <w:rsid w:val="00B6338B"/>
    <w:rsid w:val="00B9312F"/>
    <w:rsid w:val="00C05591"/>
    <w:rsid w:val="00DD3746"/>
    <w:rsid w:val="00F53812"/>
    <w:rsid w:val="00FA1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1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AABAC-6983-4EF8-B95A-9F671650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2011-07-20T15:01:00Z</dcterms:created>
  <dcterms:modified xsi:type="dcterms:W3CDTF">2011-07-20T15:01:00Z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-1847895950</vt:i4>
  </property>
  <property fmtid="{D5CDD505-2E9C-101B-9397-08002B2CF9AE}" pid="3" name="_NewReviewCycle">
    <vt:lpwstr/>
  </property>
  <property fmtid="{D5CDD505-2E9C-101B-9397-08002B2CF9AE}" pid="4" name="_EmailSubject">
    <vt:lpwstr>FW: ICR Reference No: 201106-0938-008</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8" name="_PreviousAdHocReviewCycleID">
    <vt:i4>-225063935</vt:i4>
  </property>
</Properties>
</file>