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963" w:rsidRPr="002C4F1A" w:rsidRDefault="00005963" w:rsidP="00992D54">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Times New Roman" w:hAnsi="Times New Roman" w:cs="Times New Roman"/>
          <w:b/>
        </w:rPr>
      </w:pPr>
      <w:r w:rsidRPr="002C4F1A">
        <w:rPr>
          <w:rFonts w:ascii="Times New Roman" w:hAnsi="Times New Roman" w:cs="Times New Roman"/>
          <w:b/>
        </w:rPr>
        <w:t>CMS Response to Public Comments Received for CMS-</w:t>
      </w:r>
      <w:r w:rsidR="002342CE" w:rsidRPr="002C4F1A">
        <w:rPr>
          <w:rFonts w:ascii="Times New Roman" w:hAnsi="Times New Roman" w:cs="Times New Roman"/>
          <w:b/>
        </w:rPr>
        <w:t>10379</w:t>
      </w:r>
      <w:r w:rsidRPr="002C4F1A">
        <w:rPr>
          <w:rFonts w:ascii="Times New Roman" w:hAnsi="Times New Roman" w:cs="Times New Roman"/>
          <w:b/>
        </w:rPr>
        <w:t xml:space="preserve"> </w:t>
      </w:r>
    </w:p>
    <w:p w:rsidR="00005963" w:rsidRPr="002C4F1A" w:rsidRDefault="006A601A">
      <w:pPr>
        <w:rPr>
          <w:rFonts w:ascii="Times New Roman" w:hAnsi="Times New Roman" w:cs="Times New Roman"/>
        </w:rPr>
      </w:pPr>
      <w:r w:rsidRPr="002C4F1A">
        <w:rPr>
          <w:rFonts w:ascii="Times New Roman" w:hAnsi="Times New Roman" w:cs="Times New Roman"/>
        </w:rPr>
        <w:t xml:space="preserve">The Centers for Medicare and Medicaid Services (CMS) received comments from health insurance issuers, consumer advocate organizations, a state regulator organization, and a professional actuarial organization related to CMS-10379.  </w:t>
      </w:r>
      <w:r w:rsidR="00DD759F" w:rsidRPr="002C4F1A">
        <w:rPr>
          <w:rFonts w:ascii="Times New Roman" w:hAnsi="Times New Roman" w:cs="Times New Roman"/>
        </w:rPr>
        <w:t>The following</w:t>
      </w:r>
      <w:r w:rsidRPr="002C4F1A">
        <w:rPr>
          <w:rFonts w:ascii="Times New Roman" w:hAnsi="Times New Roman" w:cs="Times New Roman"/>
        </w:rPr>
        <w:t xml:space="preserve"> is the reconciliation of the comments.</w:t>
      </w:r>
    </w:p>
    <w:p w:rsidR="000E7A8D" w:rsidRPr="002C4F1A" w:rsidRDefault="005F0482" w:rsidP="00992D54">
      <w:pPr>
        <w:pStyle w:val="ListParagraph"/>
        <w:numPr>
          <w:ilvl w:val="0"/>
          <w:numId w:val="11"/>
        </w:numPr>
        <w:rPr>
          <w:rFonts w:ascii="Times New Roman" w:hAnsi="Times New Roman" w:cs="Times New Roman"/>
          <w:b/>
        </w:rPr>
      </w:pPr>
      <w:r w:rsidRPr="002C4F1A">
        <w:rPr>
          <w:rFonts w:ascii="Times New Roman" w:hAnsi="Times New Roman" w:cs="Times New Roman"/>
          <w:b/>
        </w:rPr>
        <w:t>Consumer Disclosure</w:t>
      </w:r>
      <w:r w:rsidR="0052151A" w:rsidRPr="002C4F1A">
        <w:rPr>
          <w:rFonts w:ascii="Times New Roman" w:hAnsi="Times New Roman" w:cs="Times New Roman"/>
          <w:b/>
        </w:rPr>
        <w:t xml:space="preserve"> Comments</w:t>
      </w:r>
      <w:r w:rsidR="0055331C" w:rsidRPr="002C4F1A">
        <w:rPr>
          <w:rFonts w:ascii="Times New Roman" w:hAnsi="Times New Roman" w:cs="Times New Roman"/>
          <w:b/>
        </w:rPr>
        <w:t xml:space="preserve">  </w:t>
      </w:r>
    </w:p>
    <w:p w:rsidR="00925E8F" w:rsidRPr="002C4F1A" w:rsidRDefault="00005963">
      <w:pPr>
        <w:rPr>
          <w:rFonts w:ascii="Times New Roman" w:hAnsi="Times New Roman" w:cs="Times New Roman"/>
        </w:rPr>
      </w:pPr>
      <w:r w:rsidRPr="002C4F1A">
        <w:rPr>
          <w:rFonts w:ascii="Times New Roman" w:hAnsi="Times New Roman" w:cs="Times New Roman"/>
          <w:b/>
          <w:u w:val="single"/>
        </w:rPr>
        <w:t>Comment:</w:t>
      </w:r>
      <w:r w:rsidRPr="002C4F1A">
        <w:rPr>
          <w:rFonts w:ascii="Times New Roman" w:hAnsi="Times New Roman" w:cs="Times New Roman"/>
        </w:rPr>
        <w:t xml:space="preserve"> Several consumer groups raised the following concerns related to the level of detail contained in the consumer disclosure:</w:t>
      </w:r>
    </w:p>
    <w:p w:rsidR="00925E8F" w:rsidRPr="002C4F1A" w:rsidRDefault="00925E8F" w:rsidP="00925E8F">
      <w:pPr>
        <w:pStyle w:val="ListParagraph"/>
        <w:numPr>
          <w:ilvl w:val="0"/>
          <w:numId w:val="3"/>
        </w:numPr>
        <w:rPr>
          <w:rFonts w:ascii="Times New Roman" w:hAnsi="Times New Roman" w:cs="Times New Roman"/>
        </w:rPr>
      </w:pPr>
      <w:r w:rsidRPr="002C4F1A">
        <w:rPr>
          <w:rFonts w:ascii="Times New Roman" w:hAnsi="Times New Roman" w:cs="Times New Roman"/>
        </w:rPr>
        <w:t>T</w:t>
      </w:r>
      <w:r w:rsidR="005F0482" w:rsidRPr="002C4F1A">
        <w:rPr>
          <w:rFonts w:ascii="Times New Roman" w:hAnsi="Times New Roman" w:cs="Times New Roman"/>
        </w:rPr>
        <w:t xml:space="preserve">he </w:t>
      </w:r>
      <w:r w:rsidRPr="002C4F1A">
        <w:rPr>
          <w:rFonts w:ascii="Times New Roman" w:hAnsi="Times New Roman" w:cs="Times New Roman"/>
        </w:rPr>
        <w:t xml:space="preserve">Consumer </w:t>
      </w:r>
      <w:r w:rsidR="005F0482" w:rsidRPr="002C4F1A">
        <w:rPr>
          <w:rFonts w:ascii="Times New Roman" w:hAnsi="Times New Roman" w:cs="Times New Roman"/>
        </w:rPr>
        <w:t xml:space="preserve">disclosure did not provide sufficient information for consumers, </w:t>
      </w:r>
      <w:r w:rsidR="00682CAE" w:rsidRPr="002C4F1A">
        <w:rPr>
          <w:rFonts w:ascii="Times New Roman" w:hAnsi="Times New Roman" w:cs="Times New Roman"/>
        </w:rPr>
        <w:t>advocates,</w:t>
      </w:r>
      <w:r w:rsidR="005F0482" w:rsidRPr="002C4F1A">
        <w:rPr>
          <w:rFonts w:ascii="Times New Roman" w:hAnsi="Times New Roman" w:cs="Times New Roman"/>
        </w:rPr>
        <w:t xml:space="preserve"> and researchers.  </w:t>
      </w:r>
    </w:p>
    <w:p w:rsidR="00925E8F" w:rsidRPr="002C4F1A" w:rsidRDefault="00925E8F" w:rsidP="00925E8F">
      <w:pPr>
        <w:pStyle w:val="ListParagraph"/>
        <w:numPr>
          <w:ilvl w:val="0"/>
          <w:numId w:val="3"/>
        </w:numPr>
        <w:rPr>
          <w:rFonts w:ascii="Times New Roman" w:hAnsi="Times New Roman" w:cs="Times New Roman"/>
        </w:rPr>
      </w:pPr>
      <w:r w:rsidRPr="002C4F1A">
        <w:rPr>
          <w:rFonts w:ascii="Times New Roman" w:hAnsi="Times New Roman" w:cs="Times New Roman"/>
        </w:rPr>
        <w:t xml:space="preserve">The </w:t>
      </w:r>
      <w:r w:rsidR="005F0482" w:rsidRPr="002C4F1A">
        <w:rPr>
          <w:rFonts w:ascii="Times New Roman" w:hAnsi="Times New Roman" w:cs="Times New Roman"/>
        </w:rPr>
        <w:t xml:space="preserve">disclosure should provide sufficient information for the public to fully evaluate the rate increase.  </w:t>
      </w:r>
    </w:p>
    <w:p w:rsidR="00925E8F" w:rsidRPr="002C4F1A" w:rsidRDefault="005F0482" w:rsidP="00925E8F">
      <w:pPr>
        <w:pStyle w:val="ListParagraph"/>
        <w:numPr>
          <w:ilvl w:val="0"/>
          <w:numId w:val="3"/>
        </w:numPr>
        <w:rPr>
          <w:rFonts w:ascii="Times New Roman" w:hAnsi="Times New Roman" w:cs="Times New Roman"/>
        </w:rPr>
      </w:pPr>
      <w:r w:rsidRPr="002C4F1A">
        <w:rPr>
          <w:rFonts w:ascii="Times New Roman" w:hAnsi="Times New Roman" w:cs="Times New Roman"/>
        </w:rPr>
        <w:t>HHS should collect and disclose rate-filing level data on</w:t>
      </w:r>
      <w:r w:rsidR="00925E8F" w:rsidRPr="002C4F1A">
        <w:rPr>
          <w:rFonts w:ascii="Times New Roman" w:hAnsi="Times New Roman" w:cs="Times New Roman"/>
        </w:rPr>
        <w:t xml:space="preserve"> all</w:t>
      </w:r>
      <w:r w:rsidRPr="002C4F1A">
        <w:rPr>
          <w:rFonts w:ascii="Times New Roman" w:hAnsi="Times New Roman" w:cs="Times New Roman"/>
        </w:rPr>
        <w:t xml:space="preserve"> rate increase</w:t>
      </w:r>
      <w:r w:rsidR="00925E8F" w:rsidRPr="002C4F1A">
        <w:rPr>
          <w:rFonts w:ascii="Times New Roman" w:hAnsi="Times New Roman" w:cs="Times New Roman"/>
        </w:rPr>
        <w:t>s</w:t>
      </w:r>
      <w:r w:rsidRPr="002C4F1A">
        <w:rPr>
          <w:rFonts w:ascii="Times New Roman" w:hAnsi="Times New Roman" w:cs="Times New Roman"/>
        </w:rPr>
        <w:t xml:space="preserve"> that are above the review threshold.  </w:t>
      </w:r>
    </w:p>
    <w:p w:rsidR="00925E8F" w:rsidRPr="002C4F1A" w:rsidRDefault="005F0482" w:rsidP="00925E8F">
      <w:pPr>
        <w:pStyle w:val="ListParagraph"/>
        <w:numPr>
          <w:ilvl w:val="0"/>
          <w:numId w:val="3"/>
        </w:numPr>
        <w:rPr>
          <w:rFonts w:ascii="Times New Roman" w:hAnsi="Times New Roman" w:cs="Times New Roman"/>
        </w:rPr>
      </w:pPr>
      <w:r w:rsidRPr="002C4F1A">
        <w:rPr>
          <w:rFonts w:ascii="Times New Roman" w:hAnsi="Times New Roman" w:cs="Times New Roman"/>
        </w:rPr>
        <w:t xml:space="preserve"> HHS </w:t>
      </w:r>
      <w:r w:rsidR="00925E8F" w:rsidRPr="002C4F1A">
        <w:rPr>
          <w:rFonts w:ascii="Times New Roman" w:hAnsi="Times New Roman" w:cs="Times New Roman"/>
        </w:rPr>
        <w:t xml:space="preserve">should </w:t>
      </w:r>
      <w:r w:rsidRPr="002C4F1A">
        <w:rPr>
          <w:rFonts w:ascii="Times New Roman" w:hAnsi="Times New Roman" w:cs="Times New Roman"/>
        </w:rPr>
        <w:t>either use the NAIC disclosure form or substantially</w:t>
      </w:r>
      <w:r w:rsidR="00EE13A6" w:rsidRPr="002C4F1A">
        <w:rPr>
          <w:rFonts w:ascii="Times New Roman" w:hAnsi="Times New Roman" w:cs="Times New Roman"/>
        </w:rPr>
        <w:t xml:space="preserve"> increase the amount of information collected in the preliminary justification  </w:t>
      </w:r>
    </w:p>
    <w:p w:rsidR="00DD759F" w:rsidRPr="002C4F1A" w:rsidRDefault="00DD759F" w:rsidP="00925E8F">
      <w:pPr>
        <w:pStyle w:val="ListParagraph"/>
        <w:numPr>
          <w:ilvl w:val="0"/>
          <w:numId w:val="3"/>
        </w:numPr>
        <w:rPr>
          <w:rFonts w:ascii="Times New Roman" w:hAnsi="Times New Roman" w:cs="Times New Roman"/>
        </w:rPr>
      </w:pPr>
      <w:r w:rsidRPr="002C4F1A">
        <w:rPr>
          <w:rFonts w:ascii="Times New Roman" w:hAnsi="Times New Roman" w:cs="Times New Roman"/>
        </w:rPr>
        <w:t>Average rate information should be labeled as “Monthly.”</w:t>
      </w:r>
    </w:p>
    <w:p w:rsidR="00925E8F" w:rsidRPr="002C4F1A" w:rsidRDefault="00005963">
      <w:pPr>
        <w:rPr>
          <w:rFonts w:ascii="Times New Roman" w:hAnsi="Times New Roman" w:cs="Times New Roman"/>
        </w:rPr>
      </w:pPr>
      <w:r w:rsidRPr="002C4F1A">
        <w:rPr>
          <w:rFonts w:ascii="Times New Roman" w:hAnsi="Times New Roman" w:cs="Times New Roman"/>
          <w:b/>
          <w:u w:val="single"/>
        </w:rPr>
        <w:t>Response</w:t>
      </w:r>
      <w:r w:rsidR="00EE13A6" w:rsidRPr="002C4F1A">
        <w:rPr>
          <w:rFonts w:ascii="Times New Roman" w:hAnsi="Times New Roman" w:cs="Times New Roman"/>
          <w:b/>
          <w:u w:val="single"/>
        </w:rPr>
        <w:t>:</w:t>
      </w:r>
      <w:r w:rsidR="00EE13A6" w:rsidRPr="002C4F1A">
        <w:rPr>
          <w:rFonts w:ascii="Times New Roman" w:hAnsi="Times New Roman" w:cs="Times New Roman"/>
        </w:rPr>
        <w:t xml:space="preserve">  We do not believe that it would be appropriate to collect detailed rate filing-level data from health insurance issuer</w:t>
      </w:r>
      <w:r w:rsidR="00925E8F" w:rsidRPr="002C4F1A">
        <w:rPr>
          <w:rFonts w:ascii="Times New Roman" w:hAnsi="Times New Roman" w:cs="Times New Roman"/>
        </w:rPr>
        <w:t xml:space="preserve">s implementing rates in effective rate review States, as we are deferring got those programs to conduct reviews and provide public access to data. </w:t>
      </w:r>
      <w:r w:rsidR="00911354" w:rsidRPr="002C4F1A">
        <w:rPr>
          <w:rFonts w:ascii="Times New Roman" w:hAnsi="Times New Roman" w:cs="Times New Roman"/>
        </w:rPr>
        <w:t>CMS</w:t>
      </w:r>
      <w:r w:rsidR="00EE13A6" w:rsidRPr="002C4F1A">
        <w:rPr>
          <w:rFonts w:ascii="Times New Roman" w:hAnsi="Times New Roman" w:cs="Times New Roman"/>
        </w:rPr>
        <w:t xml:space="preserve"> will public</w:t>
      </w:r>
      <w:r w:rsidR="00911354" w:rsidRPr="002C4F1A">
        <w:rPr>
          <w:rFonts w:ascii="Times New Roman" w:hAnsi="Times New Roman" w:cs="Times New Roman"/>
        </w:rPr>
        <w:t>ly</w:t>
      </w:r>
      <w:r w:rsidR="00EE13A6" w:rsidRPr="002C4F1A">
        <w:rPr>
          <w:rFonts w:ascii="Times New Roman" w:hAnsi="Times New Roman" w:cs="Times New Roman"/>
        </w:rPr>
        <w:t xml:space="preserve"> release </w:t>
      </w:r>
      <w:r w:rsidR="00925E8F" w:rsidRPr="002C4F1A">
        <w:rPr>
          <w:rFonts w:ascii="Times New Roman" w:hAnsi="Times New Roman" w:cs="Times New Roman"/>
        </w:rPr>
        <w:t>detailed filing i</w:t>
      </w:r>
      <w:r w:rsidR="00EE13A6" w:rsidRPr="002C4F1A">
        <w:rPr>
          <w:rFonts w:ascii="Times New Roman" w:hAnsi="Times New Roman" w:cs="Times New Roman"/>
        </w:rPr>
        <w:t xml:space="preserve">nformation </w:t>
      </w:r>
      <w:r w:rsidR="00925E8F" w:rsidRPr="002C4F1A">
        <w:rPr>
          <w:rFonts w:ascii="Times New Roman" w:hAnsi="Times New Roman" w:cs="Times New Roman"/>
        </w:rPr>
        <w:t xml:space="preserve">when it is conducting the review. </w:t>
      </w:r>
      <w:r w:rsidR="00DD759F" w:rsidRPr="002C4F1A">
        <w:rPr>
          <w:rFonts w:ascii="Times New Roman" w:hAnsi="Times New Roman" w:cs="Times New Roman"/>
        </w:rPr>
        <w:t xml:space="preserve">The form was edited to note </w:t>
      </w:r>
      <w:r w:rsidR="0070767C" w:rsidRPr="002C4F1A">
        <w:rPr>
          <w:rFonts w:ascii="Times New Roman" w:hAnsi="Times New Roman" w:cs="Times New Roman"/>
        </w:rPr>
        <w:t>that averages shown are monthly averages.</w:t>
      </w:r>
    </w:p>
    <w:p w:rsidR="005F0482" w:rsidRPr="002C4F1A" w:rsidRDefault="00977826">
      <w:pPr>
        <w:rPr>
          <w:rFonts w:ascii="Times New Roman" w:hAnsi="Times New Roman" w:cs="Times New Roman"/>
        </w:rPr>
      </w:pPr>
      <w:r w:rsidRPr="002C4F1A">
        <w:rPr>
          <w:rFonts w:ascii="Times New Roman" w:hAnsi="Times New Roman" w:cs="Times New Roman"/>
        </w:rPr>
        <w:t>The consumer disclosure in its current form is intended to  strike a balance between providing consumer with key quantitative and descriptive information on the underlying causes of the rate increase without providing overly-technical information related to the rate development process.</w:t>
      </w:r>
      <w:r w:rsidR="00911354" w:rsidRPr="002C4F1A">
        <w:rPr>
          <w:rFonts w:ascii="Times New Roman" w:hAnsi="Times New Roman" w:cs="Times New Roman"/>
        </w:rPr>
        <w:t xml:space="preserve">  </w:t>
      </w:r>
      <w:r w:rsidRPr="002C4F1A">
        <w:rPr>
          <w:rFonts w:ascii="Times New Roman" w:hAnsi="Times New Roman" w:cs="Times New Roman"/>
        </w:rPr>
        <w:t xml:space="preserve"> </w:t>
      </w:r>
      <w:r w:rsidR="00EE13A6" w:rsidRPr="002C4F1A">
        <w:rPr>
          <w:rFonts w:ascii="Times New Roman" w:hAnsi="Times New Roman" w:cs="Times New Roman"/>
        </w:rPr>
        <w:t xml:space="preserve"> </w:t>
      </w:r>
      <w:r w:rsidR="00911354" w:rsidRPr="002C4F1A">
        <w:rPr>
          <w:rFonts w:ascii="Times New Roman" w:hAnsi="Times New Roman" w:cs="Times New Roman"/>
        </w:rPr>
        <w:t>More technical information will be available on the CMS website.</w:t>
      </w:r>
    </w:p>
    <w:p w:rsidR="00005963" w:rsidRPr="002C4F1A" w:rsidRDefault="00005963" w:rsidP="00005963">
      <w:pPr>
        <w:rPr>
          <w:rFonts w:ascii="Times New Roman" w:hAnsi="Times New Roman" w:cs="Times New Roman"/>
        </w:rPr>
      </w:pPr>
      <w:r w:rsidRPr="002C4F1A">
        <w:rPr>
          <w:rFonts w:ascii="Times New Roman" w:hAnsi="Times New Roman" w:cs="Times New Roman"/>
          <w:b/>
          <w:u w:val="single"/>
        </w:rPr>
        <w:t>Comment:</w:t>
      </w:r>
      <w:r w:rsidRPr="002C4F1A">
        <w:rPr>
          <w:rFonts w:ascii="Times New Roman" w:hAnsi="Times New Roman" w:cs="Times New Roman"/>
        </w:rPr>
        <w:t xml:space="preserve"> Several health insurance issuers and a state regulatory association, raised concerns that the information provided on the disclosure is not relevant to consumers:</w:t>
      </w:r>
    </w:p>
    <w:p w:rsidR="00925E8F" w:rsidRPr="002C4F1A" w:rsidRDefault="00925E8F" w:rsidP="00005963">
      <w:pPr>
        <w:pStyle w:val="ListParagraph"/>
        <w:numPr>
          <w:ilvl w:val="0"/>
          <w:numId w:val="10"/>
        </w:numPr>
        <w:rPr>
          <w:rFonts w:ascii="Times New Roman" w:hAnsi="Times New Roman" w:cs="Times New Roman"/>
        </w:rPr>
      </w:pPr>
      <w:r w:rsidRPr="002C4F1A">
        <w:rPr>
          <w:rFonts w:ascii="Times New Roman" w:hAnsi="Times New Roman" w:cs="Times New Roman"/>
        </w:rPr>
        <w:t>T</w:t>
      </w:r>
      <w:r w:rsidR="00977826" w:rsidRPr="002C4F1A">
        <w:rPr>
          <w:rFonts w:ascii="Times New Roman" w:hAnsi="Times New Roman" w:cs="Times New Roman"/>
        </w:rPr>
        <w:t xml:space="preserve">he presentation of information on the disclosure form will be misleading or not meaningful to consumers, as the form will not capture or describe an individual’s actual premium increase.  </w:t>
      </w:r>
    </w:p>
    <w:p w:rsidR="00925E8F" w:rsidRPr="002C4F1A" w:rsidRDefault="00925E8F" w:rsidP="00977826">
      <w:pPr>
        <w:pStyle w:val="ListParagraph"/>
        <w:numPr>
          <w:ilvl w:val="0"/>
          <w:numId w:val="5"/>
        </w:numPr>
        <w:rPr>
          <w:rFonts w:ascii="Times New Roman" w:hAnsi="Times New Roman" w:cs="Times New Roman"/>
        </w:rPr>
      </w:pPr>
      <w:r w:rsidRPr="002C4F1A">
        <w:rPr>
          <w:rFonts w:ascii="Times New Roman" w:hAnsi="Times New Roman" w:cs="Times New Roman"/>
        </w:rPr>
        <w:t>T</w:t>
      </w:r>
      <w:r w:rsidR="00977826" w:rsidRPr="002C4F1A">
        <w:rPr>
          <w:rFonts w:ascii="Times New Roman" w:hAnsi="Times New Roman" w:cs="Times New Roman"/>
        </w:rPr>
        <w:t>he effective date of the increase could occur on an individual’s anniversary date, which in most cases will be different from the effective date of rate increase provided in a rate filing</w:t>
      </w:r>
      <w:r w:rsidRPr="002C4F1A">
        <w:rPr>
          <w:rFonts w:ascii="Times New Roman" w:hAnsi="Times New Roman" w:cs="Times New Roman"/>
        </w:rPr>
        <w:t>.</w:t>
      </w:r>
    </w:p>
    <w:p w:rsidR="00977826" w:rsidRPr="002C4F1A" w:rsidRDefault="00005963" w:rsidP="00925E8F">
      <w:pPr>
        <w:rPr>
          <w:rFonts w:ascii="Times New Roman" w:hAnsi="Times New Roman" w:cs="Times New Roman"/>
          <w:b/>
        </w:rPr>
      </w:pPr>
      <w:r w:rsidRPr="002C4F1A">
        <w:rPr>
          <w:rFonts w:ascii="Times New Roman" w:hAnsi="Times New Roman" w:cs="Times New Roman"/>
          <w:b/>
          <w:u w:val="single"/>
        </w:rPr>
        <w:t>Response</w:t>
      </w:r>
      <w:r w:rsidR="00977826" w:rsidRPr="002C4F1A">
        <w:rPr>
          <w:rFonts w:ascii="Times New Roman" w:hAnsi="Times New Roman" w:cs="Times New Roman"/>
          <w:b/>
          <w:u w:val="single"/>
        </w:rPr>
        <w:t>:</w:t>
      </w:r>
      <w:r w:rsidR="00977826" w:rsidRPr="002C4F1A">
        <w:rPr>
          <w:rFonts w:ascii="Times New Roman" w:hAnsi="Times New Roman" w:cs="Times New Roman"/>
        </w:rPr>
        <w:t xml:space="preserve">  </w:t>
      </w:r>
      <w:r w:rsidR="000A4341" w:rsidRPr="002C4F1A">
        <w:rPr>
          <w:rFonts w:ascii="Times New Roman" w:hAnsi="Times New Roman" w:cs="Times New Roman"/>
        </w:rPr>
        <w:t xml:space="preserve">The disclosure is intended to provide an explanation </w:t>
      </w:r>
      <w:r w:rsidR="00911354" w:rsidRPr="002C4F1A">
        <w:rPr>
          <w:rFonts w:ascii="Times New Roman" w:hAnsi="Times New Roman" w:cs="Times New Roman"/>
        </w:rPr>
        <w:t xml:space="preserve">as </w:t>
      </w:r>
      <w:r w:rsidR="00B07131" w:rsidRPr="002C4F1A">
        <w:rPr>
          <w:rFonts w:ascii="Times New Roman" w:hAnsi="Times New Roman" w:cs="Times New Roman"/>
        </w:rPr>
        <w:t>to why</w:t>
      </w:r>
      <w:r w:rsidR="000A4341" w:rsidRPr="002C4F1A">
        <w:rPr>
          <w:rFonts w:ascii="Times New Roman" w:hAnsi="Times New Roman" w:cs="Times New Roman"/>
        </w:rPr>
        <w:t xml:space="preserve"> the issuer is changing its existing rate structure</w:t>
      </w:r>
      <w:r w:rsidR="00911354" w:rsidRPr="002C4F1A">
        <w:rPr>
          <w:rFonts w:ascii="Times New Roman" w:hAnsi="Times New Roman" w:cs="Times New Roman"/>
        </w:rPr>
        <w:t xml:space="preserve"> </w:t>
      </w:r>
      <w:r w:rsidR="000A4341" w:rsidRPr="002C4F1A">
        <w:rPr>
          <w:rFonts w:ascii="Times New Roman" w:hAnsi="Times New Roman" w:cs="Times New Roman"/>
        </w:rPr>
        <w:t>- the underlying basis for determining every insureds underlying premium</w:t>
      </w:r>
      <w:r w:rsidR="00911354" w:rsidRPr="002C4F1A">
        <w:rPr>
          <w:rFonts w:ascii="Times New Roman" w:hAnsi="Times New Roman" w:cs="Times New Roman"/>
        </w:rPr>
        <w:t xml:space="preserve"> and the explanatory text included in the form describes the distinction between premiums and rates</w:t>
      </w:r>
      <w:r w:rsidR="000A4341" w:rsidRPr="002C4F1A">
        <w:rPr>
          <w:rFonts w:ascii="Times New Roman" w:hAnsi="Times New Roman" w:cs="Times New Roman"/>
        </w:rPr>
        <w:t>.  While it is true that the overall product</w:t>
      </w:r>
      <w:r w:rsidR="00911354" w:rsidRPr="002C4F1A">
        <w:rPr>
          <w:rFonts w:ascii="Times New Roman" w:hAnsi="Times New Roman" w:cs="Times New Roman"/>
        </w:rPr>
        <w:t>-</w:t>
      </w:r>
      <w:r w:rsidR="000A4341" w:rsidRPr="002C4F1A">
        <w:rPr>
          <w:rFonts w:ascii="Times New Roman" w:hAnsi="Times New Roman" w:cs="Times New Roman"/>
        </w:rPr>
        <w:t xml:space="preserve">level information provided on the form does not speak to an individual insured’s rate increase, the disclosure </w:t>
      </w:r>
      <w:r w:rsidR="00911354" w:rsidRPr="002C4F1A">
        <w:rPr>
          <w:rFonts w:ascii="Times New Roman" w:hAnsi="Times New Roman" w:cs="Times New Roman"/>
        </w:rPr>
        <w:t xml:space="preserve">does </w:t>
      </w:r>
      <w:r w:rsidR="000A4341" w:rsidRPr="002C4F1A">
        <w:rPr>
          <w:rFonts w:ascii="Times New Roman" w:hAnsi="Times New Roman" w:cs="Times New Roman"/>
        </w:rPr>
        <w:t>provide</w:t>
      </w:r>
      <w:r w:rsidR="00070704" w:rsidRPr="002C4F1A">
        <w:rPr>
          <w:rFonts w:ascii="Times New Roman" w:hAnsi="Times New Roman" w:cs="Times New Roman"/>
        </w:rPr>
        <w:t>s</w:t>
      </w:r>
      <w:r w:rsidR="000A4341" w:rsidRPr="002C4F1A">
        <w:rPr>
          <w:rFonts w:ascii="Times New Roman" w:hAnsi="Times New Roman" w:cs="Times New Roman"/>
        </w:rPr>
        <w:t xml:space="preserve"> a</w:t>
      </w:r>
      <w:r w:rsidR="00911354" w:rsidRPr="002C4F1A">
        <w:rPr>
          <w:rFonts w:ascii="Times New Roman" w:hAnsi="Times New Roman" w:cs="Times New Roman"/>
        </w:rPr>
        <w:t>n</w:t>
      </w:r>
      <w:r w:rsidR="000A4341" w:rsidRPr="002C4F1A">
        <w:rPr>
          <w:rFonts w:ascii="Times New Roman" w:hAnsi="Times New Roman" w:cs="Times New Roman"/>
        </w:rPr>
        <w:t xml:space="preserve"> overview o</w:t>
      </w:r>
      <w:r w:rsidR="00925E8F" w:rsidRPr="002C4F1A">
        <w:rPr>
          <w:rFonts w:ascii="Times New Roman" w:hAnsi="Times New Roman" w:cs="Times New Roman"/>
        </w:rPr>
        <w:t>f</w:t>
      </w:r>
      <w:r w:rsidR="000A4341" w:rsidRPr="002C4F1A">
        <w:rPr>
          <w:rFonts w:ascii="Times New Roman" w:hAnsi="Times New Roman" w:cs="Times New Roman"/>
        </w:rPr>
        <w:t xml:space="preserve"> </w:t>
      </w:r>
      <w:r w:rsidR="00911354" w:rsidRPr="002C4F1A">
        <w:rPr>
          <w:rFonts w:ascii="Times New Roman" w:hAnsi="Times New Roman" w:cs="Times New Roman"/>
        </w:rPr>
        <w:t xml:space="preserve">the reasons behind </w:t>
      </w:r>
      <w:r w:rsidR="00B07131" w:rsidRPr="002C4F1A">
        <w:rPr>
          <w:rFonts w:ascii="Times New Roman" w:hAnsi="Times New Roman" w:cs="Times New Roman"/>
        </w:rPr>
        <w:t>an issuer’s</w:t>
      </w:r>
      <w:r w:rsidR="00911354" w:rsidRPr="002C4F1A">
        <w:rPr>
          <w:rFonts w:ascii="Times New Roman" w:hAnsi="Times New Roman" w:cs="Times New Roman"/>
        </w:rPr>
        <w:t xml:space="preserve"> increase proposal.</w:t>
      </w:r>
      <w:r w:rsidR="000A4341" w:rsidRPr="002C4F1A">
        <w:rPr>
          <w:rFonts w:ascii="Times New Roman" w:hAnsi="Times New Roman" w:cs="Times New Roman"/>
        </w:rPr>
        <w:t xml:space="preserve">  </w:t>
      </w:r>
      <w:r w:rsidR="00B07131" w:rsidRPr="002C4F1A">
        <w:rPr>
          <w:rFonts w:ascii="Times New Roman" w:hAnsi="Times New Roman" w:cs="Times New Roman"/>
        </w:rPr>
        <w:t xml:space="preserve">The language regarding the effective date was amended to address rolling effective dates and the use of “rate” and “premium”  </w:t>
      </w:r>
    </w:p>
    <w:p w:rsidR="00DF04AC" w:rsidRPr="002C4F1A" w:rsidRDefault="00612BC6" w:rsidP="00612BC6">
      <w:pPr>
        <w:rPr>
          <w:rFonts w:ascii="Times New Roman" w:hAnsi="Times New Roman" w:cs="Times New Roman"/>
        </w:rPr>
      </w:pPr>
      <w:r w:rsidRPr="002C4F1A">
        <w:rPr>
          <w:rFonts w:ascii="Times New Roman" w:hAnsi="Times New Roman" w:cs="Times New Roman"/>
          <w:b/>
          <w:u w:val="single"/>
        </w:rPr>
        <w:lastRenderedPageBreak/>
        <w:t>Comment:</w:t>
      </w:r>
      <w:r w:rsidRPr="002C4F1A">
        <w:rPr>
          <w:rFonts w:ascii="Times New Roman" w:hAnsi="Times New Roman" w:cs="Times New Roman"/>
          <w:b/>
        </w:rPr>
        <w:t xml:space="preserve">  </w:t>
      </w:r>
      <w:r w:rsidRPr="002C4F1A">
        <w:rPr>
          <w:rFonts w:ascii="Times New Roman" w:hAnsi="Times New Roman" w:cs="Times New Roman"/>
        </w:rPr>
        <w:t xml:space="preserve">We received </w:t>
      </w:r>
      <w:r w:rsidR="002342CE" w:rsidRPr="002C4F1A">
        <w:rPr>
          <w:rFonts w:ascii="Times New Roman" w:hAnsi="Times New Roman" w:cs="Times New Roman"/>
        </w:rPr>
        <w:t>comments from a professional actuarial</w:t>
      </w:r>
      <w:r w:rsidRPr="002C4F1A">
        <w:rPr>
          <w:rFonts w:ascii="Times New Roman" w:hAnsi="Times New Roman" w:cs="Times New Roman"/>
        </w:rPr>
        <w:t xml:space="preserve"> association and a health insurance issuer stating that the disclosure form will only work for individual market products</w:t>
      </w:r>
      <w:r w:rsidR="000A4341" w:rsidRPr="002C4F1A">
        <w:rPr>
          <w:rFonts w:ascii="Times New Roman" w:hAnsi="Times New Roman" w:cs="Times New Roman"/>
        </w:rPr>
        <w:t>.  These commenters cited several areas on the form that in their view do not make sense in the small group market:</w:t>
      </w:r>
    </w:p>
    <w:p w:rsidR="00DF04AC" w:rsidRPr="002C4F1A" w:rsidRDefault="00DF04AC" w:rsidP="00612BC6">
      <w:pPr>
        <w:pStyle w:val="ListParagraph"/>
        <w:numPr>
          <w:ilvl w:val="0"/>
          <w:numId w:val="6"/>
        </w:numPr>
        <w:rPr>
          <w:rFonts w:ascii="Times New Roman" w:hAnsi="Times New Roman" w:cs="Times New Roman"/>
        </w:rPr>
      </w:pPr>
      <w:r w:rsidRPr="002C4F1A">
        <w:rPr>
          <w:rFonts w:ascii="Times New Roman" w:hAnsi="Times New Roman" w:cs="Times New Roman"/>
        </w:rPr>
        <w:t>T</w:t>
      </w:r>
      <w:r w:rsidR="000A4341" w:rsidRPr="002C4F1A">
        <w:rPr>
          <w:rFonts w:ascii="Times New Roman" w:hAnsi="Times New Roman" w:cs="Times New Roman"/>
        </w:rPr>
        <w:t xml:space="preserve">he overall rate increase in the small group market could be affected by an employer’s contribution, </w:t>
      </w:r>
    </w:p>
    <w:p w:rsidR="00DF04AC" w:rsidRPr="002C4F1A" w:rsidRDefault="00DF04AC" w:rsidP="00612BC6">
      <w:pPr>
        <w:pStyle w:val="ListParagraph"/>
        <w:numPr>
          <w:ilvl w:val="0"/>
          <w:numId w:val="6"/>
        </w:numPr>
        <w:rPr>
          <w:rFonts w:ascii="Times New Roman" w:hAnsi="Times New Roman" w:cs="Times New Roman"/>
        </w:rPr>
      </w:pPr>
      <w:r w:rsidRPr="002C4F1A">
        <w:rPr>
          <w:rFonts w:ascii="Times New Roman" w:hAnsi="Times New Roman" w:cs="Times New Roman"/>
        </w:rPr>
        <w:t>I</w:t>
      </w:r>
      <w:r w:rsidR="000A4341" w:rsidRPr="002C4F1A">
        <w:rPr>
          <w:rFonts w:ascii="Times New Roman" w:hAnsi="Times New Roman" w:cs="Times New Roman"/>
        </w:rPr>
        <w:t>t is unclear how a maximum and minimum rate inc</w:t>
      </w:r>
      <w:r w:rsidR="00DE461F" w:rsidRPr="002C4F1A">
        <w:rPr>
          <w:rFonts w:ascii="Times New Roman" w:hAnsi="Times New Roman" w:cs="Times New Roman"/>
        </w:rPr>
        <w:t>rease should be reported for small group products, and</w:t>
      </w:r>
    </w:p>
    <w:p w:rsidR="00DF04AC" w:rsidRPr="002C4F1A" w:rsidRDefault="00DF04AC" w:rsidP="00DC00B2">
      <w:pPr>
        <w:pStyle w:val="ListParagraph"/>
        <w:numPr>
          <w:ilvl w:val="0"/>
          <w:numId w:val="6"/>
        </w:numPr>
        <w:rPr>
          <w:rFonts w:ascii="Times New Roman" w:hAnsi="Times New Roman" w:cs="Times New Roman"/>
        </w:rPr>
      </w:pPr>
      <w:r w:rsidRPr="002C4F1A">
        <w:rPr>
          <w:rFonts w:ascii="Times New Roman" w:hAnsi="Times New Roman" w:cs="Times New Roman"/>
        </w:rPr>
        <w:t>T</w:t>
      </w:r>
      <w:r w:rsidR="00DE461F" w:rsidRPr="002C4F1A">
        <w:rPr>
          <w:rFonts w:ascii="Times New Roman" w:hAnsi="Times New Roman" w:cs="Times New Roman"/>
        </w:rPr>
        <w:t>he text on the form currently does not distinguish between individuals and employers.</w:t>
      </w:r>
      <w:r w:rsidR="00384EB6" w:rsidRPr="002C4F1A">
        <w:rPr>
          <w:rFonts w:ascii="Times New Roman" w:hAnsi="Times New Roman" w:cs="Times New Roman"/>
        </w:rPr>
        <w:t xml:space="preserve"> </w:t>
      </w:r>
    </w:p>
    <w:p w:rsidR="00DE461F" w:rsidRPr="002C4F1A" w:rsidRDefault="00612BC6" w:rsidP="00DF04AC">
      <w:pPr>
        <w:rPr>
          <w:rFonts w:ascii="Times New Roman" w:hAnsi="Times New Roman" w:cs="Times New Roman"/>
        </w:rPr>
      </w:pPr>
      <w:r w:rsidRPr="002C4F1A">
        <w:rPr>
          <w:rFonts w:ascii="Times New Roman" w:hAnsi="Times New Roman" w:cs="Times New Roman"/>
          <w:b/>
          <w:u w:val="single"/>
        </w:rPr>
        <w:t>Response</w:t>
      </w:r>
      <w:r w:rsidR="00DF04AC" w:rsidRPr="002C4F1A">
        <w:rPr>
          <w:rFonts w:ascii="Times New Roman" w:hAnsi="Times New Roman" w:cs="Times New Roman"/>
          <w:b/>
          <w:u w:val="single"/>
        </w:rPr>
        <w:t>:</w:t>
      </w:r>
      <w:r w:rsidR="008A6852" w:rsidRPr="002C4F1A">
        <w:rPr>
          <w:rFonts w:ascii="Times New Roman" w:hAnsi="Times New Roman" w:cs="Times New Roman"/>
        </w:rPr>
        <w:t xml:space="preserve">  Most of the information that appears on the </w:t>
      </w:r>
      <w:r w:rsidRPr="002C4F1A">
        <w:rPr>
          <w:rFonts w:ascii="Times New Roman" w:hAnsi="Times New Roman" w:cs="Times New Roman"/>
        </w:rPr>
        <w:t xml:space="preserve">consumer disclosure form </w:t>
      </w:r>
      <w:r w:rsidR="008A6852" w:rsidRPr="002C4F1A">
        <w:rPr>
          <w:rFonts w:ascii="Times New Roman" w:hAnsi="Times New Roman" w:cs="Times New Roman"/>
        </w:rPr>
        <w:t xml:space="preserve">is </w:t>
      </w:r>
      <w:r w:rsidR="00DC00B2" w:rsidRPr="002C4F1A">
        <w:rPr>
          <w:rFonts w:ascii="Times New Roman" w:hAnsi="Times New Roman" w:cs="Times New Roman"/>
        </w:rPr>
        <w:t xml:space="preserve">high level rate increase information that is relevant to both markets.  </w:t>
      </w:r>
      <w:r w:rsidR="008A6852" w:rsidRPr="002C4F1A">
        <w:rPr>
          <w:rFonts w:ascii="Times New Roman" w:hAnsi="Times New Roman" w:cs="Times New Roman"/>
        </w:rPr>
        <w:t>However, b</w:t>
      </w:r>
      <w:r w:rsidR="00DE461F" w:rsidRPr="002C4F1A">
        <w:rPr>
          <w:rFonts w:ascii="Times New Roman" w:hAnsi="Times New Roman" w:cs="Times New Roman"/>
        </w:rPr>
        <w:t>ased on the comments</w:t>
      </w:r>
      <w:r w:rsidR="008A6852" w:rsidRPr="002C4F1A">
        <w:rPr>
          <w:rFonts w:ascii="Times New Roman" w:hAnsi="Times New Roman" w:cs="Times New Roman"/>
        </w:rPr>
        <w:t>,</w:t>
      </w:r>
      <w:r w:rsidR="00DE461F" w:rsidRPr="002C4F1A">
        <w:rPr>
          <w:rFonts w:ascii="Times New Roman" w:hAnsi="Times New Roman" w:cs="Times New Roman"/>
        </w:rPr>
        <w:t xml:space="preserve"> we</w:t>
      </w:r>
      <w:r w:rsidRPr="002C4F1A">
        <w:rPr>
          <w:rFonts w:ascii="Times New Roman" w:hAnsi="Times New Roman" w:cs="Times New Roman"/>
        </w:rPr>
        <w:t xml:space="preserve"> have made changes to the instructions to indicate how data should be provided for small group products</w:t>
      </w:r>
      <w:r w:rsidR="00DE461F" w:rsidRPr="002C4F1A">
        <w:rPr>
          <w:rFonts w:ascii="Times New Roman" w:hAnsi="Times New Roman" w:cs="Times New Roman"/>
        </w:rPr>
        <w:t xml:space="preserve"> (e.g., reporting the maximum and minimum premium increases)</w:t>
      </w:r>
      <w:r w:rsidRPr="002C4F1A">
        <w:rPr>
          <w:rFonts w:ascii="Times New Roman" w:hAnsi="Times New Roman" w:cs="Times New Roman"/>
        </w:rPr>
        <w:t xml:space="preserve">.  Changes have also been made to the text of the disclosure to accommodate </w:t>
      </w:r>
      <w:r w:rsidR="008A6852" w:rsidRPr="002C4F1A">
        <w:rPr>
          <w:rFonts w:ascii="Times New Roman" w:hAnsi="Times New Roman" w:cs="Times New Roman"/>
        </w:rPr>
        <w:t xml:space="preserve">information related to </w:t>
      </w:r>
      <w:r w:rsidRPr="002C4F1A">
        <w:rPr>
          <w:rFonts w:ascii="Times New Roman" w:hAnsi="Times New Roman" w:cs="Times New Roman"/>
        </w:rPr>
        <w:t>small group products.</w:t>
      </w:r>
    </w:p>
    <w:p w:rsidR="00DF04AC" w:rsidRPr="002C4F1A" w:rsidRDefault="00992D54" w:rsidP="00DC00B2">
      <w:pPr>
        <w:rPr>
          <w:rFonts w:ascii="Times New Roman" w:hAnsi="Times New Roman" w:cs="Times New Roman"/>
        </w:rPr>
      </w:pPr>
      <w:r w:rsidRPr="002C4F1A">
        <w:rPr>
          <w:rFonts w:ascii="Times New Roman" w:hAnsi="Times New Roman" w:cs="Times New Roman"/>
          <w:b/>
          <w:u w:val="single"/>
        </w:rPr>
        <w:t>Comment</w:t>
      </w:r>
      <w:r w:rsidR="00DC00B2" w:rsidRPr="002C4F1A">
        <w:rPr>
          <w:rFonts w:ascii="Times New Roman" w:hAnsi="Times New Roman" w:cs="Times New Roman"/>
          <w:b/>
          <w:u w:val="single"/>
        </w:rPr>
        <w:t>:</w:t>
      </w:r>
      <w:r w:rsidR="00DC00B2" w:rsidRPr="002C4F1A">
        <w:rPr>
          <w:rFonts w:ascii="Times New Roman" w:hAnsi="Times New Roman" w:cs="Times New Roman"/>
        </w:rPr>
        <w:t xml:space="preserve"> </w:t>
      </w:r>
      <w:r w:rsidR="00DF04AC" w:rsidRPr="002C4F1A">
        <w:rPr>
          <w:rFonts w:ascii="Times New Roman" w:hAnsi="Times New Roman" w:cs="Times New Roman"/>
        </w:rPr>
        <w:t xml:space="preserve">We received several comments </w:t>
      </w:r>
      <w:r w:rsidR="00DC00B2" w:rsidRPr="002C4F1A">
        <w:rPr>
          <w:rFonts w:ascii="Times New Roman" w:hAnsi="Times New Roman" w:cs="Times New Roman"/>
        </w:rPr>
        <w:t>from health insurance issuers and a</w:t>
      </w:r>
      <w:r w:rsidR="002342CE" w:rsidRPr="002C4F1A">
        <w:rPr>
          <w:rFonts w:ascii="Times New Roman" w:hAnsi="Times New Roman" w:cs="Times New Roman"/>
        </w:rPr>
        <w:t xml:space="preserve"> </w:t>
      </w:r>
      <w:r w:rsidR="00DC00B2" w:rsidRPr="002C4F1A">
        <w:rPr>
          <w:rFonts w:ascii="Times New Roman" w:hAnsi="Times New Roman" w:cs="Times New Roman"/>
        </w:rPr>
        <w:t xml:space="preserve">professional actuarial association stating that the introductory text in the disclosure does not accurately describe the rate review program.  </w:t>
      </w:r>
      <w:r w:rsidR="00986850" w:rsidRPr="002C4F1A">
        <w:rPr>
          <w:rFonts w:ascii="Times New Roman" w:hAnsi="Times New Roman" w:cs="Times New Roman"/>
        </w:rPr>
        <w:t xml:space="preserve">Problems perceived by </w:t>
      </w:r>
      <w:proofErr w:type="spellStart"/>
      <w:r w:rsidR="00DC00B2" w:rsidRPr="002C4F1A">
        <w:rPr>
          <w:rFonts w:ascii="Times New Roman" w:hAnsi="Times New Roman" w:cs="Times New Roman"/>
        </w:rPr>
        <w:t>commenters</w:t>
      </w:r>
      <w:proofErr w:type="spellEnd"/>
      <w:r w:rsidR="00DC00B2" w:rsidRPr="002C4F1A">
        <w:rPr>
          <w:rFonts w:ascii="Times New Roman" w:hAnsi="Times New Roman" w:cs="Times New Roman"/>
        </w:rPr>
        <w:t xml:space="preserve"> </w:t>
      </w:r>
      <w:r w:rsidR="00986850" w:rsidRPr="002C4F1A">
        <w:rPr>
          <w:rFonts w:ascii="Times New Roman" w:hAnsi="Times New Roman" w:cs="Times New Roman"/>
        </w:rPr>
        <w:t>are:</w:t>
      </w:r>
    </w:p>
    <w:p w:rsidR="00DF04AC" w:rsidRPr="002C4F1A" w:rsidRDefault="00986850" w:rsidP="00DC00B2">
      <w:pPr>
        <w:pStyle w:val="ListParagraph"/>
        <w:numPr>
          <w:ilvl w:val="0"/>
          <w:numId w:val="2"/>
        </w:numPr>
        <w:rPr>
          <w:rFonts w:ascii="Times New Roman" w:hAnsi="Times New Roman" w:cs="Times New Roman"/>
        </w:rPr>
      </w:pPr>
      <w:r w:rsidRPr="002C4F1A">
        <w:rPr>
          <w:rFonts w:ascii="Times New Roman" w:hAnsi="Times New Roman" w:cs="Times New Roman"/>
        </w:rPr>
        <w:t>The language should not b</w:t>
      </w:r>
      <w:r w:rsidR="00070704" w:rsidRPr="002C4F1A">
        <w:rPr>
          <w:rFonts w:ascii="Times New Roman" w:hAnsi="Times New Roman" w:cs="Times New Roman"/>
        </w:rPr>
        <w:t xml:space="preserve">ias </w:t>
      </w:r>
      <w:r w:rsidR="00DF04AC" w:rsidRPr="002C4F1A">
        <w:rPr>
          <w:rFonts w:ascii="Times New Roman" w:hAnsi="Times New Roman" w:cs="Times New Roman"/>
        </w:rPr>
        <w:t>consumers’</w:t>
      </w:r>
      <w:r w:rsidR="00070704" w:rsidRPr="002C4F1A">
        <w:rPr>
          <w:rFonts w:ascii="Times New Roman" w:hAnsi="Times New Roman" w:cs="Times New Roman"/>
        </w:rPr>
        <w:t xml:space="preserve"> interpretation of rates that are under review</w:t>
      </w:r>
      <w:r w:rsidRPr="002C4F1A">
        <w:rPr>
          <w:rFonts w:ascii="Times New Roman" w:hAnsi="Times New Roman" w:cs="Times New Roman"/>
        </w:rPr>
        <w:t xml:space="preserve"> and should make it clear that the rate increases disclosed have not been found to be “unreasonable.”</w:t>
      </w:r>
    </w:p>
    <w:p w:rsidR="00DF04AC" w:rsidRPr="002C4F1A" w:rsidRDefault="00986850" w:rsidP="00DC00B2">
      <w:pPr>
        <w:pStyle w:val="ListParagraph"/>
        <w:numPr>
          <w:ilvl w:val="0"/>
          <w:numId w:val="2"/>
        </w:numPr>
        <w:rPr>
          <w:rFonts w:ascii="Times New Roman" w:hAnsi="Times New Roman" w:cs="Times New Roman"/>
        </w:rPr>
      </w:pPr>
      <w:r w:rsidRPr="002C4F1A">
        <w:rPr>
          <w:rFonts w:ascii="Times New Roman" w:hAnsi="Times New Roman" w:cs="Times New Roman"/>
        </w:rPr>
        <w:t>The language should not g</w:t>
      </w:r>
      <w:r w:rsidR="00070704" w:rsidRPr="002C4F1A">
        <w:rPr>
          <w:rFonts w:ascii="Times New Roman" w:hAnsi="Times New Roman" w:cs="Times New Roman"/>
        </w:rPr>
        <w:t>ive consumers the false impression that HHS has the authority to approve or reject rate increases</w:t>
      </w:r>
      <w:r w:rsidR="00DF04AC" w:rsidRPr="002C4F1A">
        <w:rPr>
          <w:rFonts w:ascii="Times New Roman" w:hAnsi="Times New Roman" w:cs="Times New Roman"/>
        </w:rPr>
        <w:t>.</w:t>
      </w:r>
    </w:p>
    <w:p w:rsidR="00986850" w:rsidRPr="002C4F1A" w:rsidRDefault="00986850" w:rsidP="00DC00B2">
      <w:pPr>
        <w:pStyle w:val="ListParagraph"/>
        <w:numPr>
          <w:ilvl w:val="0"/>
          <w:numId w:val="2"/>
        </w:numPr>
        <w:rPr>
          <w:rFonts w:ascii="Times New Roman" w:hAnsi="Times New Roman" w:cs="Times New Roman"/>
        </w:rPr>
      </w:pPr>
      <w:r w:rsidRPr="002C4F1A">
        <w:rPr>
          <w:rFonts w:ascii="Times New Roman" w:hAnsi="Times New Roman" w:cs="Times New Roman"/>
        </w:rPr>
        <w:t>The first paragraph falsely states that the ACA requires health insurers to provide the preliminary justification information when they propose an increase over 10%</w:t>
      </w:r>
    </w:p>
    <w:p w:rsidR="00DF04AC" w:rsidRPr="002C4F1A" w:rsidRDefault="00992D54" w:rsidP="00643AEA">
      <w:pPr>
        <w:rPr>
          <w:rFonts w:ascii="Times New Roman" w:hAnsi="Times New Roman" w:cs="Times New Roman"/>
        </w:rPr>
      </w:pPr>
      <w:r w:rsidRPr="002C4F1A">
        <w:rPr>
          <w:rFonts w:ascii="Times New Roman" w:hAnsi="Times New Roman" w:cs="Times New Roman"/>
          <w:b/>
          <w:u w:val="single"/>
        </w:rPr>
        <w:t>Response</w:t>
      </w:r>
      <w:r w:rsidR="000D682A" w:rsidRPr="002C4F1A">
        <w:rPr>
          <w:rFonts w:ascii="Times New Roman" w:hAnsi="Times New Roman" w:cs="Times New Roman"/>
          <w:b/>
          <w:u w:val="single"/>
        </w:rPr>
        <w:t>:</w:t>
      </w:r>
      <w:r w:rsidR="000D682A" w:rsidRPr="002C4F1A">
        <w:rPr>
          <w:rFonts w:ascii="Times New Roman" w:hAnsi="Times New Roman" w:cs="Times New Roman"/>
          <w:b/>
        </w:rPr>
        <w:t xml:space="preserve"> </w:t>
      </w:r>
      <w:r w:rsidR="00442F36" w:rsidRPr="002C4F1A">
        <w:rPr>
          <w:rFonts w:ascii="Times New Roman" w:hAnsi="Times New Roman" w:cs="Times New Roman"/>
        </w:rPr>
        <w:t>The disclaimer language on disclosure clearly articulates the difference between a rate increase that is pending review and a rate increase that has been reviewed and found to be unreasonable.  Additionally, as we</w:t>
      </w:r>
      <w:r w:rsidR="00F6283D" w:rsidRPr="002C4F1A">
        <w:rPr>
          <w:rFonts w:ascii="Times New Roman" w:hAnsi="Times New Roman" w:cs="Times New Roman"/>
        </w:rPr>
        <w:t xml:space="preserve"> continue</w:t>
      </w:r>
      <w:r w:rsidR="00442F36" w:rsidRPr="002C4F1A">
        <w:rPr>
          <w:rFonts w:ascii="Times New Roman" w:hAnsi="Times New Roman" w:cs="Times New Roman"/>
        </w:rPr>
        <w:t xml:space="preserve"> to work on developing the rate review website, we will ensure that information is organized and labeled in a manner that clearly makes the distinction between rates that have been reviewed and rates that are pending review.  </w:t>
      </w:r>
      <w:r w:rsidR="000D682A" w:rsidRPr="002C4F1A">
        <w:rPr>
          <w:rFonts w:ascii="Times New Roman" w:hAnsi="Times New Roman" w:cs="Times New Roman"/>
        </w:rPr>
        <w:t>No indication is given on the disclosure that CMS has the authority to ap</w:t>
      </w:r>
      <w:r w:rsidRPr="002C4F1A">
        <w:rPr>
          <w:rFonts w:ascii="Times New Roman" w:hAnsi="Times New Roman" w:cs="Times New Roman"/>
        </w:rPr>
        <w:t xml:space="preserve">prove or reject rate increases.  However, we have made edits to the disclosure to resolve ambiguities regarding CMS’ role in the rate review process.  </w:t>
      </w:r>
      <w:r w:rsidR="006A601A" w:rsidRPr="002C4F1A">
        <w:rPr>
          <w:rFonts w:ascii="Times New Roman" w:hAnsi="Times New Roman" w:cs="Times New Roman"/>
        </w:rPr>
        <w:t>In addition</w:t>
      </w:r>
      <w:r w:rsidR="00986850" w:rsidRPr="002C4F1A">
        <w:rPr>
          <w:rFonts w:ascii="Times New Roman" w:hAnsi="Times New Roman" w:cs="Times New Roman"/>
        </w:rPr>
        <w:t>,</w:t>
      </w:r>
      <w:r w:rsidR="006A601A" w:rsidRPr="002C4F1A">
        <w:rPr>
          <w:rFonts w:ascii="Times New Roman" w:hAnsi="Times New Roman" w:cs="Times New Roman"/>
        </w:rPr>
        <w:t xml:space="preserve"> we removed the first paragraph </w:t>
      </w:r>
      <w:r w:rsidR="00986850" w:rsidRPr="002C4F1A">
        <w:rPr>
          <w:rFonts w:ascii="Times New Roman" w:hAnsi="Times New Roman" w:cs="Times New Roman"/>
        </w:rPr>
        <w:t>so as not to mislead consumer about ACA requirements.</w:t>
      </w:r>
    </w:p>
    <w:p w:rsidR="00992D54" w:rsidRPr="002C4F1A" w:rsidRDefault="0055331C" w:rsidP="00643AEA">
      <w:pPr>
        <w:rPr>
          <w:rFonts w:ascii="Times New Roman" w:hAnsi="Times New Roman" w:cs="Times New Roman"/>
        </w:rPr>
      </w:pPr>
      <w:r w:rsidRPr="002C4F1A">
        <w:rPr>
          <w:rFonts w:ascii="Times New Roman" w:hAnsi="Times New Roman" w:cs="Times New Roman"/>
          <w:b/>
          <w:u w:val="single"/>
        </w:rPr>
        <w:t>Comment:</w:t>
      </w:r>
      <w:r w:rsidRPr="002C4F1A">
        <w:rPr>
          <w:rFonts w:ascii="Times New Roman" w:hAnsi="Times New Roman" w:cs="Times New Roman"/>
        </w:rPr>
        <w:t xml:space="preserve">  A health insurance issuer and a professional actuarial association suggested that all of the items currently grouped together under ‘other’ should be separately reported on the disclosure form, since it is collected separately on the data collection worksheet.</w:t>
      </w:r>
    </w:p>
    <w:p w:rsidR="00992D54" w:rsidRPr="002C4F1A" w:rsidRDefault="0055331C" w:rsidP="00643AEA">
      <w:pPr>
        <w:rPr>
          <w:rFonts w:ascii="Times New Roman" w:hAnsi="Times New Roman" w:cs="Times New Roman"/>
        </w:rPr>
      </w:pPr>
      <w:r w:rsidRPr="002C4F1A">
        <w:rPr>
          <w:rFonts w:ascii="Times New Roman" w:hAnsi="Times New Roman" w:cs="Times New Roman"/>
          <w:b/>
          <w:u w:val="single"/>
        </w:rPr>
        <w:t>Response:</w:t>
      </w:r>
      <w:r w:rsidRPr="002C4F1A">
        <w:rPr>
          <w:rFonts w:ascii="Times New Roman" w:hAnsi="Times New Roman" w:cs="Times New Roman"/>
        </w:rPr>
        <w:t xml:space="preserve">  The disclosure currently provides a breakdown of medical costs by service categories (e.g., inpatient, outpatient, etc.).  This information includes an ‘other’ category, which captures medical cost changes related to capitated payments, cost sharing changes, and corrections for prior net claims estimates.  These items were originally grouped into the ‘other’ category due to concerns that they were too technical to present to consumers, however we are pursuing the addition of a link to the data collection sheet on this table. “Capitation” has been broken out on the revised disclosure.</w:t>
      </w:r>
    </w:p>
    <w:p w:rsidR="00826603" w:rsidRPr="002C4F1A" w:rsidRDefault="0052151A" w:rsidP="00992D54">
      <w:pPr>
        <w:pStyle w:val="ListParagraph"/>
        <w:numPr>
          <w:ilvl w:val="0"/>
          <w:numId w:val="11"/>
        </w:numPr>
        <w:rPr>
          <w:rFonts w:ascii="Times New Roman" w:hAnsi="Times New Roman" w:cs="Times New Roman"/>
          <w:b/>
        </w:rPr>
      </w:pPr>
      <w:r w:rsidRPr="002C4F1A">
        <w:rPr>
          <w:rFonts w:ascii="Times New Roman" w:hAnsi="Times New Roman" w:cs="Times New Roman"/>
          <w:b/>
        </w:rPr>
        <w:t>Preliminary Justification</w:t>
      </w:r>
    </w:p>
    <w:p w:rsidR="001B0197" w:rsidRPr="002C4F1A" w:rsidRDefault="00D25226" w:rsidP="00C01BDC">
      <w:pPr>
        <w:rPr>
          <w:rFonts w:ascii="Times New Roman" w:hAnsi="Times New Roman" w:cs="Times New Roman"/>
        </w:rPr>
      </w:pPr>
      <w:r w:rsidRPr="002C4F1A">
        <w:rPr>
          <w:rFonts w:ascii="Times New Roman" w:hAnsi="Times New Roman" w:cs="Times New Roman"/>
          <w:b/>
          <w:u w:val="single"/>
        </w:rPr>
        <w:lastRenderedPageBreak/>
        <w:t>Comment</w:t>
      </w:r>
      <w:r w:rsidR="00345F3E" w:rsidRPr="002C4F1A">
        <w:rPr>
          <w:rFonts w:ascii="Times New Roman" w:hAnsi="Times New Roman" w:cs="Times New Roman"/>
          <w:b/>
          <w:u w:val="single"/>
        </w:rPr>
        <w:t>:</w:t>
      </w:r>
      <w:r w:rsidRPr="002C4F1A">
        <w:rPr>
          <w:rFonts w:ascii="Times New Roman" w:hAnsi="Times New Roman" w:cs="Times New Roman"/>
        </w:rPr>
        <w:t xml:space="preserve">  </w:t>
      </w:r>
      <w:r w:rsidR="00DF3F47" w:rsidRPr="002C4F1A">
        <w:rPr>
          <w:rFonts w:ascii="Times New Roman" w:hAnsi="Times New Roman" w:cs="Times New Roman"/>
        </w:rPr>
        <w:t xml:space="preserve">Several health insurance issuers and a professional actuary association recommended that we modify the fields on the form that capture the maximum and minimum premium increases.  These commenters stated that </w:t>
      </w:r>
      <w:r w:rsidR="001B0197" w:rsidRPr="002C4F1A">
        <w:rPr>
          <w:rFonts w:ascii="Times New Roman" w:hAnsi="Times New Roman" w:cs="Times New Roman"/>
        </w:rPr>
        <w:t xml:space="preserve">the use of the word ‘premium’ is inconsistent with the rest of the form, which captures information on ‘rates’.   These commenters also stated that the maximum and minimum values should be entered into the form, instead of calculated </w:t>
      </w:r>
      <w:r w:rsidR="007C3ABF" w:rsidRPr="002C4F1A">
        <w:rPr>
          <w:rFonts w:ascii="Times New Roman" w:hAnsi="Times New Roman" w:cs="Times New Roman"/>
        </w:rPr>
        <w:t xml:space="preserve">from </w:t>
      </w:r>
      <w:r w:rsidR="001B0197" w:rsidRPr="002C4F1A">
        <w:rPr>
          <w:rFonts w:ascii="Times New Roman" w:hAnsi="Times New Roman" w:cs="Times New Roman"/>
        </w:rPr>
        <w:t xml:space="preserve">changes </w:t>
      </w:r>
      <w:r w:rsidR="00575721" w:rsidRPr="002C4F1A">
        <w:rPr>
          <w:rFonts w:ascii="Times New Roman" w:hAnsi="Times New Roman" w:cs="Times New Roman"/>
        </w:rPr>
        <w:t>in the minimum and maximum rates</w:t>
      </w:r>
      <w:r w:rsidR="001B0197" w:rsidRPr="002C4F1A">
        <w:rPr>
          <w:rFonts w:ascii="Times New Roman" w:hAnsi="Times New Roman" w:cs="Times New Roman"/>
        </w:rPr>
        <w:t xml:space="preserve"> across years. </w:t>
      </w:r>
    </w:p>
    <w:p w:rsidR="00415FC9" w:rsidRPr="002C4F1A" w:rsidRDefault="001B0197" w:rsidP="00C01BDC">
      <w:pPr>
        <w:rPr>
          <w:rFonts w:ascii="Times New Roman" w:hAnsi="Times New Roman" w:cs="Times New Roman"/>
        </w:rPr>
      </w:pPr>
      <w:r w:rsidRPr="002C4F1A">
        <w:rPr>
          <w:rFonts w:ascii="Times New Roman" w:hAnsi="Times New Roman" w:cs="Times New Roman"/>
          <w:b/>
          <w:u w:val="single"/>
        </w:rPr>
        <w:t>Response:</w:t>
      </w:r>
      <w:r w:rsidRPr="002C4F1A">
        <w:rPr>
          <w:rFonts w:ascii="Times New Roman" w:hAnsi="Times New Roman" w:cs="Times New Roman"/>
        </w:rPr>
        <w:t xml:space="preserve">  CMS has replaced the word ‘premium’ with the word ‘rate’ on the worksheet and in the instructions.  Additionally, the maximum and minimum </w:t>
      </w:r>
      <w:r w:rsidR="00415FC9" w:rsidRPr="002C4F1A">
        <w:rPr>
          <w:rFonts w:ascii="Times New Roman" w:hAnsi="Times New Roman" w:cs="Times New Roman"/>
        </w:rPr>
        <w:t xml:space="preserve">dollar fields have been replaced with fields that allow issuers to input the minimum and maximum </w:t>
      </w:r>
      <w:r w:rsidR="006A601A" w:rsidRPr="002C4F1A">
        <w:rPr>
          <w:rFonts w:ascii="Times New Roman" w:hAnsi="Times New Roman" w:cs="Times New Roman"/>
          <w:i/>
        </w:rPr>
        <w:t xml:space="preserve">percent </w:t>
      </w:r>
      <w:r w:rsidR="00415FC9" w:rsidRPr="002C4F1A">
        <w:rPr>
          <w:rFonts w:ascii="Times New Roman" w:hAnsi="Times New Roman" w:cs="Times New Roman"/>
        </w:rPr>
        <w:t>increases.</w:t>
      </w:r>
    </w:p>
    <w:p w:rsidR="00415FC9" w:rsidRPr="002C4F1A" w:rsidRDefault="00415FC9" w:rsidP="00C01BDC">
      <w:pPr>
        <w:pStyle w:val="Default"/>
        <w:rPr>
          <w:rFonts w:ascii="Times New Roman" w:hAnsi="Times New Roman" w:cs="Times New Roman"/>
          <w:sz w:val="22"/>
          <w:szCs w:val="22"/>
        </w:rPr>
      </w:pPr>
      <w:r w:rsidRPr="002C4F1A">
        <w:rPr>
          <w:rFonts w:ascii="Times New Roman" w:hAnsi="Times New Roman" w:cs="Times New Roman"/>
          <w:b/>
          <w:sz w:val="22"/>
          <w:szCs w:val="22"/>
          <w:u w:val="single"/>
        </w:rPr>
        <w:t>Comment:</w:t>
      </w:r>
      <w:r w:rsidRPr="002C4F1A">
        <w:rPr>
          <w:rFonts w:ascii="Times New Roman" w:hAnsi="Times New Roman" w:cs="Times New Roman"/>
          <w:sz w:val="22"/>
          <w:szCs w:val="22"/>
        </w:rPr>
        <w:t xml:space="preserve">  </w:t>
      </w:r>
      <w:r w:rsidR="00643AEA" w:rsidRPr="002C4F1A">
        <w:rPr>
          <w:rFonts w:ascii="Times New Roman" w:hAnsi="Times New Roman" w:cs="Times New Roman"/>
          <w:sz w:val="22"/>
          <w:szCs w:val="22"/>
        </w:rPr>
        <w:t>Several health insurance issuers recommend</w:t>
      </w:r>
      <w:r w:rsidR="00BB6367" w:rsidRPr="002C4F1A">
        <w:rPr>
          <w:rFonts w:ascii="Times New Roman" w:hAnsi="Times New Roman" w:cs="Times New Roman"/>
          <w:sz w:val="22"/>
          <w:szCs w:val="22"/>
        </w:rPr>
        <w:t>ed</w:t>
      </w:r>
      <w:r w:rsidR="00643AEA" w:rsidRPr="002C4F1A">
        <w:rPr>
          <w:rFonts w:ascii="Times New Roman" w:hAnsi="Times New Roman" w:cs="Times New Roman"/>
          <w:sz w:val="22"/>
          <w:szCs w:val="22"/>
        </w:rPr>
        <w:t xml:space="preserve"> that we modify the fields on the worksheet that collect historical information on rate increases to take into account new products for which no rate history information is available.</w:t>
      </w:r>
    </w:p>
    <w:p w:rsidR="00415FC9" w:rsidRPr="002C4F1A" w:rsidRDefault="00415FC9" w:rsidP="00C01BDC">
      <w:pPr>
        <w:pStyle w:val="Default"/>
        <w:rPr>
          <w:rFonts w:ascii="Times New Roman" w:hAnsi="Times New Roman" w:cs="Times New Roman"/>
          <w:b/>
          <w:sz w:val="22"/>
          <w:szCs w:val="22"/>
          <w:u w:val="single"/>
        </w:rPr>
      </w:pPr>
    </w:p>
    <w:p w:rsidR="00C01BDC" w:rsidRPr="002C4F1A" w:rsidRDefault="00643AEA" w:rsidP="00C01BDC">
      <w:pPr>
        <w:rPr>
          <w:rFonts w:ascii="Times New Roman" w:hAnsi="Times New Roman" w:cs="Times New Roman"/>
        </w:rPr>
      </w:pPr>
      <w:r w:rsidRPr="002C4F1A">
        <w:rPr>
          <w:rFonts w:ascii="Times New Roman" w:hAnsi="Times New Roman" w:cs="Times New Roman"/>
          <w:b/>
          <w:u w:val="single"/>
        </w:rPr>
        <w:t>Response</w:t>
      </w:r>
      <w:r w:rsidR="003F3913" w:rsidRPr="002C4F1A">
        <w:rPr>
          <w:rFonts w:ascii="Times New Roman" w:hAnsi="Times New Roman" w:cs="Times New Roman"/>
          <w:u w:val="single"/>
        </w:rPr>
        <w:t xml:space="preserve">: </w:t>
      </w:r>
      <w:r w:rsidR="003F3913" w:rsidRPr="002C4F1A">
        <w:rPr>
          <w:rFonts w:ascii="Times New Roman" w:hAnsi="Times New Roman" w:cs="Times New Roman"/>
        </w:rPr>
        <w:t xml:space="preserve"> </w:t>
      </w:r>
      <w:r w:rsidR="00C01BDC" w:rsidRPr="002C4F1A">
        <w:rPr>
          <w:rFonts w:ascii="Times New Roman" w:hAnsi="Times New Roman" w:cs="Times New Roman"/>
        </w:rPr>
        <w:t xml:space="preserve">We </w:t>
      </w:r>
      <w:r w:rsidRPr="002C4F1A">
        <w:rPr>
          <w:rFonts w:ascii="Times New Roman" w:hAnsi="Times New Roman" w:cs="Times New Roman"/>
        </w:rPr>
        <w:t xml:space="preserve">have added a new </w:t>
      </w:r>
      <w:r w:rsidR="00C01BDC" w:rsidRPr="002C4F1A">
        <w:rPr>
          <w:rFonts w:ascii="Times New Roman" w:hAnsi="Times New Roman" w:cs="Times New Roman"/>
        </w:rPr>
        <w:t>field in this section that issuers can use to indicate that the product was either in its initial implementation year or did not exist for all any part of the three</w:t>
      </w:r>
      <w:r w:rsidR="00BB6367" w:rsidRPr="002C4F1A">
        <w:rPr>
          <w:rFonts w:ascii="Times New Roman" w:hAnsi="Times New Roman" w:cs="Times New Roman"/>
        </w:rPr>
        <w:t>-</w:t>
      </w:r>
      <w:r w:rsidR="00C01BDC" w:rsidRPr="002C4F1A">
        <w:rPr>
          <w:rFonts w:ascii="Times New Roman" w:hAnsi="Times New Roman" w:cs="Times New Roman"/>
        </w:rPr>
        <w:t xml:space="preserve">year period tracked on the form.  </w:t>
      </w:r>
    </w:p>
    <w:p w:rsidR="003F3913" w:rsidRPr="002C4F1A" w:rsidRDefault="00643AEA" w:rsidP="00040789">
      <w:pPr>
        <w:pStyle w:val="PlainText"/>
        <w:rPr>
          <w:rFonts w:ascii="Times New Roman" w:hAnsi="Times New Roman" w:cs="Times New Roman"/>
          <w:b/>
          <w:sz w:val="22"/>
          <w:szCs w:val="22"/>
          <w:u w:val="single"/>
        </w:rPr>
      </w:pPr>
      <w:r w:rsidRPr="002C4F1A">
        <w:rPr>
          <w:rFonts w:ascii="Times New Roman" w:hAnsi="Times New Roman" w:cs="Times New Roman"/>
          <w:b/>
          <w:sz w:val="22"/>
          <w:szCs w:val="22"/>
          <w:u w:val="single"/>
        </w:rPr>
        <w:t>Comment:</w:t>
      </w:r>
      <w:r w:rsidRPr="002C4F1A">
        <w:rPr>
          <w:rFonts w:ascii="Times New Roman" w:hAnsi="Times New Roman" w:cs="Times New Roman"/>
          <w:sz w:val="22"/>
          <w:szCs w:val="22"/>
        </w:rPr>
        <w:t xml:space="preserve">  Several health insurance issuers </w:t>
      </w:r>
      <w:r w:rsidR="00040789" w:rsidRPr="002C4F1A">
        <w:rPr>
          <w:rFonts w:ascii="Times New Roman" w:hAnsi="Times New Roman" w:cs="Times New Roman"/>
          <w:sz w:val="22"/>
          <w:szCs w:val="22"/>
        </w:rPr>
        <w:t>commented t</w:t>
      </w:r>
      <w:r w:rsidRPr="002C4F1A">
        <w:rPr>
          <w:rFonts w:ascii="Times New Roman" w:hAnsi="Times New Roman" w:cs="Times New Roman"/>
          <w:sz w:val="22"/>
          <w:szCs w:val="22"/>
        </w:rPr>
        <w:t>hat the use of the term “Member Cost Sharing</w:t>
      </w:r>
      <w:r w:rsidR="00040789" w:rsidRPr="002C4F1A">
        <w:rPr>
          <w:rFonts w:ascii="Times New Roman" w:hAnsi="Times New Roman" w:cs="Times New Roman"/>
          <w:sz w:val="22"/>
          <w:szCs w:val="22"/>
        </w:rPr>
        <w:t xml:space="preserve">” to describe cost sharing could be confusing because </w:t>
      </w:r>
      <w:r w:rsidR="00F6283D" w:rsidRPr="002C4F1A">
        <w:rPr>
          <w:rFonts w:ascii="Times New Roman" w:hAnsi="Times New Roman" w:cs="Times New Roman"/>
          <w:sz w:val="22"/>
          <w:szCs w:val="22"/>
        </w:rPr>
        <w:t>some of the cost sharing may be paid through coordination of benefits arrangements (as opposed to members).</w:t>
      </w:r>
      <w:r w:rsidR="00040789" w:rsidRPr="002C4F1A">
        <w:rPr>
          <w:rFonts w:ascii="Times New Roman" w:hAnsi="Times New Roman" w:cs="Times New Roman"/>
          <w:sz w:val="22"/>
          <w:szCs w:val="22"/>
        </w:rPr>
        <w:t xml:space="preserve"> </w:t>
      </w:r>
    </w:p>
    <w:p w:rsidR="003F3913" w:rsidRPr="002C4F1A" w:rsidRDefault="003F3913" w:rsidP="00040789">
      <w:pPr>
        <w:pStyle w:val="PlainText"/>
        <w:rPr>
          <w:rFonts w:ascii="Times New Roman" w:hAnsi="Times New Roman" w:cs="Times New Roman"/>
          <w:sz w:val="22"/>
          <w:szCs w:val="22"/>
        </w:rPr>
      </w:pPr>
    </w:p>
    <w:p w:rsidR="00040789" w:rsidRPr="002C4F1A" w:rsidRDefault="00643AEA" w:rsidP="00040789">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Response</w:t>
      </w:r>
      <w:r w:rsidR="003F3913" w:rsidRPr="002C4F1A">
        <w:rPr>
          <w:rFonts w:ascii="Times New Roman" w:hAnsi="Times New Roman" w:cs="Times New Roman"/>
          <w:b/>
          <w:sz w:val="22"/>
          <w:szCs w:val="22"/>
          <w:u w:val="single"/>
        </w:rPr>
        <w:t>:</w:t>
      </w:r>
      <w:r w:rsidRPr="002C4F1A">
        <w:rPr>
          <w:rFonts w:ascii="Times New Roman" w:hAnsi="Times New Roman" w:cs="Times New Roman"/>
          <w:b/>
          <w:sz w:val="22"/>
          <w:szCs w:val="22"/>
        </w:rPr>
        <w:t xml:space="preserve"> </w:t>
      </w:r>
      <w:r w:rsidR="003F3913" w:rsidRPr="002C4F1A">
        <w:rPr>
          <w:rFonts w:ascii="Times New Roman" w:hAnsi="Times New Roman" w:cs="Times New Roman"/>
          <w:sz w:val="22"/>
          <w:szCs w:val="22"/>
        </w:rPr>
        <w:t xml:space="preserve">  </w:t>
      </w:r>
      <w:r w:rsidRPr="002C4F1A">
        <w:rPr>
          <w:rFonts w:ascii="Times New Roman" w:hAnsi="Times New Roman" w:cs="Times New Roman"/>
          <w:sz w:val="22"/>
          <w:szCs w:val="22"/>
        </w:rPr>
        <w:t>We have removed</w:t>
      </w:r>
      <w:r w:rsidR="00575721" w:rsidRPr="002C4F1A">
        <w:rPr>
          <w:rFonts w:ascii="Times New Roman" w:hAnsi="Times New Roman" w:cs="Times New Roman"/>
          <w:sz w:val="22"/>
          <w:szCs w:val="22"/>
        </w:rPr>
        <w:t xml:space="preserve"> the term ‘Member’ from all references to cost sharing in the form and instructions</w:t>
      </w:r>
      <w:r w:rsidR="00040789" w:rsidRPr="002C4F1A">
        <w:rPr>
          <w:rFonts w:ascii="Times New Roman" w:hAnsi="Times New Roman" w:cs="Times New Roman"/>
          <w:sz w:val="22"/>
          <w:szCs w:val="22"/>
        </w:rPr>
        <w:t>.</w:t>
      </w:r>
    </w:p>
    <w:p w:rsidR="003F3913" w:rsidRPr="002C4F1A" w:rsidRDefault="003F3913" w:rsidP="00040789">
      <w:pPr>
        <w:pStyle w:val="PlainText"/>
        <w:rPr>
          <w:rFonts w:ascii="Times New Roman" w:hAnsi="Times New Roman" w:cs="Times New Roman"/>
          <w:sz w:val="22"/>
          <w:szCs w:val="22"/>
        </w:rPr>
      </w:pPr>
    </w:p>
    <w:p w:rsidR="00575721" w:rsidRPr="002C4F1A" w:rsidRDefault="00575721" w:rsidP="00575721">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 xml:space="preserve">Comment: </w:t>
      </w:r>
      <w:r w:rsidRPr="002C4F1A">
        <w:rPr>
          <w:rFonts w:ascii="Times New Roman" w:hAnsi="Times New Roman" w:cs="Times New Roman"/>
          <w:sz w:val="22"/>
          <w:szCs w:val="22"/>
        </w:rPr>
        <w:t xml:space="preserve"> </w:t>
      </w:r>
      <w:r w:rsidR="00F6283D" w:rsidRPr="002C4F1A">
        <w:rPr>
          <w:rFonts w:ascii="Times New Roman" w:hAnsi="Times New Roman" w:cs="Times New Roman"/>
          <w:sz w:val="22"/>
          <w:szCs w:val="22"/>
        </w:rPr>
        <w:t xml:space="preserve">A health insurance issuer and a professional actuarial association </w:t>
      </w:r>
      <w:r w:rsidRPr="002C4F1A">
        <w:rPr>
          <w:rFonts w:ascii="Times New Roman" w:hAnsi="Times New Roman" w:cs="Times New Roman"/>
          <w:sz w:val="22"/>
          <w:szCs w:val="22"/>
        </w:rPr>
        <w:t xml:space="preserve">asked for clarification in instructions about the problem of lost encounter data under capitation arrangements and its impact on the calculation of cost sharing.  Commenters stated that the cost sharing estimate would be understated as it does not include capitation. </w:t>
      </w:r>
    </w:p>
    <w:p w:rsidR="00575721" w:rsidRPr="002C4F1A" w:rsidRDefault="00575721" w:rsidP="00575721">
      <w:pPr>
        <w:pStyle w:val="PlainText"/>
        <w:rPr>
          <w:rFonts w:ascii="Times New Roman" w:hAnsi="Times New Roman" w:cs="Times New Roman"/>
          <w:sz w:val="22"/>
          <w:szCs w:val="22"/>
        </w:rPr>
      </w:pPr>
    </w:p>
    <w:p w:rsidR="00575721" w:rsidRPr="002C4F1A" w:rsidRDefault="00575721" w:rsidP="00575721">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Response:</w:t>
      </w:r>
      <w:r w:rsidRPr="002C4F1A">
        <w:rPr>
          <w:rFonts w:ascii="Times New Roman" w:hAnsi="Times New Roman" w:cs="Times New Roman"/>
          <w:sz w:val="22"/>
          <w:szCs w:val="22"/>
        </w:rPr>
        <w:t xml:space="preserve">  We have addressed this concern on the form by allowing issuers to estimate the cost sharing amount associated with capitation.</w:t>
      </w:r>
    </w:p>
    <w:p w:rsidR="00575721" w:rsidRPr="002C4F1A" w:rsidRDefault="00575721" w:rsidP="00575721">
      <w:pPr>
        <w:pStyle w:val="PlainText"/>
        <w:rPr>
          <w:rFonts w:ascii="Times New Roman" w:hAnsi="Times New Roman" w:cs="Times New Roman"/>
          <w:sz w:val="22"/>
          <w:szCs w:val="22"/>
        </w:rPr>
      </w:pPr>
    </w:p>
    <w:p w:rsidR="005B2B94" w:rsidRPr="002C4F1A" w:rsidRDefault="005B2B94" w:rsidP="00575721">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Comment:</w:t>
      </w:r>
      <w:r w:rsidRPr="002C4F1A">
        <w:rPr>
          <w:rFonts w:ascii="Times New Roman" w:hAnsi="Times New Roman" w:cs="Times New Roman"/>
          <w:sz w:val="22"/>
          <w:szCs w:val="22"/>
        </w:rPr>
        <w:t xml:space="preserve"> We received comments from health insurance issuers and a professional actuarial association stating that some issuers may not have their claims and trend data available in a manner that is consistent with the worksheet.</w:t>
      </w:r>
    </w:p>
    <w:p w:rsidR="005B2B94" w:rsidRPr="002C4F1A" w:rsidRDefault="005B2B94" w:rsidP="00575721">
      <w:pPr>
        <w:pStyle w:val="PlainText"/>
        <w:rPr>
          <w:rFonts w:ascii="Times New Roman" w:hAnsi="Times New Roman" w:cs="Times New Roman"/>
          <w:sz w:val="22"/>
          <w:szCs w:val="22"/>
        </w:rPr>
      </w:pPr>
    </w:p>
    <w:p w:rsidR="005B2B94" w:rsidRPr="002C4F1A" w:rsidRDefault="005B2B94" w:rsidP="00575721">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Response:</w:t>
      </w:r>
      <w:r w:rsidRPr="002C4F1A">
        <w:rPr>
          <w:rFonts w:ascii="Times New Roman" w:hAnsi="Times New Roman" w:cs="Times New Roman"/>
          <w:sz w:val="22"/>
          <w:szCs w:val="22"/>
        </w:rPr>
        <w:t xml:space="preserve">  We appreciate that issuers may have different approaches </w:t>
      </w:r>
      <w:r w:rsidR="00AF6169" w:rsidRPr="002C4F1A">
        <w:rPr>
          <w:rFonts w:ascii="Times New Roman" w:hAnsi="Times New Roman" w:cs="Times New Roman"/>
          <w:sz w:val="22"/>
          <w:szCs w:val="22"/>
        </w:rPr>
        <w:t>for</w:t>
      </w:r>
      <w:r w:rsidRPr="002C4F1A">
        <w:rPr>
          <w:rFonts w:ascii="Times New Roman" w:hAnsi="Times New Roman" w:cs="Times New Roman"/>
          <w:sz w:val="22"/>
          <w:szCs w:val="22"/>
        </w:rPr>
        <w:t xml:space="preserve"> tracking claims data and developing their trend assumptions.  However, </w:t>
      </w:r>
      <w:r w:rsidR="00AF6169" w:rsidRPr="002C4F1A">
        <w:rPr>
          <w:rFonts w:ascii="Times New Roman" w:hAnsi="Times New Roman" w:cs="Times New Roman"/>
          <w:sz w:val="22"/>
          <w:szCs w:val="22"/>
        </w:rPr>
        <w:t xml:space="preserve">all issuers should be able to provide the summary level claims and trend information called for on the worksheet, regardless of their internal reporting or rate development processes.  Additionally as noted in the instructions, issuers will be permitted to make reasonable allocations for their trend and claims reporting.  </w:t>
      </w:r>
    </w:p>
    <w:p w:rsidR="002C4F1A" w:rsidRPr="002C4F1A" w:rsidRDefault="002C4F1A" w:rsidP="00575721">
      <w:pPr>
        <w:pStyle w:val="PlainText"/>
        <w:rPr>
          <w:rFonts w:ascii="Times New Roman" w:hAnsi="Times New Roman" w:cs="Times New Roman"/>
          <w:sz w:val="22"/>
          <w:szCs w:val="22"/>
        </w:rPr>
      </w:pPr>
    </w:p>
    <w:p w:rsidR="00575721" w:rsidRPr="002C4F1A" w:rsidRDefault="002800F8" w:rsidP="00040789">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Comment:</w:t>
      </w:r>
      <w:r w:rsidR="00F6283D" w:rsidRPr="002C4F1A">
        <w:rPr>
          <w:rFonts w:ascii="Times New Roman" w:hAnsi="Times New Roman" w:cs="Times New Roman"/>
          <w:sz w:val="22"/>
          <w:szCs w:val="22"/>
        </w:rPr>
        <w:t xml:space="preserve"> Two health insurance issuers </w:t>
      </w:r>
      <w:r w:rsidRPr="002C4F1A">
        <w:rPr>
          <w:rFonts w:ascii="Times New Roman" w:hAnsi="Times New Roman" w:cs="Times New Roman"/>
          <w:sz w:val="22"/>
          <w:szCs w:val="22"/>
        </w:rPr>
        <w:t>commented that the instructions should be modified to more clearly articulate that a single population, in force at certain period of time, should be used to ensure the calculation reflects a measure of the rate change</w:t>
      </w:r>
      <w:r w:rsidR="007C3ABF" w:rsidRPr="002C4F1A">
        <w:rPr>
          <w:rFonts w:ascii="Times New Roman" w:hAnsi="Times New Roman" w:cs="Times New Roman"/>
          <w:sz w:val="22"/>
          <w:szCs w:val="22"/>
        </w:rPr>
        <w:t>,</w:t>
      </w:r>
      <w:r w:rsidRPr="002C4F1A">
        <w:rPr>
          <w:rFonts w:ascii="Times New Roman" w:hAnsi="Times New Roman" w:cs="Times New Roman"/>
          <w:sz w:val="22"/>
          <w:szCs w:val="22"/>
        </w:rPr>
        <w:t xml:space="preserve"> not other factors or the change in the mix of business in a block.  </w:t>
      </w:r>
    </w:p>
    <w:p w:rsidR="00575721" w:rsidRPr="002C4F1A" w:rsidRDefault="00575721" w:rsidP="00040789">
      <w:pPr>
        <w:pStyle w:val="PlainText"/>
        <w:rPr>
          <w:rFonts w:ascii="Times New Roman" w:hAnsi="Times New Roman" w:cs="Times New Roman"/>
          <w:sz w:val="22"/>
          <w:szCs w:val="22"/>
        </w:rPr>
      </w:pPr>
    </w:p>
    <w:p w:rsidR="00575721" w:rsidRPr="002C4F1A" w:rsidRDefault="002800F8" w:rsidP="00040789">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lastRenderedPageBreak/>
        <w:t>Response:</w:t>
      </w:r>
      <w:r w:rsidRPr="002C4F1A">
        <w:rPr>
          <w:rFonts w:ascii="Times New Roman" w:hAnsi="Times New Roman" w:cs="Times New Roman"/>
          <w:sz w:val="22"/>
          <w:szCs w:val="22"/>
        </w:rPr>
        <w:t xml:space="preserve">  We agree t</w:t>
      </w:r>
      <w:r w:rsidR="00826D6E" w:rsidRPr="002C4F1A">
        <w:rPr>
          <w:rFonts w:ascii="Times New Roman" w:hAnsi="Times New Roman" w:cs="Times New Roman"/>
          <w:sz w:val="22"/>
          <w:szCs w:val="22"/>
        </w:rPr>
        <w:t>hat the worksheet is intended to capture a single fixed population, and we have added additional clarifying language emphasizing this point in the instructions.</w:t>
      </w:r>
    </w:p>
    <w:p w:rsidR="00826D6E" w:rsidRPr="002C4F1A" w:rsidRDefault="00826D6E" w:rsidP="00040789">
      <w:pPr>
        <w:pStyle w:val="PlainText"/>
        <w:rPr>
          <w:rFonts w:ascii="Times New Roman" w:hAnsi="Times New Roman" w:cs="Times New Roman"/>
          <w:sz w:val="22"/>
          <w:szCs w:val="22"/>
        </w:rPr>
      </w:pPr>
    </w:p>
    <w:p w:rsidR="000B2DBC" w:rsidRPr="002C4F1A" w:rsidRDefault="00826D6E" w:rsidP="00040789">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Comment:</w:t>
      </w:r>
      <w:r w:rsidR="000B2DBC" w:rsidRPr="002C4F1A">
        <w:rPr>
          <w:rFonts w:ascii="Times New Roman" w:hAnsi="Times New Roman" w:cs="Times New Roman"/>
          <w:sz w:val="22"/>
          <w:szCs w:val="22"/>
        </w:rPr>
        <w:t xml:space="preserve">  Several health insurance issuers and a professional actuarial association made general comments suggesting that CMS should provide more technical details in the instructions for the Preliminary Justification (particularly the rate filing documentation instructions).</w:t>
      </w:r>
    </w:p>
    <w:p w:rsidR="000B2DBC" w:rsidRPr="002C4F1A" w:rsidRDefault="000B2DBC" w:rsidP="00040789">
      <w:pPr>
        <w:pStyle w:val="PlainText"/>
        <w:rPr>
          <w:rFonts w:ascii="Times New Roman" w:hAnsi="Times New Roman" w:cs="Times New Roman"/>
          <w:sz w:val="22"/>
          <w:szCs w:val="22"/>
        </w:rPr>
      </w:pPr>
    </w:p>
    <w:p w:rsidR="00BB1DF7" w:rsidRPr="002C4F1A" w:rsidRDefault="00BB1DF7" w:rsidP="00BB1DF7">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Response:</w:t>
      </w:r>
      <w:r w:rsidRPr="002C4F1A">
        <w:rPr>
          <w:rFonts w:ascii="Times New Roman" w:hAnsi="Times New Roman" w:cs="Times New Roman"/>
          <w:sz w:val="22"/>
          <w:szCs w:val="22"/>
        </w:rPr>
        <w:t xml:space="preserve">  We have reviewed the form instructions and have added additional technical actuarial instructions and additional definitions of terms throughout the document.  In general these changes clarifi</w:t>
      </w:r>
      <w:r w:rsidR="002342CE" w:rsidRPr="002C4F1A">
        <w:rPr>
          <w:rFonts w:ascii="Times New Roman" w:hAnsi="Times New Roman" w:cs="Times New Roman"/>
          <w:sz w:val="22"/>
          <w:szCs w:val="22"/>
        </w:rPr>
        <w:t>ed the reporting requirements and did not</w:t>
      </w:r>
      <w:r w:rsidRPr="002C4F1A">
        <w:rPr>
          <w:rFonts w:ascii="Times New Roman" w:hAnsi="Times New Roman" w:cs="Times New Roman"/>
          <w:sz w:val="22"/>
          <w:szCs w:val="22"/>
        </w:rPr>
        <w:t xml:space="preserve"> material</w:t>
      </w:r>
      <w:r w:rsidR="002342CE" w:rsidRPr="002C4F1A">
        <w:rPr>
          <w:rFonts w:ascii="Times New Roman" w:hAnsi="Times New Roman" w:cs="Times New Roman"/>
          <w:sz w:val="22"/>
          <w:szCs w:val="22"/>
        </w:rPr>
        <w:t>ly</w:t>
      </w:r>
      <w:r w:rsidRPr="002C4F1A">
        <w:rPr>
          <w:rFonts w:ascii="Times New Roman" w:hAnsi="Times New Roman" w:cs="Times New Roman"/>
          <w:sz w:val="22"/>
          <w:szCs w:val="22"/>
        </w:rPr>
        <w:t xml:space="preserve"> changing them. </w:t>
      </w:r>
    </w:p>
    <w:p w:rsidR="00BB1DF7" w:rsidRPr="002C4F1A" w:rsidRDefault="00BB1DF7" w:rsidP="00040789">
      <w:pPr>
        <w:pStyle w:val="PlainText"/>
        <w:rPr>
          <w:rFonts w:ascii="Times New Roman" w:hAnsi="Times New Roman" w:cs="Times New Roman"/>
          <w:sz w:val="22"/>
          <w:szCs w:val="22"/>
        </w:rPr>
      </w:pPr>
    </w:p>
    <w:p w:rsidR="00AF6169" w:rsidRPr="002C4F1A" w:rsidRDefault="00AF6169" w:rsidP="00040789">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Comment:</w:t>
      </w:r>
      <w:r w:rsidRPr="002C4F1A">
        <w:rPr>
          <w:rFonts w:ascii="Times New Roman" w:hAnsi="Times New Roman" w:cs="Times New Roman"/>
          <w:sz w:val="22"/>
          <w:szCs w:val="22"/>
        </w:rPr>
        <w:t xml:space="preserve">  We received comments from </w:t>
      </w:r>
      <w:r w:rsidR="007C3ABF" w:rsidRPr="002C4F1A">
        <w:rPr>
          <w:rFonts w:ascii="Times New Roman" w:hAnsi="Times New Roman" w:cs="Times New Roman"/>
          <w:sz w:val="22"/>
          <w:szCs w:val="22"/>
        </w:rPr>
        <w:t xml:space="preserve">a </w:t>
      </w:r>
      <w:r w:rsidRPr="002C4F1A">
        <w:rPr>
          <w:rFonts w:ascii="Times New Roman" w:hAnsi="Times New Roman" w:cs="Times New Roman"/>
          <w:sz w:val="22"/>
          <w:szCs w:val="22"/>
        </w:rPr>
        <w:t>state regulatory association and health insurance issuers addressing concerns that the form only works for 12-month increases (e.g., it cannot be completed for quarterly increases).</w:t>
      </w:r>
    </w:p>
    <w:p w:rsidR="00AF6169" w:rsidRPr="002C4F1A" w:rsidRDefault="00AF6169" w:rsidP="00040789">
      <w:pPr>
        <w:pStyle w:val="PlainText"/>
        <w:rPr>
          <w:rFonts w:ascii="Times New Roman" w:hAnsi="Times New Roman" w:cs="Times New Roman"/>
          <w:sz w:val="22"/>
          <w:szCs w:val="22"/>
        </w:rPr>
      </w:pPr>
    </w:p>
    <w:p w:rsidR="00AF6169" w:rsidRPr="002C4F1A" w:rsidRDefault="00AF6169" w:rsidP="00040789">
      <w:pPr>
        <w:pStyle w:val="PlainText"/>
        <w:rPr>
          <w:rFonts w:ascii="Times New Roman" w:hAnsi="Times New Roman" w:cs="Times New Roman"/>
          <w:b/>
          <w:sz w:val="22"/>
          <w:szCs w:val="22"/>
        </w:rPr>
      </w:pPr>
      <w:r w:rsidRPr="002C4F1A">
        <w:rPr>
          <w:rFonts w:ascii="Times New Roman" w:hAnsi="Times New Roman" w:cs="Times New Roman"/>
          <w:b/>
          <w:sz w:val="22"/>
          <w:szCs w:val="22"/>
          <w:u w:val="single"/>
        </w:rPr>
        <w:t>Response:</w:t>
      </w:r>
      <w:r w:rsidRPr="002C4F1A">
        <w:rPr>
          <w:rFonts w:ascii="Times New Roman" w:hAnsi="Times New Roman" w:cs="Times New Roman"/>
          <w:sz w:val="22"/>
          <w:szCs w:val="22"/>
        </w:rPr>
        <w:t xml:space="preserve">  We</w:t>
      </w:r>
      <w:r w:rsidR="00324758" w:rsidRPr="002C4F1A">
        <w:rPr>
          <w:rFonts w:ascii="Times New Roman" w:hAnsi="Times New Roman" w:cs="Times New Roman"/>
          <w:sz w:val="22"/>
          <w:szCs w:val="22"/>
        </w:rPr>
        <w:t xml:space="preserve"> do not agree with this comment.  The reporting threshold in the rate review regulation requires health insurance issuers to consider the cumulative effect of rate increases over a 12 month period.  If the threshold is met due to multiple increases, the issuer would be required t</w:t>
      </w:r>
      <w:r w:rsidR="00BB1DF7" w:rsidRPr="002C4F1A">
        <w:rPr>
          <w:rFonts w:ascii="Times New Roman" w:hAnsi="Times New Roman" w:cs="Times New Roman"/>
          <w:sz w:val="22"/>
          <w:szCs w:val="22"/>
        </w:rPr>
        <w:t xml:space="preserve">o provide12 month claims and trend assumptions that reflect the cumulative impact of all of the increases in the past 12 months.  We have added substantial technical information to the instructions that addresses how issuers should address multiple increases on the form.  </w:t>
      </w:r>
    </w:p>
    <w:p w:rsidR="002C4F1A" w:rsidRPr="002C4F1A" w:rsidRDefault="002C4F1A" w:rsidP="00040789">
      <w:pPr>
        <w:pStyle w:val="PlainText"/>
        <w:rPr>
          <w:rFonts w:ascii="Times New Roman" w:hAnsi="Times New Roman" w:cs="Times New Roman"/>
          <w:sz w:val="22"/>
          <w:szCs w:val="22"/>
        </w:rPr>
      </w:pPr>
    </w:p>
    <w:p w:rsidR="00BB1DF7" w:rsidRPr="002C4F1A" w:rsidRDefault="00BB1DF7" w:rsidP="00040789">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Comment:</w:t>
      </w:r>
      <w:r w:rsidRPr="002C4F1A">
        <w:rPr>
          <w:rFonts w:ascii="Times New Roman" w:hAnsi="Times New Roman" w:cs="Times New Roman"/>
          <w:sz w:val="22"/>
          <w:szCs w:val="22"/>
        </w:rPr>
        <w:t xml:space="preserve">  Several health insurance issuers requested the removal of risk based capital from the list of rate fil</w:t>
      </w:r>
      <w:r w:rsidR="00F001BE" w:rsidRPr="002C4F1A">
        <w:rPr>
          <w:rFonts w:ascii="Times New Roman" w:hAnsi="Times New Roman" w:cs="Times New Roman"/>
          <w:sz w:val="22"/>
          <w:szCs w:val="22"/>
        </w:rPr>
        <w:t xml:space="preserve">ing documentation data elements, as this data element is not considered in </w:t>
      </w:r>
      <w:r w:rsidR="007C3ABF" w:rsidRPr="002C4F1A">
        <w:rPr>
          <w:rFonts w:ascii="Times New Roman" w:hAnsi="Times New Roman" w:cs="Times New Roman"/>
          <w:sz w:val="22"/>
          <w:szCs w:val="22"/>
        </w:rPr>
        <w:t xml:space="preserve">most states’ </w:t>
      </w:r>
      <w:r w:rsidR="00F001BE" w:rsidRPr="002C4F1A">
        <w:rPr>
          <w:rFonts w:ascii="Times New Roman" w:hAnsi="Times New Roman" w:cs="Times New Roman"/>
          <w:sz w:val="22"/>
          <w:szCs w:val="22"/>
        </w:rPr>
        <w:t>rate review</w:t>
      </w:r>
      <w:r w:rsidR="007C3ABF" w:rsidRPr="002C4F1A">
        <w:rPr>
          <w:rFonts w:ascii="Times New Roman" w:hAnsi="Times New Roman" w:cs="Times New Roman"/>
          <w:sz w:val="22"/>
          <w:szCs w:val="22"/>
        </w:rPr>
        <w:t>s</w:t>
      </w:r>
      <w:r w:rsidR="00F001BE" w:rsidRPr="002C4F1A">
        <w:rPr>
          <w:rFonts w:ascii="Times New Roman" w:hAnsi="Times New Roman" w:cs="Times New Roman"/>
          <w:sz w:val="22"/>
          <w:szCs w:val="22"/>
        </w:rPr>
        <w:t>.</w:t>
      </w:r>
    </w:p>
    <w:p w:rsidR="00BB1DF7" w:rsidRPr="002C4F1A" w:rsidRDefault="00BB1DF7" w:rsidP="00040789">
      <w:pPr>
        <w:pStyle w:val="PlainText"/>
        <w:rPr>
          <w:rFonts w:ascii="Times New Roman" w:hAnsi="Times New Roman" w:cs="Times New Roman"/>
          <w:sz w:val="22"/>
          <w:szCs w:val="22"/>
        </w:rPr>
      </w:pPr>
    </w:p>
    <w:p w:rsidR="00BA47A5" w:rsidRPr="002C4F1A" w:rsidRDefault="00BB1DF7" w:rsidP="00040789">
      <w:pPr>
        <w:pStyle w:val="PlainText"/>
        <w:rPr>
          <w:rFonts w:ascii="Times New Roman" w:hAnsi="Times New Roman" w:cs="Times New Roman"/>
          <w:b/>
          <w:sz w:val="22"/>
          <w:szCs w:val="22"/>
        </w:rPr>
      </w:pPr>
      <w:r w:rsidRPr="002C4F1A">
        <w:rPr>
          <w:rFonts w:ascii="Times New Roman" w:hAnsi="Times New Roman" w:cs="Times New Roman"/>
          <w:b/>
          <w:sz w:val="22"/>
          <w:szCs w:val="22"/>
          <w:u w:val="single"/>
        </w:rPr>
        <w:t>Response:</w:t>
      </w:r>
      <w:r w:rsidRPr="002C4F1A">
        <w:rPr>
          <w:rFonts w:ascii="Times New Roman" w:hAnsi="Times New Roman" w:cs="Times New Roman"/>
          <w:sz w:val="22"/>
          <w:szCs w:val="22"/>
        </w:rPr>
        <w:t xml:space="preserve">  </w:t>
      </w:r>
      <w:r w:rsidR="00F001BE" w:rsidRPr="002C4F1A">
        <w:rPr>
          <w:rFonts w:ascii="Times New Roman" w:hAnsi="Times New Roman" w:cs="Times New Roman"/>
          <w:sz w:val="22"/>
          <w:szCs w:val="22"/>
        </w:rPr>
        <w:t>In the final rule</w:t>
      </w:r>
      <w:r w:rsidR="00BA47A5" w:rsidRPr="002C4F1A">
        <w:rPr>
          <w:rFonts w:ascii="Times New Roman" w:hAnsi="Times New Roman" w:cs="Times New Roman"/>
          <w:sz w:val="22"/>
          <w:szCs w:val="22"/>
        </w:rPr>
        <w:t xml:space="preserve"> list of effective rate review program review criteria</w:t>
      </w:r>
      <w:r w:rsidR="00F001BE" w:rsidRPr="002C4F1A">
        <w:rPr>
          <w:rFonts w:ascii="Times New Roman" w:hAnsi="Times New Roman" w:cs="Times New Roman"/>
          <w:sz w:val="22"/>
          <w:szCs w:val="22"/>
        </w:rPr>
        <w:t xml:space="preserve">, we replaced </w:t>
      </w:r>
      <w:r w:rsidR="00BA47A5" w:rsidRPr="002C4F1A">
        <w:rPr>
          <w:rFonts w:ascii="Times New Roman" w:hAnsi="Times New Roman" w:cs="Times New Roman"/>
          <w:sz w:val="22"/>
          <w:szCs w:val="22"/>
        </w:rPr>
        <w:t>‘</w:t>
      </w:r>
      <w:r w:rsidR="00F001BE" w:rsidRPr="002C4F1A">
        <w:rPr>
          <w:rFonts w:ascii="Times New Roman" w:hAnsi="Times New Roman" w:cs="Times New Roman"/>
          <w:sz w:val="22"/>
          <w:szCs w:val="22"/>
        </w:rPr>
        <w:t>risk based capital</w:t>
      </w:r>
      <w:r w:rsidR="00BA47A5" w:rsidRPr="002C4F1A">
        <w:rPr>
          <w:rFonts w:ascii="Times New Roman" w:hAnsi="Times New Roman" w:cs="Times New Roman"/>
          <w:sz w:val="22"/>
          <w:szCs w:val="22"/>
        </w:rPr>
        <w:t>’</w:t>
      </w:r>
      <w:r w:rsidR="00F001BE" w:rsidRPr="002C4F1A">
        <w:rPr>
          <w:rFonts w:ascii="Times New Roman" w:hAnsi="Times New Roman" w:cs="Times New Roman"/>
          <w:sz w:val="22"/>
          <w:szCs w:val="22"/>
        </w:rPr>
        <w:t xml:space="preserve"> with </w:t>
      </w:r>
      <w:r w:rsidR="00BA47A5" w:rsidRPr="002C4F1A">
        <w:rPr>
          <w:rFonts w:ascii="Times New Roman" w:hAnsi="Times New Roman" w:cs="Times New Roman"/>
          <w:sz w:val="22"/>
          <w:szCs w:val="22"/>
        </w:rPr>
        <w:t xml:space="preserve">‘surplus and capital’.  As this list of review criteria applies to both State and CMS rate reviews, CMS has replaced ‘risk based capital’ with ‘capital and surplus’ in the rate filing documentation requirements. </w:t>
      </w:r>
    </w:p>
    <w:p w:rsidR="00F001BE" w:rsidRPr="002C4F1A" w:rsidRDefault="00BA47A5" w:rsidP="00040789">
      <w:pPr>
        <w:pStyle w:val="PlainText"/>
        <w:rPr>
          <w:rFonts w:ascii="Times New Roman" w:hAnsi="Times New Roman" w:cs="Times New Roman"/>
          <w:sz w:val="22"/>
          <w:szCs w:val="22"/>
        </w:rPr>
      </w:pPr>
      <w:r w:rsidRPr="002C4F1A">
        <w:rPr>
          <w:rFonts w:ascii="Times New Roman" w:hAnsi="Times New Roman" w:cs="Times New Roman"/>
          <w:sz w:val="22"/>
          <w:szCs w:val="22"/>
        </w:rPr>
        <w:t xml:space="preserve">  </w:t>
      </w:r>
    </w:p>
    <w:p w:rsidR="00C14E8A" w:rsidRPr="002C4F1A" w:rsidRDefault="00C14E8A" w:rsidP="00C14E8A">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 xml:space="preserve">Comment: </w:t>
      </w:r>
      <w:r w:rsidRPr="002C4F1A">
        <w:rPr>
          <w:rFonts w:ascii="Times New Roman" w:hAnsi="Times New Roman" w:cs="Times New Roman"/>
          <w:sz w:val="22"/>
          <w:szCs w:val="22"/>
        </w:rPr>
        <w:t xml:space="preserve">  Several health insurance issuers and a professional actuarial association requested clarification on the instructions for</w:t>
      </w:r>
      <w:r w:rsidR="002342CE" w:rsidRPr="002C4F1A">
        <w:rPr>
          <w:rFonts w:ascii="Times New Roman" w:hAnsi="Times New Roman" w:cs="Times New Roman"/>
          <w:sz w:val="22"/>
          <w:szCs w:val="22"/>
        </w:rPr>
        <w:t xml:space="preserve"> the</w:t>
      </w:r>
      <w:r w:rsidRPr="002C4F1A">
        <w:rPr>
          <w:rFonts w:ascii="Times New Roman" w:hAnsi="Times New Roman" w:cs="Times New Roman"/>
          <w:sz w:val="22"/>
          <w:szCs w:val="22"/>
        </w:rPr>
        <w:t xml:space="preserve"> three loss ratio calculations contained in the rate filing documentation requirements.</w:t>
      </w:r>
    </w:p>
    <w:p w:rsidR="00C14E8A" w:rsidRPr="002C4F1A" w:rsidRDefault="00C14E8A" w:rsidP="00C14E8A">
      <w:pPr>
        <w:pStyle w:val="PlainText"/>
        <w:rPr>
          <w:rFonts w:ascii="Times New Roman" w:hAnsi="Times New Roman" w:cs="Times New Roman"/>
          <w:sz w:val="22"/>
          <w:szCs w:val="22"/>
        </w:rPr>
      </w:pPr>
    </w:p>
    <w:p w:rsidR="00C14E8A" w:rsidRPr="002C4F1A" w:rsidRDefault="00C14E8A" w:rsidP="00C14E8A">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Response:</w:t>
      </w:r>
      <w:r w:rsidRPr="002C4F1A">
        <w:rPr>
          <w:rFonts w:ascii="Times New Roman" w:hAnsi="Times New Roman" w:cs="Times New Roman"/>
          <w:sz w:val="22"/>
          <w:szCs w:val="22"/>
        </w:rPr>
        <w:t xml:space="preserve">  We have added additional details in the instructions on how each of three loss ratios should be calculated: </w:t>
      </w:r>
    </w:p>
    <w:p w:rsidR="00C14E8A" w:rsidRPr="002C4F1A" w:rsidRDefault="00C14E8A" w:rsidP="00C14E8A">
      <w:pPr>
        <w:pStyle w:val="ListParagraph"/>
        <w:numPr>
          <w:ilvl w:val="0"/>
          <w:numId w:val="12"/>
        </w:numPr>
        <w:spacing w:after="0"/>
        <w:rPr>
          <w:rFonts w:ascii="Times New Roman" w:hAnsi="Times New Roman" w:cs="Times New Roman"/>
        </w:rPr>
      </w:pPr>
      <w:r w:rsidRPr="002C4F1A">
        <w:rPr>
          <w:rFonts w:ascii="Times New Roman" w:hAnsi="Times New Roman" w:cs="Times New Roman"/>
        </w:rPr>
        <w:t>The cumulative loss ratio and a description of how it was calculated (for individual only).</w:t>
      </w:r>
    </w:p>
    <w:p w:rsidR="00C14E8A" w:rsidRPr="002C4F1A" w:rsidRDefault="00C14E8A" w:rsidP="00C14E8A">
      <w:pPr>
        <w:pStyle w:val="ListParagraph"/>
        <w:numPr>
          <w:ilvl w:val="0"/>
          <w:numId w:val="12"/>
        </w:numPr>
        <w:spacing w:after="0"/>
        <w:rPr>
          <w:rFonts w:ascii="Times New Roman" w:hAnsi="Times New Roman" w:cs="Times New Roman"/>
        </w:rPr>
      </w:pPr>
      <w:r w:rsidRPr="002C4F1A">
        <w:rPr>
          <w:rFonts w:ascii="Times New Roman" w:hAnsi="Times New Roman" w:cs="Times New Roman"/>
        </w:rPr>
        <w:t>The projected future loss ratio (a one year projection from the effective date of the rate increase) and a description of how it was calculated. This is not the “adjusted” federal loss ratio.</w:t>
      </w:r>
    </w:p>
    <w:p w:rsidR="00C14E8A" w:rsidRPr="002C4F1A" w:rsidRDefault="00C14E8A" w:rsidP="00C14E8A">
      <w:pPr>
        <w:pStyle w:val="ListParagraph"/>
        <w:numPr>
          <w:ilvl w:val="0"/>
          <w:numId w:val="12"/>
        </w:numPr>
        <w:spacing w:after="0"/>
        <w:rPr>
          <w:rFonts w:ascii="Times New Roman" w:hAnsi="Times New Roman" w:cs="Times New Roman"/>
        </w:rPr>
      </w:pPr>
      <w:r w:rsidRPr="002C4F1A">
        <w:rPr>
          <w:rFonts w:ascii="Times New Roman" w:hAnsi="Times New Roman" w:cs="Times New Roman"/>
        </w:rPr>
        <w:t>The projected lifetime (a projection of the kind normally used in calculating a state level lifetime loss ratio, and the future loss ratio included is not the same as the future loss ratio in (7) above – the future loss ratio is not “adjusted” and is not under the federal standard) loss ratio that combines cumulative and future experience, and a description of how it was calculated. This is for individual business only. Include a loss ratio exhibit that shows the details of the loss ratio.</w:t>
      </w:r>
      <w:r w:rsidRPr="002C4F1A">
        <w:rPr>
          <w:rFonts w:ascii="Times New Roman" w:hAnsi="Times New Roman" w:cs="Times New Roman"/>
        </w:rPr>
        <w:br/>
      </w:r>
    </w:p>
    <w:p w:rsidR="00A14335" w:rsidRPr="002C4F1A" w:rsidRDefault="00A14335" w:rsidP="00A14335">
      <w:pPr>
        <w:rPr>
          <w:rFonts w:ascii="Times New Roman" w:hAnsi="Times New Roman" w:cs="Times New Roman"/>
        </w:rPr>
      </w:pPr>
      <w:r w:rsidRPr="002C4F1A">
        <w:rPr>
          <w:rFonts w:ascii="Times New Roman" w:hAnsi="Times New Roman" w:cs="Times New Roman"/>
          <w:b/>
          <w:u w:val="single"/>
        </w:rPr>
        <w:t>Comment:</w:t>
      </w:r>
      <w:r w:rsidRPr="002C4F1A">
        <w:rPr>
          <w:rFonts w:ascii="Times New Roman" w:hAnsi="Times New Roman" w:cs="Times New Roman"/>
        </w:rPr>
        <w:t xml:space="preserve">  Several health insurance issuers and a professional actuarial association stated that the reference to Generally Accepted Accounting Principles (GAAP) should be removed from the instructions for reporting administrative costs, as (GAAP) is not commonly used standard for reporting these costs.  </w:t>
      </w:r>
      <w:r w:rsidRPr="002C4F1A">
        <w:rPr>
          <w:rFonts w:ascii="Times New Roman" w:hAnsi="Times New Roman" w:cs="Times New Roman"/>
        </w:rPr>
        <w:lastRenderedPageBreak/>
        <w:t xml:space="preserve">Commenters stated that issuers should be allowed to follow applicable state standards for reporting administrative costs. </w:t>
      </w:r>
    </w:p>
    <w:p w:rsidR="00C14E8A" w:rsidRPr="002C4F1A" w:rsidRDefault="00A14335" w:rsidP="00040789">
      <w:pPr>
        <w:pStyle w:val="PlainText"/>
        <w:rPr>
          <w:rFonts w:ascii="Times New Roman" w:hAnsi="Times New Roman" w:cs="Times New Roman"/>
          <w:sz w:val="22"/>
          <w:szCs w:val="22"/>
        </w:rPr>
      </w:pPr>
      <w:r w:rsidRPr="002C4F1A">
        <w:rPr>
          <w:rFonts w:ascii="Times New Roman" w:hAnsi="Times New Roman" w:cs="Times New Roman"/>
          <w:b/>
          <w:sz w:val="22"/>
          <w:szCs w:val="22"/>
          <w:u w:val="single"/>
        </w:rPr>
        <w:t xml:space="preserve">Response: </w:t>
      </w:r>
      <w:r w:rsidRPr="002C4F1A">
        <w:rPr>
          <w:rFonts w:ascii="Times New Roman" w:hAnsi="Times New Roman" w:cs="Times New Roman"/>
          <w:sz w:val="22"/>
          <w:szCs w:val="22"/>
        </w:rPr>
        <w:t xml:space="preserve"> We have removed the reference to GAAP in the instructions.</w:t>
      </w:r>
    </w:p>
    <w:p w:rsidR="00C14E8A" w:rsidRPr="002C4F1A" w:rsidRDefault="00C14E8A" w:rsidP="00040789">
      <w:pPr>
        <w:pStyle w:val="PlainText"/>
        <w:rPr>
          <w:rFonts w:ascii="Times New Roman" w:hAnsi="Times New Roman" w:cs="Times New Roman"/>
          <w:b/>
          <w:sz w:val="22"/>
          <w:szCs w:val="22"/>
          <w:u w:val="single"/>
        </w:rPr>
      </w:pPr>
    </w:p>
    <w:p w:rsidR="00345F3E" w:rsidRPr="002C4F1A" w:rsidRDefault="00345F3E" w:rsidP="00F6283D">
      <w:pPr>
        <w:pStyle w:val="ListParagraph"/>
        <w:numPr>
          <w:ilvl w:val="0"/>
          <w:numId w:val="11"/>
        </w:numPr>
        <w:rPr>
          <w:rFonts w:ascii="Times New Roman" w:hAnsi="Times New Roman" w:cs="Times New Roman"/>
          <w:b/>
        </w:rPr>
      </w:pPr>
      <w:r w:rsidRPr="002C4F1A">
        <w:rPr>
          <w:rFonts w:ascii="Times New Roman" w:hAnsi="Times New Roman" w:cs="Times New Roman"/>
          <w:b/>
        </w:rPr>
        <w:t>Rate Review NPRM</w:t>
      </w:r>
    </w:p>
    <w:p w:rsidR="00345F3E" w:rsidRPr="002C4F1A" w:rsidRDefault="00345F3E" w:rsidP="00345F3E">
      <w:pPr>
        <w:rPr>
          <w:rFonts w:ascii="Times New Roman" w:hAnsi="Times New Roman" w:cs="Times New Roman"/>
          <w:b/>
          <w:u w:val="single"/>
        </w:rPr>
      </w:pPr>
      <w:r w:rsidRPr="002C4F1A">
        <w:rPr>
          <w:rFonts w:ascii="Times New Roman" w:hAnsi="Times New Roman" w:cs="Times New Roman"/>
          <w:b/>
          <w:u w:val="single"/>
        </w:rPr>
        <w:t xml:space="preserve">Comment: </w:t>
      </w:r>
      <w:r w:rsidRPr="002C4F1A">
        <w:rPr>
          <w:rFonts w:ascii="Times New Roman" w:hAnsi="Times New Roman" w:cs="Times New Roman"/>
        </w:rPr>
        <w:t xml:space="preserve">Many of the commenters expressed concerns with the overall rate review process outlined in the NPRM, including feedback on effective rate review program determinations, and state and HHS review responsibilities.  </w:t>
      </w:r>
    </w:p>
    <w:p w:rsidR="00345F3E" w:rsidRPr="002C4F1A" w:rsidRDefault="00345F3E" w:rsidP="00345F3E">
      <w:pPr>
        <w:rPr>
          <w:rFonts w:ascii="Times New Roman" w:hAnsi="Times New Roman" w:cs="Times New Roman"/>
          <w:b/>
          <w:u w:val="single"/>
        </w:rPr>
      </w:pPr>
      <w:r w:rsidRPr="002C4F1A">
        <w:rPr>
          <w:rFonts w:ascii="Times New Roman" w:hAnsi="Times New Roman" w:cs="Times New Roman"/>
          <w:b/>
          <w:u w:val="single"/>
        </w:rPr>
        <w:t xml:space="preserve">Response: </w:t>
      </w:r>
      <w:r w:rsidRPr="002C4F1A">
        <w:rPr>
          <w:rFonts w:ascii="Times New Roman" w:hAnsi="Times New Roman" w:cs="Times New Roman"/>
        </w:rPr>
        <w:t xml:space="preserve">In general, these comments reiterated concerns that were </w:t>
      </w:r>
      <w:r w:rsidR="00BB6367" w:rsidRPr="002C4F1A">
        <w:rPr>
          <w:rFonts w:ascii="Times New Roman" w:hAnsi="Times New Roman" w:cs="Times New Roman"/>
        </w:rPr>
        <w:t>received</w:t>
      </w:r>
      <w:r w:rsidRPr="002C4F1A">
        <w:rPr>
          <w:rFonts w:ascii="Times New Roman" w:hAnsi="Times New Roman" w:cs="Times New Roman"/>
        </w:rPr>
        <w:t xml:space="preserve"> during the public comment period for the NPRM (in many cases individual commenters either referenced or restated their NPRM comments). These comments are outside of the scope of th</w:t>
      </w:r>
      <w:r w:rsidR="00BB6367" w:rsidRPr="002C4F1A">
        <w:rPr>
          <w:rFonts w:ascii="Times New Roman" w:hAnsi="Times New Roman" w:cs="Times New Roman"/>
        </w:rPr>
        <w:t>is</w:t>
      </w:r>
      <w:r w:rsidRPr="002C4F1A">
        <w:rPr>
          <w:rFonts w:ascii="Times New Roman" w:hAnsi="Times New Roman" w:cs="Times New Roman"/>
        </w:rPr>
        <w:t xml:space="preserve"> PRA w</w:t>
      </w:r>
      <w:r w:rsidR="00BB6367" w:rsidRPr="002C4F1A">
        <w:rPr>
          <w:rFonts w:ascii="Times New Roman" w:hAnsi="Times New Roman" w:cs="Times New Roman"/>
        </w:rPr>
        <w:t xml:space="preserve">ere addressed in the preamble to the </w:t>
      </w:r>
      <w:r w:rsidRPr="002C4F1A">
        <w:rPr>
          <w:rFonts w:ascii="Times New Roman" w:hAnsi="Times New Roman" w:cs="Times New Roman"/>
        </w:rPr>
        <w:t xml:space="preserve">final rule.  </w:t>
      </w:r>
    </w:p>
    <w:p w:rsidR="00F956BF" w:rsidRPr="002C4F1A" w:rsidRDefault="00F956BF">
      <w:pPr>
        <w:rPr>
          <w:rFonts w:ascii="Times New Roman" w:hAnsi="Times New Roman" w:cs="Times New Roman"/>
          <w:b/>
        </w:rPr>
      </w:pPr>
    </w:p>
    <w:sectPr w:rsidR="00F956BF" w:rsidRPr="002C4F1A" w:rsidSect="004907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63B"/>
    <w:multiLevelType w:val="hybridMultilevel"/>
    <w:tmpl w:val="79843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F26C7C"/>
    <w:multiLevelType w:val="hybridMultilevel"/>
    <w:tmpl w:val="6B6A1A6C"/>
    <w:lvl w:ilvl="0" w:tplc="0409000F">
      <w:start w:val="1"/>
      <w:numFmt w:val="decimal"/>
      <w:lvlText w:val="%1."/>
      <w:lvlJc w:val="left"/>
      <w:pPr>
        <w:ind w:left="360" w:hanging="360"/>
      </w:pPr>
    </w:lvl>
    <w:lvl w:ilvl="1" w:tplc="ED2A0A7E">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6C548F"/>
    <w:multiLevelType w:val="hybridMultilevel"/>
    <w:tmpl w:val="55087C20"/>
    <w:lvl w:ilvl="0" w:tplc="449EBD5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D519B1"/>
    <w:multiLevelType w:val="hybridMultilevel"/>
    <w:tmpl w:val="8542A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3061BA"/>
    <w:multiLevelType w:val="hybridMultilevel"/>
    <w:tmpl w:val="BE74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17CC8"/>
    <w:multiLevelType w:val="hybridMultilevel"/>
    <w:tmpl w:val="BFDAA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BD612B"/>
    <w:multiLevelType w:val="hybridMultilevel"/>
    <w:tmpl w:val="18DAD1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A073C8"/>
    <w:multiLevelType w:val="hybridMultilevel"/>
    <w:tmpl w:val="85FC9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56231"/>
    <w:multiLevelType w:val="hybridMultilevel"/>
    <w:tmpl w:val="7D525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675252"/>
    <w:multiLevelType w:val="hybridMultilevel"/>
    <w:tmpl w:val="C48C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37014"/>
    <w:multiLevelType w:val="hybridMultilevel"/>
    <w:tmpl w:val="81924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431BEE"/>
    <w:multiLevelType w:val="hybridMultilevel"/>
    <w:tmpl w:val="84008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8"/>
  </w:num>
  <w:num w:numId="4">
    <w:abstractNumId w:val="4"/>
  </w:num>
  <w:num w:numId="5">
    <w:abstractNumId w:val="0"/>
  </w:num>
  <w:num w:numId="6">
    <w:abstractNumId w:val="10"/>
  </w:num>
  <w:num w:numId="7">
    <w:abstractNumId w:val="5"/>
  </w:num>
  <w:num w:numId="8">
    <w:abstractNumId w:val="9"/>
  </w:num>
  <w:num w:numId="9">
    <w:abstractNumId w:val="7"/>
  </w:num>
  <w:num w:numId="10">
    <w:abstractNumId w:val="3"/>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A3F47"/>
    <w:rsid w:val="00005963"/>
    <w:rsid w:val="00040789"/>
    <w:rsid w:val="00070704"/>
    <w:rsid w:val="000A4341"/>
    <w:rsid w:val="000B2DBC"/>
    <w:rsid w:val="000D682A"/>
    <w:rsid w:val="000E7A8D"/>
    <w:rsid w:val="00103402"/>
    <w:rsid w:val="00113CEE"/>
    <w:rsid w:val="00165517"/>
    <w:rsid w:val="00185BD5"/>
    <w:rsid w:val="001B0197"/>
    <w:rsid w:val="00230ABA"/>
    <w:rsid w:val="002342CE"/>
    <w:rsid w:val="002800F8"/>
    <w:rsid w:val="002846FC"/>
    <w:rsid w:val="002C4F1A"/>
    <w:rsid w:val="002C6CF7"/>
    <w:rsid w:val="00324758"/>
    <w:rsid w:val="00333052"/>
    <w:rsid w:val="00337B43"/>
    <w:rsid w:val="00341DDE"/>
    <w:rsid w:val="00345F3E"/>
    <w:rsid w:val="00384EB6"/>
    <w:rsid w:val="003E52B6"/>
    <w:rsid w:val="003F3913"/>
    <w:rsid w:val="00415FC9"/>
    <w:rsid w:val="00442F36"/>
    <w:rsid w:val="004907CB"/>
    <w:rsid w:val="004A3F47"/>
    <w:rsid w:val="004B44F1"/>
    <w:rsid w:val="004E6103"/>
    <w:rsid w:val="0052151A"/>
    <w:rsid w:val="005443AD"/>
    <w:rsid w:val="0055331C"/>
    <w:rsid w:val="00575721"/>
    <w:rsid w:val="005B2B94"/>
    <w:rsid w:val="005F0482"/>
    <w:rsid w:val="00612BC6"/>
    <w:rsid w:val="00643AEA"/>
    <w:rsid w:val="00682CAE"/>
    <w:rsid w:val="006A601A"/>
    <w:rsid w:val="006D363C"/>
    <w:rsid w:val="0070767C"/>
    <w:rsid w:val="00766054"/>
    <w:rsid w:val="007C3ABF"/>
    <w:rsid w:val="007C3CD8"/>
    <w:rsid w:val="00816CCF"/>
    <w:rsid w:val="00826603"/>
    <w:rsid w:val="00826D6E"/>
    <w:rsid w:val="008A6852"/>
    <w:rsid w:val="00911354"/>
    <w:rsid w:val="00925E8F"/>
    <w:rsid w:val="00977826"/>
    <w:rsid w:val="00986850"/>
    <w:rsid w:val="00992D54"/>
    <w:rsid w:val="00994EC6"/>
    <w:rsid w:val="009F6B40"/>
    <w:rsid w:val="00A14335"/>
    <w:rsid w:val="00A16A8A"/>
    <w:rsid w:val="00AA1D71"/>
    <w:rsid w:val="00AF552D"/>
    <w:rsid w:val="00AF6169"/>
    <w:rsid w:val="00B07131"/>
    <w:rsid w:val="00B30F17"/>
    <w:rsid w:val="00BA47A5"/>
    <w:rsid w:val="00BB1DF7"/>
    <w:rsid w:val="00BB6367"/>
    <w:rsid w:val="00BC35A3"/>
    <w:rsid w:val="00BD4497"/>
    <w:rsid w:val="00BD71C4"/>
    <w:rsid w:val="00C01BDC"/>
    <w:rsid w:val="00C14E8A"/>
    <w:rsid w:val="00C2322E"/>
    <w:rsid w:val="00C414B4"/>
    <w:rsid w:val="00CD060F"/>
    <w:rsid w:val="00D25226"/>
    <w:rsid w:val="00D53264"/>
    <w:rsid w:val="00DC00B2"/>
    <w:rsid w:val="00DD759F"/>
    <w:rsid w:val="00DE461F"/>
    <w:rsid w:val="00DF04AC"/>
    <w:rsid w:val="00DF3F47"/>
    <w:rsid w:val="00EE13A6"/>
    <w:rsid w:val="00F001BE"/>
    <w:rsid w:val="00F01779"/>
    <w:rsid w:val="00F37E67"/>
    <w:rsid w:val="00F6283D"/>
    <w:rsid w:val="00F956BF"/>
    <w:rsid w:val="00FA3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603"/>
    <w:pPr>
      <w:ind w:left="720"/>
      <w:contextualSpacing/>
    </w:pPr>
  </w:style>
  <w:style w:type="paragraph" w:styleId="PlainText">
    <w:name w:val="Plain Text"/>
    <w:basedOn w:val="Normal"/>
    <w:link w:val="PlainTextChar"/>
    <w:uiPriority w:val="99"/>
    <w:unhideWhenUsed/>
    <w:rsid w:val="0004078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40789"/>
    <w:rPr>
      <w:rFonts w:ascii="Consolas" w:hAnsi="Consolas"/>
      <w:sz w:val="21"/>
      <w:szCs w:val="21"/>
    </w:rPr>
  </w:style>
  <w:style w:type="paragraph" w:customStyle="1" w:styleId="Default">
    <w:name w:val="Default"/>
    <w:rsid w:val="00C01BD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01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442F36"/>
    <w:rPr>
      <w:sz w:val="16"/>
      <w:szCs w:val="16"/>
    </w:rPr>
  </w:style>
  <w:style w:type="paragraph" w:styleId="CommentText">
    <w:name w:val="annotation text"/>
    <w:basedOn w:val="Normal"/>
    <w:link w:val="CommentTextChar"/>
    <w:uiPriority w:val="99"/>
    <w:semiHidden/>
    <w:unhideWhenUsed/>
    <w:rsid w:val="00442F36"/>
    <w:pPr>
      <w:spacing w:line="240" w:lineRule="auto"/>
    </w:pPr>
    <w:rPr>
      <w:sz w:val="20"/>
      <w:szCs w:val="20"/>
    </w:rPr>
  </w:style>
  <w:style w:type="character" w:customStyle="1" w:styleId="CommentTextChar">
    <w:name w:val="Comment Text Char"/>
    <w:basedOn w:val="DefaultParagraphFont"/>
    <w:link w:val="CommentText"/>
    <w:uiPriority w:val="99"/>
    <w:semiHidden/>
    <w:rsid w:val="00442F36"/>
    <w:rPr>
      <w:sz w:val="20"/>
      <w:szCs w:val="20"/>
    </w:rPr>
  </w:style>
  <w:style w:type="paragraph" w:styleId="CommentSubject">
    <w:name w:val="annotation subject"/>
    <w:basedOn w:val="CommentText"/>
    <w:next w:val="CommentText"/>
    <w:link w:val="CommentSubjectChar"/>
    <w:uiPriority w:val="99"/>
    <w:semiHidden/>
    <w:unhideWhenUsed/>
    <w:rsid w:val="00442F36"/>
    <w:rPr>
      <w:b/>
      <w:bCs/>
    </w:rPr>
  </w:style>
  <w:style w:type="character" w:customStyle="1" w:styleId="CommentSubjectChar">
    <w:name w:val="Comment Subject Char"/>
    <w:basedOn w:val="CommentTextChar"/>
    <w:link w:val="CommentSubject"/>
    <w:uiPriority w:val="99"/>
    <w:semiHidden/>
    <w:rsid w:val="00442F36"/>
    <w:rPr>
      <w:b/>
      <w:bCs/>
    </w:rPr>
  </w:style>
  <w:style w:type="paragraph" w:styleId="BalloonText">
    <w:name w:val="Balloon Text"/>
    <w:basedOn w:val="Normal"/>
    <w:link w:val="BalloonTextChar"/>
    <w:uiPriority w:val="99"/>
    <w:semiHidden/>
    <w:unhideWhenUsed/>
    <w:rsid w:val="00442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F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914153">
      <w:bodyDiv w:val="1"/>
      <w:marLeft w:val="0"/>
      <w:marRight w:val="0"/>
      <w:marTop w:val="0"/>
      <w:marBottom w:val="0"/>
      <w:divBdr>
        <w:top w:val="none" w:sz="0" w:space="0" w:color="auto"/>
        <w:left w:val="none" w:sz="0" w:space="0" w:color="auto"/>
        <w:bottom w:val="none" w:sz="0" w:space="0" w:color="auto"/>
        <w:right w:val="none" w:sz="0" w:space="0" w:color="auto"/>
      </w:divBdr>
    </w:div>
    <w:div w:id="500854791">
      <w:bodyDiv w:val="1"/>
      <w:marLeft w:val="0"/>
      <w:marRight w:val="0"/>
      <w:marTop w:val="0"/>
      <w:marBottom w:val="0"/>
      <w:divBdr>
        <w:top w:val="none" w:sz="0" w:space="0" w:color="auto"/>
        <w:left w:val="none" w:sz="0" w:space="0" w:color="auto"/>
        <w:bottom w:val="none" w:sz="0" w:space="0" w:color="auto"/>
        <w:right w:val="none" w:sz="0" w:space="0" w:color="auto"/>
      </w:divBdr>
    </w:div>
    <w:div w:id="1060833691">
      <w:bodyDiv w:val="1"/>
      <w:marLeft w:val="0"/>
      <w:marRight w:val="0"/>
      <w:marTop w:val="0"/>
      <w:marBottom w:val="0"/>
      <w:divBdr>
        <w:top w:val="none" w:sz="0" w:space="0" w:color="auto"/>
        <w:left w:val="none" w:sz="0" w:space="0" w:color="auto"/>
        <w:bottom w:val="none" w:sz="0" w:space="0" w:color="auto"/>
        <w:right w:val="none" w:sz="0" w:space="0" w:color="auto"/>
      </w:divBdr>
    </w:div>
    <w:div w:id="13551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dan.miller</dc:creator>
  <cp:keywords/>
  <dc:description/>
  <cp:lastModifiedBy>dan.miller</cp:lastModifiedBy>
  <cp:revision>2</cp:revision>
  <cp:lastPrinted>2011-05-06T21:41:00Z</cp:lastPrinted>
  <dcterms:created xsi:type="dcterms:W3CDTF">2011-05-24T14:41:00Z</dcterms:created>
  <dcterms:modified xsi:type="dcterms:W3CDTF">2011-05-24T14:41:00Z</dcterms:modified>
</cp:coreProperties>
</file>