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7B5" w:rsidRPr="00FC633E" w:rsidRDefault="00DB37B5" w:rsidP="005453AD">
      <w:pPr>
        <w:jc w:val="center"/>
        <w:rPr>
          <w:sz w:val="28"/>
          <w:szCs w:val="28"/>
        </w:rPr>
      </w:pPr>
    </w:p>
    <w:p w:rsidR="00DB37B5" w:rsidRDefault="00DB37B5" w:rsidP="005453AD">
      <w:pPr>
        <w:jc w:val="center"/>
        <w:rPr>
          <w:b/>
          <w:sz w:val="28"/>
          <w:szCs w:val="28"/>
        </w:rPr>
      </w:pPr>
    </w:p>
    <w:p w:rsidR="00DB37B5" w:rsidRDefault="00DB37B5" w:rsidP="005453AD">
      <w:pPr>
        <w:jc w:val="center"/>
        <w:rPr>
          <w:b/>
          <w:sz w:val="28"/>
          <w:szCs w:val="28"/>
        </w:rPr>
      </w:pPr>
      <w:r w:rsidRPr="00456179">
        <w:rPr>
          <w:b/>
          <w:sz w:val="28"/>
          <w:szCs w:val="28"/>
        </w:rPr>
        <w:t>SUPPORTING STATEMENT</w:t>
      </w:r>
    </w:p>
    <w:p w:rsidR="00DB37B5" w:rsidRDefault="00DB37B5" w:rsidP="005453AD">
      <w:pPr>
        <w:jc w:val="center"/>
        <w:rPr>
          <w:b/>
          <w:sz w:val="28"/>
          <w:szCs w:val="28"/>
        </w:rPr>
      </w:pPr>
    </w:p>
    <w:p w:rsidR="00DB37B5" w:rsidRDefault="00DB37B5" w:rsidP="005453AD">
      <w:pPr>
        <w:jc w:val="center"/>
        <w:rPr>
          <w:sz w:val="28"/>
          <w:szCs w:val="28"/>
        </w:rPr>
      </w:pPr>
      <w:r>
        <w:rPr>
          <w:b/>
          <w:sz w:val="28"/>
          <w:szCs w:val="28"/>
        </w:rPr>
        <w:t>Part B</w:t>
      </w:r>
    </w:p>
    <w:p w:rsidR="00DB37B5" w:rsidRDefault="00DB37B5" w:rsidP="005453AD">
      <w:pPr>
        <w:jc w:val="center"/>
        <w:rPr>
          <w:sz w:val="28"/>
          <w:szCs w:val="28"/>
        </w:rPr>
      </w:pPr>
    </w:p>
    <w:p w:rsidR="00DB37B5" w:rsidRDefault="00DB37B5" w:rsidP="005453AD">
      <w:pPr>
        <w:jc w:val="center"/>
        <w:rPr>
          <w:sz w:val="28"/>
          <w:szCs w:val="28"/>
        </w:rPr>
      </w:pPr>
    </w:p>
    <w:p w:rsidR="00DB37B5" w:rsidRDefault="00DB37B5" w:rsidP="005453AD">
      <w:pPr>
        <w:jc w:val="center"/>
        <w:rPr>
          <w:sz w:val="28"/>
          <w:szCs w:val="28"/>
        </w:rPr>
      </w:pPr>
    </w:p>
    <w:p w:rsidR="00DB37B5" w:rsidRDefault="00DB37B5" w:rsidP="005453AD">
      <w:pPr>
        <w:jc w:val="center"/>
        <w:rPr>
          <w:sz w:val="28"/>
          <w:szCs w:val="28"/>
        </w:rPr>
      </w:pPr>
    </w:p>
    <w:p w:rsidR="00DB37B5" w:rsidRDefault="00DB37B5" w:rsidP="005453AD">
      <w:pPr>
        <w:jc w:val="center"/>
        <w:rPr>
          <w:sz w:val="28"/>
          <w:szCs w:val="28"/>
        </w:rPr>
      </w:pPr>
    </w:p>
    <w:p w:rsidR="00DB37B5" w:rsidRDefault="00DB37B5" w:rsidP="005453AD">
      <w:pPr>
        <w:jc w:val="center"/>
        <w:rPr>
          <w:sz w:val="28"/>
          <w:szCs w:val="28"/>
        </w:rPr>
      </w:pPr>
    </w:p>
    <w:p w:rsidR="00DB37B5" w:rsidRPr="00C50623" w:rsidRDefault="00DB37B5" w:rsidP="007430A5">
      <w:pPr>
        <w:jc w:val="center"/>
        <w:rPr>
          <w:sz w:val="28"/>
          <w:szCs w:val="28"/>
        </w:rPr>
      </w:pPr>
      <w:r w:rsidRPr="00C50623">
        <w:rPr>
          <w:sz w:val="28"/>
          <w:szCs w:val="28"/>
        </w:rPr>
        <w:t>Comparative Effectiveness Research – Continuing Education</w:t>
      </w:r>
    </w:p>
    <w:p w:rsidR="00DB37B5" w:rsidRPr="00C4006D" w:rsidRDefault="00DB37B5" w:rsidP="00FC633E">
      <w:pPr>
        <w:jc w:val="center"/>
        <w:rPr>
          <w:i/>
          <w:sz w:val="28"/>
          <w:szCs w:val="28"/>
        </w:rPr>
      </w:pPr>
    </w:p>
    <w:p w:rsidR="00DB37B5" w:rsidRDefault="00DB37B5" w:rsidP="005453AD">
      <w:pPr>
        <w:jc w:val="center"/>
        <w:rPr>
          <w:sz w:val="28"/>
          <w:szCs w:val="28"/>
        </w:rPr>
      </w:pPr>
    </w:p>
    <w:p w:rsidR="00DB37B5" w:rsidRDefault="00DB37B5" w:rsidP="005453AD">
      <w:pPr>
        <w:jc w:val="center"/>
        <w:rPr>
          <w:sz w:val="28"/>
          <w:szCs w:val="28"/>
        </w:rPr>
      </w:pPr>
    </w:p>
    <w:p w:rsidR="00DB37B5" w:rsidRDefault="00DB37B5" w:rsidP="005453AD">
      <w:pPr>
        <w:jc w:val="center"/>
        <w:rPr>
          <w:sz w:val="28"/>
          <w:szCs w:val="28"/>
        </w:rPr>
      </w:pPr>
    </w:p>
    <w:p w:rsidR="00DB37B5" w:rsidRDefault="00DB37B5" w:rsidP="005453AD">
      <w:pPr>
        <w:jc w:val="center"/>
        <w:rPr>
          <w:sz w:val="28"/>
          <w:szCs w:val="28"/>
        </w:rPr>
      </w:pPr>
    </w:p>
    <w:p w:rsidR="00DB37B5" w:rsidRDefault="00DB37B5" w:rsidP="005453AD">
      <w:pPr>
        <w:jc w:val="center"/>
        <w:rPr>
          <w:sz w:val="28"/>
          <w:szCs w:val="28"/>
        </w:rPr>
      </w:pPr>
      <w:r>
        <w:rPr>
          <w:sz w:val="28"/>
          <w:szCs w:val="28"/>
        </w:rPr>
        <w:t>Version: April 7</w:t>
      </w:r>
      <w:r w:rsidRPr="00B54667">
        <w:rPr>
          <w:sz w:val="28"/>
          <w:szCs w:val="28"/>
          <w:vertAlign w:val="superscript"/>
        </w:rPr>
        <w:t>th</w:t>
      </w:r>
      <w:r>
        <w:rPr>
          <w:sz w:val="28"/>
          <w:szCs w:val="28"/>
        </w:rPr>
        <w:t>, 2011</w:t>
      </w:r>
    </w:p>
    <w:p w:rsidR="00DB37B5" w:rsidRPr="007430A5" w:rsidRDefault="005D1CCA" w:rsidP="005453AD">
      <w:pPr>
        <w:jc w:val="center"/>
        <w:rPr>
          <w:sz w:val="28"/>
          <w:szCs w:val="28"/>
        </w:rPr>
      </w:pPr>
      <w:r>
        <w:rPr>
          <w:sz w:val="28"/>
          <w:szCs w:val="28"/>
        </w:rPr>
        <w:t>Resubmission:</w:t>
      </w:r>
      <w:r w:rsidR="00DB37B5">
        <w:rPr>
          <w:sz w:val="28"/>
          <w:szCs w:val="28"/>
        </w:rPr>
        <w:t xml:space="preserve"> July 2</w:t>
      </w:r>
      <w:r>
        <w:rPr>
          <w:sz w:val="28"/>
          <w:szCs w:val="28"/>
        </w:rPr>
        <w:t>7</w:t>
      </w:r>
      <w:r w:rsidR="00DB37B5">
        <w:rPr>
          <w:sz w:val="28"/>
          <w:szCs w:val="28"/>
        </w:rPr>
        <w:t>, 2011</w:t>
      </w:r>
    </w:p>
    <w:p w:rsidR="00DB37B5" w:rsidRDefault="00DB37B5" w:rsidP="005453AD">
      <w:pPr>
        <w:jc w:val="center"/>
        <w:rPr>
          <w:sz w:val="28"/>
          <w:szCs w:val="28"/>
        </w:rPr>
      </w:pPr>
    </w:p>
    <w:p w:rsidR="00DB37B5" w:rsidRDefault="00DB37B5" w:rsidP="005453AD">
      <w:pPr>
        <w:jc w:val="center"/>
        <w:rPr>
          <w:sz w:val="28"/>
          <w:szCs w:val="28"/>
        </w:rPr>
      </w:pPr>
    </w:p>
    <w:p w:rsidR="00DB37B5" w:rsidRDefault="00DB37B5" w:rsidP="005453AD">
      <w:pPr>
        <w:jc w:val="center"/>
        <w:rPr>
          <w:sz w:val="28"/>
          <w:szCs w:val="28"/>
        </w:rPr>
      </w:pPr>
    </w:p>
    <w:p w:rsidR="00DB37B5" w:rsidRDefault="00DB37B5" w:rsidP="005453AD">
      <w:pPr>
        <w:jc w:val="center"/>
        <w:rPr>
          <w:sz w:val="28"/>
          <w:szCs w:val="28"/>
        </w:rPr>
      </w:pPr>
    </w:p>
    <w:p w:rsidR="00DB37B5" w:rsidRDefault="00DB37B5" w:rsidP="005453AD">
      <w:pPr>
        <w:jc w:val="center"/>
        <w:rPr>
          <w:sz w:val="28"/>
          <w:szCs w:val="28"/>
        </w:rPr>
      </w:pPr>
    </w:p>
    <w:p w:rsidR="00DB37B5" w:rsidRDefault="00DB37B5" w:rsidP="005453AD">
      <w:pPr>
        <w:jc w:val="center"/>
        <w:rPr>
          <w:sz w:val="28"/>
          <w:szCs w:val="28"/>
        </w:rPr>
      </w:pPr>
    </w:p>
    <w:p w:rsidR="00DB37B5" w:rsidRDefault="00DB37B5" w:rsidP="005453AD">
      <w:pPr>
        <w:jc w:val="center"/>
        <w:rPr>
          <w:sz w:val="28"/>
          <w:szCs w:val="28"/>
        </w:rPr>
      </w:pPr>
    </w:p>
    <w:p w:rsidR="00DB37B5" w:rsidRDefault="00DB37B5" w:rsidP="005453AD">
      <w:pPr>
        <w:jc w:val="center"/>
        <w:rPr>
          <w:sz w:val="28"/>
          <w:szCs w:val="28"/>
        </w:rPr>
      </w:pPr>
      <w:r w:rsidRPr="00677A0B">
        <w:rPr>
          <w:sz w:val="28"/>
          <w:szCs w:val="28"/>
        </w:rPr>
        <w:t>Agency of Healthcare Research and Quality (AHRQ)</w:t>
      </w:r>
    </w:p>
    <w:p w:rsidR="00DB37B5" w:rsidRDefault="00DB37B5" w:rsidP="005453AD">
      <w:pPr>
        <w:rPr>
          <w:sz w:val="28"/>
          <w:szCs w:val="28"/>
        </w:rPr>
      </w:pPr>
    </w:p>
    <w:p w:rsidR="00DB37B5" w:rsidRDefault="00DB37B5" w:rsidP="005453AD">
      <w:pPr>
        <w:rPr>
          <w:sz w:val="28"/>
          <w:szCs w:val="28"/>
        </w:rPr>
      </w:pPr>
    </w:p>
    <w:p w:rsidR="00DB37B5" w:rsidRDefault="00DB37B5" w:rsidP="005453AD">
      <w:pPr>
        <w:jc w:val="center"/>
        <w:rPr>
          <w:b/>
        </w:rPr>
      </w:pPr>
      <w:r>
        <w:br w:type="page"/>
      </w:r>
      <w:r w:rsidRPr="001D0454">
        <w:rPr>
          <w:b/>
        </w:rPr>
        <w:lastRenderedPageBreak/>
        <w:t>Table of contents</w:t>
      </w:r>
    </w:p>
    <w:p w:rsidR="00DB37B5" w:rsidRDefault="00DB37B5" w:rsidP="00FC633E"/>
    <w:p w:rsidR="00DB37B5" w:rsidRDefault="00DB37B5" w:rsidP="00FC633E">
      <w:pPr>
        <w:tabs>
          <w:tab w:val="left" w:leader="dot" w:pos="8460"/>
        </w:tabs>
      </w:pPr>
      <w:r w:rsidRPr="00FC633E">
        <w:t>B. Collections of Information Employing Statistical Methods</w:t>
      </w:r>
      <w:r>
        <w:tab/>
        <w:t>3</w:t>
      </w:r>
    </w:p>
    <w:p w:rsidR="00DB37B5" w:rsidRDefault="00DB37B5" w:rsidP="00FC633E">
      <w:pPr>
        <w:tabs>
          <w:tab w:val="left" w:pos="360"/>
          <w:tab w:val="left" w:leader="dot" w:pos="8460"/>
        </w:tabs>
      </w:pPr>
      <w:r>
        <w:tab/>
        <w:t xml:space="preserve">1. </w:t>
      </w:r>
      <w:r w:rsidRPr="00FC633E">
        <w:t>Respondent universe and sampling methods</w:t>
      </w:r>
      <w:r>
        <w:tab/>
        <w:t>3</w:t>
      </w:r>
    </w:p>
    <w:p w:rsidR="00DB37B5" w:rsidRDefault="00DB37B5" w:rsidP="00FC633E">
      <w:pPr>
        <w:tabs>
          <w:tab w:val="left" w:pos="360"/>
          <w:tab w:val="left" w:leader="dot" w:pos="8460"/>
        </w:tabs>
      </w:pPr>
      <w:r>
        <w:tab/>
        <w:t xml:space="preserve">2. </w:t>
      </w:r>
      <w:r w:rsidRPr="00FC633E">
        <w:t>Information Collection Procedures</w:t>
      </w:r>
      <w:r>
        <w:tab/>
        <w:t>3</w:t>
      </w:r>
    </w:p>
    <w:p w:rsidR="00DB37B5" w:rsidRDefault="00DB37B5" w:rsidP="00FC633E">
      <w:pPr>
        <w:tabs>
          <w:tab w:val="left" w:pos="360"/>
          <w:tab w:val="left" w:leader="dot" w:pos="8460"/>
        </w:tabs>
      </w:pPr>
      <w:r>
        <w:tab/>
        <w:t xml:space="preserve">3. </w:t>
      </w:r>
      <w:r w:rsidRPr="00FC633E">
        <w:t>Methods to Maximize Response Rates</w:t>
      </w:r>
      <w:r>
        <w:tab/>
        <w:t>4</w:t>
      </w:r>
    </w:p>
    <w:p w:rsidR="00DB37B5" w:rsidRDefault="00DB37B5" w:rsidP="00FC633E">
      <w:pPr>
        <w:tabs>
          <w:tab w:val="left" w:pos="360"/>
          <w:tab w:val="left" w:leader="dot" w:pos="8460"/>
        </w:tabs>
      </w:pPr>
      <w:r>
        <w:tab/>
        <w:t xml:space="preserve">4. </w:t>
      </w:r>
      <w:r w:rsidRPr="00FC633E">
        <w:t>Tests of Procedures</w:t>
      </w:r>
      <w:r>
        <w:tab/>
        <w:t>4</w:t>
      </w:r>
    </w:p>
    <w:p w:rsidR="00DB37B5" w:rsidRPr="00FC633E" w:rsidRDefault="00DB37B5" w:rsidP="00FC633E">
      <w:pPr>
        <w:tabs>
          <w:tab w:val="left" w:pos="360"/>
          <w:tab w:val="left" w:leader="dot" w:pos="8460"/>
        </w:tabs>
      </w:pPr>
      <w:r>
        <w:tab/>
        <w:t xml:space="preserve">5. </w:t>
      </w:r>
      <w:r w:rsidRPr="00FC633E">
        <w:t>Statistical Consultants</w:t>
      </w:r>
      <w:r>
        <w:tab/>
        <w:t>5</w:t>
      </w:r>
    </w:p>
    <w:p w:rsidR="00DB37B5" w:rsidRDefault="00DB37B5" w:rsidP="00874B68">
      <w:bookmarkStart w:id="0" w:name="_Toc151782198"/>
      <w:bookmarkStart w:id="1" w:name="_Toc158526234"/>
    </w:p>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874B68"/>
    <w:p w:rsidR="00DB37B5" w:rsidRDefault="00DB37B5" w:rsidP="005453AD">
      <w:pPr>
        <w:pStyle w:val="Heading1"/>
        <w:rPr>
          <w:sz w:val="24"/>
          <w:szCs w:val="24"/>
        </w:rPr>
      </w:pPr>
    </w:p>
    <w:p w:rsidR="00DB37B5" w:rsidRPr="00FC633E" w:rsidRDefault="00DB37B5" w:rsidP="005453AD">
      <w:pPr>
        <w:pStyle w:val="Heading1"/>
        <w:rPr>
          <w:sz w:val="24"/>
          <w:szCs w:val="24"/>
        </w:rPr>
      </w:pPr>
      <w:r w:rsidRPr="00FC633E">
        <w:rPr>
          <w:sz w:val="24"/>
          <w:szCs w:val="24"/>
        </w:rPr>
        <w:t>B. Collections of Information Employing Statistical Methods</w:t>
      </w:r>
      <w:bookmarkEnd w:id="0"/>
      <w:bookmarkEnd w:id="1"/>
    </w:p>
    <w:p w:rsidR="00DB37B5" w:rsidRPr="00874B68" w:rsidRDefault="00DB37B5" w:rsidP="00874B68"/>
    <w:p w:rsidR="00DB37B5" w:rsidRPr="001D0454" w:rsidRDefault="00DB37B5" w:rsidP="005453AD">
      <w:pPr>
        <w:pStyle w:val="Heading2"/>
        <w:spacing w:before="0" w:after="0"/>
        <w:rPr>
          <w:sz w:val="24"/>
        </w:rPr>
      </w:pPr>
      <w:bookmarkStart w:id="2" w:name="_Toc151782199"/>
      <w:bookmarkStart w:id="3" w:name="_Toc158526235"/>
      <w:r w:rsidRPr="001D0454">
        <w:rPr>
          <w:sz w:val="24"/>
        </w:rPr>
        <w:t>1. Respondent universe and sampling methods</w:t>
      </w:r>
      <w:bookmarkEnd w:id="2"/>
      <w:bookmarkEnd w:id="3"/>
    </w:p>
    <w:p w:rsidR="00DB37B5" w:rsidRDefault="00DB37B5" w:rsidP="002837E3">
      <w:pPr>
        <w:spacing w:after="240"/>
      </w:pPr>
      <w:r>
        <w:t xml:space="preserve">All health care professionals who participate in any of the 39 CME/CE/CEU online modules funded by AHRQ (See description in Part A) will be considered candidates in the respondent universe. AHRQ’s contractor, PRIME, Inc., is creating a total of 45 CME/CE/CEU modules, and 6 of those modules are being delivered by Academic Detailing and will be included in a separate OMB Clearance. The 60-day, 6-month and 1-year survey instruments will be electronically sent to all participants. The respondent universe will be determined by the number of health care professionals who voluntarily complete the surveys, in accordance with standard practices in continuing medical education. </w:t>
      </w:r>
    </w:p>
    <w:p w:rsidR="00DB37B5" w:rsidRDefault="00DB37B5" w:rsidP="009C4F2E">
      <w:pPr>
        <w:jc w:val="both"/>
      </w:pPr>
      <w:r>
        <w:t xml:space="preserve">Since the first AHRQ CER modules were released in March 31, 2011, PRIME has issued 1,608 educational certificates of completion for 4 modules, averaging 402 certificates per course in 60 days. We calculated the total number of certificates to be issued by multiplying the number of certificates (402) issued in this first 60 days x 6 (365 divided by 60) to estimate the number of certificates that would be issued per year. </w:t>
      </w:r>
    </w:p>
    <w:p w:rsidR="00DB37B5" w:rsidRDefault="00DB37B5" w:rsidP="009C4F2E">
      <w:pPr>
        <w:jc w:val="both"/>
      </w:pPr>
      <w:r>
        <w:t xml:space="preserve">Projected over the course of accreditation, we estimate that an average of 2,412 certificates will be issued for each course. </w:t>
      </w:r>
    </w:p>
    <w:p w:rsidR="00DB37B5" w:rsidRDefault="00DB37B5" w:rsidP="009C4F2E">
      <w:pPr>
        <w:jc w:val="both"/>
      </w:pPr>
    </w:p>
    <w:p w:rsidR="00DB37B5" w:rsidRDefault="00DB37B5" w:rsidP="009C4F2E">
      <w:pPr>
        <w:jc w:val="both"/>
      </w:pPr>
      <w:r>
        <w:t xml:space="preserve">Based on PRIME’s experience conducting interval-based surveys among all disciplines, we expect survey completions for the 60 day and 6 month intervals to be 35% of 2,412 or 844.  A 20 % completion rate or 2,412 or 484 at the end of one year for a single module is anticipated. </w:t>
      </w:r>
    </w:p>
    <w:p w:rsidR="00DB37B5" w:rsidRDefault="00DB37B5" w:rsidP="009C4F2E">
      <w:pPr>
        <w:jc w:val="both"/>
      </w:pPr>
    </w:p>
    <w:p w:rsidR="00DB37B5" w:rsidRDefault="00DB37B5" w:rsidP="009C4F2E">
      <w:pPr>
        <w:jc w:val="both"/>
      </w:pPr>
    </w:p>
    <w:p w:rsidR="00DB37B5" w:rsidRDefault="00DB37B5" w:rsidP="009C4F2E">
      <w:pPr>
        <w:jc w:val="both"/>
      </w:pPr>
      <w:r>
        <w:t>Those who have completed the module will receive surveys at each measurement interval; completion of each emailed survey may be done for any/all time intervals by all participants.  As such, participants may complete 1, 2, or all 3 surveys, or combinations thereof.  Failure to respond to a survey does not eliminate their receipt of subsequent surveys.</w:t>
      </w:r>
    </w:p>
    <w:p w:rsidR="00DB37B5" w:rsidRDefault="00DB37B5" w:rsidP="009C4F2E">
      <w:pPr>
        <w:jc w:val="both"/>
      </w:pPr>
    </w:p>
    <w:p w:rsidR="00DB37B5" w:rsidRDefault="00DB37B5" w:rsidP="002837E3">
      <w:pPr>
        <w:spacing w:after="240"/>
        <w:rPr>
          <w:i/>
        </w:rPr>
      </w:pPr>
      <w:r>
        <w:t xml:space="preserve">Respondents will include physicians, physician assistants, nurse practitioners, nurses, pharmacists, case managers, psychologists, medical assistants, health educators, and other allied health professionals. </w:t>
      </w:r>
    </w:p>
    <w:p w:rsidR="00DB37B5" w:rsidRDefault="00DB37B5" w:rsidP="00E95B59">
      <w:r>
        <w:t>Surveys will be automatically generated via the LMS</w:t>
      </w:r>
      <w:r w:rsidRPr="00B27FFB">
        <w:t>. T</w:t>
      </w:r>
      <w:r w:rsidRPr="00B27FFB">
        <w:rPr>
          <w:color w:val="000000"/>
        </w:rPr>
        <w:t>he 60</w:t>
      </w:r>
      <w:r>
        <w:rPr>
          <w:color w:val="000000"/>
        </w:rPr>
        <w:t>-</w:t>
      </w:r>
      <w:r w:rsidRPr="00B27FFB">
        <w:rPr>
          <w:color w:val="000000"/>
        </w:rPr>
        <w:t>day survey will be sent 60 days after ea</w:t>
      </w:r>
      <w:r>
        <w:rPr>
          <w:color w:val="000000"/>
        </w:rPr>
        <w:t>ch participant of a module comp</w:t>
      </w:r>
      <w:r w:rsidRPr="00B27FFB">
        <w:rPr>
          <w:color w:val="000000"/>
        </w:rPr>
        <w:t>l</w:t>
      </w:r>
      <w:r>
        <w:rPr>
          <w:color w:val="000000"/>
        </w:rPr>
        <w:t>e</w:t>
      </w:r>
      <w:r w:rsidRPr="00B27FFB">
        <w:rPr>
          <w:color w:val="000000"/>
        </w:rPr>
        <w:t xml:space="preserve">tes the module and accesses his/her certificate of completion. After </w:t>
      </w:r>
      <w:r>
        <w:rPr>
          <w:color w:val="000000"/>
        </w:rPr>
        <w:t xml:space="preserve">844 </w:t>
      </w:r>
      <w:r w:rsidRPr="00B27FFB">
        <w:rPr>
          <w:color w:val="000000"/>
        </w:rPr>
        <w:t xml:space="preserve">surveys have been returned, no additional surveys will </w:t>
      </w:r>
      <w:r>
        <w:rPr>
          <w:color w:val="000000"/>
        </w:rPr>
        <w:t>be sent</w:t>
      </w:r>
      <w:r w:rsidRPr="00B27FFB">
        <w:rPr>
          <w:color w:val="000000"/>
        </w:rPr>
        <w:t xml:space="preserve">. </w:t>
      </w:r>
      <w:r>
        <w:rPr>
          <w:color w:val="000000"/>
        </w:rPr>
        <w:t>T</w:t>
      </w:r>
      <w:r w:rsidRPr="00B27FFB">
        <w:rPr>
          <w:color w:val="000000"/>
        </w:rPr>
        <w:t>he 6</w:t>
      </w:r>
      <w:r>
        <w:rPr>
          <w:color w:val="000000"/>
        </w:rPr>
        <w:t>-</w:t>
      </w:r>
      <w:r w:rsidRPr="00B27FFB">
        <w:rPr>
          <w:color w:val="000000"/>
        </w:rPr>
        <w:t xml:space="preserve">month survey </w:t>
      </w:r>
      <w:r>
        <w:rPr>
          <w:color w:val="000000"/>
        </w:rPr>
        <w:t>will be sent 6 months after each participant of a module completes the module and accesses his/her certificate of completion</w:t>
      </w:r>
      <w:r w:rsidRPr="00B27FFB">
        <w:rPr>
          <w:color w:val="000000"/>
        </w:rPr>
        <w:t xml:space="preserve"> (regardless of whether </w:t>
      </w:r>
      <w:r>
        <w:rPr>
          <w:color w:val="000000"/>
        </w:rPr>
        <w:t>or not they responded to the 60-</w:t>
      </w:r>
      <w:r w:rsidRPr="00B27FFB">
        <w:rPr>
          <w:color w:val="000000"/>
        </w:rPr>
        <w:t>day survey)</w:t>
      </w:r>
      <w:r>
        <w:rPr>
          <w:color w:val="000000"/>
        </w:rPr>
        <w:t>. A</w:t>
      </w:r>
      <w:r w:rsidRPr="00B27FFB">
        <w:rPr>
          <w:color w:val="000000"/>
        </w:rPr>
        <w:t xml:space="preserve">fter </w:t>
      </w:r>
      <w:r>
        <w:rPr>
          <w:color w:val="000000"/>
        </w:rPr>
        <w:t>844 surveys have been returned, no additional surveys will be sent</w:t>
      </w:r>
      <w:r w:rsidRPr="00B27FFB">
        <w:rPr>
          <w:color w:val="000000"/>
        </w:rPr>
        <w:t xml:space="preserve">. </w:t>
      </w:r>
      <w:r>
        <w:rPr>
          <w:color w:val="000000"/>
        </w:rPr>
        <w:t>T</w:t>
      </w:r>
      <w:r w:rsidRPr="00B27FFB">
        <w:rPr>
          <w:color w:val="000000"/>
        </w:rPr>
        <w:t xml:space="preserve">he 1 year survey </w:t>
      </w:r>
      <w:r>
        <w:rPr>
          <w:color w:val="000000"/>
        </w:rPr>
        <w:t xml:space="preserve">will be sent 1 year after each participant of a module completes the module and accesses his/her certificate of </w:t>
      </w:r>
      <w:r>
        <w:rPr>
          <w:color w:val="000000"/>
        </w:rPr>
        <w:lastRenderedPageBreak/>
        <w:t>completion (regardless of whether or not they responded to the 60-day or 6-month surveys). A</w:t>
      </w:r>
      <w:r w:rsidRPr="00B27FFB">
        <w:rPr>
          <w:color w:val="000000"/>
        </w:rPr>
        <w:t xml:space="preserve">fter </w:t>
      </w:r>
      <w:proofErr w:type="gramStart"/>
      <w:r>
        <w:rPr>
          <w:color w:val="000000"/>
        </w:rPr>
        <w:t xml:space="preserve">484 </w:t>
      </w:r>
      <w:r w:rsidRPr="00B27FFB">
        <w:rPr>
          <w:color w:val="000000"/>
        </w:rPr>
        <w:t xml:space="preserve"> responses</w:t>
      </w:r>
      <w:proofErr w:type="gramEnd"/>
      <w:r>
        <w:rPr>
          <w:color w:val="000000"/>
        </w:rPr>
        <w:t xml:space="preserve"> are received, no more surveys will be sent out</w:t>
      </w:r>
      <w:r w:rsidRPr="00B27FFB">
        <w:rPr>
          <w:color w:val="000000"/>
        </w:rPr>
        <w:t>.</w:t>
      </w:r>
      <w:r w:rsidRPr="00B27FFB">
        <w:t xml:space="preserve">  </w:t>
      </w:r>
    </w:p>
    <w:p w:rsidR="00DB37B5" w:rsidRDefault="00DB37B5" w:rsidP="00B27FFB">
      <w:pPr>
        <w:rPr>
          <w:rFonts w:ascii="Tahoma" w:hAnsi="Tahoma" w:cs="Tahoma"/>
          <w:color w:val="000000"/>
          <w:sz w:val="20"/>
          <w:szCs w:val="20"/>
        </w:rPr>
      </w:pPr>
    </w:p>
    <w:p w:rsidR="00DB37B5" w:rsidRDefault="00DB37B5" w:rsidP="00507154">
      <w:r>
        <w:t xml:space="preserve">Surveys will be sent to the email address used by the participant at the time of program registration. Surveys will be imbedded in the sent email to enhance convenience and efficiency for the respondent answering the survey. In accordance with FCC regulations, respondents will have the ability to opt-out of future email communications regarding the surveys. </w:t>
      </w:r>
    </w:p>
    <w:p w:rsidR="00DB37B5" w:rsidRDefault="00DB37B5" w:rsidP="005453AD">
      <w:pPr>
        <w:jc w:val="both"/>
      </w:pPr>
    </w:p>
    <w:p w:rsidR="00DB37B5" w:rsidRPr="00324A2C" w:rsidRDefault="00DB37B5" w:rsidP="005453AD">
      <w:pPr>
        <w:jc w:val="both"/>
        <w:rPr>
          <w:b/>
          <w:bCs/>
          <w:szCs w:val="22"/>
        </w:rPr>
      </w:pPr>
    </w:p>
    <w:p w:rsidR="00DB37B5" w:rsidRPr="00294ED3" w:rsidRDefault="00DB37B5" w:rsidP="00BC63A4">
      <w:pPr>
        <w:rPr>
          <w:rFonts w:ascii="Arial" w:hAnsi="Arial" w:cs="Arial"/>
          <w:sz w:val="20"/>
          <w:szCs w:val="20"/>
        </w:rPr>
      </w:pPr>
      <w:bookmarkStart w:id="4" w:name="_Toc151782200"/>
      <w:bookmarkStart w:id="5" w:name="_Toc158526236"/>
    </w:p>
    <w:p w:rsidR="00DB37B5" w:rsidRDefault="00DB37B5" w:rsidP="005453AD">
      <w:pPr>
        <w:pStyle w:val="Heading2"/>
        <w:spacing w:before="0" w:after="0"/>
        <w:rPr>
          <w:sz w:val="24"/>
        </w:rPr>
      </w:pPr>
      <w:r w:rsidRPr="001D0454">
        <w:rPr>
          <w:sz w:val="24"/>
        </w:rPr>
        <w:t>2. Information Collection Procedures</w:t>
      </w:r>
      <w:bookmarkEnd w:id="4"/>
      <w:bookmarkEnd w:id="5"/>
    </w:p>
    <w:p w:rsidR="00DB37B5" w:rsidRDefault="00DB37B5" w:rsidP="00BA3466"/>
    <w:p w:rsidR="00DB37B5" w:rsidRDefault="00DB37B5" w:rsidP="00BA3466">
      <w:r>
        <w:t xml:space="preserve">Surveys will be completed online and returned electronically by respondents. Data is automatically stored in a secure database. Each participant’s answers are stored with their unique identifier ensuring that each survey answer is appropriately linked to each question answered by the participant.  </w:t>
      </w:r>
    </w:p>
    <w:p w:rsidR="00DB37B5" w:rsidRPr="00BA3466" w:rsidRDefault="00DB37B5" w:rsidP="00BA3466"/>
    <w:p w:rsidR="00DB37B5" w:rsidRPr="00300C1F" w:rsidRDefault="00DB37B5" w:rsidP="0084539F">
      <w:r w:rsidRPr="00300C1F">
        <w:t xml:space="preserve">Data Quality Control (DQC) processes are incorporated into the LMS where data calculations are weighted and scored. DQC is composed of 3 components: </w:t>
      </w:r>
    </w:p>
    <w:p w:rsidR="00DB37B5" w:rsidRPr="00300C1F" w:rsidRDefault="00DB37B5" w:rsidP="00300C1F">
      <w:pPr>
        <w:tabs>
          <w:tab w:val="num" w:pos="720"/>
        </w:tabs>
      </w:pPr>
      <w:r>
        <w:t xml:space="preserve">1) </w:t>
      </w:r>
      <w:proofErr w:type="gramStart"/>
      <w:r w:rsidRPr="00300C1F">
        <w:t>verification</w:t>
      </w:r>
      <w:proofErr w:type="gramEnd"/>
      <w:r w:rsidRPr="00300C1F">
        <w:t xml:space="preserve"> of what is received from others;</w:t>
      </w:r>
    </w:p>
    <w:p w:rsidR="00DB37B5" w:rsidRPr="00300C1F" w:rsidRDefault="00DB37B5" w:rsidP="00300C1F">
      <w:pPr>
        <w:tabs>
          <w:tab w:val="num" w:pos="720"/>
        </w:tabs>
      </w:pPr>
      <w:r>
        <w:t xml:space="preserve">2) </w:t>
      </w:r>
      <w:proofErr w:type="gramStart"/>
      <w:r w:rsidRPr="00300C1F">
        <w:t>verification</w:t>
      </w:r>
      <w:proofErr w:type="gramEnd"/>
      <w:r w:rsidRPr="00300C1F">
        <w:t xml:space="preserve"> of what is provided to others;</w:t>
      </w:r>
    </w:p>
    <w:p w:rsidR="00DB37B5" w:rsidRPr="00300C1F" w:rsidRDefault="00DB37B5" w:rsidP="00300C1F">
      <w:pPr>
        <w:tabs>
          <w:tab w:val="num" w:pos="720"/>
        </w:tabs>
      </w:pPr>
      <w:r>
        <w:t xml:space="preserve">3) </w:t>
      </w:r>
      <w:proofErr w:type="gramStart"/>
      <w:r w:rsidRPr="00300C1F">
        <w:t>internal</w:t>
      </w:r>
      <w:proofErr w:type="gramEnd"/>
      <w:r w:rsidRPr="00300C1F">
        <w:t xml:space="preserve"> quality control peer review procedures.</w:t>
      </w:r>
    </w:p>
    <w:p w:rsidR="00DB37B5" w:rsidRPr="00300C1F" w:rsidRDefault="00DB37B5" w:rsidP="0084539F">
      <w:pPr>
        <w:ind w:left="360"/>
        <w:rPr>
          <w:vertAlign w:val="superscript"/>
        </w:rPr>
      </w:pPr>
    </w:p>
    <w:p w:rsidR="00DB37B5" w:rsidRDefault="00DB37B5" w:rsidP="0084539F">
      <w:pPr>
        <w:rPr>
          <w:rFonts w:ascii="Arial" w:hAnsi="Arial" w:cs="Arial"/>
        </w:rPr>
      </w:pPr>
      <w:r w:rsidRPr="00300C1F">
        <w:t xml:space="preserve">Evaluation data is rendered to provide </w:t>
      </w:r>
      <w:proofErr w:type="gramStart"/>
      <w:r w:rsidRPr="00300C1F">
        <w:t>percentages of respondents’ answers</w:t>
      </w:r>
      <w:proofErr w:type="gramEnd"/>
      <w:r w:rsidRPr="00300C1F">
        <w:t xml:space="preserve"> to each multiple choice question. This data is initially reviewed by </w:t>
      </w:r>
      <w:r>
        <w:t xml:space="preserve">AHRQ’s contractor, PRIME, Inc., specifically </w:t>
      </w:r>
      <w:r w:rsidRPr="00300C1F">
        <w:t xml:space="preserve">the Education Manager, who transfers data into </w:t>
      </w:r>
      <w:proofErr w:type="spellStart"/>
      <w:r w:rsidRPr="00300C1F">
        <w:t>templated</w:t>
      </w:r>
      <w:proofErr w:type="spellEnd"/>
      <w:r w:rsidRPr="00300C1F">
        <w:t xml:space="preserve"> metrics reports for review by Laurence Greene, PhD, and Sharyn Lee, RN, MS, DHL, CCMEP. Dr. Greene and Ms. Lee are adult learning experts who consistently review program evaluation data with a goal to provide interpretation and analysis, with crossover validation of each other’s work. Initial compilation of the data by the LMS system provides consistent methods of data measurement, scoring.</w:t>
      </w:r>
      <w:r>
        <w:rPr>
          <w:rFonts w:ascii="Arial" w:hAnsi="Arial" w:cs="Arial"/>
        </w:rPr>
        <w:t xml:space="preserve"> </w:t>
      </w:r>
    </w:p>
    <w:p w:rsidR="00DB37B5" w:rsidRPr="008C5704" w:rsidRDefault="00DB37B5" w:rsidP="0084539F">
      <w:pPr>
        <w:rPr>
          <w:rFonts w:ascii="Arial" w:hAnsi="Arial" w:cs="Arial"/>
        </w:rPr>
      </w:pPr>
    </w:p>
    <w:p w:rsidR="00DB37B5" w:rsidRDefault="00DB37B5" w:rsidP="0084539F">
      <w:r w:rsidRPr="00300C1F">
        <w:t xml:space="preserve">Before reports are released for use, they are reviewed by </w:t>
      </w:r>
      <w:smartTag w:uri="urn:schemas-microsoft-com:office:smarttags" w:element="State">
        <w:r>
          <w:t>Lynn Goldenberg</w:t>
        </w:r>
      </w:smartTag>
      <w:r>
        <w:t xml:space="preserve">, RN, BSN, Director of Accreditation and Compliance, </w:t>
      </w:r>
      <w:r w:rsidRPr="00300C1F">
        <w:t>in a systematic process which allows for the ability to check the integrity of the data and minimize problems affecting interpretation.  The DQC</w:t>
      </w:r>
      <w:r>
        <w:t xml:space="preserve"> process</w:t>
      </w:r>
      <w:r w:rsidRPr="00300C1F">
        <w:t xml:space="preserve"> is consistently monitored by the Director of Accreditation and Compliance</w:t>
      </w:r>
      <w:r>
        <w:t xml:space="preserve"> in accordance with CME/CE/CEU criteria established by accreditation bodies.</w:t>
      </w:r>
    </w:p>
    <w:p w:rsidR="00DB37B5" w:rsidRPr="0084539F" w:rsidRDefault="00DB37B5" w:rsidP="0084539F"/>
    <w:p w:rsidR="00DB37B5" w:rsidRPr="001D0454" w:rsidRDefault="00DB37B5" w:rsidP="005453AD">
      <w:pPr>
        <w:pStyle w:val="Heading2"/>
        <w:spacing w:before="0" w:after="0"/>
        <w:rPr>
          <w:sz w:val="24"/>
        </w:rPr>
      </w:pPr>
      <w:bookmarkStart w:id="6" w:name="_Toc151782201"/>
      <w:bookmarkStart w:id="7" w:name="_Toc158526237"/>
      <w:r w:rsidRPr="001D0454">
        <w:rPr>
          <w:sz w:val="24"/>
        </w:rPr>
        <w:t>3. Methods to Maximize Response Rates</w:t>
      </w:r>
      <w:bookmarkEnd w:id="6"/>
      <w:bookmarkEnd w:id="7"/>
    </w:p>
    <w:p w:rsidR="00DB37B5" w:rsidRDefault="00DB37B5" w:rsidP="005453AD">
      <w:pPr>
        <w:jc w:val="both"/>
        <w:rPr>
          <w:i/>
        </w:rPr>
      </w:pPr>
    </w:p>
    <w:p w:rsidR="00414025" w:rsidRDefault="00DB37B5">
      <w:r>
        <w:t xml:space="preserve">Dissemination of the 39 CME/CE/CEU online modules will be enhanced through PRIME’s outreach and relationships with several national health care organizations and member societies. These organizations have agreed to provide links to the online modules from their member-based websites. As part of this relationship, they have also agreed to encourage their members to participate in the </w:t>
      </w:r>
      <w:proofErr w:type="spellStart"/>
      <w:r>
        <w:t>followup</w:t>
      </w:r>
      <w:proofErr w:type="spellEnd"/>
      <w:r>
        <w:t xml:space="preserve"> surveys, recognizing that </w:t>
      </w:r>
      <w:r>
        <w:lastRenderedPageBreak/>
        <w:t>participation in the surveys can assist with learning retention and positive reinforcement that may ultimately improve patient care. Through reminder encouragements from member organizations, we anticipate that participants will be more inclined to complete the surveys.  The survey instruments will require no more than 3 minutes to complete. The brevity of these surveys will improve the likelihood of participants completing them. The convenience of online surveys imbedded in the participant’s email will reinforce the likelihood of completion, particularly because the initial learning occurred in an online environment, maximizing the likelihood that respondents are Internet savvy and have provided an accurate email address.</w:t>
      </w:r>
    </w:p>
    <w:p w:rsidR="00DB37B5" w:rsidRPr="001C73E3" w:rsidRDefault="00DB37B5" w:rsidP="005453AD">
      <w:pPr>
        <w:jc w:val="both"/>
        <w:rPr>
          <w:highlight w:val="lightGray"/>
        </w:rPr>
      </w:pPr>
      <w:r>
        <w:t xml:space="preserve"> </w:t>
      </w:r>
    </w:p>
    <w:p w:rsidR="00DB37B5" w:rsidRPr="005929B9" w:rsidRDefault="00DB37B5" w:rsidP="00A64C34">
      <w:pPr>
        <w:rPr>
          <w:rFonts w:ascii="Arial" w:hAnsi="Arial" w:cs="Arial"/>
          <w:b/>
          <w:i/>
          <w:color w:val="000080"/>
        </w:rPr>
      </w:pPr>
      <w:bookmarkStart w:id="8" w:name="_Toc151782202"/>
      <w:bookmarkStart w:id="9" w:name="_Toc158526238"/>
      <w:r w:rsidRPr="005929B9">
        <w:rPr>
          <w:rFonts w:ascii="Arial" w:hAnsi="Arial" w:cs="Arial"/>
          <w:b/>
          <w:i/>
        </w:rPr>
        <w:t>4. Tests of Procedures</w:t>
      </w:r>
      <w:bookmarkStart w:id="10" w:name="_Toc151782203"/>
      <w:bookmarkStart w:id="11" w:name="_Toc158526239"/>
      <w:bookmarkEnd w:id="8"/>
      <w:bookmarkEnd w:id="9"/>
      <w:r w:rsidRPr="005929B9">
        <w:rPr>
          <w:rFonts w:ascii="Arial" w:hAnsi="Arial" w:cs="Arial"/>
          <w:b/>
          <w:i/>
        </w:rPr>
        <w:br/>
      </w:r>
    </w:p>
    <w:p w:rsidR="00DB37B5" w:rsidRPr="00507154" w:rsidRDefault="00DB37B5" w:rsidP="00A64C34">
      <w:r w:rsidRPr="00507154">
        <w:t xml:space="preserve">PRIME adheres to an internal Quality Assurance Policy and Procedures for each CME/CE module released. This policy and processes will be systematically applied to all of the AHRQ modules. </w:t>
      </w:r>
      <w:r w:rsidRPr="00507154">
        <w:br/>
      </w:r>
    </w:p>
    <w:p w:rsidR="00DB37B5" w:rsidRPr="00507154" w:rsidRDefault="00DB37B5" w:rsidP="00A64C34">
      <w:r w:rsidRPr="00507154">
        <w:t>Each program module undergoes review, approval</w:t>
      </w:r>
      <w:r>
        <w:t>,</w:t>
      </w:r>
      <w:r w:rsidRPr="00507154">
        <w:t xml:space="preserve"> and sign-off from the external expert faculty, as well as at least 3 external expert peer reviewers. At that time, it is posted to a beta site. The bet</w:t>
      </w:r>
      <w:r>
        <w:t>a</w:t>
      </w:r>
      <w:r w:rsidRPr="00507154">
        <w:t xml:space="preserve"> site is a local copy of the entire website. The program is viewed on the beta by the Director of Operations and the Project Director, and any necessary edits/changes are applied by the IT department personnel. Once changes are approved, the content modifications or additions are posted to the live website by the IT Department via secure means. Comments posted by module participants are retrospectively monitored each day by the Scientific Program Director, and the entire website is monitored daily by the Lead Website Developer. </w:t>
      </w:r>
    </w:p>
    <w:p w:rsidR="00DB37B5" w:rsidRDefault="00DB37B5" w:rsidP="00575C34">
      <w:pPr>
        <w:pStyle w:val="Heading2"/>
        <w:spacing w:before="0" w:after="0"/>
        <w:rPr>
          <w:rFonts w:ascii="Times New Roman" w:hAnsi="Times New Roman" w:cs="Times New Roman"/>
          <w:b w:val="0"/>
          <w:i w:val="0"/>
          <w:sz w:val="24"/>
          <w:szCs w:val="24"/>
        </w:rPr>
      </w:pPr>
    </w:p>
    <w:p w:rsidR="00DB37B5" w:rsidRDefault="00DB37B5" w:rsidP="00575C34">
      <w:pPr>
        <w:pStyle w:val="Heading2"/>
        <w:spacing w:before="0" w:after="0"/>
        <w:rPr>
          <w:rFonts w:ascii="Times New Roman" w:hAnsi="Times New Roman" w:cs="Times New Roman"/>
          <w:b w:val="0"/>
          <w:i w:val="0"/>
          <w:sz w:val="24"/>
          <w:szCs w:val="24"/>
        </w:rPr>
      </w:pPr>
      <w:r>
        <w:rPr>
          <w:rFonts w:ascii="Times New Roman" w:hAnsi="Times New Roman" w:cs="Times New Roman"/>
          <w:b w:val="0"/>
          <w:i w:val="0"/>
          <w:sz w:val="24"/>
          <w:szCs w:val="24"/>
        </w:rPr>
        <w:t>Surveys will be piloted. PRIME will provide a test-group of 9 surveys to be sent to a control group for comparative data. In addition, the first 9 respondent surveys for the first CME/CE/CEU module will be isolated for review. PRIME will evaluate the surveys for omissions, percentage of completions, transference of data, integrity of data storage, and opt-in comments. PRIME will review and evaluate the results of the pilot and the control group to fine-tune the survey questions and perform any corrective measures necessary.</w:t>
      </w:r>
    </w:p>
    <w:p w:rsidR="00DB37B5" w:rsidRPr="00575C34" w:rsidRDefault="00DB37B5" w:rsidP="00575C34"/>
    <w:p w:rsidR="00DB37B5" w:rsidRDefault="00DB37B5" w:rsidP="00F34C93">
      <w:pPr>
        <w:pStyle w:val="Heading2"/>
        <w:rPr>
          <w:sz w:val="24"/>
        </w:rPr>
      </w:pPr>
      <w:r w:rsidRPr="001D0454">
        <w:rPr>
          <w:sz w:val="24"/>
        </w:rPr>
        <w:t>5. Statistical Consultants</w:t>
      </w:r>
      <w:bookmarkEnd w:id="10"/>
      <w:bookmarkEnd w:id="11"/>
    </w:p>
    <w:p w:rsidR="00DB37B5" w:rsidRPr="00F34C93" w:rsidRDefault="00DB37B5" w:rsidP="00575C34">
      <w:pPr>
        <w:spacing w:before="100" w:beforeAutospacing="1" w:after="100" w:afterAutospacing="1"/>
        <w:rPr>
          <w:i/>
        </w:rPr>
      </w:pPr>
      <w:r>
        <w:t>No statistical consultants will be used for this project</w:t>
      </w:r>
      <w:r w:rsidRPr="00F34C93">
        <w:rPr>
          <w:i/>
        </w:rPr>
        <w:t xml:space="preserve">. </w:t>
      </w:r>
    </w:p>
    <w:p w:rsidR="00DB37B5" w:rsidRPr="00F34C93" w:rsidRDefault="00DB37B5" w:rsidP="00F34C93"/>
    <w:sectPr w:rsidR="00DB37B5" w:rsidRPr="00F34C93" w:rsidSect="00874B68">
      <w:footerReference w:type="even" r:id="rId7"/>
      <w:footerReference w:type="default" r:id="rId8"/>
      <w:pgSz w:w="12240" w:h="15840"/>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7B5" w:rsidRDefault="00DB37B5">
      <w:r>
        <w:separator/>
      </w:r>
    </w:p>
  </w:endnote>
  <w:endnote w:type="continuationSeparator" w:id="0">
    <w:p w:rsidR="00DB37B5" w:rsidRDefault="00DB37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7B5" w:rsidRDefault="00414025" w:rsidP="00874B68">
    <w:pPr>
      <w:pStyle w:val="Footer"/>
      <w:framePr w:wrap="around" w:vAnchor="text" w:hAnchor="margin" w:xAlign="center" w:y="1"/>
      <w:rPr>
        <w:rStyle w:val="PageNumber"/>
      </w:rPr>
    </w:pPr>
    <w:r>
      <w:rPr>
        <w:rStyle w:val="PageNumber"/>
      </w:rPr>
      <w:fldChar w:fldCharType="begin"/>
    </w:r>
    <w:r w:rsidR="00DB37B5">
      <w:rPr>
        <w:rStyle w:val="PageNumber"/>
      </w:rPr>
      <w:instrText xml:space="preserve">PAGE  </w:instrText>
    </w:r>
    <w:r>
      <w:rPr>
        <w:rStyle w:val="PageNumber"/>
      </w:rPr>
      <w:fldChar w:fldCharType="end"/>
    </w:r>
  </w:p>
  <w:p w:rsidR="00DB37B5" w:rsidRDefault="00DB37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7B5" w:rsidRDefault="00414025" w:rsidP="00874B68">
    <w:pPr>
      <w:pStyle w:val="Footer"/>
      <w:framePr w:wrap="around" w:vAnchor="text" w:hAnchor="margin" w:xAlign="center" w:y="1"/>
      <w:rPr>
        <w:rStyle w:val="PageNumber"/>
      </w:rPr>
    </w:pPr>
    <w:r>
      <w:rPr>
        <w:rStyle w:val="PageNumber"/>
      </w:rPr>
      <w:fldChar w:fldCharType="begin"/>
    </w:r>
    <w:r w:rsidR="00DB37B5">
      <w:rPr>
        <w:rStyle w:val="PageNumber"/>
      </w:rPr>
      <w:instrText xml:space="preserve">PAGE  </w:instrText>
    </w:r>
    <w:r>
      <w:rPr>
        <w:rStyle w:val="PageNumber"/>
      </w:rPr>
      <w:fldChar w:fldCharType="separate"/>
    </w:r>
    <w:r w:rsidR="00BD6654">
      <w:rPr>
        <w:rStyle w:val="PageNumber"/>
        <w:noProof/>
      </w:rPr>
      <w:t>4</w:t>
    </w:r>
    <w:r>
      <w:rPr>
        <w:rStyle w:val="PageNumber"/>
      </w:rPr>
      <w:fldChar w:fldCharType="end"/>
    </w:r>
  </w:p>
  <w:p w:rsidR="00DB37B5" w:rsidRDefault="00DB37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7B5" w:rsidRDefault="00DB37B5">
      <w:r>
        <w:separator/>
      </w:r>
    </w:p>
  </w:footnote>
  <w:footnote w:type="continuationSeparator" w:id="0">
    <w:p w:rsidR="00DB37B5" w:rsidRDefault="00DB37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5C1606"/>
    <w:multiLevelType w:val="hybridMultilevel"/>
    <w:tmpl w:val="B44C6E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5453AD"/>
    <w:rsid w:val="000009E9"/>
    <w:rsid w:val="000028E6"/>
    <w:rsid w:val="00003726"/>
    <w:rsid w:val="00007C23"/>
    <w:rsid w:val="0001418A"/>
    <w:rsid w:val="00022B2F"/>
    <w:rsid w:val="00023905"/>
    <w:rsid w:val="0002688B"/>
    <w:rsid w:val="00027931"/>
    <w:rsid w:val="000375C3"/>
    <w:rsid w:val="00040D98"/>
    <w:rsid w:val="0004144A"/>
    <w:rsid w:val="00042F92"/>
    <w:rsid w:val="00050229"/>
    <w:rsid w:val="00053B30"/>
    <w:rsid w:val="000733EB"/>
    <w:rsid w:val="0008338A"/>
    <w:rsid w:val="00084D1F"/>
    <w:rsid w:val="000A3642"/>
    <w:rsid w:val="000B246F"/>
    <w:rsid w:val="000B2925"/>
    <w:rsid w:val="000B51D2"/>
    <w:rsid w:val="000C052D"/>
    <w:rsid w:val="000C26A4"/>
    <w:rsid w:val="000C273C"/>
    <w:rsid w:val="000D68E0"/>
    <w:rsid w:val="000E5B21"/>
    <w:rsid w:val="000F1C4B"/>
    <w:rsid w:val="001017F1"/>
    <w:rsid w:val="0011420A"/>
    <w:rsid w:val="00124626"/>
    <w:rsid w:val="001277A0"/>
    <w:rsid w:val="00133642"/>
    <w:rsid w:val="0013418E"/>
    <w:rsid w:val="00144014"/>
    <w:rsid w:val="00144444"/>
    <w:rsid w:val="00160B30"/>
    <w:rsid w:val="001623B4"/>
    <w:rsid w:val="00172665"/>
    <w:rsid w:val="00184281"/>
    <w:rsid w:val="001914B6"/>
    <w:rsid w:val="00193D98"/>
    <w:rsid w:val="001961A5"/>
    <w:rsid w:val="001A5FF7"/>
    <w:rsid w:val="001B5D6F"/>
    <w:rsid w:val="001C3D9E"/>
    <w:rsid w:val="001C73E3"/>
    <w:rsid w:val="001C78FD"/>
    <w:rsid w:val="001D0454"/>
    <w:rsid w:val="001F1034"/>
    <w:rsid w:val="001F5E2E"/>
    <w:rsid w:val="001F6098"/>
    <w:rsid w:val="00202661"/>
    <w:rsid w:val="0020740B"/>
    <w:rsid w:val="0021483A"/>
    <w:rsid w:val="00220C60"/>
    <w:rsid w:val="00222258"/>
    <w:rsid w:val="00224620"/>
    <w:rsid w:val="002343F0"/>
    <w:rsid w:val="0023595D"/>
    <w:rsid w:val="00240615"/>
    <w:rsid w:val="00243021"/>
    <w:rsid w:val="00250F6D"/>
    <w:rsid w:val="00260A01"/>
    <w:rsid w:val="00262FCA"/>
    <w:rsid w:val="00265C70"/>
    <w:rsid w:val="00266D37"/>
    <w:rsid w:val="00274E60"/>
    <w:rsid w:val="00277CEA"/>
    <w:rsid w:val="002837E3"/>
    <w:rsid w:val="00294ED3"/>
    <w:rsid w:val="00296CE1"/>
    <w:rsid w:val="002A5262"/>
    <w:rsid w:val="002B0F78"/>
    <w:rsid w:val="002B51BE"/>
    <w:rsid w:val="002F344F"/>
    <w:rsid w:val="003004BA"/>
    <w:rsid w:val="00300C1F"/>
    <w:rsid w:val="00307CE1"/>
    <w:rsid w:val="00314B99"/>
    <w:rsid w:val="0031502F"/>
    <w:rsid w:val="00324A2C"/>
    <w:rsid w:val="00325BC9"/>
    <w:rsid w:val="003338AE"/>
    <w:rsid w:val="00353007"/>
    <w:rsid w:val="00365067"/>
    <w:rsid w:val="00367D62"/>
    <w:rsid w:val="00381C57"/>
    <w:rsid w:val="00383034"/>
    <w:rsid w:val="00384745"/>
    <w:rsid w:val="00393005"/>
    <w:rsid w:val="00396B62"/>
    <w:rsid w:val="003B376A"/>
    <w:rsid w:val="003B3C70"/>
    <w:rsid w:val="003B7C56"/>
    <w:rsid w:val="003C1311"/>
    <w:rsid w:val="003C1C77"/>
    <w:rsid w:val="003C3103"/>
    <w:rsid w:val="003C312C"/>
    <w:rsid w:val="003C6E1D"/>
    <w:rsid w:val="003C73E8"/>
    <w:rsid w:val="003D369A"/>
    <w:rsid w:val="003D3B9C"/>
    <w:rsid w:val="003D6AE8"/>
    <w:rsid w:val="003E5535"/>
    <w:rsid w:val="003F1382"/>
    <w:rsid w:val="003F223C"/>
    <w:rsid w:val="003F4242"/>
    <w:rsid w:val="003F4F2F"/>
    <w:rsid w:val="0040695C"/>
    <w:rsid w:val="00413710"/>
    <w:rsid w:val="00414025"/>
    <w:rsid w:val="00415138"/>
    <w:rsid w:val="00422B2A"/>
    <w:rsid w:val="004230CE"/>
    <w:rsid w:val="004233E2"/>
    <w:rsid w:val="00426BAE"/>
    <w:rsid w:val="00431F3A"/>
    <w:rsid w:val="0043295B"/>
    <w:rsid w:val="00451EBF"/>
    <w:rsid w:val="004543F7"/>
    <w:rsid w:val="00456179"/>
    <w:rsid w:val="00460D1B"/>
    <w:rsid w:val="00461D98"/>
    <w:rsid w:val="00474DB9"/>
    <w:rsid w:val="0049545C"/>
    <w:rsid w:val="00497C66"/>
    <w:rsid w:val="004A0508"/>
    <w:rsid w:val="004A111A"/>
    <w:rsid w:val="004A58E2"/>
    <w:rsid w:val="004B06E4"/>
    <w:rsid w:val="004B5BD6"/>
    <w:rsid w:val="004B64D5"/>
    <w:rsid w:val="004C7F3B"/>
    <w:rsid w:val="004D6C5F"/>
    <w:rsid w:val="004F153D"/>
    <w:rsid w:val="004F7C29"/>
    <w:rsid w:val="0050069A"/>
    <w:rsid w:val="0050472C"/>
    <w:rsid w:val="00506B7C"/>
    <w:rsid w:val="00507154"/>
    <w:rsid w:val="00520D8D"/>
    <w:rsid w:val="005210EF"/>
    <w:rsid w:val="00536106"/>
    <w:rsid w:val="00537B3A"/>
    <w:rsid w:val="00543AF4"/>
    <w:rsid w:val="005453AD"/>
    <w:rsid w:val="00550F1D"/>
    <w:rsid w:val="00552C85"/>
    <w:rsid w:val="00555B00"/>
    <w:rsid w:val="00555B8A"/>
    <w:rsid w:val="00575C34"/>
    <w:rsid w:val="005772BD"/>
    <w:rsid w:val="00582B97"/>
    <w:rsid w:val="005929B9"/>
    <w:rsid w:val="005B7E1A"/>
    <w:rsid w:val="005C5779"/>
    <w:rsid w:val="005D1CCA"/>
    <w:rsid w:val="005E3686"/>
    <w:rsid w:val="005E5170"/>
    <w:rsid w:val="005F08FA"/>
    <w:rsid w:val="005F6627"/>
    <w:rsid w:val="0060192F"/>
    <w:rsid w:val="006051E2"/>
    <w:rsid w:val="00607E4C"/>
    <w:rsid w:val="006106C1"/>
    <w:rsid w:val="00612024"/>
    <w:rsid w:val="00620AC7"/>
    <w:rsid w:val="00631667"/>
    <w:rsid w:val="00634F5F"/>
    <w:rsid w:val="00635512"/>
    <w:rsid w:val="0063714F"/>
    <w:rsid w:val="00656C4F"/>
    <w:rsid w:val="0065798D"/>
    <w:rsid w:val="0066058A"/>
    <w:rsid w:val="006653E4"/>
    <w:rsid w:val="00666C20"/>
    <w:rsid w:val="006751F3"/>
    <w:rsid w:val="00677A0B"/>
    <w:rsid w:val="00684F95"/>
    <w:rsid w:val="006903BC"/>
    <w:rsid w:val="0069068A"/>
    <w:rsid w:val="00694254"/>
    <w:rsid w:val="00697067"/>
    <w:rsid w:val="006A09B7"/>
    <w:rsid w:val="006A23A7"/>
    <w:rsid w:val="006B417B"/>
    <w:rsid w:val="006B65D6"/>
    <w:rsid w:val="006C0C47"/>
    <w:rsid w:val="006D2949"/>
    <w:rsid w:val="006D2A3E"/>
    <w:rsid w:val="006D548C"/>
    <w:rsid w:val="007017C8"/>
    <w:rsid w:val="00701B9B"/>
    <w:rsid w:val="007033D7"/>
    <w:rsid w:val="00703A89"/>
    <w:rsid w:val="007050B6"/>
    <w:rsid w:val="00714C76"/>
    <w:rsid w:val="00716A01"/>
    <w:rsid w:val="007257EA"/>
    <w:rsid w:val="00726E4F"/>
    <w:rsid w:val="0072702F"/>
    <w:rsid w:val="007430A5"/>
    <w:rsid w:val="007519A8"/>
    <w:rsid w:val="00752720"/>
    <w:rsid w:val="00766ABD"/>
    <w:rsid w:val="00772E70"/>
    <w:rsid w:val="00775880"/>
    <w:rsid w:val="00777546"/>
    <w:rsid w:val="007855F5"/>
    <w:rsid w:val="00790A3B"/>
    <w:rsid w:val="00792830"/>
    <w:rsid w:val="00793E46"/>
    <w:rsid w:val="007A011B"/>
    <w:rsid w:val="007A17F0"/>
    <w:rsid w:val="007C0D40"/>
    <w:rsid w:val="007C39E4"/>
    <w:rsid w:val="007C49D3"/>
    <w:rsid w:val="007C5905"/>
    <w:rsid w:val="007D53AA"/>
    <w:rsid w:val="007F2387"/>
    <w:rsid w:val="007F2F72"/>
    <w:rsid w:val="00812673"/>
    <w:rsid w:val="00826B80"/>
    <w:rsid w:val="00834A30"/>
    <w:rsid w:val="008452A3"/>
    <w:rsid w:val="0084539F"/>
    <w:rsid w:val="00852C36"/>
    <w:rsid w:val="00854B3A"/>
    <w:rsid w:val="00864C0A"/>
    <w:rsid w:val="00871DAE"/>
    <w:rsid w:val="00873091"/>
    <w:rsid w:val="008741AB"/>
    <w:rsid w:val="00874B68"/>
    <w:rsid w:val="00890667"/>
    <w:rsid w:val="0089215C"/>
    <w:rsid w:val="00892197"/>
    <w:rsid w:val="008933F8"/>
    <w:rsid w:val="00894559"/>
    <w:rsid w:val="00894CB3"/>
    <w:rsid w:val="00895461"/>
    <w:rsid w:val="008A5586"/>
    <w:rsid w:val="008B58F6"/>
    <w:rsid w:val="008B59A2"/>
    <w:rsid w:val="008B5CFB"/>
    <w:rsid w:val="008C5704"/>
    <w:rsid w:val="008C5771"/>
    <w:rsid w:val="008E06B8"/>
    <w:rsid w:val="008E0DFC"/>
    <w:rsid w:val="008E5F75"/>
    <w:rsid w:val="008F18CD"/>
    <w:rsid w:val="008F197F"/>
    <w:rsid w:val="008F23F5"/>
    <w:rsid w:val="008F6C41"/>
    <w:rsid w:val="008F74FC"/>
    <w:rsid w:val="0090111B"/>
    <w:rsid w:val="00915652"/>
    <w:rsid w:val="00916AA3"/>
    <w:rsid w:val="00927241"/>
    <w:rsid w:val="0093202A"/>
    <w:rsid w:val="00944F8E"/>
    <w:rsid w:val="009607AD"/>
    <w:rsid w:val="00962495"/>
    <w:rsid w:val="009631D2"/>
    <w:rsid w:val="009659F5"/>
    <w:rsid w:val="00986127"/>
    <w:rsid w:val="00986FB6"/>
    <w:rsid w:val="009A12A8"/>
    <w:rsid w:val="009A13F5"/>
    <w:rsid w:val="009A1506"/>
    <w:rsid w:val="009B7B44"/>
    <w:rsid w:val="009C00DB"/>
    <w:rsid w:val="009C4F2E"/>
    <w:rsid w:val="009D5632"/>
    <w:rsid w:val="009D57F4"/>
    <w:rsid w:val="009D5E90"/>
    <w:rsid w:val="009E070F"/>
    <w:rsid w:val="009E226C"/>
    <w:rsid w:val="009E749B"/>
    <w:rsid w:val="009F0517"/>
    <w:rsid w:val="009F5807"/>
    <w:rsid w:val="00A00D79"/>
    <w:rsid w:val="00A04FB9"/>
    <w:rsid w:val="00A15B3E"/>
    <w:rsid w:val="00A15E19"/>
    <w:rsid w:val="00A175C7"/>
    <w:rsid w:val="00A3013A"/>
    <w:rsid w:val="00A35E11"/>
    <w:rsid w:val="00A400AF"/>
    <w:rsid w:val="00A433E3"/>
    <w:rsid w:val="00A4499C"/>
    <w:rsid w:val="00A51A46"/>
    <w:rsid w:val="00A64C34"/>
    <w:rsid w:val="00AB0020"/>
    <w:rsid w:val="00AB5F7C"/>
    <w:rsid w:val="00AB72C0"/>
    <w:rsid w:val="00AC6AA6"/>
    <w:rsid w:val="00AC6D96"/>
    <w:rsid w:val="00AC7A69"/>
    <w:rsid w:val="00AD7038"/>
    <w:rsid w:val="00AE5089"/>
    <w:rsid w:val="00AF135C"/>
    <w:rsid w:val="00AF4804"/>
    <w:rsid w:val="00B03A17"/>
    <w:rsid w:val="00B06C9C"/>
    <w:rsid w:val="00B27FFB"/>
    <w:rsid w:val="00B301B3"/>
    <w:rsid w:val="00B31AD1"/>
    <w:rsid w:val="00B4384C"/>
    <w:rsid w:val="00B47BB0"/>
    <w:rsid w:val="00B50549"/>
    <w:rsid w:val="00B51988"/>
    <w:rsid w:val="00B51FC6"/>
    <w:rsid w:val="00B54667"/>
    <w:rsid w:val="00B6413F"/>
    <w:rsid w:val="00B65F0C"/>
    <w:rsid w:val="00B66D75"/>
    <w:rsid w:val="00B73EBB"/>
    <w:rsid w:val="00B75953"/>
    <w:rsid w:val="00B767FC"/>
    <w:rsid w:val="00B81108"/>
    <w:rsid w:val="00B81128"/>
    <w:rsid w:val="00B83341"/>
    <w:rsid w:val="00B91F14"/>
    <w:rsid w:val="00B9477A"/>
    <w:rsid w:val="00BA2394"/>
    <w:rsid w:val="00BA3466"/>
    <w:rsid w:val="00BA3FA4"/>
    <w:rsid w:val="00BB24C6"/>
    <w:rsid w:val="00BB46DF"/>
    <w:rsid w:val="00BC63A4"/>
    <w:rsid w:val="00BD5920"/>
    <w:rsid w:val="00BD5F42"/>
    <w:rsid w:val="00BD6654"/>
    <w:rsid w:val="00BE253C"/>
    <w:rsid w:val="00BE46D9"/>
    <w:rsid w:val="00BF1A41"/>
    <w:rsid w:val="00C20DB9"/>
    <w:rsid w:val="00C21143"/>
    <w:rsid w:val="00C4006D"/>
    <w:rsid w:val="00C418BD"/>
    <w:rsid w:val="00C50623"/>
    <w:rsid w:val="00C67B2A"/>
    <w:rsid w:val="00C76DEC"/>
    <w:rsid w:val="00C819BF"/>
    <w:rsid w:val="00C828BE"/>
    <w:rsid w:val="00C84426"/>
    <w:rsid w:val="00C94DE8"/>
    <w:rsid w:val="00CA149B"/>
    <w:rsid w:val="00CA2FB9"/>
    <w:rsid w:val="00CA6A4B"/>
    <w:rsid w:val="00CB2F8B"/>
    <w:rsid w:val="00CB660A"/>
    <w:rsid w:val="00CB7615"/>
    <w:rsid w:val="00CC1C77"/>
    <w:rsid w:val="00CC3A9B"/>
    <w:rsid w:val="00CC42B4"/>
    <w:rsid w:val="00CC72ED"/>
    <w:rsid w:val="00CD03FF"/>
    <w:rsid w:val="00CD269E"/>
    <w:rsid w:val="00CE49C8"/>
    <w:rsid w:val="00CE74B4"/>
    <w:rsid w:val="00CF05F5"/>
    <w:rsid w:val="00CF1833"/>
    <w:rsid w:val="00D10174"/>
    <w:rsid w:val="00D1193F"/>
    <w:rsid w:val="00D224DD"/>
    <w:rsid w:val="00D2506E"/>
    <w:rsid w:val="00D254A2"/>
    <w:rsid w:val="00D3003B"/>
    <w:rsid w:val="00D360FA"/>
    <w:rsid w:val="00D3751D"/>
    <w:rsid w:val="00D40D75"/>
    <w:rsid w:val="00D4384A"/>
    <w:rsid w:val="00D43EDA"/>
    <w:rsid w:val="00D459FF"/>
    <w:rsid w:val="00D45ABC"/>
    <w:rsid w:val="00D47F26"/>
    <w:rsid w:val="00D53DC2"/>
    <w:rsid w:val="00D67DD8"/>
    <w:rsid w:val="00D77619"/>
    <w:rsid w:val="00D82925"/>
    <w:rsid w:val="00D83209"/>
    <w:rsid w:val="00DA456B"/>
    <w:rsid w:val="00DB042D"/>
    <w:rsid w:val="00DB37B5"/>
    <w:rsid w:val="00DB4DF8"/>
    <w:rsid w:val="00DC3784"/>
    <w:rsid w:val="00DD691C"/>
    <w:rsid w:val="00DE0C8F"/>
    <w:rsid w:val="00DE0C9B"/>
    <w:rsid w:val="00DE5C7A"/>
    <w:rsid w:val="00DF2AE2"/>
    <w:rsid w:val="00E00AFB"/>
    <w:rsid w:val="00E059FC"/>
    <w:rsid w:val="00E1093E"/>
    <w:rsid w:val="00E11A8D"/>
    <w:rsid w:val="00E24AFA"/>
    <w:rsid w:val="00E2602E"/>
    <w:rsid w:val="00E31469"/>
    <w:rsid w:val="00E33E06"/>
    <w:rsid w:val="00E35BA9"/>
    <w:rsid w:val="00E466CE"/>
    <w:rsid w:val="00E524A1"/>
    <w:rsid w:val="00E54BE4"/>
    <w:rsid w:val="00E5761E"/>
    <w:rsid w:val="00E61391"/>
    <w:rsid w:val="00E734A9"/>
    <w:rsid w:val="00E75ADF"/>
    <w:rsid w:val="00E8231E"/>
    <w:rsid w:val="00E87504"/>
    <w:rsid w:val="00E8787A"/>
    <w:rsid w:val="00E929D3"/>
    <w:rsid w:val="00E92A8D"/>
    <w:rsid w:val="00E95B59"/>
    <w:rsid w:val="00E95E30"/>
    <w:rsid w:val="00EA20B6"/>
    <w:rsid w:val="00EA5256"/>
    <w:rsid w:val="00EA73B4"/>
    <w:rsid w:val="00EB1431"/>
    <w:rsid w:val="00EB2F7F"/>
    <w:rsid w:val="00ED13F6"/>
    <w:rsid w:val="00EE1A8B"/>
    <w:rsid w:val="00EF15A6"/>
    <w:rsid w:val="00F01D8D"/>
    <w:rsid w:val="00F04532"/>
    <w:rsid w:val="00F102B7"/>
    <w:rsid w:val="00F2241C"/>
    <w:rsid w:val="00F24659"/>
    <w:rsid w:val="00F253F0"/>
    <w:rsid w:val="00F332EC"/>
    <w:rsid w:val="00F34C93"/>
    <w:rsid w:val="00F429B2"/>
    <w:rsid w:val="00F43735"/>
    <w:rsid w:val="00F47BB1"/>
    <w:rsid w:val="00F61E26"/>
    <w:rsid w:val="00F72A6E"/>
    <w:rsid w:val="00F760C2"/>
    <w:rsid w:val="00F82E6F"/>
    <w:rsid w:val="00F877D8"/>
    <w:rsid w:val="00F91489"/>
    <w:rsid w:val="00F95F6F"/>
    <w:rsid w:val="00F963FE"/>
    <w:rsid w:val="00FB1319"/>
    <w:rsid w:val="00FB13AD"/>
    <w:rsid w:val="00FB3CD1"/>
    <w:rsid w:val="00FB7518"/>
    <w:rsid w:val="00FC12A3"/>
    <w:rsid w:val="00FC224E"/>
    <w:rsid w:val="00FC633E"/>
    <w:rsid w:val="00FD3D7E"/>
    <w:rsid w:val="00FD5A20"/>
    <w:rsid w:val="00FE299D"/>
    <w:rsid w:val="00FE2ABC"/>
    <w:rsid w:val="00FE2F78"/>
    <w:rsid w:val="00FE3549"/>
    <w:rsid w:val="00FE5B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link w:val="Heading1Char"/>
    <w:uiPriority w:val="99"/>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695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0695C"/>
    <w:rPr>
      <w:rFonts w:ascii="Cambria" w:hAnsi="Cambria" w:cs="Times New Roman"/>
      <w:b/>
      <w:bCs/>
      <w:i/>
      <w:iCs/>
      <w:sz w:val="28"/>
      <w:szCs w:val="28"/>
    </w:rPr>
  </w:style>
  <w:style w:type="character" w:styleId="Emphasis">
    <w:name w:val="Emphasis"/>
    <w:basedOn w:val="DefaultParagraphFont"/>
    <w:uiPriority w:val="99"/>
    <w:qFormat/>
    <w:rsid w:val="005453AD"/>
    <w:rPr>
      <w:rFonts w:cs="Times New Roman"/>
      <w:i/>
      <w:iCs/>
    </w:rPr>
  </w:style>
  <w:style w:type="paragraph" w:styleId="EndnoteText">
    <w:name w:val="endnote text"/>
    <w:basedOn w:val="Normal"/>
    <w:link w:val="EndnoteTextChar"/>
    <w:uiPriority w:val="99"/>
    <w:semiHidden/>
    <w:rsid w:val="005453AD"/>
    <w:rPr>
      <w:sz w:val="20"/>
      <w:szCs w:val="20"/>
    </w:rPr>
  </w:style>
  <w:style w:type="character" w:customStyle="1" w:styleId="EndnoteTextChar">
    <w:name w:val="Endnote Text Char"/>
    <w:basedOn w:val="DefaultParagraphFont"/>
    <w:link w:val="EndnoteText"/>
    <w:uiPriority w:val="99"/>
    <w:semiHidden/>
    <w:locked/>
    <w:rsid w:val="0040695C"/>
    <w:rPr>
      <w:rFonts w:cs="Times New Roman"/>
      <w:sz w:val="20"/>
      <w:szCs w:val="20"/>
    </w:rPr>
  </w:style>
  <w:style w:type="paragraph" w:styleId="TOC1">
    <w:name w:val="toc 1"/>
    <w:basedOn w:val="Normal"/>
    <w:next w:val="Normal"/>
    <w:autoRedefine/>
    <w:uiPriority w:val="99"/>
    <w:semiHidden/>
    <w:rsid w:val="005453AD"/>
  </w:style>
  <w:style w:type="paragraph" w:styleId="TOC2">
    <w:name w:val="toc 2"/>
    <w:basedOn w:val="Normal"/>
    <w:next w:val="Normal"/>
    <w:autoRedefine/>
    <w:uiPriority w:val="99"/>
    <w:semiHidden/>
    <w:rsid w:val="005453AD"/>
    <w:pPr>
      <w:ind w:left="240"/>
    </w:pPr>
  </w:style>
  <w:style w:type="character" w:styleId="Hyperlink">
    <w:name w:val="Hyperlink"/>
    <w:basedOn w:val="DefaultParagraphFont"/>
    <w:uiPriority w:val="99"/>
    <w:rsid w:val="005453AD"/>
    <w:rPr>
      <w:rFonts w:cs="Times New Roman"/>
      <w:color w:val="0000FF"/>
      <w:u w:val="single"/>
    </w:rPr>
  </w:style>
  <w:style w:type="paragraph" w:styleId="Footer">
    <w:name w:val="footer"/>
    <w:basedOn w:val="Normal"/>
    <w:link w:val="FooterChar"/>
    <w:uiPriority w:val="99"/>
    <w:rsid w:val="00874B68"/>
    <w:pPr>
      <w:tabs>
        <w:tab w:val="center" w:pos="4320"/>
        <w:tab w:val="right" w:pos="8640"/>
      </w:tabs>
    </w:pPr>
  </w:style>
  <w:style w:type="character" w:customStyle="1" w:styleId="FooterChar">
    <w:name w:val="Footer Char"/>
    <w:basedOn w:val="DefaultParagraphFont"/>
    <w:link w:val="Footer"/>
    <w:uiPriority w:val="99"/>
    <w:semiHidden/>
    <w:locked/>
    <w:rsid w:val="0040695C"/>
    <w:rPr>
      <w:rFonts w:cs="Times New Roman"/>
      <w:sz w:val="24"/>
      <w:szCs w:val="24"/>
    </w:rPr>
  </w:style>
  <w:style w:type="character" w:styleId="PageNumber">
    <w:name w:val="page number"/>
    <w:basedOn w:val="DefaultParagraphFont"/>
    <w:uiPriority w:val="99"/>
    <w:rsid w:val="00874B68"/>
    <w:rPr>
      <w:rFonts w:cs="Times New Roman"/>
    </w:rPr>
  </w:style>
  <w:style w:type="character" w:styleId="Strong">
    <w:name w:val="Strong"/>
    <w:basedOn w:val="DefaultParagraphFont"/>
    <w:uiPriority w:val="99"/>
    <w:qFormat/>
    <w:rsid w:val="006A09B7"/>
    <w:rPr>
      <w:rFonts w:cs="Times New Roman"/>
      <w:b/>
      <w:bCs/>
    </w:rPr>
  </w:style>
  <w:style w:type="character" w:styleId="CommentReference">
    <w:name w:val="annotation reference"/>
    <w:basedOn w:val="DefaultParagraphFont"/>
    <w:uiPriority w:val="99"/>
    <w:rsid w:val="001017F1"/>
    <w:rPr>
      <w:rFonts w:cs="Times New Roman"/>
      <w:sz w:val="16"/>
      <w:szCs w:val="16"/>
    </w:rPr>
  </w:style>
  <w:style w:type="paragraph" w:styleId="CommentText">
    <w:name w:val="annotation text"/>
    <w:basedOn w:val="Normal"/>
    <w:link w:val="CommentTextChar"/>
    <w:uiPriority w:val="99"/>
    <w:rsid w:val="001017F1"/>
    <w:rPr>
      <w:sz w:val="20"/>
      <w:szCs w:val="20"/>
    </w:rPr>
  </w:style>
  <w:style w:type="character" w:customStyle="1" w:styleId="CommentTextChar">
    <w:name w:val="Comment Text Char"/>
    <w:basedOn w:val="DefaultParagraphFont"/>
    <w:link w:val="CommentText"/>
    <w:uiPriority w:val="99"/>
    <w:locked/>
    <w:rsid w:val="001017F1"/>
    <w:rPr>
      <w:rFonts w:cs="Times New Roman"/>
    </w:rPr>
  </w:style>
  <w:style w:type="paragraph" w:styleId="CommentSubject">
    <w:name w:val="annotation subject"/>
    <w:basedOn w:val="CommentText"/>
    <w:next w:val="CommentText"/>
    <w:link w:val="CommentSubjectChar"/>
    <w:uiPriority w:val="99"/>
    <w:rsid w:val="001017F1"/>
    <w:rPr>
      <w:b/>
      <w:bCs/>
    </w:rPr>
  </w:style>
  <w:style w:type="character" w:customStyle="1" w:styleId="CommentSubjectChar">
    <w:name w:val="Comment Subject Char"/>
    <w:basedOn w:val="CommentTextChar"/>
    <w:link w:val="CommentSubject"/>
    <w:uiPriority w:val="99"/>
    <w:locked/>
    <w:rsid w:val="001017F1"/>
    <w:rPr>
      <w:b/>
      <w:bCs/>
    </w:rPr>
  </w:style>
  <w:style w:type="paragraph" w:styleId="BalloonText">
    <w:name w:val="Balloon Text"/>
    <w:basedOn w:val="Normal"/>
    <w:link w:val="BalloonTextChar"/>
    <w:uiPriority w:val="99"/>
    <w:rsid w:val="001017F1"/>
    <w:rPr>
      <w:rFonts w:ascii="Tahoma" w:hAnsi="Tahoma" w:cs="Tahoma"/>
      <w:sz w:val="16"/>
      <w:szCs w:val="16"/>
    </w:rPr>
  </w:style>
  <w:style w:type="character" w:customStyle="1" w:styleId="BalloonTextChar">
    <w:name w:val="Balloon Text Char"/>
    <w:basedOn w:val="DefaultParagraphFont"/>
    <w:link w:val="BalloonText"/>
    <w:uiPriority w:val="99"/>
    <w:locked/>
    <w:rsid w:val="001017F1"/>
    <w:rPr>
      <w:rFonts w:ascii="Tahoma" w:hAnsi="Tahoma" w:cs="Tahoma"/>
      <w:sz w:val="16"/>
      <w:szCs w:val="16"/>
    </w:rPr>
  </w:style>
  <w:style w:type="table" w:styleId="TableGrid">
    <w:name w:val="Table Grid"/>
    <w:basedOn w:val="TableNormal"/>
    <w:uiPriority w:val="99"/>
    <w:rsid w:val="00BC63A4"/>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1821495">
      <w:marLeft w:val="0"/>
      <w:marRight w:val="0"/>
      <w:marTop w:val="0"/>
      <w:marBottom w:val="0"/>
      <w:divBdr>
        <w:top w:val="none" w:sz="0" w:space="0" w:color="auto"/>
        <w:left w:val="none" w:sz="0" w:space="0" w:color="auto"/>
        <w:bottom w:val="none" w:sz="0" w:space="0" w:color="auto"/>
        <w:right w:val="none" w:sz="0" w:space="0" w:color="auto"/>
      </w:divBdr>
    </w:div>
    <w:div w:id="251821496">
      <w:marLeft w:val="0"/>
      <w:marRight w:val="0"/>
      <w:marTop w:val="0"/>
      <w:marBottom w:val="0"/>
      <w:divBdr>
        <w:top w:val="none" w:sz="0" w:space="0" w:color="auto"/>
        <w:left w:val="none" w:sz="0" w:space="0" w:color="auto"/>
        <w:bottom w:val="none" w:sz="0" w:space="0" w:color="auto"/>
        <w:right w:val="none" w:sz="0" w:space="0" w:color="auto"/>
      </w:divBdr>
    </w:div>
    <w:div w:id="251821497">
      <w:marLeft w:val="0"/>
      <w:marRight w:val="0"/>
      <w:marTop w:val="0"/>
      <w:marBottom w:val="0"/>
      <w:divBdr>
        <w:top w:val="none" w:sz="0" w:space="0" w:color="auto"/>
        <w:left w:val="none" w:sz="0" w:space="0" w:color="auto"/>
        <w:bottom w:val="none" w:sz="0" w:space="0" w:color="auto"/>
        <w:right w:val="none" w:sz="0" w:space="0" w:color="auto"/>
      </w:divBdr>
    </w:div>
    <w:div w:id="251821498">
      <w:marLeft w:val="0"/>
      <w:marRight w:val="0"/>
      <w:marTop w:val="0"/>
      <w:marBottom w:val="0"/>
      <w:divBdr>
        <w:top w:val="none" w:sz="0" w:space="0" w:color="auto"/>
        <w:left w:val="none" w:sz="0" w:space="0" w:color="auto"/>
        <w:bottom w:val="none" w:sz="0" w:space="0" w:color="auto"/>
        <w:right w:val="none" w:sz="0" w:space="0" w:color="auto"/>
      </w:divBdr>
    </w:div>
    <w:div w:id="251821499">
      <w:marLeft w:val="0"/>
      <w:marRight w:val="0"/>
      <w:marTop w:val="0"/>
      <w:marBottom w:val="0"/>
      <w:divBdr>
        <w:top w:val="none" w:sz="0" w:space="0" w:color="auto"/>
        <w:left w:val="none" w:sz="0" w:space="0" w:color="auto"/>
        <w:bottom w:val="none" w:sz="0" w:space="0" w:color="auto"/>
        <w:right w:val="none" w:sz="0" w:space="0" w:color="auto"/>
      </w:divBdr>
    </w:div>
    <w:div w:id="251821500">
      <w:marLeft w:val="0"/>
      <w:marRight w:val="0"/>
      <w:marTop w:val="0"/>
      <w:marBottom w:val="0"/>
      <w:divBdr>
        <w:top w:val="none" w:sz="0" w:space="0" w:color="auto"/>
        <w:left w:val="none" w:sz="0" w:space="0" w:color="auto"/>
        <w:bottom w:val="none" w:sz="0" w:space="0" w:color="auto"/>
        <w:right w:val="none" w:sz="0" w:space="0" w:color="auto"/>
      </w:divBdr>
    </w:div>
    <w:div w:id="2518215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1259</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
  <LinksUpToDate>false</LinksUpToDate>
  <CharactersWithSpaces>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subject>&amp;lt;p&amp;gt;(Supporting Statement Template and Instructions; instructions are in italics)      SUPPORTING STATEMENT    Part B              (Insert project title here)          (Insert date: month and year)                  Agency of Healthcare Research and Q</dc:subject>
  <dc:creator>Heather Nalls</dc:creator>
  <cp:keywords/>
  <dc:description>&amp;lt;p&amp;gt;(Supporting Statement Template and Instructions; instructions are in italics)      SUPPORTING STATEMENT    Part B              (Insert project title here)          (Insert date: month and year)                  Agency of Healthcare Research and Q</dc:description>
  <cp:lastModifiedBy>DHHS</cp:lastModifiedBy>
  <cp:revision>4</cp:revision>
  <cp:lastPrinted>2011-07-22T14:42:00Z</cp:lastPrinted>
  <dcterms:created xsi:type="dcterms:W3CDTF">2011-07-27T12:54:00Z</dcterms:created>
  <dcterms:modified xsi:type="dcterms:W3CDTF">2011-07-28T16:00:00Z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DownloadAsset.aspx?id=6316</vt:lpwstr>
  </property>
  <property fmtid="{D5CDD505-2E9C-101B-9397-08002B2CF9AE}" pid="4" name="EktContentType">
    <vt:i4>101</vt:i4>
  </property>
  <property fmtid="{D5CDD505-2E9C-101B-9397-08002B2CF9AE}" pid="5" name="EktFolderName">
    <vt:lpwstr/>
  </property>
  <property fmtid="{D5CDD505-2E9C-101B-9397-08002B2CF9AE}" pid="6" name="EktCmsPath">
    <vt:lpwstr>&amp;lt;p&amp;gt;(Supporting Statement Template and Instructions; instructions are in italics)      SUPPORTING STATEMENT    Part B              (Insert project title here)          (Insert date: month and year)                  Agency of Healthcare Research and Q</vt:lpwstr>
  </property>
  <property fmtid="{D5CDD505-2E9C-101B-9397-08002B2CF9AE}" pid="7" name="EktExpiryType">
    <vt:i4>1</vt:i4>
  </property>
  <property fmtid="{D5CDD505-2E9C-101B-9397-08002B2CF9AE}" pid="8" name="EktTaxCategory">
    <vt:lpwstr/>
  </property>
  <property fmtid="{D5CDD505-2E9C-101B-9397-08002B2CF9AE}" pid="9" name="EktCmsSize">
    <vt:i4>46592</vt:i4>
  </property>
  <property fmtid="{D5CDD505-2E9C-101B-9397-08002B2CF9AE}" pid="10" name="EktSearchable">
    <vt:i4>1</vt:i4>
  </property>
  <property fmtid="{D5CDD505-2E9C-101B-9397-08002B2CF9AE}" pid="11" name="EktEDescription">
    <vt:lpwstr>Summary &amp;lt;p&amp;gt;(Supporting Statement Template and Instructions; instructions are in italics)      SUPPORTING STATEMENT    Part B              (Insert project title here)          (Insert date: month and year)                  Agency of Healthcare Resear</vt:lpwstr>
  </property>
</Properties>
</file>