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3A" w:rsidRPr="00986428" w:rsidRDefault="007D323A" w:rsidP="007D323A">
      <w:pPr>
        <w:jc w:val="center"/>
        <w:rPr>
          <w:b/>
          <w:sz w:val="28"/>
          <w:szCs w:val="28"/>
        </w:rPr>
      </w:pPr>
      <w:r w:rsidRPr="006D2CDF">
        <w:rPr>
          <w:b/>
          <w:sz w:val="28"/>
          <w:szCs w:val="28"/>
        </w:rPr>
        <w:t>Contact Investigation Outcome Reporting Forms</w:t>
      </w:r>
    </w:p>
    <w:p w:rsidR="007D323A" w:rsidRDefault="007D323A" w:rsidP="007D323A">
      <w:pPr>
        <w:jc w:val="center"/>
        <w:rPr>
          <w:b/>
        </w:rPr>
      </w:pPr>
    </w:p>
    <w:p w:rsidR="007D323A" w:rsidRDefault="007D323A" w:rsidP="007D323A">
      <w:pPr>
        <w:jc w:val="center"/>
        <w:rPr>
          <w:b/>
        </w:rPr>
      </w:pPr>
    </w:p>
    <w:p w:rsidR="007D323A" w:rsidRDefault="007D323A" w:rsidP="007D323A">
      <w:pPr>
        <w:jc w:val="center"/>
        <w:rPr>
          <w:b/>
        </w:rPr>
      </w:pPr>
      <w:r>
        <w:rPr>
          <w:b/>
        </w:rPr>
        <w:t xml:space="preserve">Request for OMB Approval of a New Data Collection </w:t>
      </w:r>
    </w:p>
    <w:p w:rsidR="007D323A" w:rsidRDefault="007D323A" w:rsidP="007D323A">
      <w:pPr>
        <w:jc w:val="center"/>
        <w:rPr>
          <w:b/>
        </w:rPr>
      </w:pPr>
    </w:p>
    <w:p w:rsidR="007D323A" w:rsidRDefault="007D323A" w:rsidP="007D323A">
      <w:pPr>
        <w:jc w:val="center"/>
        <w:rPr>
          <w:b/>
        </w:rPr>
      </w:pPr>
      <w:r>
        <w:rPr>
          <w:b/>
        </w:rPr>
        <w:t>May 2011</w:t>
      </w:r>
    </w:p>
    <w:p w:rsidR="007D323A" w:rsidRDefault="007D323A" w:rsidP="007D323A">
      <w:pPr>
        <w:jc w:val="center"/>
        <w:rPr>
          <w:b/>
        </w:rPr>
      </w:pPr>
    </w:p>
    <w:p w:rsidR="007D323A" w:rsidRDefault="007D323A" w:rsidP="007D323A">
      <w:pPr>
        <w:jc w:val="center"/>
        <w:rPr>
          <w:b/>
        </w:rPr>
      </w:pPr>
    </w:p>
    <w:p w:rsidR="007D323A" w:rsidRDefault="007D323A" w:rsidP="007D323A">
      <w:pPr>
        <w:jc w:val="center"/>
        <w:rPr>
          <w:b/>
        </w:rPr>
      </w:pPr>
    </w:p>
    <w:p w:rsidR="007D323A" w:rsidRDefault="007D323A" w:rsidP="007D323A">
      <w:pPr>
        <w:jc w:val="center"/>
        <w:rPr>
          <w:b/>
        </w:rPr>
      </w:pPr>
      <w:r>
        <w:rPr>
          <w:b/>
        </w:rPr>
        <w:t>Supporting Statement B</w:t>
      </w:r>
    </w:p>
    <w:p w:rsidR="007D323A" w:rsidRDefault="007D323A" w:rsidP="007D323A">
      <w:pPr>
        <w:jc w:val="cente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rPr>
          <w:b/>
        </w:rPr>
      </w:pPr>
      <w:r>
        <w:rPr>
          <w:b/>
        </w:rPr>
        <w:tab/>
      </w:r>
    </w:p>
    <w:p w:rsidR="007D323A" w:rsidRDefault="007D323A" w:rsidP="007D323A">
      <w:pPr>
        <w:rPr>
          <w:b/>
        </w:rPr>
      </w:pPr>
    </w:p>
    <w:p w:rsidR="007D323A" w:rsidRDefault="007D323A" w:rsidP="007D323A">
      <w:pPr>
        <w:rPr>
          <w:b/>
        </w:rPr>
      </w:pPr>
    </w:p>
    <w:p w:rsidR="007D323A" w:rsidRDefault="007D323A" w:rsidP="007D323A">
      <w:pPr>
        <w:rPr>
          <w:b/>
        </w:rPr>
      </w:pPr>
    </w:p>
    <w:p w:rsidR="007D323A" w:rsidRDefault="007D323A" w:rsidP="007D323A">
      <w:pPr>
        <w:outlineLvl w:val="0"/>
        <w:rPr>
          <w:b/>
        </w:rPr>
      </w:pPr>
      <w:r>
        <w:rPr>
          <w:b/>
        </w:rPr>
        <w:t>Contact:</w:t>
      </w:r>
    </w:p>
    <w:p w:rsidR="007D323A" w:rsidRDefault="007D323A" w:rsidP="007D323A">
      <w:pPr>
        <w:outlineLvl w:val="0"/>
        <w:rPr>
          <w:b/>
        </w:rPr>
      </w:pPr>
      <w:r>
        <w:rPr>
          <w:b/>
        </w:rPr>
        <w:t>Paulette Ford-Knights</w:t>
      </w:r>
    </w:p>
    <w:p w:rsidR="007D323A" w:rsidRDefault="007D323A" w:rsidP="007D323A">
      <w:pPr>
        <w:outlineLvl w:val="0"/>
        <w:rPr>
          <w:b/>
        </w:rPr>
      </w:pPr>
      <w:r>
        <w:rPr>
          <w:b/>
        </w:rPr>
        <w:t>Office of Policy and Planning</w:t>
      </w:r>
    </w:p>
    <w:p w:rsidR="007D323A" w:rsidRDefault="007D323A" w:rsidP="007D323A">
      <w:pPr>
        <w:outlineLvl w:val="0"/>
        <w:rPr>
          <w:b/>
        </w:rPr>
      </w:pPr>
      <w:r>
        <w:rPr>
          <w:b/>
        </w:rPr>
        <w:t xml:space="preserve">National Center for Emerging and </w:t>
      </w:r>
      <w:proofErr w:type="spellStart"/>
      <w:r>
        <w:rPr>
          <w:b/>
        </w:rPr>
        <w:t>Zoonotic</w:t>
      </w:r>
      <w:proofErr w:type="spellEnd"/>
      <w:r>
        <w:rPr>
          <w:b/>
        </w:rPr>
        <w:t xml:space="preserve"> Infectious Diseases</w:t>
      </w:r>
    </w:p>
    <w:p w:rsidR="007D323A" w:rsidRDefault="007D323A" w:rsidP="007D323A">
      <w:pPr>
        <w:outlineLvl w:val="0"/>
        <w:rPr>
          <w:b/>
        </w:rPr>
      </w:pPr>
      <w:r>
        <w:rPr>
          <w:b/>
        </w:rPr>
        <w:t>Centers for Disease Control and Prevention</w:t>
      </w:r>
    </w:p>
    <w:p w:rsidR="007D323A" w:rsidRDefault="007D323A" w:rsidP="007D323A">
      <w:pPr>
        <w:outlineLvl w:val="0"/>
        <w:rPr>
          <w:b/>
        </w:rPr>
      </w:pPr>
      <w:r>
        <w:rPr>
          <w:b/>
        </w:rPr>
        <w:t>1600 Clifton Road, N.E., MS D76</w:t>
      </w:r>
    </w:p>
    <w:p w:rsidR="007D323A" w:rsidRDefault="007D323A" w:rsidP="007D323A">
      <w:pPr>
        <w:outlineLvl w:val="0"/>
        <w:rPr>
          <w:b/>
        </w:rPr>
      </w:pPr>
      <w:r>
        <w:rPr>
          <w:b/>
        </w:rPr>
        <w:t>Atlanta, Georgia 30333</w:t>
      </w:r>
    </w:p>
    <w:p w:rsidR="007D323A" w:rsidRDefault="007D323A" w:rsidP="007D323A">
      <w:pPr>
        <w:outlineLvl w:val="0"/>
        <w:rPr>
          <w:b/>
        </w:rPr>
      </w:pPr>
      <w:r>
        <w:rPr>
          <w:b/>
        </w:rPr>
        <w:t>Phone: (404) 639-4895</w:t>
      </w:r>
    </w:p>
    <w:p w:rsidR="007D323A" w:rsidRDefault="007D323A" w:rsidP="007D323A">
      <w:pPr>
        <w:rPr>
          <w:rFonts w:ascii="Comic Sans MS" w:hAnsi="Comic Sans MS"/>
          <w:noProof/>
          <w:color w:val="403152"/>
          <w:sz w:val="20"/>
          <w:szCs w:val="20"/>
        </w:rPr>
      </w:pPr>
      <w:r>
        <w:rPr>
          <w:b/>
        </w:rPr>
        <w:t>Fax: (404) 248-4146</w:t>
      </w:r>
    </w:p>
    <w:p w:rsidR="007D323A" w:rsidRDefault="007D323A" w:rsidP="007D323A">
      <w:pPr>
        <w:outlineLvl w:val="0"/>
      </w:pPr>
      <w:r>
        <w:rPr>
          <w:b/>
        </w:rPr>
        <w:t>Email: pbf7@cdc.gov</w:t>
      </w: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u w:val="single"/>
        </w:rPr>
      </w:pPr>
    </w:p>
    <w:p w:rsidR="007D323A" w:rsidRDefault="007D323A" w:rsidP="007D323A">
      <w:pPr>
        <w:widowControl w:val="0"/>
        <w:rPr>
          <w:b/>
        </w:rPr>
      </w:pPr>
      <w:r>
        <w:rPr>
          <w:b/>
          <w:u w:val="single"/>
        </w:rPr>
        <w:t>B. Collections of Information Employing Statistical Methods</w:t>
      </w:r>
    </w:p>
    <w:p w:rsidR="007D323A" w:rsidRDefault="007D323A" w:rsidP="007D323A">
      <w:pPr>
        <w:widowControl w:val="0"/>
      </w:pPr>
    </w:p>
    <w:p w:rsidR="007D323A" w:rsidRDefault="007D323A" w:rsidP="007D323A">
      <w:pPr>
        <w:tabs>
          <w:tab w:val="left" w:pos="0"/>
          <w:tab w:val="left" w:pos="450"/>
          <w:tab w:val="num" w:pos="630"/>
        </w:tabs>
      </w:pPr>
      <w:r>
        <w:t xml:space="preserve">This data collection does not employ statistical methods.  </w:t>
      </w:r>
    </w:p>
    <w:p w:rsidR="007D323A" w:rsidRDefault="007D323A" w:rsidP="007D323A"/>
    <w:p w:rsidR="007D323A" w:rsidRDefault="007D323A" w:rsidP="007D323A"/>
    <w:p w:rsidR="007D323A" w:rsidRPr="005E190B" w:rsidRDefault="007D323A" w:rsidP="007D323A">
      <w:pPr>
        <w:rPr>
          <w:b/>
        </w:rPr>
      </w:pPr>
      <w:r w:rsidRPr="005E190B">
        <w:rPr>
          <w:b/>
        </w:rPr>
        <w:t>1.  Respondent Universe and Sampling Methods</w:t>
      </w:r>
    </w:p>
    <w:p w:rsidR="007D323A" w:rsidRDefault="007D323A" w:rsidP="007D323A"/>
    <w:p w:rsidR="007D323A" w:rsidRPr="007C4A85" w:rsidRDefault="007D323A" w:rsidP="007D323A">
      <w:pPr>
        <w:tabs>
          <w:tab w:val="left" w:pos="0"/>
          <w:tab w:val="left" w:pos="450"/>
          <w:tab w:val="num" w:pos="630"/>
        </w:tabs>
      </w:pPr>
      <w:r>
        <w:t>State and</w:t>
      </w:r>
      <w:r w:rsidRPr="007C4A85">
        <w:t xml:space="preserve"> local public health authorities</w:t>
      </w:r>
      <w:r>
        <w:t xml:space="preserve"> and maritime conveyance operators engaged in conducting contact investigations </w:t>
      </w:r>
      <w:r w:rsidRPr="007C4A85">
        <w:t xml:space="preserve">are asked to submit specified data </w:t>
      </w:r>
      <w:r>
        <w:t xml:space="preserve">from each traveler and their contacts </w:t>
      </w:r>
      <w:proofErr w:type="gramStart"/>
      <w:r>
        <w:t>who</w:t>
      </w:r>
      <w:proofErr w:type="gramEnd"/>
      <w:r>
        <w:t xml:space="preserve"> may have been exposed to a c</w:t>
      </w:r>
      <w:r w:rsidRPr="007C4A85">
        <w:t>ommunicable disease</w:t>
      </w:r>
      <w:r>
        <w:t xml:space="preserve"> during to travel</w:t>
      </w:r>
      <w:r w:rsidRPr="007C4A85">
        <w:t xml:space="preserve">.   CDC </w:t>
      </w:r>
      <w:r>
        <w:t xml:space="preserve">initiates such an investigation based on </w:t>
      </w:r>
      <w:r w:rsidRPr="007C4A85">
        <w:t>traveler-</w:t>
      </w:r>
      <w:r>
        <w:t>related</w:t>
      </w:r>
      <w:r w:rsidRPr="007C4A85">
        <w:t xml:space="preserve"> surveillance for illness during travel and includes all cases in the defined catchment area (i.e., all recognized states and territories of the Union).  Therefore, the data collection covers all travelers flying into or within the United States</w:t>
      </w:r>
      <w:r>
        <w:t>.</w:t>
      </w:r>
    </w:p>
    <w:p w:rsidR="007D323A" w:rsidRDefault="007D323A" w:rsidP="007D323A"/>
    <w:p w:rsidR="007D323A" w:rsidRDefault="007D323A" w:rsidP="007D323A">
      <w:pPr>
        <w:rPr>
          <w:b/>
        </w:rPr>
      </w:pPr>
      <w:r w:rsidRPr="005E190B">
        <w:rPr>
          <w:b/>
        </w:rPr>
        <w:t>2.  Procedures for the Collection of Information</w:t>
      </w:r>
    </w:p>
    <w:p w:rsidR="007D323A" w:rsidRPr="005E190B" w:rsidRDefault="007D323A" w:rsidP="007D323A">
      <w:pPr>
        <w:rPr>
          <w:b/>
        </w:rPr>
      </w:pPr>
    </w:p>
    <w:p w:rsidR="007D323A" w:rsidRPr="007C4A85" w:rsidRDefault="007D323A" w:rsidP="007D323A">
      <w:r w:rsidRPr="007C4A85">
        <w:t xml:space="preserve">CDC’s Division of Global Migration and Quarantine has developed contact investigation outcome reporting forms for the different types of investigations.  The forms are used to collect information on the outcome of contact investigations so that CDC can evaluate its investigative protocols and determine if adequate information on each contact was provided to those responsible for contacting passengers believed to have been exposed to a communicable disease during travel.  These forms include 1) Optional TB Air/Land Contact Investigation Outcome Reporting, 2) Optional Measles, Mumps, or Rubella Air/Land Contact Investigation Outcome Reporting, 3) Optional General Air/Land Contact Investigation Outcome Reporting Form, 4) Optional TB Maritime Contact Investigation Outcome Reporting Form, 5) Optional Measles, Mumps or Rubella Maritime Contact Investigation Outcome Reporting Form, 6) Optional General Maritime Contact Investigation Outcome Reporting Form.  The differences between the forms (Attachment </w:t>
      </w:r>
      <w:r>
        <w:t>B</w:t>
      </w:r>
      <w:r w:rsidRPr="007C4A85">
        <w:t xml:space="preserve">) reflect the specific questions unique to the communicable disease of public health concern.  These forms provide the means for systematically communicating to CDC information already in the possession the state and local public health authorities responsible for conducting the investigation.   </w:t>
      </w:r>
    </w:p>
    <w:p w:rsidR="007D323A" w:rsidRPr="007C4A85" w:rsidRDefault="007D323A" w:rsidP="007D323A"/>
    <w:p w:rsidR="007D323A" w:rsidRPr="007C4A85" w:rsidRDefault="007D323A" w:rsidP="007D323A">
      <w:r w:rsidRPr="007C4A85">
        <w:t xml:space="preserve">Air/Land: Each of the three forms (Optional TB Air/Land Contact Investigation Outcome Reporting, Optional Measles, Mumps, or Rubella Air/Land Contact Investigation Outcome Reporting, Optional General Air/Land Contact Investigation Outcome Reporting Form) is constructed in a three-layered approach with a series of ‘stops’ based on the completeness of the contact investigation performed. If the user answers “Yes” at the end of each layer, they would be directed to continue answering questions. If they answer “No”, they would be directed to stop and the form would be considered complete. </w:t>
      </w:r>
    </w:p>
    <w:p w:rsidR="007D323A" w:rsidRPr="007C4A85" w:rsidRDefault="007D323A" w:rsidP="007D323A"/>
    <w:p w:rsidR="007D323A" w:rsidRPr="007C4A85" w:rsidRDefault="007D323A" w:rsidP="007D323A">
      <w:r w:rsidRPr="007C4A85">
        <w:t xml:space="preserve">The first layer asks if the contact was able to be notified. If they were not able to be notified, the form asks why they were not able to be reached (ex. incorrect locating </w:t>
      </w:r>
      <w:r w:rsidRPr="007C4A85">
        <w:lastRenderedPageBreak/>
        <w:t>information, contact had returned to their home country) and then the user would stop here. If they were notified, the form has additional questions regarding the method(s) used to successfully notify the contact (ex. telephone, email, and emergency contact) and then the user would continue on.</w:t>
      </w:r>
    </w:p>
    <w:p w:rsidR="007D323A" w:rsidRPr="007C4A85" w:rsidRDefault="007D323A" w:rsidP="007D323A"/>
    <w:p w:rsidR="007D323A" w:rsidRPr="007C4A85" w:rsidRDefault="007D323A" w:rsidP="007D323A">
      <w:r w:rsidRPr="007C4A85">
        <w:t xml:space="preserve">The second layer of the form asks if the contact was interviewed. If they were not, then the user would stop here after indicating why the interview did not occur. If they were interviewed, additional questions would be asked regarding disease and vaccination history, exposure information, interventions received, etc.  </w:t>
      </w:r>
    </w:p>
    <w:p w:rsidR="007D323A" w:rsidRPr="007C4A85" w:rsidRDefault="007D323A" w:rsidP="007D323A"/>
    <w:p w:rsidR="007D323A" w:rsidRPr="007C4A85" w:rsidRDefault="007D323A" w:rsidP="007D323A">
      <w:r w:rsidRPr="007C4A85">
        <w:t>The third layer asks if the contact experienced relevant symptoms during and/or outside the disease-specific incubation period (MMR and General) or if the person was screened (for TB). If the passenger did not experience symptoms or was not screened, the user would stop here. If they did experience symptoms or were screened, the user would be asked to continue onto the next set of questions.</w:t>
      </w:r>
    </w:p>
    <w:p w:rsidR="007D323A" w:rsidRPr="007C4A85" w:rsidRDefault="007D323A" w:rsidP="007D323A"/>
    <w:p w:rsidR="007D323A" w:rsidRPr="007C4A85" w:rsidRDefault="007D323A" w:rsidP="007D323A">
      <w:r w:rsidRPr="007C4A85">
        <w:t>Maritime: Each of the three forms (Optional TB Maritime Contact Investigation Outcome Reporting Form Optional Measles, Mumps or Rubella Maritime Contact Investigation Outcome Reporting Form, Optional General Maritime Contact Investigation Outcome Reporting Form) is constructed in a two-layered approach with a series of ‘stops’ based on the completeness of the contact investigation performed. If the user answers “Yes” at the end of each layer, they would be directed to continue answering questions. If they answer “No”, they would be directed to stop and the form would be considered complete. The first layer of the form asks if the contact was interviewed. If they were not, then the user would stop here. If they were interviewed, additional questions would be asked regarding disease and vaccination history, exposure information, interventions received, etc.  The second layer of the form asks if the contact experienced relevant symptoms during and/or outside the disease-specific incubation period (MMR and General) or if the person was screened (for TB). If the passenger did not experience symptoms or was not screened, then the user would stop here. If they did experience symptoms or were screened, the user would be asked to continue onto the next set of questions.</w:t>
      </w:r>
    </w:p>
    <w:p w:rsidR="007D323A" w:rsidRDefault="007D323A" w:rsidP="007D323A"/>
    <w:p w:rsidR="007D323A" w:rsidRDefault="007D323A" w:rsidP="007D323A">
      <w:pPr>
        <w:rPr>
          <w:b/>
        </w:rPr>
      </w:pPr>
      <w:r w:rsidRPr="005E190B">
        <w:rPr>
          <w:b/>
        </w:rPr>
        <w:t>3.  Methods to Maximize Response Rates and Deal with No response</w:t>
      </w:r>
    </w:p>
    <w:p w:rsidR="007D323A" w:rsidRPr="005E190B" w:rsidRDefault="007D323A" w:rsidP="007D323A">
      <w:pPr>
        <w:rPr>
          <w:b/>
        </w:rPr>
      </w:pPr>
    </w:p>
    <w:p w:rsidR="007D323A" w:rsidRPr="007C4A85" w:rsidRDefault="007D323A" w:rsidP="007D323A">
      <w:pPr>
        <w:rPr>
          <w:bCs/>
        </w:rPr>
      </w:pPr>
      <w:r w:rsidRPr="007C4A85">
        <w:rPr>
          <w:bCs/>
        </w:rPr>
        <w:t>Reporting of contact tracing investigation outcomes</w:t>
      </w:r>
      <w:r>
        <w:rPr>
          <w:bCs/>
        </w:rPr>
        <w:t xml:space="preserve"> by state and local public health authorities</w:t>
      </w:r>
      <w:r w:rsidRPr="007C4A85">
        <w:rPr>
          <w:bCs/>
        </w:rPr>
        <w:t xml:space="preserve"> is done on a voluntary basis.  If follow up is necessary, a Division of Global Migration and Quarantine staff member will contact the appropriate public health partner.  Anecdotal evidence</w:t>
      </w:r>
      <w:r>
        <w:rPr>
          <w:bCs/>
        </w:rPr>
        <w:t xml:space="preserve"> and requests </w:t>
      </w:r>
      <w:r w:rsidRPr="007C4A85">
        <w:rPr>
          <w:bCs/>
        </w:rPr>
        <w:t>from several states suggests that the standard forms being proposed in the Information Collection Request will facilitate the return of data to CDC, reducing the level of no response.</w:t>
      </w:r>
    </w:p>
    <w:p w:rsidR="007D323A" w:rsidRDefault="007D323A" w:rsidP="007D323A"/>
    <w:p w:rsidR="007D323A" w:rsidRDefault="007D323A" w:rsidP="007D323A">
      <w:pPr>
        <w:rPr>
          <w:b/>
        </w:rPr>
      </w:pPr>
      <w:r w:rsidRPr="005E190B">
        <w:rPr>
          <w:b/>
        </w:rPr>
        <w:t>4.  Tests of Procedures or Methods to Undertaken</w:t>
      </w:r>
    </w:p>
    <w:p w:rsidR="007D323A" w:rsidRPr="005E190B" w:rsidRDefault="007D323A" w:rsidP="007D323A">
      <w:pPr>
        <w:rPr>
          <w:b/>
        </w:rPr>
      </w:pPr>
    </w:p>
    <w:p w:rsidR="007D323A" w:rsidRPr="007C4A85" w:rsidRDefault="007D323A" w:rsidP="007D323A">
      <w:pPr>
        <w:rPr>
          <w:bCs/>
        </w:rPr>
      </w:pPr>
      <w:r w:rsidRPr="007C4A85">
        <w:rPr>
          <w:bCs/>
        </w:rPr>
        <w:t>The data being collected represents standard epidemiological, clinical and demographic information.  No tests of procedures or questions were preformed.</w:t>
      </w:r>
    </w:p>
    <w:p w:rsidR="007D323A" w:rsidRDefault="007D323A" w:rsidP="007D323A"/>
    <w:p w:rsidR="007D323A" w:rsidRDefault="007D323A" w:rsidP="007D323A">
      <w:pPr>
        <w:rPr>
          <w:b/>
        </w:rPr>
      </w:pPr>
      <w:r w:rsidRPr="005E190B">
        <w:rPr>
          <w:b/>
        </w:rPr>
        <w:lastRenderedPageBreak/>
        <w:t>5.  Individuals Consulted on Statistical Aspects and Individuals Collecting and/or Analyzing Data</w:t>
      </w:r>
    </w:p>
    <w:p w:rsidR="007D323A" w:rsidRPr="005E190B" w:rsidRDefault="007D323A" w:rsidP="007D323A">
      <w:pPr>
        <w:rPr>
          <w:b/>
        </w:rPr>
      </w:pPr>
    </w:p>
    <w:p w:rsidR="007D323A" w:rsidRPr="007C4A85" w:rsidRDefault="007D323A" w:rsidP="007D323A">
      <w:pPr>
        <w:rPr>
          <w:bCs/>
        </w:rPr>
      </w:pPr>
      <w:r w:rsidRPr="007C4A85">
        <w:rPr>
          <w:bCs/>
        </w:rPr>
        <w:t xml:space="preserve">Individuals collecting data are state or territorial health department employees, who follow their agency-specific guidelines for </w:t>
      </w:r>
      <w:r>
        <w:rPr>
          <w:bCs/>
        </w:rPr>
        <w:t xml:space="preserve">conducting </w:t>
      </w:r>
      <w:r w:rsidRPr="007C4A85">
        <w:rPr>
          <w:bCs/>
        </w:rPr>
        <w:t xml:space="preserve">contact </w:t>
      </w:r>
      <w:r>
        <w:rPr>
          <w:bCs/>
        </w:rPr>
        <w:t xml:space="preserve">investigations.  Analysis of data and review of federal protocols for initiating an investigation </w:t>
      </w:r>
      <w:r w:rsidRPr="007C4A85">
        <w:rPr>
          <w:bCs/>
        </w:rPr>
        <w:t>is the responsibility of the Division of Global Migration and Quarantine</w:t>
      </w:r>
      <w:r>
        <w:rPr>
          <w:bCs/>
        </w:rPr>
        <w:t>.</w:t>
      </w:r>
      <w:r w:rsidRPr="007C4A85">
        <w:rPr>
          <w:bCs/>
        </w:rPr>
        <w:t xml:space="preserve"> </w:t>
      </w:r>
    </w:p>
    <w:p w:rsidR="007D323A" w:rsidRDefault="007D323A" w:rsidP="007D323A"/>
    <w:p w:rsidR="007D323A" w:rsidRDefault="007D323A" w:rsidP="007D323A">
      <w:pPr>
        <w:jc w:val="center"/>
      </w:pPr>
      <w:r>
        <w:br w:type="page"/>
      </w:r>
      <w:r>
        <w:rPr>
          <w:b/>
        </w:rPr>
        <w:lastRenderedPageBreak/>
        <w:t>Attachments</w:t>
      </w:r>
    </w:p>
    <w:p w:rsidR="007D323A" w:rsidRDefault="007D323A" w:rsidP="007D323A"/>
    <w:p w:rsidR="007D323A" w:rsidRPr="00523EA5" w:rsidRDefault="007D323A" w:rsidP="007D323A">
      <w:pPr>
        <w:widowControl w:val="0"/>
        <w:tabs>
          <w:tab w:val="left" w:pos="720"/>
        </w:tabs>
      </w:pPr>
      <w:bookmarkStart w:id="0" w:name="OLE_LINK7"/>
      <w:bookmarkStart w:id="1" w:name="OLE_LINK8"/>
      <w:r>
        <w:t>Attachment A: S</w:t>
      </w:r>
      <w:r w:rsidRPr="00523EA5">
        <w:rPr>
          <w:rFonts w:cs="Arial"/>
        </w:rPr>
        <w:t>ection 361 of the Public Health Service (PHS) Act (42 USC 264)</w:t>
      </w:r>
    </w:p>
    <w:bookmarkEnd w:id="0"/>
    <w:bookmarkEnd w:id="1"/>
    <w:p w:rsidR="007D323A" w:rsidRPr="00523EA5" w:rsidRDefault="007D323A" w:rsidP="007D323A">
      <w:pPr>
        <w:widowControl w:val="0"/>
        <w:tabs>
          <w:tab w:val="left" w:pos="720"/>
        </w:tabs>
      </w:pPr>
    </w:p>
    <w:p w:rsidR="007D323A" w:rsidRDefault="007D323A" w:rsidP="007D323A">
      <w:pPr>
        <w:tabs>
          <w:tab w:val="left" w:pos="1620"/>
          <w:tab w:val="left" w:pos="2520"/>
        </w:tabs>
        <w:spacing w:after="40"/>
        <w:outlineLvl w:val="0"/>
      </w:pPr>
      <w:r>
        <w:t xml:space="preserve">Attachment B:  </w:t>
      </w:r>
      <w:r>
        <w:tab/>
        <w:t xml:space="preserve">Optional TB Air/Land Contact Investigation Outcome Reporting Form </w:t>
      </w:r>
      <w:r>
        <w:tab/>
      </w:r>
    </w:p>
    <w:p w:rsidR="007D323A" w:rsidRDefault="007D323A" w:rsidP="007D323A">
      <w:pPr>
        <w:tabs>
          <w:tab w:val="left" w:pos="1620"/>
          <w:tab w:val="left" w:pos="2520"/>
        </w:tabs>
        <w:spacing w:after="40"/>
        <w:outlineLvl w:val="0"/>
      </w:pPr>
      <w:r>
        <w:t>Attachment C:</w:t>
      </w:r>
      <w:r>
        <w:tab/>
        <w:t>Optional TB Maritime Contact Investigation Outcome Reporting Form</w:t>
      </w:r>
    </w:p>
    <w:p w:rsidR="007D323A" w:rsidRDefault="007D323A" w:rsidP="007D323A">
      <w:pPr>
        <w:tabs>
          <w:tab w:val="left" w:pos="1620"/>
          <w:tab w:val="left" w:pos="2520"/>
        </w:tabs>
        <w:spacing w:after="40"/>
        <w:outlineLvl w:val="0"/>
      </w:pPr>
      <w:r>
        <w:t>Attachment D:</w:t>
      </w:r>
      <w:r>
        <w:tab/>
        <w:t xml:space="preserve">Optional Measles, Mumps or Rubella Air/Land Contact Investigation </w:t>
      </w:r>
      <w:r>
        <w:tab/>
        <w:t xml:space="preserve"> </w:t>
      </w:r>
      <w:r>
        <w:tab/>
        <w:t>Outcome Reporting Form</w:t>
      </w:r>
    </w:p>
    <w:p w:rsidR="007D323A" w:rsidRDefault="007D323A" w:rsidP="007D323A">
      <w:pPr>
        <w:tabs>
          <w:tab w:val="left" w:pos="1620"/>
          <w:tab w:val="left" w:pos="2520"/>
        </w:tabs>
        <w:spacing w:after="40"/>
        <w:outlineLvl w:val="0"/>
      </w:pPr>
      <w:r>
        <w:t>Attachment E:</w:t>
      </w:r>
      <w:r>
        <w:tab/>
        <w:t xml:space="preserve">Optional Measles, Mumps or Rubella Maritime Contact Investigation </w:t>
      </w:r>
      <w:r>
        <w:tab/>
        <w:t xml:space="preserve">  </w:t>
      </w:r>
      <w:r>
        <w:tab/>
        <w:t>Outcome Reporting Form</w:t>
      </w:r>
    </w:p>
    <w:p w:rsidR="007D323A" w:rsidRDefault="007D323A" w:rsidP="007D323A">
      <w:pPr>
        <w:tabs>
          <w:tab w:val="left" w:pos="1620"/>
          <w:tab w:val="left" w:pos="2520"/>
        </w:tabs>
        <w:spacing w:after="40"/>
        <w:outlineLvl w:val="0"/>
      </w:pPr>
      <w:r>
        <w:t>Attachment F:</w:t>
      </w:r>
      <w:r>
        <w:tab/>
        <w:t>Optional General Air/Land Contact Investigation Outcome Report Form</w:t>
      </w:r>
    </w:p>
    <w:p w:rsidR="007D323A" w:rsidRDefault="007D323A" w:rsidP="007D323A">
      <w:pPr>
        <w:tabs>
          <w:tab w:val="left" w:pos="1620"/>
          <w:tab w:val="left" w:pos="2520"/>
        </w:tabs>
        <w:spacing w:after="40"/>
        <w:outlineLvl w:val="0"/>
      </w:pPr>
      <w:r>
        <w:t>Attachment G:</w:t>
      </w:r>
      <w:r>
        <w:tab/>
        <w:t xml:space="preserve">Optional General Maritime Contact Investigation Outcome Reporting </w:t>
      </w:r>
      <w:r>
        <w:tab/>
        <w:t xml:space="preserve">  </w:t>
      </w:r>
      <w:r>
        <w:tab/>
        <w:t xml:space="preserve">   Form</w:t>
      </w:r>
    </w:p>
    <w:p w:rsidR="007D323A" w:rsidRDefault="007D323A" w:rsidP="007D323A">
      <w:pPr>
        <w:tabs>
          <w:tab w:val="left" w:pos="1620"/>
          <w:tab w:val="left" w:pos="2520"/>
        </w:tabs>
        <w:spacing w:after="40"/>
        <w:outlineLvl w:val="0"/>
      </w:pPr>
    </w:p>
    <w:p w:rsidR="007D323A" w:rsidRDefault="007D323A" w:rsidP="007D323A">
      <w:pPr>
        <w:tabs>
          <w:tab w:val="left" w:pos="1620"/>
          <w:tab w:val="left" w:pos="2520"/>
        </w:tabs>
        <w:spacing w:after="40"/>
        <w:outlineLvl w:val="0"/>
      </w:pPr>
      <w:r>
        <w:t xml:space="preserve">Attachment H: </w:t>
      </w:r>
      <w:r>
        <w:tab/>
        <w:t xml:space="preserve">60 </w:t>
      </w:r>
      <w:proofErr w:type="gramStart"/>
      <w:r>
        <w:t>day</w:t>
      </w:r>
      <w:proofErr w:type="gramEnd"/>
      <w:r>
        <w:t xml:space="preserve"> Federal Register Notice</w:t>
      </w:r>
    </w:p>
    <w:p w:rsidR="007D323A" w:rsidRDefault="007D323A" w:rsidP="007D323A">
      <w:pPr>
        <w:tabs>
          <w:tab w:val="left" w:pos="1620"/>
          <w:tab w:val="left" w:pos="2520"/>
        </w:tabs>
        <w:spacing w:after="40"/>
        <w:outlineLvl w:val="0"/>
      </w:pPr>
    </w:p>
    <w:p w:rsidR="007D323A" w:rsidRPr="00000B18" w:rsidRDefault="007D323A" w:rsidP="007D323A">
      <w:pPr>
        <w:widowControl w:val="0"/>
      </w:pPr>
    </w:p>
    <w:p w:rsidR="007D323A" w:rsidRPr="009A1889" w:rsidRDefault="007D323A" w:rsidP="007D323A"/>
    <w:p w:rsidR="0049797C" w:rsidRDefault="007D323A"/>
    <w:sectPr w:rsidR="0049797C" w:rsidSect="00D945C2">
      <w:headerReference w:type="even" r:id="rId4"/>
      <w:headerReference w:type="default" r:id="rId5"/>
      <w:footerReference w:type="even" r:id="rId6"/>
      <w:footerReference w:type="default" r:id="rId7"/>
      <w:headerReference w:type="first" r:id="rId8"/>
      <w:pgSz w:w="12240" w:h="15840"/>
      <w:pgMar w:top="1440" w:right="1800" w:bottom="1440" w:left="180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7D323A" w:rsidP="008F7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576" w:rsidRDefault="007D323A" w:rsidP="00D945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7D323A" w:rsidP="008F7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80576" w:rsidRDefault="007D323A" w:rsidP="00D945C2">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7D3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7D32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6" w:rsidRDefault="007D32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D323A"/>
    <w:rsid w:val="000130F3"/>
    <w:rsid w:val="001017A5"/>
    <w:rsid w:val="00244102"/>
    <w:rsid w:val="00255573"/>
    <w:rsid w:val="002D5119"/>
    <w:rsid w:val="00320A55"/>
    <w:rsid w:val="00336160"/>
    <w:rsid w:val="003A5390"/>
    <w:rsid w:val="004174CB"/>
    <w:rsid w:val="00433E98"/>
    <w:rsid w:val="004654CC"/>
    <w:rsid w:val="004F221F"/>
    <w:rsid w:val="00555BD7"/>
    <w:rsid w:val="00564186"/>
    <w:rsid w:val="00565BE8"/>
    <w:rsid w:val="00577425"/>
    <w:rsid w:val="00673F34"/>
    <w:rsid w:val="006B7FA5"/>
    <w:rsid w:val="007160C3"/>
    <w:rsid w:val="007D0A68"/>
    <w:rsid w:val="007D323A"/>
    <w:rsid w:val="007E4C40"/>
    <w:rsid w:val="00810A9E"/>
    <w:rsid w:val="00867EB6"/>
    <w:rsid w:val="009209FA"/>
    <w:rsid w:val="009316AD"/>
    <w:rsid w:val="009331B1"/>
    <w:rsid w:val="009C3764"/>
    <w:rsid w:val="00A14199"/>
    <w:rsid w:val="00A74F6E"/>
    <w:rsid w:val="00AF258F"/>
    <w:rsid w:val="00B16C5C"/>
    <w:rsid w:val="00B2592E"/>
    <w:rsid w:val="00BA5F08"/>
    <w:rsid w:val="00CF1156"/>
    <w:rsid w:val="00DF3BA1"/>
    <w:rsid w:val="00E44BFD"/>
    <w:rsid w:val="00F60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323A"/>
    <w:pPr>
      <w:tabs>
        <w:tab w:val="center" w:pos="4320"/>
        <w:tab w:val="right" w:pos="8640"/>
      </w:tabs>
    </w:pPr>
  </w:style>
  <w:style w:type="character" w:customStyle="1" w:styleId="FooterChar">
    <w:name w:val="Footer Char"/>
    <w:basedOn w:val="DefaultParagraphFont"/>
    <w:link w:val="Footer"/>
    <w:uiPriority w:val="99"/>
    <w:rsid w:val="007D323A"/>
    <w:rPr>
      <w:rFonts w:ascii="Times New Roman" w:eastAsia="Times New Roman" w:hAnsi="Times New Roman" w:cs="Times New Roman"/>
      <w:sz w:val="24"/>
      <w:szCs w:val="24"/>
    </w:rPr>
  </w:style>
  <w:style w:type="character" w:styleId="PageNumber">
    <w:name w:val="page number"/>
    <w:basedOn w:val="DefaultParagraphFont"/>
    <w:rsid w:val="007D323A"/>
  </w:style>
  <w:style w:type="paragraph" w:styleId="Header">
    <w:name w:val="header"/>
    <w:basedOn w:val="Normal"/>
    <w:link w:val="HeaderChar"/>
    <w:rsid w:val="007D323A"/>
    <w:pPr>
      <w:tabs>
        <w:tab w:val="center" w:pos="4680"/>
        <w:tab w:val="right" w:pos="9360"/>
      </w:tabs>
    </w:pPr>
  </w:style>
  <w:style w:type="character" w:customStyle="1" w:styleId="HeaderChar">
    <w:name w:val="Header Char"/>
    <w:basedOn w:val="DefaultParagraphFont"/>
    <w:link w:val="Header"/>
    <w:rsid w:val="007D323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1117</Words>
  <Characters>6372</Characters>
  <Application>Microsoft Office Word</Application>
  <DocSecurity>0</DocSecurity>
  <Lines>53</Lines>
  <Paragraphs>14</Paragraphs>
  <ScaleCrop>false</ScaleCrop>
  <Company>CDC</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Thelma Elaine Sims</dc:creator>
  <cp:keywords/>
  <dc:description/>
  <cp:lastModifiedBy>Thelma Elaine Sims</cp:lastModifiedBy>
  <cp:revision>1</cp:revision>
  <dcterms:created xsi:type="dcterms:W3CDTF">2011-06-03T13:58:00Z</dcterms:created>
  <dcterms:modified xsi:type="dcterms:W3CDTF">2011-06-03T13:59:00Z</dcterms:modified>
</cp:coreProperties>
</file>