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8A2" w:rsidRDefault="003108A2" w:rsidP="003108A2">
      <w:pPr>
        <w:spacing w:line="360" w:lineRule="auto"/>
        <w:jc w:val="center"/>
        <w:rPr>
          <w:b/>
          <w:caps/>
          <w:sz w:val="36"/>
          <w:szCs w:val="36"/>
        </w:rPr>
      </w:pPr>
    </w:p>
    <w:p w:rsidR="00D90271" w:rsidRDefault="00D90271" w:rsidP="00D90271">
      <w:pPr>
        <w:spacing w:line="360" w:lineRule="auto"/>
        <w:jc w:val="center"/>
        <w:rPr>
          <w:b/>
          <w:sz w:val="36"/>
          <w:szCs w:val="36"/>
        </w:rPr>
      </w:pPr>
      <w:r w:rsidRPr="00D6005B">
        <w:rPr>
          <w:b/>
          <w:sz w:val="36"/>
          <w:szCs w:val="36"/>
        </w:rPr>
        <w:t>Special Nutrition Program Operations Study</w:t>
      </w:r>
      <w:r>
        <w:rPr>
          <w:b/>
          <w:sz w:val="36"/>
          <w:szCs w:val="36"/>
        </w:rPr>
        <w:t xml:space="preserve"> (SNPOS)</w:t>
      </w:r>
    </w:p>
    <w:p w:rsidR="00D90271" w:rsidRPr="00D6005B" w:rsidRDefault="00D90271" w:rsidP="00D90271">
      <w:pPr>
        <w:spacing w:line="360" w:lineRule="auto"/>
        <w:jc w:val="center"/>
        <w:rPr>
          <w:b/>
          <w:caps/>
          <w:sz w:val="36"/>
          <w:szCs w:val="36"/>
        </w:rPr>
      </w:pPr>
      <w:r w:rsidRPr="00D6005B">
        <w:rPr>
          <w:b/>
          <w:sz w:val="36"/>
          <w:szCs w:val="36"/>
        </w:rPr>
        <w:br/>
      </w:r>
      <w:r w:rsidRPr="00D6005B">
        <w:rPr>
          <w:b/>
          <w:caps/>
          <w:sz w:val="36"/>
          <w:szCs w:val="36"/>
        </w:rPr>
        <w:t>S</w:t>
      </w:r>
      <w:r w:rsidRPr="00D6005B">
        <w:rPr>
          <w:b/>
          <w:sz w:val="36"/>
          <w:szCs w:val="36"/>
        </w:rPr>
        <w:t>tatement</w:t>
      </w:r>
      <w:r w:rsidRPr="00D6005B">
        <w:rPr>
          <w:b/>
          <w:caps/>
          <w:sz w:val="36"/>
          <w:szCs w:val="36"/>
        </w:rPr>
        <w:t xml:space="preserve"> </w:t>
      </w:r>
      <w:r>
        <w:rPr>
          <w:b/>
          <w:sz w:val="36"/>
          <w:szCs w:val="36"/>
        </w:rPr>
        <w:t>for</w:t>
      </w:r>
      <w:r>
        <w:rPr>
          <w:b/>
          <w:caps/>
          <w:sz w:val="36"/>
          <w:szCs w:val="36"/>
        </w:rPr>
        <w:t xml:space="preserve"> P</w:t>
      </w:r>
      <w:r>
        <w:rPr>
          <w:b/>
          <w:sz w:val="36"/>
          <w:szCs w:val="36"/>
        </w:rPr>
        <w:t>aperwork</w:t>
      </w:r>
      <w:r>
        <w:rPr>
          <w:b/>
          <w:caps/>
          <w:sz w:val="36"/>
          <w:szCs w:val="36"/>
        </w:rPr>
        <w:t xml:space="preserve"> R</w:t>
      </w:r>
      <w:r>
        <w:rPr>
          <w:b/>
          <w:sz w:val="36"/>
          <w:szCs w:val="36"/>
        </w:rPr>
        <w:t>eduction</w:t>
      </w:r>
      <w:r>
        <w:rPr>
          <w:b/>
          <w:caps/>
          <w:sz w:val="36"/>
          <w:szCs w:val="36"/>
        </w:rPr>
        <w:t xml:space="preserve"> A</w:t>
      </w:r>
      <w:r>
        <w:rPr>
          <w:b/>
          <w:sz w:val="36"/>
          <w:szCs w:val="36"/>
        </w:rPr>
        <w:t>ct</w:t>
      </w:r>
      <w:r>
        <w:rPr>
          <w:b/>
          <w:caps/>
          <w:sz w:val="36"/>
          <w:szCs w:val="36"/>
        </w:rPr>
        <w:t xml:space="preserve"> S</w:t>
      </w:r>
      <w:r>
        <w:rPr>
          <w:b/>
          <w:sz w:val="36"/>
          <w:szCs w:val="36"/>
        </w:rPr>
        <w:t>ubmission</w:t>
      </w:r>
    </w:p>
    <w:p w:rsidR="00D90271" w:rsidRDefault="00D90271" w:rsidP="00D90271">
      <w:pPr>
        <w:spacing w:line="360" w:lineRule="auto"/>
        <w:jc w:val="center"/>
        <w:rPr>
          <w:b/>
          <w:sz w:val="36"/>
          <w:szCs w:val="36"/>
        </w:rPr>
      </w:pPr>
    </w:p>
    <w:p w:rsidR="004903BB" w:rsidRDefault="00D90271" w:rsidP="00D90271">
      <w:pPr>
        <w:spacing w:line="360" w:lineRule="auto"/>
        <w:jc w:val="center"/>
        <w:rPr>
          <w:b/>
          <w:sz w:val="36"/>
          <w:szCs w:val="36"/>
        </w:rPr>
      </w:pPr>
      <w:r>
        <w:rPr>
          <w:b/>
          <w:sz w:val="36"/>
          <w:szCs w:val="36"/>
        </w:rPr>
        <w:t xml:space="preserve">Part B: Collection of Information Employing </w:t>
      </w:r>
    </w:p>
    <w:p w:rsidR="00D90271" w:rsidRDefault="00D90271" w:rsidP="00D90271">
      <w:pPr>
        <w:spacing w:line="360" w:lineRule="auto"/>
        <w:jc w:val="center"/>
        <w:rPr>
          <w:b/>
          <w:sz w:val="36"/>
          <w:szCs w:val="36"/>
        </w:rPr>
      </w:pPr>
      <w:r>
        <w:rPr>
          <w:b/>
          <w:sz w:val="36"/>
          <w:szCs w:val="36"/>
        </w:rPr>
        <w:t>Statistical Methods</w:t>
      </w:r>
    </w:p>
    <w:p w:rsidR="00D90271" w:rsidRPr="00D6005B" w:rsidRDefault="00D90271" w:rsidP="00D90271">
      <w:pPr>
        <w:spacing w:line="360" w:lineRule="auto"/>
        <w:jc w:val="center"/>
        <w:rPr>
          <w:b/>
          <w:sz w:val="36"/>
          <w:szCs w:val="36"/>
        </w:rPr>
      </w:pPr>
    </w:p>
    <w:p w:rsidR="00D90271" w:rsidRPr="00D6005B" w:rsidRDefault="00D90271" w:rsidP="00D90271">
      <w:pPr>
        <w:spacing w:line="360" w:lineRule="auto"/>
        <w:jc w:val="center"/>
        <w:rPr>
          <w:b/>
          <w:sz w:val="36"/>
          <w:szCs w:val="36"/>
        </w:rPr>
      </w:pPr>
    </w:p>
    <w:p w:rsidR="00D90271" w:rsidRDefault="007D48DC" w:rsidP="00D90271">
      <w:pPr>
        <w:spacing w:line="360" w:lineRule="auto"/>
        <w:jc w:val="center"/>
        <w:rPr>
          <w:b/>
          <w:sz w:val="36"/>
          <w:szCs w:val="36"/>
        </w:rPr>
      </w:pPr>
      <w:r>
        <w:rPr>
          <w:b/>
          <w:sz w:val="36"/>
          <w:szCs w:val="36"/>
        </w:rPr>
        <w:t>April 21</w:t>
      </w:r>
      <w:r w:rsidR="00D90271">
        <w:rPr>
          <w:b/>
          <w:sz w:val="36"/>
          <w:szCs w:val="36"/>
        </w:rPr>
        <w:t>, 2011</w:t>
      </w:r>
    </w:p>
    <w:p w:rsidR="00D90271" w:rsidRPr="00D6005B" w:rsidRDefault="00D90271" w:rsidP="00D90271">
      <w:pPr>
        <w:spacing w:line="360" w:lineRule="auto"/>
        <w:rPr>
          <w:b/>
          <w:sz w:val="36"/>
          <w:szCs w:val="36"/>
        </w:rPr>
      </w:pPr>
    </w:p>
    <w:p w:rsidR="00D90271" w:rsidRDefault="00D90271" w:rsidP="00D90271">
      <w:pPr>
        <w:spacing w:line="320" w:lineRule="atLeast"/>
        <w:jc w:val="center"/>
        <w:rPr>
          <w:szCs w:val="24"/>
        </w:rPr>
      </w:pPr>
    </w:p>
    <w:p w:rsidR="00D90271" w:rsidRDefault="00D90271" w:rsidP="00D90271">
      <w:pPr>
        <w:spacing w:line="320" w:lineRule="atLeast"/>
        <w:jc w:val="center"/>
        <w:rPr>
          <w:szCs w:val="24"/>
        </w:rPr>
      </w:pPr>
    </w:p>
    <w:p w:rsidR="00D90271" w:rsidRDefault="00D90271" w:rsidP="00D90271">
      <w:pPr>
        <w:spacing w:line="320" w:lineRule="atLeast"/>
        <w:jc w:val="center"/>
        <w:rPr>
          <w:szCs w:val="24"/>
        </w:rPr>
      </w:pPr>
    </w:p>
    <w:p w:rsidR="00D90271" w:rsidRDefault="00D90271" w:rsidP="00D90271">
      <w:pPr>
        <w:spacing w:line="320" w:lineRule="atLeast"/>
        <w:jc w:val="center"/>
        <w:rPr>
          <w:szCs w:val="24"/>
        </w:rPr>
      </w:pPr>
    </w:p>
    <w:p w:rsidR="00D90271" w:rsidRDefault="00D90271" w:rsidP="00D90271">
      <w:pPr>
        <w:spacing w:line="320" w:lineRule="atLeast"/>
        <w:jc w:val="center"/>
        <w:rPr>
          <w:szCs w:val="24"/>
        </w:rPr>
      </w:pPr>
    </w:p>
    <w:p w:rsidR="00D90271" w:rsidRDefault="00D90271" w:rsidP="00D90271">
      <w:pPr>
        <w:spacing w:line="320" w:lineRule="atLeast"/>
        <w:jc w:val="center"/>
        <w:rPr>
          <w:szCs w:val="24"/>
        </w:rPr>
      </w:pPr>
    </w:p>
    <w:p w:rsidR="00D90271" w:rsidRDefault="00D90271" w:rsidP="00D90271">
      <w:pPr>
        <w:spacing w:line="320" w:lineRule="atLeast"/>
        <w:jc w:val="center"/>
        <w:rPr>
          <w:szCs w:val="24"/>
        </w:rPr>
      </w:pPr>
    </w:p>
    <w:p w:rsidR="00D90271" w:rsidRDefault="00D90271" w:rsidP="00D90271">
      <w:pPr>
        <w:spacing w:line="320" w:lineRule="atLeast"/>
        <w:jc w:val="center"/>
        <w:rPr>
          <w:szCs w:val="24"/>
        </w:rPr>
      </w:pPr>
    </w:p>
    <w:p w:rsidR="00D90271" w:rsidRPr="00D6005B" w:rsidRDefault="00D90271" w:rsidP="003108A2">
      <w:pPr>
        <w:spacing w:line="240" w:lineRule="auto"/>
        <w:ind w:left="2340"/>
        <w:rPr>
          <w:b/>
          <w:sz w:val="36"/>
          <w:szCs w:val="36"/>
        </w:rPr>
      </w:pPr>
      <w:r w:rsidRPr="00D6005B">
        <w:rPr>
          <w:b/>
          <w:sz w:val="36"/>
          <w:szCs w:val="36"/>
        </w:rPr>
        <w:t>Office of Nutrition Analysis</w:t>
      </w:r>
    </w:p>
    <w:p w:rsidR="00D90271" w:rsidRPr="00D6005B" w:rsidRDefault="00D90271" w:rsidP="003108A2">
      <w:pPr>
        <w:spacing w:line="240" w:lineRule="auto"/>
        <w:ind w:left="2340"/>
        <w:rPr>
          <w:b/>
          <w:sz w:val="36"/>
          <w:szCs w:val="36"/>
        </w:rPr>
      </w:pPr>
      <w:r w:rsidRPr="00D6005B">
        <w:rPr>
          <w:b/>
          <w:sz w:val="36"/>
          <w:szCs w:val="36"/>
        </w:rPr>
        <w:t>Food and Nutrition Service</w:t>
      </w:r>
    </w:p>
    <w:p w:rsidR="00D90271" w:rsidRDefault="00D90271" w:rsidP="003108A2">
      <w:pPr>
        <w:spacing w:line="320" w:lineRule="atLeast"/>
        <w:ind w:left="2340"/>
        <w:rPr>
          <w:b/>
          <w:sz w:val="36"/>
          <w:szCs w:val="36"/>
        </w:rPr>
      </w:pPr>
      <w:r w:rsidRPr="00D6005B">
        <w:rPr>
          <w:b/>
          <w:sz w:val="36"/>
          <w:szCs w:val="36"/>
        </w:rPr>
        <w:t>United States Department of Agriculture</w:t>
      </w:r>
    </w:p>
    <w:p w:rsidR="00D90271" w:rsidRDefault="00D90271" w:rsidP="003108A2">
      <w:pPr>
        <w:spacing w:line="240" w:lineRule="auto"/>
        <w:ind w:left="2340"/>
        <w:rPr>
          <w:b/>
          <w:sz w:val="36"/>
          <w:szCs w:val="36"/>
        </w:rPr>
      </w:pPr>
      <w:r>
        <w:rPr>
          <w:b/>
          <w:sz w:val="36"/>
          <w:szCs w:val="36"/>
        </w:rPr>
        <w:t>Project Office</w:t>
      </w:r>
      <w:r w:rsidR="000A570B">
        <w:rPr>
          <w:b/>
          <w:sz w:val="36"/>
          <w:szCs w:val="36"/>
        </w:rPr>
        <w:t>r</w:t>
      </w:r>
      <w:r>
        <w:rPr>
          <w:b/>
          <w:sz w:val="36"/>
          <w:szCs w:val="36"/>
        </w:rPr>
        <w:t>: John Endahl</w:t>
      </w:r>
    </w:p>
    <w:p w:rsidR="00D90271" w:rsidRDefault="00D90271" w:rsidP="003108A2">
      <w:pPr>
        <w:spacing w:line="240" w:lineRule="auto"/>
        <w:ind w:left="2340"/>
        <w:rPr>
          <w:b/>
          <w:sz w:val="36"/>
          <w:szCs w:val="36"/>
        </w:rPr>
      </w:pPr>
      <w:r>
        <w:rPr>
          <w:b/>
          <w:sz w:val="36"/>
          <w:szCs w:val="36"/>
        </w:rPr>
        <w:t>Telephone: 703-305-2127</w:t>
      </w:r>
    </w:p>
    <w:p w:rsidR="003108A2" w:rsidRDefault="003108A2" w:rsidP="003108A2">
      <w:pPr>
        <w:spacing w:line="240" w:lineRule="auto"/>
        <w:ind w:left="2340"/>
        <w:rPr>
          <w:b/>
          <w:sz w:val="36"/>
          <w:szCs w:val="36"/>
        </w:rPr>
      </w:pPr>
    </w:p>
    <w:p w:rsidR="003108A2" w:rsidRDefault="003108A2" w:rsidP="003108A2">
      <w:pPr>
        <w:spacing w:line="240" w:lineRule="auto"/>
        <w:ind w:left="2340"/>
        <w:rPr>
          <w:szCs w:val="24"/>
        </w:rPr>
        <w:sectPr w:rsidR="003108A2" w:rsidSect="00D90271">
          <w:footerReference w:type="even" r:id="rId8"/>
          <w:footerReference w:type="default" r:id="rId9"/>
          <w:footerReference w:type="first" r:id="rId10"/>
          <w:pgSz w:w="12240" w:h="15840" w:code="1"/>
          <w:pgMar w:top="1440" w:right="1440" w:bottom="1440" w:left="1440" w:header="720" w:footer="576" w:gutter="0"/>
          <w:pgNumType w:start="0"/>
          <w:cols w:space="720"/>
          <w:docGrid w:linePitch="360"/>
        </w:sectPr>
      </w:pPr>
    </w:p>
    <w:p w:rsidR="006D3765" w:rsidRPr="00281D17" w:rsidRDefault="006D3765" w:rsidP="00001D5E">
      <w:pPr>
        <w:spacing w:line="240" w:lineRule="auto"/>
        <w:jc w:val="center"/>
        <w:rPr>
          <w:b/>
          <w:caps/>
          <w:sz w:val="28"/>
          <w:szCs w:val="28"/>
        </w:rPr>
      </w:pPr>
      <w:r w:rsidRPr="00281D17">
        <w:rPr>
          <w:b/>
          <w:caps/>
          <w:sz w:val="28"/>
          <w:szCs w:val="28"/>
        </w:rPr>
        <w:lastRenderedPageBreak/>
        <w:t xml:space="preserve">SUPPORTING STATEMENT </w:t>
      </w:r>
      <w:r w:rsidR="006E7EAE">
        <w:rPr>
          <w:b/>
          <w:caps/>
          <w:sz w:val="28"/>
          <w:szCs w:val="28"/>
        </w:rPr>
        <w:t xml:space="preserve">PART </w:t>
      </w:r>
      <w:r w:rsidRPr="00281D17">
        <w:rPr>
          <w:b/>
          <w:caps/>
          <w:sz w:val="28"/>
          <w:szCs w:val="28"/>
        </w:rPr>
        <w:t>B</w:t>
      </w:r>
    </w:p>
    <w:p w:rsidR="006D3765" w:rsidRPr="00D6005B" w:rsidRDefault="006D3765" w:rsidP="00001D5E">
      <w:pPr>
        <w:spacing w:line="240" w:lineRule="auto"/>
        <w:jc w:val="center"/>
        <w:rPr>
          <w:b/>
          <w:caps/>
          <w:szCs w:val="24"/>
        </w:rPr>
      </w:pPr>
    </w:p>
    <w:p w:rsidR="006D3765" w:rsidRPr="00281D17" w:rsidRDefault="006D3765" w:rsidP="00001D5E">
      <w:pPr>
        <w:spacing w:line="240" w:lineRule="auto"/>
        <w:jc w:val="center"/>
        <w:rPr>
          <w:b/>
          <w:bCs/>
          <w:sz w:val="28"/>
          <w:szCs w:val="28"/>
        </w:rPr>
      </w:pPr>
      <w:r w:rsidRPr="00281D17">
        <w:rPr>
          <w:b/>
          <w:sz w:val="28"/>
          <w:szCs w:val="28"/>
        </w:rPr>
        <w:t>Special Nutrition Program Operations Study</w:t>
      </w:r>
      <w:r w:rsidRPr="00281D17">
        <w:rPr>
          <w:b/>
          <w:bCs/>
          <w:sz w:val="28"/>
          <w:szCs w:val="28"/>
        </w:rPr>
        <w:t xml:space="preserve"> </w:t>
      </w:r>
    </w:p>
    <w:p w:rsidR="006D3765" w:rsidRPr="004D4B51" w:rsidRDefault="006D3765" w:rsidP="00001D5E">
      <w:pPr>
        <w:spacing w:line="240" w:lineRule="auto"/>
        <w:ind w:left="720" w:hanging="720"/>
        <w:jc w:val="both"/>
        <w:rPr>
          <w:szCs w:val="24"/>
        </w:rPr>
      </w:pPr>
    </w:p>
    <w:p w:rsidR="004D4B51" w:rsidRPr="004D4B51" w:rsidRDefault="004D4B51" w:rsidP="00001D5E">
      <w:pPr>
        <w:spacing w:line="240" w:lineRule="auto"/>
        <w:ind w:left="720" w:hanging="720"/>
        <w:jc w:val="both"/>
        <w:rPr>
          <w:szCs w:val="24"/>
        </w:rPr>
      </w:pPr>
    </w:p>
    <w:p w:rsidR="006D3765" w:rsidRPr="00001D5E" w:rsidRDefault="006D3765" w:rsidP="00DF5DAF">
      <w:pPr>
        <w:pStyle w:val="Heading1"/>
        <w:numPr>
          <w:ilvl w:val="0"/>
          <w:numId w:val="12"/>
        </w:numPr>
        <w:tabs>
          <w:tab w:val="clear" w:pos="1152"/>
          <w:tab w:val="left" w:pos="720"/>
        </w:tabs>
        <w:ind w:left="720" w:hanging="720"/>
        <w:rPr>
          <w:rFonts w:ascii="Garamond" w:hAnsi="Garamond"/>
          <w:bCs/>
          <w:color w:val="auto"/>
          <w:sz w:val="24"/>
        </w:rPr>
      </w:pPr>
      <w:bookmarkStart w:id="0" w:name="_Toc282506041"/>
      <w:r w:rsidRPr="00001D5E">
        <w:rPr>
          <w:rFonts w:ascii="Garamond" w:hAnsi="Garamond"/>
          <w:bCs/>
          <w:color w:val="auto"/>
          <w:sz w:val="24"/>
        </w:rPr>
        <w:t>COLLECTIONS OF INFORMATION EMPLOYING STATISTICAL METHODS</w:t>
      </w:r>
      <w:bookmarkEnd w:id="0"/>
    </w:p>
    <w:p w:rsidR="00281D17" w:rsidRDefault="006D3765" w:rsidP="00DF5DAF">
      <w:pPr>
        <w:tabs>
          <w:tab w:val="left" w:pos="720"/>
        </w:tabs>
        <w:spacing w:after="80"/>
        <w:ind w:left="720" w:hanging="720"/>
        <w:rPr>
          <w:b/>
          <w:szCs w:val="24"/>
        </w:rPr>
      </w:pPr>
      <w:bookmarkStart w:id="1" w:name="_Toc282506042"/>
      <w:r w:rsidRPr="00281D17">
        <w:rPr>
          <w:b/>
          <w:szCs w:val="24"/>
        </w:rPr>
        <w:t>B</w:t>
      </w:r>
      <w:r w:rsidR="00D450DF" w:rsidRPr="00281D17">
        <w:rPr>
          <w:b/>
          <w:szCs w:val="24"/>
        </w:rPr>
        <w:t>.</w:t>
      </w:r>
      <w:r w:rsidRPr="00281D17">
        <w:rPr>
          <w:b/>
          <w:szCs w:val="24"/>
        </w:rPr>
        <w:t>1</w:t>
      </w:r>
      <w:r w:rsidRPr="00281D17">
        <w:rPr>
          <w:b/>
          <w:szCs w:val="24"/>
        </w:rPr>
        <w:tab/>
      </w:r>
      <w:bookmarkEnd w:id="1"/>
      <w:r w:rsidR="00281D17" w:rsidRPr="00281D17">
        <w:rPr>
          <w:b/>
          <w:szCs w:val="24"/>
        </w:rPr>
        <w:t>Describe (including a numerical estimate) the potential respondent universe and any sam</w:t>
      </w:r>
      <w:r w:rsidR="00281D17" w:rsidRPr="00281D17">
        <w:rPr>
          <w:b/>
          <w:szCs w:val="24"/>
        </w:rPr>
        <w:softHyphen/>
        <w:t>pling or other respondent selection method to be used. Data on the number of entities (e.g., establishments, State and local government units, households, or persons) in the universe covered by the collection and in the corre</w:t>
      </w:r>
      <w:r w:rsidR="00281D17" w:rsidRPr="00281D17">
        <w:rPr>
          <w:b/>
          <w:szCs w:val="24"/>
        </w:rPr>
        <w:softHyphen/>
        <w:t>sponding sample are to be provided in tabular form for the uni</w:t>
      </w:r>
      <w:r w:rsidR="00281D17" w:rsidRPr="00281D17">
        <w:rPr>
          <w:b/>
          <w:szCs w:val="24"/>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DF5DAF" w:rsidRDefault="00DF5DAF" w:rsidP="00DF5DAF"/>
    <w:p w:rsidR="006D3765" w:rsidRPr="00281D17" w:rsidRDefault="006D3765" w:rsidP="00DF5DAF">
      <w:r w:rsidRPr="00281D17">
        <w:t>The respondent universe for the proposed survey will include all school food authorities (SFAs) operating in public school districts in the United States and outlying territories that are required to submit form FNS-742 (SFA Verification Summary Data</w:t>
      </w:r>
      <w:r w:rsidR="003D64AB" w:rsidRPr="003D64AB">
        <w:t xml:space="preserve"> 7 CFR Part 245, Determining Eligibility for Free &amp; Reduced Price Meals, OMB# 0584-0026, expiration date 3/31/2013)</w:t>
      </w:r>
      <w:r w:rsidRPr="00281D17">
        <w:t xml:space="preserve"> annually to the United State Department of Agriculture (USDA), Food and Nutrition Service (FNS). In general, SFAs that participate in the National School Lunch Program (NSLP) or School Breakfast Program (SBP) are included in the respondent universe with the following exceptions: </w:t>
      </w:r>
    </w:p>
    <w:p w:rsidR="006D3765" w:rsidRPr="00D6005B" w:rsidRDefault="006D3765" w:rsidP="00DF5DAF"/>
    <w:p w:rsidR="006D3765" w:rsidRPr="00D6005B" w:rsidRDefault="006D3765" w:rsidP="004D4B51">
      <w:pPr>
        <w:pStyle w:val="N1-1stBullet"/>
        <w:tabs>
          <w:tab w:val="clear" w:pos="1152"/>
          <w:tab w:val="num" w:pos="1080"/>
        </w:tabs>
        <w:spacing w:after="0" w:line="240" w:lineRule="auto"/>
        <w:ind w:left="1080" w:hanging="504"/>
        <w:rPr>
          <w:szCs w:val="24"/>
        </w:rPr>
      </w:pPr>
      <w:r w:rsidRPr="00D6005B">
        <w:rPr>
          <w:szCs w:val="24"/>
        </w:rPr>
        <w:t xml:space="preserve">SFAs that operate only in Residential Child Care Institutions that do not have day time students; </w:t>
      </w:r>
    </w:p>
    <w:p w:rsidR="006D3765" w:rsidRPr="00D6005B" w:rsidRDefault="006D3765" w:rsidP="004D4B51">
      <w:pPr>
        <w:pStyle w:val="N1-1stBullet"/>
        <w:tabs>
          <w:tab w:val="clear" w:pos="1152"/>
          <w:tab w:val="num" w:pos="1080"/>
        </w:tabs>
        <w:spacing w:after="0" w:line="240" w:lineRule="auto"/>
        <w:ind w:left="1080" w:hanging="504"/>
        <w:rPr>
          <w:szCs w:val="24"/>
        </w:rPr>
      </w:pPr>
      <w:r w:rsidRPr="00D6005B">
        <w:rPr>
          <w:szCs w:val="24"/>
        </w:rPr>
        <w:t>SFAs that do not have students who are eligible for free/reduced-price lunch;</w:t>
      </w:r>
      <w:r w:rsidR="00AE1010">
        <w:rPr>
          <w:szCs w:val="24"/>
        </w:rPr>
        <w:t xml:space="preserve"> </w:t>
      </w:r>
    </w:p>
    <w:p w:rsidR="006D3765" w:rsidRPr="00D6005B" w:rsidRDefault="006D3765" w:rsidP="004D4B51">
      <w:pPr>
        <w:pStyle w:val="N1-1stBullet"/>
        <w:tabs>
          <w:tab w:val="clear" w:pos="1152"/>
          <w:tab w:val="num" w:pos="1080"/>
        </w:tabs>
        <w:spacing w:after="0" w:line="240" w:lineRule="auto"/>
        <w:ind w:left="1080" w:hanging="504"/>
        <w:rPr>
          <w:szCs w:val="24"/>
        </w:rPr>
      </w:pPr>
      <w:r w:rsidRPr="00D6005B">
        <w:rPr>
          <w:szCs w:val="24"/>
        </w:rPr>
        <w:t xml:space="preserve">SFAs in some outlying territories that are not required to complete form FNS-742; and </w:t>
      </w:r>
    </w:p>
    <w:p w:rsidR="006D3765" w:rsidRDefault="006D3765" w:rsidP="004D4B51">
      <w:pPr>
        <w:pStyle w:val="N1-1stBullet"/>
        <w:tabs>
          <w:tab w:val="clear" w:pos="1152"/>
          <w:tab w:val="num" w:pos="1080"/>
        </w:tabs>
        <w:spacing w:after="0" w:line="240" w:lineRule="auto"/>
        <w:ind w:left="1080" w:hanging="504"/>
        <w:rPr>
          <w:szCs w:val="24"/>
        </w:rPr>
      </w:pPr>
      <w:r w:rsidRPr="00D6005B">
        <w:rPr>
          <w:szCs w:val="24"/>
        </w:rPr>
        <w:t xml:space="preserve">Private schools that participate in the NSLP. </w:t>
      </w:r>
    </w:p>
    <w:p w:rsidR="006D3765" w:rsidRPr="00D6005B" w:rsidRDefault="006D3765" w:rsidP="00001D5E">
      <w:pPr>
        <w:pStyle w:val="P1-StandPara"/>
        <w:spacing w:line="240" w:lineRule="auto"/>
        <w:ind w:left="720" w:right="-86" w:firstLine="0"/>
        <w:rPr>
          <w:szCs w:val="24"/>
        </w:rPr>
      </w:pPr>
    </w:p>
    <w:p w:rsidR="006D3765" w:rsidRPr="00D6005B" w:rsidRDefault="006D3765" w:rsidP="00001D5E">
      <w:pPr>
        <w:pStyle w:val="P1-StandPara"/>
        <w:spacing w:line="240" w:lineRule="auto"/>
        <w:ind w:right="-86" w:firstLine="0"/>
        <w:rPr>
          <w:szCs w:val="24"/>
        </w:rPr>
      </w:pPr>
      <w:r w:rsidRPr="00D6005B">
        <w:rPr>
          <w:szCs w:val="24"/>
        </w:rPr>
        <w:t xml:space="preserve">The </w:t>
      </w:r>
      <w:r>
        <w:rPr>
          <w:szCs w:val="24"/>
        </w:rPr>
        <w:t>2009-10</w:t>
      </w:r>
      <w:r w:rsidRPr="00D6005B">
        <w:rPr>
          <w:szCs w:val="24"/>
        </w:rPr>
        <w:t xml:space="preserve"> FNS-742 </w:t>
      </w:r>
      <w:proofErr w:type="gramStart"/>
      <w:r w:rsidRPr="00D6005B">
        <w:rPr>
          <w:szCs w:val="24"/>
        </w:rPr>
        <w:t>database</w:t>
      </w:r>
      <w:proofErr w:type="gramEnd"/>
      <w:r w:rsidRPr="00D6005B">
        <w:rPr>
          <w:szCs w:val="24"/>
        </w:rPr>
        <w:t xml:space="preserve"> will be used to construct the SFA sampling frame; i.e., the universe file from which the respondent samples will be drawn. There are currently over 18,000 SFAs in the 200</w:t>
      </w:r>
      <w:r>
        <w:rPr>
          <w:szCs w:val="24"/>
        </w:rPr>
        <w:t>9</w:t>
      </w:r>
      <w:r w:rsidRPr="00D6005B">
        <w:rPr>
          <w:szCs w:val="24"/>
        </w:rPr>
        <w:t>-</w:t>
      </w:r>
      <w:r>
        <w:rPr>
          <w:szCs w:val="24"/>
        </w:rPr>
        <w:t>1</w:t>
      </w:r>
      <w:r w:rsidRPr="00D6005B">
        <w:rPr>
          <w:szCs w:val="24"/>
        </w:rPr>
        <w:t>0 FNS-742 data base. However, approximately 15,000 SFAs operating in public school districts meet the criteria above and will be included in the sampling frame. Note that the unit of analysis for the proposed study will be the SFA which usually (but not always) coincides with a local education agency (LEA) as defined in the U.S. Department of Education’s Common Core of Data (CCD) Local Education Agency Universe Survey File maintained by the National Center for Education Statistics (NCES). Exceptions are SFAs that operate school food programs for multiple school districts and those operating individual schools (e.g., some public charter schools). In the 200</w:t>
      </w:r>
      <w:r>
        <w:rPr>
          <w:szCs w:val="24"/>
        </w:rPr>
        <w:t>9</w:t>
      </w:r>
      <w:r w:rsidRPr="00D6005B">
        <w:rPr>
          <w:szCs w:val="24"/>
        </w:rPr>
        <w:t>-</w:t>
      </w:r>
      <w:r>
        <w:rPr>
          <w:szCs w:val="24"/>
        </w:rPr>
        <w:t>1</w:t>
      </w:r>
      <w:r w:rsidRPr="00D6005B">
        <w:rPr>
          <w:szCs w:val="24"/>
        </w:rPr>
        <w:t xml:space="preserve">0 FNS-742 data base, about </w:t>
      </w:r>
      <w:r>
        <w:rPr>
          <w:szCs w:val="24"/>
        </w:rPr>
        <w:t>8</w:t>
      </w:r>
      <w:r w:rsidRPr="00D6005B">
        <w:rPr>
          <w:color w:val="000000" w:themeColor="text1"/>
          <w:szCs w:val="24"/>
        </w:rPr>
        <w:t>9</w:t>
      </w:r>
      <w:r w:rsidRPr="00D6005B">
        <w:rPr>
          <w:color w:val="FF0000"/>
          <w:szCs w:val="24"/>
        </w:rPr>
        <w:t xml:space="preserve"> </w:t>
      </w:r>
      <w:r w:rsidRPr="00D6005B">
        <w:rPr>
          <w:szCs w:val="24"/>
        </w:rPr>
        <w:t xml:space="preserve">percent of the eligible SFAs match a district (LEA) in the 2008-09 CCD universe file (see Table </w:t>
      </w:r>
      <w:r>
        <w:rPr>
          <w:szCs w:val="24"/>
        </w:rPr>
        <w:t>B</w:t>
      </w:r>
      <w:r w:rsidRPr="00D6005B">
        <w:rPr>
          <w:szCs w:val="24"/>
        </w:rPr>
        <w:t xml:space="preserve">1). However, the matched SFAs </w:t>
      </w:r>
      <w:r>
        <w:rPr>
          <w:szCs w:val="24"/>
        </w:rPr>
        <w:t xml:space="preserve">account </w:t>
      </w:r>
      <w:r w:rsidRPr="00D6005B">
        <w:rPr>
          <w:szCs w:val="24"/>
        </w:rPr>
        <w:t>for over 9</w:t>
      </w:r>
      <w:r>
        <w:rPr>
          <w:szCs w:val="24"/>
        </w:rPr>
        <w:t>4</w:t>
      </w:r>
      <w:r w:rsidRPr="00D6005B">
        <w:rPr>
          <w:szCs w:val="24"/>
        </w:rPr>
        <w:t xml:space="preserve"> percent of the total student enrollment served by the SFAs in the frame.</w:t>
      </w:r>
    </w:p>
    <w:p w:rsidR="006D3765" w:rsidRPr="00D6005B" w:rsidRDefault="006D3765" w:rsidP="00001D5E">
      <w:pPr>
        <w:pStyle w:val="P1-StandPara"/>
        <w:spacing w:line="240" w:lineRule="auto"/>
        <w:ind w:right="-90" w:firstLine="0"/>
        <w:rPr>
          <w:szCs w:val="24"/>
        </w:rPr>
      </w:pPr>
    </w:p>
    <w:p w:rsidR="00A04DA5" w:rsidRDefault="00A04DA5">
      <w:pPr>
        <w:spacing w:line="240" w:lineRule="auto"/>
        <w:rPr>
          <w:rFonts w:ascii="Franklin Gothic Medium" w:hAnsi="Franklin Gothic Medium"/>
          <w:sz w:val="22"/>
        </w:rPr>
      </w:pPr>
      <w:r>
        <w:lastRenderedPageBreak/>
        <w:br w:type="page"/>
      </w:r>
    </w:p>
    <w:p w:rsidR="006D3765" w:rsidRDefault="006D3765" w:rsidP="004D4B51">
      <w:pPr>
        <w:pStyle w:val="TT-TableTitle"/>
        <w:tabs>
          <w:tab w:val="clear" w:pos="1440"/>
          <w:tab w:val="left" w:pos="1260"/>
        </w:tabs>
        <w:ind w:left="1260" w:hanging="1260"/>
      </w:pPr>
      <w:bookmarkStart w:id="2" w:name="_Toc282508102"/>
      <w:r w:rsidRPr="00D6005B">
        <w:lastRenderedPageBreak/>
        <w:t>Table B1.</w:t>
      </w:r>
      <w:r w:rsidRPr="00D6005B">
        <w:tab/>
        <w:t xml:space="preserve">Distribution of eligible SFAs in the </w:t>
      </w:r>
      <w:r>
        <w:t>2009</w:t>
      </w:r>
      <w:r w:rsidRPr="00D6005B">
        <w:t>-</w:t>
      </w:r>
      <w:r>
        <w:t>10</w:t>
      </w:r>
      <w:r w:rsidRPr="00D6005B">
        <w:t xml:space="preserve"> FNS-742 universe file (sampling frame) by size class and CCD-status</w:t>
      </w:r>
      <w:bookmarkEnd w:id="2"/>
    </w:p>
    <w:p w:rsidR="004D4B51" w:rsidRPr="00EF53C6" w:rsidRDefault="004D4B51" w:rsidP="00001D5E">
      <w:pPr>
        <w:keepNext/>
        <w:keepLines/>
        <w:ind w:left="2160" w:right="990" w:hanging="1170"/>
        <w:rPr>
          <w:color w:val="000000"/>
          <w:szCs w:val="24"/>
        </w:rPr>
      </w:pPr>
    </w:p>
    <w:tbl>
      <w:tblPr>
        <w:tblW w:w="8478" w:type="dxa"/>
        <w:tblLayout w:type="fixed"/>
        <w:tblLook w:val="04A0"/>
      </w:tblPr>
      <w:tblGrid>
        <w:gridCol w:w="2180"/>
        <w:gridCol w:w="1708"/>
        <w:gridCol w:w="1530"/>
        <w:gridCol w:w="1530"/>
        <w:gridCol w:w="1530"/>
      </w:tblGrid>
      <w:tr w:rsidR="006D3765" w:rsidRPr="00EF53C6" w:rsidTr="00B72321">
        <w:tc>
          <w:tcPr>
            <w:tcW w:w="2180" w:type="dxa"/>
            <w:tcBorders>
              <w:top w:val="single" w:sz="4" w:space="0" w:color="auto"/>
              <w:left w:val="nil"/>
              <w:bottom w:val="single" w:sz="4" w:space="0" w:color="auto"/>
              <w:right w:val="nil"/>
            </w:tcBorders>
            <w:shd w:val="clear" w:color="auto" w:fill="AFBED7"/>
            <w:vAlign w:val="bottom"/>
            <w:hideMark/>
          </w:tcPr>
          <w:p w:rsidR="006D3765" w:rsidRPr="004D4B51" w:rsidRDefault="006D3765" w:rsidP="00B72321">
            <w:pPr>
              <w:pStyle w:val="TH-TableHeading"/>
            </w:pPr>
            <w:r w:rsidRPr="004D4B51">
              <w:t>CCD-status of SFA</w:t>
            </w:r>
          </w:p>
        </w:tc>
        <w:tc>
          <w:tcPr>
            <w:tcW w:w="1708" w:type="dxa"/>
            <w:tcBorders>
              <w:top w:val="single" w:sz="4" w:space="0" w:color="auto"/>
              <w:left w:val="nil"/>
              <w:bottom w:val="single" w:sz="4" w:space="0" w:color="auto"/>
              <w:right w:val="nil"/>
            </w:tcBorders>
            <w:shd w:val="clear" w:color="auto" w:fill="AFBED7"/>
            <w:vAlign w:val="bottom"/>
            <w:hideMark/>
          </w:tcPr>
          <w:p w:rsidR="006D3765" w:rsidRPr="004D4B51" w:rsidRDefault="006D3765" w:rsidP="00B72321">
            <w:pPr>
              <w:pStyle w:val="TH-TableHeading"/>
            </w:pPr>
            <w:r w:rsidRPr="004D4B51">
              <w:t>Enrollment size class</w:t>
            </w:r>
            <w:r w:rsidRPr="004D4B51">
              <w:rPr>
                <w:vertAlign w:val="superscript"/>
              </w:rPr>
              <w:t>1</w:t>
            </w:r>
          </w:p>
        </w:tc>
        <w:tc>
          <w:tcPr>
            <w:tcW w:w="1530" w:type="dxa"/>
            <w:tcBorders>
              <w:top w:val="single" w:sz="4" w:space="0" w:color="auto"/>
              <w:left w:val="nil"/>
              <w:bottom w:val="single" w:sz="4" w:space="0" w:color="auto"/>
              <w:right w:val="nil"/>
            </w:tcBorders>
            <w:shd w:val="clear" w:color="auto" w:fill="AFBED7"/>
            <w:vAlign w:val="bottom"/>
            <w:hideMark/>
          </w:tcPr>
          <w:p w:rsidR="006D3765" w:rsidRPr="004D4B51" w:rsidRDefault="006D3765" w:rsidP="00B72321">
            <w:pPr>
              <w:pStyle w:val="TH-TableHeading"/>
            </w:pPr>
            <w:r w:rsidRPr="004D4B51">
              <w:t>Number of SFAs</w:t>
            </w:r>
          </w:p>
        </w:tc>
        <w:tc>
          <w:tcPr>
            <w:tcW w:w="1530" w:type="dxa"/>
            <w:tcBorders>
              <w:top w:val="single" w:sz="4" w:space="0" w:color="auto"/>
              <w:left w:val="nil"/>
              <w:bottom w:val="single" w:sz="4" w:space="0" w:color="auto"/>
              <w:right w:val="nil"/>
            </w:tcBorders>
            <w:shd w:val="clear" w:color="auto" w:fill="AFBED7"/>
            <w:vAlign w:val="bottom"/>
            <w:hideMark/>
          </w:tcPr>
          <w:p w:rsidR="006D3765" w:rsidRPr="004D4B51" w:rsidRDefault="006D3765" w:rsidP="00B72321">
            <w:pPr>
              <w:pStyle w:val="TH-TableHeading"/>
            </w:pPr>
            <w:r w:rsidRPr="004D4B51">
              <w:t>Total enrollment</w:t>
            </w:r>
            <w:r w:rsidR="004D4B51" w:rsidRPr="004D4B51">
              <w:rPr>
                <w:vertAlign w:val="superscript"/>
              </w:rPr>
              <w:t>1</w:t>
            </w:r>
          </w:p>
        </w:tc>
        <w:tc>
          <w:tcPr>
            <w:tcW w:w="1530" w:type="dxa"/>
            <w:tcBorders>
              <w:top w:val="single" w:sz="4" w:space="0" w:color="auto"/>
              <w:left w:val="nil"/>
              <w:bottom w:val="single" w:sz="4" w:space="0" w:color="auto"/>
              <w:right w:val="nil"/>
            </w:tcBorders>
            <w:shd w:val="clear" w:color="auto" w:fill="AFBED7"/>
            <w:vAlign w:val="bottom"/>
            <w:hideMark/>
          </w:tcPr>
          <w:p w:rsidR="006D3765" w:rsidRPr="004D4B51" w:rsidRDefault="006D3765" w:rsidP="00B72321">
            <w:pPr>
              <w:pStyle w:val="TH-TableHeading"/>
            </w:pPr>
            <w:r w:rsidRPr="004D4B51">
              <w:t>Number of schools</w:t>
            </w:r>
            <w:r w:rsidRPr="004D4B51">
              <w:rPr>
                <w:vertAlign w:val="superscript"/>
              </w:rPr>
              <w:t>2</w:t>
            </w:r>
          </w:p>
        </w:tc>
      </w:tr>
      <w:tr w:rsidR="006D3765" w:rsidRPr="00EF53C6" w:rsidTr="004D4B51">
        <w:trPr>
          <w:trHeight w:val="600"/>
        </w:trPr>
        <w:tc>
          <w:tcPr>
            <w:tcW w:w="2180" w:type="dxa"/>
            <w:tcBorders>
              <w:top w:val="nil"/>
              <w:left w:val="nil"/>
              <w:bottom w:val="nil"/>
              <w:right w:val="nil"/>
            </w:tcBorders>
            <w:shd w:val="clear" w:color="auto" w:fill="auto"/>
            <w:vAlign w:val="bottom"/>
            <w:hideMark/>
          </w:tcPr>
          <w:p w:rsidR="006D3765" w:rsidRPr="007B23B1" w:rsidRDefault="006D3765" w:rsidP="004D4B51">
            <w:pPr>
              <w:pStyle w:val="TX-TableText"/>
            </w:pPr>
            <w:r w:rsidRPr="007B23B1">
              <w:t>Matches school district (LEA) in CCD</w:t>
            </w:r>
          </w:p>
        </w:tc>
        <w:tc>
          <w:tcPr>
            <w:tcW w:w="1708" w:type="dxa"/>
            <w:tcBorders>
              <w:top w:val="nil"/>
              <w:left w:val="nil"/>
              <w:bottom w:val="nil"/>
              <w:right w:val="nil"/>
            </w:tcBorders>
            <w:shd w:val="clear" w:color="auto" w:fill="auto"/>
            <w:noWrap/>
            <w:vAlign w:val="bottom"/>
            <w:hideMark/>
          </w:tcPr>
          <w:p w:rsidR="006D3765" w:rsidRPr="007B23B1" w:rsidRDefault="006D3765" w:rsidP="004D4B51">
            <w:pPr>
              <w:pStyle w:val="TX-TableText"/>
            </w:pPr>
            <w:r w:rsidRPr="007B23B1">
              <w:t>Less than 1,000</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6,532</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1152"/>
              </w:tabs>
            </w:pPr>
            <w:r w:rsidRPr="007B23B1">
              <w:t>2,770,985</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12,424</w:t>
            </w:r>
            <w:r w:rsidR="00AE1010">
              <w:t xml:space="preserve"> </w:t>
            </w:r>
          </w:p>
        </w:tc>
      </w:tr>
      <w:tr w:rsidR="006D3765" w:rsidRPr="00EF53C6" w:rsidTr="004D4B51">
        <w:trPr>
          <w:trHeight w:val="255"/>
        </w:trPr>
        <w:tc>
          <w:tcPr>
            <w:tcW w:w="2180" w:type="dxa"/>
            <w:tcBorders>
              <w:top w:val="nil"/>
              <w:left w:val="nil"/>
              <w:bottom w:val="nil"/>
              <w:right w:val="nil"/>
            </w:tcBorders>
            <w:shd w:val="clear" w:color="auto" w:fill="auto"/>
            <w:noWrap/>
            <w:vAlign w:val="bottom"/>
            <w:hideMark/>
          </w:tcPr>
          <w:p w:rsidR="006D3765" w:rsidRPr="007B23B1" w:rsidRDefault="006D3765" w:rsidP="004D4B51">
            <w:pPr>
              <w:pStyle w:val="TX-TableText"/>
            </w:pPr>
          </w:p>
        </w:tc>
        <w:tc>
          <w:tcPr>
            <w:tcW w:w="1708" w:type="dxa"/>
            <w:tcBorders>
              <w:top w:val="nil"/>
              <w:left w:val="nil"/>
              <w:bottom w:val="nil"/>
              <w:right w:val="nil"/>
            </w:tcBorders>
            <w:shd w:val="clear" w:color="auto" w:fill="auto"/>
            <w:noWrap/>
            <w:vAlign w:val="bottom"/>
            <w:hideMark/>
          </w:tcPr>
          <w:p w:rsidR="006D3765" w:rsidRPr="007B23B1" w:rsidRDefault="006D3765" w:rsidP="004D4B51">
            <w:pPr>
              <w:pStyle w:val="TX-TableText"/>
            </w:pPr>
            <w:r w:rsidRPr="007B23B1">
              <w:t>1,000 to 4,999</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4,863</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1152"/>
              </w:tabs>
            </w:pPr>
            <w:r w:rsidRPr="007B23B1">
              <w:t>11,314,642</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24,041</w:t>
            </w:r>
            <w:r w:rsidR="00AE1010">
              <w:t xml:space="preserve"> </w:t>
            </w:r>
          </w:p>
        </w:tc>
      </w:tr>
      <w:tr w:rsidR="006D3765" w:rsidRPr="00EF53C6" w:rsidTr="004D4B51">
        <w:trPr>
          <w:trHeight w:val="255"/>
        </w:trPr>
        <w:tc>
          <w:tcPr>
            <w:tcW w:w="2180" w:type="dxa"/>
            <w:tcBorders>
              <w:top w:val="nil"/>
              <w:left w:val="nil"/>
              <w:bottom w:val="nil"/>
              <w:right w:val="nil"/>
            </w:tcBorders>
            <w:shd w:val="clear" w:color="auto" w:fill="auto"/>
            <w:noWrap/>
            <w:vAlign w:val="bottom"/>
            <w:hideMark/>
          </w:tcPr>
          <w:p w:rsidR="006D3765" w:rsidRPr="007B23B1" w:rsidRDefault="006D3765" w:rsidP="004D4B51">
            <w:pPr>
              <w:pStyle w:val="TX-TableText"/>
            </w:pPr>
          </w:p>
        </w:tc>
        <w:tc>
          <w:tcPr>
            <w:tcW w:w="1708" w:type="dxa"/>
            <w:tcBorders>
              <w:top w:val="nil"/>
              <w:left w:val="nil"/>
              <w:bottom w:val="nil"/>
              <w:right w:val="nil"/>
            </w:tcBorders>
            <w:shd w:val="clear" w:color="auto" w:fill="auto"/>
            <w:noWrap/>
            <w:vAlign w:val="bottom"/>
            <w:hideMark/>
          </w:tcPr>
          <w:p w:rsidR="006D3765" w:rsidRPr="007B23B1" w:rsidRDefault="006D3765" w:rsidP="004D4B51">
            <w:pPr>
              <w:pStyle w:val="TX-TableText"/>
            </w:pPr>
            <w:r w:rsidRPr="007B23B1">
              <w:t>5,000 to 24,999</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1,530</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1152"/>
              </w:tabs>
            </w:pPr>
            <w:r w:rsidRPr="007B23B1">
              <w:t>15,229,936</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24,283</w:t>
            </w:r>
            <w:r w:rsidR="00AE1010">
              <w:t xml:space="preserve"> </w:t>
            </w:r>
          </w:p>
        </w:tc>
      </w:tr>
      <w:tr w:rsidR="006D3765" w:rsidRPr="00EF53C6" w:rsidTr="004D4B51">
        <w:trPr>
          <w:trHeight w:val="255"/>
        </w:trPr>
        <w:tc>
          <w:tcPr>
            <w:tcW w:w="2180" w:type="dxa"/>
            <w:tcBorders>
              <w:top w:val="nil"/>
              <w:left w:val="nil"/>
              <w:bottom w:val="nil"/>
              <w:right w:val="nil"/>
            </w:tcBorders>
            <w:shd w:val="clear" w:color="auto" w:fill="auto"/>
            <w:noWrap/>
            <w:vAlign w:val="bottom"/>
            <w:hideMark/>
          </w:tcPr>
          <w:p w:rsidR="006D3765" w:rsidRPr="007B23B1" w:rsidRDefault="006D3765" w:rsidP="004D4B51">
            <w:pPr>
              <w:pStyle w:val="TX-TableText"/>
            </w:pPr>
          </w:p>
        </w:tc>
        <w:tc>
          <w:tcPr>
            <w:tcW w:w="1708" w:type="dxa"/>
            <w:tcBorders>
              <w:top w:val="nil"/>
              <w:left w:val="nil"/>
              <w:bottom w:val="nil"/>
              <w:right w:val="nil"/>
            </w:tcBorders>
            <w:shd w:val="clear" w:color="auto" w:fill="auto"/>
            <w:noWrap/>
            <w:vAlign w:val="bottom"/>
            <w:hideMark/>
          </w:tcPr>
          <w:p w:rsidR="006D3765" w:rsidRPr="007B23B1" w:rsidRDefault="006D3765" w:rsidP="004D4B51">
            <w:pPr>
              <w:pStyle w:val="TX-TableText"/>
            </w:pPr>
            <w:r w:rsidRPr="007B23B1">
              <w:t>25,000 or more</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272</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1152"/>
              </w:tabs>
            </w:pPr>
            <w:r w:rsidRPr="007B23B1">
              <w:t>16,413,091</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23,372</w:t>
            </w:r>
            <w:r w:rsidR="00AE1010">
              <w:t xml:space="preserve"> </w:t>
            </w:r>
          </w:p>
        </w:tc>
      </w:tr>
      <w:tr w:rsidR="006D3765" w:rsidRPr="00EF53C6" w:rsidTr="004D4B51">
        <w:trPr>
          <w:trHeight w:val="360"/>
        </w:trPr>
        <w:tc>
          <w:tcPr>
            <w:tcW w:w="2180" w:type="dxa"/>
            <w:tcBorders>
              <w:top w:val="nil"/>
              <w:left w:val="nil"/>
              <w:bottom w:val="nil"/>
              <w:right w:val="nil"/>
            </w:tcBorders>
            <w:shd w:val="clear" w:color="auto" w:fill="auto"/>
            <w:noWrap/>
            <w:vAlign w:val="center"/>
            <w:hideMark/>
          </w:tcPr>
          <w:p w:rsidR="006D3765" w:rsidRPr="007B23B1" w:rsidRDefault="006D3765" w:rsidP="004D4B51">
            <w:pPr>
              <w:pStyle w:val="TX-TableText"/>
              <w:rPr>
                <w:i/>
                <w:iCs/>
              </w:rPr>
            </w:pPr>
          </w:p>
        </w:tc>
        <w:tc>
          <w:tcPr>
            <w:tcW w:w="1708" w:type="dxa"/>
            <w:tcBorders>
              <w:top w:val="nil"/>
              <w:left w:val="nil"/>
              <w:bottom w:val="nil"/>
              <w:right w:val="nil"/>
            </w:tcBorders>
            <w:shd w:val="clear" w:color="auto" w:fill="auto"/>
            <w:noWrap/>
            <w:vAlign w:val="center"/>
            <w:hideMark/>
          </w:tcPr>
          <w:p w:rsidR="006D3765" w:rsidRPr="007B23B1" w:rsidRDefault="006D3765" w:rsidP="004D4B51">
            <w:pPr>
              <w:pStyle w:val="TX-TableText"/>
              <w:rPr>
                <w:i/>
                <w:iCs/>
              </w:rPr>
            </w:pPr>
            <w:r w:rsidRPr="007B23B1">
              <w:rPr>
                <w:i/>
                <w:iCs/>
              </w:rPr>
              <w:t>Subtotal</w:t>
            </w:r>
          </w:p>
        </w:tc>
        <w:tc>
          <w:tcPr>
            <w:tcW w:w="1530" w:type="dxa"/>
            <w:tcBorders>
              <w:top w:val="nil"/>
              <w:left w:val="nil"/>
              <w:bottom w:val="nil"/>
              <w:right w:val="nil"/>
            </w:tcBorders>
            <w:shd w:val="clear" w:color="auto" w:fill="auto"/>
            <w:noWrap/>
            <w:vAlign w:val="center"/>
            <w:hideMark/>
          </w:tcPr>
          <w:p w:rsidR="006D3765" w:rsidRPr="007B23B1" w:rsidRDefault="006D3765" w:rsidP="004D4B51">
            <w:pPr>
              <w:pStyle w:val="TX-TableText"/>
              <w:tabs>
                <w:tab w:val="decimal" w:pos="972"/>
              </w:tabs>
              <w:rPr>
                <w:i/>
                <w:iCs/>
              </w:rPr>
            </w:pPr>
            <w:r w:rsidRPr="007B23B1">
              <w:rPr>
                <w:i/>
                <w:iCs/>
              </w:rPr>
              <w:t>13,197</w:t>
            </w:r>
            <w:r w:rsidR="00AE1010">
              <w:rPr>
                <w:i/>
                <w:iCs/>
              </w:rPr>
              <w:t xml:space="preserve"> </w:t>
            </w:r>
          </w:p>
        </w:tc>
        <w:tc>
          <w:tcPr>
            <w:tcW w:w="1530" w:type="dxa"/>
            <w:tcBorders>
              <w:top w:val="nil"/>
              <w:left w:val="nil"/>
              <w:bottom w:val="nil"/>
              <w:right w:val="nil"/>
            </w:tcBorders>
            <w:shd w:val="clear" w:color="auto" w:fill="auto"/>
            <w:noWrap/>
            <w:vAlign w:val="center"/>
            <w:hideMark/>
          </w:tcPr>
          <w:p w:rsidR="006D3765" w:rsidRPr="007B23B1" w:rsidRDefault="006D3765" w:rsidP="004D4B51">
            <w:pPr>
              <w:pStyle w:val="TX-TableText"/>
              <w:tabs>
                <w:tab w:val="decimal" w:pos="1152"/>
              </w:tabs>
              <w:rPr>
                <w:i/>
                <w:iCs/>
              </w:rPr>
            </w:pPr>
            <w:r w:rsidRPr="007B23B1">
              <w:rPr>
                <w:i/>
                <w:iCs/>
              </w:rPr>
              <w:t>45,728,654</w:t>
            </w:r>
            <w:r w:rsidR="00AE1010">
              <w:rPr>
                <w:i/>
                <w:iCs/>
              </w:rPr>
              <w:t xml:space="preserve"> </w:t>
            </w:r>
          </w:p>
        </w:tc>
        <w:tc>
          <w:tcPr>
            <w:tcW w:w="1530" w:type="dxa"/>
            <w:tcBorders>
              <w:top w:val="nil"/>
              <w:left w:val="nil"/>
              <w:bottom w:val="nil"/>
              <w:right w:val="nil"/>
            </w:tcBorders>
            <w:shd w:val="clear" w:color="auto" w:fill="auto"/>
            <w:noWrap/>
            <w:vAlign w:val="center"/>
            <w:hideMark/>
          </w:tcPr>
          <w:p w:rsidR="006D3765" w:rsidRPr="007B23B1" w:rsidRDefault="006D3765" w:rsidP="004D4B51">
            <w:pPr>
              <w:pStyle w:val="TX-TableText"/>
              <w:tabs>
                <w:tab w:val="decimal" w:pos="972"/>
              </w:tabs>
              <w:rPr>
                <w:i/>
                <w:iCs/>
              </w:rPr>
            </w:pPr>
            <w:r w:rsidRPr="007B23B1">
              <w:rPr>
                <w:i/>
                <w:iCs/>
              </w:rPr>
              <w:t>84,120</w:t>
            </w:r>
            <w:r w:rsidR="00AE1010">
              <w:rPr>
                <w:i/>
                <w:iCs/>
              </w:rPr>
              <w:t xml:space="preserve"> </w:t>
            </w:r>
          </w:p>
        </w:tc>
      </w:tr>
      <w:tr w:rsidR="006D3765" w:rsidRPr="00EF53C6" w:rsidTr="004D4B51">
        <w:trPr>
          <w:trHeight w:val="600"/>
        </w:trPr>
        <w:tc>
          <w:tcPr>
            <w:tcW w:w="2180" w:type="dxa"/>
            <w:tcBorders>
              <w:top w:val="nil"/>
              <w:left w:val="nil"/>
              <w:bottom w:val="nil"/>
              <w:right w:val="nil"/>
            </w:tcBorders>
            <w:shd w:val="clear" w:color="auto" w:fill="auto"/>
            <w:vAlign w:val="bottom"/>
            <w:hideMark/>
          </w:tcPr>
          <w:p w:rsidR="006D3765" w:rsidRPr="007B23B1" w:rsidRDefault="006D3765" w:rsidP="004D4B51">
            <w:pPr>
              <w:pStyle w:val="TX-TableText"/>
            </w:pPr>
            <w:r w:rsidRPr="007B23B1">
              <w:t>Does not match LEA in CCD</w:t>
            </w:r>
          </w:p>
        </w:tc>
        <w:tc>
          <w:tcPr>
            <w:tcW w:w="1708" w:type="dxa"/>
            <w:tcBorders>
              <w:top w:val="nil"/>
              <w:left w:val="nil"/>
              <w:bottom w:val="nil"/>
              <w:right w:val="nil"/>
            </w:tcBorders>
            <w:shd w:val="clear" w:color="auto" w:fill="auto"/>
            <w:noWrap/>
            <w:vAlign w:val="bottom"/>
            <w:hideMark/>
          </w:tcPr>
          <w:p w:rsidR="006D3765" w:rsidRPr="007B23B1" w:rsidRDefault="006D3765" w:rsidP="004D4B51">
            <w:pPr>
              <w:pStyle w:val="TX-TableText"/>
            </w:pPr>
            <w:r w:rsidRPr="007B23B1">
              <w:t>Less than 1,000</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1,101</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1152"/>
              </w:tabs>
            </w:pPr>
            <w:r w:rsidRPr="007B23B1">
              <w:t>305,233</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2,124</w:t>
            </w:r>
            <w:r w:rsidR="00AE1010">
              <w:t xml:space="preserve"> </w:t>
            </w:r>
          </w:p>
        </w:tc>
      </w:tr>
      <w:tr w:rsidR="006D3765" w:rsidRPr="00EF53C6" w:rsidTr="004D4B51">
        <w:trPr>
          <w:trHeight w:val="255"/>
        </w:trPr>
        <w:tc>
          <w:tcPr>
            <w:tcW w:w="2180" w:type="dxa"/>
            <w:tcBorders>
              <w:top w:val="nil"/>
              <w:left w:val="nil"/>
              <w:bottom w:val="nil"/>
              <w:right w:val="nil"/>
            </w:tcBorders>
            <w:shd w:val="clear" w:color="auto" w:fill="auto"/>
            <w:noWrap/>
            <w:vAlign w:val="bottom"/>
            <w:hideMark/>
          </w:tcPr>
          <w:p w:rsidR="006D3765" w:rsidRPr="007B23B1" w:rsidRDefault="006D3765" w:rsidP="004D4B51">
            <w:pPr>
              <w:pStyle w:val="TX-TableText"/>
            </w:pPr>
          </w:p>
        </w:tc>
        <w:tc>
          <w:tcPr>
            <w:tcW w:w="1708" w:type="dxa"/>
            <w:tcBorders>
              <w:top w:val="nil"/>
              <w:left w:val="nil"/>
              <w:bottom w:val="nil"/>
              <w:right w:val="nil"/>
            </w:tcBorders>
            <w:shd w:val="clear" w:color="auto" w:fill="auto"/>
            <w:noWrap/>
            <w:vAlign w:val="bottom"/>
            <w:hideMark/>
          </w:tcPr>
          <w:p w:rsidR="006D3765" w:rsidRPr="007B23B1" w:rsidRDefault="006D3765" w:rsidP="004D4B51">
            <w:pPr>
              <w:pStyle w:val="TX-TableText"/>
            </w:pPr>
            <w:r w:rsidRPr="007B23B1">
              <w:t>1,000 to 4,999</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379</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1152"/>
              </w:tabs>
            </w:pPr>
            <w:r w:rsidRPr="007B23B1">
              <w:t>913,357</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2,167</w:t>
            </w:r>
            <w:r w:rsidR="00AE1010">
              <w:t xml:space="preserve"> </w:t>
            </w:r>
          </w:p>
        </w:tc>
      </w:tr>
      <w:tr w:rsidR="006D3765" w:rsidRPr="00EF53C6" w:rsidTr="004D4B51">
        <w:trPr>
          <w:trHeight w:val="255"/>
        </w:trPr>
        <w:tc>
          <w:tcPr>
            <w:tcW w:w="2180" w:type="dxa"/>
            <w:tcBorders>
              <w:top w:val="nil"/>
              <w:left w:val="nil"/>
              <w:bottom w:val="nil"/>
              <w:right w:val="nil"/>
            </w:tcBorders>
            <w:shd w:val="clear" w:color="auto" w:fill="auto"/>
            <w:noWrap/>
            <w:vAlign w:val="bottom"/>
            <w:hideMark/>
          </w:tcPr>
          <w:p w:rsidR="006D3765" w:rsidRPr="007B23B1" w:rsidRDefault="006D3765" w:rsidP="004D4B51">
            <w:pPr>
              <w:pStyle w:val="TX-TableText"/>
            </w:pPr>
          </w:p>
        </w:tc>
        <w:tc>
          <w:tcPr>
            <w:tcW w:w="1708" w:type="dxa"/>
            <w:tcBorders>
              <w:top w:val="nil"/>
              <w:left w:val="nil"/>
              <w:bottom w:val="nil"/>
              <w:right w:val="nil"/>
            </w:tcBorders>
            <w:shd w:val="clear" w:color="auto" w:fill="auto"/>
            <w:noWrap/>
            <w:vAlign w:val="bottom"/>
            <w:hideMark/>
          </w:tcPr>
          <w:p w:rsidR="006D3765" w:rsidRPr="007B23B1" w:rsidRDefault="006D3765" w:rsidP="004D4B51">
            <w:pPr>
              <w:pStyle w:val="TX-TableText"/>
            </w:pPr>
            <w:r w:rsidRPr="007B23B1">
              <w:t>5,000 to 24,999</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107</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1152"/>
              </w:tabs>
            </w:pPr>
            <w:r w:rsidRPr="007B23B1">
              <w:t>1,057,970</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1,818</w:t>
            </w:r>
            <w:r w:rsidR="00AE1010">
              <w:t xml:space="preserve"> </w:t>
            </w:r>
          </w:p>
        </w:tc>
      </w:tr>
      <w:tr w:rsidR="006D3765" w:rsidRPr="00EF53C6" w:rsidTr="004D4B51">
        <w:trPr>
          <w:trHeight w:val="255"/>
        </w:trPr>
        <w:tc>
          <w:tcPr>
            <w:tcW w:w="2180" w:type="dxa"/>
            <w:tcBorders>
              <w:top w:val="nil"/>
              <w:left w:val="nil"/>
              <w:bottom w:val="nil"/>
              <w:right w:val="nil"/>
            </w:tcBorders>
            <w:shd w:val="clear" w:color="auto" w:fill="auto"/>
            <w:noWrap/>
            <w:vAlign w:val="bottom"/>
            <w:hideMark/>
          </w:tcPr>
          <w:p w:rsidR="006D3765" w:rsidRPr="007B23B1" w:rsidRDefault="006D3765" w:rsidP="004D4B51">
            <w:pPr>
              <w:pStyle w:val="TX-TableText"/>
            </w:pPr>
          </w:p>
        </w:tc>
        <w:tc>
          <w:tcPr>
            <w:tcW w:w="1708" w:type="dxa"/>
            <w:tcBorders>
              <w:top w:val="nil"/>
              <w:left w:val="nil"/>
              <w:bottom w:val="nil"/>
              <w:right w:val="nil"/>
            </w:tcBorders>
            <w:shd w:val="clear" w:color="auto" w:fill="auto"/>
            <w:noWrap/>
            <w:vAlign w:val="bottom"/>
            <w:hideMark/>
          </w:tcPr>
          <w:p w:rsidR="006D3765" w:rsidRPr="007B23B1" w:rsidRDefault="006D3765" w:rsidP="004D4B51">
            <w:pPr>
              <w:pStyle w:val="TX-TableText"/>
            </w:pPr>
            <w:r w:rsidRPr="007B23B1">
              <w:t>25,000 or more</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14</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1152"/>
              </w:tabs>
            </w:pPr>
            <w:r w:rsidRPr="007B23B1">
              <w:t>539,072</w:t>
            </w:r>
            <w:r w:rsidR="00AE1010">
              <w:t xml:space="preserve"> </w:t>
            </w:r>
          </w:p>
        </w:tc>
        <w:tc>
          <w:tcPr>
            <w:tcW w:w="1530" w:type="dxa"/>
            <w:tcBorders>
              <w:top w:val="nil"/>
              <w:left w:val="nil"/>
              <w:bottom w:val="nil"/>
              <w:right w:val="nil"/>
            </w:tcBorders>
            <w:shd w:val="clear" w:color="auto" w:fill="auto"/>
            <w:noWrap/>
            <w:vAlign w:val="bottom"/>
            <w:hideMark/>
          </w:tcPr>
          <w:p w:rsidR="006D3765" w:rsidRPr="007B23B1" w:rsidRDefault="006D3765" w:rsidP="004D4B51">
            <w:pPr>
              <w:pStyle w:val="TX-TableText"/>
              <w:tabs>
                <w:tab w:val="decimal" w:pos="972"/>
              </w:tabs>
            </w:pPr>
            <w:r w:rsidRPr="007B23B1">
              <w:t>837</w:t>
            </w:r>
            <w:r w:rsidR="00AE1010">
              <w:t xml:space="preserve"> </w:t>
            </w:r>
          </w:p>
        </w:tc>
      </w:tr>
      <w:tr w:rsidR="006D3765" w:rsidRPr="00EF53C6" w:rsidTr="004D4B51">
        <w:trPr>
          <w:trHeight w:val="360"/>
        </w:trPr>
        <w:tc>
          <w:tcPr>
            <w:tcW w:w="2180" w:type="dxa"/>
            <w:tcBorders>
              <w:top w:val="nil"/>
              <w:left w:val="nil"/>
              <w:bottom w:val="nil"/>
              <w:right w:val="nil"/>
            </w:tcBorders>
            <w:shd w:val="clear" w:color="auto" w:fill="auto"/>
            <w:noWrap/>
            <w:vAlign w:val="center"/>
            <w:hideMark/>
          </w:tcPr>
          <w:p w:rsidR="006D3765" w:rsidRPr="007B23B1" w:rsidRDefault="006D3765" w:rsidP="004D4B51">
            <w:pPr>
              <w:pStyle w:val="TX-TableText"/>
              <w:rPr>
                <w:i/>
                <w:iCs/>
              </w:rPr>
            </w:pPr>
          </w:p>
        </w:tc>
        <w:tc>
          <w:tcPr>
            <w:tcW w:w="1708" w:type="dxa"/>
            <w:tcBorders>
              <w:top w:val="nil"/>
              <w:left w:val="nil"/>
              <w:bottom w:val="nil"/>
              <w:right w:val="nil"/>
            </w:tcBorders>
            <w:shd w:val="clear" w:color="auto" w:fill="auto"/>
            <w:noWrap/>
            <w:vAlign w:val="center"/>
            <w:hideMark/>
          </w:tcPr>
          <w:p w:rsidR="006D3765" w:rsidRPr="007B23B1" w:rsidRDefault="006D3765" w:rsidP="004D4B51">
            <w:pPr>
              <w:pStyle w:val="TX-TableText"/>
              <w:rPr>
                <w:i/>
                <w:iCs/>
              </w:rPr>
            </w:pPr>
            <w:r w:rsidRPr="007B23B1">
              <w:rPr>
                <w:i/>
                <w:iCs/>
              </w:rPr>
              <w:t>Subtotal</w:t>
            </w:r>
          </w:p>
        </w:tc>
        <w:tc>
          <w:tcPr>
            <w:tcW w:w="1530" w:type="dxa"/>
            <w:tcBorders>
              <w:top w:val="nil"/>
              <w:left w:val="nil"/>
              <w:bottom w:val="nil"/>
              <w:right w:val="nil"/>
            </w:tcBorders>
            <w:shd w:val="clear" w:color="auto" w:fill="auto"/>
            <w:noWrap/>
            <w:vAlign w:val="center"/>
            <w:hideMark/>
          </w:tcPr>
          <w:p w:rsidR="006D3765" w:rsidRPr="007B23B1" w:rsidRDefault="006D3765" w:rsidP="004D4B51">
            <w:pPr>
              <w:pStyle w:val="TX-TableText"/>
              <w:tabs>
                <w:tab w:val="decimal" w:pos="972"/>
              </w:tabs>
              <w:rPr>
                <w:i/>
                <w:iCs/>
              </w:rPr>
            </w:pPr>
            <w:r w:rsidRPr="007B23B1">
              <w:rPr>
                <w:i/>
                <w:iCs/>
              </w:rPr>
              <w:t>1,601</w:t>
            </w:r>
            <w:r w:rsidR="00AE1010">
              <w:rPr>
                <w:i/>
                <w:iCs/>
              </w:rPr>
              <w:t xml:space="preserve"> </w:t>
            </w:r>
          </w:p>
        </w:tc>
        <w:tc>
          <w:tcPr>
            <w:tcW w:w="1530" w:type="dxa"/>
            <w:tcBorders>
              <w:top w:val="nil"/>
              <w:left w:val="nil"/>
              <w:bottom w:val="nil"/>
              <w:right w:val="nil"/>
            </w:tcBorders>
            <w:shd w:val="clear" w:color="auto" w:fill="auto"/>
            <w:noWrap/>
            <w:vAlign w:val="center"/>
            <w:hideMark/>
          </w:tcPr>
          <w:p w:rsidR="006D3765" w:rsidRPr="007B23B1" w:rsidRDefault="006D3765" w:rsidP="004D4B51">
            <w:pPr>
              <w:pStyle w:val="TX-TableText"/>
              <w:tabs>
                <w:tab w:val="decimal" w:pos="1152"/>
              </w:tabs>
              <w:rPr>
                <w:i/>
                <w:iCs/>
              </w:rPr>
            </w:pPr>
            <w:r w:rsidRPr="007B23B1">
              <w:rPr>
                <w:i/>
                <w:iCs/>
              </w:rPr>
              <w:t>2,815,632</w:t>
            </w:r>
            <w:r w:rsidR="00AE1010">
              <w:rPr>
                <w:i/>
                <w:iCs/>
              </w:rPr>
              <w:t xml:space="preserve"> </w:t>
            </w:r>
          </w:p>
        </w:tc>
        <w:tc>
          <w:tcPr>
            <w:tcW w:w="1530" w:type="dxa"/>
            <w:tcBorders>
              <w:top w:val="nil"/>
              <w:left w:val="nil"/>
              <w:bottom w:val="nil"/>
              <w:right w:val="nil"/>
            </w:tcBorders>
            <w:shd w:val="clear" w:color="auto" w:fill="auto"/>
            <w:noWrap/>
            <w:vAlign w:val="center"/>
            <w:hideMark/>
          </w:tcPr>
          <w:p w:rsidR="006D3765" w:rsidRPr="007B23B1" w:rsidRDefault="006D3765" w:rsidP="004D4B51">
            <w:pPr>
              <w:pStyle w:val="TX-TableText"/>
              <w:tabs>
                <w:tab w:val="decimal" w:pos="972"/>
              </w:tabs>
              <w:rPr>
                <w:i/>
                <w:iCs/>
              </w:rPr>
            </w:pPr>
            <w:r w:rsidRPr="007B23B1">
              <w:rPr>
                <w:i/>
                <w:iCs/>
              </w:rPr>
              <w:t>6,946</w:t>
            </w:r>
            <w:r w:rsidR="00AE1010">
              <w:rPr>
                <w:i/>
                <w:iCs/>
              </w:rPr>
              <w:t xml:space="preserve"> </w:t>
            </w:r>
          </w:p>
        </w:tc>
      </w:tr>
      <w:tr w:rsidR="006D3765" w:rsidRPr="00EF53C6" w:rsidTr="004D4B51">
        <w:trPr>
          <w:trHeight w:val="360"/>
        </w:trPr>
        <w:tc>
          <w:tcPr>
            <w:tcW w:w="2180" w:type="dxa"/>
            <w:tcBorders>
              <w:top w:val="single" w:sz="4" w:space="0" w:color="auto"/>
              <w:left w:val="nil"/>
              <w:bottom w:val="single" w:sz="4" w:space="0" w:color="auto"/>
              <w:right w:val="nil"/>
            </w:tcBorders>
            <w:shd w:val="clear" w:color="auto" w:fill="auto"/>
            <w:noWrap/>
            <w:vAlign w:val="center"/>
            <w:hideMark/>
          </w:tcPr>
          <w:p w:rsidR="006D3765" w:rsidRPr="007B23B1" w:rsidRDefault="006D3765" w:rsidP="004D4B51">
            <w:pPr>
              <w:pStyle w:val="TX-TableText"/>
              <w:rPr>
                <w:b/>
                <w:bCs/>
                <w:i/>
                <w:iCs/>
              </w:rPr>
            </w:pPr>
            <w:r w:rsidRPr="007B23B1">
              <w:rPr>
                <w:b/>
                <w:bCs/>
                <w:i/>
                <w:iCs/>
              </w:rPr>
              <w:t>All SFAs</w:t>
            </w:r>
          </w:p>
        </w:tc>
        <w:tc>
          <w:tcPr>
            <w:tcW w:w="1708" w:type="dxa"/>
            <w:tcBorders>
              <w:top w:val="single" w:sz="4" w:space="0" w:color="auto"/>
              <w:left w:val="nil"/>
              <w:bottom w:val="single" w:sz="4" w:space="0" w:color="auto"/>
              <w:right w:val="nil"/>
            </w:tcBorders>
            <w:shd w:val="clear" w:color="auto" w:fill="auto"/>
            <w:noWrap/>
            <w:vAlign w:val="center"/>
            <w:hideMark/>
          </w:tcPr>
          <w:p w:rsidR="006D3765" w:rsidRPr="007B23B1" w:rsidRDefault="006D3765" w:rsidP="004D4B51">
            <w:pPr>
              <w:pStyle w:val="TX-TableText"/>
              <w:rPr>
                <w:b/>
                <w:bCs/>
                <w:i/>
                <w:iCs/>
              </w:rPr>
            </w:pPr>
            <w:r w:rsidRPr="007B23B1">
              <w:rPr>
                <w:b/>
                <w:bCs/>
                <w:i/>
                <w:iCs/>
              </w:rPr>
              <w:t>Total</w:t>
            </w:r>
          </w:p>
        </w:tc>
        <w:tc>
          <w:tcPr>
            <w:tcW w:w="1530" w:type="dxa"/>
            <w:tcBorders>
              <w:top w:val="single" w:sz="4" w:space="0" w:color="auto"/>
              <w:left w:val="nil"/>
              <w:bottom w:val="single" w:sz="4" w:space="0" w:color="auto"/>
              <w:right w:val="nil"/>
            </w:tcBorders>
            <w:shd w:val="clear" w:color="auto" w:fill="auto"/>
            <w:noWrap/>
            <w:vAlign w:val="center"/>
            <w:hideMark/>
          </w:tcPr>
          <w:p w:rsidR="006D3765" w:rsidRPr="007B23B1" w:rsidRDefault="006D3765" w:rsidP="004D4B51">
            <w:pPr>
              <w:pStyle w:val="TX-TableText"/>
              <w:tabs>
                <w:tab w:val="decimal" w:pos="972"/>
              </w:tabs>
              <w:rPr>
                <w:b/>
                <w:bCs/>
                <w:i/>
                <w:iCs/>
              </w:rPr>
            </w:pPr>
            <w:r w:rsidRPr="007B23B1">
              <w:rPr>
                <w:b/>
                <w:bCs/>
                <w:i/>
                <w:iCs/>
              </w:rPr>
              <w:t>14,798</w:t>
            </w:r>
            <w:r w:rsidR="00AE1010">
              <w:rPr>
                <w:b/>
                <w:bCs/>
                <w:i/>
                <w:iCs/>
              </w:rPr>
              <w:t xml:space="preserve"> </w:t>
            </w:r>
          </w:p>
        </w:tc>
        <w:tc>
          <w:tcPr>
            <w:tcW w:w="1530" w:type="dxa"/>
            <w:tcBorders>
              <w:top w:val="single" w:sz="4" w:space="0" w:color="auto"/>
              <w:left w:val="nil"/>
              <w:bottom w:val="single" w:sz="4" w:space="0" w:color="auto"/>
              <w:right w:val="nil"/>
            </w:tcBorders>
            <w:shd w:val="clear" w:color="auto" w:fill="auto"/>
            <w:noWrap/>
            <w:vAlign w:val="center"/>
            <w:hideMark/>
          </w:tcPr>
          <w:p w:rsidR="006D3765" w:rsidRPr="007B23B1" w:rsidRDefault="006D3765" w:rsidP="004D4B51">
            <w:pPr>
              <w:pStyle w:val="TX-TableText"/>
              <w:tabs>
                <w:tab w:val="decimal" w:pos="1152"/>
              </w:tabs>
              <w:rPr>
                <w:b/>
                <w:bCs/>
                <w:i/>
                <w:iCs/>
              </w:rPr>
            </w:pPr>
            <w:r w:rsidRPr="007B23B1">
              <w:rPr>
                <w:b/>
                <w:bCs/>
                <w:i/>
                <w:iCs/>
              </w:rPr>
              <w:t>48,544,286</w:t>
            </w:r>
            <w:r w:rsidR="00AE1010">
              <w:rPr>
                <w:b/>
                <w:bCs/>
                <w:i/>
                <w:iCs/>
              </w:rPr>
              <w:t xml:space="preserve"> </w:t>
            </w:r>
          </w:p>
        </w:tc>
        <w:tc>
          <w:tcPr>
            <w:tcW w:w="1530" w:type="dxa"/>
            <w:tcBorders>
              <w:top w:val="single" w:sz="4" w:space="0" w:color="auto"/>
              <w:left w:val="nil"/>
              <w:bottom w:val="single" w:sz="4" w:space="0" w:color="auto"/>
              <w:right w:val="nil"/>
            </w:tcBorders>
            <w:shd w:val="clear" w:color="auto" w:fill="auto"/>
            <w:noWrap/>
            <w:vAlign w:val="center"/>
            <w:hideMark/>
          </w:tcPr>
          <w:p w:rsidR="006D3765" w:rsidRPr="007B23B1" w:rsidRDefault="006D3765" w:rsidP="004D4B51">
            <w:pPr>
              <w:pStyle w:val="TX-TableText"/>
              <w:tabs>
                <w:tab w:val="decimal" w:pos="972"/>
              </w:tabs>
              <w:rPr>
                <w:b/>
                <w:bCs/>
                <w:i/>
                <w:iCs/>
              </w:rPr>
            </w:pPr>
            <w:r w:rsidRPr="007B23B1">
              <w:rPr>
                <w:b/>
                <w:bCs/>
                <w:i/>
                <w:iCs/>
              </w:rPr>
              <w:t>91,066</w:t>
            </w:r>
            <w:r w:rsidR="00AE1010">
              <w:rPr>
                <w:b/>
                <w:bCs/>
                <w:i/>
                <w:iCs/>
              </w:rPr>
              <w:t xml:space="preserve"> </w:t>
            </w:r>
          </w:p>
        </w:tc>
      </w:tr>
    </w:tbl>
    <w:p w:rsidR="004D4B51" w:rsidRPr="00B72321" w:rsidRDefault="004D4B51" w:rsidP="00001D5E">
      <w:pPr>
        <w:tabs>
          <w:tab w:val="left" w:pos="0"/>
          <w:tab w:val="left" w:pos="288"/>
          <w:tab w:val="left" w:pos="475"/>
          <w:tab w:val="left" w:pos="662"/>
        </w:tabs>
        <w:spacing w:line="240" w:lineRule="auto"/>
        <w:rPr>
          <w:rFonts w:ascii="Franklin Gothic Medium" w:hAnsi="Franklin Gothic Medium"/>
          <w:sz w:val="18"/>
          <w:szCs w:val="18"/>
        </w:rPr>
      </w:pPr>
      <w:r w:rsidRPr="00B72321">
        <w:rPr>
          <w:rFonts w:ascii="Franklin Gothic Medium" w:hAnsi="Franklin Gothic Medium"/>
          <w:sz w:val="18"/>
          <w:szCs w:val="18"/>
          <w:vertAlign w:val="superscript"/>
        </w:rPr>
        <w:t>1</w:t>
      </w:r>
      <w:r w:rsidRPr="00B72321">
        <w:rPr>
          <w:rFonts w:ascii="Franklin Gothic Medium" w:hAnsi="Franklin Gothic Medium"/>
          <w:sz w:val="18"/>
          <w:szCs w:val="18"/>
        </w:rPr>
        <w:t xml:space="preserve"> Number of students with access to NSLP/SBP as reported in 2009-10 FNS 742.</w:t>
      </w:r>
    </w:p>
    <w:p w:rsidR="004D4B51" w:rsidRPr="00B72321" w:rsidRDefault="004D4B51" w:rsidP="00001D5E">
      <w:pPr>
        <w:tabs>
          <w:tab w:val="left" w:pos="0"/>
          <w:tab w:val="left" w:pos="288"/>
          <w:tab w:val="left" w:pos="475"/>
          <w:tab w:val="left" w:pos="662"/>
        </w:tabs>
        <w:spacing w:line="240" w:lineRule="auto"/>
        <w:rPr>
          <w:rFonts w:ascii="Franklin Gothic Medium" w:hAnsi="Franklin Gothic Medium"/>
          <w:sz w:val="18"/>
          <w:szCs w:val="18"/>
        </w:rPr>
      </w:pPr>
      <w:r w:rsidRPr="00B72321">
        <w:rPr>
          <w:rFonts w:ascii="Franklin Gothic Medium" w:hAnsi="Franklin Gothic Medium"/>
          <w:sz w:val="18"/>
          <w:szCs w:val="18"/>
          <w:vertAlign w:val="superscript"/>
        </w:rPr>
        <w:t>2</w:t>
      </w:r>
      <w:r w:rsidRPr="00B72321">
        <w:rPr>
          <w:rFonts w:ascii="Franklin Gothic Medium" w:hAnsi="Franklin Gothic Medium"/>
          <w:sz w:val="18"/>
          <w:szCs w:val="18"/>
        </w:rPr>
        <w:t xml:space="preserve"> Counts of schools operating NSLP/SBP as reported in 2009-10 FNS 742.</w:t>
      </w:r>
    </w:p>
    <w:p w:rsidR="00B72321" w:rsidRPr="00B72321" w:rsidRDefault="00B72321" w:rsidP="00001D5E">
      <w:pPr>
        <w:tabs>
          <w:tab w:val="left" w:pos="0"/>
          <w:tab w:val="left" w:pos="288"/>
          <w:tab w:val="left" w:pos="475"/>
          <w:tab w:val="left" w:pos="662"/>
        </w:tabs>
        <w:spacing w:line="240" w:lineRule="auto"/>
        <w:rPr>
          <w:szCs w:val="24"/>
        </w:rPr>
      </w:pPr>
    </w:p>
    <w:p w:rsidR="006D3765" w:rsidRDefault="006D3765" w:rsidP="00A04DA5">
      <w:pPr>
        <w:spacing w:line="240" w:lineRule="auto"/>
        <w:ind w:left="540"/>
        <w:rPr>
          <w:b/>
          <w:szCs w:val="24"/>
        </w:rPr>
      </w:pPr>
      <w:r w:rsidRPr="00D6005B">
        <w:rPr>
          <w:b/>
          <w:szCs w:val="24"/>
        </w:rPr>
        <w:t>Expected Response Rates</w:t>
      </w:r>
    </w:p>
    <w:p w:rsidR="006D3765" w:rsidRPr="00D6005B" w:rsidRDefault="006D3765" w:rsidP="00001D5E">
      <w:pPr>
        <w:tabs>
          <w:tab w:val="left" w:pos="0"/>
          <w:tab w:val="left" w:pos="288"/>
          <w:tab w:val="left" w:pos="475"/>
          <w:tab w:val="left" w:pos="662"/>
        </w:tabs>
        <w:spacing w:line="240" w:lineRule="auto"/>
        <w:rPr>
          <w:b/>
          <w:szCs w:val="24"/>
        </w:rPr>
      </w:pPr>
    </w:p>
    <w:p w:rsidR="006D3765" w:rsidRPr="00D6005B" w:rsidRDefault="006D3765" w:rsidP="00001D5E">
      <w:pPr>
        <w:pStyle w:val="NormalWeb"/>
        <w:spacing w:before="0" w:beforeAutospacing="0" w:after="0" w:afterAutospacing="0"/>
        <w:rPr>
          <w:rFonts w:ascii="Garamond" w:hAnsi="Garamond"/>
        </w:rPr>
      </w:pPr>
      <w:r w:rsidRPr="00D6005B">
        <w:rPr>
          <w:rFonts w:ascii="Garamond" w:hAnsi="Garamond"/>
        </w:rPr>
        <w:t>The expected response rate is the proportion of SFA Directors who respond to the survey as a percentage of the total number of SFA Directors in the sample. We plan to sample 1,765 SFAs to obtain 1,500 completes; the expected response rate is 85 percent for the School Food Authority (SFA) Director Survey. The State Agency Child Nutrition (CN) Director survey will be conducted among all 56 state directors and will not involve any sampling.</w:t>
      </w:r>
      <w:r w:rsidR="00AE1010">
        <w:rPr>
          <w:rFonts w:ascii="Garamond" w:hAnsi="Garamond"/>
        </w:rPr>
        <w:t xml:space="preserve"> </w:t>
      </w:r>
      <w:r w:rsidRPr="00D6005B">
        <w:rPr>
          <w:rFonts w:ascii="Garamond" w:hAnsi="Garamond"/>
        </w:rPr>
        <w:t>We expect at least a 95 percent response rate for the State Agency Child Nutrition Director survey.</w:t>
      </w:r>
    </w:p>
    <w:p w:rsidR="006D3765" w:rsidRDefault="006D3765" w:rsidP="00001D5E">
      <w:pPr>
        <w:spacing w:line="240" w:lineRule="auto"/>
        <w:rPr>
          <w:b/>
          <w:szCs w:val="24"/>
        </w:rPr>
      </w:pPr>
    </w:p>
    <w:p w:rsidR="003D64AB" w:rsidRDefault="003D64AB" w:rsidP="00A04DA5">
      <w:pPr>
        <w:spacing w:line="240" w:lineRule="auto"/>
        <w:ind w:left="540"/>
        <w:rPr>
          <w:b/>
          <w:szCs w:val="24"/>
        </w:rPr>
      </w:pPr>
    </w:p>
    <w:p w:rsidR="006D3765" w:rsidRPr="00D6005B" w:rsidRDefault="006D3765" w:rsidP="00A04DA5">
      <w:pPr>
        <w:spacing w:line="240" w:lineRule="auto"/>
        <w:ind w:left="540"/>
        <w:rPr>
          <w:b/>
          <w:szCs w:val="24"/>
        </w:rPr>
      </w:pPr>
      <w:r w:rsidRPr="00D6005B">
        <w:rPr>
          <w:b/>
          <w:szCs w:val="24"/>
        </w:rPr>
        <w:t>Previous Data Collections and Response Rates</w:t>
      </w:r>
    </w:p>
    <w:p w:rsidR="006D3765" w:rsidRDefault="006D3765" w:rsidP="00001D5E">
      <w:pPr>
        <w:spacing w:line="240" w:lineRule="auto"/>
        <w:rPr>
          <w:szCs w:val="24"/>
        </w:rPr>
      </w:pPr>
    </w:p>
    <w:p w:rsidR="006D3765" w:rsidRPr="00D6005B" w:rsidRDefault="006D3765" w:rsidP="00001D5E">
      <w:pPr>
        <w:spacing w:line="240" w:lineRule="auto"/>
        <w:rPr>
          <w:szCs w:val="24"/>
        </w:rPr>
      </w:pPr>
      <w:r w:rsidRPr="00D6005B">
        <w:rPr>
          <w:szCs w:val="24"/>
        </w:rPr>
        <w:t>This is a new data collection. However, the 85% and 95% response rates for the SFA and State Agency CN Directors respectively is based on prior surveys involving SFA directors and State Agency CN directors.</w:t>
      </w:r>
    </w:p>
    <w:p w:rsidR="006D3765" w:rsidRDefault="006D3765" w:rsidP="00001D5E">
      <w:pPr>
        <w:spacing w:line="240" w:lineRule="auto"/>
        <w:rPr>
          <w:szCs w:val="24"/>
        </w:rPr>
      </w:pPr>
    </w:p>
    <w:p w:rsidR="00B72321" w:rsidRPr="00D6005B" w:rsidRDefault="00B72321" w:rsidP="00001D5E">
      <w:pPr>
        <w:spacing w:line="240" w:lineRule="auto"/>
        <w:rPr>
          <w:szCs w:val="24"/>
        </w:rPr>
      </w:pPr>
    </w:p>
    <w:p w:rsidR="00281D17" w:rsidRDefault="00281D17">
      <w:pPr>
        <w:spacing w:line="240" w:lineRule="auto"/>
        <w:rPr>
          <w:b/>
          <w:szCs w:val="24"/>
        </w:rPr>
      </w:pPr>
      <w:bookmarkStart w:id="3" w:name="_Toc282506043"/>
      <w:r>
        <w:rPr>
          <w:b/>
          <w:szCs w:val="24"/>
        </w:rPr>
        <w:br w:type="page"/>
      </w:r>
    </w:p>
    <w:p w:rsidR="00281D17" w:rsidRDefault="006D3765" w:rsidP="00DF5DAF">
      <w:pPr>
        <w:tabs>
          <w:tab w:val="left" w:pos="720"/>
        </w:tabs>
        <w:spacing w:line="240" w:lineRule="auto"/>
        <w:ind w:left="720" w:hanging="720"/>
        <w:rPr>
          <w:b/>
        </w:rPr>
      </w:pPr>
      <w:r w:rsidRPr="00281D17">
        <w:rPr>
          <w:b/>
          <w:szCs w:val="24"/>
        </w:rPr>
        <w:lastRenderedPageBreak/>
        <w:t>B</w:t>
      </w:r>
      <w:r w:rsidR="00D450DF" w:rsidRPr="00281D17">
        <w:rPr>
          <w:b/>
          <w:szCs w:val="24"/>
        </w:rPr>
        <w:t>.</w:t>
      </w:r>
      <w:r w:rsidRPr="00281D17">
        <w:rPr>
          <w:b/>
          <w:szCs w:val="24"/>
        </w:rPr>
        <w:t>2</w:t>
      </w:r>
      <w:r w:rsidRPr="00281D17">
        <w:rPr>
          <w:b/>
          <w:szCs w:val="24"/>
        </w:rPr>
        <w:tab/>
      </w:r>
      <w:bookmarkEnd w:id="3"/>
      <w:r w:rsidR="00281D17" w:rsidRPr="00281D17">
        <w:rPr>
          <w:b/>
        </w:rPr>
        <w:t>Describe</w:t>
      </w:r>
      <w:r w:rsidR="00281D17">
        <w:rPr>
          <w:b/>
        </w:rPr>
        <w:t xml:space="preserve"> the procedures for the collection of information including:</w:t>
      </w:r>
    </w:p>
    <w:p w:rsidR="00DF5DAF" w:rsidRPr="00DF5DAF" w:rsidRDefault="00DF5DAF" w:rsidP="00DF5DAF">
      <w:pPr>
        <w:tabs>
          <w:tab w:val="left" w:pos="720"/>
        </w:tabs>
        <w:spacing w:line="240" w:lineRule="auto"/>
        <w:ind w:left="720" w:hanging="720"/>
      </w:pPr>
    </w:p>
    <w:p w:rsidR="00281D17" w:rsidRDefault="00281D17" w:rsidP="00DF5DAF">
      <w:pPr>
        <w:numPr>
          <w:ilvl w:val="0"/>
          <w:numId w:val="13"/>
        </w:numPr>
        <w:tabs>
          <w:tab w:val="clear" w:pos="360"/>
          <w:tab w:val="left" w:pos="0"/>
          <w:tab w:val="num" w:pos="1080"/>
        </w:tabs>
        <w:spacing w:line="240" w:lineRule="auto"/>
        <w:ind w:left="1080"/>
        <w:rPr>
          <w:b/>
        </w:rPr>
      </w:pPr>
      <w:r>
        <w:rPr>
          <w:b/>
        </w:rPr>
        <w:t>Statistical methodology for stratification and sample selection,</w:t>
      </w:r>
    </w:p>
    <w:p w:rsidR="00281D17" w:rsidRDefault="00281D17" w:rsidP="00DF5DAF">
      <w:pPr>
        <w:numPr>
          <w:ilvl w:val="0"/>
          <w:numId w:val="14"/>
        </w:numPr>
        <w:tabs>
          <w:tab w:val="clear" w:pos="360"/>
          <w:tab w:val="left" w:pos="0"/>
          <w:tab w:val="left" w:pos="475"/>
          <w:tab w:val="num" w:pos="1080"/>
        </w:tabs>
        <w:spacing w:line="240" w:lineRule="auto"/>
        <w:ind w:left="1080"/>
        <w:rPr>
          <w:b/>
        </w:rPr>
      </w:pPr>
      <w:r>
        <w:rPr>
          <w:b/>
        </w:rPr>
        <w:t>Estimation procedure,</w:t>
      </w:r>
    </w:p>
    <w:p w:rsidR="00281D17" w:rsidRDefault="00281D17" w:rsidP="00DF5DAF">
      <w:pPr>
        <w:numPr>
          <w:ilvl w:val="0"/>
          <w:numId w:val="15"/>
        </w:numPr>
        <w:tabs>
          <w:tab w:val="clear" w:pos="360"/>
          <w:tab w:val="left" w:pos="0"/>
          <w:tab w:val="left" w:pos="475"/>
          <w:tab w:val="num" w:pos="1080"/>
        </w:tabs>
        <w:spacing w:line="240" w:lineRule="auto"/>
        <w:ind w:left="1080"/>
        <w:rPr>
          <w:b/>
        </w:rPr>
      </w:pPr>
      <w:r>
        <w:rPr>
          <w:b/>
        </w:rPr>
        <w:t>Degree of accuracy needed for the purpose described in the justification,</w:t>
      </w:r>
    </w:p>
    <w:p w:rsidR="00281D17" w:rsidRDefault="00281D17" w:rsidP="00DF5DAF">
      <w:pPr>
        <w:numPr>
          <w:ilvl w:val="0"/>
          <w:numId w:val="16"/>
        </w:numPr>
        <w:tabs>
          <w:tab w:val="clear" w:pos="360"/>
          <w:tab w:val="left" w:pos="0"/>
          <w:tab w:val="left" w:pos="475"/>
          <w:tab w:val="num" w:pos="1080"/>
        </w:tabs>
        <w:spacing w:line="240" w:lineRule="auto"/>
        <w:ind w:left="1080"/>
        <w:rPr>
          <w:b/>
        </w:rPr>
      </w:pPr>
      <w:r>
        <w:rPr>
          <w:b/>
        </w:rPr>
        <w:t>Unusual problems requiring specialized sampling procedures, and</w:t>
      </w:r>
    </w:p>
    <w:p w:rsidR="00281D17" w:rsidRDefault="00281D17" w:rsidP="00DF5DAF">
      <w:pPr>
        <w:numPr>
          <w:ilvl w:val="0"/>
          <w:numId w:val="17"/>
        </w:numPr>
        <w:tabs>
          <w:tab w:val="clear" w:pos="360"/>
          <w:tab w:val="left" w:pos="0"/>
          <w:tab w:val="num" w:pos="1080"/>
        </w:tabs>
        <w:spacing w:line="240" w:lineRule="auto"/>
        <w:ind w:left="1080"/>
        <w:rPr>
          <w:b/>
        </w:rPr>
      </w:pPr>
      <w:r>
        <w:rPr>
          <w:b/>
        </w:rPr>
        <w:t>Any use of periodic (less frequent than annual) data collection cycles to reduce burden.</w:t>
      </w:r>
    </w:p>
    <w:p w:rsidR="00DF5DAF" w:rsidRDefault="00DF5DAF" w:rsidP="00001D5E">
      <w:pPr>
        <w:tabs>
          <w:tab w:val="left" w:pos="0"/>
          <w:tab w:val="left" w:pos="288"/>
          <w:tab w:val="num" w:pos="648"/>
        </w:tabs>
        <w:spacing w:line="240" w:lineRule="auto"/>
        <w:rPr>
          <w:szCs w:val="24"/>
        </w:rPr>
      </w:pPr>
    </w:p>
    <w:p w:rsidR="006D3765" w:rsidRPr="003C1C87" w:rsidRDefault="006D3765" w:rsidP="00001D5E">
      <w:pPr>
        <w:tabs>
          <w:tab w:val="left" w:pos="0"/>
          <w:tab w:val="left" w:pos="288"/>
          <w:tab w:val="num" w:pos="648"/>
        </w:tabs>
        <w:spacing w:line="240" w:lineRule="auto"/>
      </w:pPr>
      <w:r w:rsidRPr="003C1C87">
        <w:rPr>
          <w:szCs w:val="24"/>
        </w:rPr>
        <w:t xml:space="preserve">Below </w:t>
      </w:r>
      <w:r>
        <w:rPr>
          <w:szCs w:val="24"/>
        </w:rPr>
        <w:t>we describe the procedures for the collection of information including s</w:t>
      </w:r>
      <w:r w:rsidRPr="003C1C87">
        <w:t>tatistical methodology for stratification and sample selection,</w:t>
      </w:r>
      <w:r>
        <w:t xml:space="preserve"> e</w:t>
      </w:r>
      <w:r w:rsidRPr="003C1C87">
        <w:t>stimation procedure,</w:t>
      </w:r>
      <w:r>
        <w:t xml:space="preserve"> and the d</w:t>
      </w:r>
      <w:r w:rsidRPr="003C1C87">
        <w:t>egree of accuracy needed for the pur</w:t>
      </w:r>
      <w:r w:rsidRPr="003C1C87">
        <w:softHyphen/>
        <w:t>pose described in the justification.</w:t>
      </w:r>
    </w:p>
    <w:p w:rsidR="006D3765" w:rsidRPr="003C1C87" w:rsidRDefault="006D3765" w:rsidP="00001D5E">
      <w:pPr>
        <w:tabs>
          <w:tab w:val="left" w:pos="0"/>
          <w:tab w:val="left" w:pos="288"/>
        </w:tabs>
        <w:spacing w:line="240" w:lineRule="auto"/>
        <w:ind w:left="648"/>
        <w:rPr>
          <w:szCs w:val="24"/>
        </w:rPr>
      </w:pPr>
    </w:p>
    <w:p w:rsidR="006D3765" w:rsidRDefault="006D3765" w:rsidP="00001D5E">
      <w:pPr>
        <w:tabs>
          <w:tab w:val="left" w:pos="0"/>
        </w:tabs>
        <w:spacing w:line="240" w:lineRule="auto"/>
        <w:rPr>
          <w:szCs w:val="24"/>
        </w:rPr>
      </w:pPr>
      <w:r w:rsidRPr="00D6005B">
        <w:rPr>
          <w:szCs w:val="24"/>
        </w:rPr>
        <w:t xml:space="preserve">A goal of the sample design is to obtain a nationally representative sample of SFAs that will yield population estimates with a precision of ±5 percent at the 95 percent level of confidence for the overall SFA population and for specified subgroups of SFAs. Under simple random sampling, this translates to a sample size of 400-500 responding SFAs for each subgroup. For example, with three key subgroups of roughly equal size (e.g., one-way classifications defined by enrollment size of SFA or by poverty status based on the percent of students eligible for free/reduced price lunch), the total required sample size would range from 1,200-1,500 SFAs to meet the specified precision levels. In general, however, simple random sampling is not efficient for the multiple analytic objectives of the study. For example, while a simple random (or self-weighting) sample would be optimal for estimating the overall prevalence of SFAs reporting various types of food service practices or programs, it can be inefficient for estimating the </w:t>
      </w:r>
      <w:r w:rsidRPr="00D6005B">
        <w:rPr>
          <w:i/>
          <w:szCs w:val="24"/>
        </w:rPr>
        <w:t>numbers of students</w:t>
      </w:r>
      <w:r w:rsidRPr="00D6005B">
        <w:rPr>
          <w:szCs w:val="24"/>
        </w:rPr>
        <w:t xml:space="preserve"> involved in these types of services or programs. A stratified sample design using variable rates that depend on the size of the SFA would better meet these conflicting objectives. Stratification not only helps to ensure that adequate sample sizes are obtained for important analytic subgroups of interest, but can also be effective in reducing the sampling errors of estimates that are correlated with enrollment size.</w:t>
      </w:r>
    </w:p>
    <w:p w:rsidR="006D3765" w:rsidRPr="00D6005B" w:rsidRDefault="006D3765" w:rsidP="00001D5E">
      <w:pPr>
        <w:tabs>
          <w:tab w:val="left" w:pos="0"/>
        </w:tabs>
        <w:spacing w:line="240" w:lineRule="auto"/>
        <w:rPr>
          <w:szCs w:val="24"/>
        </w:rPr>
      </w:pPr>
    </w:p>
    <w:p w:rsidR="006D3765" w:rsidRDefault="006D3765" w:rsidP="00A04DA5">
      <w:pPr>
        <w:pStyle w:val="P1-StandPara"/>
        <w:tabs>
          <w:tab w:val="left" w:pos="720"/>
        </w:tabs>
        <w:spacing w:line="240" w:lineRule="auto"/>
        <w:ind w:firstLine="0"/>
        <w:rPr>
          <w:szCs w:val="24"/>
        </w:rPr>
      </w:pPr>
      <w:r w:rsidRPr="00D6005B">
        <w:rPr>
          <w:szCs w:val="24"/>
        </w:rPr>
        <w:t xml:space="preserve">A stratified sampling design employing varying sampling fractions will be used to select the SFA sample for the study. Such a design will generally inflate the standard errors of prevalence estimates as compared with simple random sampling but is justifiable for reasons mentioned above. A measure of the relative precision of a complex sample design is given by the design effect (DEFF), which is defined to be the ratio of the variance of an estimate based on the complex sample design to the hypothetical variance based on a simple random sample of the same size. </w:t>
      </w:r>
      <w:proofErr w:type="gramStart"/>
      <w:r w:rsidRPr="00D6005B">
        <w:rPr>
          <w:szCs w:val="24"/>
        </w:rPr>
        <w:t>A design effect of 1.00 means that the complex sample is roughly equivalent to a simple random sample</w:t>
      </w:r>
      <w:r>
        <w:rPr>
          <w:szCs w:val="24"/>
        </w:rPr>
        <w:t xml:space="preserve"> in terms of sampling precision</w:t>
      </w:r>
      <w:r w:rsidRPr="00D6005B">
        <w:rPr>
          <w:szCs w:val="24"/>
        </w:rPr>
        <w:t>.</w:t>
      </w:r>
      <w:proofErr w:type="gramEnd"/>
      <w:r w:rsidRPr="00D6005B">
        <w:rPr>
          <w:szCs w:val="24"/>
        </w:rPr>
        <w:t xml:space="preserve"> </w:t>
      </w:r>
      <w:r>
        <w:rPr>
          <w:szCs w:val="24"/>
        </w:rPr>
        <w:t xml:space="preserve">A design </w:t>
      </w:r>
      <w:proofErr w:type="gramStart"/>
      <w:r>
        <w:rPr>
          <w:szCs w:val="24"/>
        </w:rPr>
        <w:t>effect</w:t>
      </w:r>
      <w:proofErr w:type="gramEnd"/>
      <w:r>
        <w:rPr>
          <w:szCs w:val="24"/>
        </w:rPr>
        <w:t xml:space="preserve"> less than 1.00 means that the sample is more precise than a simple random sample; this could occur, for example, in a stratified sample in which some SFAs that are sampled at very high rates. </w:t>
      </w:r>
      <w:r w:rsidRPr="00D6005B">
        <w:rPr>
          <w:szCs w:val="24"/>
        </w:rPr>
        <w:t xml:space="preserve">Under the proposed design, we have estimated that the resulting design effects will range from </w:t>
      </w:r>
      <w:r>
        <w:rPr>
          <w:szCs w:val="24"/>
        </w:rPr>
        <w:t>slightly under 1.00</w:t>
      </w:r>
      <w:r w:rsidRPr="00D6005B">
        <w:rPr>
          <w:szCs w:val="24"/>
        </w:rPr>
        <w:t xml:space="preserve"> to </w:t>
      </w:r>
      <w:r>
        <w:rPr>
          <w:szCs w:val="24"/>
        </w:rPr>
        <w:t>slightly under 1.9</w:t>
      </w:r>
      <w:r w:rsidRPr="00D6005B">
        <w:rPr>
          <w:szCs w:val="24"/>
        </w:rPr>
        <w:t xml:space="preserve"> depending on the subgroup being analyzed</w:t>
      </w:r>
      <w:r>
        <w:rPr>
          <w:szCs w:val="24"/>
        </w:rPr>
        <w:t>, with an overall design effect less than 1.4</w:t>
      </w:r>
      <w:r w:rsidRPr="00D6005B">
        <w:rPr>
          <w:szCs w:val="24"/>
        </w:rPr>
        <w:t xml:space="preserve">. As indicated in table </w:t>
      </w:r>
      <w:r>
        <w:rPr>
          <w:szCs w:val="24"/>
        </w:rPr>
        <w:t>B</w:t>
      </w:r>
      <w:r w:rsidRPr="00D6005B">
        <w:rPr>
          <w:szCs w:val="24"/>
        </w:rPr>
        <w:t xml:space="preserve">2, which summarizes the expected margins of error of a prevalence estimate under the proposed design for a range of sample sizes and design effects, a total SFA sample size of 1,500 responding SFAs should be more than adequate to meet or exceed the ±5 percent precision requirement even for design </w:t>
      </w:r>
      <w:r w:rsidRPr="00D6005B">
        <w:rPr>
          <w:szCs w:val="24"/>
        </w:rPr>
        <w:lastRenderedPageBreak/>
        <w:t>effect as large as 1.5. For a subgroup consisting of 500 SFAs for which the design effect is 1.10 (e.g., this would be reasonable for subgroups defined by size of SFA, but may be larger for other subgroups), the expected level of precision for the subgroup would be at most ±4.9 percent (and would be lower for prevalence estimates that are less than 50 percent or greater than 50 percent).</w:t>
      </w:r>
    </w:p>
    <w:p w:rsidR="00B72321" w:rsidRPr="00D6005B" w:rsidRDefault="00B72321" w:rsidP="00001D5E">
      <w:pPr>
        <w:pStyle w:val="P1-StandPara"/>
        <w:tabs>
          <w:tab w:val="left" w:pos="720"/>
        </w:tabs>
        <w:spacing w:line="240" w:lineRule="auto"/>
        <w:ind w:left="86" w:firstLine="0"/>
        <w:rPr>
          <w:szCs w:val="24"/>
        </w:rPr>
      </w:pPr>
    </w:p>
    <w:p w:rsidR="006D3765" w:rsidRPr="00D6005B" w:rsidRDefault="006D3765" w:rsidP="00A04DA5">
      <w:pPr>
        <w:pStyle w:val="TT-TableTitle"/>
        <w:tabs>
          <w:tab w:val="clear" w:pos="1440"/>
          <w:tab w:val="left" w:pos="1260"/>
        </w:tabs>
        <w:ind w:left="1260" w:right="1980" w:hanging="1260"/>
      </w:pPr>
      <w:bookmarkStart w:id="4" w:name="_Toc282508103"/>
      <w:r w:rsidRPr="00D6005B">
        <w:t>Table B2.</w:t>
      </w:r>
      <w:r w:rsidRPr="00D6005B">
        <w:tab/>
        <w:t>Expected margins of error* for various sample sizes (n) and design effects (DEFF)</w:t>
      </w:r>
      <w:bookmarkEnd w:id="4"/>
    </w:p>
    <w:p w:rsidR="006D3765" w:rsidRPr="00D6005B" w:rsidRDefault="006D3765" w:rsidP="00A04DA5">
      <w:pPr>
        <w:pStyle w:val="TT-TableTitle"/>
        <w:tabs>
          <w:tab w:val="clear" w:pos="1440"/>
          <w:tab w:val="left" w:pos="900"/>
        </w:tabs>
        <w:ind w:left="1800" w:hanging="1800"/>
        <w:rPr>
          <w:rFonts w:ascii="Garamond" w:hAnsi="Garamond"/>
          <w:sz w:val="24"/>
          <w:szCs w:val="24"/>
        </w:rPr>
      </w:pPr>
    </w:p>
    <w:tbl>
      <w:tblPr>
        <w:tblW w:w="3886" w:type="pct"/>
        <w:tblBorders>
          <w:top w:val="single" w:sz="4" w:space="0" w:color="auto"/>
          <w:bottom w:val="single" w:sz="4" w:space="0" w:color="auto"/>
        </w:tblBorders>
        <w:tblLayout w:type="fixed"/>
        <w:tblLook w:val="00A0"/>
      </w:tblPr>
      <w:tblGrid>
        <w:gridCol w:w="1860"/>
        <w:gridCol w:w="1860"/>
        <w:gridCol w:w="1861"/>
        <w:gridCol w:w="1861"/>
      </w:tblGrid>
      <w:tr w:rsidR="00B46D1D" w:rsidRPr="00D6005B" w:rsidTr="00B46D1D">
        <w:trPr>
          <w:trHeight w:val="144"/>
        </w:trPr>
        <w:tc>
          <w:tcPr>
            <w:tcW w:w="1250" w:type="pct"/>
            <w:tcBorders>
              <w:bottom w:val="nil"/>
            </w:tcBorders>
            <w:shd w:val="clear" w:color="auto" w:fill="AFBED7"/>
            <w:noWrap/>
            <w:vAlign w:val="bottom"/>
          </w:tcPr>
          <w:p w:rsidR="00B46D1D" w:rsidRPr="00A04DA5" w:rsidRDefault="00B46D1D" w:rsidP="00A04DA5">
            <w:pPr>
              <w:pStyle w:val="TH-TableHeading"/>
            </w:pPr>
          </w:p>
        </w:tc>
        <w:tc>
          <w:tcPr>
            <w:tcW w:w="3750" w:type="pct"/>
            <w:gridSpan w:val="3"/>
            <w:tcBorders>
              <w:bottom w:val="single" w:sz="4" w:space="0" w:color="auto"/>
            </w:tcBorders>
            <w:shd w:val="clear" w:color="auto" w:fill="AFBED7"/>
            <w:noWrap/>
            <w:vAlign w:val="bottom"/>
          </w:tcPr>
          <w:p w:rsidR="00B46D1D" w:rsidRPr="00A04DA5" w:rsidRDefault="00B46D1D" w:rsidP="00A04DA5">
            <w:pPr>
              <w:pStyle w:val="TH-TableHeading"/>
            </w:pPr>
            <w:r>
              <w:t>Design effect (DEFF)</w:t>
            </w:r>
          </w:p>
        </w:tc>
      </w:tr>
      <w:tr w:rsidR="006D3765" w:rsidRPr="00D6005B" w:rsidTr="00B46D1D">
        <w:trPr>
          <w:trHeight w:val="144"/>
        </w:trPr>
        <w:tc>
          <w:tcPr>
            <w:tcW w:w="1250" w:type="pct"/>
            <w:tcBorders>
              <w:top w:val="nil"/>
              <w:bottom w:val="single" w:sz="4" w:space="0" w:color="auto"/>
            </w:tcBorders>
            <w:shd w:val="clear" w:color="auto" w:fill="AFBED7"/>
            <w:noWrap/>
            <w:vAlign w:val="bottom"/>
          </w:tcPr>
          <w:p w:rsidR="006D3765" w:rsidRPr="00A04DA5" w:rsidRDefault="006D3765" w:rsidP="00A04DA5">
            <w:pPr>
              <w:pStyle w:val="TH-TableHeading"/>
            </w:pPr>
            <w:r w:rsidRPr="00A04DA5">
              <w:t>n</w:t>
            </w:r>
          </w:p>
        </w:tc>
        <w:tc>
          <w:tcPr>
            <w:tcW w:w="1250" w:type="pct"/>
            <w:tcBorders>
              <w:bottom w:val="single" w:sz="4" w:space="0" w:color="auto"/>
            </w:tcBorders>
            <w:shd w:val="clear" w:color="auto" w:fill="AFBED7"/>
            <w:noWrap/>
            <w:vAlign w:val="bottom"/>
          </w:tcPr>
          <w:p w:rsidR="006D3765" w:rsidRPr="00A04DA5" w:rsidRDefault="006D3765" w:rsidP="00A04DA5">
            <w:pPr>
              <w:pStyle w:val="TH-TableHeading"/>
            </w:pPr>
            <w:r w:rsidRPr="00A04DA5">
              <w:t>1.10</w:t>
            </w:r>
          </w:p>
        </w:tc>
        <w:tc>
          <w:tcPr>
            <w:tcW w:w="1250" w:type="pct"/>
            <w:tcBorders>
              <w:bottom w:val="single" w:sz="4" w:space="0" w:color="auto"/>
            </w:tcBorders>
            <w:shd w:val="clear" w:color="auto" w:fill="AFBED7"/>
            <w:noWrap/>
            <w:vAlign w:val="bottom"/>
          </w:tcPr>
          <w:p w:rsidR="006D3765" w:rsidRPr="00A04DA5" w:rsidRDefault="006D3765" w:rsidP="00A04DA5">
            <w:pPr>
              <w:pStyle w:val="TH-TableHeading"/>
            </w:pPr>
            <w:r w:rsidRPr="00A04DA5">
              <w:t>1.25</w:t>
            </w:r>
          </w:p>
        </w:tc>
        <w:tc>
          <w:tcPr>
            <w:tcW w:w="1250" w:type="pct"/>
            <w:tcBorders>
              <w:bottom w:val="single" w:sz="4" w:space="0" w:color="auto"/>
            </w:tcBorders>
            <w:shd w:val="clear" w:color="auto" w:fill="AFBED7"/>
            <w:noWrap/>
            <w:vAlign w:val="bottom"/>
          </w:tcPr>
          <w:p w:rsidR="006D3765" w:rsidRPr="00A04DA5" w:rsidRDefault="006D3765" w:rsidP="00A04DA5">
            <w:pPr>
              <w:pStyle w:val="TH-TableHeading"/>
            </w:pPr>
            <w:r w:rsidRPr="00A04DA5">
              <w:t>1.50</w:t>
            </w:r>
          </w:p>
        </w:tc>
      </w:tr>
      <w:tr w:rsidR="006D3765" w:rsidRPr="00D6005B" w:rsidTr="00B46D1D">
        <w:trPr>
          <w:trHeight w:val="288"/>
        </w:trPr>
        <w:tc>
          <w:tcPr>
            <w:tcW w:w="1250" w:type="pct"/>
            <w:tcBorders>
              <w:top w:val="single" w:sz="4" w:space="0" w:color="auto"/>
              <w:bottom w:val="nil"/>
            </w:tcBorders>
            <w:noWrap/>
            <w:vAlign w:val="bottom"/>
          </w:tcPr>
          <w:p w:rsidR="006D3765" w:rsidRPr="00D6005B" w:rsidRDefault="006D3765" w:rsidP="00B72321">
            <w:pPr>
              <w:pStyle w:val="TX-TableText"/>
            </w:pPr>
            <w:r w:rsidRPr="00D6005B">
              <w:t>100</w:t>
            </w:r>
          </w:p>
        </w:tc>
        <w:tc>
          <w:tcPr>
            <w:tcW w:w="1250" w:type="pct"/>
            <w:tcBorders>
              <w:top w:val="single" w:sz="4" w:space="0" w:color="auto"/>
              <w:bottom w:val="nil"/>
            </w:tcBorders>
            <w:noWrap/>
            <w:vAlign w:val="bottom"/>
          </w:tcPr>
          <w:p w:rsidR="006D3765" w:rsidRPr="00D6005B" w:rsidRDefault="006D3765" w:rsidP="00A04DA5">
            <w:pPr>
              <w:pStyle w:val="TX-TableText"/>
              <w:jc w:val="center"/>
            </w:pPr>
            <w:r w:rsidRPr="00D6005B">
              <w:t>11.0%</w:t>
            </w:r>
          </w:p>
        </w:tc>
        <w:tc>
          <w:tcPr>
            <w:tcW w:w="1250" w:type="pct"/>
            <w:tcBorders>
              <w:top w:val="single" w:sz="4" w:space="0" w:color="auto"/>
              <w:bottom w:val="nil"/>
            </w:tcBorders>
            <w:noWrap/>
            <w:vAlign w:val="bottom"/>
          </w:tcPr>
          <w:p w:rsidR="006D3765" w:rsidRPr="00D6005B" w:rsidRDefault="006D3765" w:rsidP="00A04DA5">
            <w:pPr>
              <w:pStyle w:val="TX-TableText"/>
              <w:jc w:val="center"/>
            </w:pPr>
            <w:r w:rsidRPr="00D6005B">
              <w:t>12.5%</w:t>
            </w:r>
          </w:p>
        </w:tc>
        <w:tc>
          <w:tcPr>
            <w:tcW w:w="1250" w:type="pct"/>
            <w:tcBorders>
              <w:top w:val="single" w:sz="4" w:space="0" w:color="auto"/>
              <w:bottom w:val="nil"/>
            </w:tcBorders>
            <w:noWrap/>
            <w:vAlign w:val="bottom"/>
          </w:tcPr>
          <w:p w:rsidR="006D3765" w:rsidRPr="00D6005B" w:rsidRDefault="006D3765" w:rsidP="00A04DA5">
            <w:pPr>
              <w:pStyle w:val="TX-TableText"/>
              <w:jc w:val="center"/>
            </w:pPr>
            <w:r w:rsidRPr="00D6005B">
              <w:t>15.0%</w:t>
            </w:r>
          </w:p>
        </w:tc>
      </w:tr>
      <w:tr w:rsidR="006D3765" w:rsidRPr="00D6005B" w:rsidTr="00B46D1D">
        <w:trPr>
          <w:trHeight w:val="288"/>
        </w:trPr>
        <w:tc>
          <w:tcPr>
            <w:tcW w:w="1250" w:type="pct"/>
            <w:tcBorders>
              <w:top w:val="nil"/>
            </w:tcBorders>
            <w:noWrap/>
            <w:vAlign w:val="bottom"/>
          </w:tcPr>
          <w:p w:rsidR="006D3765" w:rsidRPr="00D6005B" w:rsidRDefault="006D3765" w:rsidP="00B72321">
            <w:pPr>
              <w:pStyle w:val="TX-TableText"/>
            </w:pPr>
            <w:r w:rsidRPr="00D6005B">
              <w:t>200</w:t>
            </w:r>
          </w:p>
        </w:tc>
        <w:tc>
          <w:tcPr>
            <w:tcW w:w="1250" w:type="pct"/>
            <w:tcBorders>
              <w:top w:val="nil"/>
            </w:tcBorders>
            <w:noWrap/>
            <w:vAlign w:val="bottom"/>
          </w:tcPr>
          <w:p w:rsidR="006D3765" w:rsidRPr="00D6005B" w:rsidRDefault="006D3765" w:rsidP="00A04DA5">
            <w:pPr>
              <w:pStyle w:val="TX-TableText"/>
              <w:jc w:val="center"/>
            </w:pPr>
            <w:r w:rsidRPr="00D6005B">
              <w:t>7.8%</w:t>
            </w:r>
          </w:p>
        </w:tc>
        <w:tc>
          <w:tcPr>
            <w:tcW w:w="1250" w:type="pct"/>
            <w:tcBorders>
              <w:top w:val="nil"/>
            </w:tcBorders>
            <w:noWrap/>
            <w:vAlign w:val="bottom"/>
          </w:tcPr>
          <w:p w:rsidR="006D3765" w:rsidRPr="00D6005B" w:rsidRDefault="006D3765" w:rsidP="00A04DA5">
            <w:pPr>
              <w:pStyle w:val="TX-TableText"/>
              <w:jc w:val="center"/>
            </w:pPr>
            <w:r w:rsidRPr="00D6005B">
              <w:t>8.8%</w:t>
            </w:r>
          </w:p>
        </w:tc>
        <w:tc>
          <w:tcPr>
            <w:tcW w:w="1250" w:type="pct"/>
            <w:tcBorders>
              <w:top w:val="nil"/>
            </w:tcBorders>
            <w:noWrap/>
            <w:vAlign w:val="bottom"/>
          </w:tcPr>
          <w:p w:rsidR="006D3765" w:rsidRPr="00D6005B" w:rsidRDefault="006D3765" w:rsidP="00A04DA5">
            <w:pPr>
              <w:pStyle w:val="TX-TableText"/>
              <w:jc w:val="center"/>
            </w:pPr>
            <w:r w:rsidRPr="00D6005B">
              <w:t>10.6%</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300</w:t>
            </w:r>
          </w:p>
        </w:tc>
        <w:tc>
          <w:tcPr>
            <w:tcW w:w="1250" w:type="pct"/>
            <w:noWrap/>
            <w:vAlign w:val="bottom"/>
          </w:tcPr>
          <w:p w:rsidR="006D3765" w:rsidRPr="00D6005B" w:rsidRDefault="006D3765" w:rsidP="00A04DA5">
            <w:pPr>
              <w:pStyle w:val="TX-TableText"/>
              <w:jc w:val="center"/>
            </w:pPr>
            <w:r w:rsidRPr="00D6005B">
              <w:t>6.4%</w:t>
            </w:r>
          </w:p>
        </w:tc>
        <w:tc>
          <w:tcPr>
            <w:tcW w:w="1250" w:type="pct"/>
            <w:noWrap/>
            <w:vAlign w:val="bottom"/>
          </w:tcPr>
          <w:p w:rsidR="006D3765" w:rsidRPr="00D6005B" w:rsidRDefault="006D3765" w:rsidP="00A04DA5">
            <w:pPr>
              <w:pStyle w:val="TX-TableText"/>
              <w:jc w:val="center"/>
            </w:pPr>
            <w:r w:rsidRPr="00D6005B">
              <w:t>7.2%</w:t>
            </w:r>
          </w:p>
        </w:tc>
        <w:tc>
          <w:tcPr>
            <w:tcW w:w="1250" w:type="pct"/>
            <w:noWrap/>
            <w:vAlign w:val="bottom"/>
          </w:tcPr>
          <w:p w:rsidR="006D3765" w:rsidRPr="00D6005B" w:rsidRDefault="006D3765" w:rsidP="00A04DA5">
            <w:pPr>
              <w:pStyle w:val="TX-TableText"/>
              <w:jc w:val="center"/>
            </w:pPr>
            <w:r w:rsidRPr="00D6005B">
              <w:t>8.7%</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400</w:t>
            </w:r>
          </w:p>
        </w:tc>
        <w:tc>
          <w:tcPr>
            <w:tcW w:w="1250" w:type="pct"/>
            <w:noWrap/>
            <w:vAlign w:val="bottom"/>
          </w:tcPr>
          <w:p w:rsidR="006D3765" w:rsidRPr="00D6005B" w:rsidRDefault="006D3765" w:rsidP="00A04DA5">
            <w:pPr>
              <w:pStyle w:val="TX-TableText"/>
              <w:jc w:val="center"/>
            </w:pPr>
            <w:r w:rsidRPr="00D6005B">
              <w:t>5.5%</w:t>
            </w:r>
          </w:p>
        </w:tc>
        <w:tc>
          <w:tcPr>
            <w:tcW w:w="1250" w:type="pct"/>
            <w:noWrap/>
            <w:vAlign w:val="bottom"/>
          </w:tcPr>
          <w:p w:rsidR="006D3765" w:rsidRPr="00D6005B" w:rsidRDefault="006D3765" w:rsidP="00A04DA5">
            <w:pPr>
              <w:pStyle w:val="TX-TableText"/>
              <w:jc w:val="center"/>
            </w:pPr>
            <w:r w:rsidRPr="00D6005B">
              <w:t>6.3%</w:t>
            </w:r>
          </w:p>
        </w:tc>
        <w:tc>
          <w:tcPr>
            <w:tcW w:w="1250" w:type="pct"/>
            <w:noWrap/>
            <w:vAlign w:val="bottom"/>
          </w:tcPr>
          <w:p w:rsidR="006D3765" w:rsidRPr="00D6005B" w:rsidRDefault="006D3765" w:rsidP="00A04DA5">
            <w:pPr>
              <w:pStyle w:val="TX-TableText"/>
              <w:jc w:val="center"/>
            </w:pPr>
            <w:r w:rsidRPr="00D6005B">
              <w:t>7.5%</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500</w:t>
            </w:r>
          </w:p>
        </w:tc>
        <w:tc>
          <w:tcPr>
            <w:tcW w:w="1250" w:type="pct"/>
            <w:noWrap/>
            <w:vAlign w:val="bottom"/>
          </w:tcPr>
          <w:p w:rsidR="006D3765" w:rsidRPr="00D6005B" w:rsidRDefault="006D3765" w:rsidP="00A04DA5">
            <w:pPr>
              <w:pStyle w:val="TX-TableText"/>
              <w:jc w:val="center"/>
            </w:pPr>
            <w:r w:rsidRPr="00D6005B">
              <w:t>4.9%</w:t>
            </w:r>
          </w:p>
        </w:tc>
        <w:tc>
          <w:tcPr>
            <w:tcW w:w="1250" w:type="pct"/>
            <w:noWrap/>
            <w:vAlign w:val="bottom"/>
          </w:tcPr>
          <w:p w:rsidR="006D3765" w:rsidRPr="00D6005B" w:rsidRDefault="006D3765" w:rsidP="00A04DA5">
            <w:pPr>
              <w:pStyle w:val="TX-TableText"/>
              <w:jc w:val="center"/>
            </w:pPr>
            <w:r w:rsidRPr="00D6005B">
              <w:t>5.6%</w:t>
            </w:r>
          </w:p>
        </w:tc>
        <w:tc>
          <w:tcPr>
            <w:tcW w:w="1250" w:type="pct"/>
            <w:noWrap/>
            <w:vAlign w:val="bottom"/>
          </w:tcPr>
          <w:p w:rsidR="006D3765" w:rsidRPr="00D6005B" w:rsidRDefault="006D3765" w:rsidP="00A04DA5">
            <w:pPr>
              <w:pStyle w:val="TX-TableText"/>
              <w:jc w:val="center"/>
            </w:pPr>
            <w:r w:rsidRPr="00D6005B">
              <w:t>6.7%</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600</w:t>
            </w:r>
          </w:p>
        </w:tc>
        <w:tc>
          <w:tcPr>
            <w:tcW w:w="1250" w:type="pct"/>
            <w:noWrap/>
            <w:vAlign w:val="bottom"/>
          </w:tcPr>
          <w:p w:rsidR="006D3765" w:rsidRPr="00D6005B" w:rsidRDefault="006D3765" w:rsidP="00A04DA5">
            <w:pPr>
              <w:pStyle w:val="TX-TableText"/>
              <w:jc w:val="center"/>
            </w:pPr>
            <w:r w:rsidRPr="00D6005B">
              <w:t>4.5%</w:t>
            </w:r>
          </w:p>
        </w:tc>
        <w:tc>
          <w:tcPr>
            <w:tcW w:w="1250" w:type="pct"/>
            <w:noWrap/>
            <w:vAlign w:val="bottom"/>
          </w:tcPr>
          <w:p w:rsidR="006D3765" w:rsidRPr="00D6005B" w:rsidRDefault="006D3765" w:rsidP="00A04DA5">
            <w:pPr>
              <w:pStyle w:val="TX-TableText"/>
              <w:jc w:val="center"/>
            </w:pPr>
            <w:r w:rsidRPr="00D6005B">
              <w:t>5.1%</w:t>
            </w:r>
          </w:p>
        </w:tc>
        <w:tc>
          <w:tcPr>
            <w:tcW w:w="1250" w:type="pct"/>
            <w:noWrap/>
            <w:vAlign w:val="bottom"/>
          </w:tcPr>
          <w:p w:rsidR="006D3765" w:rsidRPr="00D6005B" w:rsidRDefault="006D3765" w:rsidP="00A04DA5">
            <w:pPr>
              <w:pStyle w:val="TX-TableText"/>
              <w:jc w:val="center"/>
            </w:pPr>
            <w:r w:rsidRPr="00D6005B">
              <w:t>6.1%</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700</w:t>
            </w:r>
          </w:p>
        </w:tc>
        <w:tc>
          <w:tcPr>
            <w:tcW w:w="1250" w:type="pct"/>
            <w:noWrap/>
            <w:vAlign w:val="bottom"/>
          </w:tcPr>
          <w:p w:rsidR="006D3765" w:rsidRPr="00D6005B" w:rsidRDefault="006D3765" w:rsidP="00A04DA5">
            <w:pPr>
              <w:pStyle w:val="TX-TableText"/>
              <w:jc w:val="center"/>
            </w:pPr>
            <w:r w:rsidRPr="00D6005B">
              <w:t>4.2%</w:t>
            </w:r>
          </w:p>
        </w:tc>
        <w:tc>
          <w:tcPr>
            <w:tcW w:w="1250" w:type="pct"/>
            <w:noWrap/>
            <w:vAlign w:val="bottom"/>
          </w:tcPr>
          <w:p w:rsidR="006D3765" w:rsidRPr="00D6005B" w:rsidRDefault="006D3765" w:rsidP="00A04DA5">
            <w:pPr>
              <w:pStyle w:val="TX-TableText"/>
              <w:jc w:val="center"/>
            </w:pPr>
            <w:r w:rsidRPr="00D6005B">
              <w:t>4.7%</w:t>
            </w:r>
          </w:p>
        </w:tc>
        <w:tc>
          <w:tcPr>
            <w:tcW w:w="1250" w:type="pct"/>
            <w:noWrap/>
            <w:vAlign w:val="bottom"/>
          </w:tcPr>
          <w:p w:rsidR="006D3765" w:rsidRPr="00D6005B" w:rsidRDefault="006D3765" w:rsidP="00A04DA5">
            <w:pPr>
              <w:pStyle w:val="TX-TableText"/>
              <w:jc w:val="center"/>
            </w:pPr>
            <w:r w:rsidRPr="00D6005B">
              <w:t>5.7%</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800</w:t>
            </w:r>
          </w:p>
        </w:tc>
        <w:tc>
          <w:tcPr>
            <w:tcW w:w="1250" w:type="pct"/>
            <w:noWrap/>
            <w:vAlign w:val="bottom"/>
          </w:tcPr>
          <w:p w:rsidR="006D3765" w:rsidRPr="00D6005B" w:rsidRDefault="006D3765" w:rsidP="00A04DA5">
            <w:pPr>
              <w:pStyle w:val="TX-TableText"/>
              <w:jc w:val="center"/>
            </w:pPr>
            <w:r w:rsidRPr="00D6005B">
              <w:t>3.9%</w:t>
            </w:r>
          </w:p>
        </w:tc>
        <w:tc>
          <w:tcPr>
            <w:tcW w:w="1250" w:type="pct"/>
            <w:noWrap/>
            <w:vAlign w:val="bottom"/>
          </w:tcPr>
          <w:p w:rsidR="006D3765" w:rsidRPr="00D6005B" w:rsidRDefault="006D3765" w:rsidP="00A04DA5">
            <w:pPr>
              <w:pStyle w:val="TX-TableText"/>
              <w:jc w:val="center"/>
            </w:pPr>
            <w:r w:rsidRPr="00D6005B">
              <w:t>4.4%</w:t>
            </w:r>
          </w:p>
        </w:tc>
        <w:tc>
          <w:tcPr>
            <w:tcW w:w="1250" w:type="pct"/>
            <w:noWrap/>
            <w:vAlign w:val="bottom"/>
          </w:tcPr>
          <w:p w:rsidR="006D3765" w:rsidRPr="00D6005B" w:rsidRDefault="006D3765" w:rsidP="00A04DA5">
            <w:pPr>
              <w:pStyle w:val="TX-TableText"/>
              <w:jc w:val="center"/>
            </w:pPr>
            <w:r w:rsidRPr="00D6005B">
              <w:t>5.3%</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900</w:t>
            </w:r>
          </w:p>
        </w:tc>
        <w:tc>
          <w:tcPr>
            <w:tcW w:w="1250" w:type="pct"/>
            <w:noWrap/>
            <w:vAlign w:val="bottom"/>
          </w:tcPr>
          <w:p w:rsidR="006D3765" w:rsidRPr="00D6005B" w:rsidRDefault="006D3765" w:rsidP="00A04DA5">
            <w:pPr>
              <w:pStyle w:val="TX-TableText"/>
              <w:jc w:val="center"/>
            </w:pPr>
            <w:r w:rsidRPr="00D6005B">
              <w:t>3.7%</w:t>
            </w:r>
          </w:p>
        </w:tc>
        <w:tc>
          <w:tcPr>
            <w:tcW w:w="1250" w:type="pct"/>
            <w:noWrap/>
            <w:vAlign w:val="bottom"/>
          </w:tcPr>
          <w:p w:rsidR="006D3765" w:rsidRPr="00D6005B" w:rsidRDefault="006D3765" w:rsidP="00A04DA5">
            <w:pPr>
              <w:pStyle w:val="TX-TableText"/>
              <w:jc w:val="center"/>
            </w:pPr>
            <w:r w:rsidRPr="00D6005B">
              <w:t>4.2%</w:t>
            </w:r>
          </w:p>
        </w:tc>
        <w:tc>
          <w:tcPr>
            <w:tcW w:w="1250" w:type="pct"/>
            <w:noWrap/>
            <w:vAlign w:val="bottom"/>
          </w:tcPr>
          <w:p w:rsidR="006D3765" w:rsidRPr="00D6005B" w:rsidRDefault="006D3765" w:rsidP="00A04DA5">
            <w:pPr>
              <w:pStyle w:val="TX-TableText"/>
              <w:jc w:val="center"/>
            </w:pPr>
            <w:r w:rsidRPr="00D6005B">
              <w:t>5.0%</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1,000</w:t>
            </w:r>
          </w:p>
        </w:tc>
        <w:tc>
          <w:tcPr>
            <w:tcW w:w="1250" w:type="pct"/>
            <w:noWrap/>
            <w:vAlign w:val="bottom"/>
          </w:tcPr>
          <w:p w:rsidR="006D3765" w:rsidRPr="00D6005B" w:rsidRDefault="006D3765" w:rsidP="00A04DA5">
            <w:pPr>
              <w:pStyle w:val="TX-TableText"/>
              <w:jc w:val="center"/>
            </w:pPr>
            <w:r w:rsidRPr="00D6005B">
              <w:t>3.5%</w:t>
            </w:r>
          </w:p>
        </w:tc>
        <w:tc>
          <w:tcPr>
            <w:tcW w:w="1250" w:type="pct"/>
            <w:noWrap/>
            <w:vAlign w:val="bottom"/>
          </w:tcPr>
          <w:p w:rsidR="006D3765" w:rsidRPr="00D6005B" w:rsidRDefault="006D3765" w:rsidP="00A04DA5">
            <w:pPr>
              <w:pStyle w:val="TX-TableText"/>
              <w:jc w:val="center"/>
            </w:pPr>
            <w:r w:rsidRPr="00D6005B">
              <w:t>4.0%</w:t>
            </w:r>
          </w:p>
        </w:tc>
        <w:tc>
          <w:tcPr>
            <w:tcW w:w="1250" w:type="pct"/>
            <w:noWrap/>
            <w:vAlign w:val="bottom"/>
          </w:tcPr>
          <w:p w:rsidR="006D3765" w:rsidRPr="00D6005B" w:rsidRDefault="006D3765" w:rsidP="00A04DA5">
            <w:pPr>
              <w:pStyle w:val="TX-TableText"/>
              <w:jc w:val="center"/>
            </w:pPr>
            <w:r w:rsidRPr="00D6005B">
              <w:t>4.7%</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1,100</w:t>
            </w:r>
          </w:p>
        </w:tc>
        <w:tc>
          <w:tcPr>
            <w:tcW w:w="1250" w:type="pct"/>
            <w:noWrap/>
            <w:vAlign w:val="bottom"/>
          </w:tcPr>
          <w:p w:rsidR="006D3765" w:rsidRPr="00D6005B" w:rsidRDefault="006D3765" w:rsidP="00A04DA5">
            <w:pPr>
              <w:pStyle w:val="TX-TableText"/>
              <w:jc w:val="center"/>
            </w:pPr>
            <w:r w:rsidRPr="00D6005B">
              <w:t>3.3%</w:t>
            </w:r>
          </w:p>
        </w:tc>
        <w:tc>
          <w:tcPr>
            <w:tcW w:w="1250" w:type="pct"/>
            <w:noWrap/>
            <w:vAlign w:val="bottom"/>
          </w:tcPr>
          <w:p w:rsidR="006D3765" w:rsidRPr="00D6005B" w:rsidRDefault="006D3765" w:rsidP="00A04DA5">
            <w:pPr>
              <w:pStyle w:val="TX-TableText"/>
              <w:jc w:val="center"/>
            </w:pPr>
            <w:r w:rsidRPr="00D6005B">
              <w:t>3.8%</w:t>
            </w:r>
          </w:p>
        </w:tc>
        <w:tc>
          <w:tcPr>
            <w:tcW w:w="1250" w:type="pct"/>
            <w:noWrap/>
            <w:vAlign w:val="bottom"/>
          </w:tcPr>
          <w:p w:rsidR="006D3765" w:rsidRPr="00D6005B" w:rsidRDefault="006D3765" w:rsidP="00A04DA5">
            <w:pPr>
              <w:pStyle w:val="TX-TableText"/>
              <w:jc w:val="center"/>
            </w:pPr>
            <w:r w:rsidRPr="00D6005B">
              <w:t>4.5%</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1,200</w:t>
            </w:r>
          </w:p>
        </w:tc>
        <w:tc>
          <w:tcPr>
            <w:tcW w:w="1250" w:type="pct"/>
            <w:noWrap/>
            <w:vAlign w:val="bottom"/>
          </w:tcPr>
          <w:p w:rsidR="006D3765" w:rsidRPr="00D6005B" w:rsidRDefault="006D3765" w:rsidP="00A04DA5">
            <w:pPr>
              <w:pStyle w:val="TX-TableText"/>
              <w:jc w:val="center"/>
            </w:pPr>
            <w:r w:rsidRPr="00D6005B">
              <w:t>3.2%</w:t>
            </w:r>
          </w:p>
        </w:tc>
        <w:tc>
          <w:tcPr>
            <w:tcW w:w="1250" w:type="pct"/>
            <w:noWrap/>
            <w:vAlign w:val="bottom"/>
          </w:tcPr>
          <w:p w:rsidR="006D3765" w:rsidRPr="00D6005B" w:rsidRDefault="006D3765" w:rsidP="00A04DA5">
            <w:pPr>
              <w:pStyle w:val="TX-TableText"/>
              <w:jc w:val="center"/>
            </w:pPr>
            <w:r w:rsidRPr="00D6005B">
              <w:t>3.6%</w:t>
            </w:r>
          </w:p>
        </w:tc>
        <w:tc>
          <w:tcPr>
            <w:tcW w:w="1250" w:type="pct"/>
            <w:noWrap/>
            <w:vAlign w:val="bottom"/>
          </w:tcPr>
          <w:p w:rsidR="006D3765" w:rsidRPr="00D6005B" w:rsidRDefault="006D3765" w:rsidP="00A04DA5">
            <w:pPr>
              <w:pStyle w:val="TX-TableText"/>
              <w:jc w:val="center"/>
            </w:pPr>
            <w:r w:rsidRPr="00D6005B">
              <w:t>4.3%</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1,300</w:t>
            </w:r>
          </w:p>
        </w:tc>
        <w:tc>
          <w:tcPr>
            <w:tcW w:w="1250" w:type="pct"/>
            <w:noWrap/>
            <w:vAlign w:val="bottom"/>
          </w:tcPr>
          <w:p w:rsidR="006D3765" w:rsidRPr="00D6005B" w:rsidRDefault="006D3765" w:rsidP="00A04DA5">
            <w:pPr>
              <w:pStyle w:val="TX-TableText"/>
              <w:jc w:val="center"/>
            </w:pPr>
            <w:r w:rsidRPr="00D6005B">
              <w:t>3.1%</w:t>
            </w:r>
          </w:p>
        </w:tc>
        <w:tc>
          <w:tcPr>
            <w:tcW w:w="1250" w:type="pct"/>
            <w:noWrap/>
            <w:vAlign w:val="bottom"/>
          </w:tcPr>
          <w:p w:rsidR="006D3765" w:rsidRPr="00D6005B" w:rsidRDefault="006D3765" w:rsidP="00A04DA5">
            <w:pPr>
              <w:pStyle w:val="TX-TableText"/>
              <w:jc w:val="center"/>
            </w:pPr>
            <w:r w:rsidRPr="00D6005B">
              <w:t>3.5%</w:t>
            </w:r>
          </w:p>
        </w:tc>
        <w:tc>
          <w:tcPr>
            <w:tcW w:w="1250" w:type="pct"/>
            <w:noWrap/>
            <w:vAlign w:val="bottom"/>
          </w:tcPr>
          <w:p w:rsidR="006D3765" w:rsidRPr="00D6005B" w:rsidRDefault="006D3765" w:rsidP="00A04DA5">
            <w:pPr>
              <w:pStyle w:val="TX-TableText"/>
              <w:jc w:val="center"/>
            </w:pPr>
            <w:r w:rsidRPr="00D6005B">
              <w:t>4.2%</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1,400</w:t>
            </w:r>
          </w:p>
        </w:tc>
        <w:tc>
          <w:tcPr>
            <w:tcW w:w="1250" w:type="pct"/>
            <w:noWrap/>
            <w:vAlign w:val="bottom"/>
          </w:tcPr>
          <w:p w:rsidR="006D3765" w:rsidRPr="00D6005B" w:rsidRDefault="006D3765" w:rsidP="00A04DA5">
            <w:pPr>
              <w:pStyle w:val="TX-TableText"/>
              <w:jc w:val="center"/>
            </w:pPr>
            <w:r w:rsidRPr="00D6005B">
              <w:t>2.9%</w:t>
            </w:r>
          </w:p>
        </w:tc>
        <w:tc>
          <w:tcPr>
            <w:tcW w:w="1250" w:type="pct"/>
            <w:noWrap/>
            <w:vAlign w:val="bottom"/>
          </w:tcPr>
          <w:p w:rsidR="006D3765" w:rsidRPr="00D6005B" w:rsidRDefault="006D3765" w:rsidP="00A04DA5">
            <w:pPr>
              <w:pStyle w:val="TX-TableText"/>
              <w:jc w:val="center"/>
            </w:pPr>
            <w:r w:rsidRPr="00D6005B">
              <w:t>3.3%</w:t>
            </w:r>
          </w:p>
        </w:tc>
        <w:tc>
          <w:tcPr>
            <w:tcW w:w="1250" w:type="pct"/>
            <w:noWrap/>
            <w:vAlign w:val="bottom"/>
          </w:tcPr>
          <w:p w:rsidR="006D3765" w:rsidRPr="00D6005B" w:rsidRDefault="006D3765" w:rsidP="00A04DA5">
            <w:pPr>
              <w:pStyle w:val="TX-TableText"/>
              <w:jc w:val="center"/>
            </w:pPr>
            <w:r w:rsidRPr="00D6005B">
              <w:t>4.0%</w:t>
            </w:r>
          </w:p>
        </w:tc>
      </w:tr>
      <w:tr w:rsidR="006D3765" w:rsidRPr="00D6005B" w:rsidTr="00B46D1D">
        <w:trPr>
          <w:trHeight w:val="288"/>
        </w:trPr>
        <w:tc>
          <w:tcPr>
            <w:tcW w:w="1250" w:type="pct"/>
            <w:noWrap/>
            <w:vAlign w:val="bottom"/>
          </w:tcPr>
          <w:p w:rsidR="006D3765" w:rsidRPr="00D6005B" w:rsidRDefault="006D3765" w:rsidP="00B72321">
            <w:pPr>
              <w:pStyle w:val="TX-TableText"/>
            </w:pPr>
            <w:r w:rsidRPr="00D6005B">
              <w:t>1,500</w:t>
            </w:r>
          </w:p>
        </w:tc>
        <w:tc>
          <w:tcPr>
            <w:tcW w:w="1250" w:type="pct"/>
            <w:noWrap/>
            <w:vAlign w:val="bottom"/>
          </w:tcPr>
          <w:p w:rsidR="006D3765" w:rsidRPr="00D6005B" w:rsidRDefault="006D3765" w:rsidP="00A04DA5">
            <w:pPr>
              <w:pStyle w:val="TX-TableText"/>
              <w:jc w:val="center"/>
            </w:pPr>
            <w:r w:rsidRPr="00D6005B">
              <w:t>2.8%</w:t>
            </w:r>
          </w:p>
        </w:tc>
        <w:tc>
          <w:tcPr>
            <w:tcW w:w="1250" w:type="pct"/>
            <w:noWrap/>
            <w:vAlign w:val="bottom"/>
          </w:tcPr>
          <w:p w:rsidR="006D3765" w:rsidRPr="00D6005B" w:rsidRDefault="006D3765" w:rsidP="00A04DA5">
            <w:pPr>
              <w:pStyle w:val="TX-TableText"/>
              <w:jc w:val="center"/>
            </w:pPr>
            <w:r w:rsidRPr="00D6005B">
              <w:t>3.2%</w:t>
            </w:r>
          </w:p>
        </w:tc>
        <w:tc>
          <w:tcPr>
            <w:tcW w:w="1250" w:type="pct"/>
            <w:noWrap/>
            <w:vAlign w:val="bottom"/>
          </w:tcPr>
          <w:p w:rsidR="006D3765" w:rsidRPr="00D6005B" w:rsidRDefault="006D3765" w:rsidP="00A04DA5">
            <w:pPr>
              <w:pStyle w:val="TX-TableText"/>
              <w:jc w:val="center"/>
            </w:pPr>
            <w:r w:rsidRPr="00D6005B">
              <w:t>3.9%</w:t>
            </w:r>
          </w:p>
        </w:tc>
      </w:tr>
    </w:tbl>
    <w:p w:rsidR="006D3765" w:rsidRPr="00A04DA5" w:rsidRDefault="006D3765" w:rsidP="00A04DA5">
      <w:pPr>
        <w:pStyle w:val="TF-TblFN"/>
        <w:ind w:right="1980"/>
        <w:rPr>
          <w:sz w:val="18"/>
          <w:szCs w:val="18"/>
        </w:rPr>
      </w:pPr>
      <w:r w:rsidRPr="00A04DA5">
        <w:rPr>
          <w:sz w:val="18"/>
          <w:szCs w:val="18"/>
        </w:rPr>
        <w:t>*</w:t>
      </w:r>
      <w:r w:rsidRPr="00A04DA5">
        <w:rPr>
          <w:sz w:val="18"/>
          <w:szCs w:val="18"/>
        </w:rPr>
        <w:tab/>
        <w:t>Entries correspond to 95% confidence limits for an estimated prevalence of approximately 50%. For estimated prevalence less than 50% or greater than 50%, the confidence limits will be smaller than those indicated in the table.</w:t>
      </w:r>
    </w:p>
    <w:p w:rsidR="006D3765" w:rsidRPr="00D6005B" w:rsidRDefault="006D3765" w:rsidP="00001D5E">
      <w:pPr>
        <w:spacing w:line="240" w:lineRule="auto"/>
        <w:rPr>
          <w:szCs w:val="24"/>
        </w:rPr>
      </w:pPr>
    </w:p>
    <w:p w:rsidR="006D3765" w:rsidRDefault="006D3765" w:rsidP="00A04DA5">
      <w:pPr>
        <w:pStyle w:val="P1-StandPara"/>
        <w:spacing w:line="240" w:lineRule="auto"/>
        <w:ind w:left="540" w:firstLine="0"/>
        <w:rPr>
          <w:b/>
          <w:szCs w:val="24"/>
        </w:rPr>
      </w:pPr>
      <w:r w:rsidRPr="00D6005B">
        <w:rPr>
          <w:b/>
          <w:szCs w:val="24"/>
        </w:rPr>
        <w:t>Sample Stratification and Selection</w:t>
      </w:r>
    </w:p>
    <w:p w:rsidR="006D3765" w:rsidRDefault="006D3765" w:rsidP="00001D5E">
      <w:pPr>
        <w:pStyle w:val="P1-StandPara"/>
        <w:spacing w:line="240" w:lineRule="auto"/>
        <w:ind w:firstLine="0"/>
        <w:rPr>
          <w:b/>
          <w:szCs w:val="24"/>
        </w:rPr>
      </w:pPr>
    </w:p>
    <w:p w:rsidR="006D3765" w:rsidRPr="00B62C3C" w:rsidRDefault="006D3765" w:rsidP="00001D5E">
      <w:pPr>
        <w:pStyle w:val="P1-StandPara"/>
        <w:spacing w:line="240" w:lineRule="auto"/>
        <w:ind w:firstLine="0"/>
        <w:rPr>
          <w:szCs w:val="24"/>
        </w:rPr>
      </w:pPr>
      <w:r w:rsidRPr="00D6005B">
        <w:rPr>
          <w:szCs w:val="24"/>
        </w:rPr>
        <w:t xml:space="preserve">As indicated </w:t>
      </w:r>
      <w:r w:rsidR="0022523E">
        <w:rPr>
          <w:szCs w:val="24"/>
        </w:rPr>
        <w:t>in Section B.1</w:t>
      </w:r>
      <w:r w:rsidRPr="00D6005B">
        <w:rPr>
          <w:szCs w:val="24"/>
        </w:rPr>
        <w:t xml:space="preserve">, an SFA-level database derived from 2009-10 Verification Summary Reports data (FNS form 742) will be used to construct the SFA sampling frame. In addition to a unique identifier (SFAID), name of SFA, and state in which the SFA is located, the database includes information about the type of control of the SFA/school district (public or private), number of schools participating in the NSLP/SBP, total enrollment in participating schools, and the number of students eligible for free or reduced-price lunch. This information, along with data from the most recent NCES Common Core of Data (CCD) LEA universe file will be used to stratify SFAs for sampling purposes. Note that all known eligible SFAs, including those that cannot be matched to the current CCD file, will be included in the sampling frame. </w:t>
      </w:r>
      <w:r w:rsidRPr="00B62C3C">
        <w:rPr>
          <w:szCs w:val="24"/>
        </w:rPr>
        <w:t xml:space="preserve">Although the </w:t>
      </w:r>
      <w:proofErr w:type="spellStart"/>
      <w:r w:rsidRPr="00B62C3C">
        <w:rPr>
          <w:szCs w:val="24"/>
        </w:rPr>
        <w:t>nonmatched</w:t>
      </w:r>
      <w:proofErr w:type="spellEnd"/>
      <w:r w:rsidRPr="00B62C3C">
        <w:rPr>
          <w:szCs w:val="24"/>
        </w:rPr>
        <w:t xml:space="preserve"> SFAs account for a small percentage of students with access to NSLP or SBP (e.g., see table </w:t>
      </w:r>
      <w:r>
        <w:rPr>
          <w:szCs w:val="24"/>
        </w:rPr>
        <w:t>B</w:t>
      </w:r>
      <w:r w:rsidRPr="00B62C3C">
        <w:rPr>
          <w:szCs w:val="24"/>
        </w:rPr>
        <w:t xml:space="preserve">1) and could be excluded from the sampling frame, we </w:t>
      </w:r>
      <w:r>
        <w:rPr>
          <w:szCs w:val="24"/>
        </w:rPr>
        <w:t>plan</w:t>
      </w:r>
      <w:r w:rsidRPr="00B62C3C">
        <w:rPr>
          <w:szCs w:val="24"/>
        </w:rPr>
        <w:t xml:space="preserve"> to include them to </w:t>
      </w:r>
      <w:r>
        <w:rPr>
          <w:szCs w:val="24"/>
        </w:rPr>
        <w:t>minimize potential coverage biases resulting from the inability to perfectly</w:t>
      </w:r>
      <w:r w:rsidR="00AE1010">
        <w:rPr>
          <w:szCs w:val="24"/>
        </w:rPr>
        <w:t xml:space="preserve"> </w:t>
      </w:r>
      <w:r>
        <w:rPr>
          <w:szCs w:val="24"/>
        </w:rPr>
        <w:t>link SFAs in the FNS-742 database to the corresponding LEA in the CCD universe file</w:t>
      </w:r>
      <w:r w:rsidRPr="00B62C3C">
        <w:rPr>
          <w:szCs w:val="24"/>
        </w:rPr>
        <w:t xml:space="preserve">. </w:t>
      </w:r>
    </w:p>
    <w:p w:rsidR="006D3765" w:rsidRDefault="006D3765" w:rsidP="00001D5E">
      <w:pPr>
        <w:pStyle w:val="P1-StandPara"/>
        <w:spacing w:line="240" w:lineRule="auto"/>
        <w:ind w:firstLine="0"/>
        <w:rPr>
          <w:szCs w:val="24"/>
        </w:rPr>
      </w:pPr>
    </w:p>
    <w:p w:rsidR="006D3765" w:rsidRPr="00D6005B" w:rsidRDefault="006D3765" w:rsidP="00001D5E">
      <w:pPr>
        <w:pStyle w:val="P1-StandPara"/>
        <w:spacing w:line="240" w:lineRule="auto"/>
        <w:ind w:firstLine="0"/>
        <w:rPr>
          <w:szCs w:val="24"/>
        </w:rPr>
      </w:pPr>
      <w:r w:rsidRPr="00D6005B">
        <w:rPr>
          <w:szCs w:val="24"/>
        </w:rPr>
        <w:t xml:space="preserve">The types of district-level variables that can be used either as explicit or implicit </w:t>
      </w:r>
      <w:proofErr w:type="spellStart"/>
      <w:r w:rsidRPr="00D6005B">
        <w:rPr>
          <w:szCs w:val="24"/>
        </w:rPr>
        <w:t>stratifiers</w:t>
      </w:r>
      <w:proofErr w:type="spellEnd"/>
      <w:r w:rsidRPr="00D6005B">
        <w:rPr>
          <w:szCs w:val="24"/>
        </w:rPr>
        <w:t xml:space="preserve"> include region (defined by the seven FNS regions), enrollment size class, a measure of poverty status defined by the percent of students eligible for free/reduced price lunch, minority status defined by the percent of non-white students served by the SFA, type of locale (e.g., central city, suburban, town, rural), and instructional level of schools served by the SFA (e.g., elementary schools only, secondary schools only, or both). Since many of these characteristics are related, it will not be necessary to employ all of them in stratification to account for the variation in SFAs. Thus, we propose to define explicit sampling strata based on three </w:t>
      </w:r>
      <w:r>
        <w:rPr>
          <w:szCs w:val="24"/>
        </w:rPr>
        <w:t xml:space="preserve">primary </w:t>
      </w:r>
      <w:r w:rsidRPr="00D6005B">
        <w:rPr>
          <w:szCs w:val="24"/>
        </w:rPr>
        <w:t xml:space="preserve">variables: SFA enrollment size, </w:t>
      </w:r>
      <w:r w:rsidR="00380B8C">
        <w:rPr>
          <w:szCs w:val="24"/>
        </w:rPr>
        <w:t>FNS region</w:t>
      </w:r>
      <w:r w:rsidRPr="00D6005B">
        <w:rPr>
          <w:szCs w:val="24"/>
        </w:rPr>
        <w:t xml:space="preserve">, and poverty status. </w:t>
      </w:r>
      <w:r>
        <w:rPr>
          <w:szCs w:val="24"/>
        </w:rPr>
        <w:t>Note that since type-of-locale</w:t>
      </w:r>
      <w:r w:rsidR="00AD2938">
        <w:rPr>
          <w:szCs w:val="24"/>
        </w:rPr>
        <w:t>, minority status, and instructional level</w:t>
      </w:r>
      <w:r>
        <w:rPr>
          <w:szCs w:val="24"/>
        </w:rPr>
        <w:t xml:space="preserve"> will not be available for SFAs that are not matched to LEAs in the CCD file, </w:t>
      </w:r>
      <w:r w:rsidR="0099209C">
        <w:rPr>
          <w:szCs w:val="24"/>
        </w:rPr>
        <w:t xml:space="preserve">the </w:t>
      </w:r>
      <w:r>
        <w:rPr>
          <w:szCs w:val="24"/>
        </w:rPr>
        <w:t xml:space="preserve">non-matched cases will be placed in a </w:t>
      </w:r>
      <w:r w:rsidR="00AD2938">
        <w:rPr>
          <w:szCs w:val="24"/>
        </w:rPr>
        <w:t>separate</w:t>
      </w:r>
      <w:r>
        <w:rPr>
          <w:szCs w:val="24"/>
        </w:rPr>
        <w:t xml:space="preserve"> category for sampling purposes. </w:t>
      </w:r>
      <w:r w:rsidR="00AD2938">
        <w:rPr>
          <w:szCs w:val="24"/>
        </w:rPr>
        <w:t>The CCD</w:t>
      </w:r>
      <w:r w:rsidRPr="00D6005B">
        <w:rPr>
          <w:szCs w:val="24"/>
        </w:rPr>
        <w:t xml:space="preserve"> variables will be used as possible implicit </w:t>
      </w:r>
      <w:proofErr w:type="spellStart"/>
      <w:r w:rsidRPr="00D6005B">
        <w:rPr>
          <w:szCs w:val="24"/>
        </w:rPr>
        <w:t>stratifiers</w:t>
      </w:r>
      <w:proofErr w:type="spellEnd"/>
      <w:r w:rsidRPr="00D6005B">
        <w:rPr>
          <w:szCs w:val="24"/>
        </w:rPr>
        <w:t xml:space="preserve"> (i.e., sorting variables) to ensure appropriate dispersion and representation in the sample. </w:t>
      </w:r>
      <w:r w:rsidRPr="00D6005B">
        <w:rPr>
          <w:color w:val="000000"/>
          <w:szCs w:val="24"/>
        </w:rPr>
        <w:t>A stratified sample of 1,765 SFAs will be allocated to the strata in rough proportion to the aggregate square root of the enrollment of SFAs in the stratum. Such an allocation gives large SFAs relatively higher selection probabilities</w:t>
      </w:r>
      <w:r w:rsidRPr="00D6005B">
        <w:rPr>
          <w:szCs w:val="24"/>
        </w:rPr>
        <w:t xml:space="preserve"> than smaller ones and is expected to provide acceptable sampling precision for both prevalence estimates (e.g., the proportion of SFAs with a specified characteristic) and numeric measures correlated with enrollment (e.g., the number of students in SFAs with access to various food services or programs). Prior to sample selection, SFAs in the sampling frame will be sorted by characteristics </w:t>
      </w:r>
      <w:r w:rsidR="00AD2938">
        <w:rPr>
          <w:szCs w:val="24"/>
        </w:rPr>
        <w:t>available from the CCD file to the extent feasible</w:t>
      </w:r>
      <w:r w:rsidRPr="00D6005B">
        <w:rPr>
          <w:szCs w:val="24"/>
        </w:rPr>
        <w:t xml:space="preserve"> to induce additional implicit stratification. Within each primary stratum defined by size class, </w:t>
      </w:r>
      <w:r w:rsidR="00AD2938">
        <w:rPr>
          <w:szCs w:val="24"/>
        </w:rPr>
        <w:t>FNS region</w:t>
      </w:r>
      <w:r w:rsidRPr="00D6005B">
        <w:rPr>
          <w:szCs w:val="24"/>
        </w:rPr>
        <w:t xml:space="preserve">, and poverty status, SFAs will be selected systematically </w:t>
      </w:r>
      <w:r>
        <w:rPr>
          <w:szCs w:val="24"/>
        </w:rPr>
        <w:t>at rates that are roughly proportional to the mean of the square root of the enrollment of the SFAs in the stratum</w:t>
      </w:r>
      <w:proofErr w:type="gramStart"/>
      <w:r>
        <w:rPr>
          <w:szCs w:val="24"/>
        </w:rPr>
        <w:t>.</w:t>
      </w:r>
      <w:r w:rsidRPr="00D6005B">
        <w:rPr>
          <w:szCs w:val="24"/>
        </w:rPr>
        <w:t>.</w:t>
      </w:r>
      <w:proofErr w:type="gramEnd"/>
      <w:r w:rsidRPr="00D6005B">
        <w:rPr>
          <w:szCs w:val="24"/>
        </w:rPr>
        <w:t xml:space="preserve"> Assuming an overall response rate of 85 percent, the initial sample of approximately 1,765 SFAs will yield about 1,500 completed questionnaires. Table </w:t>
      </w:r>
      <w:r>
        <w:rPr>
          <w:szCs w:val="24"/>
        </w:rPr>
        <w:t>B</w:t>
      </w:r>
      <w:r w:rsidRPr="00D6005B">
        <w:rPr>
          <w:szCs w:val="24"/>
        </w:rPr>
        <w:t>3 summarizes the proposed sample allocation and the expected sample yields by SFA enrollment size and poverty level.</w:t>
      </w:r>
    </w:p>
    <w:p w:rsidR="006D3765" w:rsidRDefault="006D3765" w:rsidP="00001D5E">
      <w:pPr>
        <w:rPr>
          <w:szCs w:val="24"/>
        </w:rPr>
      </w:pPr>
    </w:p>
    <w:p w:rsidR="006D3765" w:rsidRDefault="006D3765" w:rsidP="00A04DA5">
      <w:pPr>
        <w:pStyle w:val="TT-TableTitle"/>
        <w:tabs>
          <w:tab w:val="clear" w:pos="1440"/>
          <w:tab w:val="left" w:pos="1260"/>
        </w:tabs>
        <w:ind w:left="1260" w:hanging="1260"/>
      </w:pPr>
      <w:bookmarkStart w:id="5" w:name="_Toc282508104"/>
      <w:r w:rsidRPr="00A42ECF">
        <w:t>Table B3.</w:t>
      </w:r>
      <w:r w:rsidRPr="00A42ECF">
        <w:tab/>
        <w:t>Proposed sample sizes for the SFA survey</w:t>
      </w:r>
      <w:bookmarkEnd w:id="5"/>
    </w:p>
    <w:p w:rsidR="00A04DA5" w:rsidRPr="00A04DA5" w:rsidRDefault="00A04DA5" w:rsidP="00A04DA5">
      <w:pPr>
        <w:rPr>
          <w:szCs w:val="24"/>
        </w:rPr>
      </w:pPr>
    </w:p>
    <w:tbl>
      <w:tblPr>
        <w:tblW w:w="7938" w:type="dxa"/>
        <w:tblLayout w:type="fixed"/>
        <w:tblLook w:val="04A0"/>
      </w:tblPr>
      <w:tblGrid>
        <w:gridCol w:w="2142"/>
        <w:gridCol w:w="1932"/>
        <w:gridCol w:w="1932"/>
        <w:gridCol w:w="1932"/>
      </w:tblGrid>
      <w:tr w:rsidR="006D3765" w:rsidRPr="005E0C7B" w:rsidTr="00A04DA5">
        <w:tc>
          <w:tcPr>
            <w:tcW w:w="2142" w:type="dxa"/>
            <w:tcBorders>
              <w:top w:val="single" w:sz="4" w:space="0" w:color="auto"/>
              <w:left w:val="nil"/>
              <w:bottom w:val="single" w:sz="4" w:space="0" w:color="auto"/>
              <w:right w:val="nil"/>
            </w:tcBorders>
            <w:shd w:val="clear" w:color="auto" w:fill="AFBED7"/>
            <w:vAlign w:val="bottom"/>
            <w:hideMark/>
          </w:tcPr>
          <w:p w:rsidR="006D3765" w:rsidRPr="007B23B1" w:rsidRDefault="006D3765" w:rsidP="00A04DA5">
            <w:pPr>
              <w:pStyle w:val="TH-TableHeading"/>
            </w:pPr>
            <w:r w:rsidRPr="007B23B1">
              <w:t>Percent eligible for free/</w:t>
            </w:r>
            <w:proofErr w:type="spellStart"/>
            <w:r w:rsidRPr="007B23B1">
              <w:t>reducted</w:t>
            </w:r>
            <w:proofErr w:type="spellEnd"/>
            <w:r w:rsidRPr="007B23B1">
              <w:t xml:space="preserve"> price lunch</w:t>
            </w:r>
            <w:r w:rsidRPr="00A04DA5">
              <w:rPr>
                <w:vertAlign w:val="superscript"/>
              </w:rPr>
              <w:t>1</w:t>
            </w:r>
          </w:p>
        </w:tc>
        <w:tc>
          <w:tcPr>
            <w:tcW w:w="1932" w:type="dxa"/>
            <w:tcBorders>
              <w:top w:val="single" w:sz="4" w:space="0" w:color="auto"/>
              <w:left w:val="nil"/>
              <w:bottom w:val="single" w:sz="4" w:space="0" w:color="auto"/>
              <w:right w:val="nil"/>
            </w:tcBorders>
            <w:shd w:val="clear" w:color="auto" w:fill="AFBED7"/>
            <w:vAlign w:val="bottom"/>
            <w:hideMark/>
          </w:tcPr>
          <w:p w:rsidR="006D3765" w:rsidRPr="007B23B1" w:rsidRDefault="006D3765" w:rsidP="00A04DA5">
            <w:pPr>
              <w:pStyle w:val="TH-TableHeading"/>
            </w:pPr>
            <w:r w:rsidRPr="007B23B1">
              <w:t>Enrollment size class</w:t>
            </w:r>
            <w:r w:rsidRPr="00A04DA5">
              <w:rPr>
                <w:vertAlign w:val="superscript"/>
              </w:rPr>
              <w:t>2</w:t>
            </w:r>
          </w:p>
        </w:tc>
        <w:tc>
          <w:tcPr>
            <w:tcW w:w="1932" w:type="dxa"/>
            <w:tcBorders>
              <w:top w:val="single" w:sz="4" w:space="0" w:color="auto"/>
              <w:left w:val="nil"/>
              <w:bottom w:val="single" w:sz="4" w:space="0" w:color="auto"/>
              <w:right w:val="nil"/>
            </w:tcBorders>
            <w:shd w:val="clear" w:color="auto" w:fill="AFBED7"/>
            <w:vAlign w:val="bottom"/>
            <w:hideMark/>
          </w:tcPr>
          <w:p w:rsidR="006D3765" w:rsidRPr="007B23B1" w:rsidRDefault="006D3765" w:rsidP="00A04DA5">
            <w:pPr>
              <w:pStyle w:val="TH-TableHeading"/>
            </w:pPr>
            <w:r w:rsidRPr="007B23B1">
              <w:t>Number of SFAs to be sampled</w:t>
            </w:r>
          </w:p>
        </w:tc>
        <w:tc>
          <w:tcPr>
            <w:tcW w:w="1932" w:type="dxa"/>
            <w:tcBorders>
              <w:top w:val="single" w:sz="4" w:space="0" w:color="auto"/>
              <w:left w:val="nil"/>
              <w:bottom w:val="single" w:sz="4" w:space="0" w:color="auto"/>
              <w:right w:val="nil"/>
            </w:tcBorders>
            <w:shd w:val="clear" w:color="auto" w:fill="AFBED7"/>
            <w:vAlign w:val="bottom"/>
            <w:hideMark/>
          </w:tcPr>
          <w:p w:rsidR="006D3765" w:rsidRPr="007B23B1" w:rsidRDefault="006D3765" w:rsidP="00A04DA5">
            <w:pPr>
              <w:pStyle w:val="TH-TableHeading"/>
            </w:pPr>
            <w:r w:rsidRPr="007B23B1">
              <w:t>Expected number of responding SFAs</w:t>
            </w:r>
            <w:r w:rsidRPr="00A04DA5">
              <w:rPr>
                <w:vertAlign w:val="superscript"/>
              </w:rPr>
              <w:t>3</w:t>
            </w:r>
          </w:p>
        </w:tc>
      </w:tr>
      <w:tr w:rsidR="006D3765" w:rsidRPr="005E0C7B" w:rsidTr="00A04DA5">
        <w:trPr>
          <w:trHeight w:val="360"/>
        </w:trPr>
        <w:tc>
          <w:tcPr>
            <w:tcW w:w="2142" w:type="dxa"/>
            <w:tcBorders>
              <w:top w:val="nil"/>
              <w:left w:val="nil"/>
              <w:bottom w:val="nil"/>
              <w:right w:val="nil"/>
            </w:tcBorders>
            <w:shd w:val="clear" w:color="auto" w:fill="auto"/>
            <w:vAlign w:val="bottom"/>
            <w:hideMark/>
          </w:tcPr>
          <w:p w:rsidR="006D3765" w:rsidRPr="007B23B1" w:rsidRDefault="006D3765" w:rsidP="00A04DA5">
            <w:pPr>
              <w:pStyle w:val="TX-TableText"/>
            </w:pPr>
            <w:r w:rsidRPr="007B23B1">
              <w:t>Under 60 percent</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pPr>
            <w:r w:rsidRPr="007B23B1">
              <w:t>Less than 1,000</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275</w:t>
            </w:r>
            <w:r w:rsidR="00AE1010">
              <w:t xml:space="preserve"> </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234</w:t>
            </w:r>
            <w:r w:rsidR="00AE1010">
              <w:t xml:space="preserve"> </w:t>
            </w:r>
          </w:p>
        </w:tc>
      </w:tr>
      <w:tr w:rsidR="006D3765" w:rsidRPr="005E0C7B" w:rsidTr="00A04DA5">
        <w:trPr>
          <w:trHeight w:val="255"/>
        </w:trPr>
        <w:tc>
          <w:tcPr>
            <w:tcW w:w="2142" w:type="dxa"/>
            <w:tcBorders>
              <w:top w:val="nil"/>
              <w:left w:val="nil"/>
              <w:bottom w:val="nil"/>
              <w:right w:val="nil"/>
            </w:tcBorders>
            <w:shd w:val="clear" w:color="auto" w:fill="auto"/>
            <w:noWrap/>
            <w:vAlign w:val="bottom"/>
            <w:hideMark/>
          </w:tcPr>
          <w:p w:rsidR="006D3765" w:rsidRPr="007B23B1" w:rsidRDefault="006D3765" w:rsidP="00A04DA5">
            <w:pPr>
              <w:pStyle w:val="TX-TableText"/>
            </w:pP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pPr>
            <w:r w:rsidRPr="007B23B1">
              <w:t>1,000 to 4,999</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545</w:t>
            </w:r>
            <w:r w:rsidR="00AE1010">
              <w:t xml:space="preserve"> </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463</w:t>
            </w:r>
            <w:r w:rsidR="00AE1010">
              <w:t xml:space="preserve"> </w:t>
            </w:r>
          </w:p>
        </w:tc>
      </w:tr>
      <w:tr w:rsidR="006D3765" w:rsidRPr="005E0C7B" w:rsidTr="00A04DA5">
        <w:trPr>
          <w:trHeight w:val="255"/>
        </w:trPr>
        <w:tc>
          <w:tcPr>
            <w:tcW w:w="2142" w:type="dxa"/>
            <w:tcBorders>
              <w:top w:val="nil"/>
              <w:left w:val="nil"/>
              <w:bottom w:val="nil"/>
              <w:right w:val="nil"/>
            </w:tcBorders>
            <w:shd w:val="clear" w:color="auto" w:fill="auto"/>
            <w:noWrap/>
            <w:vAlign w:val="bottom"/>
            <w:hideMark/>
          </w:tcPr>
          <w:p w:rsidR="006D3765" w:rsidRPr="007B23B1" w:rsidRDefault="006D3765" w:rsidP="00A04DA5">
            <w:pPr>
              <w:pStyle w:val="TX-TableText"/>
            </w:pP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pPr>
            <w:r w:rsidRPr="007B23B1">
              <w:t>5,000 to 24,999</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337</w:t>
            </w:r>
            <w:r w:rsidR="00AE1010">
              <w:t xml:space="preserve"> </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286</w:t>
            </w:r>
            <w:r w:rsidR="00AE1010">
              <w:t xml:space="preserve"> </w:t>
            </w:r>
          </w:p>
        </w:tc>
      </w:tr>
      <w:tr w:rsidR="006D3765" w:rsidRPr="005E0C7B" w:rsidTr="00A04DA5">
        <w:trPr>
          <w:trHeight w:val="255"/>
        </w:trPr>
        <w:tc>
          <w:tcPr>
            <w:tcW w:w="2142" w:type="dxa"/>
            <w:tcBorders>
              <w:top w:val="nil"/>
              <w:left w:val="nil"/>
              <w:bottom w:val="nil"/>
              <w:right w:val="nil"/>
            </w:tcBorders>
            <w:shd w:val="clear" w:color="auto" w:fill="auto"/>
            <w:noWrap/>
            <w:vAlign w:val="bottom"/>
            <w:hideMark/>
          </w:tcPr>
          <w:p w:rsidR="006D3765" w:rsidRPr="007B23B1" w:rsidRDefault="006D3765" w:rsidP="00A04DA5">
            <w:pPr>
              <w:pStyle w:val="TX-TableText"/>
            </w:pP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pPr>
            <w:r w:rsidRPr="007B23B1">
              <w:t>25,000 or more</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116</w:t>
            </w:r>
            <w:r w:rsidR="00AE1010">
              <w:t xml:space="preserve"> </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99</w:t>
            </w:r>
            <w:r w:rsidR="00AE1010">
              <w:t xml:space="preserve"> </w:t>
            </w:r>
          </w:p>
        </w:tc>
      </w:tr>
      <w:tr w:rsidR="006D3765" w:rsidRPr="005E0C7B" w:rsidTr="00A04DA5">
        <w:trPr>
          <w:trHeight w:val="360"/>
        </w:trPr>
        <w:tc>
          <w:tcPr>
            <w:tcW w:w="2142" w:type="dxa"/>
            <w:tcBorders>
              <w:top w:val="nil"/>
              <w:left w:val="nil"/>
              <w:bottom w:val="nil"/>
              <w:right w:val="nil"/>
            </w:tcBorders>
            <w:shd w:val="clear" w:color="auto" w:fill="auto"/>
            <w:noWrap/>
            <w:vAlign w:val="center"/>
            <w:hideMark/>
          </w:tcPr>
          <w:p w:rsidR="006D3765" w:rsidRPr="007B23B1" w:rsidRDefault="006D3765" w:rsidP="00A04DA5">
            <w:pPr>
              <w:pStyle w:val="TX-TableText"/>
              <w:rPr>
                <w:i/>
                <w:iCs/>
              </w:rPr>
            </w:pPr>
          </w:p>
        </w:tc>
        <w:tc>
          <w:tcPr>
            <w:tcW w:w="1932" w:type="dxa"/>
            <w:tcBorders>
              <w:top w:val="nil"/>
              <w:left w:val="nil"/>
              <w:bottom w:val="nil"/>
              <w:right w:val="nil"/>
            </w:tcBorders>
            <w:shd w:val="clear" w:color="auto" w:fill="auto"/>
            <w:noWrap/>
            <w:vAlign w:val="center"/>
            <w:hideMark/>
          </w:tcPr>
          <w:p w:rsidR="006D3765" w:rsidRPr="007B23B1" w:rsidRDefault="006D3765" w:rsidP="00A04DA5">
            <w:pPr>
              <w:pStyle w:val="TX-TableText"/>
              <w:rPr>
                <w:i/>
                <w:iCs/>
              </w:rPr>
            </w:pPr>
            <w:r w:rsidRPr="007B23B1">
              <w:rPr>
                <w:i/>
                <w:iCs/>
              </w:rPr>
              <w:t>Subtotal</w:t>
            </w:r>
          </w:p>
        </w:tc>
        <w:tc>
          <w:tcPr>
            <w:tcW w:w="1932" w:type="dxa"/>
            <w:tcBorders>
              <w:top w:val="nil"/>
              <w:left w:val="nil"/>
              <w:bottom w:val="nil"/>
              <w:right w:val="nil"/>
            </w:tcBorders>
            <w:shd w:val="clear" w:color="auto" w:fill="auto"/>
            <w:noWrap/>
            <w:vAlign w:val="center"/>
            <w:hideMark/>
          </w:tcPr>
          <w:p w:rsidR="006D3765" w:rsidRPr="007B23B1" w:rsidRDefault="006D3765" w:rsidP="00A04DA5">
            <w:pPr>
              <w:pStyle w:val="TX-TableText"/>
              <w:tabs>
                <w:tab w:val="decimal" w:pos="1056"/>
              </w:tabs>
              <w:rPr>
                <w:i/>
                <w:iCs/>
              </w:rPr>
            </w:pPr>
            <w:r w:rsidRPr="007B23B1">
              <w:rPr>
                <w:i/>
                <w:iCs/>
              </w:rPr>
              <w:t>1,273</w:t>
            </w:r>
            <w:r w:rsidR="00AE1010">
              <w:rPr>
                <w:i/>
                <w:iCs/>
              </w:rPr>
              <w:t xml:space="preserve"> </w:t>
            </w:r>
          </w:p>
        </w:tc>
        <w:tc>
          <w:tcPr>
            <w:tcW w:w="1932" w:type="dxa"/>
            <w:tcBorders>
              <w:top w:val="nil"/>
              <w:left w:val="nil"/>
              <w:bottom w:val="nil"/>
              <w:right w:val="nil"/>
            </w:tcBorders>
            <w:shd w:val="clear" w:color="auto" w:fill="auto"/>
            <w:noWrap/>
            <w:vAlign w:val="center"/>
            <w:hideMark/>
          </w:tcPr>
          <w:p w:rsidR="006D3765" w:rsidRPr="007B23B1" w:rsidRDefault="006D3765" w:rsidP="00A04DA5">
            <w:pPr>
              <w:pStyle w:val="TX-TableText"/>
              <w:tabs>
                <w:tab w:val="decimal" w:pos="1056"/>
              </w:tabs>
              <w:rPr>
                <w:i/>
                <w:iCs/>
              </w:rPr>
            </w:pPr>
            <w:r w:rsidRPr="007B23B1">
              <w:rPr>
                <w:i/>
                <w:iCs/>
              </w:rPr>
              <w:t>1,082</w:t>
            </w:r>
            <w:r w:rsidR="00AE1010">
              <w:rPr>
                <w:i/>
                <w:iCs/>
              </w:rPr>
              <w:t xml:space="preserve"> </w:t>
            </w:r>
          </w:p>
        </w:tc>
      </w:tr>
      <w:tr w:rsidR="006D3765" w:rsidRPr="005E0C7B" w:rsidTr="00A04DA5">
        <w:trPr>
          <w:trHeight w:val="360"/>
        </w:trPr>
        <w:tc>
          <w:tcPr>
            <w:tcW w:w="2142" w:type="dxa"/>
            <w:tcBorders>
              <w:top w:val="nil"/>
              <w:left w:val="nil"/>
              <w:bottom w:val="nil"/>
              <w:right w:val="nil"/>
            </w:tcBorders>
            <w:shd w:val="clear" w:color="auto" w:fill="auto"/>
            <w:vAlign w:val="bottom"/>
            <w:hideMark/>
          </w:tcPr>
          <w:p w:rsidR="006D3765" w:rsidRPr="007B23B1" w:rsidRDefault="006D3765" w:rsidP="00A04DA5">
            <w:pPr>
              <w:pStyle w:val="TX-TableText"/>
            </w:pPr>
            <w:r w:rsidRPr="007B23B1">
              <w:t>60 percent or more</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pPr>
            <w:r w:rsidRPr="007B23B1">
              <w:t>Less than 1,000</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139</w:t>
            </w:r>
            <w:r w:rsidR="00AE1010">
              <w:t xml:space="preserve"> </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118</w:t>
            </w:r>
            <w:r w:rsidR="00AE1010">
              <w:t xml:space="preserve"> </w:t>
            </w:r>
          </w:p>
        </w:tc>
      </w:tr>
      <w:tr w:rsidR="006D3765" w:rsidRPr="005E0C7B" w:rsidTr="00A04DA5">
        <w:trPr>
          <w:trHeight w:val="255"/>
        </w:trPr>
        <w:tc>
          <w:tcPr>
            <w:tcW w:w="2142" w:type="dxa"/>
            <w:tcBorders>
              <w:top w:val="nil"/>
              <w:left w:val="nil"/>
              <w:bottom w:val="nil"/>
              <w:right w:val="nil"/>
            </w:tcBorders>
            <w:shd w:val="clear" w:color="auto" w:fill="auto"/>
            <w:noWrap/>
            <w:vAlign w:val="bottom"/>
            <w:hideMark/>
          </w:tcPr>
          <w:p w:rsidR="006D3765" w:rsidRPr="007B23B1" w:rsidRDefault="006D3765" w:rsidP="00A04DA5">
            <w:pPr>
              <w:pStyle w:val="TX-TableText"/>
            </w:pP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pPr>
            <w:r w:rsidRPr="007B23B1">
              <w:t>1,000 to 4,999</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170</w:t>
            </w:r>
            <w:r w:rsidR="00AE1010">
              <w:t xml:space="preserve"> </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145</w:t>
            </w:r>
            <w:r w:rsidR="00AE1010">
              <w:t xml:space="preserve"> </w:t>
            </w:r>
          </w:p>
        </w:tc>
      </w:tr>
      <w:tr w:rsidR="006D3765" w:rsidRPr="005E0C7B" w:rsidTr="00A04DA5">
        <w:trPr>
          <w:trHeight w:val="255"/>
        </w:trPr>
        <w:tc>
          <w:tcPr>
            <w:tcW w:w="2142" w:type="dxa"/>
            <w:tcBorders>
              <w:top w:val="nil"/>
              <w:left w:val="nil"/>
              <w:bottom w:val="nil"/>
              <w:right w:val="nil"/>
            </w:tcBorders>
            <w:shd w:val="clear" w:color="auto" w:fill="auto"/>
            <w:noWrap/>
            <w:vAlign w:val="bottom"/>
            <w:hideMark/>
          </w:tcPr>
          <w:p w:rsidR="006D3765" w:rsidRPr="007B23B1" w:rsidRDefault="006D3765" w:rsidP="00A04DA5">
            <w:pPr>
              <w:pStyle w:val="TX-TableText"/>
            </w:pP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pPr>
            <w:r w:rsidRPr="007B23B1">
              <w:t>5,000 to 24,999</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124</w:t>
            </w:r>
            <w:r w:rsidR="00AE1010">
              <w:t xml:space="preserve"> </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105</w:t>
            </w:r>
            <w:r w:rsidR="00AE1010">
              <w:t xml:space="preserve"> </w:t>
            </w:r>
          </w:p>
        </w:tc>
      </w:tr>
      <w:tr w:rsidR="006D3765" w:rsidRPr="005E0C7B" w:rsidTr="00A04DA5">
        <w:trPr>
          <w:trHeight w:val="255"/>
        </w:trPr>
        <w:tc>
          <w:tcPr>
            <w:tcW w:w="2142" w:type="dxa"/>
            <w:tcBorders>
              <w:top w:val="nil"/>
              <w:left w:val="nil"/>
              <w:bottom w:val="nil"/>
              <w:right w:val="nil"/>
            </w:tcBorders>
            <w:shd w:val="clear" w:color="auto" w:fill="auto"/>
            <w:noWrap/>
            <w:vAlign w:val="bottom"/>
            <w:hideMark/>
          </w:tcPr>
          <w:p w:rsidR="006D3765" w:rsidRPr="007B23B1" w:rsidRDefault="006D3765" w:rsidP="00A04DA5">
            <w:pPr>
              <w:pStyle w:val="TX-TableText"/>
            </w:pP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pPr>
            <w:r w:rsidRPr="007B23B1">
              <w:t>25,000 or more</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59</w:t>
            </w:r>
            <w:r w:rsidR="00AE1010">
              <w:t xml:space="preserve"> </w:t>
            </w:r>
          </w:p>
        </w:tc>
        <w:tc>
          <w:tcPr>
            <w:tcW w:w="1932" w:type="dxa"/>
            <w:tcBorders>
              <w:top w:val="nil"/>
              <w:left w:val="nil"/>
              <w:bottom w:val="nil"/>
              <w:right w:val="nil"/>
            </w:tcBorders>
            <w:shd w:val="clear" w:color="auto" w:fill="auto"/>
            <w:noWrap/>
            <w:vAlign w:val="bottom"/>
            <w:hideMark/>
          </w:tcPr>
          <w:p w:rsidR="006D3765" w:rsidRPr="007B23B1" w:rsidRDefault="006D3765" w:rsidP="00A04DA5">
            <w:pPr>
              <w:pStyle w:val="TX-TableText"/>
              <w:tabs>
                <w:tab w:val="decimal" w:pos="1056"/>
              </w:tabs>
            </w:pPr>
            <w:r w:rsidRPr="007B23B1">
              <w:t>50</w:t>
            </w:r>
            <w:r w:rsidR="00AE1010">
              <w:t xml:space="preserve"> </w:t>
            </w:r>
          </w:p>
        </w:tc>
      </w:tr>
      <w:tr w:rsidR="006D3765" w:rsidRPr="005E0C7B" w:rsidTr="00A04DA5">
        <w:trPr>
          <w:trHeight w:val="360"/>
        </w:trPr>
        <w:tc>
          <w:tcPr>
            <w:tcW w:w="2142" w:type="dxa"/>
            <w:tcBorders>
              <w:top w:val="nil"/>
              <w:left w:val="nil"/>
              <w:bottom w:val="nil"/>
              <w:right w:val="nil"/>
            </w:tcBorders>
            <w:shd w:val="clear" w:color="auto" w:fill="auto"/>
            <w:noWrap/>
            <w:vAlign w:val="center"/>
            <w:hideMark/>
          </w:tcPr>
          <w:p w:rsidR="006D3765" w:rsidRPr="007B23B1" w:rsidRDefault="006D3765" w:rsidP="00A04DA5">
            <w:pPr>
              <w:pStyle w:val="TX-TableText"/>
              <w:rPr>
                <w:i/>
                <w:iCs/>
              </w:rPr>
            </w:pPr>
          </w:p>
        </w:tc>
        <w:tc>
          <w:tcPr>
            <w:tcW w:w="1932" w:type="dxa"/>
            <w:tcBorders>
              <w:top w:val="nil"/>
              <w:left w:val="nil"/>
              <w:bottom w:val="nil"/>
              <w:right w:val="nil"/>
            </w:tcBorders>
            <w:shd w:val="clear" w:color="auto" w:fill="auto"/>
            <w:noWrap/>
            <w:vAlign w:val="center"/>
            <w:hideMark/>
          </w:tcPr>
          <w:p w:rsidR="006D3765" w:rsidRPr="007B23B1" w:rsidRDefault="006D3765" w:rsidP="00A04DA5">
            <w:pPr>
              <w:pStyle w:val="TX-TableText"/>
              <w:rPr>
                <w:i/>
                <w:iCs/>
              </w:rPr>
            </w:pPr>
            <w:r w:rsidRPr="007B23B1">
              <w:rPr>
                <w:i/>
                <w:iCs/>
              </w:rPr>
              <w:t>Subtotal</w:t>
            </w:r>
          </w:p>
        </w:tc>
        <w:tc>
          <w:tcPr>
            <w:tcW w:w="1932" w:type="dxa"/>
            <w:tcBorders>
              <w:top w:val="nil"/>
              <w:left w:val="nil"/>
              <w:bottom w:val="nil"/>
              <w:right w:val="nil"/>
            </w:tcBorders>
            <w:shd w:val="clear" w:color="auto" w:fill="auto"/>
            <w:noWrap/>
            <w:vAlign w:val="center"/>
            <w:hideMark/>
          </w:tcPr>
          <w:p w:rsidR="006D3765" w:rsidRPr="007B23B1" w:rsidRDefault="006D3765" w:rsidP="00A04DA5">
            <w:pPr>
              <w:pStyle w:val="TX-TableText"/>
              <w:tabs>
                <w:tab w:val="decimal" w:pos="1056"/>
              </w:tabs>
              <w:rPr>
                <w:i/>
                <w:iCs/>
              </w:rPr>
            </w:pPr>
            <w:r w:rsidRPr="007B23B1">
              <w:rPr>
                <w:i/>
                <w:iCs/>
              </w:rPr>
              <w:t>492</w:t>
            </w:r>
            <w:r w:rsidR="00AE1010">
              <w:rPr>
                <w:i/>
                <w:iCs/>
              </w:rPr>
              <w:t xml:space="preserve"> </w:t>
            </w:r>
          </w:p>
        </w:tc>
        <w:tc>
          <w:tcPr>
            <w:tcW w:w="1932" w:type="dxa"/>
            <w:tcBorders>
              <w:top w:val="nil"/>
              <w:left w:val="nil"/>
              <w:bottom w:val="nil"/>
              <w:right w:val="nil"/>
            </w:tcBorders>
            <w:shd w:val="clear" w:color="auto" w:fill="auto"/>
            <w:noWrap/>
            <w:vAlign w:val="center"/>
            <w:hideMark/>
          </w:tcPr>
          <w:p w:rsidR="006D3765" w:rsidRPr="007B23B1" w:rsidRDefault="006D3765" w:rsidP="00A04DA5">
            <w:pPr>
              <w:pStyle w:val="TX-TableText"/>
              <w:tabs>
                <w:tab w:val="decimal" w:pos="1056"/>
              </w:tabs>
              <w:rPr>
                <w:i/>
                <w:iCs/>
              </w:rPr>
            </w:pPr>
            <w:r w:rsidRPr="007B23B1">
              <w:rPr>
                <w:i/>
                <w:iCs/>
              </w:rPr>
              <w:t>418</w:t>
            </w:r>
            <w:r w:rsidR="00AE1010">
              <w:rPr>
                <w:i/>
                <w:iCs/>
              </w:rPr>
              <w:t xml:space="preserve"> </w:t>
            </w:r>
          </w:p>
        </w:tc>
      </w:tr>
      <w:tr w:rsidR="006D3765" w:rsidRPr="005E0C7B" w:rsidTr="00A04DA5">
        <w:trPr>
          <w:trHeight w:val="360"/>
        </w:trPr>
        <w:tc>
          <w:tcPr>
            <w:tcW w:w="2142" w:type="dxa"/>
            <w:tcBorders>
              <w:top w:val="single" w:sz="4" w:space="0" w:color="auto"/>
              <w:left w:val="nil"/>
              <w:bottom w:val="single" w:sz="4" w:space="0" w:color="auto"/>
              <w:right w:val="nil"/>
            </w:tcBorders>
            <w:shd w:val="clear" w:color="auto" w:fill="auto"/>
            <w:noWrap/>
            <w:vAlign w:val="center"/>
            <w:hideMark/>
          </w:tcPr>
          <w:p w:rsidR="006D3765" w:rsidRPr="007B23B1" w:rsidRDefault="006D3765" w:rsidP="00A04DA5">
            <w:pPr>
              <w:pStyle w:val="TX-TableText"/>
              <w:rPr>
                <w:b/>
                <w:bCs/>
                <w:i/>
                <w:iCs/>
              </w:rPr>
            </w:pPr>
            <w:r w:rsidRPr="007B23B1">
              <w:rPr>
                <w:b/>
                <w:bCs/>
                <w:i/>
                <w:iCs/>
              </w:rPr>
              <w:t>All SFAs</w:t>
            </w:r>
          </w:p>
        </w:tc>
        <w:tc>
          <w:tcPr>
            <w:tcW w:w="1932" w:type="dxa"/>
            <w:tcBorders>
              <w:top w:val="single" w:sz="4" w:space="0" w:color="auto"/>
              <w:left w:val="nil"/>
              <w:bottom w:val="single" w:sz="4" w:space="0" w:color="auto"/>
              <w:right w:val="nil"/>
            </w:tcBorders>
            <w:shd w:val="clear" w:color="auto" w:fill="auto"/>
            <w:noWrap/>
            <w:vAlign w:val="center"/>
            <w:hideMark/>
          </w:tcPr>
          <w:p w:rsidR="006D3765" w:rsidRPr="007B23B1" w:rsidRDefault="006D3765" w:rsidP="00A04DA5">
            <w:pPr>
              <w:pStyle w:val="TX-TableText"/>
              <w:rPr>
                <w:b/>
                <w:bCs/>
                <w:i/>
                <w:iCs/>
              </w:rPr>
            </w:pPr>
            <w:r w:rsidRPr="007B23B1">
              <w:rPr>
                <w:b/>
                <w:bCs/>
                <w:i/>
                <w:iCs/>
              </w:rPr>
              <w:t>Total</w:t>
            </w:r>
          </w:p>
        </w:tc>
        <w:tc>
          <w:tcPr>
            <w:tcW w:w="1932" w:type="dxa"/>
            <w:tcBorders>
              <w:top w:val="single" w:sz="4" w:space="0" w:color="auto"/>
              <w:left w:val="nil"/>
              <w:bottom w:val="single" w:sz="4" w:space="0" w:color="auto"/>
              <w:right w:val="nil"/>
            </w:tcBorders>
            <w:shd w:val="clear" w:color="auto" w:fill="auto"/>
            <w:noWrap/>
            <w:vAlign w:val="center"/>
            <w:hideMark/>
          </w:tcPr>
          <w:p w:rsidR="006D3765" w:rsidRPr="007B23B1" w:rsidRDefault="006D3765" w:rsidP="00A04DA5">
            <w:pPr>
              <w:pStyle w:val="TX-TableText"/>
              <w:tabs>
                <w:tab w:val="decimal" w:pos="1056"/>
              </w:tabs>
              <w:rPr>
                <w:b/>
                <w:bCs/>
                <w:i/>
                <w:iCs/>
              </w:rPr>
            </w:pPr>
            <w:r w:rsidRPr="007B23B1">
              <w:rPr>
                <w:b/>
                <w:bCs/>
                <w:i/>
                <w:iCs/>
              </w:rPr>
              <w:t>1,765</w:t>
            </w:r>
            <w:r w:rsidR="00AE1010">
              <w:rPr>
                <w:b/>
                <w:bCs/>
                <w:i/>
                <w:iCs/>
              </w:rPr>
              <w:t xml:space="preserve"> </w:t>
            </w:r>
          </w:p>
        </w:tc>
        <w:tc>
          <w:tcPr>
            <w:tcW w:w="1932" w:type="dxa"/>
            <w:tcBorders>
              <w:top w:val="single" w:sz="4" w:space="0" w:color="auto"/>
              <w:left w:val="nil"/>
              <w:bottom w:val="single" w:sz="4" w:space="0" w:color="auto"/>
              <w:right w:val="nil"/>
            </w:tcBorders>
            <w:shd w:val="clear" w:color="auto" w:fill="auto"/>
            <w:noWrap/>
            <w:vAlign w:val="center"/>
            <w:hideMark/>
          </w:tcPr>
          <w:p w:rsidR="006D3765" w:rsidRPr="007B23B1" w:rsidRDefault="006D3765" w:rsidP="00A04DA5">
            <w:pPr>
              <w:pStyle w:val="TX-TableText"/>
              <w:tabs>
                <w:tab w:val="decimal" w:pos="1056"/>
              </w:tabs>
              <w:rPr>
                <w:b/>
                <w:bCs/>
                <w:i/>
                <w:iCs/>
              </w:rPr>
            </w:pPr>
            <w:r w:rsidRPr="007B23B1">
              <w:rPr>
                <w:b/>
                <w:bCs/>
                <w:i/>
                <w:iCs/>
              </w:rPr>
              <w:t>1,500</w:t>
            </w:r>
            <w:r w:rsidR="00AE1010">
              <w:rPr>
                <w:b/>
                <w:bCs/>
                <w:i/>
                <w:iCs/>
              </w:rPr>
              <w:t xml:space="preserve"> </w:t>
            </w:r>
          </w:p>
        </w:tc>
      </w:tr>
    </w:tbl>
    <w:p w:rsidR="00A04DA5" w:rsidRPr="00A04DA5" w:rsidRDefault="00A04DA5" w:rsidP="00A04DA5">
      <w:pPr>
        <w:spacing w:line="240" w:lineRule="auto"/>
        <w:ind w:right="1440"/>
        <w:rPr>
          <w:rFonts w:ascii="Franklin Gothic Medium" w:hAnsi="Franklin Gothic Medium"/>
          <w:b/>
          <w:color w:val="000000"/>
          <w:sz w:val="18"/>
          <w:szCs w:val="18"/>
        </w:rPr>
      </w:pPr>
      <w:r w:rsidRPr="00A04DA5">
        <w:rPr>
          <w:rFonts w:ascii="Franklin Gothic Medium" w:hAnsi="Franklin Gothic Medium"/>
          <w:sz w:val="18"/>
          <w:szCs w:val="18"/>
          <w:vertAlign w:val="superscript"/>
        </w:rPr>
        <w:lastRenderedPageBreak/>
        <w:t>1</w:t>
      </w:r>
      <w:r w:rsidRPr="00A04DA5">
        <w:rPr>
          <w:rFonts w:ascii="Franklin Gothic Medium" w:hAnsi="Franklin Gothic Medium"/>
          <w:sz w:val="18"/>
          <w:szCs w:val="18"/>
        </w:rPr>
        <w:t>Calculated from the numbers of students eligible for free or reduced price lunch as reported in 2009-10 FNS 742.</w:t>
      </w:r>
    </w:p>
    <w:p w:rsidR="00A04DA5" w:rsidRPr="00A04DA5" w:rsidRDefault="00A04DA5" w:rsidP="00A04DA5">
      <w:pPr>
        <w:spacing w:line="240" w:lineRule="auto"/>
        <w:rPr>
          <w:rFonts w:ascii="Franklin Gothic Medium" w:hAnsi="Franklin Gothic Medium"/>
          <w:sz w:val="18"/>
          <w:szCs w:val="18"/>
        </w:rPr>
      </w:pPr>
      <w:r w:rsidRPr="00A04DA5">
        <w:rPr>
          <w:rFonts w:ascii="Franklin Gothic Medium" w:hAnsi="Franklin Gothic Medium"/>
          <w:sz w:val="18"/>
          <w:szCs w:val="18"/>
          <w:vertAlign w:val="superscript"/>
        </w:rPr>
        <w:t>2</w:t>
      </w:r>
      <w:r w:rsidRPr="00A04DA5">
        <w:rPr>
          <w:rFonts w:ascii="Franklin Gothic Medium" w:hAnsi="Franklin Gothic Medium"/>
          <w:sz w:val="18"/>
          <w:szCs w:val="18"/>
        </w:rPr>
        <w:t>Number of students with access to NSLP/SBP as reported in 2009-10 FNS 742.</w:t>
      </w:r>
    </w:p>
    <w:p w:rsidR="00AD2938" w:rsidRDefault="00A04DA5" w:rsidP="00A04DA5">
      <w:pPr>
        <w:spacing w:line="240" w:lineRule="auto"/>
        <w:rPr>
          <w:rFonts w:ascii="Franklin Gothic Medium" w:hAnsi="Franklin Gothic Medium"/>
          <w:sz w:val="18"/>
          <w:szCs w:val="18"/>
        </w:rPr>
      </w:pPr>
      <w:proofErr w:type="gramStart"/>
      <w:r w:rsidRPr="00A04DA5">
        <w:rPr>
          <w:rFonts w:ascii="Franklin Gothic Medium" w:hAnsi="Franklin Gothic Medium"/>
          <w:sz w:val="18"/>
          <w:szCs w:val="18"/>
          <w:vertAlign w:val="superscript"/>
        </w:rPr>
        <w:t>3</w:t>
      </w:r>
      <w:r w:rsidRPr="00A04DA5">
        <w:rPr>
          <w:rFonts w:ascii="Franklin Gothic Medium" w:hAnsi="Franklin Gothic Medium"/>
          <w:sz w:val="18"/>
          <w:szCs w:val="18"/>
        </w:rPr>
        <w:t>Based on 85% response rate.</w:t>
      </w:r>
      <w:proofErr w:type="gramEnd"/>
      <w:r w:rsidR="00AD2938">
        <w:rPr>
          <w:rFonts w:ascii="Franklin Gothic Medium" w:hAnsi="Franklin Gothic Medium"/>
          <w:sz w:val="18"/>
          <w:szCs w:val="18"/>
        </w:rPr>
        <w:t xml:space="preserve"> Note: See Table B4 for additional </w:t>
      </w:r>
      <w:r w:rsidR="00C36558">
        <w:rPr>
          <w:rFonts w:ascii="Franklin Gothic Medium" w:hAnsi="Franklin Gothic Medium"/>
          <w:sz w:val="18"/>
          <w:szCs w:val="18"/>
        </w:rPr>
        <w:t>breakouts of the sample by type of locale, poverty status, and FNS region.</w:t>
      </w:r>
    </w:p>
    <w:p w:rsidR="00AD2938" w:rsidRPr="00A04DA5" w:rsidRDefault="00AD2938" w:rsidP="00A04DA5">
      <w:pPr>
        <w:spacing w:line="240" w:lineRule="auto"/>
        <w:rPr>
          <w:rFonts w:ascii="Franklin Gothic Medium" w:hAnsi="Franklin Gothic Medium"/>
          <w:sz w:val="18"/>
          <w:szCs w:val="18"/>
        </w:rPr>
      </w:pPr>
    </w:p>
    <w:p w:rsidR="00CE4A76" w:rsidRPr="00A04DA5" w:rsidRDefault="00CE4A76" w:rsidP="00A04DA5">
      <w:pPr>
        <w:spacing w:line="240" w:lineRule="auto"/>
        <w:rPr>
          <w:color w:val="000000"/>
          <w:szCs w:val="24"/>
        </w:rPr>
      </w:pPr>
    </w:p>
    <w:p w:rsidR="004903BB" w:rsidRDefault="004903BB">
      <w:pPr>
        <w:spacing w:line="240" w:lineRule="auto"/>
        <w:rPr>
          <w:b/>
          <w:color w:val="000000"/>
          <w:szCs w:val="24"/>
        </w:rPr>
      </w:pPr>
      <w:r>
        <w:rPr>
          <w:b/>
          <w:color w:val="000000"/>
          <w:szCs w:val="24"/>
        </w:rPr>
        <w:br w:type="page"/>
      </w:r>
    </w:p>
    <w:p w:rsidR="006D3765" w:rsidRDefault="006D3765" w:rsidP="00A04DA5">
      <w:pPr>
        <w:spacing w:line="240" w:lineRule="auto"/>
        <w:ind w:left="540"/>
        <w:rPr>
          <w:b/>
          <w:color w:val="000000"/>
          <w:szCs w:val="24"/>
        </w:rPr>
      </w:pPr>
      <w:r w:rsidRPr="00D6005B">
        <w:rPr>
          <w:b/>
          <w:color w:val="000000"/>
          <w:szCs w:val="24"/>
        </w:rPr>
        <w:lastRenderedPageBreak/>
        <w:t>Expected Levels of Precision</w:t>
      </w:r>
    </w:p>
    <w:p w:rsidR="006D3765" w:rsidRPr="00A04DA5" w:rsidRDefault="006D3765" w:rsidP="00A04DA5">
      <w:pPr>
        <w:spacing w:line="240" w:lineRule="auto"/>
        <w:rPr>
          <w:color w:val="000000"/>
          <w:szCs w:val="24"/>
        </w:rPr>
      </w:pPr>
    </w:p>
    <w:p w:rsidR="006D3765" w:rsidRPr="00D6005B" w:rsidRDefault="006D3765" w:rsidP="00001D5E">
      <w:pPr>
        <w:spacing w:line="240" w:lineRule="auto"/>
        <w:rPr>
          <w:color w:val="000000"/>
          <w:szCs w:val="24"/>
        </w:rPr>
      </w:pPr>
      <w:r w:rsidRPr="00D6005B">
        <w:rPr>
          <w:color w:val="000000"/>
          <w:szCs w:val="24"/>
        </w:rPr>
        <w:t xml:space="preserve">Table </w:t>
      </w:r>
      <w:r>
        <w:rPr>
          <w:color w:val="000000"/>
          <w:szCs w:val="24"/>
        </w:rPr>
        <w:t>B</w:t>
      </w:r>
      <w:r w:rsidRPr="00D6005B">
        <w:rPr>
          <w:color w:val="000000"/>
          <w:szCs w:val="24"/>
        </w:rPr>
        <w:t xml:space="preserve">4 summarizes the approximate sample sizes and standard errors to be expected under the proposed design for selected subgroups. The standard errors in table </w:t>
      </w:r>
      <w:r>
        <w:rPr>
          <w:color w:val="000000"/>
          <w:szCs w:val="24"/>
        </w:rPr>
        <w:t>B</w:t>
      </w:r>
      <w:r w:rsidRPr="00D6005B">
        <w:rPr>
          <w:color w:val="000000"/>
          <w:szCs w:val="24"/>
        </w:rPr>
        <w:t>4 reflect design effects ranging from</w:t>
      </w:r>
      <w:r>
        <w:rPr>
          <w:color w:val="000000"/>
          <w:szCs w:val="24"/>
        </w:rPr>
        <w:t xml:space="preserve"> 1.0 or less</w:t>
      </w:r>
      <w:r w:rsidR="00AE1010">
        <w:rPr>
          <w:color w:val="000000"/>
          <w:szCs w:val="24"/>
        </w:rPr>
        <w:t xml:space="preserve"> </w:t>
      </w:r>
      <w:r w:rsidRPr="00D6005B">
        <w:rPr>
          <w:color w:val="000000"/>
          <w:szCs w:val="24"/>
        </w:rPr>
        <w:t xml:space="preserve">to 1.5 depending on subgroup. The design effect primarily reflects the fact that under the proposed stratified design, large SFAs will be sampled at relatively higher rates (i.e., have smaller sampling weights) than small SFAs. The standard errors in table </w:t>
      </w:r>
      <w:r>
        <w:rPr>
          <w:color w:val="000000"/>
          <w:szCs w:val="24"/>
        </w:rPr>
        <w:t>B</w:t>
      </w:r>
      <w:r w:rsidRPr="00D6005B">
        <w:rPr>
          <w:color w:val="000000"/>
          <w:szCs w:val="24"/>
        </w:rPr>
        <w:t>4 can be converted to 95 percent confidence bounds by multiplying the entries by 2. For example, an estimated proportion of the order of 20 percent (P = 0.20) for suburban SFAs will be subject to a margin of error of ±4.6 percent at the 95 percent confidence level. Similarly, an estimated proportion of the order of 50 percent (P = 0.50) for SFAs in the Northeast region will be subject to a margin of error of ±</w:t>
      </w:r>
      <w:r>
        <w:rPr>
          <w:color w:val="000000"/>
          <w:szCs w:val="24"/>
        </w:rPr>
        <w:t>8.6</w:t>
      </w:r>
      <w:r w:rsidRPr="00D6005B">
        <w:rPr>
          <w:color w:val="000000"/>
          <w:szCs w:val="24"/>
        </w:rPr>
        <w:t xml:space="preserve"> percent at the 95 percent confidence level.</w:t>
      </w:r>
    </w:p>
    <w:p w:rsidR="006D3765" w:rsidRPr="00DF5DAF" w:rsidRDefault="006D3765" w:rsidP="00001D5E">
      <w:pPr>
        <w:keepNext/>
        <w:keepLines/>
        <w:spacing w:line="240" w:lineRule="auto"/>
        <w:ind w:left="2160" w:right="720" w:hanging="1354"/>
        <w:rPr>
          <w:szCs w:val="24"/>
        </w:rPr>
      </w:pPr>
    </w:p>
    <w:p w:rsidR="006D3765" w:rsidRPr="007B23B1" w:rsidRDefault="006D3765" w:rsidP="00A04DA5">
      <w:pPr>
        <w:pStyle w:val="TT-TableTitle"/>
        <w:tabs>
          <w:tab w:val="clear" w:pos="1440"/>
          <w:tab w:val="left" w:pos="1260"/>
        </w:tabs>
        <w:ind w:left="1260" w:hanging="1260"/>
      </w:pPr>
      <w:bookmarkStart w:id="6" w:name="_Toc282508105"/>
      <w:r w:rsidRPr="00A42ECF">
        <w:t>T</w:t>
      </w:r>
      <w:r w:rsidRPr="007B23B1">
        <w:t>able B4.</w:t>
      </w:r>
      <w:r w:rsidRPr="007B23B1">
        <w:tab/>
        <w:t xml:space="preserve">Expected </w:t>
      </w:r>
      <w:r w:rsidR="00AD2938">
        <w:t xml:space="preserve">sample sizes and corresponding </w:t>
      </w:r>
      <w:r w:rsidRPr="007B23B1">
        <w:t>standard error of an estimated proportion under proposed design for selected analytic domains</w:t>
      </w:r>
      <w:bookmarkEnd w:id="6"/>
    </w:p>
    <w:p w:rsidR="006D3765" w:rsidRPr="007B23B1" w:rsidRDefault="006D3765" w:rsidP="00001D5E">
      <w:pPr>
        <w:keepNext/>
        <w:keepLines/>
        <w:spacing w:line="240" w:lineRule="auto"/>
        <w:ind w:left="1612" w:right="720" w:hanging="806"/>
        <w:rPr>
          <w:szCs w:val="24"/>
        </w:rPr>
      </w:pPr>
    </w:p>
    <w:tbl>
      <w:tblPr>
        <w:tblW w:w="0" w:type="auto"/>
        <w:tblLayout w:type="fixed"/>
        <w:tblCellMar>
          <w:left w:w="0" w:type="dxa"/>
          <w:right w:w="0" w:type="dxa"/>
        </w:tblCellMar>
        <w:tblLook w:val="0000"/>
      </w:tblPr>
      <w:tblGrid>
        <w:gridCol w:w="3168"/>
        <w:gridCol w:w="1435"/>
        <w:gridCol w:w="1436"/>
        <w:gridCol w:w="1436"/>
        <w:gridCol w:w="1436"/>
      </w:tblGrid>
      <w:tr w:rsidR="00A04DA5" w:rsidRPr="007B23B1" w:rsidTr="00822AC6">
        <w:trPr>
          <w:cantSplit/>
          <w:trHeight w:val="360"/>
        </w:trPr>
        <w:tc>
          <w:tcPr>
            <w:tcW w:w="3168" w:type="dxa"/>
            <w:vMerge w:val="restart"/>
            <w:tcBorders>
              <w:top w:val="single" w:sz="2" w:space="0" w:color="auto"/>
              <w:right w:val="single" w:sz="2" w:space="0" w:color="auto"/>
            </w:tcBorders>
            <w:shd w:val="clear" w:color="auto" w:fill="AFBED7"/>
            <w:vAlign w:val="bottom"/>
          </w:tcPr>
          <w:p w:rsidR="00A04DA5" w:rsidRPr="007B23B1" w:rsidRDefault="00A04DA5" w:rsidP="00BA6228">
            <w:pPr>
              <w:pStyle w:val="TH-TableHeading"/>
            </w:pPr>
            <w:r>
              <w:t>Domain (subset)</w:t>
            </w:r>
          </w:p>
        </w:tc>
        <w:tc>
          <w:tcPr>
            <w:tcW w:w="1435" w:type="dxa"/>
            <w:vMerge w:val="restart"/>
            <w:tcBorders>
              <w:top w:val="single" w:sz="2" w:space="0" w:color="auto"/>
              <w:right w:val="single" w:sz="2" w:space="0" w:color="auto"/>
            </w:tcBorders>
            <w:shd w:val="clear" w:color="auto" w:fill="AFBED7"/>
            <w:vAlign w:val="bottom"/>
          </w:tcPr>
          <w:p w:rsidR="00A04DA5" w:rsidRPr="007B23B1" w:rsidRDefault="00A04DA5" w:rsidP="00A04DA5">
            <w:pPr>
              <w:pStyle w:val="TH-TableHeading"/>
            </w:pPr>
            <w:r>
              <w:t>Expected sample size*</w:t>
            </w:r>
          </w:p>
        </w:tc>
        <w:tc>
          <w:tcPr>
            <w:tcW w:w="4308" w:type="dxa"/>
            <w:gridSpan w:val="3"/>
            <w:tcBorders>
              <w:top w:val="single" w:sz="2" w:space="0" w:color="auto"/>
              <w:bottom w:val="single" w:sz="2" w:space="0" w:color="auto"/>
            </w:tcBorders>
            <w:shd w:val="clear" w:color="auto" w:fill="AFBED7"/>
            <w:vAlign w:val="bottom"/>
          </w:tcPr>
          <w:p w:rsidR="00A04DA5" w:rsidRPr="007B23B1" w:rsidRDefault="00BA6228" w:rsidP="00A04DA5">
            <w:pPr>
              <w:pStyle w:val="TH-TableHeading"/>
              <w:tabs>
                <w:tab w:val="clear" w:pos="1152"/>
              </w:tabs>
            </w:pPr>
            <w:r>
              <w:t>Standard error</w:t>
            </w:r>
            <w:r w:rsidRPr="007B23B1">
              <w:t>†</w:t>
            </w:r>
            <w:r>
              <w:t xml:space="preserve"> of an estimated </w:t>
            </w:r>
            <w:r>
              <w:br/>
              <w:t>proportion equal to …</w:t>
            </w:r>
          </w:p>
        </w:tc>
      </w:tr>
      <w:tr w:rsidR="00A04DA5" w:rsidRPr="007B23B1" w:rsidTr="00A04DA5">
        <w:trPr>
          <w:cantSplit/>
          <w:trHeight w:val="360"/>
        </w:trPr>
        <w:tc>
          <w:tcPr>
            <w:tcW w:w="3168" w:type="dxa"/>
            <w:vMerge/>
            <w:tcBorders>
              <w:bottom w:val="single" w:sz="2" w:space="0" w:color="auto"/>
              <w:right w:val="single" w:sz="2" w:space="0" w:color="auto"/>
            </w:tcBorders>
            <w:shd w:val="clear" w:color="auto" w:fill="AFBED7"/>
            <w:vAlign w:val="bottom"/>
          </w:tcPr>
          <w:p w:rsidR="00A04DA5" w:rsidRDefault="00A04DA5" w:rsidP="00001D5E">
            <w:pPr>
              <w:keepNext/>
              <w:keepLines/>
              <w:ind w:left="80"/>
              <w:jc w:val="center"/>
              <w:rPr>
                <w:szCs w:val="24"/>
              </w:rPr>
            </w:pPr>
          </w:p>
        </w:tc>
        <w:tc>
          <w:tcPr>
            <w:tcW w:w="1435" w:type="dxa"/>
            <w:vMerge/>
            <w:tcBorders>
              <w:bottom w:val="single" w:sz="2" w:space="0" w:color="auto"/>
              <w:right w:val="single" w:sz="2" w:space="0" w:color="auto"/>
            </w:tcBorders>
            <w:shd w:val="clear" w:color="auto" w:fill="AFBED7"/>
            <w:vAlign w:val="bottom"/>
          </w:tcPr>
          <w:p w:rsidR="00A04DA5" w:rsidRDefault="00A04DA5" w:rsidP="00A04DA5">
            <w:pPr>
              <w:pStyle w:val="TH-TableHeading"/>
            </w:pPr>
          </w:p>
        </w:tc>
        <w:tc>
          <w:tcPr>
            <w:tcW w:w="1436" w:type="dxa"/>
            <w:tcBorders>
              <w:top w:val="single" w:sz="2" w:space="0" w:color="auto"/>
              <w:bottom w:val="single" w:sz="2" w:space="0" w:color="auto"/>
            </w:tcBorders>
            <w:shd w:val="clear" w:color="auto" w:fill="AFBED7"/>
            <w:vAlign w:val="bottom"/>
          </w:tcPr>
          <w:p w:rsidR="00A04DA5" w:rsidRPr="007B23B1" w:rsidRDefault="00A04DA5" w:rsidP="00822AC6">
            <w:pPr>
              <w:pStyle w:val="TH-TableHeading"/>
            </w:pPr>
            <w:r w:rsidRPr="007B23B1">
              <w:t>P = 0.20</w:t>
            </w:r>
          </w:p>
        </w:tc>
        <w:tc>
          <w:tcPr>
            <w:tcW w:w="1436" w:type="dxa"/>
            <w:tcBorders>
              <w:top w:val="single" w:sz="2" w:space="0" w:color="auto"/>
              <w:bottom w:val="single" w:sz="2" w:space="0" w:color="auto"/>
            </w:tcBorders>
            <w:shd w:val="clear" w:color="auto" w:fill="AFBED7"/>
            <w:vAlign w:val="bottom"/>
          </w:tcPr>
          <w:p w:rsidR="00A04DA5" w:rsidRPr="007B23B1" w:rsidRDefault="00A04DA5" w:rsidP="00822AC6">
            <w:pPr>
              <w:pStyle w:val="TH-TableHeading"/>
            </w:pPr>
            <w:r w:rsidRPr="007B23B1">
              <w:t>P = 0.33</w:t>
            </w:r>
          </w:p>
        </w:tc>
        <w:tc>
          <w:tcPr>
            <w:tcW w:w="1436" w:type="dxa"/>
            <w:tcBorders>
              <w:top w:val="single" w:sz="2" w:space="0" w:color="auto"/>
              <w:bottom w:val="single" w:sz="2" w:space="0" w:color="auto"/>
            </w:tcBorders>
            <w:shd w:val="clear" w:color="auto" w:fill="AFBED7"/>
            <w:vAlign w:val="bottom"/>
          </w:tcPr>
          <w:p w:rsidR="00A04DA5" w:rsidRPr="007B23B1" w:rsidRDefault="00A04DA5" w:rsidP="00822AC6">
            <w:pPr>
              <w:pStyle w:val="TH-TableHeading"/>
            </w:pPr>
            <w:r w:rsidRPr="007B23B1">
              <w:t>P = 0.50</w:t>
            </w:r>
          </w:p>
        </w:tc>
      </w:tr>
      <w:tr w:rsidR="006D3765" w:rsidRPr="007B23B1" w:rsidTr="00A04DA5">
        <w:trPr>
          <w:cantSplit/>
          <w:trHeight w:val="240"/>
        </w:trPr>
        <w:tc>
          <w:tcPr>
            <w:tcW w:w="3168" w:type="dxa"/>
            <w:tcBorders>
              <w:right w:val="single" w:sz="2" w:space="0" w:color="auto"/>
            </w:tcBorders>
            <w:vAlign w:val="center"/>
          </w:tcPr>
          <w:p w:rsidR="006D3765" w:rsidRPr="007B23B1" w:rsidRDefault="006D3765" w:rsidP="00A04DA5">
            <w:pPr>
              <w:pStyle w:val="TX-TableText"/>
            </w:pPr>
            <w:r w:rsidRPr="007B23B1">
              <w:t>Total sample</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1,500</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0.012</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0.014</w:t>
            </w:r>
          </w:p>
        </w:tc>
        <w:tc>
          <w:tcPr>
            <w:tcW w:w="1436" w:type="dxa"/>
            <w:vAlign w:val="bottom"/>
          </w:tcPr>
          <w:p w:rsidR="006D3765" w:rsidRPr="007B23B1" w:rsidRDefault="006D3765" w:rsidP="00BA6228">
            <w:pPr>
              <w:pStyle w:val="TX-TableText"/>
              <w:jc w:val="center"/>
            </w:pPr>
            <w:r w:rsidRPr="007B23B1">
              <w:rPr>
                <w:rFonts w:cs="Times"/>
              </w:rPr>
              <w:t>0.015</w:t>
            </w:r>
          </w:p>
        </w:tc>
      </w:tr>
      <w:tr w:rsidR="006D3765" w:rsidRPr="007B23B1" w:rsidTr="00A04DA5">
        <w:trPr>
          <w:cantSplit/>
          <w:trHeight w:val="240"/>
        </w:trPr>
        <w:tc>
          <w:tcPr>
            <w:tcW w:w="3168" w:type="dxa"/>
            <w:tcBorders>
              <w:right w:val="single" w:sz="2" w:space="0" w:color="auto"/>
            </w:tcBorders>
            <w:vAlign w:val="center"/>
          </w:tcPr>
          <w:p w:rsidR="006D3765" w:rsidRPr="007B23B1" w:rsidRDefault="006D3765" w:rsidP="00A04DA5">
            <w:pPr>
              <w:pStyle w:val="TX-TableText"/>
              <w:rPr>
                <w:i/>
              </w:rPr>
            </w:pPr>
            <w:r w:rsidRPr="007B23B1">
              <w:rPr>
                <w:i/>
              </w:rPr>
              <w:t>Community Type</w:t>
            </w:r>
            <w:r w:rsidR="00AD2938">
              <w:rPr>
                <w:i/>
              </w:rPr>
              <w:t>(Locale)</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 </w:t>
            </w:r>
          </w:p>
        </w:tc>
        <w:tc>
          <w:tcPr>
            <w:tcW w:w="1436" w:type="dxa"/>
            <w:tcBorders>
              <w:right w:val="single" w:sz="2" w:space="0" w:color="auto"/>
            </w:tcBorders>
            <w:vAlign w:val="bottom"/>
          </w:tcPr>
          <w:p w:rsidR="006D3765" w:rsidRPr="007B23B1" w:rsidRDefault="006D3765" w:rsidP="00BA6228">
            <w:pPr>
              <w:pStyle w:val="TX-TableText"/>
              <w:jc w:val="center"/>
            </w:pPr>
          </w:p>
        </w:tc>
        <w:tc>
          <w:tcPr>
            <w:tcW w:w="1436" w:type="dxa"/>
            <w:tcBorders>
              <w:right w:val="single" w:sz="2" w:space="0" w:color="auto"/>
            </w:tcBorders>
            <w:vAlign w:val="bottom"/>
          </w:tcPr>
          <w:p w:rsidR="006D3765" w:rsidRPr="007B23B1" w:rsidRDefault="006D3765" w:rsidP="00BA6228">
            <w:pPr>
              <w:pStyle w:val="TX-TableText"/>
              <w:jc w:val="center"/>
            </w:pPr>
          </w:p>
        </w:tc>
        <w:tc>
          <w:tcPr>
            <w:tcW w:w="1436" w:type="dxa"/>
            <w:vAlign w:val="bottom"/>
          </w:tcPr>
          <w:p w:rsidR="006D3765" w:rsidRPr="007B23B1" w:rsidRDefault="006D3765" w:rsidP="00BA6228">
            <w:pPr>
              <w:pStyle w:val="TX-TableText"/>
              <w:jc w:val="center"/>
            </w:pP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Missing‡</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128</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0.041</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0.049</w:t>
            </w:r>
          </w:p>
        </w:tc>
        <w:tc>
          <w:tcPr>
            <w:tcW w:w="1436" w:type="dxa"/>
            <w:vAlign w:val="bottom"/>
          </w:tcPr>
          <w:p w:rsidR="006D3765" w:rsidRPr="007B23B1" w:rsidRDefault="006D3765" w:rsidP="00BA6228">
            <w:pPr>
              <w:pStyle w:val="TX-TableText"/>
              <w:jc w:val="center"/>
            </w:pPr>
            <w:r w:rsidRPr="007B23B1">
              <w:rPr>
                <w:rFonts w:cs="Times"/>
              </w:rPr>
              <w:t>0.052</w:t>
            </w: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City</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225</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0.036</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0.043</w:t>
            </w:r>
          </w:p>
        </w:tc>
        <w:tc>
          <w:tcPr>
            <w:tcW w:w="1436" w:type="dxa"/>
            <w:vAlign w:val="bottom"/>
          </w:tcPr>
          <w:p w:rsidR="006D3765" w:rsidRPr="007B23B1" w:rsidRDefault="006D3765" w:rsidP="00BA6228">
            <w:pPr>
              <w:pStyle w:val="TX-TableText"/>
              <w:jc w:val="center"/>
            </w:pPr>
            <w:r w:rsidRPr="007B23B1">
              <w:rPr>
                <w:rFonts w:cs="Times"/>
              </w:rPr>
              <w:t>0.046</w:t>
            </w: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Suburban</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403</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0.023</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0.027</w:t>
            </w:r>
          </w:p>
        </w:tc>
        <w:tc>
          <w:tcPr>
            <w:tcW w:w="1436" w:type="dxa"/>
            <w:vAlign w:val="bottom"/>
          </w:tcPr>
          <w:p w:rsidR="006D3765" w:rsidRPr="007B23B1" w:rsidRDefault="006D3765" w:rsidP="00BA6228">
            <w:pPr>
              <w:pStyle w:val="TX-TableText"/>
              <w:jc w:val="center"/>
            </w:pPr>
            <w:r w:rsidRPr="007B23B1">
              <w:rPr>
                <w:rFonts w:cs="Times"/>
              </w:rPr>
              <w:t>0.029</w:t>
            </w: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Town</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250</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0.027</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0.031</w:t>
            </w:r>
          </w:p>
        </w:tc>
        <w:tc>
          <w:tcPr>
            <w:tcW w:w="1436" w:type="dxa"/>
            <w:vAlign w:val="bottom"/>
          </w:tcPr>
          <w:p w:rsidR="006D3765" w:rsidRPr="007B23B1" w:rsidRDefault="006D3765" w:rsidP="00BA6228">
            <w:pPr>
              <w:pStyle w:val="TX-TableText"/>
              <w:jc w:val="center"/>
            </w:pPr>
            <w:r w:rsidRPr="007B23B1">
              <w:rPr>
                <w:rFonts w:cs="Times"/>
              </w:rPr>
              <w:t>0.033</w:t>
            </w:r>
          </w:p>
        </w:tc>
      </w:tr>
      <w:tr w:rsidR="006D3765" w:rsidRPr="007B23B1" w:rsidTr="00B46D1D">
        <w:trPr>
          <w:cantSplit/>
          <w:trHeight w:val="240"/>
        </w:trPr>
        <w:tc>
          <w:tcPr>
            <w:tcW w:w="3168" w:type="dxa"/>
            <w:tcBorders>
              <w:bottom w:val="single" w:sz="2" w:space="0" w:color="auto"/>
              <w:right w:val="single" w:sz="2" w:space="0" w:color="auto"/>
            </w:tcBorders>
            <w:vAlign w:val="center"/>
          </w:tcPr>
          <w:p w:rsidR="006D3765" w:rsidRPr="007B23B1" w:rsidRDefault="00AE1010" w:rsidP="00B46D1D">
            <w:pPr>
              <w:pStyle w:val="TX-TableText"/>
              <w:ind w:left="180"/>
            </w:pPr>
            <w:r>
              <w:t xml:space="preserve"> </w:t>
            </w:r>
            <w:r w:rsidR="006D3765" w:rsidRPr="007B23B1">
              <w:t>Rural</w:t>
            </w:r>
          </w:p>
        </w:tc>
        <w:tc>
          <w:tcPr>
            <w:tcW w:w="1435" w:type="dxa"/>
            <w:tcBorders>
              <w:bottom w:val="single" w:sz="2" w:space="0" w:color="auto"/>
              <w:right w:val="single" w:sz="2" w:space="0" w:color="auto"/>
            </w:tcBorders>
            <w:vAlign w:val="bottom"/>
          </w:tcPr>
          <w:p w:rsidR="006D3765" w:rsidRPr="007B23B1" w:rsidRDefault="006D3765" w:rsidP="00BA6228">
            <w:pPr>
              <w:pStyle w:val="TX-TableText"/>
              <w:tabs>
                <w:tab w:val="decimal" w:pos="882"/>
              </w:tabs>
            </w:pPr>
            <w:r w:rsidRPr="007B23B1">
              <w:rPr>
                <w:rFonts w:cs="Times"/>
              </w:rPr>
              <w:t>494</w:t>
            </w:r>
            <w:r w:rsidR="00AE1010">
              <w:rPr>
                <w:rFonts w:cs="Times"/>
              </w:rPr>
              <w:t xml:space="preserve"> </w:t>
            </w:r>
          </w:p>
        </w:tc>
        <w:tc>
          <w:tcPr>
            <w:tcW w:w="1436" w:type="dxa"/>
            <w:tcBorders>
              <w:bottom w:val="single" w:sz="2" w:space="0" w:color="auto"/>
              <w:right w:val="single" w:sz="2" w:space="0" w:color="auto"/>
            </w:tcBorders>
            <w:vAlign w:val="bottom"/>
          </w:tcPr>
          <w:p w:rsidR="006D3765" w:rsidRPr="007B23B1" w:rsidRDefault="006D3765" w:rsidP="00BA6228">
            <w:pPr>
              <w:pStyle w:val="TX-TableText"/>
              <w:jc w:val="center"/>
            </w:pPr>
            <w:r w:rsidRPr="007B23B1">
              <w:rPr>
                <w:rFonts w:cs="Times"/>
              </w:rPr>
              <w:t>0.020</w:t>
            </w:r>
          </w:p>
        </w:tc>
        <w:tc>
          <w:tcPr>
            <w:tcW w:w="1436" w:type="dxa"/>
            <w:tcBorders>
              <w:bottom w:val="single" w:sz="2" w:space="0" w:color="auto"/>
              <w:right w:val="single" w:sz="2" w:space="0" w:color="auto"/>
            </w:tcBorders>
            <w:vAlign w:val="bottom"/>
          </w:tcPr>
          <w:p w:rsidR="006D3765" w:rsidRPr="007B23B1" w:rsidRDefault="006D3765" w:rsidP="00BA6228">
            <w:pPr>
              <w:pStyle w:val="TX-TableText"/>
              <w:jc w:val="center"/>
            </w:pPr>
            <w:r w:rsidRPr="007B23B1">
              <w:rPr>
                <w:rFonts w:cs="Times"/>
              </w:rPr>
              <w:t>0.023</w:t>
            </w:r>
          </w:p>
        </w:tc>
        <w:tc>
          <w:tcPr>
            <w:tcW w:w="1436" w:type="dxa"/>
            <w:tcBorders>
              <w:bottom w:val="single" w:sz="2" w:space="0" w:color="auto"/>
            </w:tcBorders>
            <w:vAlign w:val="bottom"/>
          </w:tcPr>
          <w:p w:rsidR="006D3765" w:rsidRPr="007B23B1" w:rsidRDefault="006D3765" w:rsidP="00BA6228">
            <w:pPr>
              <w:pStyle w:val="TX-TableText"/>
              <w:jc w:val="center"/>
            </w:pPr>
            <w:r w:rsidRPr="007B23B1">
              <w:rPr>
                <w:rFonts w:cs="Times"/>
              </w:rPr>
              <w:t>0.024</w:t>
            </w:r>
          </w:p>
        </w:tc>
      </w:tr>
      <w:tr w:rsidR="006D3765" w:rsidRPr="007B23B1" w:rsidTr="00B46D1D">
        <w:trPr>
          <w:cantSplit/>
          <w:trHeight w:val="240"/>
        </w:trPr>
        <w:tc>
          <w:tcPr>
            <w:tcW w:w="3168" w:type="dxa"/>
            <w:tcBorders>
              <w:top w:val="single" w:sz="2" w:space="0" w:color="auto"/>
              <w:right w:val="single" w:sz="2" w:space="0" w:color="auto"/>
            </w:tcBorders>
            <w:vAlign w:val="center"/>
          </w:tcPr>
          <w:p w:rsidR="006D3765" w:rsidRPr="007B23B1" w:rsidRDefault="006D3765" w:rsidP="00A04DA5">
            <w:pPr>
              <w:pStyle w:val="TX-TableText"/>
              <w:rPr>
                <w:i/>
              </w:rPr>
            </w:pPr>
            <w:r w:rsidRPr="007B23B1">
              <w:rPr>
                <w:i/>
              </w:rPr>
              <w:t>Percent of students eligible for free/reduced price lunch</w:t>
            </w:r>
          </w:p>
        </w:tc>
        <w:tc>
          <w:tcPr>
            <w:tcW w:w="1435" w:type="dxa"/>
            <w:tcBorders>
              <w:top w:val="single" w:sz="2" w:space="0" w:color="auto"/>
              <w:right w:val="single" w:sz="2" w:space="0" w:color="auto"/>
            </w:tcBorders>
            <w:vAlign w:val="bottom"/>
          </w:tcPr>
          <w:p w:rsidR="006D3765" w:rsidRPr="007B23B1" w:rsidRDefault="006D3765" w:rsidP="00BA6228">
            <w:pPr>
              <w:pStyle w:val="TX-TableText"/>
              <w:tabs>
                <w:tab w:val="decimal" w:pos="882"/>
              </w:tabs>
              <w:rPr>
                <w:i/>
                <w:iCs/>
              </w:rPr>
            </w:pPr>
            <w:r w:rsidRPr="007B23B1">
              <w:rPr>
                <w:rFonts w:cs="Times"/>
                <w:i/>
                <w:iCs/>
              </w:rPr>
              <w:t> </w:t>
            </w:r>
          </w:p>
        </w:tc>
        <w:tc>
          <w:tcPr>
            <w:tcW w:w="1436" w:type="dxa"/>
            <w:tcBorders>
              <w:top w:val="single" w:sz="2" w:space="0" w:color="auto"/>
              <w:right w:val="single" w:sz="2" w:space="0" w:color="auto"/>
            </w:tcBorders>
            <w:vAlign w:val="bottom"/>
          </w:tcPr>
          <w:p w:rsidR="006D3765" w:rsidRPr="007B23B1" w:rsidRDefault="006D3765" w:rsidP="00BA6228">
            <w:pPr>
              <w:pStyle w:val="TX-TableText"/>
              <w:jc w:val="center"/>
              <w:rPr>
                <w:i/>
                <w:iCs/>
              </w:rPr>
            </w:pPr>
          </w:p>
        </w:tc>
        <w:tc>
          <w:tcPr>
            <w:tcW w:w="1436" w:type="dxa"/>
            <w:tcBorders>
              <w:top w:val="single" w:sz="2" w:space="0" w:color="auto"/>
              <w:right w:val="single" w:sz="2" w:space="0" w:color="auto"/>
            </w:tcBorders>
            <w:vAlign w:val="bottom"/>
          </w:tcPr>
          <w:p w:rsidR="006D3765" w:rsidRPr="007B23B1" w:rsidRDefault="006D3765" w:rsidP="00BA6228">
            <w:pPr>
              <w:pStyle w:val="TX-TableText"/>
              <w:jc w:val="center"/>
              <w:rPr>
                <w:i/>
                <w:iCs/>
              </w:rPr>
            </w:pPr>
          </w:p>
        </w:tc>
        <w:tc>
          <w:tcPr>
            <w:tcW w:w="1436" w:type="dxa"/>
            <w:tcBorders>
              <w:top w:val="single" w:sz="2" w:space="0" w:color="auto"/>
            </w:tcBorders>
            <w:vAlign w:val="bottom"/>
          </w:tcPr>
          <w:p w:rsidR="006D3765" w:rsidRPr="007B23B1" w:rsidRDefault="006D3765" w:rsidP="00BA6228">
            <w:pPr>
              <w:pStyle w:val="TX-TableText"/>
              <w:jc w:val="center"/>
              <w:rPr>
                <w:i/>
                <w:iCs/>
              </w:rPr>
            </w:pP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rPr>
                <w:i/>
              </w:rPr>
              <w:t xml:space="preserve"> </w:t>
            </w:r>
            <w:r w:rsidR="006D3765" w:rsidRPr="007B23B1">
              <w:t>Less than 30</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394</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0.023</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0.027</w:t>
            </w:r>
          </w:p>
        </w:tc>
        <w:tc>
          <w:tcPr>
            <w:tcW w:w="1436" w:type="dxa"/>
            <w:vAlign w:val="bottom"/>
          </w:tcPr>
          <w:p w:rsidR="006D3765" w:rsidRPr="007B23B1" w:rsidRDefault="006D3765" w:rsidP="00BA6228">
            <w:pPr>
              <w:pStyle w:val="TX-TableText"/>
              <w:jc w:val="center"/>
            </w:pPr>
            <w:r w:rsidRPr="007B23B1">
              <w:rPr>
                <w:rFonts w:cs="Times"/>
              </w:rPr>
              <w:t>0.028</w:t>
            </w:r>
          </w:p>
        </w:tc>
      </w:tr>
      <w:tr w:rsidR="006D3765" w:rsidRPr="007B23B1" w:rsidTr="00A04DA5">
        <w:trPr>
          <w:cantSplit/>
          <w:trHeight w:val="87"/>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30 to 59.9</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689</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0.018</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0.021</w:t>
            </w:r>
          </w:p>
        </w:tc>
        <w:tc>
          <w:tcPr>
            <w:tcW w:w="1436" w:type="dxa"/>
            <w:vAlign w:val="bottom"/>
          </w:tcPr>
          <w:p w:rsidR="006D3765" w:rsidRPr="007B23B1" w:rsidRDefault="006D3765" w:rsidP="00BA6228">
            <w:pPr>
              <w:pStyle w:val="TX-TableText"/>
              <w:jc w:val="center"/>
            </w:pPr>
            <w:r w:rsidRPr="007B23B1">
              <w:rPr>
                <w:rFonts w:cs="Times"/>
              </w:rPr>
              <w:t>0.022</w:t>
            </w:r>
          </w:p>
        </w:tc>
      </w:tr>
      <w:tr w:rsidR="006D3765" w:rsidRPr="007B23B1" w:rsidTr="00B46D1D">
        <w:trPr>
          <w:cantSplit/>
          <w:trHeight w:val="240"/>
        </w:trPr>
        <w:tc>
          <w:tcPr>
            <w:tcW w:w="3168" w:type="dxa"/>
            <w:tcBorders>
              <w:bottom w:val="single" w:sz="2" w:space="0" w:color="auto"/>
              <w:right w:val="single" w:sz="2" w:space="0" w:color="auto"/>
            </w:tcBorders>
            <w:vAlign w:val="center"/>
          </w:tcPr>
          <w:p w:rsidR="006D3765" w:rsidRPr="007B23B1" w:rsidRDefault="00AE1010" w:rsidP="00B46D1D">
            <w:pPr>
              <w:pStyle w:val="TX-TableText"/>
              <w:ind w:left="180"/>
            </w:pPr>
            <w:r>
              <w:t xml:space="preserve"> </w:t>
            </w:r>
            <w:r w:rsidR="006D3765" w:rsidRPr="007B23B1">
              <w:t>60 or more</w:t>
            </w:r>
          </w:p>
        </w:tc>
        <w:tc>
          <w:tcPr>
            <w:tcW w:w="1435" w:type="dxa"/>
            <w:tcBorders>
              <w:bottom w:val="single" w:sz="2" w:space="0" w:color="auto"/>
              <w:right w:val="single" w:sz="2" w:space="0" w:color="auto"/>
            </w:tcBorders>
            <w:vAlign w:val="bottom"/>
          </w:tcPr>
          <w:p w:rsidR="006D3765" w:rsidRPr="007B23B1" w:rsidRDefault="006D3765" w:rsidP="00BA6228">
            <w:pPr>
              <w:pStyle w:val="TX-TableText"/>
              <w:tabs>
                <w:tab w:val="decimal" w:pos="882"/>
              </w:tabs>
            </w:pPr>
            <w:r w:rsidRPr="007B23B1">
              <w:rPr>
                <w:rFonts w:cs="Times"/>
              </w:rPr>
              <w:t>418</w:t>
            </w:r>
            <w:r w:rsidR="00AE1010">
              <w:rPr>
                <w:rFonts w:cs="Times"/>
              </w:rPr>
              <w:t xml:space="preserve"> </w:t>
            </w:r>
          </w:p>
        </w:tc>
        <w:tc>
          <w:tcPr>
            <w:tcW w:w="1436" w:type="dxa"/>
            <w:tcBorders>
              <w:bottom w:val="single" w:sz="2" w:space="0" w:color="auto"/>
              <w:right w:val="single" w:sz="2" w:space="0" w:color="auto"/>
            </w:tcBorders>
            <w:vAlign w:val="bottom"/>
          </w:tcPr>
          <w:p w:rsidR="006D3765" w:rsidRPr="007B23B1" w:rsidRDefault="006D3765" w:rsidP="00BA6228">
            <w:pPr>
              <w:pStyle w:val="TX-TableText"/>
              <w:jc w:val="center"/>
            </w:pPr>
            <w:r w:rsidRPr="007B23B1">
              <w:rPr>
                <w:rFonts w:cs="Times"/>
              </w:rPr>
              <w:t>0.024</w:t>
            </w:r>
          </w:p>
        </w:tc>
        <w:tc>
          <w:tcPr>
            <w:tcW w:w="1436" w:type="dxa"/>
            <w:tcBorders>
              <w:bottom w:val="single" w:sz="2" w:space="0" w:color="auto"/>
              <w:right w:val="single" w:sz="2" w:space="0" w:color="auto"/>
            </w:tcBorders>
            <w:vAlign w:val="bottom"/>
          </w:tcPr>
          <w:p w:rsidR="006D3765" w:rsidRPr="007B23B1" w:rsidRDefault="006D3765" w:rsidP="00BA6228">
            <w:pPr>
              <w:pStyle w:val="TX-TableText"/>
              <w:jc w:val="center"/>
            </w:pPr>
            <w:r w:rsidRPr="007B23B1">
              <w:rPr>
                <w:rFonts w:cs="Times"/>
              </w:rPr>
              <w:t>0.028</w:t>
            </w:r>
          </w:p>
        </w:tc>
        <w:tc>
          <w:tcPr>
            <w:tcW w:w="1436" w:type="dxa"/>
            <w:tcBorders>
              <w:bottom w:val="single" w:sz="2" w:space="0" w:color="auto"/>
            </w:tcBorders>
            <w:vAlign w:val="bottom"/>
          </w:tcPr>
          <w:p w:rsidR="006D3765" w:rsidRPr="007B23B1" w:rsidRDefault="006D3765" w:rsidP="00BA6228">
            <w:pPr>
              <w:pStyle w:val="TX-TableText"/>
              <w:jc w:val="center"/>
            </w:pPr>
            <w:r w:rsidRPr="007B23B1">
              <w:rPr>
                <w:rFonts w:cs="Times"/>
              </w:rPr>
              <w:t>0.030</w:t>
            </w:r>
          </w:p>
        </w:tc>
      </w:tr>
      <w:tr w:rsidR="006D3765" w:rsidRPr="007B23B1" w:rsidTr="00B46D1D">
        <w:trPr>
          <w:cantSplit/>
          <w:trHeight w:val="240"/>
        </w:trPr>
        <w:tc>
          <w:tcPr>
            <w:tcW w:w="3168" w:type="dxa"/>
            <w:tcBorders>
              <w:top w:val="single" w:sz="2" w:space="0" w:color="auto"/>
              <w:right w:val="single" w:sz="2" w:space="0" w:color="auto"/>
            </w:tcBorders>
            <w:vAlign w:val="center"/>
          </w:tcPr>
          <w:p w:rsidR="006D3765" w:rsidRPr="007B23B1" w:rsidRDefault="006D3765" w:rsidP="00A04DA5">
            <w:pPr>
              <w:pStyle w:val="TX-TableText"/>
              <w:rPr>
                <w:i/>
              </w:rPr>
            </w:pPr>
            <w:r w:rsidRPr="007B23B1">
              <w:rPr>
                <w:i/>
              </w:rPr>
              <w:t xml:space="preserve">FNS Region </w:t>
            </w:r>
          </w:p>
        </w:tc>
        <w:tc>
          <w:tcPr>
            <w:tcW w:w="1435" w:type="dxa"/>
            <w:tcBorders>
              <w:top w:val="single" w:sz="2" w:space="0" w:color="auto"/>
              <w:right w:val="single" w:sz="2" w:space="0" w:color="auto"/>
            </w:tcBorders>
            <w:vAlign w:val="bottom"/>
          </w:tcPr>
          <w:p w:rsidR="006D3765" w:rsidRPr="007B23B1" w:rsidRDefault="006D3765" w:rsidP="00BA6228">
            <w:pPr>
              <w:pStyle w:val="TX-TableText"/>
              <w:tabs>
                <w:tab w:val="decimal" w:pos="882"/>
              </w:tabs>
            </w:pPr>
            <w:r w:rsidRPr="007B23B1">
              <w:rPr>
                <w:rFonts w:cs="Times"/>
              </w:rPr>
              <w:t> </w:t>
            </w:r>
          </w:p>
        </w:tc>
        <w:tc>
          <w:tcPr>
            <w:tcW w:w="1436" w:type="dxa"/>
            <w:tcBorders>
              <w:top w:val="single" w:sz="2" w:space="0" w:color="auto"/>
              <w:right w:val="single" w:sz="2" w:space="0" w:color="auto"/>
            </w:tcBorders>
            <w:vAlign w:val="bottom"/>
          </w:tcPr>
          <w:p w:rsidR="006D3765" w:rsidRPr="007B23B1" w:rsidRDefault="006D3765" w:rsidP="00BA6228">
            <w:pPr>
              <w:pStyle w:val="TX-TableText"/>
              <w:jc w:val="center"/>
            </w:pPr>
          </w:p>
        </w:tc>
        <w:tc>
          <w:tcPr>
            <w:tcW w:w="1436" w:type="dxa"/>
            <w:tcBorders>
              <w:top w:val="single" w:sz="2" w:space="0" w:color="auto"/>
              <w:right w:val="single" w:sz="2" w:space="0" w:color="auto"/>
            </w:tcBorders>
            <w:vAlign w:val="bottom"/>
          </w:tcPr>
          <w:p w:rsidR="006D3765" w:rsidRPr="007B23B1" w:rsidRDefault="006D3765" w:rsidP="00BA6228">
            <w:pPr>
              <w:pStyle w:val="TX-TableText"/>
              <w:jc w:val="center"/>
            </w:pPr>
          </w:p>
        </w:tc>
        <w:tc>
          <w:tcPr>
            <w:tcW w:w="1436" w:type="dxa"/>
            <w:tcBorders>
              <w:top w:val="single" w:sz="2" w:space="0" w:color="auto"/>
            </w:tcBorders>
            <w:vAlign w:val="bottom"/>
          </w:tcPr>
          <w:p w:rsidR="006D3765" w:rsidRPr="007B23B1" w:rsidRDefault="006D3765" w:rsidP="00BA6228">
            <w:pPr>
              <w:pStyle w:val="TX-TableText"/>
              <w:jc w:val="center"/>
            </w:pP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Mid Atlantic</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173</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0.035</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0.041</w:t>
            </w:r>
          </w:p>
        </w:tc>
        <w:tc>
          <w:tcPr>
            <w:tcW w:w="1436" w:type="dxa"/>
            <w:vAlign w:val="bottom"/>
          </w:tcPr>
          <w:p w:rsidR="006D3765" w:rsidRPr="007B23B1" w:rsidRDefault="006D3765" w:rsidP="00BA6228">
            <w:pPr>
              <w:pStyle w:val="TX-TableText"/>
              <w:jc w:val="center"/>
            </w:pPr>
            <w:r w:rsidRPr="007B23B1">
              <w:rPr>
                <w:rFonts w:cs="Times"/>
              </w:rPr>
              <w:t>0.043</w:t>
            </w: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Midwest</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339</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0.024</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0.028</w:t>
            </w:r>
          </w:p>
        </w:tc>
        <w:tc>
          <w:tcPr>
            <w:tcW w:w="1436" w:type="dxa"/>
            <w:vAlign w:val="bottom"/>
          </w:tcPr>
          <w:p w:rsidR="006D3765" w:rsidRPr="007B23B1" w:rsidRDefault="006D3765" w:rsidP="00BA6228">
            <w:pPr>
              <w:pStyle w:val="TX-TableText"/>
              <w:jc w:val="center"/>
            </w:pPr>
            <w:r w:rsidRPr="007B23B1">
              <w:rPr>
                <w:rFonts w:cs="Times"/>
              </w:rPr>
              <w:t>0.030</w:t>
            </w: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Mountain</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173</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0.035</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0.041</w:t>
            </w:r>
          </w:p>
        </w:tc>
        <w:tc>
          <w:tcPr>
            <w:tcW w:w="1436" w:type="dxa"/>
            <w:vAlign w:val="bottom"/>
          </w:tcPr>
          <w:p w:rsidR="006D3765" w:rsidRPr="007B23B1" w:rsidRDefault="006D3765" w:rsidP="00BA6228">
            <w:pPr>
              <w:pStyle w:val="TX-TableText"/>
              <w:jc w:val="center"/>
            </w:pPr>
            <w:r w:rsidRPr="007B23B1">
              <w:rPr>
                <w:rFonts w:cs="Times"/>
              </w:rPr>
              <w:t>0.043</w:t>
            </w: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Northeast</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167</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0.035</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0.041</w:t>
            </w:r>
          </w:p>
        </w:tc>
        <w:tc>
          <w:tcPr>
            <w:tcW w:w="1436" w:type="dxa"/>
            <w:vAlign w:val="bottom"/>
          </w:tcPr>
          <w:p w:rsidR="006D3765" w:rsidRPr="007B23B1" w:rsidRDefault="006D3765" w:rsidP="00BA6228">
            <w:pPr>
              <w:pStyle w:val="TX-TableText"/>
              <w:jc w:val="center"/>
            </w:pPr>
            <w:r w:rsidRPr="007B23B1">
              <w:rPr>
                <w:rFonts w:cs="Times"/>
              </w:rPr>
              <w:t>0.043</w:t>
            </w: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Southeast</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196</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0.033</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0.039</w:t>
            </w:r>
          </w:p>
        </w:tc>
        <w:tc>
          <w:tcPr>
            <w:tcW w:w="1436" w:type="dxa"/>
            <w:vAlign w:val="bottom"/>
          </w:tcPr>
          <w:p w:rsidR="006D3765" w:rsidRPr="007B23B1" w:rsidRDefault="006D3765" w:rsidP="00BA6228">
            <w:pPr>
              <w:pStyle w:val="TX-TableText"/>
              <w:jc w:val="center"/>
            </w:pPr>
            <w:r w:rsidRPr="007B23B1">
              <w:rPr>
                <w:rFonts w:cs="Times"/>
              </w:rPr>
              <w:t>0.041</w:t>
            </w: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Southwest</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213</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0.032</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0.038</w:t>
            </w:r>
          </w:p>
        </w:tc>
        <w:tc>
          <w:tcPr>
            <w:tcW w:w="1436" w:type="dxa"/>
            <w:vAlign w:val="bottom"/>
          </w:tcPr>
          <w:p w:rsidR="006D3765" w:rsidRPr="007B23B1" w:rsidRDefault="006D3765" w:rsidP="00BA6228">
            <w:pPr>
              <w:pStyle w:val="TX-TableText"/>
              <w:jc w:val="center"/>
            </w:pPr>
            <w:r w:rsidRPr="007B23B1">
              <w:rPr>
                <w:rFonts w:cs="Times"/>
              </w:rPr>
              <w:t>0.041</w:t>
            </w:r>
          </w:p>
        </w:tc>
      </w:tr>
      <w:tr w:rsidR="006D3765" w:rsidRPr="007B23B1" w:rsidTr="00B46D1D">
        <w:trPr>
          <w:cantSplit/>
          <w:trHeight w:val="240"/>
        </w:trPr>
        <w:tc>
          <w:tcPr>
            <w:tcW w:w="3168" w:type="dxa"/>
            <w:tcBorders>
              <w:bottom w:val="single" w:sz="2" w:space="0" w:color="auto"/>
              <w:right w:val="single" w:sz="2" w:space="0" w:color="auto"/>
            </w:tcBorders>
            <w:vAlign w:val="center"/>
          </w:tcPr>
          <w:p w:rsidR="006D3765" w:rsidRPr="007B23B1" w:rsidRDefault="00AE1010" w:rsidP="00B46D1D">
            <w:pPr>
              <w:pStyle w:val="TX-TableText"/>
              <w:ind w:left="180"/>
            </w:pPr>
            <w:r>
              <w:t xml:space="preserve"> </w:t>
            </w:r>
            <w:r w:rsidR="006D3765" w:rsidRPr="007B23B1">
              <w:t>Western</w:t>
            </w:r>
          </w:p>
        </w:tc>
        <w:tc>
          <w:tcPr>
            <w:tcW w:w="1435" w:type="dxa"/>
            <w:tcBorders>
              <w:bottom w:val="single" w:sz="2" w:space="0" w:color="auto"/>
              <w:right w:val="single" w:sz="2" w:space="0" w:color="auto"/>
            </w:tcBorders>
            <w:vAlign w:val="bottom"/>
          </w:tcPr>
          <w:p w:rsidR="006D3765" w:rsidRPr="007B23B1" w:rsidRDefault="006D3765" w:rsidP="00BA6228">
            <w:pPr>
              <w:pStyle w:val="TX-TableText"/>
              <w:tabs>
                <w:tab w:val="decimal" w:pos="882"/>
              </w:tabs>
            </w:pPr>
            <w:r w:rsidRPr="007B23B1">
              <w:rPr>
                <w:rFonts w:cs="Times"/>
              </w:rPr>
              <w:t>240</w:t>
            </w:r>
            <w:r w:rsidR="00AE1010">
              <w:rPr>
                <w:rFonts w:cs="Times"/>
              </w:rPr>
              <w:t xml:space="preserve"> </w:t>
            </w:r>
          </w:p>
        </w:tc>
        <w:tc>
          <w:tcPr>
            <w:tcW w:w="1436" w:type="dxa"/>
            <w:tcBorders>
              <w:bottom w:val="single" w:sz="2" w:space="0" w:color="auto"/>
              <w:right w:val="single" w:sz="2" w:space="0" w:color="auto"/>
            </w:tcBorders>
            <w:vAlign w:val="bottom"/>
          </w:tcPr>
          <w:p w:rsidR="006D3765" w:rsidRPr="007B23B1" w:rsidRDefault="006D3765" w:rsidP="00BA6228">
            <w:pPr>
              <w:pStyle w:val="TX-TableText"/>
              <w:jc w:val="center"/>
            </w:pPr>
            <w:r w:rsidRPr="007B23B1">
              <w:rPr>
                <w:rFonts w:cs="Times"/>
              </w:rPr>
              <w:t>0.034</w:t>
            </w:r>
          </w:p>
        </w:tc>
        <w:tc>
          <w:tcPr>
            <w:tcW w:w="1436" w:type="dxa"/>
            <w:tcBorders>
              <w:bottom w:val="single" w:sz="2" w:space="0" w:color="auto"/>
              <w:right w:val="single" w:sz="2" w:space="0" w:color="auto"/>
            </w:tcBorders>
            <w:vAlign w:val="bottom"/>
          </w:tcPr>
          <w:p w:rsidR="006D3765" w:rsidRPr="007B23B1" w:rsidRDefault="006D3765" w:rsidP="00BA6228">
            <w:pPr>
              <w:pStyle w:val="TX-TableText"/>
              <w:jc w:val="center"/>
            </w:pPr>
            <w:r w:rsidRPr="007B23B1">
              <w:rPr>
                <w:rFonts w:cs="Times"/>
              </w:rPr>
              <w:t>0.040</w:t>
            </w:r>
          </w:p>
        </w:tc>
        <w:tc>
          <w:tcPr>
            <w:tcW w:w="1436" w:type="dxa"/>
            <w:tcBorders>
              <w:bottom w:val="single" w:sz="2" w:space="0" w:color="auto"/>
            </w:tcBorders>
            <w:vAlign w:val="bottom"/>
          </w:tcPr>
          <w:p w:rsidR="006D3765" w:rsidRPr="007B23B1" w:rsidRDefault="006D3765" w:rsidP="00BA6228">
            <w:pPr>
              <w:pStyle w:val="TX-TableText"/>
              <w:jc w:val="center"/>
            </w:pPr>
            <w:r w:rsidRPr="007B23B1">
              <w:rPr>
                <w:rFonts w:cs="Times"/>
              </w:rPr>
              <w:t>0.042</w:t>
            </w:r>
          </w:p>
        </w:tc>
      </w:tr>
      <w:tr w:rsidR="006D3765" w:rsidRPr="007B23B1" w:rsidTr="00B46D1D">
        <w:trPr>
          <w:cantSplit/>
          <w:trHeight w:val="240"/>
        </w:trPr>
        <w:tc>
          <w:tcPr>
            <w:tcW w:w="3168" w:type="dxa"/>
            <w:tcBorders>
              <w:top w:val="single" w:sz="2" w:space="0" w:color="auto"/>
              <w:right w:val="single" w:sz="2" w:space="0" w:color="auto"/>
            </w:tcBorders>
            <w:vAlign w:val="center"/>
          </w:tcPr>
          <w:p w:rsidR="006D3765" w:rsidRPr="007B23B1" w:rsidRDefault="006D3765" w:rsidP="00A04DA5">
            <w:pPr>
              <w:pStyle w:val="TX-TableText"/>
              <w:rPr>
                <w:i/>
              </w:rPr>
            </w:pPr>
            <w:r w:rsidRPr="007B23B1">
              <w:rPr>
                <w:i/>
              </w:rPr>
              <w:t>SFA Enrollment Size</w:t>
            </w:r>
          </w:p>
        </w:tc>
        <w:tc>
          <w:tcPr>
            <w:tcW w:w="1435" w:type="dxa"/>
            <w:tcBorders>
              <w:top w:val="single" w:sz="2" w:space="0" w:color="auto"/>
              <w:right w:val="single" w:sz="2" w:space="0" w:color="auto"/>
            </w:tcBorders>
            <w:vAlign w:val="bottom"/>
          </w:tcPr>
          <w:p w:rsidR="006D3765" w:rsidRPr="007B23B1" w:rsidRDefault="006D3765" w:rsidP="00BA6228">
            <w:pPr>
              <w:pStyle w:val="TX-TableText"/>
              <w:tabs>
                <w:tab w:val="decimal" w:pos="882"/>
              </w:tabs>
            </w:pPr>
            <w:r w:rsidRPr="007B23B1">
              <w:rPr>
                <w:rFonts w:cs="Times"/>
              </w:rPr>
              <w:t> </w:t>
            </w:r>
          </w:p>
        </w:tc>
        <w:tc>
          <w:tcPr>
            <w:tcW w:w="1436" w:type="dxa"/>
            <w:tcBorders>
              <w:top w:val="single" w:sz="2" w:space="0" w:color="auto"/>
              <w:right w:val="single" w:sz="2" w:space="0" w:color="auto"/>
            </w:tcBorders>
            <w:vAlign w:val="bottom"/>
          </w:tcPr>
          <w:p w:rsidR="006D3765" w:rsidRPr="007B23B1" w:rsidRDefault="006D3765" w:rsidP="00BA6228">
            <w:pPr>
              <w:pStyle w:val="TX-TableText"/>
              <w:jc w:val="center"/>
            </w:pPr>
          </w:p>
        </w:tc>
        <w:tc>
          <w:tcPr>
            <w:tcW w:w="1436" w:type="dxa"/>
            <w:tcBorders>
              <w:top w:val="single" w:sz="2" w:space="0" w:color="auto"/>
              <w:right w:val="single" w:sz="2" w:space="0" w:color="auto"/>
            </w:tcBorders>
            <w:vAlign w:val="bottom"/>
          </w:tcPr>
          <w:p w:rsidR="006D3765" w:rsidRPr="007B23B1" w:rsidRDefault="006D3765" w:rsidP="00BA6228">
            <w:pPr>
              <w:pStyle w:val="TX-TableText"/>
              <w:jc w:val="center"/>
            </w:pPr>
          </w:p>
        </w:tc>
        <w:tc>
          <w:tcPr>
            <w:tcW w:w="1436" w:type="dxa"/>
            <w:tcBorders>
              <w:top w:val="single" w:sz="2" w:space="0" w:color="auto"/>
            </w:tcBorders>
            <w:vAlign w:val="bottom"/>
          </w:tcPr>
          <w:p w:rsidR="006D3765" w:rsidRPr="007B23B1" w:rsidRDefault="006D3765" w:rsidP="00BA6228">
            <w:pPr>
              <w:pStyle w:val="TX-TableText"/>
              <w:jc w:val="center"/>
            </w:pPr>
          </w:p>
        </w:tc>
      </w:tr>
      <w:tr w:rsidR="006D3765" w:rsidRPr="007B23B1" w:rsidTr="00A04DA5">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Under 1,000</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358</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0.020</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0.024</w:t>
            </w:r>
          </w:p>
        </w:tc>
        <w:tc>
          <w:tcPr>
            <w:tcW w:w="1436" w:type="dxa"/>
            <w:vAlign w:val="bottom"/>
          </w:tcPr>
          <w:p w:rsidR="006D3765" w:rsidRPr="007B23B1" w:rsidRDefault="006D3765" w:rsidP="00BA6228">
            <w:pPr>
              <w:pStyle w:val="TX-TableText"/>
              <w:jc w:val="center"/>
            </w:pPr>
            <w:r w:rsidRPr="007B23B1">
              <w:rPr>
                <w:rFonts w:cs="Times"/>
              </w:rPr>
              <w:t>0.026</w:t>
            </w:r>
          </w:p>
        </w:tc>
      </w:tr>
      <w:tr w:rsidR="006D3765" w:rsidRPr="007B23B1" w:rsidTr="00BA6228">
        <w:trPr>
          <w:cantSplit/>
          <w:trHeight w:val="240"/>
        </w:trPr>
        <w:tc>
          <w:tcPr>
            <w:tcW w:w="3168" w:type="dxa"/>
            <w:tcBorders>
              <w:right w:val="single" w:sz="2" w:space="0" w:color="auto"/>
            </w:tcBorders>
            <w:vAlign w:val="center"/>
          </w:tcPr>
          <w:p w:rsidR="006D3765" w:rsidRPr="007B23B1" w:rsidRDefault="00AE1010" w:rsidP="00B46D1D">
            <w:pPr>
              <w:pStyle w:val="TX-TableText"/>
              <w:ind w:left="180"/>
            </w:pPr>
            <w:r>
              <w:t xml:space="preserve"> </w:t>
            </w:r>
            <w:r w:rsidR="006D3765" w:rsidRPr="007B23B1">
              <w:t>1,000 to 4,999</w:t>
            </w:r>
          </w:p>
        </w:tc>
        <w:tc>
          <w:tcPr>
            <w:tcW w:w="1435" w:type="dxa"/>
            <w:tcBorders>
              <w:right w:val="single" w:sz="2" w:space="0" w:color="auto"/>
            </w:tcBorders>
            <w:vAlign w:val="bottom"/>
          </w:tcPr>
          <w:p w:rsidR="006D3765" w:rsidRPr="007B23B1" w:rsidRDefault="006D3765" w:rsidP="00BA6228">
            <w:pPr>
              <w:pStyle w:val="TX-TableText"/>
              <w:tabs>
                <w:tab w:val="decimal" w:pos="882"/>
              </w:tabs>
            </w:pPr>
            <w:r w:rsidRPr="007B23B1">
              <w:rPr>
                <w:rFonts w:cs="Times"/>
              </w:rPr>
              <w:t>607</w:t>
            </w:r>
            <w:r w:rsidR="00AE1010">
              <w:rPr>
                <w:rFonts w:cs="Times"/>
              </w:rPr>
              <w:t xml:space="preserve"> </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0.015</w:t>
            </w:r>
          </w:p>
        </w:tc>
        <w:tc>
          <w:tcPr>
            <w:tcW w:w="1436" w:type="dxa"/>
            <w:tcBorders>
              <w:right w:val="single" w:sz="2" w:space="0" w:color="auto"/>
            </w:tcBorders>
            <w:vAlign w:val="bottom"/>
          </w:tcPr>
          <w:p w:rsidR="006D3765" w:rsidRPr="007B23B1" w:rsidRDefault="006D3765" w:rsidP="00BA6228">
            <w:pPr>
              <w:pStyle w:val="TX-TableText"/>
              <w:jc w:val="center"/>
            </w:pPr>
            <w:r w:rsidRPr="007B23B1">
              <w:rPr>
                <w:rFonts w:cs="Times"/>
              </w:rPr>
              <w:t>0.018</w:t>
            </w:r>
          </w:p>
        </w:tc>
        <w:tc>
          <w:tcPr>
            <w:tcW w:w="1436" w:type="dxa"/>
            <w:vAlign w:val="bottom"/>
          </w:tcPr>
          <w:p w:rsidR="006D3765" w:rsidRPr="007B23B1" w:rsidRDefault="006D3765" w:rsidP="00BA6228">
            <w:pPr>
              <w:pStyle w:val="TX-TableText"/>
              <w:jc w:val="center"/>
            </w:pPr>
            <w:r w:rsidRPr="007B23B1">
              <w:rPr>
                <w:rFonts w:cs="Times"/>
              </w:rPr>
              <w:t>0.019</w:t>
            </w:r>
          </w:p>
        </w:tc>
      </w:tr>
      <w:tr w:rsidR="006D3765" w:rsidRPr="007B23B1" w:rsidTr="00BA6228">
        <w:trPr>
          <w:cantSplit/>
          <w:trHeight w:val="240"/>
        </w:trPr>
        <w:tc>
          <w:tcPr>
            <w:tcW w:w="3168" w:type="dxa"/>
            <w:tcBorders>
              <w:bottom w:val="single" w:sz="2" w:space="0" w:color="auto"/>
              <w:right w:val="single" w:sz="2" w:space="0" w:color="auto"/>
            </w:tcBorders>
            <w:vAlign w:val="center"/>
          </w:tcPr>
          <w:p w:rsidR="006D3765" w:rsidRPr="007B23B1" w:rsidRDefault="00AE1010" w:rsidP="00B46D1D">
            <w:pPr>
              <w:pStyle w:val="TX-TableText"/>
              <w:ind w:left="180"/>
            </w:pPr>
            <w:r>
              <w:t xml:space="preserve"> </w:t>
            </w:r>
            <w:r w:rsidR="006D3765" w:rsidRPr="007B23B1">
              <w:t>5,000 or more</w:t>
            </w:r>
          </w:p>
        </w:tc>
        <w:tc>
          <w:tcPr>
            <w:tcW w:w="1435" w:type="dxa"/>
            <w:tcBorders>
              <w:bottom w:val="single" w:sz="2" w:space="0" w:color="auto"/>
              <w:right w:val="single" w:sz="2" w:space="0" w:color="auto"/>
            </w:tcBorders>
            <w:vAlign w:val="bottom"/>
          </w:tcPr>
          <w:p w:rsidR="006D3765" w:rsidRPr="007B23B1" w:rsidRDefault="006D3765" w:rsidP="00BA6228">
            <w:pPr>
              <w:pStyle w:val="TX-TableText"/>
              <w:tabs>
                <w:tab w:val="decimal" w:pos="882"/>
              </w:tabs>
            </w:pPr>
            <w:r w:rsidRPr="007B23B1">
              <w:rPr>
                <w:rFonts w:cs="Times"/>
              </w:rPr>
              <w:t>536</w:t>
            </w:r>
            <w:r w:rsidR="00AE1010">
              <w:rPr>
                <w:rFonts w:cs="Times"/>
              </w:rPr>
              <w:t xml:space="preserve"> </w:t>
            </w:r>
          </w:p>
        </w:tc>
        <w:tc>
          <w:tcPr>
            <w:tcW w:w="1436" w:type="dxa"/>
            <w:tcBorders>
              <w:bottom w:val="single" w:sz="2" w:space="0" w:color="auto"/>
              <w:right w:val="single" w:sz="2" w:space="0" w:color="auto"/>
            </w:tcBorders>
            <w:vAlign w:val="bottom"/>
          </w:tcPr>
          <w:p w:rsidR="006D3765" w:rsidRPr="007B23B1" w:rsidRDefault="006D3765" w:rsidP="00BA6228">
            <w:pPr>
              <w:pStyle w:val="TX-TableText"/>
              <w:jc w:val="center"/>
            </w:pPr>
            <w:r w:rsidRPr="007B23B1">
              <w:rPr>
                <w:rFonts w:cs="Times"/>
              </w:rPr>
              <w:t>0.015</w:t>
            </w:r>
          </w:p>
        </w:tc>
        <w:tc>
          <w:tcPr>
            <w:tcW w:w="1436" w:type="dxa"/>
            <w:tcBorders>
              <w:bottom w:val="single" w:sz="2" w:space="0" w:color="auto"/>
              <w:right w:val="single" w:sz="2" w:space="0" w:color="auto"/>
            </w:tcBorders>
            <w:vAlign w:val="bottom"/>
          </w:tcPr>
          <w:p w:rsidR="006D3765" w:rsidRPr="007B23B1" w:rsidRDefault="006D3765" w:rsidP="00BA6228">
            <w:pPr>
              <w:pStyle w:val="TX-TableText"/>
              <w:jc w:val="center"/>
            </w:pPr>
            <w:r w:rsidRPr="007B23B1">
              <w:rPr>
                <w:rFonts w:cs="Times"/>
              </w:rPr>
              <w:t>0.018</w:t>
            </w:r>
          </w:p>
        </w:tc>
        <w:tc>
          <w:tcPr>
            <w:tcW w:w="1436" w:type="dxa"/>
            <w:tcBorders>
              <w:bottom w:val="single" w:sz="2" w:space="0" w:color="auto"/>
            </w:tcBorders>
            <w:vAlign w:val="bottom"/>
          </w:tcPr>
          <w:p w:rsidR="006D3765" w:rsidRPr="007B23B1" w:rsidRDefault="006D3765" w:rsidP="00BA6228">
            <w:pPr>
              <w:pStyle w:val="TX-TableText"/>
              <w:jc w:val="center"/>
            </w:pPr>
            <w:r w:rsidRPr="007B23B1">
              <w:rPr>
                <w:rFonts w:cs="Times"/>
              </w:rPr>
              <w:t>0.019</w:t>
            </w:r>
          </w:p>
        </w:tc>
      </w:tr>
    </w:tbl>
    <w:p w:rsidR="00A04DA5" w:rsidRPr="00B46D1D" w:rsidRDefault="00A04DA5" w:rsidP="00B46D1D">
      <w:pPr>
        <w:keepNext/>
        <w:keepLines/>
        <w:spacing w:line="240" w:lineRule="auto"/>
        <w:ind w:left="144" w:hanging="144"/>
        <w:rPr>
          <w:rFonts w:ascii="Franklin Gothic Medium" w:hAnsi="Franklin Gothic Medium"/>
          <w:sz w:val="18"/>
          <w:szCs w:val="18"/>
        </w:rPr>
      </w:pPr>
      <w:r w:rsidRPr="00B46D1D">
        <w:rPr>
          <w:rFonts w:ascii="Franklin Gothic Medium" w:hAnsi="Franklin Gothic Medium"/>
          <w:sz w:val="18"/>
          <w:szCs w:val="18"/>
        </w:rPr>
        <w:lastRenderedPageBreak/>
        <w:t>* Expected number of responding eligible SFAs, assuming response rate of 85 percent. The standard errors given in this table are given for illustration. Actual standard errors will depend on characteristics being estimated and may differ from those shown.</w:t>
      </w:r>
    </w:p>
    <w:p w:rsidR="00A04DA5" w:rsidRPr="00B46D1D" w:rsidRDefault="00A04DA5" w:rsidP="00B46D1D">
      <w:pPr>
        <w:keepNext/>
        <w:keepLines/>
        <w:spacing w:line="240" w:lineRule="auto"/>
        <w:ind w:left="144" w:hanging="144"/>
        <w:rPr>
          <w:rFonts w:ascii="Franklin Gothic Medium" w:hAnsi="Franklin Gothic Medium"/>
          <w:sz w:val="18"/>
          <w:szCs w:val="18"/>
        </w:rPr>
      </w:pPr>
      <w:r w:rsidRPr="00B46D1D">
        <w:rPr>
          <w:rFonts w:ascii="Franklin Gothic Medium" w:hAnsi="Franklin Gothic Medium"/>
          <w:sz w:val="18"/>
          <w:szCs w:val="18"/>
        </w:rPr>
        <w:t>† Assumes unequal weighting design effect ranging from 0.78 to 1.87 depending on subgroup.</w:t>
      </w:r>
    </w:p>
    <w:p w:rsidR="00A04DA5" w:rsidRPr="00B46D1D" w:rsidRDefault="00A04DA5" w:rsidP="00B46D1D">
      <w:pPr>
        <w:keepNext/>
        <w:keepLines/>
        <w:spacing w:line="240" w:lineRule="auto"/>
        <w:ind w:left="144" w:hanging="144"/>
        <w:rPr>
          <w:rFonts w:ascii="Franklin Gothic Medium" w:hAnsi="Franklin Gothic Medium"/>
          <w:sz w:val="18"/>
          <w:szCs w:val="18"/>
        </w:rPr>
      </w:pPr>
      <w:r w:rsidRPr="00B46D1D">
        <w:rPr>
          <w:rFonts w:ascii="Franklin Gothic Medium" w:hAnsi="Franklin Gothic Medium"/>
          <w:sz w:val="18"/>
          <w:szCs w:val="18"/>
        </w:rPr>
        <w:t>‡ Includes SFAs in FNS-742 database that do not match to any records on the CCD frame.</w:t>
      </w:r>
    </w:p>
    <w:p w:rsidR="00B46D1D" w:rsidRPr="00B46D1D" w:rsidRDefault="00B46D1D">
      <w:pPr>
        <w:rPr>
          <w:color w:val="000000"/>
          <w:szCs w:val="24"/>
        </w:rPr>
      </w:pPr>
    </w:p>
    <w:p w:rsidR="006D3765" w:rsidRDefault="006D3765" w:rsidP="00B46D1D">
      <w:pPr>
        <w:keepNext/>
        <w:keepLines/>
        <w:tabs>
          <w:tab w:val="left" w:pos="540"/>
        </w:tabs>
        <w:spacing w:line="240" w:lineRule="auto"/>
        <w:rPr>
          <w:b/>
          <w:color w:val="000000"/>
          <w:szCs w:val="24"/>
        </w:rPr>
      </w:pPr>
      <w:r>
        <w:rPr>
          <w:b/>
          <w:color w:val="000000"/>
          <w:szCs w:val="24"/>
        </w:rPr>
        <w:tab/>
      </w:r>
      <w:r w:rsidRPr="00D6005B">
        <w:rPr>
          <w:b/>
          <w:color w:val="000000"/>
          <w:szCs w:val="24"/>
        </w:rPr>
        <w:t>Estimation and Calculation of Sampling Errors</w:t>
      </w:r>
    </w:p>
    <w:p w:rsidR="006D3765" w:rsidRPr="00B46D1D" w:rsidRDefault="006D3765" w:rsidP="00001D5E">
      <w:pPr>
        <w:keepNext/>
        <w:keepLines/>
        <w:tabs>
          <w:tab w:val="left" w:pos="720"/>
        </w:tabs>
        <w:spacing w:line="240" w:lineRule="auto"/>
        <w:rPr>
          <w:color w:val="000000"/>
          <w:szCs w:val="24"/>
        </w:rPr>
      </w:pPr>
    </w:p>
    <w:p w:rsidR="006D3765" w:rsidRDefault="006D3765" w:rsidP="00001D5E">
      <w:pPr>
        <w:pStyle w:val="P1-StandPara"/>
        <w:tabs>
          <w:tab w:val="left" w:pos="720"/>
        </w:tabs>
        <w:spacing w:line="240" w:lineRule="auto"/>
        <w:ind w:firstLine="0"/>
        <w:mirrorIndents/>
        <w:rPr>
          <w:szCs w:val="24"/>
        </w:rPr>
      </w:pPr>
      <w:r w:rsidRPr="00D6005B">
        <w:rPr>
          <w:szCs w:val="24"/>
        </w:rPr>
        <w:t xml:space="preserve">For estimation purposes, sampling weights reflecting the overall probabilities of selection and differential </w:t>
      </w:r>
      <w:proofErr w:type="spellStart"/>
      <w:r w:rsidRPr="00D6005B">
        <w:rPr>
          <w:szCs w:val="24"/>
        </w:rPr>
        <w:t>nonresponse</w:t>
      </w:r>
      <w:proofErr w:type="spellEnd"/>
      <w:r w:rsidRPr="00D6005B">
        <w:rPr>
          <w:szCs w:val="24"/>
        </w:rPr>
        <w:t xml:space="preserve"> rates will be attached to each data record providing usable SFA data. The first step in the weighting process will be to assign a base weight to each sampled SFA. The base weight is equal to the reciprocal of the probability of selecting the SFA for the study, which will vary by sampling stratum under the proposed stratified sample design. Next, the base weights will be adjusted for </w:t>
      </w:r>
      <w:proofErr w:type="spellStart"/>
      <w:r w:rsidRPr="00D6005B">
        <w:rPr>
          <w:szCs w:val="24"/>
        </w:rPr>
        <w:t>nonresponse</w:t>
      </w:r>
      <w:proofErr w:type="spellEnd"/>
      <w:r w:rsidRPr="00D6005B">
        <w:rPr>
          <w:szCs w:val="24"/>
        </w:rPr>
        <w:t xml:space="preserve"> within cells consisting of SFAs that are expected to be homogeneous with respect to response propensity. To determine the appropriate adjustment cells, we will conduct a </w:t>
      </w:r>
      <w:proofErr w:type="spellStart"/>
      <w:r w:rsidRPr="00D6005B">
        <w:rPr>
          <w:szCs w:val="24"/>
        </w:rPr>
        <w:t>nonresponse</w:t>
      </w:r>
      <w:proofErr w:type="spellEnd"/>
      <w:r w:rsidRPr="00D6005B">
        <w:rPr>
          <w:szCs w:val="24"/>
        </w:rPr>
        <w:t xml:space="preserve"> bias analysis to identify characteristics of SFAs that are correlated with </w:t>
      </w:r>
      <w:proofErr w:type="spellStart"/>
      <w:r w:rsidRPr="00D6005B">
        <w:rPr>
          <w:szCs w:val="24"/>
        </w:rPr>
        <w:t>nonresponse</w:t>
      </w:r>
      <w:proofErr w:type="spellEnd"/>
      <w:r w:rsidRPr="00D6005B">
        <w:rPr>
          <w:szCs w:val="24"/>
        </w:rPr>
        <w:t xml:space="preserve">. The potential set of predictors to be used to define the adjustment cells will include SFA-level characteristics that are available from the FNS database and data from the most recent CCD file. Within these cells, a weighted response rate will be computed and applied to the SFA base weights to obtain the corresponding </w:t>
      </w:r>
      <w:proofErr w:type="spellStart"/>
      <w:r w:rsidRPr="00D6005B">
        <w:rPr>
          <w:szCs w:val="24"/>
        </w:rPr>
        <w:t>nonresponse</w:t>
      </w:r>
      <w:proofErr w:type="spellEnd"/>
      <w:r w:rsidRPr="00D6005B">
        <w:rPr>
          <w:szCs w:val="24"/>
        </w:rPr>
        <w:t>-adjusted weights.</w:t>
      </w:r>
    </w:p>
    <w:p w:rsidR="00B46D1D" w:rsidRPr="00D6005B" w:rsidRDefault="00B46D1D" w:rsidP="00001D5E">
      <w:pPr>
        <w:pStyle w:val="P1-StandPara"/>
        <w:tabs>
          <w:tab w:val="left" w:pos="720"/>
        </w:tabs>
        <w:spacing w:line="240" w:lineRule="auto"/>
        <w:ind w:firstLine="0"/>
        <w:mirrorIndents/>
        <w:rPr>
          <w:szCs w:val="24"/>
        </w:rPr>
      </w:pPr>
    </w:p>
    <w:p w:rsidR="006D3765" w:rsidRDefault="006D3765" w:rsidP="00001D5E">
      <w:pPr>
        <w:pStyle w:val="P1-StandPara"/>
        <w:tabs>
          <w:tab w:val="left" w:pos="720"/>
        </w:tabs>
        <w:spacing w:line="240" w:lineRule="auto"/>
        <w:ind w:firstLine="0"/>
        <w:mirrorIndents/>
        <w:rPr>
          <w:szCs w:val="24"/>
        </w:rPr>
      </w:pPr>
      <w:r w:rsidRPr="00D6005B">
        <w:rPr>
          <w:szCs w:val="24"/>
        </w:rPr>
        <w:t xml:space="preserve">To properly reflect the complex features of the sample design, standard errors of the survey-based estimates will be calculated using jackknife replication. Under the jackknife replication approach, 100 subsamples or "replicates" will be formed in a way that preserves the basic features of the full sample design. A set of weights (referred to as “replicate weights”) will then be constructed for each jackknife replicate. Using the full sample weights and the replicate weights, estimates of any survey statistic can be calculated for the full sample and for each of the jackknife replicates. The variability of the replicate estimates is used to obtain the variance of the survey statistic. The replicate weights can be imported into variance estimation software (e.g., SAS, SUDAAN, WESVAR) to calculate standard errors of the survey-based estimates. In addition to the replicate weights, stratum and unit codes will be provided in the data files to permit calculation of standard errors using Taylor series approximations if desired. Note that while replication and Taylor series methods often produce similar results, jackknife replication has some advantages in reflecting statistical adjustments used in weighting such as </w:t>
      </w:r>
      <w:proofErr w:type="spellStart"/>
      <w:r w:rsidRPr="00D6005B">
        <w:rPr>
          <w:szCs w:val="24"/>
        </w:rPr>
        <w:t>nonresponse</w:t>
      </w:r>
      <w:proofErr w:type="spellEnd"/>
      <w:r w:rsidRPr="00D6005B">
        <w:rPr>
          <w:szCs w:val="24"/>
        </w:rPr>
        <w:t xml:space="preserve"> and </w:t>
      </w:r>
      <w:proofErr w:type="spellStart"/>
      <w:r w:rsidRPr="00D6005B">
        <w:rPr>
          <w:szCs w:val="24"/>
        </w:rPr>
        <w:t>poststratification</w:t>
      </w:r>
      <w:proofErr w:type="spellEnd"/>
      <w:r w:rsidRPr="00D6005B">
        <w:rPr>
          <w:szCs w:val="24"/>
        </w:rPr>
        <w:t xml:space="preserve"> (e.g., see Rust, K.F., and </w:t>
      </w:r>
      <w:proofErr w:type="spellStart"/>
      <w:r w:rsidRPr="00D6005B">
        <w:rPr>
          <w:szCs w:val="24"/>
        </w:rPr>
        <w:t>Rao</w:t>
      </w:r>
      <w:proofErr w:type="spellEnd"/>
      <w:r w:rsidRPr="00D6005B">
        <w:rPr>
          <w:szCs w:val="24"/>
        </w:rPr>
        <w:t xml:space="preserve">, J.N.K., 1996. Variance estimation for complex surveys using replication techniques. </w:t>
      </w:r>
      <w:r w:rsidRPr="00D6005B">
        <w:rPr>
          <w:i/>
          <w:iCs/>
          <w:szCs w:val="24"/>
        </w:rPr>
        <w:t>Statistical Methods in Medical Research</w:t>
      </w:r>
      <w:r w:rsidRPr="00D6005B">
        <w:rPr>
          <w:szCs w:val="24"/>
        </w:rPr>
        <w:t>, 5: 283-310).</w:t>
      </w:r>
    </w:p>
    <w:p w:rsidR="006D3765" w:rsidRDefault="006D3765" w:rsidP="00001D5E"/>
    <w:p w:rsidR="00B46D1D" w:rsidRDefault="00B46D1D" w:rsidP="00001D5E"/>
    <w:p w:rsidR="00281D17" w:rsidRPr="00281D17" w:rsidRDefault="006D3765" w:rsidP="00DF5DAF">
      <w:pPr>
        <w:pStyle w:val="BodyText"/>
        <w:spacing w:after="0" w:line="240" w:lineRule="auto"/>
        <w:ind w:left="720" w:hanging="720"/>
        <w:rPr>
          <w:rFonts w:ascii="Garamond" w:hAnsi="Garamond"/>
          <w:b/>
          <w:sz w:val="24"/>
          <w:szCs w:val="24"/>
        </w:rPr>
      </w:pPr>
      <w:bookmarkStart w:id="7" w:name="_Toc282506044"/>
      <w:proofErr w:type="gramStart"/>
      <w:r w:rsidRPr="00281D17">
        <w:rPr>
          <w:rFonts w:ascii="Garamond" w:hAnsi="Garamond"/>
          <w:b/>
          <w:sz w:val="24"/>
          <w:szCs w:val="24"/>
        </w:rPr>
        <w:t>B</w:t>
      </w:r>
      <w:r w:rsidR="00D450DF" w:rsidRPr="00281D17">
        <w:rPr>
          <w:rFonts w:ascii="Garamond" w:hAnsi="Garamond"/>
          <w:b/>
          <w:sz w:val="24"/>
          <w:szCs w:val="24"/>
        </w:rPr>
        <w:t>.</w:t>
      </w:r>
      <w:r w:rsidRPr="00281D17">
        <w:rPr>
          <w:rFonts w:ascii="Garamond" w:hAnsi="Garamond"/>
          <w:b/>
          <w:sz w:val="24"/>
          <w:szCs w:val="24"/>
        </w:rPr>
        <w:t>3</w:t>
      </w:r>
      <w:r w:rsidRPr="00281D17">
        <w:rPr>
          <w:rFonts w:ascii="Garamond" w:hAnsi="Garamond"/>
          <w:b/>
          <w:sz w:val="24"/>
          <w:szCs w:val="24"/>
        </w:rPr>
        <w:tab/>
      </w:r>
      <w:bookmarkEnd w:id="7"/>
      <w:r w:rsidR="00281D17" w:rsidRPr="00281D17">
        <w:rPr>
          <w:rFonts w:ascii="Garamond" w:hAnsi="Garamond"/>
          <w:b/>
          <w:sz w:val="24"/>
          <w:szCs w:val="24"/>
        </w:rPr>
        <w:t>Describe methods to maximize response rates and to deal with issues of non-response.</w:t>
      </w:r>
      <w:proofErr w:type="gramEnd"/>
      <w:r w:rsidR="00281D17" w:rsidRPr="00281D17">
        <w:rPr>
          <w:rFonts w:ascii="Garamond" w:hAnsi="Garamond"/>
          <w:b/>
          <w:sz w:val="24"/>
          <w:szCs w:val="24"/>
        </w:rPr>
        <w:t xml:space="preserv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F5DAF" w:rsidRDefault="00DF5DAF" w:rsidP="00001D5E">
      <w:pPr>
        <w:spacing w:line="240" w:lineRule="auto"/>
        <w:rPr>
          <w:szCs w:val="24"/>
        </w:rPr>
      </w:pPr>
    </w:p>
    <w:p w:rsidR="006D3765" w:rsidRDefault="006D3765" w:rsidP="00001D5E">
      <w:pPr>
        <w:spacing w:line="240" w:lineRule="auto"/>
        <w:rPr>
          <w:szCs w:val="24"/>
        </w:rPr>
      </w:pPr>
      <w:r w:rsidRPr="00D6005B">
        <w:rPr>
          <w:szCs w:val="24"/>
        </w:rPr>
        <w:t xml:space="preserve">Overall response projections were presented earlier. Achieving this response rate involves locating the sample members and securing participation. We estimate 85 percent of the SFA Directors will </w:t>
      </w:r>
      <w:r w:rsidRPr="00D6005B">
        <w:rPr>
          <w:szCs w:val="24"/>
        </w:rPr>
        <w:lastRenderedPageBreak/>
        <w:t xml:space="preserve">either complete a </w:t>
      </w:r>
      <w:r>
        <w:rPr>
          <w:szCs w:val="24"/>
        </w:rPr>
        <w:t xml:space="preserve">self administered paper survey or the </w:t>
      </w:r>
      <w:r w:rsidRPr="00D6005B">
        <w:rPr>
          <w:szCs w:val="24"/>
        </w:rPr>
        <w:t xml:space="preserve">web-administered survey. We also expect all State </w:t>
      </w:r>
      <w:r>
        <w:rPr>
          <w:szCs w:val="24"/>
        </w:rPr>
        <w:t xml:space="preserve">Agency </w:t>
      </w:r>
      <w:r w:rsidRPr="00D6005B">
        <w:rPr>
          <w:szCs w:val="24"/>
        </w:rPr>
        <w:t>Child Nutrition (CN) Directors to complete the surveys.</w:t>
      </w:r>
    </w:p>
    <w:p w:rsidR="006D3765" w:rsidRPr="00D6005B" w:rsidRDefault="006D3765" w:rsidP="00001D5E">
      <w:pPr>
        <w:spacing w:line="240" w:lineRule="auto"/>
        <w:ind w:firstLine="720"/>
        <w:rPr>
          <w:szCs w:val="24"/>
        </w:rPr>
      </w:pPr>
    </w:p>
    <w:p w:rsidR="00FA5582" w:rsidRDefault="00FA5582">
      <w:pPr>
        <w:spacing w:line="240" w:lineRule="auto"/>
        <w:rPr>
          <w:szCs w:val="24"/>
        </w:rPr>
      </w:pPr>
      <w:r>
        <w:rPr>
          <w:szCs w:val="24"/>
        </w:rPr>
        <w:br w:type="page"/>
      </w:r>
    </w:p>
    <w:p w:rsidR="006D3765" w:rsidRDefault="006D3765" w:rsidP="00001D5E">
      <w:pPr>
        <w:spacing w:line="240" w:lineRule="auto"/>
        <w:rPr>
          <w:szCs w:val="24"/>
        </w:rPr>
      </w:pPr>
      <w:r w:rsidRPr="00D6005B">
        <w:rPr>
          <w:szCs w:val="24"/>
        </w:rPr>
        <w:lastRenderedPageBreak/>
        <w:t>Below we describe procedures to be followed to maximize the number of sample members who complete the survey:</w:t>
      </w:r>
    </w:p>
    <w:p w:rsidR="00B46D1D" w:rsidRPr="00D6005B" w:rsidRDefault="00B46D1D" w:rsidP="00001D5E">
      <w:pPr>
        <w:spacing w:line="240" w:lineRule="auto"/>
        <w:rPr>
          <w:szCs w:val="24"/>
        </w:rPr>
      </w:pP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 xml:space="preserve">The letters inviting SFA Directors and State Agency CN Directors to participate in the surveys will be very carefully developed to emphasize the importance of this study and how the information will help the Food and Nutrition Service (FNS) to better understand and address current policy issues related to Special Nutrition Program (SNP) operations. </w:t>
      </w: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Before the SFAs are invited to participate in the study, the contractor will gain support from relevant associations representing organizations with an interest in the success of this study (e.g. School Nutrition Association) and Food Service Management Companies managing school meals programs on behalf of SFAs.</w:t>
      </w: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Designated FNS regional staff will serve as regional study liaisons and be kept closely informed of the project so that they will be able to answer questions from SFAs and encourage participation.</w:t>
      </w: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The contractor will have a toll free number that SFAs can call to ask any questions related to the study.</w:t>
      </w: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Sampled SFA Directors will have the option of completing the survey using the mode of their choice (hard copy</w:t>
      </w:r>
      <w:r>
        <w:rPr>
          <w:szCs w:val="24"/>
        </w:rPr>
        <w:t xml:space="preserve"> or</w:t>
      </w:r>
      <w:r w:rsidRPr="00D6005B">
        <w:rPr>
          <w:szCs w:val="24"/>
        </w:rPr>
        <w:t xml:space="preserve"> web). The State CN Directors will have the option of completing a hard copy survey or a telephone survey. </w:t>
      </w: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We will follow up by telephone with all sampled SFA and the State CN Directors who do not complete the survey within a specified period and urge them to complete the survey. At that point if the</w:t>
      </w:r>
      <w:r>
        <w:rPr>
          <w:szCs w:val="24"/>
        </w:rPr>
        <w:t xml:space="preserve"> State Directors </w:t>
      </w:r>
      <w:r w:rsidRPr="00D6005B">
        <w:rPr>
          <w:szCs w:val="24"/>
        </w:rPr>
        <w:t xml:space="preserve">prefer to complete the survey over the telephone, a telephone interviewer will administer the survey over the telephone. </w:t>
      </w:r>
      <w:r>
        <w:rPr>
          <w:szCs w:val="24"/>
        </w:rPr>
        <w:t>The SFA Directors will not be given the option of completing a telephone survey because they need to gather data to complete the survey</w:t>
      </w:r>
      <w:r w:rsidR="00CE4A76">
        <w:rPr>
          <w:szCs w:val="24"/>
        </w:rPr>
        <w:t>,</w:t>
      </w:r>
      <w:r>
        <w:rPr>
          <w:szCs w:val="24"/>
        </w:rPr>
        <w:t xml:space="preserve"> and it is not practical to complete the SFA survey on the telephone.</w:t>
      </w:r>
    </w:p>
    <w:p w:rsidR="006D3765" w:rsidRDefault="006D3765" w:rsidP="00B46D1D">
      <w:pPr>
        <w:pStyle w:val="N1-1stBullet"/>
        <w:tabs>
          <w:tab w:val="clear" w:pos="1152"/>
          <w:tab w:val="num" w:pos="1080"/>
        </w:tabs>
        <w:spacing w:after="0" w:line="240" w:lineRule="auto"/>
        <w:ind w:left="1080" w:hanging="504"/>
        <w:rPr>
          <w:szCs w:val="24"/>
        </w:rPr>
      </w:pPr>
      <w:r w:rsidRPr="00D6005B">
        <w:rPr>
          <w:szCs w:val="24"/>
        </w:rPr>
        <w:t xml:space="preserve">Follow-up reminders will be sent either by email (if an email address is available) or by </w:t>
      </w:r>
      <w:r>
        <w:rPr>
          <w:szCs w:val="24"/>
        </w:rPr>
        <w:t>r</w:t>
      </w:r>
      <w:r w:rsidRPr="00D6005B">
        <w:rPr>
          <w:szCs w:val="24"/>
        </w:rPr>
        <w:t xml:space="preserve">egular mail to respondents who have not mailed the survey or completed the web survey. </w:t>
      </w:r>
    </w:p>
    <w:p w:rsidR="006D3765" w:rsidRPr="00D6005B" w:rsidRDefault="006D3765" w:rsidP="00001D5E">
      <w:pPr>
        <w:pStyle w:val="ListParagraph"/>
        <w:spacing w:after="0" w:line="240" w:lineRule="auto"/>
        <w:ind w:left="1260"/>
        <w:contextualSpacing w:val="0"/>
        <w:rPr>
          <w:rFonts w:ascii="Garamond" w:hAnsi="Garamond"/>
          <w:sz w:val="24"/>
          <w:szCs w:val="24"/>
        </w:rPr>
      </w:pPr>
    </w:p>
    <w:p w:rsidR="006D3765" w:rsidRDefault="006D3765" w:rsidP="00FA5582">
      <w:pPr>
        <w:spacing w:line="240" w:lineRule="auto"/>
        <w:rPr>
          <w:szCs w:val="24"/>
        </w:rPr>
      </w:pPr>
      <w:r w:rsidRPr="00D6005B">
        <w:rPr>
          <w:szCs w:val="24"/>
        </w:rPr>
        <w:t>The following procedures will be used to maximize the completion rates for surveys that are administered by telephone</w:t>
      </w:r>
      <w:r w:rsidR="00CE4A76">
        <w:rPr>
          <w:szCs w:val="24"/>
        </w:rPr>
        <w:t>:</w:t>
      </w:r>
    </w:p>
    <w:p w:rsidR="00B46D1D" w:rsidRPr="00D6005B" w:rsidRDefault="00B46D1D" w:rsidP="00001D5E">
      <w:pPr>
        <w:spacing w:line="240" w:lineRule="auto"/>
        <w:ind w:firstLine="720"/>
        <w:rPr>
          <w:szCs w:val="24"/>
        </w:rPr>
      </w:pP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Use a core of interviewers with experience working on telephone surveys, particularly interviewers who have proven their ability to obtain cooperation from a high proportion of sample members</w:t>
      </w:r>
      <w:r w:rsidR="00CE4A76">
        <w:rPr>
          <w:szCs w:val="24"/>
        </w:rPr>
        <w:t>,</w:t>
      </w:r>
      <w:r>
        <w:rPr>
          <w:szCs w:val="24"/>
        </w:rPr>
        <w:t xml:space="preserve"> to administer the survey over the telephone to State Agency CN Directors who do not complete the hard copy survey</w:t>
      </w:r>
      <w:r w:rsidRPr="00D6005B">
        <w:rPr>
          <w:szCs w:val="24"/>
        </w:rPr>
        <w:t>.</w:t>
      </w:r>
    </w:p>
    <w:p w:rsidR="006D3765" w:rsidRPr="00D6005B" w:rsidRDefault="006D3765" w:rsidP="00B46D1D">
      <w:pPr>
        <w:pStyle w:val="N1-1stBullet"/>
        <w:tabs>
          <w:tab w:val="clear" w:pos="1152"/>
          <w:tab w:val="num" w:pos="1080"/>
        </w:tabs>
        <w:spacing w:after="0" w:line="240" w:lineRule="auto"/>
        <w:ind w:left="1080" w:hanging="504"/>
        <w:rPr>
          <w:szCs w:val="24"/>
        </w:rPr>
      </w:pPr>
      <w:r>
        <w:rPr>
          <w:szCs w:val="24"/>
        </w:rPr>
        <w:t xml:space="preserve">All telephone interviewers will </w:t>
      </w:r>
      <w:r w:rsidRPr="00D6005B">
        <w:rPr>
          <w:szCs w:val="24"/>
        </w:rPr>
        <w:t>complete training specific to this study</w:t>
      </w:r>
      <w:r>
        <w:rPr>
          <w:szCs w:val="24"/>
        </w:rPr>
        <w:t xml:space="preserve">. </w:t>
      </w: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 xml:space="preserve">Use call scheduling procedures that are designed to call numbers at different times of the day </w:t>
      </w:r>
      <w:r>
        <w:rPr>
          <w:szCs w:val="24"/>
        </w:rPr>
        <w:t xml:space="preserve">(between 8am and 6pm) </w:t>
      </w:r>
      <w:r w:rsidRPr="00D6005B">
        <w:rPr>
          <w:szCs w:val="24"/>
        </w:rPr>
        <w:t>and week</w:t>
      </w:r>
      <w:r>
        <w:rPr>
          <w:szCs w:val="24"/>
        </w:rPr>
        <w:t xml:space="preserve"> (Monday through Friday)</w:t>
      </w:r>
      <w:r w:rsidRPr="00D6005B">
        <w:rPr>
          <w:szCs w:val="24"/>
        </w:rPr>
        <w:t xml:space="preserve">, to improve the chances of finding a respondent at </w:t>
      </w:r>
      <w:r>
        <w:rPr>
          <w:szCs w:val="24"/>
        </w:rPr>
        <w:t>work</w:t>
      </w:r>
      <w:r w:rsidRPr="00D6005B">
        <w:rPr>
          <w:szCs w:val="24"/>
        </w:rPr>
        <w:t>.</w:t>
      </w:r>
      <w:r>
        <w:rPr>
          <w:szCs w:val="24"/>
        </w:rPr>
        <w:t xml:space="preserve"> </w:t>
      </w: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Make every reasonable effort to obtain an interview at the initial contact, but allow respondents flexibility in scheduling appointments to be interviewed.</w:t>
      </w: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lastRenderedPageBreak/>
        <w:t>Conduct silent monitoring of interviews to identify and promptly correct behaviors that could be inviting refusals or otherwise contributing to low cooperation rates.</w:t>
      </w: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 xml:space="preserve">Leave a message on voice mail in order to let the respondent know the call was </w:t>
      </w:r>
      <w:r>
        <w:rPr>
          <w:szCs w:val="24"/>
        </w:rPr>
        <w:t>for</w:t>
      </w:r>
      <w:r w:rsidRPr="00D6005B">
        <w:rPr>
          <w:szCs w:val="24"/>
        </w:rPr>
        <w:t xml:space="preserve"> a research study.</w:t>
      </w: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Provide a toll-free number for respondents to call to verify the study’s legitimacy or to ask other questions about the study.</w:t>
      </w:r>
      <w:r w:rsidR="00AE1010">
        <w:rPr>
          <w:szCs w:val="24"/>
        </w:rPr>
        <w:t xml:space="preserve"> </w:t>
      </w:r>
    </w:p>
    <w:p w:rsidR="006D3765" w:rsidRPr="00D6005B" w:rsidRDefault="006D3765" w:rsidP="00B46D1D">
      <w:pPr>
        <w:pStyle w:val="N1-1stBullet"/>
        <w:tabs>
          <w:tab w:val="clear" w:pos="1152"/>
          <w:tab w:val="num" w:pos="1080"/>
        </w:tabs>
        <w:spacing w:after="0" w:line="240" w:lineRule="auto"/>
        <w:ind w:left="1080" w:hanging="504"/>
        <w:rPr>
          <w:szCs w:val="24"/>
        </w:rPr>
      </w:pPr>
      <w:r w:rsidRPr="00D6005B">
        <w:rPr>
          <w:szCs w:val="24"/>
        </w:rPr>
        <w:t>Require many unsuccessful call attempts to a number without reaching someone before considering whether to treat the case as “unable to contact.”</w:t>
      </w:r>
    </w:p>
    <w:p w:rsidR="006D3765" w:rsidRPr="00B46D1D" w:rsidRDefault="006D3765" w:rsidP="00B46D1D">
      <w:pPr>
        <w:pStyle w:val="N1-1stBullet"/>
        <w:tabs>
          <w:tab w:val="clear" w:pos="1152"/>
          <w:tab w:val="num" w:pos="1080"/>
        </w:tabs>
        <w:spacing w:after="0" w:line="240" w:lineRule="auto"/>
        <w:ind w:left="1080" w:hanging="504"/>
        <w:rPr>
          <w:szCs w:val="24"/>
        </w:rPr>
      </w:pPr>
      <w:r w:rsidRPr="00D6005B">
        <w:rPr>
          <w:szCs w:val="24"/>
        </w:rPr>
        <w:t>Implement refusal conversion efforts for first-time refusals and use interviewers who are skilled at refusal conversion and will not unduly pressure the respondent.</w:t>
      </w:r>
    </w:p>
    <w:p w:rsidR="006D3765" w:rsidRPr="00B46D1D" w:rsidRDefault="006D3765" w:rsidP="00B46D1D">
      <w:pPr>
        <w:pStyle w:val="ListParagraph"/>
        <w:spacing w:after="0" w:line="240" w:lineRule="auto"/>
        <w:ind w:left="0"/>
        <w:contextualSpacing w:val="0"/>
        <w:rPr>
          <w:rFonts w:ascii="Garamond" w:hAnsi="Garamond"/>
          <w:sz w:val="24"/>
          <w:szCs w:val="24"/>
        </w:rPr>
      </w:pPr>
    </w:p>
    <w:p w:rsidR="00B46D1D" w:rsidRPr="00B46D1D" w:rsidRDefault="00B46D1D" w:rsidP="00B46D1D">
      <w:pPr>
        <w:pStyle w:val="ListParagraph"/>
        <w:spacing w:after="0" w:line="240" w:lineRule="auto"/>
        <w:ind w:left="0"/>
        <w:contextualSpacing w:val="0"/>
        <w:rPr>
          <w:rFonts w:ascii="Garamond" w:hAnsi="Garamond"/>
          <w:sz w:val="24"/>
          <w:szCs w:val="24"/>
        </w:rPr>
      </w:pPr>
    </w:p>
    <w:p w:rsidR="00281D17" w:rsidRPr="00281D17" w:rsidRDefault="006D3765" w:rsidP="00DF5DAF">
      <w:pPr>
        <w:pStyle w:val="BodyTextIndent3"/>
        <w:widowControl/>
        <w:tabs>
          <w:tab w:val="clear" w:pos="0"/>
        </w:tabs>
        <w:suppressAutoHyphens w:val="0"/>
        <w:autoSpaceDE/>
        <w:autoSpaceDN/>
        <w:adjustRightInd/>
        <w:spacing w:after="80" w:line="240" w:lineRule="auto"/>
        <w:ind w:left="720" w:hanging="720"/>
        <w:rPr>
          <w:rFonts w:ascii="Garamond" w:hAnsi="Garamond"/>
          <w:b/>
          <w:sz w:val="24"/>
          <w:szCs w:val="24"/>
        </w:rPr>
      </w:pPr>
      <w:bookmarkStart w:id="8" w:name="_Toc282506045"/>
      <w:r w:rsidRPr="00281D17">
        <w:rPr>
          <w:rFonts w:ascii="Garamond" w:hAnsi="Garamond"/>
          <w:b/>
          <w:sz w:val="24"/>
          <w:szCs w:val="24"/>
        </w:rPr>
        <w:t>B</w:t>
      </w:r>
      <w:r w:rsidR="00D450DF" w:rsidRPr="00281D17">
        <w:rPr>
          <w:rFonts w:ascii="Garamond" w:hAnsi="Garamond"/>
          <w:b/>
          <w:sz w:val="24"/>
          <w:szCs w:val="24"/>
        </w:rPr>
        <w:t>.</w:t>
      </w:r>
      <w:r w:rsidRPr="00281D17">
        <w:rPr>
          <w:rFonts w:ascii="Garamond" w:hAnsi="Garamond"/>
          <w:b/>
          <w:sz w:val="24"/>
          <w:szCs w:val="24"/>
        </w:rPr>
        <w:t>4</w:t>
      </w:r>
      <w:r w:rsidRPr="00281D17">
        <w:rPr>
          <w:rFonts w:ascii="Garamond" w:hAnsi="Garamond"/>
          <w:b/>
          <w:sz w:val="24"/>
          <w:szCs w:val="24"/>
        </w:rPr>
        <w:tab/>
      </w:r>
      <w:bookmarkEnd w:id="8"/>
      <w:r w:rsidR="00281D17" w:rsidRPr="00281D17">
        <w:rPr>
          <w:rFonts w:ascii="Garamond" w:hAnsi="Garamond"/>
          <w:b/>
          <w:sz w:val="24"/>
          <w:szCs w:val="24"/>
        </w:rPr>
        <w:t>Describe any tests of procedures or methods to be undertaken.</w:t>
      </w:r>
      <w:r w:rsidR="003108A2">
        <w:rPr>
          <w:rFonts w:ascii="Garamond" w:hAnsi="Garamond"/>
          <w:b/>
          <w:sz w:val="24"/>
          <w:szCs w:val="24"/>
        </w:rPr>
        <w:t xml:space="preserve"> </w:t>
      </w:r>
      <w:r w:rsidR="00281D17" w:rsidRPr="00281D17">
        <w:rPr>
          <w:rFonts w:ascii="Garamond" w:hAnsi="Garamond"/>
          <w:b/>
          <w:sz w:val="24"/>
          <w:szCs w:val="24"/>
        </w:rPr>
        <w:t>Testing is encouraged as an effective means of refining collections of information to minimize burden and improve utility.</w:t>
      </w:r>
      <w:r w:rsidR="003108A2">
        <w:rPr>
          <w:rFonts w:ascii="Garamond" w:hAnsi="Garamond"/>
          <w:b/>
          <w:sz w:val="24"/>
          <w:szCs w:val="24"/>
        </w:rPr>
        <w:t xml:space="preserve"> </w:t>
      </w:r>
      <w:r w:rsidR="00281D17" w:rsidRPr="00281D17">
        <w:rPr>
          <w:rFonts w:ascii="Garamond" w:hAnsi="Garamond"/>
          <w:b/>
          <w:sz w:val="24"/>
          <w:szCs w:val="24"/>
        </w:rPr>
        <w:t>Tests must be approved if they call for answers to identical questions from 10 or more respondents. A proposed test or set of tests may be submitted for approval separately or in combination with the main collection of information.</w:t>
      </w:r>
    </w:p>
    <w:p w:rsidR="004903BB" w:rsidRDefault="004903BB" w:rsidP="00001D5E">
      <w:pPr>
        <w:pStyle w:val="BodyTextIndent3"/>
        <w:spacing w:line="240" w:lineRule="auto"/>
        <w:ind w:firstLine="0"/>
        <w:rPr>
          <w:rFonts w:ascii="Garamond" w:hAnsi="Garamond"/>
          <w:sz w:val="24"/>
          <w:szCs w:val="24"/>
        </w:rPr>
      </w:pPr>
    </w:p>
    <w:p w:rsidR="006D3765" w:rsidRDefault="0094216B" w:rsidP="00001D5E">
      <w:pPr>
        <w:pStyle w:val="BodyTextIndent3"/>
        <w:spacing w:line="240" w:lineRule="auto"/>
        <w:ind w:firstLine="0"/>
        <w:rPr>
          <w:rFonts w:ascii="Garamond" w:hAnsi="Garamond"/>
          <w:sz w:val="24"/>
          <w:szCs w:val="24"/>
        </w:rPr>
      </w:pPr>
      <w:r>
        <w:rPr>
          <w:rFonts w:ascii="Garamond" w:hAnsi="Garamond"/>
          <w:sz w:val="24"/>
          <w:szCs w:val="24"/>
        </w:rPr>
        <w:t xml:space="preserve">The discussion below provides the results of the </w:t>
      </w:r>
      <w:r w:rsidR="006D3765">
        <w:rPr>
          <w:rFonts w:ascii="Garamond" w:hAnsi="Garamond"/>
          <w:sz w:val="24"/>
          <w:szCs w:val="24"/>
        </w:rPr>
        <w:t xml:space="preserve">feasibility study and </w:t>
      </w:r>
      <w:r>
        <w:rPr>
          <w:rFonts w:ascii="Garamond" w:hAnsi="Garamond"/>
          <w:sz w:val="24"/>
          <w:szCs w:val="24"/>
        </w:rPr>
        <w:t xml:space="preserve">the </w:t>
      </w:r>
      <w:r w:rsidR="006D3765">
        <w:rPr>
          <w:rFonts w:ascii="Garamond" w:hAnsi="Garamond"/>
          <w:sz w:val="24"/>
          <w:szCs w:val="24"/>
        </w:rPr>
        <w:t xml:space="preserve">pretest of the survey instruments. </w:t>
      </w:r>
    </w:p>
    <w:p w:rsidR="006D3765" w:rsidRPr="00D6005B" w:rsidRDefault="006D3765" w:rsidP="00001D5E">
      <w:pPr>
        <w:pStyle w:val="BodyTextIndent3"/>
        <w:spacing w:line="240" w:lineRule="auto"/>
        <w:ind w:firstLine="0"/>
        <w:rPr>
          <w:rFonts w:ascii="Garamond" w:hAnsi="Garamond"/>
          <w:sz w:val="24"/>
          <w:szCs w:val="24"/>
        </w:rPr>
      </w:pPr>
    </w:p>
    <w:p w:rsidR="006D3765" w:rsidRDefault="006D3765" w:rsidP="00001D5E">
      <w:pPr>
        <w:pStyle w:val="P1-StandPara"/>
        <w:spacing w:line="240" w:lineRule="auto"/>
        <w:ind w:firstLine="0"/>
        <w:rPr>
          <w:szCs w:val="24"/>
        </w:rPr>
      </w:pPr>
      <w:proofErr w:type="gramStart"/>
      <w:r w:rsidRPr="00E04E32">
        <w:rPr>
          <w:b/>
          <w:szCs w:val="24"/>
        </w:rPr>
        <w:t>Feasibility stud</w:t>
      </w:r>
      <w:r>
        <w:rPr>
          <w:b/>
          <w:szCs w:val="24"/>
        </w:rPr>
        <w:t>y</w:t>
      </w:r>
      <w:r w:rsidRPr="00E04E32">
        <w:rPr>
          <w:b/>
          <w:szCs w:val="24"/>
        </w:rPr>
        <w:t>.</w:t>
      </w:r>
      <w:proofErr w:type="gramEnd"/>
      <w:r w:rsidRPr="00E04E32">
        <w:rPr>
          <w:szCs w:val="24"/>
        </w:rPr>
        <w:t xml:space="preserve"> </w:t>
      </w:r>
      <w:r>
        <w:rPr>
          <w:szCs w:val="24"/>
        </w:rPr>
        <w:t>W</w:t>
      </w:r>
      <w:r w:rsidRPr="00E04E32">
        <w:rPr>
          <w:szCs w:val="24"/>
        </w:rPr>
        <w:t xml:space="preserve">e </w:t>
      </w:r>
      <w:r w:rsidR="0094216B">
        <w:rPr>
          <w:szCs w:val="24"/>
        </w:rPr>
        <w:t>contacted several</w:t>
      </w:r>
      <w:r>
        <w:rPr>
          <w:szCs w:val="24"/>
        </w:rPr>
        <w:t xml:space="preserve"> </w:t>
      </w:r>
      <w:r w:rsidR="0094216B">
        <w:rPr>
          <w:szCs w:val="24"/>
        </w:rPr>
        <w:t xml:space="preserve">of the </w:t>
      </w:r>
      <w:r>
        <w:rPr>
          <w:szCs w:val="24"/>
        </w:rPr>
        <w:t xml:space="preserve">SFA Directors </w:t>
      </w:r>
      <w:r w:rsidR="0094216B">
        <w:rPr>
          <w:szCs w:val="24"/>
        </w:rPr>
        <w:t xml:space="preserve">and one State Agency CN Director </w:t>
      </w:r>
      <w:r>
        <w:rPr>
          <w:szCs w:val="24"/>
        </w:rPr>
        <w:t xml:space="preserve">who completed the questionnaires </w:t>
      </w:r>
      <w:r w:rsidRPr="00E04E32">
        <w:rPr>
          <w:szCs w:val="24"/>
        </w:rPr>
        <w:t xml:space="preserve">to </w:t>
      </w:r>
      <w:r w:rsidR="0094216B">
        <w:rPr>
          <w:szCs w:val="24"/>
        </w:rPr>
        <w:t>discuss</w:t>
      </w:r>
      <w:r w:rsidRPr="00E04E32">
        <w:rPr>
          <w:szCs w:val="24"/>
        </w:rPr>
        <w:t xml:space="preserve"> </w:t>
      </w:r>
      <w:r>
        <w:rPr>
          <w:szCs w:val="24"/>
        </w:rPr>
        <w:t xml:space="preserve">their responses to the questions they found </w:t>
      </w:r>
      <w:r w:rsidR="0094216B">
        <w:rPr>
          <w:szCs w:val="24"/>
        </w:rPr>
        <w:t>difficult</w:t>
      </w:r>
      <w:r>
        <w:rPr>
          <w:szCs w:val="24"/>
        </w:rPr>
        <w:t xml:space="preserve"> to answer. </w:t>
      </w:r>
      <w:r w:rsidR="0094216B">
        <w:rPr>
          <w:szCs w:val="24"/>
        </w:rPr>
        <w:t>During the call w</w:t>
      </w:r>
      <w:r>
        <w:rPr>
          <w:szCs w:val="24"/>
        </w:rPr>
        <w:t xml:space="preserve">e probed </w:t>
      </w:r>
      <w:r w:rsidRPr="00E04E32">
        <w:rPr>
          <w:szCs w:val="24"/>
        </w:rPr>
        <w:t xml:space="preserve">for clarity, appropriate use of definitions and terms, and the level of ease for respondents to gather the requested information. </w:t>
      </w:r>
      <w:r>
        <w:rPr>
          <w:szCs w:val="24"/>
        </w:rPr>
        <w:t xml:space="preserve">The feasibility study </w:t>
      </w:r>
      <w:r w:rsidRPr="00E04E32">
        <w:rPr>
          <w:szCs w:val="24"/>
        </w:rPr>
        <w:t>help</w:t>
      </w:r>
      <w:r>
        <w:rPr>
          <w:szCs w:val="24"/>
        </w:rPr>
        <w:t>ed</w:t>
      </w:r>
      <w:r w:rsidRPr="00E04E32">
        <w:rPr>
          <w:szCs w:val="24"/>
        </w:rPr>
        <w:t xml:space="preserve"> </w:t>
      </w:r>
      <w:r>
        <w:rPr>
          <w:szCs w:val="24"/>
        </w:rPr>
        <w:t xml:space="preserve">us understand whether </w:t>
      </w:r>
      <w:r w:rsidRPr="00E04E32">
        <w:rPr>
          <w:szCs w:val="24"/>
        </w:rPr>
        <w:t>th</w:t>
      </w:r>
      <w:r>
        <w:rPr>
          <w:szCs w:val="24"/>
        </w:rPr>
        <w:t>e</w:t>
      </w:r>
      <w:r w:rsidRPr="00E04E32">
        <w:rPr>
          <w:szCs w:val="24"/>
        </w:rPr>
        <w:t xml:space="preserve"> </w:t>
      </w:r>
      <w:r>
        <w:rPr>
          <w:szCs w:val="24"/>
        </w:rPr>
        <w:t xml:space="preserve">SFA and State Agency CN directors </w:t>
      </w:r>
      <w:r w:rsidRPr="00E04E32">
        <w:rPr>
          <w:szCs w:val="24"/>
        </w:rPr>
        <w:t>are able to provide the data as requested in the draft survey items</w:t>
      </w:r>
      <w:r>
        <w:rPr>
          <w:szCs w:val="24"/>
        </w:rPr>
        <w:t xml:space="preserve">. </w:t>
      </w:r>
      <w:r w:rsidR="0094216B">
        <w:rPr>
          <w:szCs w:val="24"/>
        </w:rPr>
        <w:t xml:space="preserve">We determined that </w:t>
      </w:r>
      <w:r>
        <w:rPr>
          <w:szCs w:val="24"/>
        </w:rPr>
        <w:t xml:space="preserve">SFA </w:t>
      </w:r>
      <w:r w:rsidR="0094216B">
        <w:rPr>
          <w:szCs w:val="24"/>
        </w:rPr>
        <w:t>Directors</w:t>
      </w:r>
      <w:r>
        <w:rPr>
          <w:szCs w:val="24"/>
        </w:rPr>
        <w:t xml:space="preserve"> found it hard to report income and expenditure information broken down by all the categories identified in the </w:t>
      </w:r>
      <w:r w:rsidR="0094216B">
        <w:rPr>
          <w:szCs w:val="24"/>
        </w:rPr>
        <w:t xml:space="preserve">SFA </w:t>
      </w:r>
      <w:r>
        <w:rPr>
          <w:szCs w:val="24"/>
        </w:rPr>
        <w:t>survey.</w:t>
      </w:r>
      <w:r w:rsidR="00517CDD">
        <w:rPr>
          <w:szCs w:val="24"/>
        </w:rPr>
        <w:t xml:space="preserve"> </w:t>
      </w:r>
    </w:p>
    <w:p w:rsidR="006D3765" w:rsidRDefault="006D3765" w:rsidP="00001D5E">
      <w:pPr>
        <w:pStyle w:val="P1-StandPara"/>
        <w:spacing w:line="240" w:lineRule="auto"/>
        <w:rPr>
          <w:szCs w:val="24"/>
        </w:rPr>
      </w:pPr>
    </w:p>
    <w:p w:rsidR="004903BB" w:rsidRDefault="006D3765" w:rsidP="004903BB">
      <w:pPr>
        <w:autoSpaceDE w:val="0"/>
        <w:autoSpaceDN w:val="0"/>
        <w:adjustRightInd w:val="0"/>
        <w:spacing w:line="240" w:lineRule="auto"/>
        <w:rPr>
          <w:szCs w:val="24"/>
        </w:rPr>
      </w:pPr>
      <w:proofErr w:type="gramStart"/>
      <w:r w:rsidRPr="006C0007">
        <w:rPr>
          <w:b/>
          <w:szCs w:val="24"/>
        </w:rPr>
        <w:t>Pretest.</w:t>
      </w:r>
      <w:proofErr w:type="gramEnd"/>
      <w:r w:rsidRPr="006C0007">
        <w:rPr>
          <w:b/>
          <w:szCs w:val="24"/>
        </w:rPr>
        <w:t xml:space="preserve"> </w:t>
      </w:r>
      <w:proofErr w:type="spellStart"/>
      <w:r w:rsidRPr="006C0007">
        <w:rPr>
          <w:szCs w:val="24"/>
        </w:rPr>
        <w:t>Westat</w:t>
      </w:r>
      <w:proofErr w:type="spellEnd"/>
      <w:r w:rsidRPr="006C0007">
        <w:rPr>
          <w:szCs w:val="24"/>
        </w:rPr>
        <w:t xml:space="preserve"> purposively selected </w:t>
      </w:r>
      <w:r w:rsidRPr="00654598">
        <w:rPr>
          <w:szCs w:val="24"/>
        </w:rPr>
        <w:t xml:space="preserve">24 </w:t>
      </w:r>
      <w:r w:rsidR="00654598" w:rsidRPr="00654598">
        <w:rPr>
          <w:szCs w:val="24"/>
        </w:rPr>
        <w:t xml:space="preserve">potential </w:t>
      </w:r>
      <w:r w:rsidRPr="00654598">
        <w:rPr>
          <w:szCs w:val="24"/>
        </w:rPr>
        <w:t>SFA</w:t>
      </w:r>
      <w:r w:rsidR="00654598" w:rsidRPr="00654598">
        <w:rPr>
          <w:szCs w:val="24"/>
        </w:rPr>
        <w:t xml:space="preserve"> pilot sites</w:t>
      </w:r>
      <w:r w:rsidRPr="00654598">
        <w:rPr>
          <w:szCs w:val="24"/>
        </w:rPr>
        <w:t xml:space="preserve"> taking</w:t>
      </w:r>
      <w:r w:rsidRPr="006C0007">
        <w:rPr>
          <w:szCs w:val="24"/>
        </w:rPr>
        <w:t xml:space="preserve"> into account their representation across all FNS regions, student enrollment ranging from small (1,000 and 2,500 students) to large (25,000 and 100,000 students),</w:t>
      </w:r>
      <w:r w:rsidRPr="006C0007" w:rsidDel="00AE0917">
        <w:rPr>
          <w:szCs w:val="24"/>
        </w:rPr>
        <w:t xml:space="preserve"> </w:t>
      </w:r>
      <w:r w:rsidRPr="006C0007">
        <w:rPr>
          <w:szCs w:val="24"/>
        </w:rPr>
        <w:t>and poverty status (percent of students eligible for free/reduced priced lunch).</w:t>
      </w:r>
      <w:r w:rsidR="00AE1010">
        <w:rPr>
          <w:szCs w:val="24"/>
        </w:rPr>
        <w:t xml:space="preserve"> </w:t>
      </w:r>
      <w:r w:rsidR="004903BB" w:rsidRPr="00AD597A">
        <w:t xml:space="preserve">Our goal was to recruit nine SFAs to participate in the pre-test. </w:t>
      </w:r>
      <w:r w:rsidR="00654598">
        <w:t xml:space="preserve">No potential SFA pilot sites received data collection instruments until they agreed to participate.  </w:t>
      </w:r>
      <w:r w:rsidR="004903BB" w:rsidRPr="00AD597A">
        <w:t xml:space="preserve">Several SFA directors declined to participate in the pre-test </w:t>
      </w:r>
      <w:r w:rsidR="004903BB">
        <w:t xml:space="preserve">due to time or staffing constraints. </w:t>
      </w:r>
      <w:r w:rsidR="004903BB" w:rsidRPr="003E19C2">
        <w:rPr>
          <w:szCs w:val="24"/>
        </w:rPr>
        <w:t>A</w:t>
      </w:r>
      <w:r w:rsidR="004903BB">
        <w:rPr>
          <w:szCs w:val="24"/>
        </w:rPr>
        <w:t xml:space="preserve">lthough nine SFA directors agreed to participate in the pre-test, only seven of them were able to send in their completed </w:t>
      </w:r>
      <w:r w:rsidR="004903BB" w:rsidRPr="003E19C2">
        <w:rPr>
          <w:szCs w:val="24"/>
        </w:rPr>
        <w:t xml:space="preserve">paper version of </w:t>
      </w:r>
      <w:r w:rsidR="004903BB">
        <w:rPr>
          <w:szCs w:val="24"/>
        </w:rPr>
        <w:t xml:space="preserve">the survey in time for </w:t>
      </w:r>
      <w:r w:rsidR="00FC5A75">
        <w:rPr>
          <w:szCs w:val="24"/>
        </w:rPr>
        <w:t xml:space="preserve">the </w:t>
      </w:r>
      <w:r w:rsidR="004903BB">
        <w:rPr>
          <w:szCs w:val="24"/>
        </w:rPr>
        <w:t xml:space="preserve">pre-test. </w:t>
      </w:r>
      <w:r w:rsidRPr="006C0007">
        <w:rPr>
          <w:szCs w:val="24"/>
        </w:rPr>
        <w:t>For the State Agency Child Nutrition Director Survey we attempted to recruit 4 states</w:t>
      </w:r>
      <w:r w:rsidR="00AC4FF9">
        <w:rPr>
          <w:szCs w:val="24"/>
        </w:rPr>
        <w:t>,</w:t>
      </w:r>
      <w:r w:rsidR="009B7EEC">
        <w:rPr>
          <w:szCs w:val="24"/>
        </w:rPr>
        <w:t xml:space="preserve"> and </w:t>
      </w:r>
      <w:r w:rsidR="00AC4FF9">
        <w:rPr>
          <w:szCs w:val="24"/>
        </w:rPr>
        <w:t xml:space="preserve">3 of </w:t>
      </w:r>
      <w:r w:rsidR="009B7EEC">
        <w:rPr>
          <w:szCs w:val="24"/>
        </w:rPr>
        <w:t xml:space="preserve">them </w:t>
      </w:r>
      <w:r w:rsidR="00AC4FF9">
        <w:rPr>
          <w:szCs w:val="24"/>
        </w:rPr>
        <w:t>participated</w:t>
      </w:r>
      <w:r w:rsidRPr="006C0007">
        <w:rPr>
          <w:szCs w:val="24"/>
        </w:rPr>
        <w:t>.</w:t>
      </w:r>
      <w:r w:rsidR="00AE1010">
        <w:rPr>
          <w:szCs w:val="24"/>
        </w:rPr>
        <w:t xml:space="preserve"> </w:t>
      </w:r>
    </w:p>
    <w:p w:rsidR="004903BB" w:rsidRDefault="004903BB" w:rsidP="004903BB">
      <w:pPr>
        <w:autoSpaceDE w:val="0"/>
        <w:autoSpaceDN w:val="0"/>
        <w:adjustRightInd w:val="0"/>
        <w:spacing w:line="240" w:lineRule="auto"/>
        <w:rPr>
          <w:szCs w:val="24"/>
        </w:rPr>
      </w:pPr>
    </w:p>
    <w:p w:rsidR="006D3765" w:rsidRDefault="006D3765" w:rsidP="00001D5E">
      <w:pPr>
        <w:pStyle w:val="P1-StandPara"/>
        <w:spacing w:line="240" w:lineRule="auto"/>
        <w:ind w:firstLine="0"/>
        <w:rPr>
          <w:szCs w:val="24"/>
        </w:rPr>
      </w:pPr>
      <w:r w:rsidRPr="006C0007">
        <w:rPr>
          <w:szCs w:val="24"/>
        </w:rPr>
        <w:t xml:space="preserve">The purpose of the pretest </w:t>
      </w:r>
      <w:r>
        <w:rPr>
          <w:szCs w:val="24"/>
        </w:rPr>
        <w:t>was</w:t>
      </w:r>
      <w:r w:rsidRPr="006C0007">
        <w:rPr>
          <w:szCs w:val="24"/>
        </w:rPr>
        <w:t xml:space="preserve"> to test the questionnaire, focusing on (1) clarity of the wording, (2) availability of the information, and (3) response burden. </w:t>
      </w:r>
      <w:r>
        <w:rPr>
          <w:szCs w:val="24"/>
        </w:rPr>
        <w:t xml:space="preserve">Respondents reported that the time taken to complete the survey was far more than the original 1hour estimated. Based on this feedback, we </w:t>
      </w:r>
      <w:r w:rsidR="00654598">
        <w:rPr>
          <w:szCs w:val="24"/>
        </w:rPr>
        <w:t>worked</w:t>
      </w:r>
      <w:r>
        <w:rPr>
          <w:szCs w:val="24"/>
        </w:rPr>
        <w:t xml:space="preserve"> on shortening both surveys to reduce the burden on the respondents. </w:t>
      </w:r>
      <w:r>
        <w:rPr>
          <w:szCs w:val="24"/>
        </w:rPr>
        <w:lastRenderedPageBreak/>
        <w:t>Additionally respondents provided valuable feedback on question wording as well as questions that were hard to respond to. S</w:t>
      </w:r>
      <w:r w:rsidR="0094216B">
        <w:rPr>
          <w:szCs w:val="24"/>
        </w:rPr>
        <w:t xml:space="preserve">everal </w:t>
      </w:r>
      <w:r>
        <w:rPr>
          <w:szCs w:val="24"/>
        </w:rPr>
        <w:t xml:space="preserve">questions </w:t>
      </w:r>
      <w:r w:rsidR="003273AD">
        <w:rPr>
          <w:szCs w:val="24"/>
        </w:rPr>
        <w:t>we</w:t>
      </w:r>
      <w:r w:rsidR="00965294">
        <w:rPr>
          <w:szCs w:val="24"/>
        </w:rPr>
        <w:t>re</w:t>
      </w:r>
      <w:r w:rsidR="003273AD">
        <w:rPr>
          <w:szCs w:val="24"/>
        </w:rPr>
        <w:t xml:space="preserve"> identified </w:t>
      </w:r>
      <w:r>
        <w:rPr>
          <w:szCs w:val="24"/>
        </w:rPr>
        <w:t xml:space="preserve">that could not be answered. </w:t>
      </w:r>
    </w:p>
    <w:p w:rsidR="00D11052" w:rsidRDefault="00D11052" w:rsidP="00001D5E">
      <w:pPr>
        <w:pStyle w:val="P1-StandPara"/>
        <w:spacing w:line="240" w:lineRule="auto"/>
        <w:ind w:firstLine="0"/>
        <w:rPr>
          <w:szCs w:val="24"/>
        </w:rPr>
      </w:pPr>
    </w:p>
    <w:p w:rsidR="00D11052" w:rsidRPr="00D11052" w:rsidRDefault="00D11052" w:rsidP="00D11052">
      <w:r w:rsidRPr="00D11052">
        <w:t xml:space="preserve">Participation in the pretest should not be construed as an indication of the expected response rates for the actual surveys.  Volunteering to participate in the pretest includes not only completing the survey instrument but also time needed to discuss with the contractor the clarity of the questions, availability of the information requested, and the response burden.  FNS has typically had very good cooperation from School Food Authorities when conducting studies on the Child Nutrition Programs.  The last time FNS conducted a study of the NSLP/SBP that just required SFA Directors to complete a survey the response rate was 91 percent for a survey estimated to take 108 minutes to complete (The School Meals Initiative Implementation Study).  Even studies that require considerably more data collection than simply completing a survey, such as the School Nutrition Dietary Assessment Studies obtain response rates in the low 80s.  Generally we obtain a 100 percent response rate from State Child Nutrition Directors.  </w:t>
      </w:r>
    </w:p>
    <w:p w:rsidR="00D11052" w:rsidRPr="00D11052" w:rsidRDefault="00D11052" w:rsidP="00D11052">
      <w:pPr>
        <w:ind w:left="720"/>
      </w:pPr>
    </w:p>
    <w:p w:rsidR="00D11052" w:rsidRPr="00D11052" w:rsidRDefault="00D11052" w:rsidP="00D11052">
      <w:r w:rsidRPr="00D11052">
        <w:t xml:space="preserve">Those surveys were strictly voluntary.  Section 305 of the Healthy, Hunger Free Kids Act of 2010, requires States, State educational agencies, local education agencies, schools, institutions, facilities, and contractors participating in FNS’ Child Nutrition Programs to cooperate with officials and contractors acting on behalf of the Secretary in the conduct of evaluations and studies.  While we don’t anticipate 100 percent response rates for all surveys, we do believe that having this verbiage in law will encourage SFAs to participate.  </w:t>
      </w:r>
    </w:p>
    <w:p w:rsidR="00D11052" w:rsidRPr="00D11052" w:rsidRDefault="00D11052" w:rsidP="00D11052">
      <w:pPr>
        <w:ind w:left="720"/>
      </w:pPr>
    </w:p>
    <w:p w:rsidR="00D11052" w:rsidRDefault="00D11052" w:rsidP="00D11052">
      <w:r w:rsidRPr="00D11052">
        <w:t>Although the FSA survey has been developed as a web-based survey it is also multi modal to ensure that we reach the expected response rate.   We anticipate that the majority of sampled FSAs will use the web-based survey option to complete the survey.  This option allows the convenience of multiple users and the flexibility to stop and start the survey as many times as needed before submitting the survey electronically.  FSAs will also have the option of completing a paper version of the survey if they prefer that data collection mode.   FSAs that do not complete the survey by the expected due date will be contacted and offered the option of completing the survey by telephone.  Telephone administered surveys can be completed through multiple phone appointments.   In addition, all SFAs will receive periodic reminder postcards and emails to prompt them to complete the survey.</w:t>
      </w:r>
    </w:p>
    <w:p w:rsidR="006D3765" w:rsidRDefault="006D3765" w:rsidP="00001D5E">
      <w:pPr>
        <w:pStyle w:val="BodyTextIndent3"/>
        <w:spacing w:line="240" w:lineRule="auto"/>
        <w:ind w:firstLine="0"/>
        <w:rPr>
          <w:rFonts w:ascii="Garamond" w:hAnsi="Garamond"/>
          <w:sz w:val="24"/>
          <w:szCs w:val="24"/>
        </w:rPr>
      </w:pPr>
    </w:p>
    <w:p w:rsidR="00281D17" w:rsidRDefault="006D3765" w:rsidP="00F9066F">
      <w:pPr>
        <w:pStyle w:val="BodyTextIndent3"/>
        <w:widowControl/>
        <w:tabs>
          <w:tab w:val="clear" w:pos="0"/>
        </w:tabs>
        <w:suppressAutoHyphens w:val="0"/>
        <w:autoSpaceDE/>
        <w:autoSpaceDN/>
        <w:adjustRightInd/>
        <w:spacing w:after="80" w:line="240" w:lineRule="auto"/>
        <w:ind w:left="720" w:hanging="720"/>
        <w:rPr>
          <w:rFonts w:ascii="Garamond" w:hAnsi="Garamond"/>
          <w:b/>
          <w:sz w:val="24"/>
          <w:szCs w:val="24"/>
        </w:rPr>
      </w:pPr>
      <w:bookmarkStart w:id="9" w:name="_Toc282506046"/>
      <w:r w:rsidRPr="00281D17">
        <w:rPr>
          <w:rFonts w:ascii="Garamond" w:hAnsi="Garamond"/>
          <w:b/>
          <w:sz w:val="24"/>
          <w:szCs w:val="24"/>
        </w:rPr>
        <w:t>B</w:t>
      </w:r>
      <w:r w:rsidR="00D450DF" w:rsidRPr="00281D17">
        <w:rPr>
          <w:rFonts w:ascii="Garamond" w:hAnsi="Garamond"/>
          <w:b/>
          <w:sz w:val="24"/>
          <w:szCs w:val="24"/>
        </w:rPr>
        <w:t>.</w:t>
      </w:r>
      <w:r w:rsidRPr="00281D17">
        <w:rPr>
          <w:rFonts w:ascii="Garamond" w:hAnsi="Garamond"/>
          <w:b/>
          <w:sz w:val="24"/>
          <w:szCs w:val="24"/>
        </w:rPr>
        <w:t>5</w:t>
      </w:r>
      <w:r w:rsidRPr="00281D17">
        <w:rPr>
          <w:rFonts w:ascii="Garamond" w:hAnsi="Garamond"/>
          <w:b/>
          <w:sz w:val="24"/>
          <w:szCs w:val="24"/>
        </w:rPr>
        <w:tab/>
      </w:r>
      <w:bookmarkEnd w:id="9"/>
      <w:r w:rsidR="00281D17" w:rsidRPr="00281D17">
        <w:rPr>
          <w:rFonts w:ascii="Garamond" w:hAnsi="Garamond"/>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DF5DAF" w:rsidRPr="00DF5DAF" w:rsidRDefault="00DF5DAF" w:rsidP="00DF5DAF">
      <w:pPr>
        <w:pStyle w:val="BodyTextIndent3"/>
        <w:widowControl/>
        <w:suppressAutoHyphens w:val="0"/>
        <w:autoSpaceDE/>
        <w:autoSpaceDN/>
        <w:adjustRightInd/>
        <w:spacing w:after="80" w:line="240" w:lineRule="auto"/>
        <w:ind w:left="720" w:hanging="720"/>
        <w:rPr>
          <w:rFonts w:ascii="Garamond" w:hAnsi="Garamond"/>
          <w:sz w:val="24"/>
          <w:szCs w:val="24"/>
        </w:rPr>
      </w:pPr>
    </w:p>
    <w:p w:rsidR="006D3765" w:rsidRDefault="006D3765" w:rsidP="00DF5DAF">
      <w:r w:rsidRPr="00D6005B">
        <w:t xml:space="preserve">The contractor, </w:t>
      </w:r>
      <w:proofErr w:type="spellStart"/>
      <w:r w:rsidRPr="00D6005B">
        <w:t>Westat</w:t>
      </w:r>
      <w:proofErr w:type="spellEnd"/>
      <w:r w:rsidRPr="00D6005B">
        <w:t xml:space="preserve"> will conduct this study. </w:t>
      </w:r>
    </w:p>
    <w:p w:rsidR="00B46D1D" w:rsidRPr="00F9066F" w:rsidRDefault="00B46D1D" w:rsidP="00DF5DAF"/>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2"/>
        <w:gridCol w:w="1492"/>
        <w:gridCol w:w="1710"/>
        <w:gridCol w:w="3884"/>
      </w:tblGrid>
      <w:tr w:rsidR="006D3765" w:rsidRPr="00D6005B" w:rsidTr="00DF5DAF">
        <w:trPr>
          <w:jc w:val="center"/>
        </w:trPr>
        <w:tc>
          <w:tcPr>
            <w:tcW w:w="2482" w:type="dxa"/>
            <w:shd w:val="clear" w:color="auto" w:fill="AFBED7"/>
            <w:vAlign w:val="bottom"/>
          </w:tcPr>
          <w:p w:rsidR="006D3765" w:rsidRPr="00D6005B" w:rsidRDefault="006D3765" w:rsidP="00DF5DAF">
            <w:pPr>
              <w:pStyle w:val="TH-TableHeading"/>
            </w:pPr>
            <w:r w:rsidRPr="00D6005B">
              <w:t>Name</w:t>
            </w:r>
          </w:p>
        </w:tc>
        <w:tc>
          <w:tcPr>
            <w:tcW w:w="1492" w:type="dxa"/>
            <w:shd w:val="clear" w:color="auto" w:fill="AFBED7"/>
            <w:vAlign w:val="bottom"/>
          </w:tcPr>
          <w:p w:rsidR="006D3765" w:rsidRPr="00D6005B" w:rsidRDefault="006D3765" w:rsidP="00DF5DAF">
            <w:pPr>
              <w:pStyle w:val="TH-TableHeading"/>
            </w:pPr>
            <w:r w:rsidRPr="00D6005B">
              <w:t>Affiliation</w:t>
            </w:r>
          </w:p>
        </w:tc>
        <w:tc>
          <w:tcPr>
            <w:tcW w:w="1710" w:type="dxa"/>
            <w:shd w:val="clear" w:color="auto" w:fill="AFBED7"/>
            <w:vAlign w:val="bottom"/>
          </w:tcPr>
          <w:p w:rsidR="006D3765" w:rsidRPr="00D6005B" w:rsidRDefault="006D3765" w:rsidP="00DF5DAF">
            <w:pPr>
              <w:pStyle w:val="TH-TableHeading"/>
            </w:pPr>
            <w:r w:rsidRPr="00D6005B">
              <w:t>Telephone Number</w:t>
            </w:r>
          </w:p>
        </w:tc>
        <w:tc>
          <w:tcPr>
            <w:tcW w:w="3884" w:type="dxa"/>
            <w:shd w:val="clear" w:color="auto" w:fill="AFBED7"/>
            <w:vAlign w:val="bottom"/>
          </w:tcPr>
          <w:p w:rsidR="006D3765" w:rsidRPr="00D6005B" w:rsidRDefault="006D3765" w:rsidP="00DF5DAF">
            <w:pPr>
              <w:pStyle w:val="TH-TableHeading"/>
            </w:pPr>
            <w:r w:rsidRPr="00D6005B">
              <w:t>e-mail</w:t>
            </w:r>
          </w:p>
        </w:tc>
      </w:tr>
      <w:tr w:rsidR="006D3765" w:rsidRPr="00D6005B" w:rsidTr="00B46D1D">
        <w:trPr>
          <w:jc w:val="center"/>
        </w:trPr>
        <w:tc>
          <w:tcPr>
            <w:tcW w:w="2482" w:type="dxa"/>
            <w:vAlign w:val="bottom"/>
          </w:tcPr>
          <w:p w:rsidR="006D3765" w:rsidRPr="00D6005B" w:rsidRDefault="006D3765" w:rsidP="00DF5DAF">
            <w:pPr>
              <w:pStyle w:val="TX-TableText"/>
              <w:spacing w:before="60" w:after="60"/>
            </w:pPr>
            <w:r w:rsidRPr="00D6005B">
              <w:t>Juanita Lucas-McLean</w:t>
            </w:r>
          </w:p>
        </w:tc>
        <w:tc>
          <w:tcPr>
            <w:tcW w:w="1492" w:type="dxa"/>
            <w:vAlign w:val="bottom"/>
          </w:tcPr>
          <w:p w:rsidR="006D3765" w:rsidRPr="00D6005B" w:rsidRDefault="006D3765" w:rsidP="00DF5DAF">
            <w:pPr>
              <w:pStyle w:val="TX-TableText"/>
              <w:spacing w:before="60" w:after="60"/>
            </w:pPr>
            <w:proofErr w:type="spellStart"/>
            <w:r w:rsidRPr="00D6005B">
              <w:t>Westat</w:t>
            </w:r>
            <w:proofErr w:type="spellEnd"/>
          </w:p>
        </w:tc>
        <w:tc>
          <w:tcPr>
            <w:tcW w:w="1710" w:type="dxa"/>
            <w:vAlign w:val="bottom"/>
          </w:tcPr>
          <w:p w:rsidR="006D3765" w:rsidRPr="00D6005B" w:rsidRDefault="006D3765" w:rsidP="00DF5DAF">
            <w:pPr>
              <w:pStyle w:val="TX-TableText"/>
              <w:spacing w:before="60" w:after="60"/>
            </w:pPr>
            <w:r w:rsidRPr="00D6005B">
              <w:t>301-294-2866</w:t>
            </w:r>
          </w:p>
        </w:tc>
        <w:tc>
          <w:tcPr>
            <w:tcW w:w="3884" w:type="dxa"/>
          </w:tcPr>
          <w:p w:rsidR="006D3765" w:rsidRPr="00D6005B" w:rsidRDefault="0052131F" w:rsidP="00DF5DAF">
            <w:pPr>
              <w:pStyle w:val="TX-TableText"/>
              <w:spacing w:before="60" w:after="60"/>
            </w:pPr>
            <w:hyperlink r:id="rId11" w:history="1">
              <w:r w:rsidR="006D3765" w:rsidRPr="00D6005B">
                <w:rPr>
                  <w:rStyle w:val="Hyperlink"/>
                  <w:szCs w:val="24"/>
                </w:rPr>
                <w:t>JuanitaLucas-McLean@Westat.com</w:t>
              </w:r>
            </w:hyperlink>
          </w:p>
        </w:tc>
      </w:tr>
      <w:tr w:rsidR="006D3765" w:rsidRPr="00D6005B" w:rsidTr="00B46D1D">
        <w:trPr>
          <w:jc w:val="center"/>
        </w:trPr>
        <w:tc>
          <w:tcPr>
            <w:tcW w:w="2482" w:type="dxa"/>
            <w:vAlign w:val="bottom"/>
          </w:tcPr>
          <w:p w:rsidR="006D3765" w:rsidRPr="00D6005B" w:rsidRDefault="006D3765" w:rsidP="00DF5DAF">
            <w:pPr>
              <w:pStyle w:val="TX-TableText"/>
              <w:spacing w:before="60" w:after="60"/>
            </w:pPr>
            <w:r w:rsidRPr="00D6005B">
              <w:t>Adam Chu</w:t>
            </w:r>
          </w:p>
        </w:tc>
        <w:tc>
          <w:tcPr>
            <w:tcW w:w="1492" w:type="dxa"/>
            <w:vAlign w:val="bottom"/>
          </w:tcPr>
          <w:p w:rsidR="006D3765" w:rsidRPr="00D6005B" w:rsidRDefault="006D3765" w:rsidP="00DF5DAF">
            <w:pPr>
              <w:pStyle w:val="TX-TableText"/>
              <w:spacing w:before="60" w:after="60"/>
            </w:pPr>
            <w:proofErr w:type="spellStart"/>
            <w:r w:rsidRPr="00D6005B">
              <w:t>Westat</w:t>
            </w:r>
            <w:proofErr w:type="spellEnd"/>
          </w:p>
        </w:tc>
        <w:tc>
          <w:tcPr>
            <w:tcW w:w="1710" w:type="dxa"/>
            <w:vAlign w:val="bottom"/>
          </w:tcPr>
          <w:p w:rsidR="006D3765" w:rsidRPr="00D6005B" w:rsidRDefault="006D3765" w:rsidP="00DF5DAF">
            <w:pPr>
              <w:pStyle w:val="TX-TableText"/>
              <w:spacing w:before="60" w:after="60"/>
            </w:pPr>
            <w:r w:rsidRPr="00D6005B">
              <w:t>301-251-4326</w:t>
            </w:r>
          </w:p>
        </w:tc>
        <w:tc>
          <w:tcPr>
            <w:tcW w:w="3884" w:type="dxa"/>
          </w:tcPr>
          <w:p w:rsidR="006D3765" w:rsidRPr="00D6005B" w:rsidRDefault="0052131F" w:rsidP="00DF5DAF">
            <w:pPr>
              <w:pStyle w:val="TX-TableText"/>
              <w:spacing w:before="60" w:after="60"/>
            </w:pPr>
            <w:hyperlink r:id="rId12" w:history="1">
              <w:r w:rsidR="006D3765" w:rsidRPr="00D6005B">
                <w:rPr>
                  <w:rStyle w:val="Hyperlink"/>
                  <w:szCs w:val="24"/>
                </w:rPr>
                <w:t>AdamChu@Westat.com</w:t>
              </w:r>
            </w:hyperlink>
          </w:p>
        </w:tc>
      </w:tr>
      <w:tr w:rsidR="003273AD" w:rsidRPr="00D6005B" w:rsidTr="009A1A1D">
        <w:trPr>
          <w:jc w:val="center"/>
        </w:trPr>
        <w:tc>
          <w:tcPr>
            <w:tcW w:w="2482" w:type="dxa"/>
          </w:tcPr>
          <w:p w:rsidR="003273AD" w:rsidRPr="00D6005B" w:rsidRDefault="003273AD" w:rsidP="00DF5DAF">
            <w:pPr>
              <w:pStyle w:val="TX-TableText"/>
              <w:spacing w:before="60" w:after="60"/>
            </w:pPr>
            <w:r>
              <w:t>Cynthia Thomas</w:t>
            </w:r>
          </w:p>
        </w:tc>
        <w:tc>
          <w:tcPr>
            <w:tcW w:w="1492" w:type="dxa"/>
            <w:vAlign w:val="bottom"/>
          </w:tcPr>
          <w:p w:rsidR="003273AD" w:rsidRPr="00D6005B" w:rsidRDefault="003273AD" w:rsidP="00DF5DAF">
            <w:pPr>
              <w:pStyle w:val="TX-TableText"/>
              <w:spacing w:before="60" w:after="60"/>
            </w:pPr>
            <w:proofErr w:type="spellStart"/>
            <w:r w:rsidRPr="00D6005B">
              <w:t>Westat</w:t>
            </w:r>
            <w:proofErr w:type="spellEnd"/>
          </w:p>
        </w:tc>
        <w:tc>
          <w:tcPr>
            <w:tcW w:w="1710" w:type="dxa"/>
          </w:tcPr>
          <w:p w:rsidR="003273AD" w:rsidRPr="00D6005B" w:rsidRDefault="003273AD" w:rsidP="00DF5DAF">
            <w:pPr>
              <w:pStyle w:val="TX-TableText"/>
              <w:spacing w:before="60" w:after="60"/>
            </w:pPr>
            <w:r>
              <w:t>301-251-4364</w:t>
            </w:r>
          </w:p>
        </w:tc>
        <w:tc>
          <w:tcPr>
            <w:tcW w:w="3884" w:type="dxa"/>
          </w:tcPr>
          <w:p w:rsidR="003273AD" w:rsidRPr="00D6005B" w:rsidRDefault="0052131F" w:rsidP="00DF5DAF">
            <w:pPr>
              <w:pStyle w:val="TX-TableText"/>
              <w:spacing w:before="60" w:after="60"/>
            </w:pPr>
            <w:hyperlink r:id="rId13" w:history="1">
              <w:r w:rsidR="003273AD" w:rsidRPr="005D0541">
                <w:rPr>
                  <w:rStyle w:val="Hyperlink"/>
                  <w:szCs w:val="24"/>
                </w:rPr>
                <w:t>CynthiaThomas@westat.com</w:t>
              </w:r>
            </w:hyperlink>
          </w:p>
        </w:tc>
      </w:tr>
      <w:tr w:rsidR="003273AD" w:rsidRPr="00D6005B" w:rsidTr="00B46D1D">
        <w:trPr>
          <w:jc w:val="center"/>
        </w:trPr>
        <w:tc>
          <w:tcPr>
            <w:tcW w:w="2482" w:type="dxa"/>
            <w:vAlign w:val="bottom"/>
          </w:tcPr>
          <w:p w:rsidR="0001162B" w:rsidRPr="00D6005B" w:rsidRDefault="004903BB" w:rsidP="00DF5DAF">
            <w:pPr>
              <w:pStyle w:val="TX-TableText"/>
              <w:spacing w:before="60" w:after="60"/>
            </w:pPr>
            <w:r>
              <w:t>John Endahl</w:t>
            </w:r>
          </w:p>
        </w:tc>
        <w:tc>
          <w:tcPr>
            <w:tcW w:w="1492" w:type="dxa"/>
            <w:vAlign w:val="bottom"/>
          </w:tcPr>
          <w:p w:rsidR="0001162B" w:rsidRPr="00D6005B" w:rsidRDefault="004903BB" w:rsidP="00DF5DAF">
            <w:pPr>
              <w:pStyle w:val="TX-TableText"/>
              <w:spacing w:before="60" w:after="60"/>
            </w:pPr>
            <w:r>
              <w:t>FNS</w:t>
            </w:r>
            <w:r w:rsidR="0001162B">
              <w:t>/USDA</w:t>
            </w:r>
          </w:p>
        </w:tc>
        <w:tc>
          <w:tcPr>
            <w:tcW w:w="1710" w:type="dxa"/>
            <w:vAlign w:val="bottom"/>
          </w:tcPr>
          <w:p w:rsidR="003273AD" w:rsidRPr="00E05A77" w:rsidRDefault="004903BB" w:rsidP="00DF5DAF">
            <w:pPr>
              <w:pStyle w:val="TX-TableText"/>
              <w:spacing w:before="60" w:after="60"/>
              <w:rPr>
                <w:b/>
              </w:rPr>
            </w:pPr>
            <w:r w:rsidRPr="00E05A77">
              <w:t>703-305-2127</w:t>
            </w:r>
          </w:p>
        </w:tc>
        <w:tc>
          <w:tcPr>
            <w:tcW w:w="3884" w:type="dxa"/>
          </w:tcPr>
          <w:p w:rsidR="003273AD" w:rsidRPr="00D6005B" w:rsidRDefault="0052131F" w:rsidP="00DF5DAF">
            <w:pPr>
              <w:pStyle w:val="TX-TableText"/>
              <w:spacing w:before="60" w:after="60"/>
              <w:rPr>
                <w:b/>
              </w:rPr>
            </w:pPr>
            <w:hyperlink r:id="rId14" w:history="1">
              <w:r w:rsidR="0001162B">
                <w:rPr>
                  <w:rStyle w:val="Hyperlink"/>
                </w:rPr>
                <w:t>john.endahl@fns.usda.gov</w:t>
              </w:r>
            </w:hyperlink>
          </w:p>
        </w:tc>
      </w:tr>
      <w:tr w:rsidR="003273AD" w:rsidRPr="00D6005B" w:rsidTr="00B46D1D">
        <w:trPr>
          <w:jc w:val="center"/>
        </w:trPr>
        <w:tc>
          <w:tcPr>
            <w:tcW w:w="2482" w:type="dxa"/>
            <w:vAlign w:val="bottom"/>
          </w:tcPr>
          <w:p w:rsidR="003273AD" w:rsidRPr="00E05A77" w:rsidRDefault="0001162B" w:rsidP="00DF5DAF">
            <w:pPr>
              <w:pStyle w:val="TX-TableText"/>
              <w:spacing w:before="60" w:after="60"/>
            </w:pPr>
            <w:r w:rsidRPr="00E05A77">
              <w:rPr>
                <w:rFonts w:cs="Tahoma"/>
                <w:color w:val="000000"/>
              </w:rPr>
              <w:t xml:space="preserve">Jennifer </w:t>
            </w:r>
            <w:proofErr w:type="spellStart"/>
            <w:r w:rsidRPr="00E05A77">
              <w:rPr>
                <w:rFonts w:cs="Tahoma"/>
                <w:color w:val="000000"/>
              </w:rPr>
              <w:t>Rhorer</w:t>
            </w:r>
            <w:proofErr w:type="spellEnd"/>
          </w:p>
        </w:tc>
        <w:tc>
          <w:tcPr>
            <w:tcW w:w="1492" w:type="dxa"/>
            <w:vAlign w:val="bottom"/>
          </w:tcPr>
          <w:p w:rsidR="003273AD" w:rsidRPr="00E05A77" w:rsidRDefault="0001162B" w:rsidP="00DF5DAF">
            <w:pPr>
              <w:pStyle w:val="TX-TableText"/>
              <w:spacing w:before="60" w:after="60"/>
            </w:pPr>
            <w:r w:rsidRPr="00E05A77">
              <w:t>NASS/USDA</w:t>
            </w:r>
          </w:p>
        </w:tc>
        <w:tc>
          <w:tcPr>
            <w:tcW w:w="1710" w:type="dxa"/>
            <w:vAlign w:val="bottom"/>
          </w:tcPr>
          <w:p w:rsidR="003273AD" w:rsidRPr="00E05A77" w:rsidRDefault="00E05A77" w:rsidP="00DF5DAF">
            <w:pPr>
              <w:pStyle w:val="TX-TableText"/>
              <w:spacing w:before="60" w:after="60"/>
              <w:rPr>
                <w:b/>
              </w:rPr>
            </w:pPr>
            <w:r w:rsidRPr="00E05A77">
              <w:t>202.720.2616</w:t>
            </w:r>
          </w:p>
        </w:tc>
        <w:tc>
          <w:tcPr>
            <w:tcW w:w="3884" w:type="dxa"/>
          </w:tcPr>
          <w:p w:rsidR="003273AD" w:rsidRPr="00D6005B" w:rsidRDefault="00E05A77" w:rsidP="00DF5DAF">
            <w:pPr>
              <w:pStyle w:val="TX-TableText"/>
              <w:spacing w:before="60" w:after="60"/>
              <w:rPr>
                <w:b/>
              </w:rPr>
            </w:pPr>
            <w:r>
              <w:rPr>
                <w:color w:val="1F497D"/>
              </w:rPr>
              <w:t xml:space="preserve"> </w:t>
            </w:r>
            <w:hyperlink r:id="rId15" w:history="1">
              <w:r>
                <w:rPr>
                  <w:rStyle w:val="Hyperlink"/>
                </w:rPr>
                <w:t>Jennifer_rhorer@nass.usda.gov</w:t>
              </w:r>
            </w:hyperlink>
          </w:p>
        </w:tc>
      </w:tr>
    </w:tbl>
    <w:p w:rsidR="006D3765" w:rsidRPr="00D6005B" w:rsidRDefault="006D3765" w:rsidP="00B46D1D">
      <w:pPr>
        <w:pStyle w:val="BodyTextIndent3"/>
        <w:spacing w:line="240" w:lineRule="auto"/>
        <w:ind w:left="360" w:firstLine="0"/>
        <w:rPr>
          <w:rFonts w:ascii="Garamond" w:hAnsi="Garamond"/>
          <w:sz w:val="24"/>
          <w:szCs w:val="24"/>
        </w:rPr>
      </w:pPr>
    </w:p>
    <w:sectPr w:rsidR="006D3765" w:rsidRPr="00D6005B" w:rsidSect="00BD7118">
      <w:headerReference w:type="default" r:id="rId16"/>
      <w:footerReference w:type="default" r:id="rId17"/>
      <w:pgSz w:w="12240" w:h="15840"/>
      <w:pgMar w:top="1440" w:right="1440" w:bottom="1440" w:left="1440" w:header="720" w:footer="720" w:gutter="0"/>
      <w:pgNumType w:start="1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70B" w:rsidRDefault="000A570B" w:rsidP="006D3765">
      <w:pPr>
        <w:spacing w:line="240" w:lineRule="auto"/>
      </w:pPr>
      <w:r>
        <w:separator/>
      </w:r>
    </w:p>
  </w:endnote>
  <w:endnote w:type="continuationSeparator" w:id="0">
    <w:p w:rsidR="000A570B" w:rsidRDefault="000A570B" w:rsidP="006D37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70B" w:rsidRDefault="0052131F" w:rsidP="00001D5E">
    <w:pPr>
      <w:pStyle w:val="Footer"/>
      <w:framePr w:wrap="around" w:vAnchor="text" w:hAnchor="margin" w:xAlign="right" w:y="1"/>
      <w:rPr>
        <w:rStyle w:val="PageNumber"/>
      </w:rPr>
    </w:pPr>
    <w:r>
      <w:rPr>
        <w:rStyle w:val="PageNumber"/>
      </w:rPr>
      <w:fldChar w:fldCharType="begin"/>
    </w:r>
    <w:r w:rsidR="000A570B">
      <w:rPr>
        <w:rStyle w:val="PageNumber"/>
      </w:rPr>
      <w:instrText xml:space="preserve">PAGE  </w:instrText>
    </w:r>
    <w:r>
      <w:rPr>
        <w:rStyle w:val="PageNumber"/>
      </w:rPr>
      <w:fldChar w:fldCharType="end"/>
    </w:r>
  </w:p>
  <w:p w:rsidR="000A570B" w:rsidRDefault="000A570B" w:rsidP="00001D5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70B" w:rsidRDefault="000A570B">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70B" w:rsidRPr="00400AEE" w:rsidRDefault="000A570B" w:rsidP="00001D5E">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25971"/>
      <w:docPartObj>
        <w:docPartGallery w:val="Page Numbers (Bottom of Page)"/>
        <w:docPartUnique/>
      </w:docPartObj>
    </w:sdtPr>
    <w:sdtContent>
      <w:p w:rsidR="00BD7118" w:rsidRDefault="0052131F">
        <w:pPr>
          <w:pStyle w:val="Footer"/>
          <w:jc w:val="center"/>
        </w:pPr>
        <w:fldSimple w:instr=" PAGE   \* MERGEFORMAT ">
          <w:r w:rsidR="00D11052">
            <w:rPr>
              <w:noProof/>
            </w:rPr>
            <w:t>28</w:t>
          </w:r>
        </w:fldSimple>
      </w:p>
    </w:sdtContent>
  </w:sdt>
  <w:p w:rsidR="000A570B" w:rsidRDefault="000A570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70B" w:rsidRDefault="000A570B" w:rsidP="006D3765">
      <w:pPr>
        <w:spacing w:line="240" w:lineRule="auto"/>
      </w:pPr>
      <w:r>
        <w:separator/>
      </w:r>
    </w:p>
  </w:footnote>
  <w:footnote w:type="continuationSeparator" w:id="0">
    <w:p w:rsidR="000A570B" w:rsidRDefault="000A570B" w:rsidP="006D376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70B" w:rsidRDefault="000A57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1D03"/>
    <w:multiLevelType w:val="hybridMultilevel"/>
    <w:tmpl w:val="712C0DB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4">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B5336C1"/>
    <w:multiLevelType w:val="singleLevel"/>
    <w:tmpl w:val="9B98B6F6"/>
    <w:lvl w:ilvl="0">
      <w:start w:val="1"/>
      <w:numFmt w:val="none"/>
      <w:lvlText w:val="3."/>
      <w:lvlJc w:val="left"/>
      <w:pPr>
        <w:tabs>
          <w:tab w:val="num" w:pos="360"/>
        </w:tabs>
        <w:ind w:left="360" w:hanging="360"/>
      </w:pPr>
    </w:lvl>
  </w:abstractNum>
  <w:abstractNum w:abstractNumId="16">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
  </w:num>
  <w:num w:numId="3">
    <w:abstractNumId w:val="8"/>
  </w:num>
  <w:num w:numId="4">
    <w:abstractNumId w:val="10"/>
  </w:num>
  <w:num w:numId="5">
    <w:abstractNumId w:val="2"/>
  </w:num>
  <w:num w:numId="6">
    <w:abstractNumId w:val="5"/>
  </w:num>
  <w:num w:numId="7">
    <w:abstractNumId w:val="9"/>
  </w:num>
  <w:num w:numId="8">
    <w:abstractNumId w:val="0"/>
  </w:num>
  <w:num w:numId="9">
    <w:abstractNumId w:val="12"/>
  </w:num>
  <w:num w:numId="10">
    <w:abstractNumId w:val="6"/>
  </w:num>
  <w:num w:numId="11">
    <w:abstractNumId w:val="7"/>
  </w:num>
  <w:num w:numId="12">
    <w:abstractNumId w:val="4"/>
  </w:num>
  <w:num w:numId="13">
    <w:abstractNumId w:val="16"/>
  </w:num>
  <w:num w:numId="14">
    <w:abstractNumId w:val="11"/>
  </w:num>
  <w:num w:numId="15">
    <w:abstractNumId w:val="3"/>
  </w:num>
  <w:num w:numId="16">
    <w:abstractNumId w:val="17"/>
  </w:num>
  <w:num w:numId="17">
    <w:abstractNumId w:val="14"/>
  </w:num>
  <w:num w:numId="18">
    <w:abstractNumId w:val="15"/>
  </w:num>
  <w:num w:numId="19">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rsids>
    <w:rsidRoot w:val="006D3765"/>
    <w:rsid w:val="00001D5E"/>
    <w:rsid w:val="000072A3"/>
    <w:rsid w:val="00007477"/>
    <w:rsid w:val="00011228"/>
    <w:rsid w:val="0001162B"/>
    <w:rsid w:val="0001169E"/>
    <w:rsid w:val="00013095"/>
    <w:rsid w:val="000157E2"/>
    <w:rsid w:val="00015B0E"/>
    <w:rsid w:val="00022762"/>
    <w:rsid w:val="00023236"/>
    <w:rsid w:val="00026C89"/>
    <w:rsid w:val="00026DD5"/>
    <w:rsid w:val="00027E1A"/>
    <w:rsid w:val="00030D39"/>
    <w:rsid w:val="00031DFA"/>
    <w:rsid w:val="0003258A"/>
    <w:rsid w:val="00033FC0"/>
    <w:rsid w:val="00035912"/>
    <w:rsid w:val="0003661E"/>
    <w:rsid w:val="00036687"/>
    <w:rsid w:val="00036D2A"/>
    <w:rsid w:val="00037E15"/>
    <w:rsid w:val="00040824"/>
    <w:rsid w:val="00040A85"/>
    <w:rsid w:val="00041210"/>
    <w:rsid w:val="00041358"/>
    <w:rsid w:val="000417FC"/>
    <w:rsid w:val="000430FE"/>
    <w:rsid w:val="00043156"/>
    <w:rsid w:val="00044650"/>
    <w:rsid w:val="00046E60"/>
    <w:rsid w:val="00047BAD"/>
    <w:rsid w:val="00051021"/>
    <w:rsid w:val="000518AF"/>
    <w:rsid w:val="00051D49"/>
    <w:rsid w:val="00051E73"/>
    <w:rsid w:val="000520A9"/>
    <w:rsid w:val="00052D2A"/>
    <w:rsid w:val="00053589"/>
    <w:rsid w:val="00053ECC"/>
    <w:rsid w:val="00054941"/>
    <w:rsid w:val="000549FB"/>
    <w:rsid w:val="000568DC"/>
    <w:rsid w:val="00056DA1"/>
    <w:rsid w:val="00061BF3"/>
    <w:rsid w:val="0006264E"/>
    <w:rsid w:val="00062996"/>
    <w:rsid w:val="000671EC"/>
    <w:rsid w:val="0007089D"/>
    <w:rsid w:val="00070F45"/>
    <w:rsid w:val="0007113A"/>
    <w:rsid w:val="000711DA"/>
    <w:rsid w:val="00072270"/>
    <w:rsid w:val="00076C2E"/>
    <w:rsid w:val="00081A59"/>
    <w:rsid w:val="00083AC9"/>
    <w:rsid w:val="00085F6C"/>
    <w:rsid w:val="00086577"/>
    <w:rsid w:val="00087234"/>
    <w:rsid w:val="0008786B"/>
    <w:rsid w:val="0009253D"/>
    <w:rsid w:val="00092846"/>
    <w:rsid w:val="00094327"/>
    <w:rsid w:val="00094D7B"/>
    <w:rsid w:val="000A1397"/>
    <w:rsid w:val="000A1C54"/>
    <w:rsid w:val="000A52C9"/>
    <w:rsid w:val="000A570B"/>
    <w:rsid w:val="000A6B6B"/>
    <w:rsid w:val="000A6D2E"/>
    <w:rsid w:val="000A7CEF"/>
    <w:rsid w:val="000B0441"/>
    <w:rsid w:val="000B0E1E"/>
    <w:rsid w:val="000B1E3C"/>
    <w:rsid w:val="000B2029"/>
    <w:rsid w:val="000B20F0"/>
    <w:rsid w:val="000B2121"/>
    <w:rsid w:val="000B28FC"/>
    <w:rsid w:val="000B2975"/>
    <w:rsid w:val="000B370C"/>
    <w:rsid w:val="000B4924"/>
    <w:rsid w:val="000B4BAD"/>
    <w:rsid w:val="000B501C"/>
    <w:rsid w:val="000B5B04"/>
    <w:rsid w:val="000C0EAF"/>
    <w:rsid w:val="000C0FA9"/>
    <w:rsid w:val="000C3A32"/>
    <w:rsid w:val="000C4862"/>
    <w:rsid w:val="000C60BF"/>
    <w:rsid w:val="000D1BD5"/>
    <w:rsid w:val="000D7573"/>
    <w:rsid w:val="000D7DF0"/>
    <w:rsid w:val="000E3405"/>
    <w:rsid w:val="000E402D"/>
    <w:rsid w:val="000E4505"/>
    <w:rsid w:val="000E47DF"/>
    <w:rsid w:val="000E5D35"/>
    <w:rsid w:val="000E67F9"/>
    <w:rsid w:val="000E6C6F"/>
    <w:rsid w:val="000E73C0"/>
    <w:rsid w:val="000F10E3"/>
    <w:rsid w:val="000F20E3"/>
    <w:rsid w:val="000F3141"/>
    <w:rsid w:val="000F3ADF"/>
    <w:rsid w:val="000F4434"/>
    <w:rsid w:val="000F5273"/>
    <w:rsid w:val="000F6382"/>
    <w:rsid w:val="000F7C07"/>
    <w:rsid w:val="000F7FBB"/>
    <w:rsid w:val="00100DCF"/>
    <w:rsid w:val="001042DE"/>
    <w:rsid w:val="00105867"/>
    <w:rsid w:val="001073FC"/>
    <w:rsid w:val="00107FFD"/>
    <w:rsid w:val="00111A45"/>
    <w:rsid w:val="00112118"/>
    <w:rsid w:val="001157C6"/>
    <w:rsid w:val="00116D64"/>
    <w:rsid w:val="00117E39"/>
    <w:rsid w:val="00123505"/>
    <w:rsid w:val="0012498E"/>
    <w:rsid w:val="00125CA3"/>
    <w:rsid w:val="0013145E"/>
    <w:rsid w:val="001327C3"/>
    <w:rsid w:val="001330B8"/>
    <w:rsid w:val="00133E5F"/>
    <w:rsid w:val="0013662C"/>
    <w:rsid w:val="00137218"/>
    <w:rsid w:val="00140B12"/>
    <w:rsid w:val="00140C08"/>
    <w:rsid w:val="001427B7"/>
    <w:rsid w:val="00147355"/>
    <w:rsid w:val="00147957"/>
    <w:rsid w:val="0014798C"/>
    <w:rsid w:val="001513EB"/>
    <w:rsid w:val="00152464"/>
    <w:rsid w:val="0015317A"/>
    <w:rsid w:val="00157B9F"/>
    <w:rsid w:val="00160B59"/>
    <w:rsid w:val="001615FF"/>
    <w:rsid w:val="001616CA"/>
    <w:rsid w:val="001645CA"/>
    <w:rsid w:val="00164EC3"/>
    <w:rsid w:val="001652A4"/>
    <w:rsid w:val="001658A0"/>
    <w:rsid w:val="0016715E"/>
    <w:rsid w:val="00167583"/>
    <w:rsid w:val="00172736"/>
    <w:rsid w:val="001735F0"/>
    <w:rsid w:val="0017571E"/>
    <w:rsid w:val="001838D7"/>
    <w:rsid w:val="00184912"/>
    <w:rsid w:val="00184BBC"/>
    <w:rsid w:val="00185014"/>
    <w:rsid w:val="00185AEE"/>
    <w:rsid w:val="00187393"/>
    <w:rsid w:val="0019034B"/>
    <w:rsid w:val="0019055B"/>
    <w:rsid w:val="00190961"/>
    <w:rsid w:val="00192631"/>
    <w:rsid w:val="0019397B"/>
    <w:rsid w:val="00193AA0"/>
    <w:rsid w:val="00193B4D"/>
    <w:rsid w:val="00193F33"/>
    <w:rsid w:val="0019431A"/>
    <w:rsid w:val="001979FE"/>
    <w:rsid w:val="001A05AC"/>
    <w:rsid w:val="001A22CC"/>
    <w:rsid w:val="001A6AC8"/>
    <w:rsid w:val="001A6E94"/>
    <w:rsid w:val="001B1599"/>
    <w:rsid w:val="001B21F7"/>
    <w:rsid w:val="001B233F"/>
    <w:rsid w:val="001B637F"/>
    <w:rsid w:val="001B6AC4"/>
    <w:rsid w:val="001B7AF7"/>
    <w:rsid w:val="001C003B"/>
    <w:rsid w:val="001C016B"/>
    <w:rsid w:val="001C0310"/>
    <w:rsid w:val="001C4595"/>
    <w:rsid w:val="001C5505"/>
    <w:rsid w:val="001C78B7"/>
    <w:rsid w:val="001D1946"/>
    <w:rsid w:val="001D415F"/>
    <w:rsid w:val="001D41EE"/>
    <w:rsid w:val="001D4F1D"/>
    <w:rsid w:val="001D5569"/>
    <w:rsid w:val="001D5707"/>
    <w:rsid w:val="001D65AD"/>
    <w:rsid w:val="001D6CA8"/>
    <w:rsid w:val="001D6F89"/>
    <w:rsid w:val="001E0FA7"/>
    <w:rsid w:val="001E223C"/>
    <w:rsid w:val="001E3156"/>
    <w:rsid w:val="001E3653"/>
    <w:rsid w:val="001E4372"/>
    <w:rsid w:val="001E4C50"/>
    <w:rsid w:val="001E658D"/>
    <w:rsid w:val="001E7AE6"/>
    <w:rsid w:val="001E7C09"/>
    <w:rsid w:val="001E7CD9"/>
    <w:rsid w:val="001E7CDA"/>
    <w:rsid w:val="001F11B0"/>
    <w:rsid w:val="001F1CDC"/>
    <w:rsid w:val="001F29FE"/>
    <w:rsid w:val="001F3BD1"/>
    <w:rsid w:val="001F4AF2"/>
    <w:rsid w:val="001F4D47"/>
    <w:rsid w:val="001F73B2"/>
    <w:rsid w:val="001F7B97"/>
    <w:rsid w:val="00200717"/>
    <w:rsid w:val="00201487"/>
    <w:rsid w:val="00202587"/>
    <w:rsid w:val="002028D3"/>
    <w:rsid w:val="00202D64"/>
    <w:rsid w:val="00202E76"/>
    <w:rsid w:val="00204A1C"/>
    <w:rsid w:val="0020509F"/>
    <w:rsid w:val="00207983"/>
    <w:rsid w:val="00207ED9"/>
    <w:rsid w:val="00213BEC"/>
    <w:rsid w:val="002159FE"/>
    <w:rsid w:val="002172D6"/>
    <w:rsid w:val="0021748D"/>
    <w:rsid w:val="002177DD"/>
    <w:rsid w:val="00217B5D"/>
    <w:rsid w:val="0022523E"/>
    <w:rsid w:val="00225B0A"/>
    <w:rsid w:val="00227419"/>
    <w:rsid w:val="0023001B"/>
    <w:rsid w:val="002303EF"/>
    <w:rsid w:val="00233C04"/>
    <w:rsid w:val="002353A2"/>
    <w:rsid w:val="00235D61"/>
    <w:rsid w:val="00236762"/>
    <w:rsid w:val="0023699C"/>
    <w:rsid w:val="00237F30"/>
    <w:rsid w:val="00240515"/>
    <w:rsid w:val="002417BE"/>
    <w:rsid w:val="002419B0"/>
    <w:rsid w:val="00241B5F"/>
    <w:rsid w:val="002450B1"/>
    <w:rsid w:val="002454AF"/>
    <w:rsid w:val="0024679A"/>
    <w:rsid w:val="00246E6C"/>
    <w:rsid w:val="002473B5"/>
    <w:rsid w:val="002503AA"/>
    <w:rsid w:val="00250702"/>
    <w:rsid w:val="002519B6"/>
    <w:rsid w:val="00254196"/>
    <w:rsid w:val="0025507F"/>
    <w:rsid w:val="00260556"/>
    <w:rsid w:val="00260999"/>
    <w:rsid w:val="00261190"/>
    <w:rsid w:val="002623AA"/>
    <w:rsid w:val="00263662"/>
    <w:rsid w:val="00264A12"/>
    <w:rsid w:val="002658FC"/>
    <w:rsid w:val="00265934"/>
    <w:rsid w:val="00267CB3"/>
    <w:rsid w:val="00270A8F"/>
    <w:rsid w:val="00271BB2"/>
    <w:rsid w:val="00272AC2"/>
    <w:rsid w:val="0027391B"/>
    <w:rsid w:val="0027448F"/>
    <w:rsid w:val="00274862"/>
    <w:rsid w:val="002751A9"/>
    <w:rsid w:val="00275DAE"/>
    <w:rsid w:val="00276323"/>
    <w:rsid w:val="0027656F"/>
    <w:rsid w:val="00276C81"/>
    <w:rsid w:val="002819E3"/>
    <w:rsid w:val="00281D17"/>
    <w:rsid w:val="0028214B"/>
    <w:rsid w:val="0028389B"/>
    <w:rsid w:val="00286B70"/>
    <w:rsid w:val="00291A72"/>
    <w:rsid w:val="0029546E"/>
    <w:rsid w:val="00295764"/>
    <w:rsid w:val="00295F3D"/>
    <w:rsid w:val="002961CF"/>
    <w:rsid w:val="0029680E"/>
    <w:rsid w:val="00297160"/>
    <w:rsid w:val="002A1BBE"/>
    <w:rsid w:val="002A42AD"/>
    <w:rsid w:val="002A641A"/>
    <w:rsid w:val="002A6D44"/>
    <w:rsid w:val="002B41C0"/>
    <w:rsid w:val="002B7AF1"/>
    <w:rsid w:val="002C0915"/>
    <w:rsid w:val="002C1354"/>
    <w:rsid w:val="002C29B3"/>
    <w:rsid w:val="002C2DD7"/>
    <w:rsid w:val="002C33EE"/>
    <w:rsid w:val="002C349D"/>
    <w:rsid w:val="002C792C"/>
    <w:rsid w:val="002D38A0"/>
    <w:rsid w:val="002D4432"/>
    <w:rsid w:val="002E1784"/>
    <w:rsid w:val="002E2D5C"/>
    <w:rsid w:val="002E3695"/>
    <w:rsid w:val="002E3D7F"/>
    <w:rsid w:val="002E5659"/>
    <w:rsid w:val="002F3571"/>
    <w:rsid w:val="002F3C9E"/>
    <w:rsid w:val="002F5855"/>
    <w:rsid w:val="002F6D10"/>
    <w:rsid w:val="002F6E8A"/>
    <w:rsid w:val="002F7244"/>
    <w:rsid w:val="00300AF0"/>
    <w:rsid w:val="00301460"/>
    <w:rsid w:val="00301785"/>
    <w:rsid w:val="0030514D"/>
    <w:rsid w:val="003056A3"/>
    <w:rsid w:val="00307406"/>
    <w:rsid w:val="00307F02"/>
    <w:rsid w:val="003108A2"/>
    <w:rsid w:val="0031126A"/>
    <w:rsid w:val="00312D87"/>
    <w:rsid w:val="00312FB3"/>
    <w:rsid w:val="00316DD4"/>
    <w:rsid w:val="003172A7"/>
    <w:rsid w:val="00321CAD"/>
    <w:rsid w:val="0032202C"/>
    <w:rsid w:val="003225B6"/>
    <w:rsid w:val="00322971"/>
    <w:rsid w:val="003229D0"/>
    <w:rsid w:val="00322A86"/>
    <w:rsid w:val="00323FF4"/>
    <w:rsid w:val="00325963"/>
    <w:rsid w:val="003263FC"/>
    <w:rsid w:val="00327356"/>
    <w:rsid w:val="003273AD"/>
    <w:rsid w:val="003300FC"/>
    <w:rsid w:val="003312A8"/>
    <w:rsid w:val="00331313"/>
    <w:rsid w:val="00331EC8"/>
    <w:rsid w:val="00333DB0"/>
    <w:rsid w:val="003344B7"/>
    <w:rsid w:val="00334682"/>
    <w:rsid w:val="0033531E"/>
    <w:rsid w:val="00337C8D"/>
    <w:rsid w:val="00340016"/>
    <w:rsid w:val="00341455"/>
    <w:rsid w:val="003415F1"/>
    <w:rsid w:val="00341757"/>
    <w:rsid w:val="00342801"/>
    <w:rsid w:val="00342CC0"/>
    <w:rsid w:val="003449A8"/>
    <w:rsid w:val="003453CA"/>
    <w:rsid w:val="00346429"/>
    <w:rsid w:val="00347422"/>
    <w:rsid w:val="00347CDA"/>
    <w:rsid w:val="00347EAD"/>
    <w:rsid w:val="00350B5C"/>
    <w:rsid w:val="00350F11"/>
    <w:rsid w:val="0035188B"/>
    <w:rsid w:val="003539BF"/>
    <w:rsid w:val="00354A14"/>
    <w:rsid w:val="003563B5"/>
    <w:rsid w:val="003564A2"/>
    <w:rsid w:val="00356D81"/>
    <w:rsid w:val="00357137"/>
    <w:rsid w:val="003575BC"/>
    <w:rsid w:val="003576C1"/>
    <w:rsid w:val="0035799A"/>
    <w:rsid w:val="00361C10"/>
    <w:rsid w:val="00362DFB"/>
    <w:rsid w:val="003632EE"/>
    <w:rsid w:val="00363C6D"/>
    <w:rsid w:val="00366275"/>
    <w:rsid w:val="00366F60"/>
    <w:rsid w:val="00371CEB"/>
    <w:rsid w:val="00373866"/>
    <w:rsid w:val="003740F4"/>
    <w:rsid w:val="003748B6"/>
    <w:rsid w:val="00376ED0"/>
    <w:rsid w:val="00380B8C"/>
    <w:rsid w:val="00381B25"/>
    <w:rsid w:val="00382917"/>
    <w:rsid w:val="00382C9F"/>
    <w:rsid w:val="003839BE"/>
    <w:rsid w:val="003847B8"/>
    <w:rsid w:val="003863D6"/>
    <w:rsid w:val="00387B97"/>
    <w:rsid w:val="00390B63"/>
    <w:rsid w:val="003921BF"/>
    <w:rsid w:val="003950B2"/>
    <w:rsid w:val="00395441"/>
    <w:rsid w:val="0039574C"/>
    <w:rsid w:val="00396FAD"/>
    <w:rsid w:val="003A0019"/>
    <w:rsid w:val="003A03A7"/>
    <w:rsid w:val="003A065B"/>
    <w:rsid w:val="003A16D8"/>
    <w:rsid w:val="003A346C"/>
    <w:rsid w:val="003A3AED"/>
    <w:rsid w:val="003A7AFC"/>
    <w:rsid w:val="003B1A54"/>
    <w:rsid w:val="003B1BFE"/>
    <w:rsid w:val="003B35C2"/>
    <w:rsid w:val="003B43B9"/>
    <w:rsid w:val="003B5A79"/>
    <w:rsid w:val="003C0530"/>
    <w:rsid w:val="003C0812"/>
    <w:rsid w:val="003C2E74"/>
    <w:rsid w:val="003C36BE"/>
    <w:rsid w:val="003C3AC2"/>
    <w:rsid w:val="003C3FE7"/>
    <w:rsid w:val="003C421C"/>
    <w:rsid w:val="003C63D6"/>
    <w:rsid w:val="003C63F0"/>
    <w:rsid w:val="003C77B4"/>
    <w:rsid w:val="003D011E"/>
    <w:rsid w:val="003D2C20"/>
    <w:rsid w:val="003D5206"/>
    <w:rsid w:val="003D5674"/>
    <w:rsid w:val="003D64AB"/>
    <w:rsid w:val="003D7503"/>
    <w:rsid w:val="003D7B17"/>
    <w:rsid w:val="003E00E0"/>
    <w:rsid w:val="003E1D3E"/>
    <w:rsid w:val="003E28A3"/>
    <w:rsid w:val="003E2AEE"/>
    <w:rsid w:val="003E5158"/>
    <w:rsid w:val="003E6473"/>
    <w:rsid w:val="003F0ED8"/>
    <w:rsid w:val="003F0F46"/>
    <w:rsid w:val="003F2DF2"/>
    <w:rsid w:val="003F5304"/>
    <w:rsid w:val="003F7676"/>
    <w:rsid w:val="0040044F"/>
    <w:rsid w:val="00400473"/>
    <w:rsid w:val="0040087E"/>
    <w:rsid w:val="004027D2"/>
    <w:rsid w:val="00402B18"/>
    <w:rsid w:val="00405BBE"/>
    <w:rsid w:val="0040706B"/>
    <w:rsid w:val="0040745F"/>
    <w:rsid w:val="00411173"/>
    <w:rsid w:val="00413294"/>
    <w:rsid w:val="004147BD"/>
    <w:rsid w:val="00417066"/>
    <w:rsid w:val="00417D4E"/>
    <w:rsid w:val="00417F62"/>
    <w:rsid w:val="00417F6B"/>
    <w:rsid w:val="00420DC2"/>
    <w:rsid w:val="004217DF"/>
    <w:rsid w:val="0042203C"/>
    <w:rsid w:val="00422497"/>
    <w:rsid w:val="00422CF6"/>
    <w:rsid w:val="004256E0"/>
    <w:rsid w:val="00426E33"/>
    <w:rsid w:val="00431152"/>
    <w:rsid w:val="004333A5"/>
    <w:rsid w:val="00437000"/>
    <w:rsid w:val="004377AB"/>
    <w:rsid w:val="004435B9"/>
    <w:rsid w:val="00444073"/>
    <w:rsid w:val="004454AA"/>
    <w:rsid w:val="00445A8E"/>
    <w:rsid w:val="00445E9E"/>
    <w:rsid w:val="00446FF0"/>
    <w:rsid w:val="0045115A"/>
    <w:rsid w:val="00456D96"/>
    <w:rsid w:val="00457BA6"/>
    <w:rsid w:val="00460062"/>
    <w:rsid w:val="00460903"/>
    <w:rsid w:val="00461E36"/>
    <w:rsid w:val="00462217"/>
    <w:rsid w:val="00462E14"/>
    <w:rsid w:val="004641C2"/>
    <w:rsid w:val="004648A1"/>
    <w:rsid w:val="0046551C"/>
    <w:rsid w:val="0046690F"/>
    <w:rsid w:val="00467CE9"/>
    <w:rsid w:val="004708D0"/>
    <w:rsid w:val="004715DE"/>
    <w:rsid w:val="00474C2C"/>
    <w:rsid w:val="00476470"/>
    <w:rsid w:val="00476726"/>
    <w:rsid w:val="004775F0"/>
    <w:rsid w:val="0048059F"/>
    <w:rsid w:val="004812D5"/>
    <w:rsid w:val="00481488"/>
    <w:rsid w:val="00483282"/>
    <w:rsid w:val="004835A5"/>
    <w:rsid w:val="004858CD"/>
    <w:rsid w:val="00486434"/>
    <w:rsid w:val="00486902"/>
    <w:rsid w:val="00487D4C"/>
    <w:rsid w:val="004903BB"/>
    <w:rsid w:val="0049057B"/>
    <w:rsid w:val="00490622"/>
    <w:rsid w:val="00490660"/>
    <w:rsid w:val="00491054"/>
    <w:rsid w:val="00494235"/>
    <w:rsid w:val="00495463"/>
    <w:rsid w:val="004965FE"/>
    <w:rsid w:val="004967E8"/>
    <w:rsid w:val="00497775"/>
    <w:rsid w:val="00497CF4"/>
    <w:rsid w:val="004A0766"/>
    <w:rsid w:val="004A1DDA"/>
    <w:rsid w:val="004A4161"/>
    <w:rsid w:val="004A4483"/>
    <w:rsid w:val="004A61A4"/>
    <w:rsid w:val="004A6389"/>
    <w:rsid w:val="004A6DDB"/>
    <w:rsid w:val="004A724F"/>
    <w:rsid w:val="004B25E7"/>
    <w:rsid w:val="004B42FB"/>
    <w:rsid w:val="004B5FFF"/>
    <w:rsid w:val="004B62E6"/>
    <w:rsid w:val="004C2BB7"/>
    <w:rsid w:val="004C3273"/>
    <w:rsid w:val="004C3CED"/>
    <w:rsid w:val="004C4506"/>
    <w:rsid w:val="004C548B"/>
    <w:rsid w:val="004C6772"/>
    <w:rsid w:val="004C6B0D"/>
    <w:rsid w:val="004C7A1A"/>
    <w:rsid w:val="004D0283"/>
    <w:rsid w:val="004D12BA"/>
    <w:rsid w:val="004D204B"/>
    <w:rsid w:val="004D2EBB"/>
    <w:rsid w:val="004D3630"/>
    <w:rsid w:val="004D4B51"/>
    <w:rsid w:val="004D59B1"/>
    <w:rsid w:val="004D7B90"/>
    <w:rsid w:val="004E1E52"/>
    <w:rsid w:val="004E2AAF"/>
    <w:rsid w:val="004F0140"/>
    <w:rsid w:val="004F2395"/>
    <w:rsid w:val="004F296A"/>
    <w:rsid w:val="004F3336"/>
    <w:rsid w:val="004F4397"/>
    <w:rsid w:val="004F69C0"/>
    <w:rsid w:val="004F7AB1"/>
    <w:rsid w:val="004F7C67"/>
    <w:rsid w:val="005011EF"/>
    <w:rsid w:val="005013F4"/>
    <w:rsid w:val="005026A0"/>
    <w:rsid w:val="0050290C"/>
    <w:rsid w:val="00502CC1"/>
    <w:rsid w:val="00503A16"/>
    <w:rsid w:val="00506020"/>
    <w:rsid w:val="0050726F"/>
    <w:rsid w:val="005112B3"/>
    <w:rsid w:val="00511D84"/>
    <w:rsid w:val="0051239A"/>
    <w:rsid w:val="00514735"/>
    <w:rsid w:val="0051522C"/>
    <w:rsid w:val="00517CDD"/>
    <w:rsid w:val="0052131F"/>
    <w:rsid w:val="005216E5"/>
    <w:rsid w:val="00522164"/>
    <w:rsid w:val="0052288F"/>
    <w:rsid w:val="00523EE1"/>
    <w:rsid w:val="00524BBA"/>
    <w:rsid w:val="005257E7"/>
    <w:rsid w:val="0053147C"/>
    <w:rsid w:val="005314B6"/>
    <w:rsid w:val="00531DC4"/>
    <w:rsid w:val="00532208"/>
    <w:rsid w:val="00532F86"/>
    <w:rsid w:val="00533371"/>
    <w:rsid w:val="00535734"/>
    <w:rsid w:val="00540B01"/>
    <w:rsid w:val="00541B31"/>
    <w:rsid w:val="005423A5"/>
    <w:rsid w:val="005435B2"/>
    <w:rsid w:val="005443C6"/>
    <w:rsid w:val="0054755C"/>
    <w:rsid w:val="0054794B"/>
    <w:rsid w:val="00547AC2"/>
    <w:rsid w:val="0055094F"/>
    <w:rsid w:val="005510BA"/>
    <w:rsid w:val="005512ED"/>
    <w:rsid w:val="00555457"/>
    <w:rsid w:val="005565B1"/>
    <w:rsid w:val="00557044"/>
    <w:rsid w:val="00557A16"/>
    <w:rsid w:val="00561BA6"/>
    <w:rsid w:val="00561D2A"/>
    <w:rsid w:val="00563747"/>
    <w:rsid w:val="00563998"/>
    <w:rsid w:val="00564D33"/>
    <w:rsid w:val="00565C68"/>
    <w:rsid w:val="00566D5D"/>
    <w:rsid w:val="005678E1"/>
    <w:rsid w:val="00571498"/>
    <w:rsid w:val="00572C40"/>
    <w:rsid w:val="00575597"/>
    <w:rsid w:val="00576BA0"/>
    <w:rsid w:val="00581903"/>
    <w:rsid w:val="00582DDC"/>
    <w:rsid w:val="005835DA"/>
    <w:rsid w:val="005848F0"/>
    <w:rsid w:val="00587C40"/>
    <w:rsid w:val="00591961"/>
    <w:rsid w:val="00591E27"/>
    <w:rsid w:val="00592506"/>
    <w:rsid w:val="00594BE0"/>
    <w:rsid w:val="00597CC6"/>
    <w:rsid w:val="005A2887"/>
    <w:rsid w:val="005A308A"/>
    <w:rsid w:val="005A30CD"/>
    <w:rsid w:val="005A390E"/>
    <w:rsid w:val="005A3E06"/>
    <w:rsid w:val="005A5D83"/>
    <w:rsid w:val="005A669A"/>
    <w:rsid w:val="005A6773"/>
    <w:rsid w:val="005A7907"/>
    <w:rsid w:val="005B0D2B"/>
    <w:rsid w:val="005B120F"/>
    <w:rsid w:val="005B3578"/>
    <w:rsid w:val="005B5ACA"/>
    <w:rsid w:val="005B675F"/>
    <w:rsid w:val="005B7125"/>
    <w:rsid w:val="005C012A"/>
    <w:rsid w:val="005C12F8"/>
    <w:rsid w:val="005C25B0"/>
    <w:rsid w:val="005C63B9"/>
    <w:rsid w:val="005D3A2E"/>
    <w:rsid w:val="005D3AAC"/>
    <w:rsid w:val="005D3BFD"/>
    <w:rsid w:val="005D3F56"/>
    <w:rsid w:val="005D4E7E"/>
    <w:rsid w:val="005D5C3E"/>
    <w:rsid w:val="005D60F3"/>
    <w:rsid w:val="005D69DF"/>
    <w:rsid w:val="005D70FF"/>
    <w:rsid w:val="005E14CA"/>
    <w:rsid w:val="005E32A9"/>
    <w:rsid w:val="005E4AEA"/>
    <w:rsid w:val="005E57A2"/>
    <w:rsid w:val="005E668F"/>
    <w:rsid w:val="005E6721"/>
    <w:rsid w:val="005E7394"/>
    <w:rsid w:val="005F1621"/>
    <w:rsid w:val="005F5048"/>
    <w:rsid w:val="00601C1B"/>
    <w:rsid w:val="0060244F"/>
    <w:rsid w:val="00602CC7"/>
    <w:rsid w:val="00603D33"/>
    <w:rsid w:val="00603FA8"/>
    <w:rsid w:val="00604428"/>
    <w:rsid w:val="00605B90"/>
    <w:rsid w:val="00606010"/>
    <w:rsid w:val="00606BF9"/>
    <w:rsid w:val="006110FE"/>
    <w:rsid w:val="00614DEF"/>
    <w:rsid w:val="00617005"/>
    <w:rsid w:val="00621A76"/>
    <w:rsid w:val="006226F0"/>
    <w:rsid w:val="006231D5"/>
    <w:rsid w:val="00623EEA"/>
    <w:rsid w:val="006255BF"/>
    <w:rsid w:val="00625600"/>
    <w:rsid w:val="006328D9"/>
    <w:rsid w:val="00632AFF"/>
    <w:rsid w:val="00633704"/>
    <w:rsid w:val="00634343"/>
    <w:rsid w:val="00636E2A"/>
    <w:rsid w:val="00637408"/>
    <w:rsid w:val="00642ED0"/>
    <w:rsid w:val="006430F2"/>
    <w:rsid w:val="0064334F"/>
    <w:rsid w:val="00643E70"/>
    <w:rsid w:val="00645FD2"/>
    <w:rsid w:val="0064794E"/>
    <w:rsid w:val="00650F9F"/>
    <w:rsid w:val="00652BAD"/>
    <w:rsid w:val="00654598"/>
    <w:rsid w:val="00654AFD"/>
    <w:rsid w:val="00656EDB"/>
    <w:rsid w:val="006603BF"/>
    <w:rsid w:val="00660FBE"/>
    <w:rsid w:val="00661441"/>
    <w:rsid w:val="006640E0"/>
    <w:rsid w:val="00670341"/>
    <w:rsid w:val="00670BCB"/>
    <w:rsid w:val="00671ACF"/>
    <w:rsid w:val="00673F90"/>
    <w:rsid w:val="00674AD5"/>
    <w:rsid w:val="00676007"/>
    <w:rsid w:val="006760B5"/>
    <w:rsid w:val="00676643"/>
    <w:rsid w:val="00677380"/>
    <w:rsid w:val="00680507"/>
    <w:rsid w:val="00682DBD"/>
    <w:rsid w:val="00682ECE"/>
    <w:rsid w:val="006853EF"/>
    <w:rsid w:val="0068719A"/>
    <w:rsid w:val="00687E5C"/>
    <w:rsid w:val="00690BB5"/>
    <w:rsid w:val="006914A8"/>
    <w:rsid w:val="00692089"/>
    <w:rsid w:val="00692C90"/>
    <w:rsid w:val="00692FFF"/>
    <w:rsid w:val="00693D79"/>
    <w:rsid w:val="00694548"/>
    <w:rsid w:val="00696F9D"/>
    <w:rsid w:val="0069789A"/>
    <w:rsid w:val="006A04A4"/>
    <w:rsid w:val="006A161F"/>
    <w:rsid w:val="006A24E3"/>
    <w:rsid w:val="006A3EC0"/>
    <w:rsid w:val="006A5FF2"/>
    <w:rsid w:val="006A64C1"/>
    <w:rsid w:val="006B025A"/>
    <w:rsid w:val="006B40CD"/>
    <w:rsid w:val="006B43E8"/>
    <w:rsid w:val="006B63BF"/>
    <w:rsid w:val="006B6BBB"/>
    <w:rsid w:val="006C07CE"/>
    <w:rsid w:val="006C09CB"/>
    <w:rsid w:val="006C0B5A"/>
    <w:rsid w:val="006C1B3D"/>
    <w:rsid w:val="006C5D3F"/>
    <w:rsid w:val="006C6904"/>
    <w:rsid w:val="006C70DB"/>
    <w:rsid w:val="006C763B"/>
    <w:rsid w:val="006D0DFD"/>
    <w:rsid w:val="006D2EB8"/>
    <w:rsid w:val="006D3765"/>
    <w:rsid w:val="006D378D"/>
    <w:rsid w:val="006D3C7E"/>
    <w:rsid w:val="006D4076"/>
    <w:rsid w:val="006D60A4"/>
    <w:rsid w:val="006D699F"/>
    <w:rsid w:val="006D6F41"/>
    <w:rsid w:val="006D7A0E"/>
    <w:rsid w:val="006E21A8"/>
    <w:rsid w:val="006E3E74"/>
    <w:rsid w:val="006E7965"/>
    <w:rsid w:val="006E7EAE"/>
    <w:rsid w:val="006F1001"/>
    <w:rsid w:val="006F10B6"/>
    <w:rsid w:val="006F4811"/>
    <w:rsid w:val="006F48CF"/>
    <w:rsid w:val="006F5E89"/>
    <w:rsid w:val="006F668D"/>
    <w:rsid w:val="007011E2"/>
    <w:rsid w:val="00702EBF"/>
    <w:rsid w:val="0070347D"/>
    <w:rsid w:val="00704095"/>
    <w:rsid w:val="00705FD3"/>
    <w:rsid w:val="007118E7"/>
    <w:rsid w:val="00712699"/>
    <w:rsid w:val="00713FBB"/>
    <w:rsid w:val="0071424E"/>
    <w:rsid w:val="00714992"/>
    <w:rsid w:val="00715BE2"/>
    <w:rsid w:val="00717549"/>
    <w:rsid w:val="00720A48"/>
    <w:rsid w:val="007214CE"/>
    <w:rsid w:val="007228BF"/>
    <w:rsid w:val="00722914"/>
    <w:rsid w:val="00722954"/>
    <w:rsid w:val="00725336"/>
    <w:rsid w:val="0072763F"/>
    <w:rsid w:val="00730EFC"/>
    <w:rsid w:val="00732D61"/>
    <w:rsid w:val="0073490C"/>
    <w:rsid w:val="00735571"/>
    <w:rsid w:val="0073561F"/>
    <w:rsid w:val="00736AFF"/>
    <w:rsid w:val="00737970"/>
    <w:rsid w:val="007414BC"/>
    <w:rsid w:val="007418F8"/>
    <w:rsid w:val="00742FAF"/>
    <w:rsid w:val="00747661"/>
    <w:rsid w:val="00747C91"/>
    <w:rsid w:val="00753BB3"/>
    <w:rsid w:val="007559FE"/>
    <w:rsid w:val="00756B2F"/>
    <w:rsid w:val="0076149B"/>
    <w:rsid w:val="00762826"/>
    <w:rsid w:val="00763B25"/>
    <w:rsid w:val="00763D95"/>
    <w:rsid w:val="0076528D"/>
    <w:rsid w:val="00770022"/>
    <w:rsid w:val="007741C5"/>
    <w:rsid w:val="00776978"/>
    <w:rsid w:val="00776C86"/>
    <w:rsid w:val="00776F8C"/>
    <w:rsid w:val="00777996"/>
    <w:rsid w:val="00777B88"/>
    <w:rsid w:val="00781693"/>
    <w:rsid w:val="007818A1"/>
    <w:rsid w:val="00781F54"/>
    <w:rsid w:val="00785960"/>
    <w:rsid w:val="00785C21"/>
    <w:rsid w:val="00786113"/>
    <w:rsid w:val="00786B3A"/>
    <w:rsid w:val="00786DF2"/>
    <w:rsid w:val="00787455"/>
    <w:rsid w:val="00791507"/>
    <w:rsid w:val="007941B2"/>
    <w:rsid w:val="00795A69"/>
    <w:rsid w:val="00795FB7"/>
    <w:rsid w:val="0079625E"/>
    <w:rsid w:val="007A3025"/>
    <w:rsid w:val="007A4073"/>
    <w:rsid w:val="007A4E83"/>
    <w:rsid w:val="007A58CB"/>
    <w:rsid w:val="007A5B27"/>
    <w:rsid w:val="007A625F"/>
    <w:rsid w:val="007A6662"/>
    <w:rsid w:val="007A6A06"/>
    <w:rsid w:val="007B0195"/>
    <w:rsid w:val="007B047B"/>
    <w:rsid w:val="007B2AC3"/>
    <w:rsid w:val="007B2FD2"/>
    <w:rsid w:val="007B40A8"/>
    <w:rsid w:val="007B5DAF"/>
    <w:rsid w:val="007C3109"/>
    <w:rsid w:val="007C334E"/>
    <w:rsid w:val="007C3B2B"/>
    <w:rsid w:val="007C3D5D"/>
    <w:rsid w:val="007C4930"/>
    <w:rsid w:val="007C496E"/>
    <w:rsid w:val="007C4D48"/>
    <w:rsid w:val="007C574C"/>
    <w:rsid w:val="007C6A8E"/>
    <w:rsid w:val="007D1BC6"/>
    <w:rsid w:val="007D2BE6"/>
    <w:rsid w:val="007D2D6B"/>
    <w:rsid w:val="007D3A05"/>
    <w:rsid w:val="007D3FED"/>
    <w:rsid w:val="007D48DC"/>
    <w:rsid w:val="007D4BA8"/>
    <w:rsid w:val="007D4F78"/>
    <w:rsid w:val="007D7AD5"/>
    <w:rsid w:val="007E0627"/>
    <w:rsid w:val="007E1108"/>
    <w:rsid w:val="007E3CEF"/>
    <w:rsid w:val="007E4DCE"/>
    <w:rsid w:val="007E50DD"/>
    <w:rsid w:val="007E5204"/>
    <w:rsid w:val="007E6158"/>
    <w:rsid w:val="007E622A"/>
    <w:rsid w:val="007E6295"/>
    <w:rsid w:val="007E64F9"/>
    <w:rsid w:val="007F042D"/>
    <w:rsid w:val="007F1399"/>
    <w:rsid w:val="007F1DC2"/>
    <w:rsid w:val="007F2331"/>
    <w:rsid w:val="007F2C2F"/>
    <w:rsid w:val="007F2E7D"/>
    <w:rsid w:val="007F2ECE"/>
    <w:rsid w:val="007F3684"/>
    <w:rsid w:val="007F3769"/>
    <w:rsid w:val="007F3A54"/>
    <w:rsid w:val="007F4385"/>
    <w:rsid w:val="007F73E2"/>
    <w:rsid w:val="007F77DE"/>
    <w:rsid w:val="00800067"/>
    <w:rsid w:val="008006C0"/>
    <w:rsid w:val="008011A2"/>
    <w:rsid w:val="008044F5"/>
    <w:rsid w:val="00804B98"/>
    <w:rsid w:val="008053E7"/>
    <w:rsid w:val="00805A37"/>
    <w:rsid w:val="00807305"/>
    <w:rsid w:val="00811263"/>
    <w:rsid w:val="00815B34"/>
    <w:rsid w:val="00816987"/>
    <w:rsid w:val="00817B0C"/>
    <w:rsid w:val="00822AC6"/>
    <w:rsid w:val="00822F3B"/>
    <w:rsid w:val="00823780"/>
    <w:rsid w:val="008247A2"/>
    <w:rsid w:val="00825F48"/>
    <w:rsid w:val="00827DE2"/>
    <w:rsid w:val="00831F44"/>
    <w:rsid w:val="008321B4"/>
    <w:rsid w:val="00833D2A"/>
    <w:rsid w:val="00837064"/>
    <w:rsid w:val="00840A9A"/>
    <w:rsid w:val="008410FE"/>
    <w:rsid w:val="00841794"/>
    <w:rsid w:val="008426DD"/>
    <w:rsid w:val="0084317E"/>
    <w:rsid w:val="00843394"/>
    <w:rsid w:val="00843F54"/>
    <w:rsid w:val="00844334"/>
    <w:rsid w:val="00847DA9"/>
    <w:rsid w:val="00850383"/>
    <w:rsid w:val="00850BD9"/>
    <w:rsid w:val="00851122"/>
    <w:rsid w:val="008527F0"/>
    <w:rsid w:val="00852F80"/>
    <w:rsid w:val="0085389A"/>
    <w:rsid w:val="008560D3"/>
    <w:rsid w:val="00856C07"/>
    <w:rsid w:val="008615A7"/>
    <w:rsid w:val="00861CFF"/>
    <w:rsid w:val="00863AA4"/>
    <w:rsid w:val="00863F13"/>
    <w:rsid w:val="00864209"/>
    <w:rsid w:val="00865617"/>
    <w:rsid w:val="008666AF"/>
    <w:rsid w:val="00866971"/>
    <w:rsid w:val="00866E0E"/>
    <w:rsid w:val="00870172"/>
    <w:rsid w:val="008701DD"/>
    <w:rsid w:val="008712B3"/>
    <w:rsid w:val="00871570"/>
    <w:rsid w:val="0087186D"/>
    <w:rsid w:val="00873914"/>
    <w:rsid w:val="0087436D"/>
    <w:rsid w:val="00875CF2"/>
    <w:rsid w:val="00876F11"/>
    <w:rsid w:val="00881AC3"/>
    <w:rsid w:val="00881B91"/>
    <w:rsid w:val="00883D1A"/>
    <w:rsid w:val="00886225"/>
    <w:rsid w:val="00886BE0"/>
    <w:rsid w:val="00887617"/>
    <w:rsid w:val="00887738"/>
    <w:rsid w:val="00890B44"/>
    <w:rsid w:val="008941C1"/>
    <w:rsid w:val="008948B0"/>
    <w:rsid w:val="0089559E"/>
    <w:rsid w:val="008A13AA"/>
    <w:rsid w:val="008A16A1"/>
    <w:rsid w:val="008A3FAA"/>
    <w:rsid w:val="008B0853"/>
    <w:rsid w:val="008B1ED1"/>
    <w:rsid w:val="008B2071"/>
    <w:rsid w:val="008B2971"/>
    <w:rsid w:val="008B3583"/>
    <w:rsid w:val="008B491A"/>
    <w:rsid w:val="008B56CE"/>
    <w:rsid w:val="008B6E07"/>
    <w:rsid w:val="008B6EF5"/>
    <w:rsid w:val="008B7C19"/>
    <w:rsid w:val="008C0DB6"/>
    <w:rsid w:val="008C197B"/>
    <w:rsid w:val="008C2186"/>
    <w:rsid w:val="008C275F"/>
    <w:rsid w:val="008C35B0"/>
    <w:rsid w:val="008C4E45"/>
    <w:rsid w:val="008C5862"/>
    <w:rsid w:val="008D0D73"/>
    <w:rsid w:val="008D0DBA"/>
    <w:rsid w:val="008D1045"/>
    <w:rsid w:val="008D28BA"/>
    <w:rsid w:val="008D2D7B"/>
    <w:rsid w:val="008D7654"/>
    <w:rsid w:val="008D7B09"/>
    <w:rsid w:val="008D7DDC"/>
    <w:rsid w:val="008D7E2E"/>
    <w:rsid w:val="008E03AB"/>
    <w:rsid w:val="008E0490"/>
    <w:rsid w:val="008E09B0"/>
    <w:rsid w:val="008E19F7"/>
    <w:rsid w:val="008E2679"/>
    <w:rsid w:val="008E2FAF"/>
    <w:rsid w:val="008E316F"/>
    <w:rsid w:val="008E56BA"/>
    <w:rsid w:val="008E7152"/>
    <w:rsid w:val="008E71C1"/>
    <w:rsid w:val="008F0DAE"/>
    <w:rsid w:val="008F3B34"/>
    <w:rsid w:val="008F4527"/>
    <w:rsid w:val="008F63E3"/>
    <w:rsid w:val="008F7443"/>
    <w:rsid w:val="00900479"/>
    <w:rsid w:val="009024DC"/>
    <w:rsid w:val="009043BC"/>
    <w:rsid w:val="009045A7"/>
    <w:rsid w:val="00904880"/>
    <w:rsid w:val="00907182"/>
    <w:rsid w:val="00907304"/>
    <w:rsid w:val="00910A2A"/>
    <w:rsid w:val="009115E2"/>
    <w:rsid w:val="00911BDB"/>
    <w:rsid w:val="00916D86"/>
    <w:rsid w:val="0092000E"/>
    <w:rsid w:val="00920B78"/>
    <w:rsid w:val="009237CE"/>
    <w:rsid w:val="00923B41"/>
    <w:rsid w:val="0092409B"/>
    <w:rsid w:val="009244A8"/>
    <w:rsid w:val="009245B3"/>
    <w:rsid w:val="009314E2"/>
    <w:rsid w:val="009359D4"/>
    <w:rsid w:val="0094216B"/>
    <w:rsid w:val="00946BB5"/>
    <w:rsid w:val="0095063E"/>
    <w:rsid w:val="009517C6"/>
    <w:rsid w:val="00953113"/>
    <w:rsid w:val="009535D9"/>
    <w:rsid w:val="00954EF7"/>
    <w:rsid w:val="0095513D"/>
    <w:rsid w:val="00955B64"/>
    <w:rsid w:val="00955F4E"/>
    <w:rsid w:val="00956FA5"/>
    <w:rsid w:val="009571A2"/>
    <w:rsid w:val="00957915"/>
    <w:rsid w:val="00960676"/>
    <w:rsid w:val="00961F12"/>
    <w:rsid w:val="00962D4E"/>
    <w:rsid w:val="0096319F"/>
    <w:rsid w:val="00963CD9"/>
    <w:rsid w:val="00964729"/>
    <w:rsid w:val="00965290"/>
    <w:rsid w:val="00965294"/>
    <w:rsid w:val="0096573F"/>
    <w:rsid w:val="00965D75"/>
    <w:rsid w:val="00965F6E"/>
    <w:rsid w:val="009661E1"/>
    <w:rsid w:val="009668D2"/>
    <w:rsid w:val="00966B25"/>
    <w:rsid w:val="0097081F"/>
    <w:rsid w:val="009721BF"/>
    <w:rsid w:val="009725E3"/>
    <w:rsid w:val="00973EE9"/>
    <w:rsid w:val="00974980"/>
    <w:rsid w:val="00976706"/>
    <w:rsid w:val="00983004"/>
    <w:rsid w:val="0098397D"/>
    <w:rsid w:val="009900D5"/>
    <w:rsid w:val="0099209C"/>
    <w:rsid w:val="00992CC4"/>
    <w:rsid w:val="00992F20"/>
    <w:rsid w:val="00993F86"/>
    <w:rsid w:val="009952F5"/>
    <w:rsid w:val="00995947"/>
    <w:rsid w:val="00995952"/>
    <w:rsid w:val="0099628D"/>
    <w:rsid w:val="009A1A1D"/>
    <w:rsid w:val="009A1ADE"/>
    <w:rsid w:val="009A2747"/>
    <w:rsid w:val="009A341C"/>
    <w:rsid w:val="009A4ABF"/>
    <w:rsid w:val="009B1AC2"/>
    <w:rsid w:val="009B2C48"/>
    <w:rsid w:val="009B3728"/>
    <w:rsid w:val="009B573F"/>
    <w:rsid w:val="009B6F45"/>
    <w:rsid w:val="009B7EEC"/>
    <w:rsid w:val="009C01AD"/>
    <w:rsid w:val="009C275F"/>
    <w:rsid w:val="009C67DC"/>
    <w:rsid w:val="009C7ADB"/>
    <w:rsid w:val="009C7B2F"/>
    <w:rsid w:val="009C7CB5"/>
    <w:rsid w:val="009C7F1F"/>
    <w:rsid w:val="009D0161"/>
    <w:rsid w:val="009D0ED8"/>
    <w:rsid w:val="009D15C7"/>
    <w:rsid w:val="009D2E2F"/>
    <w:rsid w:val="009D36FA"/>
    <w:rsid w:val="009D4F4B"/>
    <w:rsid w:val="009D5B22"/>
    <w:rsid w:val="009D6A5F"/>
    <w:rsid w:val="009D6FBC"/>
    <w:rsid w:val="009E0341"/>
    <w:rsid w:val="009E2A53"/>
    <w:rsid w:val="009E2E53"/>
    <w:rsid w:val="009E3C77"/>
    <w:rsid w:val="009E4371"/>
    <w:rsid w:val="009F1D7F"/>
    <w:rsid w:val="009F298D"/>
    <w:rsid w:val="009F2C89"/>
    <w:rsid w:val="009F3AF9"/>
    <w:rsid w:val="009F463B"/>
    <w:rsid w:val="009F4C9B"/>
    <w:rsid w:val="009F5647"/>
    <w:rsid w:val="009F59F5"/>
    <w:rsid w:val="009F6940"/>
    <w:rsid w:val="00A00621"/>
    <w:rsid w:val="00A00C78"/>
    <w:rsid w:val="00A02634"/>
    <w:rsid w:val="00A02E8C"/>
    <w:rsid w:val="00A03A71"/>
    <w:rsid w:val="00A04463"/>
    <w:rsid w:val="00A04DA5"/>
    <w:rsid w:val="00A0565A"/>
    <w:rsid w:val="00A06863"/>
    <w:rsid w:val="00A06BC6"/>
    <w:rsid w:val="00A0749E"/>
    <w:rsid w:val="00A10986"/>
    <w:rsid w:val="00A1119E"/>
    <w:rsid w:val="00A12EDB"/>
    <w:rsid w:val="00A13E56"/>
    <w:rsid w:val="00A13F3D"/>
    <w:rsid w:val="00A21C0E"/>
    <w:rsid w:val="00A22B6C"/>
    <w:rsid w:val="00A2490C"/>
    <w:rsid w:val="00A256DF"/>
    <w:rsid w:val="00A25D65"/>
    <w:rsid w:val="00A30010"/>
    <w:rsid w:val="00A3028B"/>
    <w:rsid w:val="00A30EFA"/>
    <w:rsid w:val="00A3432C"/>
    <w:rsid w:val="00A34C1D"/>
    <w:rsid w:val="00A360A9"/>
    <w:rsid w:val="00A3617B"/>
    <w:rsid w:val="00A3649A"/>
    <w:rsid w:val="00A37035"/>
    <w:rsid w:val="00A37082"/>
    <w:rsid w:val="00A415A7"/>
    <w:rsid w:val="00A41A6E"/>
    <w:rsid w:val="00A41B27"/>
    <w:rsid w:val="00A41E2B"/>
    <w:rsid w:val="00A43185"/>
    <w:rsid w:val="00A43ABA"/>
    <w:rsid w:val="00A446BD"/>
    <w:rsid w:val="00A4497A"/>
    <w:rsid w:val="00A44E00"/>
    <w:rsid w:val="00A47A19"/>
    <w:rsid w:val="00A523B1"/>
    <w:rsid w:val="00A542BA"/>
    <w:rsid w:val="00A54321"/>
    <w:rsid w:val="00A55FE4"/>
    <w:rsid w:val="00A604DD"/>
    <w:rsid w:val="00A607D0"/>
    <w:rsid w:val="00A636FA"/>
    <w:rsid w:val="00A66AF2"/>
    <w:rsid w:val="00A67137"/>
    <w:rsid w:val="00A67DBD"/>
    <w:rsid w:val="00A70150"/>
    <w:rsid w:val="00A715EC"/>
    <w:rsid w:val="00A71B21"/>
    <w:rsid w:val="00A73712"/>
    <w:rsid w:val="00A74574"/>
    <w:rsid w:val="00A74B27"/>
    <w:rsid w:val="00A75D05"/>
    <w:rsid w:val="00A77B57"/>
    <w:rsid w:val="00A8046A"/>
    <w:rsid w:val="00A8068F"/>
    <w:rsid w:val="00A80C91"/>
    <w:rsid w:val="00A80ECB"/>
    <w:rsid w:val="00A826F3"/>
    <w:rsid w:val="00A8374C"/>
    <w:rsid w:val="00A85C23"/>
    <w:rsid w:val="00A86E5B"/>
    <w:rsid w:val="00A87A19"/>
    <w:rsid w:val="00A92564"/>
    <w:rsid w:val="00A93DB3"/>
    <w:rsid w:val="00A946CB"/>
    <w:rsid w:val="00A94E5E"/>
    <w:rsid w:val="00A95C1F"/>
    <w:rsid w:val="00A964B5"/>
    <w:rsid w:val="00A96A83"/>
    <w:rsid w:val="00A978BB"/>
    <w:rsid w:val="00AA0779"/>
    <w:rsid w:val="00AA10B1"/>
    <w:rsid w:val="00AA146A"/>
    <w:rsid w:val="00AA2E6E"/>
    <w:rsid w:val="00AA67FC"/>
    <w:rsid w:val="00AA6D6C"/>
    <w:rsid w:val="00AB006A"/>
    <w:rsid w:val="00AB1A83"/>
    <w:rsid w:val="00AB60A2"/>
    <w:rsid w:val="00AB66FC"/>
    <w:rsid w:val="00AB720D"/>
    <w:rsid w:val="00AC23BC"/>
    <w:rsid w:val="00AC3037"/>
    <w:rsid w:val="00AC334A"/>
    <w:rsid w:val="00AC4927"/>
    <w:rsid w:val="00AC4FF9"/>
    <w:rsid w:val="00AC7187"/>
    <w:rsid w:val="00AD06F0"/>
    <w:rsid w:val="00AD1BCC"/>
    <w:rsid w:val="00AD2938"/>
    <w:rsid w:val="00AD59CE"/>
    <w:rsid w:val="00AD60DC"/>
    <w:rsid w:val="00AD7E74"/>
    <w:rsid w:val="00AE1010"/>
    <w:rsid w:val="00AE14C9"/>
    <w:rsid w:val="00AE1983"/>
    <w:rsid w:val="00AE4651"/>
    <w:rsid w:val="00AE4E3E"/>
    <w:rsid w:val="00AE75EE"/>
    <w:rsid w:val="00AF00FC"/>
    <w:rsid w:val="00AF01B9"/>
    <w:rsid w:val="00AF0E1F"/>
    <w:rsid w:val="00AF1436"/>
    <w:rsid w:val="00AF17DE"/>
    <w:rsid w:val="00AF1DCB"/>
    <w:rsid w:val="00AF6E66"/>
    <w:rsid w:val="00AF7A9C"/>
    <w:rsid w:val="00AF7D78"/>
    <w:rsid w:val="00B00326"/>
    <w:rsid w:val="00B0209B"/>
    <w:rsid w:val="00B12F14"/>
    <w:rsid w:val="00B138FB"/>
    <w:rsid w:val="00B14869"/>
    <w:rsid w:val="00B175D0"/>
    <w:rsid w:val="00B214B9"/>
    <w:rsid w:val="00B21C6C"/>
    <w:rsid w:val="00B2430D"/>
    <w:rsid w:val="00B26243"/>
    <w:rsid w:val="00B26360"/>
    <w:rsid w:val="00B31CC6"/>
    <w:rsid w:val="00B339C5"/>
    <w:rsid w:val="00B357B6"/>
    <w:rsid w:val="00B35945"/>
    <w:rsid w:val="00B36B67"/>
    <w:rsid w:val="00B3757A"/>
    <w:rsid w:val="00B4095C"/>
    <w:rsid w:val="00B40FF2"/>
    <w:rsid w:val="00B4244D"/>
    <w:rsid w:val="00B42C85"/>
    <w:rsid w:val="00B44C6E"/>
    <w:rsid w:val="00B4558D"/>
    <w:rsid w:val="00B45D8C"/>
    <w:rsid w:val="00B46D1D"/>
    <w:rsid w:val="00B46F72"/>
    <w:rsid w:val="00B47EB9"/>
    <w:rsid w:val="00B53939"/>
    <w:rsid w:val="00B552BF"/>
    <w:rsid w:val="00B622D4"/>
    <w:rsid w:val="00B64173"/>
    <w:rsid w:val="00B65699"/>
    <w:rsid w:val="00B66CB8"/>
    <w:rsid w:val="00B670FD"/>
    <w:rsid w:val="00B70239"/>
    <w:rsid w:val="00B71C5E"/>
    <w:rsid w:val="00B72321"/>
    <w:rsid w:val="00B77DA3"/>
    <w:rsid w:val="00B8067B"/>
    <w:rsid w:val="00B818C8"/>
    <w:rsid w:val="00B826AB"/>
    <w:rsid w:val="00B827D5"/>
    <w:rsid w:val="00B82F20"/>
    <w:rsid w:val="00B831FB"/>
    <w:rsid w:val="00B86FC7"/>
    <w:rsid w:val="00B9053E"/>
    <w:rsid w:val="00B90B10"/>
    <w:rsid w:val="00B90C77"/>
    <w:rsid w:val="00B91A2A"/>
    <w:rsid w:val="00B91F4B"/>
    <w:rsid w:val="00B92961"/>
    <w:rsid w:val="00B932EE"/>
    <w:rsid w:val="00B9493B"/>
    <w:rsid w:val="00B95F3B"/>
    <w:rsid w:val="00B96A21"/>
    <w:rsid w:val="00BA066B"/>
    <w:rsid w:val="00BA2349"/>
    <w:rsid w:val="00BA2AC1"/>
    <w:rsid w:val="00BA3096"/>
    <w:rsid w:val="00BA5C2B"/>
    <w:rsid w:val="00BA6228"/>
    <w:rsid w:val="00BA6404"/>
    <w:rsid w:val="00BA689D"/>
    <w:rsid w:val="00BA73E1"/>
    <w:rsid w:val="00BB2E7F"/>
    <w:rsid w:val="00BB4A4F"/>
    <w:rsid w:val="00BB5898"/>
    <w:rsid w:val="00BB6F3D"/>
    <w:rsid w:val="00BB79F6"/>
    <w:rsid w:val="00BC1A51"/>
    <w:rsid w:val="00BC1AFB"/>
    <w:rsid w:val="00BC3928"/>
    <w:rsid w:val="00BC3999"/>
    <w:rsid w:val="00BC51B5"/>
    <w:rsid w:val="00BC6A12"/>
    <w:rsid w:val="00BD0DF4"/>
    <w:rsid w:val="00BD17FD"/>
    <w:rsid w:val="00BD2731"/>
    <w:rsid w:val="00BD45B8"/>
    <w:rsid w:val="00BD48FE"/>
    <w:rsid w:val="00BD5A1C"/>
    <w:rsid w:val="00BD66C9"/>
    <w:rsid w:val="00BD7118"/>
    <w:rsid w:val="00BD7C26"/>
    <w:rsid w:val="00BD7C79"/>
    <w:rsid w:val="00BE06AE"/>
    <w:rsid w:val="00BE1C4F"/>
    <w:rsid w:val="00BE2D8D"/>
    <w:rsid w:val="00BE3F4F"/>
    <w:rsid w:val="00BE4F6D"/>
    <w:rsid w:val="00BE5382"/>
    <w:rsid w:val="00BE53BF"/>
    <w:rsid w:val="00BE669C"/>
    <w:rsid w:val="00BE6CD1"/>
    <w:rsid w:val="00BE73A3"/>
    <w:rsid w:val="00BE7A48"/>
    <w:rsid w:val="00BE7D8E"/>
    <w:rsid w:val="00BF1F72"/>
    <w:rsid w:val="00BF2182"/>
    <w:rsid w:val="00BF2211"/>
    <w:rsid w:val="00BF2BD0"/>
    <w:rsid w:val="00BF3029"/>
    <w:rsid w:val="00BF6FD3"/>
    <w:rsid w:val="00BF785A"/>
    <w:rsid w:val="00BF7CEF"/>
    <w:rsid w:val="00C00FF4"/>
    <w:rsid w:val="00C030F5"/>
    <w:rsid w:val="00C04129"/>
    <w:rsid w:val="00C0434F"/>
    <w:rsid w:val="00C077BA"/>
    <w:rsid w:val="00C11F54"/>
    <w:rsid w:val="00C1486F"/>
    <w:rsid w:val="00C1550E"/>
    <w:rsid w:val="00C20CA8"/>
    <w:rsid w:val="00C212BD"/>
    <w:rsid w:val="00C22714"/>
    <w:rsid w:val="00C233EC"/>
    <w:rsid w:val="00C234D0"/>
    <w:rsid w:val="00C242AA"/>
    <w:rsid w:val="00C242C1"/>
    <w:rsid w:val="00C268B1"/>
    <w:rsid w:val="00C26CF1"/>
    <w:rsid w:val="00C270CE"/>
    <w:rsid w:val="00C30A18"/>
    <w:rsid w:val="00C30F51"/>
    <w:rsid w:val="00C3131A"/>
    <w:rsid w:val="00C32535"/>
    <w:rsid w:val="00C33218"/>
    <w:rsid w:val="00C34C06"/>
    <w:rsid w:val="00C35095"/>
    <w:rsid w:val="00C36558"/>
    <w:rsid w:val="00C36ED0"/>
    <w:rsid w:val="00C40410"/>
    <w:rsid w:val="00C410D6"/>
    <w:rsid w:val="00C42D05"/>
    <w:rsid w:val="00C43144"/>
    <w:rsid w:val="00C44361"/>
    <w:rsid w:val="00C45728"/>
    <w:rsid w:val="00C46C9C"/>
    <w:rsid w:val="00C52761"/>
    <w:rsid w:val="00C5421F"/>
    <w:rsid w:val="00C542C3"/>
    <w:rsid w:val="00C54C36"/>
    <w:rsid w:val="00C55B26"/>
    <w:rsid w:val="00C573C0"/>
    <w:rsid w:val="00C612BD"/>
    <w:rsid w:val="00C6138C"/>
    <w:rsid w:val="00C617CC"/>
    <w:rsid w:val="00C651C4"/>
    <w:rsid w:val="00C65BB5"/>
    <w:rsid w:val="00C70755"/>
    <w:rsid w:val="00C736D8"/>
    <w:rsid w:val="00C73D1C"/>
    <w:rsid w:val="00C73F1D"/>
    <w:rsid w:val="00C73F3E"/>
    <w:rsid w:val="00C73F6B"/>
    <w:rsid w:val="00C756A8"/>
    <w:rsid w:val="00C75F7A"/>
    <w:rsid w:val="00C76B57"/>
    <w:rsid w:val="00C77A71"/>
    <w:rsid w:val="00C801A3"/>
    <w:rsid w:val="00C803AE"/>
    <w:rsid w:val="00C81B5F"/>
    <w:rsid w:val="00C81BBC"/>
    <w:rsid w:val="00C81C2D"/>
    <w:rsid w:val="00C8235E"/>
    <w:rsid w:val="00C83253"/>
    <w:rsid w:val="00C832DA"/>
    <w:rsid w:val="00C83354"/>
    <w:rsid w:val="00C8764F"/>
    <w:rsid w:val="00C90279"/>
    <w:rsid w:val="00C9143F"/>
    <w:rsid w:val="00C9216B"/>
    <w:rsid w:val="00CA00B2"/>
    <w:rsid w:val="00CA41D3"/>
    <w:rsid w:val="00CA544E"/>
    <w:rsid w:val="00CA7119"/>
    <w:rsid w:val="00CA7665"/>
    <w:rsid w:val="00CB05E9"/>
    <w:rsid w:val="00CB1642"/>
    <w:rsid w:val="00CB22F4"/>
    <w:rsid w:val="00CB3078"/>
    <w:rsid w:val="00CB406C"/>
    <w:rsid w:val="00CB4483"/>
    <w:rsid w:val="00CB4F5B"/>
    <w:rsid w:val="00CB5548"/>
    <w:rsid w:val="00CC17A0"/>
    <w:rsid w:val="00CC346E"/>
    <w:rsid w:val="00CC3E3C"/>
    <w:rsid w:val="00CC4111"/>
    <w:rsid w:val="00CD034C"/>
    <w:rsid w:val="00CD0A38"/>
    <w:rsid w:val="00CD2938"/>
    <w:rsid w:val="00CD3DF4"/>
    <w:rsid w:val="00CD514C"/>
    <w:rsid w:val="00CD5E94"/>
    <w:rsid w:val="00CE00A0"/>
    <w:rsid w:val="00CE146D"/>
    <w:rsid w:val="00CE16BB"/>
    <w:rsid w:val="00CE1CDE"/>
    <w:rsid w:val="00CE1FC1"/>
    <w:rsid w:val="00CE36A6"/>
    <w:rsid w:val="00CE3D7A"/>
    <w:rsid w:val="00CE4A76"/>
    <w:rsid w:val="00CE5258"/>
    <w:rsid w:val="00CE69F6"/>
    <w:rsid w:val="00CE70E0"/>
    <w:rsid w:val="00CE7562"/>
    <w:rsid w:val="00CF446B"/>
    <w:rsid w:val="00CF4770"/>
    <w:rsid w:val="00CF4B40"/>
    <w:rsid w:val="00CF7719"/>
    <w:rsid w:val="00D007BA"/>
    <w:rsid w:val="00D00B0C"/>
    <w:rsid w:val="00D0110A"/>
    <w:rsid w:val="00D04E03"/>
    <w:rsid w:val="00D07D07"/>
    <w:rsid w:val="00D10AE4"/>
    <w:rsid w:val="00D11052"/>
    <w:rsid w:val="00D164F4"/>
    <w:rsid w:val="00D17558"/>
    <w:rsid w:val="00D20F0F"/>
    <w:rsid w:val="00D222FB"/>
    <w:rsid w:val="00D24632"/>
    <w:rsid w:val="00D2488C"/>
    <w:rsid w:val="00D254E7"/>
    <w:rsid w:val="00D27304"/>
    <w:rsid w:val="00D30B17"/>
    <w:rsid w:val="00D316CD"/>
    <w:rsid w:val="00D3339C"/>
    <w:rsid w:val="00D33DA9"/>
    <w:rsid w:val="00D35351"/>
    <w:rsid w:val="00D366F8"/>
    <w:rsid w:val="00D40E08"/>
    <w:rsid w:val="00D41CCE"/>
    <w:rsid w:val="00D450DF"/>
    <w:rsid w:val="00D45A85"/>
    <w:rsid w:val="00D4769C"/>
    <w:rsid w:val="00D503D4"/>
    <w:rsid w:val="00D5084F"/>
    <w:rsid w:val="00D508B9"/>
    <w:rsid w:val="00D50FD0"/>
    <w:rsid w:val="00D51A75"/>
    <w:rsid w:val="00D51CEB"/>
    <w:rsid w:val="00D52309"/>
    <w:rsid w:val="00D551C2"/>
    <w:rsid w:val="00D55C45"/>
    <w:rsid w:val="00D56C59"/>
    <w:rsid w:val="00D5775F"/>
    <w:rsid w:val="00D60858"/>
    <w:rsid w:val="00D60944"/>
    <w:rsid w:val="00D61725"/>
    <w:rsid w:val="00D62CF4"/>
    <w:rsid w:val="00D62D18"/>
    <w:rsid w:val="00D63891"/>
    <w:rsid w:val="00D63B9F"/>
    <w:rsid w:val="00D64C88"/>
    <w:rsid w:val="00D67CEC"/>
    <w:rsid w:val="00D7296B"/>
    <w:rsid w:val="00D732AB"/>
    <w:rsid w:val="00D73AE0"/>
    <w:rsid w:val="00D747C6"/>
    <w:rsid w:val="00D74D2F"/>
    <w:rsid w:val="00D755E3"/>
    <w:rsid w:val="00D7675F"/>
    <w:rsid w:val="00D76FDC"/>
    <w:rsid w:val="00D80487"/>
    <w:rsid w:val="00D81240"/>
    <w:rsid w:val="00D83B47"/>
    <w:rsid w:val="00D85DB7"/>
    <w:rsid w:val="00D90271"/>
    <w:rsid w:val="00D90DFF"/>
    <w:rsid w:val="00D9187F"/>
    <w:rsid w:val="00D932E4"/>
    <w:rsid w:val="00D93F41"/>
    <w:rsid w:val="00D94840"/>
    <w:rsid w:val="00D94A69"/>
    <w:rsid w:val="00D961D4"/>
    <w:rsid w:val="00D96C9A"/>
    <w:rsid w:val="00DA1D19"/>
    <w:rsid w:val="00DA1EA3"/>
    <w:rsid w:val="00DA2998"/>
    <w:rsid w:val="00DA2A31"/>
    <w:rsid w:val="00DA3F8D"/>
    <w:rsid w:val="00DA4312"/>
    <w:rsid w:val="00DA5BAA"/>
    <w:rsid w:val="00DA629A"/>
    <w:rsid w:val="00DA6D81"/>
    <w:rsid w:val="00DA749B"/>
    <w:rsid w:val="00DB03C6"/>
    <w:rsid w:val="00DB0CAD"/>
    <w:rsid w:val="00DB1E9A"/>
    <w:rsid w:val="00DB38A4"/>
    <w:rsid w:val="00DB57EB"/>
    <w:rsid w:val="00DB7CD0"/>
    <w:rsid w:val="00DC184E"/>
    <w:rsid w:val="00DC1D6F"/>
    <w:rsid w:val="00DC4134"/>
    <w:rsid w:val="00DC4A5B"/>
    <w:rsid w:val="00DC7241"/>
    <w:rsid w:val="00DC74DE"/>
    <w:rsid w:val="00DD041B"/>
    <w:rsid w:val="00DD3461"/>
    <w:rsid w:val="00DD55CC"/>
    <w:rsid w:val="00DD6FD5"/>
    <w:rsid w:val="00DD7234"/>
    <w:rsid w:val="00DD7B13"/>
    <w:rsid w:val="00DD7DBE"/>
    <w:rsid w:val="00DD7ECA"/>
    <w:rsid w:val="00DE1E2A"/>
    <w:rsid w:val="00DE34F8"/>
    <w:rsid w:val="00DE38B9"/>
    <w:rsid w:val="00DE4A00"/>
    <w:rsid w:val="00DE52AF"/>
    <w:rsid w:val="00DE639A"/>
    <w:rsid w:val="00DF0A6D"/>
    <w:rsid w:val="00DF3ACF"/>
    <w:rsid w:val="00DF47E6"/>
    <w:rsid w:val="00DF51B5"/>
    <w:rsid w:val="00DF5756"/>
    <w:rsid w:val="00DF5B8F"/>
    <w:rsid w:val="00DF5DAF"/>
    <w:rsid w:val="00DF66D6"/>
    <w:rsid w:val="00DF72CF"/>
    <w:rsid w:val="00E00A37"/>
    <w:rsid w:val="00E04773"/>
    <w:rsid w:val="00E05011"/>
    <w:rsid w:val="00E0579C"/>
    <w:rsid w:val="00E05A77"/>
    <w:rsid w:val="00E05B77"/>
    <w:rsid w:val="00E078F5"/>
    <w:rsid w:val="00E10820"/>
    <w:rsid w:val="00E11208"/>
    <w:rsid w:val="00E13714"/>
    <w:rsid w:val="00E137A9"/>
    <w:rsid w:val="00E13E6A"/>
    <w:rsid w:val="00E201D2"/>
    <w:rsid w:val="00E214B7"/>
    <w:rsid w:val="00E22A15"/>
    <w:rsid w:val="00E24BC8"/>
    <w:rsid w:val="00E26219"/>
    <w:rsid w:val="00E3102A"/>
    <w:rsid w:val="00E31A6C"/>
    <w:rsid w:val="00E325FE"/>
    <w:rsid w:val="00E34577"/>
    <w:rsid w:val="00E351DA"/>
    <w:rsid w:val="00E41013"/>
    <w:rsid w:val="00E41B3B"/>
    <w:rsid w:val="00E4243A"/>
    <w:rsid w:val="00E426A1"/>
    <w:rsid w:val="00E42BCE"/>
    <w:rsid w:val="00E45931"/>
    <w:rsid w:val="00E479BC"/>
    <w:rsid w:val="00E50A72"/>
    <w:rsid w:val="00E53343"/>
    <w:rsid w:val="00E557CA"/>
    <w:rsid w:val="00E55F11"/>
    <w:rsid w:val="00E5623A"/>
    <w:rsid w:val="00E56521"/>
    <w:rsid w:val="00E61855"/>
    <w:rsid w:val="00E639DE"/>
    <w:rsid w:val="00E64E17"/>
    <w:rsid w:val="00E65148"/>
    <w:rsid w:val="00E6653A"/>
    <w:rsid w:val="00E6694F"/>
    <w:rsid w:val="00E67033"/>
    <w:rsid w:val="00E70105"/>
    <w:rsid w:val="00E72E65"/>
    <w:rsid w:val="00E75026"/>
    <w:rsid w:val="00E75998"/>
    <w:rsid w:val="00E75F98"/>
    <w:rsid w:val="00E76D4E"/>
    <w:rsid w:val="00E77457"/>
    <w:rsid w:val="00E776CA"/>
    <w:rsid w:val="00E8272F"/>
    <w:rsid w:val="00E842E9"/>
    <w:rsid w:val="00E84387"/>
    <w:rsid w:val="00E856B5"/>
    <w:rsid w:val="00E86D27"/>
    <w:rsid w:val="00E86D98"/>
    <w:rsid w:val="00E8766A"/>
    <w:rsid w:val="00E90C30"/>
    <w:rsid w:val="00E92F15"/>
    <w:rsid w:val="00E93CEB"/>
    <w:rsid w:val="00E93E6B"/>
    <w:rsid w:val="00E95C9C"/>
    <w:rsid w:val="00E9604D"/>
    <w:rsid w:val="00E9755F"/>
    <w:rsid w:val="00E9797B"/>
    <w:rsid w:val="00E97D89"/>
    <w:rsid w:val="00EA2FCE"/>
    <w:rsid w:val="00EA366D"/>
    <w:rsid w:val="00EA37AB"/>
    <w:rsid w:val="00EA3BED"/>
    <w:rsid w:val="00EA3C50"/>
    <w:rsid w:val="00EA417B"/>
    <w:rsid w:val="00EA7539"/>
    <w:rsid w:val="00EB3073"/>
    <w:rsid w:val="00EB3307"/>
    <w:rsid w:val="00EB3603"/>
    <w:rsid w:val="00EB400D"/>
    <w:rsid w:val="00EB46E0"/>
    <w:rsid w:val="00EB4C47"/>
    <w:rsid w:val="00EB4D97"/>
    <w:rsid w:val="00EB546A"/>
    <w:rsid w:val="00EB54C1"/>
    <w:rsid w:val="00EB5DAD"/>
    <w:rsid w:val="00EB6A12"/>
    <w:rsid w:val="00EB6C87"/>
    <w:rsid w:val="00EB7E00"/>
    <w:rsid w:val="00EC0D2C"/>
    <w:rsid w:val="00EC323B"/>
    <w:rsid w:val="00EC4533"/>
    <w:rsid w:val="00EC4BA4"/>
    <w:rsid w:val="00EC5606"/>
    <w:rsid w:val="00EC5BB6"/>
    <w:rsid w:val="00EC649C"/>
    <w:rsid w:val="00EC71D0"/>
    <w:rsid w:val="00EC72C8"/>
    <w:rsid w:val="00EC779A"/>
    <w:rsid w:val="00ED00E1"/>
    <w:rsid w:val="00ED07A0"/>
    <w:rsid w:val="00ED47A3"/>
    <w:rsid w:val="00ED5C10"/>
    <w:rsid w:val="00ED79C0"/>
    <w:rsid w:val="00EE12F3"/>
    <w:rsid w:val="00EE1499"/>
    <w:rsid w:val="00EE215F"/>
    <w:rsid w:val="00EE21A1"/>
    <w:rsid w:val="00EE2AA2"/>
    <w:rsid w:val="00EE3A3F"/>
    <w:rsid w:val="00EE461E"/>
    <w:rsid w:val="00EE4FFB"/>
    <w:rsid w:val="00EE5E16"/>
    <w:rsid w:val="00EE64D7"/>
    <w:rsid w:val="00EE6A0B"/>
    <w:rsid w:val="00EE7E6B"/>
    <w:rsid w:val="00EE7FCA"/>
    <w:rsid w:val="00EF0C08"/>
    <w:rsid w:val="00EF0E47"/>
    <w:rsid w:val="00EF234C"/>
    <w:rsid w:val="00EF3B14"/>
    <w:rsid w:val="00EF42B7"/>
    <w:rsid w:val="00EF51F9"/>
    <w:rsid w:val="00EF57C1"/>
    <w:rsid w:val="00EF6986"/>
    <w:rsid w:val="00F0175F"/>
    <w:rsid w:val="00F01E7C"/>
    <w:rsid w:val="00F0216C"/>
    <w:rsid w:val="00F05C41"/>
    <w:rsid w:val="00F06187"/>
    <w:rsid w:val="00F105E2"/>
    <w:rsid w:val="00F106C5"/>
    <w:rsid w:val="00F107F9"/>
    <w:rsid w:val="00F113BD"/>
    <w:rsid w:val="00F1224A"/>
    <w:rsid w:val="00F12382"/>
    <w:rsid w:val="00F13FB8"/>
    <w:rsid w:val="00F16620"/>
    <w:rsid w:val="00F166E4"/>
    <w:rsid w:val="00F16839"/>
    <w:rsid w:val="00F16A7D"/>
    <w:rsid w:val="00F20BB0"/>
    <w:rsid w:val="00F21BC3"/>
    <w:rsid w:val="00F22208"/>
    <w:rsid w:val="00F24ABE"/>
    <w:rsid w:val="00F2633F"/>
    <w:rsid w:val="00F2646D"/>
    <w:rsid w:val="00F264E0"/>
    <w:rsid w:val="00F26C4A"/>
    <w:rsid w:val="00F27401"/>
    <w:rsid w:val="00F27FE2"/>
    <w:rsid w:val="00F30202"/>
    <w:rsid w:val="00F314F5"/>
    <w:rsid w:val="00F31DAE"/>
    <w:rsid w:val="00F34B59"/>
    <w:rsid w:val="00F37064"/>
    <w:rsid w:val="00F4138A"/>
    <w:rsid w:val="00F42379"/>
    <w:rsid w:val="00F42DD8"/>
    <w:rsid w:val="00F4601F"/>
    <w:rsid w:val="00F46A5A"/>
    <w:rsid w:val="00F46ACC"/>
    <w:rsid w:val="00F50C30"/>
    <w:rsid w:val="00F51313"/>
    <w:rsid w:val="00F51C8D"/>
    <w:rsid w:val="00F53701"/>
    <w:rsid w:val="00F53E95"/>
    <w:rsid w:val="00F54BEF"/>
    <w:rsid w:val="00F61EF6"/>
    <w:rsid w:val="00F62D5E"/>
    <w:rsid w:val="00F648BF"/>
    <w:rsid w:val="00F65E31"/>
    <w:rsid w:val="00F6613F"/>
    <w:rsid w:val="00F66CC4"/>
    <w:rsid w:val="00F729F6"/>
    <w:rsid w:val="00F73BBD"/>
    <w:rsid w:val="00F75C79"/>
    <w:rsid w:val="00F76E15"/>
    <w:rsid w:val="00F80812"/>
    <w:rsid w:val="00F815B9"/>
    <w:rsid w:val="00F81FA3"/>
    <w:rsid w:val="00F843FF"/>
    <w:rsid w:val="00F84643"/>
    <w:rsid w:val="00F8476F"/>
    <w:rsid w:val="00F858D9"/>
    <w:rsid w:val="00F85DCC"/>
    <w:rsid w:val="00F8729A"/>
    <w:rsid w:val="00F90657"/>
    <w:rsid w:val="00F9066F"/>
    <w:rsid w:val="00F92FC1"/>
    <w:rsid w:val="00F9350E"/>
    <w:rsid w:val="00F948F4"/>
    <w:rsid w:val="00F97A6F"/>
    <w:rsid w:val="00FA01FA"/>
    <w:rsid w:val="00FA19AC"/>
    <w:rsid w:val="00FA4C62"/>
    <w:rsid w:val="00FA5582"/>
    <w:rsid w:val="00FA57AA"/>
    <w:rsid w:val="00FB2A84"/>
    <w:rsid w:val="00FB41B0"/>
    <w:rsid w:val="00FB44CD"/>
    <w:rsid w:val="00FB7008"/>
    <w:rsid w:val="00FB7AC0"/>
    <w:rsid w:val="00FC19D1"/>
    <w:rsid w:val="00FC1AE3"/>
    <w:rsid w:val="00FC34C9"/>
    <w:rsid w:val="00FC3885"/>
    <w:rsid w:val="00FC5A75"/>
    <w:rsid w:val="00FC6146"/>
    <w:rsid w:val="00FD064D"/>
    <w:rsid w:val="00FD3817"/>
    <w:rsid w:val="00FD3A46"/>
    <w:rsid w:val="00FD5F57"/>
    <w:rsid w:val="00FD6313"/>
    <w:rsid w:val="00FD6A41"/>
    <w:rsid w:val="00FD6A8F"/>
    <w:rsid w:val="00FE1005"/>
    <w:rsid w:val="00FE490B"/>
    <w:rsid w:val="00FE5A2D"/>
    <w:rsid w:val="00FE7B70"/>
    <w:rsid w:val="00FF2F4B"/>
    <w:rsid w:val="00FF53E5"/>
    <w:rsid w:val="00FF5A68"/>
    <w:rsid w:val="00FF7212"/>
    <w:rsid w:val="00FF748E"/>
    <w:rsid w:val="00FF77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A54"/>
    <w:pPr>
      <w:spacing w:line="240" w:lineRule="atLeast"/>
    </w:pPr>
    <w:rPr>
      <w:rFonts w:ascii="Garamond" w:hAnsi="Garamond"/>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rsid w:val="007F3A54"/>
    <w:pPr>
      <w:tabs>
        <w:tab w:val="center" w:pos="4320"/>
        <w:tab w:val="right" w:pos="8640"/>
      </w:tabs>
    </w:pPr>
  </w:style>
  <w:style w:type="paragraph" w:styleId="FootnoteText">
    <w:name w:val="footnote text"/>
    <w:aliases w:val="F1"/>
    <w:link w:val="FootnoteTextChar"/>
    <w:uiPriority w:val="99"/>
    <w:semiHidden/>
    <w:rsid w:val="007F3A54"/>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2"/>
      </w:numPr>
      <w:spacing w:after="240"/>
    </w:pPr>
  </w:style>
  <w:style w:type="paragraph" w:customStyle="1" w:styleId="N2-2ndBullet">
    <w:name w:val="N2-2nd Bullet"/>
    <w:basedOn w:val="Normal"/>
    <w:rsid w:val="007F3A54"/>
    <w:pPr>
      <w:numPr>
        <w:numId w:val="3"/>
      </w:numPr>
      <w:spacing w:after="240"/>
    </w:pPr>
  </w:style>
  <w:style w:type="paragraph" w:customStyle="1" w:styleId="N3-3rdBullet">
    <w:name w:val="N3-3rd Bullet"/>
    <w:basedOn w:val="Normal"/>
    <w:rsid w:val="007F3A54"/>
    <w:pPr>
      <w:numPr>
        <w:numId w:val="4"/>
      </w:numPr>
      <w:spacing w:after="240"/>
    </w:pPr>
  </w:style>
  <w:style w:type="paragraph" w:customStyle="1" w:styleId="N4-4thBullet">
    <w:name w:val="N4-4th Bullet"/>
    <w:basedOn w:val="Normal"/>
    <w:rsid w:val="007F3A54"/>
    <w:pPr>
      <w:numPr>
        <w:numId w:val="5"/>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noteTextChar">
    <w:name w:val="Footnote Text Char"/>
    <w:aliases w:val="F1 Char"/>
    <w:basedOn w:val="DefaultParagraphFont"/>
    <w:link w:val="FootnoteText"/>
    <w:uiPriority w:val="99"/>
    <w:semiHidden/>
    <w:rsid w:val="006D3765"/>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semiHidden/>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6"/>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s>
</file>

<file path=word/webSettings.xml><?xml version="1.0" encoding="utf-8"?>
<w:webSettings xmlns:r="http://schemas.openxmlformats.org/officeDocument/2006/relationships" xmlns:w="http://schemas.openxmlformats.org/wordprocessingml/2006/main">
  <w:divs>
    <w:div w:id="530652989">
      <w:bodyDiv w:val="1"/>
      <w:marLeft w:val="0"/>
      <w:marRight w:val="0"/>
      <w:marTop w:val="0"/>
      <w:marBottom w:val="0"/>
      <w:divBdr>
        <w:top w:val="none" w:sz="0" w:space="0" w:color="auto"/>
        <w:left w:val="none" w:sz="0" w:space="0" w:color="auto"/>
        <w:bottom w:val="none" w:sz="0" w:space="0" w:color="auto"/>
        <w:right w:val="none" w:sz="0" w:space="0" w:color="auto"/>
      </w:divBdr>
    </w:div>
    <w:div w:id="1335305586">
      <w:bodyDiv w:val="1"/>
      <w:marLeft w:val="0"/>
      <w:marRight w:val="0"/>
      <w:marTop w:val="0"/>
      <w:marBottom w:val="0"/>
      <w:divBdr>
        <w:top w:val="none" w:sz="0" w:space="0" w:color="auto"/>
        <w:left w:val="none" w:sz="0" w:space="0" w:color="auto"/>
        <w:bottom w:val="none" w:sz="0" w:space="0" w:color="auto"/>
        <w:right w:val="none" w:sz="0" w:space="0" w:color="auto"/>
      </w:divBdr>
    </w:div>
    <w:div w:id="166678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ynthiaThomas@westa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mChu@Westat.co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anitaLucas-McLean@Westat.com" TargetMode="External"/><Relationship Id="rId5" Type="http://schemas.openxmlformats.org/officeDocument/2006/relationships/webSettings" Target="webSettings.xml"/><Relationship Id="rId15" Type="http://schemas.openxmlformats.org/officeDocument/2006/relationships/hyperlink" Target="mailto:Jennifer_rhorer@nass.usda.gov"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john.endahl@fn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BFF89-784C-4022-8F68-43CD82E2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4603</Words>
  <Characters>24883</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Freeland_s</dc:creator>
  <cp:keywords/>
  <dc:description/>
  <cp:lastModifiedBy>jendahl</cp:lastModifiedBy>
  <cp:revision>2</cp:revision>
  <cp:lastPrinted>2011-01-31T19:43:00Z</cp:lastPrinted>
  <dcterms:created xsi:type="dcterms:W3CDTF">2011-08-31T20:21:00Z</dcterms:created>
  <dcterms:modified xsi:type="dcterms:W3CDTF">2011-08-31T20:21:00Z</dcterms:modified>
</cp:coreProperties>
</file>