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FB" w:rsidRDefault="007915FB">
      <w:pPr>
        <w:pStyle w:val="BodyText2"/>
      </w:pPr>
      <w:r>
        <w:t xml:space="preserve"> SUPPORTING STATEMENT FOR NEW AND REVISED INFORMATION COLLECTIONS</w:t>
      </w:r>
    </w:p>
    <w:p w:rsidR="007915FB" w:rsidRDefault="007915FB">
      <w:pPr>
        <w:suppressAutoHyphens/>
        <w:rPr>
          <w:sz w:val="25"/>
        </w:rPr>
      </w:pPr>
    </w:p>
    <w:p w:rsidR="007915FB" w:rsidRDefault="007915FB">
      <w:pPr>
        <w:tabs>
          <w:tab w:val="center" w:pos="4680"/>
        </w:tabs>
        <w:suppressAutoHyphens/>
        <w:rPr>
          <w:sz w:val="25"/>
        </w:rPr>
      </w:pPr>
      <w:r>
        <w:rPr>
          <w:sz w:val="25"/>
        </w:rPr>
        <w:tab/>
        <w:t>OMB CONTROL NUMBER 3038-0005</w:t>
      </w:r>
    </w:p>
    <w:p w:rsidR="007915FB" w:rsidRDefault="007915FB">
      <w:pPr>
        <w:suppressAutoHyphens/>
        <w:rPr>
          <w:sz w:val="25"/>
        </w:rPr>
      </w:pPr>
    </w:p>
    <w:p w:rsidR="007915FB" w:rsidRDefault="007915FB">
      <w:pPr>
        <w:suppressAutoHyphens/>
        <w:rPr>
          <w:sz w:val="25"/>
        </w:rPr>
      </w:pPr>
    </w:p>
    <w:p w:rsidR="007915FB" w:rsidRDefault="007915FB">
      <w:pPr>
        <w:suppressAutoHyphens/>
        <w:ind w:left="720" w:hanging="720"/>
        <w:rPr>
          <w:sz w:val="25"/>
        </w:rPr>
      </w:pPr>
      <w:r>
        <w:rPr>
          <w:sz w:val="25"/>
          <w:u w:val="single"/>
        </w:rPr>
        <w:t>Justification</w:t>
      </w:r>
    </w:p>
    <w:p w:rsidR="007915FB" w:rsidRDefault="007915FB">
      <w:pPr>
        <w:suppressAutoHyphens/>
        <w:ind w:left="720" w:hanging="720"/>
        <w:rPr>
          <w:sz w:val="25"/>
        </w:rPr>
      </w:pPr>
    </w:p>
    <w:p w:rsidR="007915FB" w:rsidRDefault="007915FB">
      <w:pPr>
        <w:suppressAutoHyphens/>
        <w:ind w:left="720" w:hanging="720"/>
        <w:rPr>
          <w:sz w:val="25"/>
        </w:rPr>
      </w:pPr>
      <w:r>
        <w:rPr>
          <w:sz w:val="25"/>
        </w:rPr>
        <w:t>1.</w:t>
      </w:r>
      <w:r>
        <w:rPr>
          <w:sz w:val="25"/>
        </w:rPr>
        <w:tab/>
      </w:r>
      <w:r>
        <w:rPr>
          <w:sz w:val="25"/>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15FB" w:rsidRPr="007643E5" w:rsidRDefault="007915FB" w:rsidP="002C09D5">
      <w:pPr>
        <w:pStyle w:val="BodyText"/>
        <w:spacing w:line="240" w:lineRule="auto"/>
        <w:rPr>
          <w:sz w:val="24"/>
          <w:szCs w:val="24"/>
        </w:rPr>
      </w:pPr>
    </w:p>
    <w:p w:rsidR="007915FB" w:rsidRPr="007643E5" w:rsidRDefault="007915FB">
      <w:pPr>
        <w:pStyle w:val="BodyText"/>
        <w:spacing w:line="240" w:lineRule="auto"/>
        <w:rPr>
          <w:sz w:val="24"/>
          <w:szCs w:val="24"/>
        </w:rPr>
      </w:pPr>
    </w:p>
    <w:p w:rsidR="00FE76A0" w:rsidRDefault="00FE76A0" w:rsidP="007643E5">
      <w:pPr>
        <w:ind w:firstLine="720"/>
        <w:jc w:val="both"/>
        <w:rPr>
          <w:sz w:val="24"/>
          <w:szCs w:val="24"/>
        </w:rPr>
      </w:pPr>
      <w:r>
        <w:rPr>
          <w:sz w:val="24"/>
          <w:szCs w:val="24"/>
        </w:rPr>
        <w:t>The Commission has determined to codify the exemptive relief that its staff has been granting on a case-by-case basis to registered commodity pool operators (CPOs) that operate commodity pools whose units of participation are listed for trading on a national securities exchange</w:t>
      </w:r>
      <w:r w:rsidR="001F26F1">
        <w:rPr>
          <w:sz w:val="24"/>
          <w:szCs w:val="24"/>
        </w:rPr>
        <w:t xml:space="preserve"> (Commodity ETFs)</w:t>
      </w:r>
      <w:r>
        <w:rPr>
          <w:sz w:val="24"/>
          <w:szCs w:val="24"/>
        </w:rPr>
        <w:t xml:space="preserve">.  </w:t>
      </w:r>
      <w:r w:rsidR="001F26F1">
        <w:rPr>
          <w:sz w:val="24"/>
          <w:szCs w:val="24"/>
        </w:rPr>
        <w:t>The Commission is proposing to add a new provision to</w:t>
      </w:r>
      <w:r>
        <w:rPr>
          <w:sz w:val="24"/>
          <w:szCs w:val="24"/>
        </w:rPr>
        <w:t xml:space="preserve"> Regulation 4.12 (17 CFR §4.12 (2010)) to enable such CPOs to claim relief from the Disclosure Document delivery and receipt requirements of Regulation 4.21 (17 CFR §4.21 (2010)), the Account Statement distribution requirement of Regulation 4.22 (17 CFR §4.22 (2010)), and the requirement of Regulation 4.23 (17 CFR §4.23 (2010)), to keep the CPO’s books and records at its main business office. </w:t>
      </w:r>
      <w:r w:rsidR="001F26F1">
        <w:rPr>
          <w:sz w:val="24"/>
          <w:szCs w:val="24"/>
        </w:rPr>
        <w:t xml:space="preserve"> These CPOs are already subject to similar requirements under the Federal securities laws covering offerings of securities that are listed on a national securities exchange.  The proposed amendments, if adopted, would reduce the regulatory burden applicable to the CPOs of Commodity ETFs by permitting substitution of compliance with the corresponding securities law requirements for specific compliance with the Commission regulations cited above.  </w:t>
      </w:r>
      <w:r w:rsidR="00CA6F3C">
        <w:rPr>
          <w:sz w:val="24"/>
          <w:szCs w:val="24"/>
        </w:rPr>
        <w:t xml:space="preserve">CPOs taking advantage of the proposed exemption would be starting new pools, and the overall paperwork burden of this collection will be incrementally increased, as ordinarily occurs with each new pool whose operator is subject to Regulations 4.21, 4.22 and 4.23.  </w:t>
      </w:r>
      <w:r w:rsidR="001F26F1">
        <w:rPr>
          <w:sz w:val="24"/>
          <w:szCs w:val="24"/>
        </w:rPr>
        <w:t xml:space="preserve">A simple notice filing would be required </w:t>
      </w:r>
      <w:r w:rsidR="00CA6F3C">
        <w:rPr>
          <w:sz w:val="24"/>
          <w:szCs w:val="24"/>
        </w:rPr>
        <w:t xml:space="preserve">under the proposed amendments in order for </w:t>
      </w:r>
      <w:r w:rsidR="001F26F1">
        <w:rPr>
          <w:sz w:val="24"/>
          <w:szCs w:val="24"/>
        </w:rPr>
        <w:t xml:space="preserve">the CPO to claim the relief. </w:t>
      </w:r>
      <w:r w:rsidR="00CA6F3C">
        <w:rPr>
          <w:sz w:val="24"/>
          <w:szCs w:val="24"/>
        </w:rPr>
        <w:t xml:space="preserve"> The Commission is amending the collection to account for these changes. </w:t>
      </w:r>
    </w:p>
    <w:p w:rsidR="00FE76A0" w:rsidRDefault="00FE76A0" w:rsidP="007643E5">
      <w:pPr>
        <w:ind w:firstLine="720"/>
        <w:jc w:val="both"/>
        <w:rPr>
          <w:sz w:val="24"/>
          <w:szCs w:val="24"/>
        </w:rPr>
      </w:pPr>
    </w:p>
    <w:p w:rsidR="007915FB" w:rsidRDefault="007915FB">
      <w:pPr>
        <w:pStyle w:val="BodyText"/>
        <w:spacing w:line="240" w:lineRule="auto"/>
      </w:pPr>
    </w:p>
    <w:p w:rsidR="007915FB" w:rsidRDefault="007915FB">
      <w:pPr>
        <w:tabs>
          <w:tab w:val="left" w:pos="-720"/>
        </w:tabs>
        <w:suppressAutoHyphens/>
        <w:ind w:left="720" w:hanging="720"/>
        <w:rPr>
          <w:sz w:val="25"/>
          <w:u w:val="single"/>
        </w:rPr>
      </w:pPr>
      <w:r>
        <w:rPr>
          <w:sz w:val="25"/>
        </w:rPr>
        <w:t>2.</w:t>
      </w:r>
      <w:r>
        <w:rPr>
          <w:sz w:val="25"/>
        </w:rPr>
        <w:tab/>
      </w:r>
      <w:r>
        <w:rPr>
          <w:sz w:val="25"/>
          <w:u w:val="single"/>
        </w:rPr>
        <w:t xml:space="preserve">Indicate how, by whom, and for what purpose the data would be used.  Except for a new collection, indicate the actual use the agency has made of the information received from the current collection.  </w:t>
      </w:r>
    </w:p>
    <w:p w:rsidR="007915FB" w:rsidRDefault="007915FB">
      <w:pPr>
        <w:tabs>
          <w:tab w:val="left" w:pos="-720"/>
        </w:tabs>
        <w:suppressAutoHyphens/>
        <w:rPr>
          <w:sz w:val="25"/>
          <w:u w:val="single"/>
        </w:rPr>
      </w:pPr>
    </w:p>
    <w:p w:rsidR="007915FB" w:rsidRDefault="007915FB">
      <w:pPr>
        <w:pStyle w:val="BodyText"/>
        <w:tabs>
          <w:tab w:val="left" w:pos="-720"/>
        </w:tabs>
        <w:spacing w:line="240" w:lineRule="auto"/>
      </w:pPr>
      <w:r>
        <w:tab/>
        <w:t xml:space="preserve">The </w:t>
      </w:r>
      <w:r w:rsidR="002C09D5">
        <w:t>disclosure, filing</w:t>
      </w:r>
      <w:r>
        <w:t xml:space="preserve"> and recordkeeping requirements </w:t>
      </w:r>
      <w:r w:rsidR="00EA507A">
        <w:t>with</w:t>
      </w:r>
      <w:r w:rsidR="002C09D5">
        <w:t>in</w:t>
      </w:r>
      <w:r w:rsidR="00EA507A">
        <w:t xml:space="preserve"> Part 4 of the Commission’s regulations </w:t>
      </w:r>
      <w:r>
        <w:t>were established to assist customers and to facilitate the Commission and NFA in monitoring compliance with the Part 4 r</w:t>
      </w:r>
      <w:r w:rsidR="00EB65FC">
        <w:t>egulation</w:t>
      </w:r>
      <w:r>
        <w:t xml:space="preserve">s.  </w:t>
      </w:r>
      <w:r w:rsidR="00EB65FC">
        <w:t xml:space="preserve">These records also provide the Commission with its source of independent aggregated financial information concerning the commodity pool industry, which informs the Commission’s policy decision making.  </w:t>
      </w:r>
      <w:r w:rsidR="00CA6F3C">
        <w:t xml:space="preserve">The notice filing by which a CPO would claim the relief provided by the proposed </w:t>
      </w:r>
      <w:r w:rsidR="00CA6F3C">
        <w:lastRenderedPageBreak/>
        <w:t xml:space="preserve">amendments will enable the Commission and NFA to ensure that persons who are not eligible to claim the proposed relief are </w:t>
      </w:r>
      <w:r w:rsidR="00EB65FC">
        <w:t>complying with the normal requirements of Regulations 4.21, 4.22 and 4.23.</w:t>
      </w:r>
    </w:p>
    <w:p w:rsidR="004F7FF0" w:rsidRDefault="004F7FF0">
      <w:pPr>
        <w:pStyle w:val="BodyText"/>
        <w:tabs>
          <w:tab w:val="left" w:pos="-720"/>
        </w:tabs>
        <w:spacing w:line="240" w:lineRule="auto"/>
      </w:pPr>
    </w:p>
    <w:p w:rsidR="007915FB" w:rsidRDefault="007915FB">
      <w:pPr>
        <w:suppressAutoHyphens/>
        <w:ind w:left="720" w:hanging="720"/>
        <w:rPr>
          <w:sz w:val="25"/>
        </w:rPr>
      </w:pPr>
      <w:r>
        <w:rPr>
          <w:sz w:val="25"/>
        </w:rPr>
        <w:t xml:space="preserve"> 3.</w:t>
      </w:r>
      <w:r>
        <w:rPr>
          <w:sz w:val="25"/>
        </w:rPr>
        <w:tab/>
      </w:r>
      <w:r>
        <w:rPr>
          <w:sz w:val="25"/>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915FB" w:rsidRDefault="007915FB">
      <w:pPr>
        <w:suppressAutoHyphens/>
        <w:rPr>
          <w:sz w:val="25"/>
        </w:rPr>
      </w:pPr>
    </w:p>
    <w:p w:rsidR="007915FB" w:rsidRDefault="007915FB">
      <w:pPr>
        <w:pStyle w:val="BodyText"/>
        <w:spacing w:line="240" w:lineRule="auto"/>
      </w:pPr>
      <w:r>
        <w:tab/>
      </w:r>
      <w:r w:rsidR="00303CA8">
        <w:t>I</w:t>
      </w:r>
      <w:r w:rsidR="004F7FF0">
        <w:t>n March 2009, the Commission adopted requirements for electronic filing of CTA and CPO disclosure documents.</w:t>
      </w:r>
      <w:r>
        <w:t xml:space="preserve">  </w:t>
      </w:r>
      <w:r w:rsidR="004F7FF0">
        <w:t xml:space="preserve">In 2006, the </w:t>
      </w:r>
      <w:r w:rsidR="00866B92">
        <w:t xml:space="preserve">Commission </w:t>
      </w:r>
      <w:r w:rsidR="004F7FF0">
        <w:t xml:space="preserve">adopted a requirement that commodity pool </w:t>
      </w:r>
      <w:r w:rsidR="00866B92">
        <w:t>annual reports</w:t>
      </w:r>
      <w:r w:rsidR="004F7FF0">
        <w:t xml:space="preserve"> be filed electronically, and in 2007, the Commission adopted requirements that exemption notices under Part 4 be submitted electronically.  The Commission and NFA permit electronic filings to minimize the burden on registrants and to streamline the process of sending, receiving and reviewing the filings. </w:t>
      </w:r>
      <w:r>
        <w:t xml:space="preserve"> </w:t>
      </w:r>
    </w:p>
    <w:p w:rsidR="007915FB" w:rsidRDefault="007915FB">
      <w:pPr>
        <w:pStyle w:val="BodyText"/>
        <w:spacing w:line="240" w:lineRule="auto"/>
      </w:pPr>
    </w:p>
    <w:p w:rsidR="007915FB" w:rsidRPr="00EA507A" w:rsidRDefault="007915FB" w:rsidP="00EA507A">
      <w:pPr>
        <w:suppressAutoHyphens/>
        <w:ind w:left="720" w:hanging="720"/>
        <w:rPr>
          <w:sz w:val="25"/>
        </w:rPr>
      </w:pPr>
      <w:r>
        <w:rPr>
          <w:sz w:val="25"/>
        </w:rPr>
        <w:t>4.</w:t>
      </w:r>
      <w:r>
        <w:rPr>
          <w:sz w:val="25"/>
        </w:rPr>
        <w:tab/>
      </w:r>
      <w:r>
        <w:rPr>
          <w:sz w:val="25"/>
          <w:u w:val="single"/>
        </w:rPr>
        <w:t xml:space="preserve">Describe efforts to identify duplication.  Show specifically why any similar information already available cannot be used or modified for use for the purposes described in Item 2 above. </w:t>
      </w:r>
    </w:p>
    <w:p w:rsidR="007915FB" w:rsidRDefault="007915FB">
      <w:pPr>
        <w:pStyle w:val="Heading1"/>
        <w:tabs>
          <w:tab w:val="left" w:pos="0"/>
        </w:tabs>
        <w:spacing w:line="240" w:lineRule="auto"/>
      </w:pPr>
    </w:p>
    <w:p w:rsidR="007915FB" w:rsidRDefault="007915FB" w:rsidP="00EB65FC">
      <w:pPr>
        <w:pStyle w:val="Heading1"/>
        <w:keepNext w:val="0"/>
        <w:tabs>
          <w:tab w:val="left" w:pos="0"/>
        </w:tabs>
        <w:spacing w:line="240" w:lineRule="auto"/>
        <w:ind w:left="0" w:firstLine="0"/>
      </w:pPr>
      <w:r>
        <w:tab/>
      </w:r>
      <w:r w:rsidR="00EB65FC">
        <w:t>The proposed amendments dramatically reduce duplication of requirements applicable to the CPOs of Commodity ETFs by permitting substituted compliance with Federal securities law requirements in lieu of specific compliance with certain requirements of Commission regulations.  For example, the CPO is permitted to use the prospectus required under securities law requirements in lieu of the Disclosure Document required under Commission Regulation 4.21 so long as the prospectus contains the information required by the Commission’s regulations</w:t>
      </w:r>
      <w:r w:rsidR="00EA507A">
        <w:t>.</w:t>
      </w:r>
      <w:r>
        <w:t xml:space="preserve">  </w:t>
      </w:r>
      <w:r w:rsidR="00C341C6">
        <w:t>Any increased burdens would correlate primarily to additional registrants availing themselves of the proposed notice procedure.</w:t>
      </w:r>
    </w:p>
    <w:p w:rsidR="007915FB" w:rsidRDefault="007915FB" w:rsidP="00EB65FC">
      <w:pPr>
        <w:pStyle w:val="Heading1"/>
        <w:keepNext w:val="0"/>
        <w:tabs>
          <w:tab w:val="left" w:pos="0"/>
        </w:tabs>
        <w:spacing w:line="240" w:lineRule="auto"/>
        <w:jc w:val="both"/>
      </w:pPr>
    </w:p>
    <w:p w:rsidR="007915FB" w:rsidRDefault="007915FB">
      <w:pPr>
        <w:suppressAutoHyphens/>
        <w:ind w:left="720" w:hanging="720"/>
        <w:rPr>
          <w:sz w:val="25"/>
        </w:rPr>
      </w:pPr>
      <w:r>
        <w:rPr>
          <w:sz w:val="25"/>
        </w:rPr>
        <w:t>5.</w:t>
      </w:r>
      <w:r>
        <w:rPr>
          <w:sz w:val="25"/>
        </w:rPr>
        <w:tab/>
      </w:r>
      <w:r>
        <w:rPr>
          <w:sz w:val="25"/>
          <w:u w:val="single"/>
        </w:rPr>
        <w:t>If the collection of information involves small business or other small entities (Item 5 of OMB Form 83-1), describe the methods used to minimize burden.</w:t>
      </w:r>
    </w:p>
    <w:p w:rsidR="007915FB" w:rsidRDefault="007915FB">
      <w:pPr>
        <w:suppressAutoHyphens/>
        <w:ind w:left="720" w:hanging="720"/>
        <w:rPr>
          <w:sz w:val="25"/>
        </w:rPr>
      </w:pPr>
    </w:p>
    <w:p w:rsidR="009A7083" w:rsidRDefault="007915FB">
      <w:pPr>
        <w:pStyle w:val="BodyText"/>
        <w:spacing w:line="240" w:lineRule="auto"/>
      </w:pPr>
      <w:r>
        <w:tab/>
        <w:t xml:space="preserve">The Commission has established certain definitions of "small entities" to be used by the Commission in evaluating the impact of its rules on such entities in accordance with the RFA.  The Commission determined that registered CPOs </w:t>
      </w:r>
      <w:proofErr w:type="gramStart"/>
      <w:r>
        <w:t>are</w:t>
      </w:r>
      <w:proofErr w:type="gramEnd"/>
      <w:r>
        <w:t xml:space="preserve"> not small entities for the purpose of the RFA.  </w:t>
      </w:r>
    </w:p>
    <w:p w:rsidR="007915FB" w:rsidRDefault="009A7083">
      <w:pPr>
        <w:pStyle w:val="BodyText"/>
        <w:spacing w:line="240" w:lineRule="auto"/>
      </w:pPr>
      <w:r>
        <w:t xml:space="preserve"> </w:t>
      </w:r>
    </w:p>
    <w:p w:rsidR="007915FB" w:rsidRDefault="007915FB">
      <w:pPr>
        <w:suppressAutoHyphens/>
        <w:ind w:left="720" w:hanging="660"/>
        <w:rPr>
          <w:sz w:val="25"/>
        </w:rPr>
      </w:pPr>
      <w:r>
        <w:rPr>
          <w:sz w:val="25"/>
        </w:rPr>
        <w:t>6.</w:t>
      </w:r>
      <w:r>
        <w:rPr>
          <w:sz w:val="25"/>
        </w:rPr>
        <w:tab/>
      </w:r>
      <w:r>
        <w:rPr>
          <w:sz w:val="25"/>
          <w:u w:val="single"/>
        </w:rPr>
        <w:t>Describe the consequence to the Federal program or policy activities if the collection were conducted less frequently as well as any technical or legal obstacles to reducing burden.</w:t>
      </w:r>
    </w:p>
    <w:p w:rsidR="007915FB" w:rsidRDefault="007915FB">
      <w:pPr>
        <w:suppressAutoHyphens/>
        <w:rPr>
          <w:sz w:val="25"/>
        </w:rPr>
      </w:pPr>
    </w:p>
    <w:p w:rsidR="007915FB" w:rsidRDefault="007915FB">
      <w:pPr>
        <w:pStyle w:val="BodyText"/>
        <w:spacing w:line="240" w:lineRule="auto"/>
      </w:pPr>
      <w:r>
        <w:tab/>
        <w:t xml:space="preserve">Failure to require </w:t>
      </w:r>
      <w:r w:rsidR="00EA507A">
        <w:t xml:space="preserve">Part 4’s disclosures, filings and recordkeeping </w:t>
      </w:r>
      <w:r>
        <w:t xml:space="preserve">could expose the investing public to </w:t>
      </w:r>
      <w:r w:rsidR="00866B92">
        <w:t xml:space="preserve">greater opportunities for </w:t>
      </w:r>
      <w:r>
        <w:t xml:space="preserve">fraud and mismanagement by entities in these two categories and would make monitoring of these entities by the Commission and NFA </w:t>
      </w:r>
      <w:r>
        <w:lastRenderedPageBreak/>
        <w:t xml:space="preserve">less effective.  </w:t>
      </w:r>
      <w:r w:rsidR="00EB65FC">
        <w:t xml:space="preserve">Failure to require a filing by the CPO seeking to claim the relief that the proposed amendments would make available </w:t>
      </w:r>
      <w:r w:rsidR="00294143">
        <w:t xml:space="preserve">would result in confusion as to which CPOs are subject to the full requirements of Part 4 of the Commission’s regulations, and could hamper the efforts of NFA and Commission staff to audit and oversee the CPOs of Commodity ETFs and other registered CPOs. </w:t>
      </w:r>
      <w:r>
        <w:t xml:space="preserve"> </w:t>
      </w:r>
    </w:p>
    <w:p w:rsidR="007915FB" w:rsidRDefault="007915FB">
      <w:pPr>
        <w:suppressAutoHyphens/>
        <w:rPr>
          <w:sz w:val="25"/>
        </w:rPr>
      </w:pPr>
    </w:p>
    <w:p w:rsidR="007915FB" w:rsidRDefault="007915FB">
      <w:pPr>
        <w:tabs>
          <w:tab w:val="left" w:pos="-720"/>
        </w:tabs>
        <w:suppressAutoHyphens/>
        <w:ind w:left="720" w:hanging="720"/>
        <w:rPr>
          <w:sz w:val="25"/>
          <w:u w:val="single"/>
        </w:rPr>
      </w:pPr>
      <w:r>
        <w:rPr>
          <w:b/>
          <w:sz w:val="25"/>
        </w:rPr>
        <w:t>7.</w:t>
      </w:r>
      <w:r>
        <w:rPr>
          <w:b/>
          <w:sz w:val="25"/>
        </w:rPr>
        <w:tab/>
      </w:r>
      <w:r>
        <w:rPr>
          <w:sz w:val="25"/>
          <w:u w:val="single"/>
        </w:rPr>
        <w:t>Explain any special circumstances that require the collection to be conducted in a manner:</w:t>
      </w:r>
    </w:p>
    <w:p w:rsidR="007915FB" w:rsidRDefault="007915FB">
      <w:pPr>
        <w:tabs>
          <w:tab w:val="left" w:pos="-720"/>
        </w:tabs>
        <w:suppressAutoHyphens/>
        <w:ind w:left="720" w:hanging="720"/>
        <w:rPr>
          <w:b/>
          <w:sz w:val="25"/>
          <w:u w:val="single"/>
        </w:rPr>
      </w:pPr>
    </w:p>
    <w:p w:rsidR="007915FB" w:rsidRDefault="007915FB">
      <w:pPr>
        <w:tabs>
          <w:tab w:val="left" w:pos="-720"/>
        </w:tabs>
        <w:suppressAutoHyphens/>
        <w:ind w:left="720" w:hanging="720"/>
        <w:rPr>
          <w:sz w:val="25"/>
          <w:u w:val="single"/>
        </w:rPr>
      </w:pPr>
      <w:r>
        <w:rPr>
          <w:sz w:val="25"/>
        </w:rPr>
        <w:tab/>
        <w:t>-</w:t>
      </w:r>
      <w:r>
        <w:rPr>
          <w:sz w:val="25"/>
        </w:rPr>
        <w:tab/>
      </w:r>
      <w:r>
        <w:rPr>
          <w:sz w:val="25"/>
          <w:u w:val="single"/>
        </w:rPr>
        <w:t xml:space="preserve">requiring respondents to report information to the agency more often than </w:t>
      </w:r>
    </w:p>
    <w:p w:rsidR="007915FB" w:rsidRDefault="007915FB">
      <w:pPr>
        <w:tabs>
          <w:tab w:val="left" w:pos="-720"/>
        </w:tabs>
        <w:suppressAutoHyphens/>
        <w:ind w:left="720" w:hanging="720"/>
      </w:pPr>
      <w:r>
        <w:rPr>
          <w:sz w:val="25"/>
        </w:rPr>
        <w:tab/>
      </w:r>
      <w:r>
        <w:rPr>
          <w:sz w:val="25"/>
        </w:rPr>
        <w:tab/>
      </w:r>
      <w:proofErr w:type="gramStart"/>
      <w:r>
        <w:rPr>
          <w:sz w:val="25"/>
          <w:u w:val="single"/>
        </w:rPr>
        <w:t>quarterly</w:t>
      </w:r>
      <w:proofErr w:type="gramEnd"/>
      <w:r>
        <w:rPr>
          <w:sz w:val="25"/>
          <w:u w:val="single"/>
        </w:rPr>
        <w:t>;</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The rule</w:t>
      </w:r>
      <w:r w:rsidR="00EA507A">
        <w:t>s</w:t>
      </w:r>
      <w:r w:rsidR="00E93D0B">
        <w:t xml:space="preserve"> in question do</w:t>
      </w:r>
      <w:r>
        <w:t xml:space="preserve"> not require the respondent to report any information to the Commission more often than monthly.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rPr>
          <w:u w:val="single"/>
        </w:rPr>
      </w:pPr>
      <w:r>
        <w:tab/>
        <w:t>-</w:t>
      </w:r>
      <w:r>
        <w:tab/>
      </w:r>
      <w:r>
        <w:rPr>
          <w:u w:val="single"/>
        </w:rPr>
        <w:t xml:space="preserve">requiring respondents to prepare a written response to a collection of </w:t>
      </w:r>
    </w:p>
    <w:p w:rsidR="007915FB" w:rsidRDefault="007915FB">
      <w:pPr>
        <w:pStyle w:val="BodyText"/>
        <w:tabs>
          <w:tab w:val="left" w:pos="-720"/>
        </w:tabs>
        <w:spacing w:line="240" w:lineRule="auto"/>
        <w:rPr>
          <w:u w:val="single"/>
        </w:rPr>
      </w:pPr>
      <w:r>
        <w:tab/>
      </w:r>
      <w:r>
        <w:tab/>
      </w:r>
      <w:proofErr w:type="gramStart"/>
      <w:r>
        <w:rPr>
          <w:u w:val="single"/>
        </w:rPr>
        <w:t>information</w:t>
      </w:r>
      <w:proofErr w:type="gramEnd"/>
      <w:r>
        <w:rPr>
          <w:u w:val="single"/>
        </w:rPr>
        <w:t xml:space="preserve"> in fewer than 30 days after receipt of it;</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 xml:space="preserve">Respondents are not required to prepare any written responses.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rPr>
          <w:u w:val="single"/>
        </w:rPr>
      </w:pPr>
      <w:r>
        <w:tab/>
        <w:t>-</w:t>
      </w:r>
      <w:r>
        <w:tab/>
      </w:r>
      <w:r>
        <w:rPr>
          <w:u w:val="single"/>
        </w:rPr>
        <w:t xml:space="preserve">requiring respondents to submit more than an original and two copies of any </w:t>
      </w:r>
    </w:p>
    <w:p w:rsidR="007915FB" w:rsidRDefault="007915FB">
      <w:pPr>
        <w:pStyle w:val="BodyText"/>
        <w:tabs>
          <w:tab w:val="left" w:pos="-720"/>
        </w:tabs>
        <w:spacing w:line="240" w:lineRule="auto"/>
        <w:rPr>
          <w:u w:val="single"/>
        </w:rPr>
      </w:pPr>
      <w:r>
        <w:tab/>
      </w:r>
      <w:r>
        <w:tab/>
      </w:r>
      <w:proofErr w:type="gramStart"/>
      <w:r>
        <w:rPr>
          <w:u w:val="single"/>
        </w:rPr>
        <w:t>document</w:t>
      </w:r>
      <w:proofErr w:type="gramEnd"/>
      <w:r>
        <w:rPr>
          <w:u w:val="single"/>
        </w:rPr>
        <w:t>;</w:t>
      </w:r>
    </w:p>
    <w:p w:rsidR="007915FB" w:rsidRDefault="007915FB">
      <w:pPr>
        <w:pStyle w:val="BodyText"/>
        <w:tabs>
          <w:tab w:val="left" w:pos="-720"/>
        </w:tabs>
        <w:spacing w:line="240" w:lineRule="auto"/>
        <w:rPr>
          <w:u w:val="single"/>
        </w:rPr>
      </w:pPr>
    </w:p>
    <w:p w:rsidR="007915FB" w:rsidRDefault="007915FB">
      <w:pPr>
        <w:pStyle w:val="BodyText"/>
        <w:tabs>
          <w:tab w:val="left" w:pos="-720"/>
        </w:tabs>
        <w:spacing w:line="240" w:lineRule="auto"/>
      </w:pPr>
      <w:r>
        <w:tab/>
        <w:t>Respondents are not required to submit more than an original a</w:t>
      </w:r>
      <w:r w:rsidR="00294143">
        <w:t xml:space="preserve">nd two copies of any document.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rPr>
          <w:u w:val="single"/>
        </w:rPr>
      </w:pPr>
      <w:r>
        <w:tab/>
        <w:t>-</w:t>
      </w:r>
      <w:r>
        <w:tab/>
      </w:r>
      <w:r>
        <w:rPr>
          <w:u w:val="single"/>
        </w:rPr>
        <w:t xml:space="preserve">requiring respondents to retain records other than health, medical, government </w:t>
      </w:r>
    </w:p>
    <w:p w:rsidR="007915FB" w:rsidRDefault="007915FB">
      <w:pPr>
        <w:pStyle w:val="BodyText"/>
        <w:tabs>
          <w:tab w:val="left" w:pos="-720"/>
        </w:tabs>
        <w:spacing w:line="240" w:lineRule="auto"/>
        <w:rPr>
          <w:u w:val="single"/>
        </w:rPr>
      </w:pPr>
      <w:r>
        <w:tab/>
      </w:r>
      <w:r>
        <w:tab/>
      </w:r>
      <w:proofErr w:type="gramStart"/>
      <w:r>
        <w:rPr>
          <w:u w:val="single"/>
        </w:rPr>
        <w:t>contract</w:t>
      </w:r>
      <w:proofErr w:type="gramEnd"/>
      <w:r>
        <w:rPr>
          <w:u w:val="single"/>
        </w:rPr>
        <w:t>, grant-in-aid, or tax records, for more than three years;</w:t>
      </w:r>
    </w:p>
    <w:p w:rsidR="007915FB" w:rsidRDefault="007915FB">
      <w:pPr>
        <w:pStyle w:val="BodyText"/>
        <w:tabs>
          <w:tab w:val="left" w:pos="-720"/>
        </w:tabs>
        <w:spacing w:line="240" w:lineRule="auto"/>
        <w:rPr>
          <w:u w:val="single"/>
        </w:rPr>
      </w:pPr>
    </w:p>
    <w:p w:rsidR="007915FB" w:rsidRDefault="007915FB">
      <w:pPr>
        <w:pStyle w:val="BodyText"/>
        <w:tabs>
          <w:tab w:val="left" w:pos="-720"/>
        </w:tabs>
        <w:spacing w:line="240" w:lineRule="auto"/>
      </w:pPr>
      <w:r>
        <w:tab/>
        <w:t>Respondents must maintain certain records in order to demonstrate compliance with the Part 4 regulations.  For enforcement purposes, Commission Rule 1.31 requires that:</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ind w:left="1440"/>
      </w:pPr>
      <w:r>
        <w:t>"All books and records required to be kept by the (Commodity Exchange) Act or by these regulations shall be kept for a period of five years from the date thereof and shall be readily accessible during the first two years of the five year period.  All such books and records shall be open to inspection by any representative of the Commission or the U.S. Department of Justice."</w:t>
      </w:r>
    </w:p>
    <w:p w:rsidR="007915FB" w:rsidRDefault="007915FB">
      <w:pPr>
        <w:pStyle w:val="BodyText"/>
        <w:tabs>
          <w:tab w:val="left" w:pos="-720"/>
        </w:tabs>
        <w:spacing w:line="240" w:lineRule="auto"/>
        <w:ind w:left="720"/>
      </w:pPr>
    </w:p>
    <w:p w:rsidR="007915FB" w:rsidRDefault="007915FB">
      <w:pPr>
        <w:pStyle w:val="BodyText"/>
        <w:tabs>
          <w:tab w:val="left" w:pos="-720"/>
        </w:tabs>
        <w:spacing w:line="240" w:lineRule="auto"/>
        <w:rPr>
          <w:u w:val="single"/>
        </w:rPr>
      </w:pPr>
      <w:r>
        <w:tab/>
        <w:t>-</w:t>
      </w:r>
      <w:r>
        <w:tab/>
      </w:r>
      <w:proofErr w:type="gramStart"/>
      <w:r>
        <w:rPr>
          <w:u w:val="single"/>
        </w:rPr>
        <w:t>in</w:t>
      </w:r>
      <w:proofErr w:type="gramEnd"/>
      <w:r>
        <w:rPr>
          <w:u w:val="single"/>
        </w:rPr>
        <w:t xml:space="preserve"> connection with a statistical survey, that is not designed to produce valid </w:t>
      </w:r>
    </w:p>
    <w:p w:rsidR="007915FB" w:rsidRDefault="007915FB">
      <w:pPr>
        <w:pStyle w:val="BodyText"/>
        <w:tabs>
          <w:tab w:val="left" w:pos="-720"/>
        </w:tabs>
        <w:spacing w:line="240" w:lineRule="auto"/>
        <w:rPr>
          <w:u w:val="single"/>
        </w:rPr>
      </w:pPr>
      <w:r>
        <w:tab/>
      </w:r>
      <w:r>
        <w:tab/>
      </w:r>
      <w:proofErr w:type="gramStart"/>
      <w:r>
        <w:rPr>
          <w:u w:val="single"/>
        </w:rPr>
        <w:t>and</w:t>
      </w:r>
      <w:proofErr w:type="gramEnd"/>
      <w:r>
        <w:rPr>
          <w:u w:val="single"/>
        </w:rPr>
        <w:t xml:space="preserve"> reliable results that can be generalized to the universe of study;</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The rule does not involve a statistical survey.</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ind w:left="720" w:hanging="720"/>
        <w:rPr>
          <w:u w:val="single"/>
        </w:rPr>
      </w:pPr>
      <w:r>
        <w:tab/>
        <w:t>-</w:t>
      </w:r>
      <w:r>
        <w:tab/>
      </w:r>
      <w:r>
        <w:rPr>
          <w:u w:val="single"/>
        </w:rPr>
        <w:t xml:space="preserve">requiring the use of a statistical data classification that has not been reviewed </w:t>
      </w:r>
    </w:p>
    <w:p w:rsidR="007915FB" w:rsidRDefault="007915FB">
      <w:pPr>
        <w:pStyle w:val="BodyText"/>
        <w:tabs>
          <w:tab w:val="left" w:pos="-720"/>
        </w:tabs>
        <w:spacing w:line="240" w:lineRule="auto"/>
        <w:ind w:left="720" w:hanging="720"/>
        <w:rPr>
          <w:u w:val="single"/>
        </w:rPr>
      </w:pPr>
      <w:r>
        <w:tab/>
      </w:r>
      <w:r>
        <w:tab/>
      </w:r>
      <w:proofErr w:type="gramStart"/>
      <w:r>
        <w:rPr>
          <w:u w:val="single"/>
        </w:rPr>
        <w:t>and</w:t>
      </w:r>
      <w:proofErr w:type="gramEnd"/>
      <w:r>
        <w:rPr>
          <w:u w:val="single"/>
        </w:rPr>
        <w:t xml:space="preserve"> approved by OMB;</w:t>
      </w:r>
    </w:p>
    <w:p w:rsidR="007915FB" w:rsidRDefault="007915FB">
      <w:pPr>
        <w:pStyle w:val="BodyText"/>
        <w:tabs>
          <w:tab w:val="left" w:pos="-720"/>
        </w:tabs>
        <w:spacing w:line="240" w:lineRule="auto"/>
        <w:ind w:left="720" w:hanging="720"/>
        <w:rPr>
          <w:u w:val="single"/>
        </w:rPr>
      </w:pPr>
    </w:p>
    <w:p w:rsidR="007915FB" w:rsidRDefault="007915FB">
      <w:pPr>
        <w:pStyle w:val="BodyText"/>
        <w:tabs>
          <w:tab w:val="left" w:pos="-720"/>
        </w:tabs>
        <w:spacing w:line="240" w:lineRule="auto"/>
        <w:ind w:left="720" w:hanging="720"/>
      </w:pPr>
      <w:r>
        <w:tab/>
        <w:t xml:space="preserve">The rule does not involve use of statistical data.  </w:t>
      </w:r>
    </w:p>
    <w:p w:rsidR="007915FB" w:rsidRDefault="007915FB">
      <w:pPr>
        <w:pStyle w:val="BodyText"/>
        <w:tabs>
          <w:tab w:val="left" w:pos="-720"/>
        </w:tabs>
        <w:spacing w:line="240" w:lineRule="auto"/>
        <w:ind w:left="720" w:hanging="720"/>
      </w:pPr>
    </w:p>
    <w:p w:rsidR="007915FB" w:rsidRDefault="007915FB">
      <w:pPr>
        <w:pStyle w:val="BodyText"/>
        <w:tabs>
          <w:tab w:val="left" w:pos="-720"/>
        </w:tabs>
        <w:spacing w:line="240" w:lineRule="auto"/>
        <w:ind w:left="720" w:hanging="720"/>
        <w:rPr>
          <w:u w:val="single"/>
        </w:rPr>
      </w:pPr>
      <w:r>
        <w:tab/>
        <w:t>-</w:t>
      </w:r>
      <w:r>
        <w:tab/>
      </w:r>
      <w:proofErr w:type="gramStart"/>
      <w:r>
        <w:rPr>
          <w:u w:val="single"/>
        </w:rPr>
        <w:t>that</w:t>
      </w:r>
      <w:proofErr w:type="gramEnd"/>
      <w:r>
        <w:rPr>
          <w:u w:val="single"/>
        </w:rPr>
        <w:t xml:space="preserve"> includes a pledge of confidentiality that is not supported by authority </w:t>
      </w:r>
    </w:p>
    <w:p w:rsidR="007915FB" w:rsidRDefault="007915FB">
      <w:pPr>
        <w:pStyle w:val="BodyText"/>
        <w:tabs>
          <w:tab w:val="left" w:pos="-720"/>
        </w:tabs>
        <w:spacing w:line="240" w:lineRule="auto"/>
        <w:ind w:left="1440" w:hanging="720"/>
      </w:pPr>
      <w:r>
        <w:tab/>
      </w:r>
      <w:r>
        <w:rPr>
          <w:u w:val="single"/>
        </w:rPr>
        <w:t xml:space="preserve">established in statute or regulation, that is not supported by disclosure and data security policies that are consistent with the pledge, or which unnecessarily impedes sharing of data with other agencies for compatible confidential use; or </w:t>
      </w:r>
    </w:p>
    <w:p w:rsidR="007915FB" w:rsidRDefault="007915FB">
      <w:pPr>
        <w:pStyle w:val="BodyText"/>
        <w:tabs>
          <w:tab w:val="left" w:pos="-720"/>
        </w:tabs>
        <w:spacing w:line="240" w:lineRule="auto"/>
        <w:ind w:left="1440" w:hanging="720"/>
      </w:pPr>
    </w:p>
    <w:p w:rsidR="007915FB" w:rsidRDefault="007915FB">
      <w:pPr>
        <w:pStyle w:val="BodyText"/>
        <w:tabs>
          <w:tab w:val="left" w:pos="-720"/>
        </w:tabs>
        <w:spacing w:line="240" w:lineRule="auto"/>
        <w:ind w:left="1440" w:hanging="720"/>
      </w:pPr>
      <w:r>
        <w:t xml:space="preserve">The rule does not involve a pledge of confidentiality.  </w:t>
      </w:r>
    </w:p>
    <w:p w:rsidR="007915FB" w:rsidRDefault="007915FB">
      <w:pPr>
        <w:pStyle w:val="BodyText"/>
        <w:tabs>
          <w:tab w:val="left" w:pos="-720"/>
        </w:tabs>
        <w:spacing w:line="240" w:lineRule="auto"/>
        <w:ind w:left="1440" w:hanging="720"/>
      </w:pPr>
    </w:p>
    <w:p w:rsidR="007915FB" w:rsidRDefault="007915FB">
      <w:pPr>
        <w:pStyle w:val="BodyText"/>
        <w:tabs>
          <w:tab w:val="left" w:pos="-720"/>
        </w:tabs>
        <w:spacing w:line="240" w:lineRule="auto"/>
        <w:ind w:left="1440" w:hanging="720"/>
        <w:rPr>
          <w:u w:val="single"/>
        </w:rPr>
      </w:pPr>
      <w:r>
        <w:t>-</w:t>
      </w:r>
      <w:r>
        <w:tab/>
      </w:r>
      <w:r>
        <w:rPr>
          <w:u w:val="single"/>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915FB" w:rsidRDefault="007915FB">
      <w:pPr>
        <w:pStyle w:val="BodyText"/>
        <w:tabs>
          <w:tab w:val="left" w:pos="-720"/>
        </w:tabs>
        <w:spacing w:line="240" w:lineRule="auto"/>
        <w:ind w:left="1440" w:hanging="720"/>
        <w:rPr>
          <w:u w:val="single"/>
        </w:rPr>
      </w:pPr>
    </w:p>
    <w:p w:rsidR="007915FB" w:rsidRDefault="007915FB" w:rsidP="00E93D0B">
      <w:pPr>
        <w:pStyle w:val="BodyText"/>
        <w:tabs>
          <w:tab w:val="left" w:pos="-720"/>
        </w:tabs>
        <w:spacing w:line="240" w:lineRule="auto"/>
        <w:ind w:firstLine="720"/>
      </w:pPr>
      <w:r>
        <w:t xml:space="preserve">The rule does not involve submission of proprietary trade secrets or other information to the Commission.  </w:t>
      </w:r>
    </w:p>
    <w:p w:rsidR="007915FB" w:rsidRDefault="007915FB">
      <w:pPr>
        <w:pStyle w:val="BodyText"/>
        <w:tabs>
          <w:tab w:val="left" w:pos="-720"/>
        </w:tabs>
        <w:spacing w:line="240" w:lineRule="auto"/>
      </w:pPr>
    </w:p>
    <w:p w:rsidR="007915FB" w:rsidRPr="00E93D0B" w:rsidRDefault="007915FB">
      <w:pPr>
        <w:suppressAutoHyphens/>
        <w:ind w:left="720" w:hanging="720"/>
        <w:rPr>
          <w:sz w:val="24"/>
          <w:szCs w:val="24"/>
          <w:u w:val="single"/>
        </w:rPr>
      </w:pPr>
      <w:r>
        <w:rPr>
          <w:sz w:val="25"/>
        </w:rPr>
        <w:t xml:space="preserve"> 8.</w:t>
      </w:r>
      <w:r>
        <w:rPr>
          <w:sz w:val="25"/>
        </w:rPr>
        <w:tab/>
      </w:r>
      <w:r>
        <w:rPr>
          <w:sz w:val="25"/>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w:t>
      </w:r>
      <w:r w:rsidRPr="00E93D0B">
        <w:rPr>
          <w:sz w:val="24"/>
          <w:szCs w:val="24"/>
          <w:u w:val="single"/>
        </w:rPr>
        <w:t xml:space="preserve">and hour burden.  </w:t>
      </w:r>
    </w:p>
    <w:p w:rsidR="007915FB" w:rsidRPr="00E93D0B" w:rsidRDefault="007915FB">
      <w:pPr>
        <w:suppressAutoHyphens/>
        <w:ind w:left="720" w:hanging="720"/>
        <w:rPr>
          <w:sz w:val="24"/>
          <w:szCs w:val="24"/>
          <w:u w:val="single"/>
        </w:rPr>
      </w:pPr>
    </w:p>
    <w:p w:rsidR="00E93D0B" w:rsidRDefault="007915FB" w:rsidP="00E93D0B">
      <w:pPr>
        <w:suppressAutoHyphens/>
        <w:rPr>
          <w:sz w:val="24"/>
          <w:szCs w:val="24"/>
        </w:rPr>
      </w:pPr>
      <w:r w:rsidRPr="00E93D0B">
        <w:rPr>
          <w:sz w:val="24"/>
          <w:szCs w:val="24"/>
        </w:rPr>
        <w:tab/>
      </w:r>
      <w:r w:rsidR="00EE6A75">
        <w:rPr>
          <w:sz w:val="24"/>
          <w:szCs w:val="24"/>
        </w:rPr>
        <w:t>T</w:t>
      </w:r>
      <w:r w:rsidR="00E93D0B" w:rsidRPr="00E93D0B">
        <w:rPr>
          <w:sz w:val="24"/>
          <w:szCs w:val="24"/>
        </w:rPr>
        <w:t xml:space="preserve">he proposed rules </w:t>
      </w:r>
      <w:r w:rsidR="00EE6A75">
        <w:rPr>
          <w:sz w:val="24"/>
          <w:szCs w:val="24"/>
        </w:rPr>
        <w:t>were published for comment in</w:t>
      </w:r>
      <w:r w:rsidR="00E93D0B" w:rsidRPr="00E93D0B">
        <w:rPr>
          <w:sz w:val="24"/>
          <w:szCs w:val="24"/>
        </w:rPr>
        <w:t xml:space="preserve"> the Federal Register </w:t>
      </w:r>
      <w:r w:rsidR="00EE6A75">
        <w:rPr>
          <w:sz w:val="24"/>
          <w:szCs w:val="24"/>
        </w:rPr>
        <w:t>at 75 Fed. Reg. 54794 (Sep. 9, 2010) and the final rules were published at 76 FR 28641 (May 18, 2011)</w:t>
      </w:r>
      <w:r w:rsidR="00E93D0B" w:rsidRPr="00E93D0B">
        <w:rPr>
          <w:sz w:val="24"/>
          <w:szCs w:val="24"/>
        </w:rPr>
        <w:t xml:space="preserve">.  </w:t>
      </w:r>
    </w:p>
    <w:p w:rsidR="00F37F9A" w:rsidRDefault="00F37F9A" w:rsidP="00E93D0B">
      <w:pPr>
        <w:suppressAutoHyphens/>
        <w:rPr>
          <w:sz w:val="24"/>
          <w:szCs w:val="24"/>
        </w:rPr>
      </w:pPr>
    </w:p>
    <w:p w:rsidR="00F37F9A" w:rsidRPr="00E93D0B" w:rsidRDefault="00F37F9A" w:rsidP="00E93D0B">
      <w:pPr>
        <w:suppressAutoHyphens/>
        <w:rPr>
          <w:sz w:val="24"/>
          <w:szCs w:val="24"/>
        </w:rPr>
      </w:pPr>
      <w:r>
        <w:rPr>
          <w:sz w:val="24"/>
          <w:szCs w:val="24"/>
        </w:rPr>
        <w:tab/>
      </w:r>
      <w:r w:rsidRPr="00F37F9A">
        <w:rPr>
          <w:sz w:val="24"/>
          <w:szCs w:val="24"/>
        </w:rPr>
        <w:t>A commenter asked that the CPO of a Commodity ETF claiming relief under proposed Regulation 4.12(c) be permitted to satisfy the Annual Report requirement under Regulation 4.22(c) by providing the Commodity ETF’s Form 10–K on the same Web site where the CPO makes available the Commodity ETF’s Disclosure Document and monthly Account Statements. The Commission did not include such an amendment to Regulation 4.22 in the Proposing Release, and it is not including one in the Amendments. This is because the Commission believes that the benefits to Commodity ETF participants of a familiar, standardized, certified, annual report of the Commodity ETF’s financial condition outweigh the burden of, for example, ascertaining the names and addresses of participants at year-end and preparing and delivering the Annual Report (all of which the CPO has 90 days to accomplish). Accordingly, the CPO of a Commodity ETF claiming exemption under Regulation 4.12(c) remains subject to the Annual Report requirements of Regulation 4.22(c).</w:t>
      </w:r>
    </w:p>
    <w:p w:rsidR="007915FB" w:rsidRPr="00E93D0B" w:rsidRDefault="007915FB" w:rsidP="00F37F9A">
      <w:pPr>
        <w:suppressAutoHyphens/>
        <w:rPr>
          <w:sz w:val="24"/>
          <w:szCs w:val="24"/>
        </w:rPr>
      </w:pPr>
    </w:p>
    <w:p w:rsidR="007915FB" w:rsidRPr="00E93D0B" w:rsidRDefault="007915FB">
      <w:pPr>
        <w:suppressAutoHyphens/>
        <w:ind w:left="720" w:hanging="720"/>
        <w:rPr>
          <w:sz w:val="24"/>
          <w:szCs w:val="24"/>
          <w:u w:val="single"/>
        </w:rPr>
      </w:pPr>
      <w:r w:rsidRPr="00E93D0B">
        <w:rPr>
          <w:sz w:val="24"/>
          <w:szCs w:val="24"/>
        </w:rPr>
        <w:tab/>
      </w:r>
      <w:r w:rsidRPr="00E93D0B">
        <w:rPr>
          <w:sz w:val="24"/>
          <w:szCs w:val="24"/>
          <w:u w:val="single"/>
        </w:rPr>
        <w:t>Describe efforts to consult with persons outside the agency to obtain their views on the availability of data, frequency of collection, the clarity of instructions and recordkeeping</w:t>
      </w:r>
      <w:r>
        <w:rPr>
          <w:sz w:val="25"/>
          <w:u w:val="single"/>
        </w:rPr>
        <w:t xml:space="preserve"> disclosure, or reporting format (if any), and on the data elements to be recorded, </w:t>
      </w:r>
      <w:r w:rsidRPr="00E93D0B">
        <w:rPr>
          <w:sz w:val="24"/>
          <w:szCs w:val="24"/>
          <w:u w:val="single"/>
        </w:rPr>
        <w:t>disclosed, or reported.</w:t>
      </w:r>
    </w:p>
    <w:p w:rsidR="007915FB" w:rsidRPr="00E93D0B" w:rsidRDefault="007915FB">
      <w:pPr>
        <w:suppressAutoHyphens/>
        <w:ind w:left="720" w:hanging="720"/>
        <w:rPr>
          <w:sz w:val="24"/>
          <w:szCs w:val="24"/>
          <w:u w:val="single"/>
        </w:rPr>
      </w:pPr>
    </w:p>
    <w:p w:rsidR="00E93D0B" w:rsidRPr="00E93D0B" w:rsidRDefault="007915FB" w:rsidP="00E93D0B">
      <w:pPr>
        <w:suppressAutoHyphens/>
        <w:rPr>
          <w:sz w:val="24"/>
          <w:szCs w:val="24"/>
        </w:rPr>
      </w:pPr>
      <w:r w:rsidRPr="00E93D0B">
        <w:rPr>
          <w:sz w:val="24"/>
          <w:szCs w:val="24"/>
        </w:rPr>
        <w:lastRenderedPageBreak/>
        <w:tab/>
      </w:r>
      <w:r w:rsidR="00E93D0B" w:rsidRPr="00E93D0B">
        <w:rPr>
          <w:sz w:val="24"/>
          <w:szCs w:val="24"/>
        </w:rPr>
        <w:t>This question does not apply at this time.  The proposed rules will be published in the Federal register and the Commission will seek comment on this and other collections associated with the new rules.</w:t>
      </w:r>
    </w:p>
    <w:p w:rsidR="007915FB" w:rsidRPr="00E93D0B" w:rsidRDefault="007915FB" w:rsidP="00E93D0B">
      <w:pPr>
        <w:pStyle w:val="BodyTextIndent"/>
        <w:spacing w:line="240" w:lineRule="auto"/>
        <w:rPr>
          <w:sz w:val="24"/>
          <w:szCs w:val="24"/>
          <w:u w:val="single"/>
        </w:rPr>
      </w:pPr>
    </w:p>
    <w:p w:rsidR="007915FB" w:rsidRDefault="007915FB">
      <w:pPr>
        <w:suppressAutoHyphens/>
        <w:ind w:left="720" w:hanging="720"/>
        <w:rPr>
          <w:sz w:val="25"/>
          <w:u w:val="single"/>
        </w:rPr>
      </w:pPr>
      <w:r w:rsidRPr="00E93D0B">
        <w:rPr>
          <w:sz w:val="24"/>
          <w:szCs w:val="24"/>
        </w:rPr>
        <w:t xml:space="preserve"> </w:t>
      </w:r>
      <w:r w:rsidRPr="00E93D0B">
        <w:rPr>
          <w:sz w:val="24"/>
          <w:szCs w:val="24"/>
        </w:rPr>
        <w:tab/>
      </w:r>
      <w:r w:rsidRPr="00E93D0B">
        <w:rPr>
          <w:sz w:val="24"/>
          <w:szCs w:val="24"/>
          <w:u w:val="single"/>
        </w:rPr>
        <w:t>Consultation with representatives of those from whom information is to be obtained or those who must compile records should occur at least once every 3 years – even if the collection</w:t>
      </w:r>
      <w:r>
        <w:rPr>
          <w:sz w:val="25"/>
          <w:u w:val="single"/>
        </w:rPr>
        <w:t xml:space="preserve"> of information activity is the same as in prior periods.  There may be circumstances that may preclude consultation in a specific situation.  These circumstances should be explained.  </w:t>
      </w:r>
    </w:p>
    <w:p w:rsidR="007915FB" w:rsidRDefault="007915FB">
      <w:pPr>
        <w:suppressAutoHyphens/>
        <w:ind w:left="720" w:hanging="720"/>
        <w:rPr>
          <w:sz w:val="25"/>
          <w:u w:val="single"/>
        </w:rPr>
      </w:pPr>
    </w:p>
    <w:p w:rsidR="007915FB" w:rsidRDefault="007915FB">
      <w:pPr>
        <w:pStyle w:val="BodyTextIndent"/>
        <w:spacing w:line="240" w:lineRule="auto"/>
      </w:pPr>
      <w:r>
        <w:tab/>
        <w:t xml:space="preserve">No such circumstances occur.  </w:t>
      </w:r>
    </w:p>
    <w:p w:rsidR="007915FB" w:rsidRDefault="007915FB">
      <w:pPr>
        <w:suppressAutoHyphens/>
        <w:ind w:left="720" w:hanging="720"/>
        <w:rPr>
          <w:sz w:val="25"/>
          <w:u w:val="single"/>
        </w:rPr>
      </w:pPr>
    </w:p>
    <w:p w:rsidR="007915FB" w:rsidRDefault="007915FB">
      <w:pPr>
        <w:suppressAutoHyphens/>
        <w:ind w:left="720" w:hanging="720"/>
        <w:rPr>
          <w:sz w:val="25"/>
        </w:rPr>
      </w:pPr>
      <w:r>
        <w:rPr>
          <w:sz w:val="25"/>
        </w:rPr>
        <w:t xml:space="preserve"> 9.</w:t>
      </w:r>
      <w:r>
        <w:rPr>
          <w:sz w:val="25"/>
        </w:rPr>
        <w:tab/>
      </w:r>
      <w:r>
        <w:rPr>
          <w:sz w:val="25"/>
          <w:u w:val="single"/>
        </w:rPr>
        <w:t>Explain any decision to provide any payment or gift to respondents, other than remuneration of contractors or grantees.</w:t>
      </w:r>
    </w:p>
    <w:p w:rsidR="007915FB" w:rsidRDefault="007915FB">
      <w:pPr>
        <w:suppressAutoHyphens/>
        <w:ind w:left="720" w:hanging="720"/>
        <w:rPr>
          <w:sz w:val="25"/>
        </w:rPr>
      </w:pPr>
    </w:p>
    <w:p w:rsidR="007915FB" w:rsidRDefault="007915FB">
      <w:pPr>
        <w:suppressAutoHyphens/>
        <w:ind w:left="720" w:hanging="720"/>
        <w:rPr>
          <w:sz w:val="25"/>
        </w:rPr>
      </w:pPr>
      <w:r>
        <w:rPr>
          <w:sz w:val="25"/>
        </w:rPr>
        <w:tab/>
        <w:t>This question does not apply.</w:t>
      </w:r>
    </w:p>
    <w:p w:rsidR="007915FB" w:rsidRDefault="007915FB">
      <w:pPr>
        <w:suppressAutoHyphens/>
        <w:ind w:left="720" w:hanging="720"/>
        <w:rPr>
          <w:sz w:val="25"/>
        </w:rPr>
      </w:pPr>
    </w:p>
    <w:p w:rsidR="007915FB" w:rsidRDefault="007915FB">
      <w:pPr>
        <w:suppressAutoHyphens/>
        <w:ind w:left="720" w:hanging="720"/>
        <w:rPr>
          <w:sz w:val="25"/>
        </w:rPr>
      </w:pPr>
      <w:r>
        <w:rPr>
          <w:sz w:val="25"/>
        </w:rPr>
        <w:t>10.</w:t>
      </w:r>
      <w:r>
        <w:rPr>
          <w:sz w:val="25"/>
        </w:rPr>
        <w:tab/>
      </w:r>
      <w:r>
        <w:rPr>
          <w:sz w:val="25"/>
          <w:u w:val="single"/>
        </w:rPr>
        <w:t>Describe any assurance of confidentiality provided to respondents and the basis for the assurance in statute, regulation, or agency policy</w:t>
      </w:r>
      <w:r>
        <w:rPr>
          <w:sz w:val="25"/>
        </w:rPr>
        <w:t>.</w:t>
      </w:r>
    </w:p>
    <w:p w:rsidR="007915FB" w:rsidRDefault="007915FB">
      <w:pPr>
        <w:suppressAutoHyphens/>
        <w:ind w:left="720" w:hanging="720"/>
        <w:rPr>
          <w:sz w:val="25"/>
          <w:u w:val="single"/>
        </w:rPr>
      </w:pPr>
    </w:p>
    <w:p w:rsidR="007915FB" w:rsidRDefault="007915FB">
      <w:pPr>
        <w:suppressAutoHyphens/>
        <w:ind w:left="720" w:hanging="720"/>
        <w:rPr>
          <w:sz w:val="25"/>
        </w:rPr>
      </w:pPr>
      <w:r>
        <w:rPr>
          <w:sz w:val="25"/>
        </w:rPr>
        <w:tab/>
        <w:t xml:space="preserve">The Commission has provided no assurance of confidentiality above that provided by </w:t>
      </w:r>
    </w:p>
    <w:p w:rsidR="007915FB" w:rsidRDefault="007915FB">
      <w:pPr>
        <w:suppressAutoHyphens/>
        <w:ind w:left="720" w:hanging="720"/>
        <w:rPr>
          <w:sz w:val="25"/>
        </w:rPr>
      </w:pPr>
      <w:proofErr w:type="gramStart"/>
      <w:r>
        <w:rPr>
          <w:sz w:val="25"/>
        </w:rPr>
        <w:t>the</w:t>
      </w:r>
      <w:proofErr w:type="gramEnd"/>
      <w:r>
        <w:rPr>
          <w:sz w:val="25"/>
        </w:rPr>
        <w:t xml:space="preserve"> agency's Freedom of Information Act regulations, 17 C.F.R. Part 145.  Outside of the</w:t>
      </w:r>
    </w:p>
    <w:p w:rsidR="007915FB" w:rsidRDefault="007915FB">
      <w:pPr>
        <w:suppressAutoHyphens/>
        <w:ind w:left="720" w:hanging="720"/>
        <w:rPr>
          <w:sz w:val="25"/>
        </w:rPr>
      </w:pPr>
      <w:r>
        <w:rPr>
          <w:sz w:val="25"/>
        </w:rPr>
        <w:t xml:space="preserve">Freedom of Information Act, there is no basis for confidential treatment of any of the </w:t>
      </w:r>
    </w:p>
    <w:p w:rsidR="007915FB" w:rsidRDefault="007915FB">
      <w:pPr>
        <w:suppressAutoHyphens/>
        <w:ind w:left="720" w:hanging="720"/>
        <w:rPr>
          <w:sz w:val="25"/>
        </w:rPr>
      </w:pPr>
      <w:proofErr w:type="gramStart"/>
      <w:r>
        <w:rPr>
          <w:sz w:val="25"/>
        </w:rPr>
        <w:t>information</w:t>
      </w:r>
      <w:proofErr w:type="gramEnd"/>
      <w:r>
        <w:rPr>
          <w:sz w:val="25"/>
        </w:rPr>
        <w:t xml:space="preserve"> governed by these rules. </w:t>
      </w:r>
    </w:p>
    <w:p w:rsidR="007915FB" w:rsidRDefault="007915FB">
      <w:pPr>
        <w:suppressAutoHyphens/>
        <w:rPr>
          <w:sz w:val="25"/>
        </w:rPr>
      </w:pPr>
    </w:p>
    <w:p w:rsidR="007915FB" w:rsidRPr="00E93D0B" w:rsidRDefault="007915FB">
      <w:pPr>
        <w:suppressAutoHyphens/>
        <w:ind w:left="720" w:hanging="720"/>
        <w:rPr>
          <w:sz w:val="24"/>
          <w:szCs w:val="24"/>
        </w:rPr>
      </w:pPr>
      <w:r>
        <w:rPr>
          <w:sz w:val="25"/>
        </w:rPr>
        <w:t>11.</w:t>
      </w:r>
      <w:r>
        <w:rPr>
          <w:sz w:val="25"/>
        </w:rPr>
        <w:tab/>
      </w:r>
      <w:r>
        <w:rPr>
          <w:sz w:val="25"/>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 necessary, the specific uses to be made of the information, the explanation to be given to persons from whom the information is requested, and any </w:t>
      </w:r>
      <w:r w:rsidRPr="00E93D0B">
        <w:rPr>
          <w:sz w:val="24"/>
          <w:szCs w:val="24"/>
          <w:u w:val="single"/>
        </w:rPr>
        <w:t>steps to be taken to obtain their consent</w:t>
      </w:r>
      <w:r w:rsidRPr="00E93D0B">
        <w:rPr>
          <w:sz w:val="24"/>
          <w:szCs w:val="24"/>
        </w:rPr>
        <w:t>.</w:t>
      </w:r>
    </w:p>
    <w:p w:rsidR="007915FB" w:rsidRPr="00E93D0B" w:rsidRDefault="007915FB">
      <w:pPr>
        <w:suppressAutoHyphens/>
        <w:rPr>
          <w:sz w:val="24"/>
          <w:szCs w:val="24"/>
        </w:rPr>
      </w:pPr>
    </w:p>
    <w:p w:rsidR="00E93D0B" w:rsidRPr="00E93D0B" w:rsidRDefault="00E93D0B" w:rsidP="00E93D0B">
      <w:pPr>
        <w:suppressAutoHyphens/>
        <w:ind w:firstLine="720"/>
        <w:rPr>
          <w:sz w:val="24"/>
          <w:szCs w:val="24"/>
        </w:rPr>
      </w:pPr>
      <w:r w:rsidRPr="00E93D0B">
        <w:rPr>
          <w:sz w:val="24"/>
          <w:szCs w:val="24"/>
        </w:rPr>
        <w:t>The regulations covered by this collection do not require the giving of sensitive information, as that term is used in Question 11.</w:t>
      </w:r>
    </w:p>
    <w:p w:rsidR="00E93D0B" w:rsidRPr="00E93D0B" w:rsidRDefault="00E93D0B" w:rsidP="00E93D0B">
      <w:pPr>
        <w:suppressAutoHyphens/>
        <w:rPr>
          <w:sz w:val="24"/>
          <w:szCs w:val="24"/>
        </w:rPr>
      </w:pPr>
    </w:p>
    <w:p w:rsidR="007915FB" w:rsidRPr="00E93D0B" w:rsidRDefault="007915FB">
      <w:pPr>
        <w:pStyle w:val="BodyText"/>
        <w:spacing w:line="240" w:lineRule="auto"/>
        <w:ind w:left="720"/>
        <w:rPr>
          <w:sz w:val="24"/>
          <w:szCs w:val="24"/>
        </w:rPr>
      </w:pPr>
    </w:p>
    <w:p w:rsidR="007915FB" w:rsidRDefault="007915FB">
      <w:pPr>
        <w:suppressAutoHyphens/>
        <w:ind w:left="720" w:hanging="720"/>
        <w:rPr>
          <w:sz w:val="25"/>
          <w:u w:val="single"/>
        </w:rPr>
      </w:pPr>
      <w:r w:rsidRPr="00E93D0B">
        <w:rPr>
          <w:sz w:val="24"/>
          <w:szCs w:val="24"/>
        </w:rPr>
        <w:t>12.</w:t>
      </w:r>
      <w:r w:rsidRPr="00E93D0B">
        <w:rPr>
          <w:sz w:val="24"/>
          <w:szCs w:val="24"/>
        </w:rPr>
        <w:tab/>
      </w:r>
      <w:r w:rsidRPr="00E93D0B">
        <w:rPr>
          <w:sz w:val="24"/>
          <w:szCs w:val="24"/>
          <w:u w:val="single"/>
        </w:rPr>
        <w:t>Provide</w:t>
      </w:r>
      <w:r>
        <w:rPr>
          <w:sz w:val="25"/>
          <w:u w:val="single"/>
        </w:rPr>
        <w:t xml:space="preserve"> estimates of the hour burden of the collection of information.  The statement </w:t>
      </w:r>
    </w:p>
    <w:p w:rsidR="007915FB" w:rsidRDefault="007915FB">
      <w:pPr>
        <w:suppressAutoHyphens/>
        <w:ind w:left="720"/>
        <w:rPr>
          <w:sz w:val="25"/>
          <w:u w:val="single"/>
        </w:rPr>
      </w:pPr>
      <w:proofErr w:type="gramStart"/>
      <w:r>
        <w:rPr>
          <w:sz w:val="25"/>
          <w:u w:val="single"/>
        </w:rPr>
        <w:t>should</w:t>
      </w:r>
      <w:proofErr w:type="gramEnd"/>
      <w:r>
        <w:rPr>
          <w:sz w:val="25"/>
          <w:u w:val="single"/>
        </w:rPr>
        <w:t xml:space="preserve">: </w:t>
      </w:r>
    </w:p>
    <w:p w:rsidR="007915FB" w:rsidRDefault="007915FB">
      <w:pPr>
        <w:suppressAutoHyphens/>
        <w:ind w:left="720"/>
        <w:rPr>
          <w:sz w:val="25"/>
          <w:u w:val="single"/>
        </w:rPr>
      </w:pPr>
    </w:p>
    <w:p w:rsidR="007915FB" w:rsidRDefault="007915FB">
      <w:pPr>
        <w:suppressAutoHyphens/>
        <w:ind w:left="720"/>
        <w:rPr>
          <w:sz w:val="25"/>
        </w:rPr>
      </w:pPr>
      <w:r>
        <w:rPr>
          <w:sz w:val="25"/>
        </w:rPr>
        <w:t>-</w:t>
      </w:r>
      <w:r>
        <w:rPr>
          <w:sz w:val="25"/>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 in activity, size or complexity, show the range of </w:t>
      </w:r>
      <w:r>
        <w:rPr>
          <w:sz w:val="25"/>
        </w:rPr>
        <w:lastRenderedPageBreak/>
        <w:t xml:space="preserve">estimated hour burden, and explain the reasons for the variance.  Generally, estimates should not include burden hours for customary and usual business practices.  </w:t>
      </w:r>
    </w:p>
    <w:p w:rsidR="007915FB" w:rsidRDefault="007915FB">
      <w:pPr>
        <w:suppressAutoHyphens/>
        <w:ind w:left="720"/>
        <w:rPr>
          <w:sz w:val="25"/>
        </w:rPr>
      </w:pPr>
    </w:p>
    <w:p w:rsidR="007915FB" w:rsidRDefault="007915FB">
      <w:pPr>
        <w:suppressAutoHyphens/>
        <w:ind w:left="720"/>
        <w:rPr>
          <w:sz w:val="25"/>
        </w:rPr>
      </w:pPr>
      <w:r>
        <w:rPr>
          <w:sz w:val="25"/>
        </w:rPr>
        <w:t>-</w:t>
      </w:r>
      <w:r>
        <w:rPr>
          <w:sz w:val="25"/>
        </w:rPr>
        <w:tab/>
        <w:t xml:space="preserve">If the request for approval covers more than one form, provide separate hour burden estimates for each form and aggregate the hour burdens in item 13 of OMB form 83-I.  </w:t>
      </w:r>
    </w:p>
    <w:p w:rsidR="007915FB" w:rsidRDefault="007915FB">
      <w:pPr>
        <w:suppressAutoHyphens/>
        <w:ind w:left="720"/>
        <w:rPr>
          <w:sz w:val="25"/>
        </w:rPr>
      </w:pPr>
    </w:p>
    <w:p w:rsidR="007915FB" w:rsidRDefault="007915FB">
      <w:pPr>
        <w:suppressAutoHyphens/>
        <w:ind w:left="720"/>
        <w:rPr>
          <w:sz w:val="25"/>
        </w:rPr>
      </w:pPr>
      <w:r>
        <w:rPr>
          <w:sz w:val="25"/>
        </w:rPr>
        <w:t>-</w:t>
      </w:r>
      <w:r>
        <w:rPr>
          <w:sz w:val="25"/>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7915FB" w:rsidRDefault="007915FB">
      <w:pPr>
        <w:suppressAutoHyphens/>
        <w:ind w:left="720"/>
        <w:rPr>
          <w:sz w:val="25"/>
        </w:rPr>
      </w:pPr>
    </w:p>
    <w:p w:rsidR="007915FB" w:rsidRDefault="007915FB">
      <w:pPr>
        <w:suppressAutoHyphens/>
        <w:ind w:left="720"/>
        <w:rPr>
          <w:sz w:val="25"/>
        </w:rPr>
      </w:pPr>
      <w:r>
        <w:rPr>
          <w:sz w:val="25"/>
        </w:rPr>
        <w:t xml:space="preserve">See Attachment A.  Depending on the technical expertise of the filer or recordkeeper, </w:t>
      </w:r>
    </w:p>
    <w:p w:rsidR="007915FB" w:rsidRDefault="007915FB">
      <w:pPr>
        <w:suppressAutoHyphens/>
        <w:rPr>
          <w:sz w:val="25"/>
        </w:rPr>
      </w:pPr>
      <w:proofErr w:type="gramStart"/>
      <w:r>
        <w:rPr>
          <w:sz w:val="25"/>
        </w:rPr>
        <w:t>the</w:t>
      </w:r>
      <w:proofErr w:type="gramEnd"/>
      <w:r>
        <w:rPr>
          <w:sz w:val="25"/>
        </w:rPr>
        <w:t xml:space="preserve"> cost to the public of the hour burdens varies between $10 to $25 per hour. </w:t>
      </w:r>
    </w:p>
    <w:p w:rsidR="007915FB" w:rsidRDefault="007915FB">
      <w:pPr>
        <w:suppressAutoHyphens/>
        <w:rPr>
          <w:sz w:val="25"/>
        </w:rPr>
      </w:pPr>
    </w:p>
    <w:p w:rsidR="007915FB" w:rsidRDefault="007915FB">
      <w:pPr>
        <w:suppressAutoHyphens/>
        <w:ind w:left="720" w:hanging="720"/>
        <w:rPr>
          <w:sz w:val="25"/>
          <w:u w:val="single"/>
        </w:rPr>
      </w:pPr>
      <w:r>
        <w:rPr>
          <w:sz w:val="25"/>
        </w:rPr>
        <w:t>13.</w:t>
      </w:r>
      <w:r>
        <w:rPr>
          <w:sz w:val="25"/>
        </w:rPr>
        <w:tab/>
      </w:r>
      <w:r>
        <w:rPr>
          <w:sz w:val="25"/>
          <w:u w:val="single"/>
        </w:rPr>
        <w:t xml:space="preserve">Provide an estimate of the total annual cost burden to respondents or recordkeepers resulting from the collection of information.  (Do not include the cost of any hour burden shown in Items 12 and 14.  </w:t>
      </w:r>
    </w:p>
    <w:p w:rsidR="007915FB" w:rsidRDefault="007915FB">
      <w:pPr>
        <w:suppressAutoHyphens/>
        <w:ind w:left="720" w:hanging="720"/>
        <w:rPr>
          <w:sz w:val="25"/>
          <w:u w:val="single"/>
        </w:rPr>
      </w:pPr>
    </w:p>
    <w:p w:rsidR="007915FB" w:rsidRDefault="007915FB">
      <w:pPr>
        <w:pStyle w:val="BodyTextIndent"/>
        <w:spacing w:line="240" w:lineRule="auto"/>
        <w:ind w:left="1440"/>
      </w:pPr>
      <w:r>
        <w:t>-</w:t>
      </w:r>
      <w: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915FB" w:rsidRDefault="007915FB">
      <w:pPr>
        <w:suppressAutoHyphens/>
        <w:ind w:left="720" w:hanging="720"/>
        <w:rPr>
          <w:sz w:val="25"/>
        </w:rPr>
      </w:pPr>
    </w:p>
    <w:p w:rsidR="007915FB" w:rsidRDefault="007915FB">
      <w:pPr>
        <w:pStyle w:val="BodyTextIndent3"/>
      </w:pPr>
      <w:r>
        <w:t>-</w:t>
      </w:r>
      <w: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 than ten), utilize the 60-day pre-OMB submission public comment process and use existing economic or regulatory impact analysis associated with the rulemaking containing the information collection, as appropriate.  </w:t>
      </w:r>
    </w:p>
    <w:p w:rsidR="007915FB" w:rsidRDefault="007915FB">
      <w:pPr>
        <w:suppressAutoHyphens/>
        <w:ind w:left="720" w:hanging="720"/>
        <w:rPr>
          <w:sz w:val="25"/>
        </w:rPr>
      </w:pPr>
    </w:p>
    <w:p w:rsidR="007915FB" w:rsidRDefault="007915FB">
      <w:pPr>
        <w:pStyle w:val="BodyTextIndent"/>
        <w:spacing w:line="240" w:lineRule="auto"/>
        <w:ind w:left="1440"/>
      </w:pPr>
      <w:r>
        <w:t>-</w:t>
      </w:r>
      <w: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lastRenderedPageBreak/>
        <w:t>government,</w:t>
      </w:r>
      <w:proofErr w:type="gramEnd"/>
      <w:r>
        <w:t xml:space="preserve"> or (4) as part of customary and usual business or private practices.  </w:t>
      </w:r>
    </w:p>
    <w:p w:rsidR="007915FB" w:rsidRDefault="007915FB">
      <w:pPr>
        <w:suppressAutoHyphens/>
        <w:ind w:left="720" w:hanging="720"/>
        <w:rPr>
          <w:sz w:val="25"/>
        </w:rPr>
      </w:pPr>
    </w:p>
    <w:p w:rsidR="007915FB" w:rsidRDefault="007915FB">
      <w:pPr>
        <w:suppressAutoHyphens/>
        <w:ind w:left="720"/>
        <w:rPr>
          <w:sz w:val="25"/>
        </w:rPr>
      </w:pPr>
      <w:r>
        <w:rPr>
          <w:sz w:val="25"/>
        </w:rPr>
        <w:t xml:space="preserve">See Attachment A. </w:t>
      </w:r>
    </w:p>
    <w:p w:rsidR="007915FB" w:rsidRDefault="007915FB">
      <w:pPr>
        <w:suppressAutoHyphens/>
        <w:ind w:left="720" w:hanging="720"/>
        <w:rPr>
          <w:sz w:val="25"/>
          <w:u w:val="single"/>
        </w:rPr>
      </w:pPr>
    </w:p>
    <w:p w:rsidR="007915FB" w:rsidRDefault="007915FB">
      <w:pPr>
        <w:suppressAutoHyphens/>
        <w:ind w:left="720" w:hanging="720"/>
        <w:rPr>
          <w:sz w:val="25"/>
          <w:u w:val="single"/>
        </w:rPr>
      </w:pPr>
      <w:r>
        <w:rPr>
          <w:sz w:val="25"/>
        </w:rPr>
        <w:t>14.</w:t>
      </w:r>
      <w:r>
        <w:rPr>
          <w:sz w:val="25"/>
        </w:rPr>
        <w:tab/>
      </w:r>
      <w:r>
        <w:rPr>
          <w:sz w:val="25"/>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915FB" w:rsidRDefault="007915FB">
      <w:pPr>
        <w:suppressAutoHyphens/>
        <w:ind w:left="720" w:hanging="720"/>
        <w:rPr>
          <w:sz w:val="25"/>
          <w:u w:val="single"/>
        </w:rPr>
      </w:pPr>
    </w:p>
    <w:p w:rsidR="00CE635E" w:rsidRDefault="00CE635E" w:rsidP="00CE635E">
      <w:pPr>
        <w:pStyle w:val="BodyTextIndent"/>
        <w:spacing w:line="240" w:lineRule="auto"/>
        <w:ind w:left="0" w:firstLine="720"/>
      </w:pPr>
      <w:r>
        <w:t xml:space="preserve">The primary costs for reviewing and analyzing documents under this collection are the salaries and benefits of existing staff, including auditors and attorneys.  </w:t>
      </w:r>
    </w:p>
    <w:p w:rsidR="002C09D5" w:rsidRDefault="002C09D5">
      <w:pPr>
        <w:pStyle w:val="BodyTextIndent"/>
        <w:spacing w:line="240" w:lineRule="auto"/>
        <w:ind w:firstLine="0"/>
      </w:pPr>
    </w:p>
    <w:p w:rsidR="007915FB" w:rsidRDefault="007915FB">
      <w:pPr>
        <w:tabs>
          <w:tab w:val="left" w:pos="-720"/>
        </w:tabs>
        <w:suppressAutoHyphens/>
        <w:ind w:left="720" w:hanging="720"/>
        <w:rPr>
          <w:sz w:val="25"/>
          <w:u w:val="single"/>
        </w:rPr>
      </w:pPr>
      <w:r>
        <w:rPr>
          <w:sz w:val="25"/>
        </w:rPr>
        <w:t>15.</w:t>
      </w:r>
      <w:r>
        <w:rPr>
          <w:sz w:val="25"/>
        </w:rPr>
        <w:tab/>
      </w:r>
      <w:r>
        <w:rPr>
          <w:sz w:val="25"/>
          <w:u w:val="single"/>
        </w:rPr>
        <w:t xml:space="preserve">Explain the reasons for any program changes or adjustments report in Items 13 or 14 of the OMB Form 83-I.  </w:t>
      </w:r>
    </w:p>
    <w:p w:rsidR="007915FB" w:rsidRDefault="007915FB">
      <w:pPr>
        <w:pStyle w:val="BodyText"/>
        <w:tabs>
          <w:tab w:val="left" w:pos="-720"/>
        </w:tabs>
        <w:spacing w:line="240" w:lineRule="auto"/>
        <w:rPr>
          <w:u w:val="single"/>
        </w:rPr>
      </w:pPr>
    </w:p>
    <w:p w:rsidR="007915FB" w:rsidRDefault="007915FB" w:rsidP="007670E6">
      <w:pPr>
        <w:pStyle w:val="BodyText"/>
        <w:tabs>
          <w:tab w:val="left" w:pos="-720"/>
        </w:tabs>
        <w:spacing w:line="240" w:lineRule="auto"/>
      </w:pPr>
      <w:r>
        <w:tab/>
      </w:r>
      <w:r w:rsidR="002C09D5">
        <w:t xml:space="preserve">As discussed above in the response to Question 2, </w:t>
      </w:r>
    </w:p>
    <w:p w:rsidR="007915FB" w:rsidRDefault="007915FB">
      <w:pPr>
        <w:pStyle w:val="BodyText"/>
        <w:tabs>
          <w:tab w:val="left" w:pos="-720"/>
        </w:tabs>
        <w:spacing w:line="240" w:lineRule="auto"/>
      </w:pPr>
    </w:p>
    <w:p w:rsidR="007915FB" w:rsidRDefault="007915FB">
      <w:pPr>
        <w:suppressAutoHyphens/>
        <w:ind w:left="720" w:hanging="720"/>
        <w:rPr>
          <w:sz w:val="25"/>
          <w:u w:val="single"/>
        </w:rPr>
      </w:pPr>
      <w:r>
        <w:rPr>
          <w:sz w:val="25"/>
        </w:rPr>
        <w:t>16.</w:t>
      </w:r>
      <w:r>
        <w:rPr>
          <w:sz w:val="25"/>
        </w:rPr>
        <w:tab/>
      </w:r>
      <w:r>
        <w:rPr>
          <w:sz w:val="25"/>
          <w:u w:val="single"/>
        </w:rPr>
        <w:t xml:space="preserve">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This question does not apply.</w:t>
      </w:r>
    </w:p>
    <w:p w:rsidR="007915FB" w:rsidRDefault="007915FB">
      <w:pPr>
        <w:rPr>
          <w:sz w:val="25"/>
        </w:rPr>
      </w:pPr>
    </w:p>
    <w:p w:rsidR="007915FB" w:rsidRDefault="007915FB">
      <w:pPr>
        <w:suppressAutoHyphens/>
        <w:ind w:left="720" w:hanging="720"/>
        <w:rPr>
          <w:sz w:val="25"/>
          <w:u w:val="single"/>
        </w:rPr>
      </w:pPr>
      <w:r>
        <w:rPr>
          <w:sz w:val="25"/>
        </w:rPr>
        <w:t>17.</w:t>
      </w:r>
      <w:r>
        <w:rPr>
          <w:sz w:val="25"/>
        </w:rPr>
        <w:tab/>
      </w:r>
      <w:r>
        <w:rPr>
          <w:sz w:val="25"/>
          <w:u w:val="single"/>
        </w:rPr>
        <w:t>If seeking approval to not display the expiration date for OMB approval of the information collection, explain the reasons that display would be inappropriate.</w:t>
      </w:r>
    </w:p>
    <w:p w:rsidR="007915FB" w:rsidRDefault="007915FB">
      <w:pPr>
        <w:suppressAutoHyphens/>
        <w:rPr>
          <w:sz w:val="25"/>
          <w:u w:val="single"/>
        </w:rPr>
      </w:pPr>
    </w:p>
    <w:p w:rsidR="007915FB" w:rsidRDefault="007915FB">
      <w:pPr>
        <w:suppressAutoHyphens/>
        <w:rPr>
          <w:sz w:val="25"/>
        </w:rPr>
      </w:pPr>
      <w:r>
        <w:rPr>
          <w:sz w:val="25"/>
        </w:rPr>
        <w:tab/>
        <w:t xml:space="preserve">This question does not apply.  </w:t>
      </w:r>
    </w:p>
    <w:p w:rsidR="007915FB" w:rsidRDefault="007915FB">
      <w:pPr>
        <w:suppressAutoHyphens/>
        <w:rPr>
          <w:sz w:val="25"/>
        </w:rPr>
      </w:pPr>
    </w:p>
    <w:p w:rsidR="007915FB" w:rsidRDefault="007915FB">
      <w:pPr>
        <w:suppressAutoHyphens/>
        <w:ind w:left="720" w:hanging="720"/>
        <w:rPr>
          <w:sz w:val="25"/>
        </w:rPr>
      </w:pPr>
      <w:r>
        <w:rPr>
          <w:sz w:val="25"/>
        </w:rPr>
        <w:t>18.</w:t>
      </w:r>
      <w:r>
        <w:rPr>
          <w:sz w:val="25"/>
        </w:rPr>
        <w:tab/>
      </w:r>
      <w:r>
        <w:rPr>
          <w:sz w:val="25"/>
          <w:u w:val="single"/>
        </w:rPr>
        <w:t>Explain each exception to the certification statement identified in Item 19, “Certification for Paperwork Reduction Act Submissions,” of OMB Form 83-I.</w:t>
      </w:r>
    </w:p>
    <w:p w:rsidR="007915FB" w:rsidRDefault="007915FB">
      <w:pPr>
        <w:suppressAutoHyphens/>
        <w:rPr>
          <w:sz w:val="25"/>
        </w:rPr>
      </w:pPr>
    </w:p>
    <w:p w:rsidR="00303CA8" w:rsidRDefault="007915FB">
      <w:pPr>
        <w:suppressAutoHyphens/>
        <w:rPr>
          <w:sz w:val="25"/>
        </w:rPr>
      </w:pPr>
      <w:r>
        <w:rPr>
          <w:sz w:val="25"/>
        </w:rPr>
        <w:tab/>
        <w:t xml:space="preserve">No exceptions exist.   </w:t>
      </w:r>
    </w:p>
    <w:p w:rsidR="008A68F0" w:rsidRDefault="008A68F0" w:rsidP="00303CA8">
      <w:pPr>
        <w:rPr>
          <w:sz w:val="25"/>
        </w:rPr>
        <w:sectPr w:rsidR="008A68F0" w:rsidSect="000F0431">
          <w:headerReference w:type="default" r:id="rId6"/>
          <w:pgSz w:w="12240" w:h="15840" w:code="1"/>
          <w:pgMar w:top="1440" w:right="1440" w:bottom="1440" w:left="1440" w:header="720" w:footer="720" w:gutter="0"/>
          <w:cols w:space="720"/>
          <w:titlePg/>
        </w:sectPr>
      </w:pPr>
    </w:p>
    <w:p w:rsidR="0030492D" w:rsidRDefault="0030492D" w:rsidP="008A68F0">
      <w:pPr>
        <w:jc w:val="center"/>
        <w:rPr>
          <w:sz w:val="24"/>
        </w:rPr>
      </w:pPr>
    </w:p>
    <w:p w:rsidR="0030492D" w:rsidRDefault="0030492D" w:rsidP="008A68F0">
      <w:pPr>
        <w:jc w:val="center"/>
        <w:rPr>
          <w:sz w:val="24"/>
        </w:rPr>
      </w:pPr>
    </w:p>
    <w:p w:rsidR="0030492D" w:rsidRDefault="0030492D" w:rsidP="008A68F0">
      <w:pPr>
        <w:jc w:val="center"/>
        <w:rPr>
          <w:sz w:val="24"/>
        </w:rPr>
      </w:pPr>
    </w:p>
    <w:p w:rsidR="0030492D" w:rsidRDefault="0030492D" w:rsidP="008A68F0">
      <w:pPr>
        <w:jc w:val="center"/>
        <w:rPr>
          <w:sz w:val="24"/>
        </w:rPr>
      </w:pPr>
    </w:p>
    <w:p w:rsidR="00303CA8" w:rsidRDefault="008A68F0" w:rsidP="008A68F0">
      <w:pPr>
        <w:jc w:val="center"/>
        <w:rPr>
          <w:sz w:val="24"/>
        </w:rPr>
      </w:pPr>
      <w:r w:rsidRPr="008A68F0">
        <w:rPr>
          <w:sz w:val="24"/>
        </w:rPr>
        <w:t>Attachment A</w:t>
      </w:r>
    </w:p>
    <w:p w:rsidR="002C09D5" w:rsidRDefault="002C09D5" w:rsidP="008A68F0">
      <w:pPr>
        <w:jc w:val="center"/>
        <w:rPr>
          <w:sz w:val="24"/>
        </w:rPr>
      </w:pPr>
    </w:p>
    <w:p w:rsidR="002C09D5" w:rsidRPr="002C09D5" w:rsidRDefault="002C09D5" w:rsidP="002C09D5">
      <w:pPr>
        <w:rPr>
          <w:rFonts w:ascii="Arial" w:hAnsi="Arial" w:cs="Arial"/>
          <w:b/>
          <w:sz w:val="24"/>
          <w:szCs w:val="24"/>
        </w:rPr>
      </w:pPr>
      <w:r w:rsidRPr="002C09D5">
        <w:rPr>
          <w:rFonts w:ascii="Arial" w:hAnsi="Arial" w:cs="Arial"/>
          <w:b/>
          <w:sz w:val="24"/>
          <w:szCs w:val="24"/>
        </w:rPr>
        <w:t>Collection 3038-0005:  Rules Relating to the Operations and Activities of Commodity Pool Operators and Commodity Trading Advisors and to Monthly Reporting by Futures Commission Merchants</w:t>
      </w:r>
    </w:p>
    <w:tbl>
      <w:tblPr>
        <w:tblW w:w="9450" w:type="dxa"/>
        <w:tblInd w:w="-76" w:type="dxa"/>
        <w:tblLayout w:type="fixed"/>
        <w:tblLook w:val="04A0"/>
      </w:tblPr>
      <w:tblGrid>
        <w:gridCol w:w="94"/>
        <w:gridCol w:w="2388"/>
        <w:gridCol w:w="94"/>
        <w:gridCol w:w="1204"/>
        <w:gridCol w:w="94"/>
        <w:gridCol w:w="982"/>
        <w:gridCol w:w="94"/>
        <w:gridCol w:w="986"/>
        <w:gridCol w:w="94"/>
        <w:gridCol w:w="986"/>
        <w:gridCol w:w="94"/>
        <w:gridCol w:w="986"/>
        <w:gridCol w:w="94"/>
        <w:gridCol w:w="1260"/>
      </w:tblGrid>
      <w:tr w:rsidR="002C09D5" w:rsidRPr="008F2051" w:rsidTr="0030492D">
        <w:trPr>
          <w:gridBefore w:val="1"/>
          <w:wBefore w:w="94" w:type="dxa"/>
          <w:trHeight w:val="1737"/>
        </w:trPr>
        <w:tc>
          <w:tcPr>
            <w:tcW w:w="2482" w:type="dxa"/>
            <w:gridSpan w:val="2"/>
            <w:tcBorders>
              <w:top w:val="nil"/>
              <w:left w:val="nil"/>
              <w:bottom w:val="nil"/>
              <w:right w:val="nil"/>
            </w:tcBorders>
            <w:shd w:val="clear" w:color="auto" w:fill="auto"/>
            <w:tcMar>
              <w:left w:w="14" w:type="dxa"/>
              <w:right w:w="14" w:type="dxa"/>
            </w:tcMar>
            <w:vAlign w:val="bottom"/>
            <w:hideMark/>
          </w:tcPr>
          <w:p w:rsidR="002C09D5" w:rsidRPr="008F2051" w:rsidRDefault="002C09D5" w:rsidP="002C09D5">
            <w:pPr>
              <w:rPr>
                <w:rFonts w:ascii="Arial" w:hAnsi="Arial" w:cs="Arial"/>
                <w:color w:val="000000"/>
                <w:sz w:val="16"/>
                <w:szCs w:val="16"/>
              </w:rPr>
            </w:pPr>
          </w:p>
          <w:p w:rsidR="002C09D5" w:rsidRPr="008F2051" w:rsidRDefault="002C09D5" w:rsidP="002C09D5">
            <w:pPr>
              <w:rPr>
                <w:rFonts w:ascii="Arial" w:hAnsi="Arial" w:cs="Arial"/>
                <w:color w:val="000000"/>
                <w:sz w:val="16"/>
                <w:szCs w:val="16"/>
              </w:rPr>
            </w:pPr>
          </w:p>
        </w:tc>
        <w:tc>
          <w:tcPr>
            <w:tcW w:w="1298" w:type="dxa"/>
            <w:gridSpan w:val="2"/>
            <w:tcBorders>
              <w:top w:val="nil"/>
              <w:left w:val="nil"/>
              <w:bottom w:val="nil"/>
              <w:right w:val="nil"/>
            </w:tcBorders>
            <w:shd w:val="clear" w:color="auto" w:fill="auto"/>
            <w:tcMar>
              <w:left w:w="14" w:type="dxa"/>
              <w:right w:w="14" w:type="dxa"/>
            </w:tcMar>
            <w:vAlign w:val="bottom"/>
            <w:hideMark/>
          </w:tcPr>
          <w:p w:rsidR="002C09D5" w:rsidRDefault="002C09D5" w:rsidP="002C09D5">
            <w:pPr>
              <w:jc w:val="center"/>
              <w:rPr>
                <w:rFonts w:ascii="Arial" w:hAnsi="Arial" w:cs="Arial"/>
                <w:color w:val="000000"/>
                <w:sz w:val="14"/>
                <w:szCs w:val="14"/>
              </w:rPr>
            </w:pPr>
            <w:r w:rsidRPr="00255A6E">
              <w:rPr>
                <w:rFonts w:ascii="Arial" w:hAnsi="Arial" w:cs="Arial"/>
                <w:color w:val="000000"/>
                <w:sz w:val="14"/>
                <w:szCs w:val="14"/>
              </w:rPr>
              <w:t>ESTIM</w:t>
            </w:r>
            <w:r>
              <w:rPr>
                <w:rFonts w:ascii="Arial" w:hAnsi="Arial" w:cs="Arial"/>
                <w:color w:val="000000"/>
                <w:sz w:val="14"/>
                <w:szCs w:val="14"/>
              </w:rPr>
              <w:t>ATED # OF RESPONDENTS OR RECORD</w:t>
            </w:r>
            <w:r w:rsidRPr="00255A6E">
              <w:rPr>
                <w:rFonts w:ascii="Arial" w:hAnsi="Arial" w:cs="Arial"/>
                <w:color w:val="000000"/>
                <w:sz w:val="14"/>
                <w:szCs w:val="14"/>
              </w:rPr>
              <w:t>KEEPERS</w:t>
            </w:r>
          </w:p>
          <w:p w:rsidR="002C09D5" w:rsidRPr="00255A6E" w:rsidRDefault="002C09D5" w:rsidP="002C09D5">
            <w:pPr>
              <w:jc w:val="center"/>
              <w:rPr>
                <w:rFonts w:ascii="Arial" w:hAnsi="Arial" w:cs="Arial"/>
                <w:color w:val="000000"/>
                <w:sz w:val="14"/>
                <w:szCs w:val="14"/>
              </w:rPr>
            </w:pPr>
            <w:r w:rsidRPr="00255A6E">
              <w:rPr>
                <w:rFonts w:ascii="Arial" w:hAnsi="Arial" w:cs="Arial"/>
                <w:color w:val="000000"/>
                <w:sz w:val="14"/>
                <w:szCs w:val="14"/>
              </w:rPr>
              <w:t>PER YEAR</w:t>
            </w:r>
          </w:p>
        </w:tc>
        <w:tc>
          <w:tcPr>
            <w:tcW w:w="1076" w:type="dxa"/>
            <w:gridSpan w:val="2"/>
            <w:tcBorders>
              <w:top w:val="nil"/>
              <w:left w:val="nil"/>
              <w:bottom w:val="nil"/>
              <w:right w:val="nil"/>
            </w:tcBorders>
            <w:shd w:val="clear" w:color="auto" w:fill="auto"/>
            <w:tcMar>
              <w:left w:w="14" w:type="dxa"/>
              <w:right w:w="14" w:type="dxa"/>
            </w:tcMar>
            <w:vAlign w:val="bottom"/>
            <w:hideMark/>
          </w:tcPr>
          <w:p w:rsidR="002C09D5" w:rsidRPr="00255A6E" w:rsidRDefault="002C09D5" w:rsidP="002C09D5">
            <w:pPr>
              <w:jc w:val="center"/>
              <w:rPr>
                <w:rFonts w:ascii="Arial" w:hAnsi="Arial" w:cs="Arial"/>
                <w:color w:val="000000"/>
                <w:sz w:val="14"/>
                <w:szCs w:val="14"/>
              </w:rPr>
            </w:pPr>
            <w:r w:rsidRPr="00255A6E">
              <w:rPr>
                <w:rFonts w:ascii="Arial" w:hAnsi="Arial" w:cs="Arial"/>
                <w:color w:val="000000"/>
                <w:sz w:val="14"/>
                <w:szCs w:val="14"/>
              </w:rPr>
              <w:t>POOLS BY EACH RESPONDENT</w:t>
            </w:r>
          </w:p>
        </w:tc>
        <w:tc>
          <w:tcPr>
            <w:tcW w:w="1080" w:type="dxa"/>
            <w:gridSpan w:val="2"/>
            <w:tcBorders>
              <w:top w:val="nil"/>
              <w:left w:val="nil"/>
              <w:bottom w:val="nil"/>
              <w:right w:val="nil"/>
            </w:tcBorders>
            <w:shd w:val="clear" w:color="auto" w:fill="auto"/>
            <w:tcMar>
              <w:left w:w="14" w:type="dxa"/>
              <w:right w:w="14" w:type="dxa"/>
            </w:tcMar>
            <w:vAlign w:val="bottom"/>
            <w:hideMark/>
          </w:tcPr>
          <w:p w:rsidR="002C09D5" w:rsidRPr="00255A6E" w:rsidRDefault="002C09D5" w:rsidP="002C09D5">
            <w:pPr>
              <w:jc w:val="center"/>
              <w:rPr>
                <w:rFonts w:ascii="Arial" w:hAnsi="Arial" w:cs="Arial"/>
                <w:color w:val="000000"/>
                <w:sz w:val="14"/>
                <w:szCs w:val="14"/>
              </w:rPr>
            </w:pPr>
            <w:r w:rsidRPr="00255A6E">
              <w:rPr>
                <w:rFonts w:ascii="Arial" w:hAnsi="Arial" w:cs="Arial"/>
                <w:color w:val="000000"/>
                <w:sz w:val="14"/>
                <w:szCs w:val="14"/>
              </w:rPr>
              <w:t>REPORTS ANNUALLY BY EACH POOL OR RESPONDENT, AS APPLICABLE</w:t>
            </w:r>
          </w:p>
        </w:tc>
        <w:tc>
          <w:tcPr>
            <w:tcW w:w="1080" w:type="dxa"/>
            <w:gridSpan w:val="2"/>
            <w:tcBorders>
              <w:top w:val="nil"/>
              <w:left w:val="nil"/>
              <w:bottom w:val="nil"/>
              <w:right w:val="nil"/>
            </w:tcBorders>
            <w:shd w:val="clear" w:color="auto" w:fill="auto"/>
            <w:tcMar>
              <w:left w:w="14" w:type="dxa"/>
              <w:right w:w="14" w:type="dxa"/>
            </w:tcMar>
            <w:vAlign w:val="bottom"/>
            <w:hideMark/>
          </w:tcPr>
          <w:p w:rsidR="002C09D5" w:rsidRPr="00255A6E" w:rsidRDefault="002C09D5" w:rsidP="002C09D5">
            <w:pPr>
              <w:jc w:val="center"/>
              <w:rPr>
                <w:rFonts w:ascii="Arial" w:hAnsi="Arial" w:cs="Arial"/>
                <w:color w:val="000000"/>
                <w:sz w:val="14"/>
                <w:szCs w:val="14"/>
              </w:rPr>
            </w:pPr>
            <w:r w:rsidRPr="00255A6E">
              <w:rPr>
                <w:rFonts w:ascii="Arial" w:hAnsi="Arial" w:cs="Arial"/>
                <w:color w:val="000000"/>
                <w:sz w:val="14"/>
                <w:szCs w:val="14"/>
              </w:rPr>
              <w:t>TOTAL ANNUAL RESPONSES</w:t>
            </w:r>
          </w:p>
        </w:tc>
        <w:tc>
          <w:tcPr>
            <w:tcW w:w="1080" w:type="dxa"/>
            <w:gridSpan w:val="2"/>
            <w:tcBorders>
              <w:top w:val="nil"/>
              <w:left w:val="nil"/>
              <w:bottom w:val="nil"/>
              <w:right w:val="nil"/>
            </w:tcBorders>
            <w:shd w:val="clear" w:color="auto" w:fill="auto"/>
            <w:tcMar>
              <w:left w:w="14" w:type="dxa"/>
              <w:right w:w="14" w:type="dxa"/>
            </w:tcMar>
            <w:vAlign w:val="bottom"/>
            <w:hideMark/>
          </w:tcPr>
          <w:p w:rsidR="002C09D5" w:rsidRPr="00255A6E" w:rsidRDefault="002C09D5" w:rsidP="002C09D5">
            <w:pPr>
              <w:jc w:val="center"/>
              <w:rPr>
                <w:rFonts w:ascii="Arial" w:hAnsi="Arial" w:cs="Arial"/>
                <w:color w:val="000000"/>
                <w:sz w:val="14"/>
                <w:szCs w:val="14"/>
              </w:rPr>
            </w:pPr>
            <w:r w:rsidRPr="00255A6E">
              <w:rPr>
                <w:rFonts w:ascii="Arial" w:hAnsi="Arial" w:cs="Arial"/>
                <w:color w:val="000000"/>
                <w:sz w:val="14"/>
                <w:szCs w:val="14"/>
              </w:rPr>
              <w:t>ESTIMATED AVERAGE NUMBER OF HOURS PER RESPONSE</w:t>
            </w:r>
          </w:p>
        </w:tc>
        <w:tc>
          <w:tcPr>
            <w:tcW w:w="1260" w:type="dxa"/>
            <w:tcBorders>
              <w:top w:val="nil"/>
              <w:left w:val="nil"/>
              <w:bottom w:val="nil"/>
              <w:right w:val="nil"/>
            </w:tcBorders>
            <w:shd w:val="clear" w:color="auto" w:fill="auto"/>
            <w:tcMar>
              <w:left w:w="14" w:type="dxa"/>
              <w:right w:w="14" w:type="dxa"/>
            </w:tcMar>
            <w:vAlign w:val="bottom"/>
            <w:hideMark/>
          </w:tcPr>
          <w:p w:rsidR="002C09D5" w:rsidRPr="00255A6E" w:rsidRDefault="002C09D5" w:rsidP="002C09D5">
            <w:pPr>
              <w:jc w:val="center"/>
              <w:rPr>
                <w:rFonts w:ascii="Arial" w:hAnsi="Arial" w:cs="Arial"/>
                <w:color w:val="000000"/>
                <w:sz w:val="14"/>
                <w:szCs w:val="14"/>
              </w:rPr>
            </w:pPr>
            <w:r w:rsidRPr="00255A6E">
              <w:rPr>
                <w:rFonts w:ascii="Arial" w:hAnsi="Arial" w:cs="Arial"/>
                <w:color w:val="000000"/>
                <w:sz w:val="14"/>
                <w:szCs w:val="14"/>
              </w:rPr>
              <w:t>ESTIMATED TOTAL NUMBER OF  HOURS OF ANNUAL BURDEN IN FISCAL YEAR</w:t>
            </w:r>
          </w:p>
        </w:tc>
      </w:tr>
      <w:tr w:rsidR="002C09D5" w:rsidRPr="008F2051" w:rsidTr="0030492D">
        <w:trPr>
          <w:gridBefore w:val="1"/>
          <w:wBefore w:w="94" w:type="dxa"/>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REPORTING</w:t>
            </w:r>
          </w:p>
        </w:tc>
        <w:tc>
          <w:tcPr>
            <w:tcW w:w="1298"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76"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4.12(b) (Exemption from Certain CPO Requirements) </w:t>
            </w:r>
          </w:p>
        </w:tc>
        <w:tc>
          <w:tcPr>
            <w:tcW w:w="1298" w:type="dxa"/>
            <w:gridSpan w:val="2"/>
            <w:tcBorders>
              <w:top w:val="nil"/>
              <w:left w:val="nil"/>
              <w:bottom w:val="nil"/>
              <w:right w:val="nil"/>
            </w:tcBorders>
            <w:shd w:val="clear" w:color="auto" w:fill="auto"/>
            <w:vAlign w:val="bottom"/>
            <w:hideMark/>
          </w:tcPr>
          <w:p w:rsidR="002C09D5" w:rsidRDefault="00426A16" w:rsidP="002C09D5">
            <w:pPr>
              <w:jc w:val="right"/>
              <w:rPr>
                <w:rFonts w:ascii="Calibri" w:hAnsi="Calibri"/>
                <w:sz w:val="18"/>
                <w:szCs w:val="18"/>
              </w:rPr>
            </w:pPr>
            <w:r>
              <w:rPr>
                <w:rFonts w:ascii="Calibri" w:hAnsi="Calibri"/>
                <w:sz w:val="18"/>
                <w:szCs w:val="18"/>
              </w:rPr>
              <w:t>3</w:t>
            </w:r>
            <w:r w:rsidR="002C09D5">
              <w:rPr>
                <w:rFonts w:ascii="Calibri" w:hAnsi="Calibri"/>
                <w:sz w:val="18"/>
                <w:szCs w:val="18"/>
              </w:rPr>
              <w:t>5</w:t>
            </w:r>
          </w:p>
        </w:tc>
        <w:tc>
          <w:tcPr>
            <w:tcW w:w="1076" w:type="dxa"/>
            <w:gridSpan w:val="2"/>
            <w:tcBorders>
              <w:top w:val="nil"/>
              <w:left w:val="nil"/>
              <w:bottom w:val="nil"/>
              <w:right w:val="nil"/>
            </w:tcBorders>
            <w:shd w:val="clear" w:color="auto" w:fill="auto"/>
            <w:noWrap/>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426A16" w:rsidP="002C09D5">
            <w:pPr>
              <w:jc w:val="right"/>
              <w:rPr>
                <w:rFonts w:ascii="Calibri" w:hAnsi="Calibri"/>
                <w:sz w:val="18"/>
                <w:szCs w:val="18"/>
              </w:rPr>
            </w:pPr>
            <w:r>
              <w:rPr>
                <w:rFonts w:ascii="Calibri" w:hAnsi="Calibri"/>
                <w:sz w:val="18"/>
                <w:szCs w:val="18"/>
              </w:rPr>
              <w:t>3</w:t>
            </w:r>
            <w:r w:rsidR="002C09D5">
              <w:rPr>
                <w:rFonts w:ascii="Calibri" w:hAnsi="Calibri"/>
                <w:sz w:val="18"/>
                <w:szCs w:val="18"/>
              </w:rPr>
              <w:t>5</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0.5</w:t>
            </w:r>
          </w:p>
        </w:tc>
        <w:tc>
          <w:tcPr>
            <w:tcW w:w="1354"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1</w:t>
            </w:r>
            <w:r w:rsidR="00426A16">
              <w:rPr>
                <w:rFonts w:ascii="Calibri" w:hAnsi="Calibri"/>
                <w:sz w:val="18"/>
                <w:szCs w:val="18"/>
              </w:rPr>
              <w:t>7</w:t>
            </w:r>
            <w:r>
              <w:rPr>
                <w:rFonts w:ascii="Calibri" w:hAnsi="Calibri"/>
                <w:sz w:val="18"/>
                <w:szCs w:val="18"/>
              </w:rPr>
              <w:t>.50</w:t>
            </w:r>
          </w:p>
        </w:tc>
      </w:tr>
      <w:tr w:rsidR="002C09D5" w:rsidTr="0030492D">
        <w:trPr>
          <w:trHeight w:val="828"/>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4.14(a)(8) (Notice of Exemption from CTA Registration)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210</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210</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105.00</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4.5 (Notice of Exclusion from CPO Definition)</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1080</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1,080</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540.00</w:t>
            </w:r>
          </w:p>
        </w:tc>
      </w:tr>
      <w:tr w:rsidR="002C09D5" w:rsidTr="0030492D">
        <w:trPr>
          <w:trHeight w:val="828"/>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4.7 (Notice of Claim for Exemption for Pool Offered to QEPs)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609</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r>
              <w:rPr>
                <w:rFonts w:ascii="Calibri" w:hAnsi="Calibri"/>
                <w:color w:val="000000"/>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609</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304.50</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4.7(b)(2) (QEP Pool Periodic Reports)</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701</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r>
              <w:rPr>
                <w:rFonts w:ascii="Calibri" w:hAnsi="Calibri"/>
                <w:color w:val="000000"/>
                <w:sz w:val="18"/>
                <w:szCs w:val="18"/>
              </w:rPr>
              <w:t>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4</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8,412</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2</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16,824.00</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4.7(b)(3) (QEP Pool Annual Report)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701</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r>
              <w:rPr>
                <w:rFonts w:ascii="Calibri" w:hAnsi="Calibri"/>
                <w:color w:val="000000"/>
                <w:sz w:val="18"/>
                <w:szCs w:val="18"/>
              </w:rPr>
              <w:t>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2,103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7.58</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15,940.74</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1739EE" w:rsidRDefault="002C09D5" w:rsidP="002C09D5">
            <w:pPr>
              <w:rPr>
                <w:rFonts w:ascii="Arial" w:hAnsi="Arial" w:cs="Arial"/>
                <w:color w:val="000000"/>
                <w:sz w:val="16"/>
                <w:szCs w:val="16"/>
              </w:rPr>
            </w:pPr>
            <w:r w:rsidRPr="001739EE">
              <w:rPr>
                <w:rFonts w:ascii="Arial" w:hAnsi="Arial" w:cs="Arial"/>
                <w:color w:val="000000"/>
                <w:sz w:val="16"/>
                <w:szCs w:val="16"/>
              </w:rPr>
              <w:t>4.13(a)(5) (Disclosures-Exempt CPOs)</w:t>
            </w:r>
            <w:r w:rsidRPr="001739EE">
              <w:rPr>
                <w:rStyle w:val="FootnoteReference"/>
                <w:rFonts w:ascii="Arial" w:hAnsi="Arial" w:cs="Arial"/>
                <w:color w:val="000000"/>
                <w:sz w:val="16"/>
                <w:szCs w:val="16"/>
              </w:rPr>
              <w:footnoteReference w:id="1"/>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1506</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r>
              <w:rPr>
                <w:rFonts w:ascii="Calibri" w:hAnsi="Calibri"/>
                <w:color w:val="000000"/>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1,506</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753.00</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5079B7" w:rsidRDefault="002C09D5" w:rsidP="002C09D5">
            <w:pPr>
              <w:rPr>
                <w:rFonts w:ascii="Arial" w:hAnsi="Arial" w:cs="Arial"/>
                <w:color w:val="000000"/>
                <w:sz w:val="16"/>
                <w:szCs w:val="16"/>
                <w:highlight w:val="yellow"/>
              </w:rPr>
            </w:pPr>
            <w:r w:rsidRPr="001739EE">
              <w:rPr>
                <w:rFonts w:ascii="Arial" w:hAnsi="Arial" w:cs="Arial"/>
                <w:color w:val="000000"/>
                <w:sz w:val="16"/>
                <w:szCs w:val="16"/>
              </w:rPr>
              <w:t>4.13(c )(3) (Reporting-Exempt CPOs)</w:t>
            </w:r>
            <w:r w:rsidRPr="001739EE">
              <w:rPr>
                <w:rStyle w:val="FootnoteReference"/>
                <w:rFonts w:ascii="Arial" w:hAnsi="Arial" w:cs="Arial"/>
                <w:color w:val="000000"/>
                <w:sz w:val="16"/>
                <w:szCs w:val="16"/>
              </w:rPr>
              <w:footnoteReference w:id="2"/>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331</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r>
              <w:rPr>
                <w:rFonts w:ascii="Calibri" w:hAnsi="Calibri"/>
                <w:color w:val="000000"/>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12</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3,972</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0.1</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397.20</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4.21, 4.26 (CPO Disclosure Documents)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169</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507</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3.25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1,647.75</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4.22(a) (Pool Account Statements) </w:t>
            </w:r>
          </w:p>
        </w:tc>
        <w:tc>
          <w:tcPr>
            <w:tcW w:w="1298"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5</w:t>
            </w:r>
            <w:r w:rsidR="00426A16">
              <w:rPr>
                <w:rFonts w:ascii="Calibri" w:hAnsi="Calibri"/>
                <w:sz w:val="18"/>
                <w:szCs w:val="18"/>
              </w:rPr>
              <w:t>1</w:t>
            </w:r>
            <w:r>
              <w:rPr>
                <w:rFonts w:ascii="Calibri" w:hAnsi="Calibri"/>
                <w:sz w:val="18"/>
                <w:szCs w:val="18"/>
              </w:rPr>
              <w:t>9</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r>
              <w:rPr>
                <w:rFonts w:ascii="Calibri" w:hAnsi="Calibri"/>
                <w:color w:val="000000"/>
                <w:sz w:val="18"/>
                <w:szCs w:val="18"/>
              </w:rPr>
              <w:t>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9</w:t>
            </w:r>
          </w:p>
        </w:tc>
        <w:tc>
          <w:tcPr>
            <w:tcW w:w="1080"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1</w:t>
            </w:r>
            <w:r w:rsidR="00426A16">
              <w:rPr>
                <w:rFonts w:ascii="Calibri" w:hAnsi="Calibri"/>
                <w:sz w:val="18"/>
                <w:szCs w:val="18"/>
              </w:rPr>
              <w:t>4</w:t>
            </w:r>
            <w:r>
              <w:rPr>
                <w:rFonts w:ascii="Calibri" w:hAnsi="Calibri"/>
                <w:sz w:val="18"/>
                <w:szCs w:val="18"/>
              </w:rPr>
              <w:t>,</w:t>
            </w:r>
            <w:r w:rsidR="00426A16">
              <w:rPr>
                <w:rFonts w:ascii="Calibri" w:hAnsi="Calibri"/>
                <w:sz w:val="18"/>
                <w:szCs w:val="18"/>
              </w:rPr>
              <w:t>01</w:t>
            </w:r>
            <w:r>
              <w:rPr>
                <w:rFonts w:ascii="Calibri" w:hAnsi="Calibri"/>
                <w:sz w:val="18"/>
                <w:szCs w:val="18"/>
              </w:rPr>
              <w:t>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3.85</w:t>
            </w:r>
          </w:p>
        </w:tc>
        <w:tc>
          <w:tcPr>
            <w:tcW w:w="1354"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5</w:t>
            </w:r>
            <w:r w:rsidR="00426A16">
              <w:rPr>
                <w:rFonts w:ascii="Calibri" w:hAnsi="Calibri"/>
                <w:sz w:val="18"/>
                <w:szCs w:val="18"/>
              </w:rPr>
              <w:t>3</w:t>
            </w:r>
            <w:r>
              <w:rPr>
                <w:rFonts w:ascii="Calibri" w:hAnsi="Calibri"/>
                <w:sz w:val="18"/>
                <w:szCs w:val="18"/>
              </w:rPr>
              <w:t>,9</w:t>
            </w:r>
            <w:r w:rsidR="00426A16">
              <w:rPr>
                <w:rFonts w:ascii="Calibri" w:hAnsi="Calibri"/>
                <w:sz w:val="18"/>
                <w:szCs w:val="18"/>
              </w:rPr>
              <w:t>5</w:t>
            </w:r>
            <w:r>
              <w:rPr>
                <w:rFonts w:ascii="Calibri" w:hAnsi="Calibri"/>
                <w:sz w:val="18"/>
                <w:szCs w:val="18"/>
              </w:rPr>
              <w:t>0.</w:t>
            </w:r>
            <w:r w:rsidR="00426A16">
              <w:rPr>
                <w:rFonts w:ascii="Calibri" w:hAnsi="Calibri"/>
                <w:sz w:val="18"/>
                <w:szCs w:val="18"/>
              </w:rPr>
              <w:t>0</w:t>
            </w:r>
            <w:r>
              <w:rPr>
                <w:rFonts w:ascii="Calibri" w:hAnsi="Calibri"/>
                <w:sz w:val="18"/>
                <w:szCs w:val="18"/>
              </w:rPr>
              <w:t>5</w:t>
            </w: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4.22(c) (Pool Annual Reports)</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509</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1,527</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9.58</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14,628.66</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4.22(f) (Extension for Pool Annual Report)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276</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276</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0.5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138.00</w:t>
            </w:r>
          </w:p>
        </w:tc>
      </w:tr>
      <w:tr w:rsidR="002C09D5" w:rsidTr="0030492D">
        <w:trPr>
          <w:trHeight w:val="552"/>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4.31, 4.36 (CTA Disclosure Documents)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604</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604</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1.85</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1,117.40</w:t>
            </w: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1.33(d) (FCM Reports)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100</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12</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1,200</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7,200.00</w:t>
            </w:r>
          </w:p>
        </w:tc>
      </w:tr>
      <w:tr w:rsidR="002C09D5" w:rsidRPr="008F2051"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298" w:type="dxa"/>
            <w:gridSpan w:val="2"/>
            <w:tcBorders>
              <w:top w:val="nil"/>
              <w:left w:val="nil"/>
              <w:bottom w:val="nil"/>
              <w:right w:val="nil"/>
            </w:tcBorders>
            <w:shd w:val="clear" w:color="auto" w:fill="auto"/>
            <w:vAlign w:val="bottom"/>
            <w:hideMark/>
          </w:tcPr>
          <w:p w:rsidR="002C09D5" w:rsidRPr="008F2051" w:rsidRDefault="002C09D5" w:rsidP="002C09D5">
            <w:pPr>
              <w:jc w:val="right"/>
              <w:rPr>
                <w:rFonts w:ascii="Arial" w:hAnsi="Arial" w:cs="Arial"/>
                <w:color w:val="000000"/>
                <w:sz w:val="16"/>
                <w:szCs w:val="16"/>
              </w:rPr>
            </w:pPr>
          </w:p>
        </w:tc>
        <w:tc>
          <w:tcPr>
            <w:tcW w:w="1076" w:type="dxa"/>
            <w:gridSpan w:val="2"/>
            <w:tcBorders>
              <w:top w:val="nil"/>
              <w:left w:val="nil"/>
              <w:bottom w:val="nil"/>
              <w:right w:val="nil"/>
            </w:tcBorders>
            <w:shd w:val="clear" w:color="auto" w:fill="auto"/>
            <w:vAlign w:val="bottom"/>
            <w:hideMark/>
          </w:tcPr>
          <w:p w:rsidR="002C09D5" w:rsidRPr="008F2051" w:rsidRDefault="002C09D5" w:rsidP="002C09D5">
            <w:pPr>
              <w:jc w:val="right"/>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jc w:val="right"/>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jc w:val="right"/>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jc w:val="right"/>
              <w:rPr>
                <w:rFonts w:ascii="Arial" w:hAnsi="Arial" w:cs="Arial"/>
                <w:color w:val="000000"/>
                <w:sz w:val="16"/>
                <w:szCs w:val="16"/>
              </w:rPr>
            </w:pPr>
          </w:p>
        </w:tc>
        <w:tc>
          <w:tcPr>
            <w:tcW w:w="1354" w:type="dxa"/>
            <w:gridSpan w:val="2"/>
            <w:tcBorders>
              <w:top w:val="nil"/>
              <w:left w:val="nil"/>
              <w:bottom w:val="nil"/>
              <w:right w:val="nil"/>
            </w:tcBorders>
            <w:shd w:val="clear" w:color="auto" w:fill="auto"/>
            <w:vAlign w:val="bottom"/>
            <w:hideMark/>
          </w:tcPr>
          <w:p w:rsidR="002C09D5" w:rsidRPr="008F2051" w:rsidRDefault="002C09D5" w:rsidP="002C09D5">
            <w:pPr>
              <w:jc w:val="right"/>
              <w:rPr>
                <w:rFonts w:ascii="Arial" w:hAnsi="Arial" w:cs="Arial"/>
                <w:color w:val="000000"/>
                <w:sz w:val="16"/>
                <w:szCs w:val="16"/>
              </w:rPr>
            </w:pPr>
          </w:p>
        </w:tc>
      </w:tr>
      <w:tr w:rsidR="002C09D5" w:rsidRPr="005079B7"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SUBTOTAL REPORTING</w:t>
            </w:r>
          </w:p>
        </w:tc>
        <w:tc>
          <w:tcPr>
            <w:tcW w:w="1298"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18"/>
                <w:szCs w:val="18"/>
              </w:rPr>
            </w:pPr>
            <w:r w:rsidRPr="005079B7">
              <w:rPr>
                <w:rFonts w:ascii="Calibri" w:hAnsi="Calibri"/>
                <w:bCs/>
                <w:sz w:val="18"/>
                <w:szCs w:val="18"/>
              </w:rPr>
              <w:t>7,3</w:t>
            </w:r>
            <w:r w:rsidR="00426A16">
              <w:rPr>
                <w:rFonts w:ascii="Calibri" w:hAnsi="Calibri"/>
                <w:bCs/>
                <w:sz w:val="18"/>
                <w:szCs w:val="18"/>
              </w:rPr>
              <w:t>5</w:t>
            </w:r>
            <w:r w:rsidRPr="005079B7">
              <w:rPr>
                <w:rFonts w:ascii="Calibri" w:hAnsi="Calibri"/>
                <w:bCs/>
                <w:sz w:val="18"/>
                <w:szCs w:val="18"/>
              </w:rPr>
              <w:t>0.0</w:t>
            </w:r>
          </w:p>
        </w:tc>
        <w:tc>
          <w:tcPr>
            <w:tcW w:w="1076"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color w:val="000000"/>
                <w:sz w:val="18"/>
                <w:szCs w:val="18"/>
              </w:rPr>
            </w:pPr>
            <w:r w:rsidRPr="005079B7">
              <w:rPr>
                <w:rFonts w:ascii="Calibri" w:hAnsi="Calibri"/>
                <w:bCs/>
                <w:color w:val="000000"/>
                <w:sz w:val="18"/>
                <w:szCs w:val="18"/>
              </w:rPr>
              <w:t> </w:t>
            </w: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sz w:val="18"/>
                <w:szCs w:val="18"/>
              </w:rPr>
            </w:pPr>
            <w:r w:rsidRPr="005079B7">
              <w:rPr>
                <w:rFonts w:ascii="Calibri" w:hAnsi="Calibri"/>
                <w:bCs/>
                <w:sz w:val="18"/>
                <w:szCs w:val="18"/>
              </w:rPr>
              <w:t> </w:t>
            </w:r>
          </w:p>
        </w:tc>
        <w:tc>
          <w:tcPr>
            <w:tcW w:w="1080"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18"/>
                <w:szCs w:val="18"/>
              </w:rPr>
            </w:pPr>
            <w:r w:rsidRPr="005079B7">
              <w:rPr>
                <w:rFonts w:ascii="Calibri" w:hAnsi="Calibri"/>
                <w:bCs/>
                <w:sz w:val="18"/>
                <w:szCs w:val="18"/>
              </w:rPr>
              <w:t>3</w:t>
            </w:r>
            <w:r w:rsidR="00426A16">
              <w:rPr>
                <w:rFonts w:ascii="Calibri" w:hAnsi="Calibri"/>
                <w:bCs/>
                <w:sz w:val="18"/>
                <w:szCs w:val="18"/>
              </w:rPr>
              <w:t>6</w:t>
            </w:r>
            <w:r w:rsidRPr="005079B7">
              <w:rPr>
                <w:rFonts w:ascii="Calibri" w:hAnsi="Calibri"/>
                <w:bCs/>
                <w:sz w:val="18"/>
                <w:szCs w:val="18"/>
              </w:rPr>
              <w:t>,</w:t>
            </w:r>
            <w:r w:rsidR="00426A16">
              <w:rPr>
                <w:rFonts w:ascii="Calibri" w:hAnsi="Calibri"/>
                <w:bCs/>
                <w:sz w:val="18"/>
                <w:szCs w:val="18"/>
              </w:rPr>
              <w:t>05</w:t>
            </w:r>
            <w:r w:rsidRPr="005079B7">
              <w:rPr>
                <w:rFonts w:ascii="Calibri" w:hAnsi="Calibri"/>
                <w:bCs/>
                <w:sz w:val="18"/>
                <w:szCs w:val="18"/>
              </w:rPr>
              <w:t>4.0</w:t>
            </w: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sz w:val="18"/>
                <w:szCs w:val="18"/>
              </w:rPr>
            </w:pPr>
          </w:p>
        </w:tc>
        <w:tc>
          <w:tcPr>
            <w:tcW w:w="1354"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18"/>
                <w:szCs w:val="18"/>
              </w:rPr>
            </w:pPr>
            <w:r w:rsidRPr="005079B7">
              <w:rPr>
                <w:rFonts w:ascii="Calibri" w:hAnsi="Calibri"/>
                <w:bCs/>
                <w:sz w:val="18"/>
                <w:szCs w:val="18"/>
              </w:rPr>
              <w:t>11</w:t>
            </w:r>
            <w:r w:rsidR="00426A16">
              <w:rPr>
                <w:rFonts w:ascii="Calibri" w:hAnsi="Calibri"/>
                <w:bCs/>
                <w:sz w:val="18"/>
                <w:szCs w:val="18"/>
              </w:rPr>
              <w:t>3</w:t>
            </w:r>
            <w:r w:rsidRPr="005079B7">
              <w:rPr>
                <w:rFonts w:ascii="Calibri" w:hAnsi="Calibri"/>
                <w:bCs/>
                <w:sz w:val="18"/>
                <w:szCs w:val="18"/>
              </w:rPr>
              <w:t>,5</w:t>
            </w:r>
            <w:r w:rsidR="00426A16">
              <w:rPr>
                <w:rFonts w:ascii="Calibri" w:hAnsi="Calibri"/>
                <w:bCs/>
                <w:sz w:val="18"/>
                <w:szCs w:val="18"/>
              </w:rPr>
              <w:t>63</w:t>
            </w:r>
            <w:r w:rsidRPr="005079B7">
              <w:rPr>
                <w:rFonts w:ascii="Calibri" w:hAnsi="Calibri"/>
                <w:bCs/>
                <w:sz w:val="18"/>
                <w:szCs w:val="18"/>
              </w:rPr>
              <w:t>.</w:t>
            </w:r>
            <w:r w:rsidR="00426A16">
              <w:rPr>
                <w:rFonts w:ascii="Calibri" w:hAnsi="Calibri"/>
                <w:bCs/>
                <w:sz w:val="18"/>
                <w:szCs w:val="18"/>
              </w:rPr>
              <w:t>8</w:t>
            </w:r>
            <w:r w:rsidRPr="005079B7">
              <w:rPr>
                <w:rFonts w:ascii="Calibri" w:hAnsi="Calibri"/>
                <w:bCs/>
                <w:sz w:val="18"/>
                <w:szCs w:val="18"/>
              </w:rPr>
              <w:t>0</w:t>
            </w:r>
          </w:p>
        </w:tc>
      </w:tr>
      <w:tr w:rsidR="002C09D5" w:rsidRPr="008F2051"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298"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76"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354"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r>
      <w:tr w:rsidR="002C09D5" w:rsidRPr="008F2051"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RECORDKEEPING</w:t>
            </w:r>
          </w:p>
        </w:tc>
        <w:tc>
          <w:tcPr>
            <w:tcW w:w="1298"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76"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080"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354"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4.7(b)(4) (CPOs)</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701</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701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42</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 xml:space="preserve">          29,442.00 </w:t>
            </w: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4.13(b)(2)(ii) (Exempt CPOs)</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331</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331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13</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 xml:space="preserve">            4,303.00 </w:t>
            </w: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lastRenderedPageBreak/>
              <w:t xml:space="preserve">4.23 (CPOs) </w:t>
            </w:r>
          </w:p>
        </w:tc>
        <w:tc>
          <w:tcPr>
            <w:tcW w:w="1298"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5</w:t>
            </w:r>
            <w:r w:rsidR="00426A16">
              <w:rPr>
                <w:rFonts w:ascii="Calibri" w:hAnsi="Calibri"/>
                <w:sz w:val="18"/>
                <w:szCs w:val="18"/>
              </w:rPr>
              <w:t>1</w:t>
            </w:r>
            <w:r>
              <w:rPr>
                <w:rFonts w:ascii="Calibri" w:hAnsi="Calibri"/>
                <w:sz w:val="18"/>
                <w:szCs w:val="18"/>
              </w:rPr>
              <w:t>6</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5</w:t>
            </w:r>
            <w:r w:rsidR="00426A16">
              <w:rPr>
                <w:rFonts w:ascii="Calibri" w:hAnsi="Calibri"/>
                <w:sz w:val="18"/>
                <w:szCs w:val="18"/>
              </w:rPr>
              <w:t>1</w:t>
            </w:r>
            <w:r>
              <w:rPr>
                <w:rFonts w:ascii="Calibri" w:hAnsi="Calibri"/>
                <w:sz w:val="18"/>
                <w:szCs w:val="18"/>
              </w:rPr>
              <w:t>6</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52</w:t>
            </w:r>
          </w:p>
        </w:tc>
        <w:tc>
          <w:tcPr>
            <w:tcW w:w="1354" w:type="dxa"/>
            <w:gridSpan w:val="2"/>
            <w:tcBorders>
              <w:top w:val="nil"/>
              <w:left w:val="nil"/>
              <w:bottom w:val="nil"/>
              <w:right w:val="nil"/>
            </w:tcBorders>
            <w:shd w:val="clear" w:color="auto" w:fill="auto"/>
            <w:vAlign w:val="bottom"/>
            <w:hideMark/>
          </w:tcPr>
          <w:p w:rsidR="002C09D5" w:rsidRDefault="002C09D5" w:rsidP="00426A16">
            <w:pPr>
              <w:jc w:val="right"/>
              <w:rPr>
                <w:rFonts w:ascii="Calibri" w:hAnsi="Calibri"/>
                <w:sz w:val="18"/>
                <w:szCs w:val="18"/>
              </w:rPr>
            </w:pPr>
            <w:r>
              <w:rPr>
                <w:rFonts w:ascii="Calibri" w:hAnsi="Calibri"/>
                <w:sz w:val="18"/>
                <w:szCs w:val="18"/>
              </w:rPr>
              <w:t xml:space="preserve">          26,</w:t>
            </w:r>
            <w:r w:rsidR="00426A16">
              <w:rPr>
                <w:rFonts w:ascii="Calibri" w:hAnsi="Calibri"/>
                <w:sz w:val="18"/>
                <w:szCs w:val="18"/>
              </w:rPr>
              <w:t>83</w:t>
            </w:r>
            <w:r>
              <w:rPr>
                <w:rFonts w:ascii="Calibri" w:hAnsi="Calibri"/>
                <w:sz w:val="18"/>
                <w:szCs w:val="18"/>
              </w:rPr>
              <w:t xml:space="preserve">2.00 </w:t>
            </w: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r w:rsidRPr="008F2051">
              <w:rPr>
                <w:rFonts w:ascii="Arial" w:hAnsi="Arial" w:cs="Arial"/>
                <w:color w:val="000000"/>
                <w:sz w:val="16"/>
                <w:szCs w:val="16"/>
              </w:rPr>
              <w:t xml:space="preserve">4.33 (CTAs) </w:t>
            </w: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618</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618</w:t>
            </w: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18</w:t>
            </w: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 xml:space="preserve">          11,124.00 </w:t>
            </w:r>
          </w:p>
        </w:tc>
      </w:tr>
      <w:tr w:rsidR="002C09D5" w:rsidTr="0030492D">
        <w:trPr>
          <w:trHeight w:val="276"/>
        </w:trPr>
        <w:tc>
          <w:tcPr>
            <w:tcW w:w="2482" w:type="dxa"/>
            <w:gridSpan w:val="2"/>
            <w:tcBorders>
              <w:top w:val="nil"/>
              <w:left w:val="nil"/>
              <w:bottom w:val="nil"/>
              <w:right w:val="nil"/>
            </w:tcBorders>
            <w:shd w:val="clear" w:color="auto" w:fill="auto"/>
            <w:vAlign w:val="bottom"/>
            <w:hideMark/>
          </w:tcPr>
          <w:p w:rsidR="002C09D5" w:rsidRPr="008F2051" w:rsidRDefault="002C09D5" w:rsidP="002C09D5">
            <w:pPr>
              <w:rPr>
                <w:rFonts w:ascii="Arial" w:hAnsi="Arial" w:cs="Arial"/>
                <w:color w:val="000000"/>
                <w:sz w:val="16"/>
                <w:szCs w:val="16"/>
              </w:rPr>
            </w:pPr>
          </w:p>
        </w:tc>
        <w:tc>
          <w:tcPr>
            <w:tcW w:w="1298"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 </w:t>
            </w:r>
          </w:p>
        </w:tc>
        <w:tc>
          <w:tcPr>
            <w:tcW w:w="1076"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p>
        </w:tc>
        <w:tc>
          <w:tcPr>
            <w:tcW w:w="1080"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p>
        </w:tc>
        <w:tc>
          <w:tcPr>
            <w:tcW w:w="1354" w:type="dxa"/>
            <w:gridSpan w:val="2"/>
            <w:tcBorders>
              <w:top w:val="nil"/>
              <w:left w:val="nil"/>
              <w:bottom w:val="nil"/>
              <w:right w:val="nil"/>
            </w:tcBorders>
            <w:shd w:val="clear" w:color="auto" w:fill="auto"/>
            <w:vAlign w:val="bottom"/>
            <w:hideMark/>
          </w:tcPr>
          <w:p w:rsidR="002C09D5" w:rsidRDefault="002C09D5" w:rsidP="002C09D5">
            <w:pPr>
              <w:jc w:val="right"/>
              <w:rPr>
                <w:rFonts w:ascii="Calibri" w:hAnsi="Calibri"/>
                <w:sz w:val="18"/>
                <w:szCs w:val="18"/>
              </w:rPr>
            </w:pPr>
            <w:r>
              <w:rPr>
                <w:rFonts w:ascii="Calibri" w:hAnsi="Calibri"/>
                <w:sz w:val="18"/>
                <w:szCs w:val="18"/>
              </w:rPr>
              <w:t> </w:t>
            </w:r>
          </w:p>
        </w:tc>
      </w:tr>
      <w:tr w:rsidR="002C09D5" w:rsidRPr="005079B7" w:rsidTr="0030492D">
        <w:trPr>
          <w:trHeight w:val="276"/>
        </w:trPr>
        <w:tc>
          <w:tcPr>
            <w:tcW w:w="2482" w:type="dxa"/>
            <w:gridSpan w:val="2"/>
            <w:tcBorders>
              <w:top w:val="nil"/>
              <w:left w:val="nil"/>
              <w:bottom w:val="nil"/>
              <w:right w:val="nil"/>
            </w:tcBorders>
            <w:shd w:val="clear" w:color="auto" w:fill="auto"/>
            <w:vAlign w:val="bottom"/>
            <w:hideMark/>
          </w:tcPr>
          <w:p w:rsidR="002C09D5" w:rsidRPr="005079B7" w:rsidRDefault="002C09D5" w:rsidP="002C09D5">
            <w:pPr>
              <w:rPr>
                <w:rFonts w:ascii="Arial" w:hAnsi="Arial" w:cs="Arial"/>
                <w:color w:val="000000"/>
                <w:sz w:val="16"/>
                <w:szCs w:val="16"/>
              </w:rPr>
            </w:pPr>
            <w:r w:rsidRPr="005079B7">
              <w:rPr>
                <w:rFonts w:ascii="Arial" w:hAnsi="Arial" w:cs="Arial"/>
                <w:color w:val="000000"/>
                <w:sz w:val="16"/>
                <w:szCs w:val="16"/>
              </w:rPr>
              <w:t>SUBTOTAL RECORDKEEPING</w:t>
            </w:r>
          </w:p>
        </w:tc>
        <w:tc>
          <w:tcPr>
            <w:tcW w:w="1298"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18"/>
                <w:szCs w:val="18"/>
              </w:rPr>
            </w:pPr>
            <w:r w:rsidRPr="005079B7">
              <w:rPr>
                <w:rFonts w:ascii="Calibri" w:hAnsi="Calibri"/>
                <w:bCs/>
                <w:sz w:val="18"/>
                <w:szCs w:val="18"/>
              </w:rPr>
              <w:t>21</w:t>
            </w:r>
            <w:r w:rsidR="00426A16">
              <w:rPr>
                <w:rFonts w:ascii="Calibri" w:hAnsi="Calibri"/>
                <w:bCs/>
                <w:sz w:val="18"/>
                <w:szCs w:val="18"/>
              </w:rPr>
              <w:t>6</w:t>
            </w:r>
            <w:r w:rsidRPr="005079B7">
              <w:rPr>
                <w:rFonts w:ascii="Calibri" w:hAnsi="Calibri"/>
                <w:bCs/>
                <w:sz w:val="18"/>
                <w:szCs w:val="18"/>
              </w:rPr>
              <w:t>6</w:t>
            </w:r>
          </w:p>
        </w:tc>
        <w:tc>
          <w:tcPr>
            <w:tcW w:w="1076"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color w:val="000000"/>
                <w:sz w:val="18"/>
                <w:szCs w:val="18"/>
              </w:rPr>
            </w:pPr>
            <w:r w:rsidRPr="005079B7">
              <w:rPr>
                <w:rFonts w:ascii="Calibri" w:hAnsi="Calibri"/>
                <w:bCs/>
                <w:color w:val="000000"/>
                <w:sz w:val="18"/>
                <w:szCs w:val="18"/>
              </w:rPr>
              <w:t> </w:t>
            </w: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sz w:val="18"/>
                <w:szCs w:val="18"/>
              </w:rPr>
            </w:pPr>
            <w:r w:rsidRPr="005079B7">
              <w:rPr>
                <w:rFonts w:ascii="Calibri" w:hAnsi="Calibri"/>
                <w:bCs/>
                <w:sz w:val="18"/>
                <w:szCs w:val="18"/>
              </w:rPr>
              <w:t> </w:t>
            </w:r>
          </w:p>
        </w:tc>
        <w:tc>
          <w:tcPr>
            <w:tcW w:w="1080"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18"/>
                <w:szCs w:val="18"/>
              </w:rPr>
            </w:pPr>
            <w:r w:rsidRPr="005079B7">
              <w:rPr>
                <w:rFonts w:ascii="Calibri" w:hAnsi="Calibri"/>
                <w:bCs/>
                <w:sz w:val="18"/>
                <w:szCs w:val="18"/>
              </w:rPr>
              <w:t>21</w:t>
            </w:r>
            <w:r w:rsidR="00426A16">
              <w:rPr>
                <w:rFonts w:ascii="Calibri" w:hAnsi="Calibri"/>
                <w:bCs/>
                <w:sz w:val="18"/>
                <w:szCs w:val="18"/>
              </w:rPr>
              <w:t>6</w:t>
            </w:r>
            <w:r w:rsidRPr="005079B7">
              <w:rPr>
                <w:rFonts w:ascii="Calibri" w:hAnsi="Calibri"/>
                <w:bCs/>
                <w:sz w:val="18"/>
                <w:szCs w:val="18"/>
              </w:rPr>
              <w:t>6</w:t>
            </w: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sz w:val="18"/>
                <w:szCs w:val="18"/>
              </w:rPr>
            </w:pPr>
            <w:r w:rsidRPr="005079B7">
              <w:rPr>
                <w:rFonts w:ascii="Calibri" w:hAnsi="Calibri"/>
                <w:bCs/>
                <w:sz w:val="18"/>
                <w:szCs w:val="18"/>
              </w:rPr>
              <w:t>31.25</w:t>
            </w:r>
          </w:p>
        </w:tc>
        <w:tc>
          <w:tcPr>
            <w:tcW w:w="1354"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18"/>
                <w:szCs w:val="18"/>
              </w:rPr>
            </w:pPr>
            <w:r w:rsidRPr="005079B7">
              <w:rPr>
                <w:rFonts w:ascii="Calibri" w:hAnsi="Calibri"/>
                <w:bCs/>
                <w:sz w:val="18"/>
                <w:szCs w:val="18"/>
              </w:rPr>
              <w:t xml:space="preserve">          71,</w:t>
            </w:r>
            <w:r w:rsidR="00426A16">
              <w:rPr>
                <w:rFonts w:ascii="Calibri" w:hAnsi="Calibri"/>
                <w:bCs/>
                <w:sz w:val="18"/>
                <w:szCs w:val="18"/>
              </w:rPr>
              <w:t>70</w:t>
            </w:r>
            <w:r w:rsidRPr="005079B7">
              <w:rPr>
                <w:rFonts w:ascii="Calibri" w:hAnsi="Calibri"/>
                <w:bCs/>
                <w:sz w:val="18"/>
                <w:szCs w:val="18"/>
              </w:rPr>
              <w:t xml:space="preserve">1.00 </w:t>
            </w:r>
          </w:p>
        </w:tc>
      </w:tr>
      <w:tr w:rsidR="002C09D5" w:rsidRPr="005079B7" w:rsidTr="0030492D">
        <w:trPr>
          <w:trHeight w:val="276"/>
        </w:trPr>
        <w:tc>
          <w:tcPr>
            <w:tcW w:w="2482" w:type="dxa"/>
            <w:gridSpan w:val="2"/>
            <w:tcBorders>
              <w:top w:val="nil"/>
              <w:left w:val="nil"/>
              <w:bottom w:val="nil"/>
              <w:right w:val="nil"/>
            </w:tcBorders>
            <w:shd w:val="clear" w:color="auto" w:fill="auto"/>
            <w:vAlign w:val="bottom"/>
            <w:hideMark/>
          </w:tcPr>
          <w:p w:rsidR="002C09D5" w:rsidRPr="005079B7" w:rsidRDefault="002C09D5" w:rsidP="002C09D5">
            <w:pPr>
              <w:rPr>
                <w:rFonts w:ascii="Arial" w:hAnsi="Arial" w:cs="Arial"/>
                <w:color w:val="000000"/>
                <w:sz w:val="16"/>
                <w:szCs w:val="16"/>
              </w:rPr>
            </w:pPr>
          </w:p>
        </w:tc>
        <w:tc>
          <w:tcPr>
            <w:tcW w:w="1298"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sz w:val="18"/>
                <w:szCs w:val="18"/>
              </w:rPr>
            </w:pPr>
            <w:r w:rsidRPr="005079B7">
              <w:rPr>
                <w:rFonts w:ascii="Calibri" w:hAnsi="Calibri"/>
                <w:sz w:val="18"/>
                <w:szCs w:val="18"/>
              </w:rPr>
              <w:t> </w:t>
            </w:r>
          </w:p>
        </w:tc>
        <w:tc>
          <w:tcPr>
            <w:tcW w:w="1076"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color w:val="000000"/>
                <w:sz w:val="18"/>
                <w:szCs w:val="18"/>
              </w:rPr>
            </w:pP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sz w:val="18"/>
                <w:szCs w:val="18"/>
              </w:rPr>
            </w:pP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sz w:val="18"/>
                <w:szCs w:val="18"/>
              </w:rPr>
            </w:pP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sz w:val="18"/>
                <w:szCs w:val="18"/>
              </w:rPr>
            </w:pPr>
          </w:p>
        </w:tc>
        <w:tc>
          <w:tcPr>
            <w:tcW w:w="1354"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sz w:val="18"/>
                <w:szCs w:val="18"/>
              </w:rPr>
            </w:pPr>
            <w:r w:rsidRPr="005079B7">
              <w:rPr>
                <w:rFonts w:ascii="Calibri" w:hAnsi="Calibri"/>
                <w:sz w:val="18"/>
                <w:szCs w:val="18"/>
              </w:rPr>
              <w:t> </w:t>
            </w:r>
          </w:p>
        </w:tc>
      </w:tr>
      <w:tr w:rsidR="002C09D5" w:rsidRPr="005079B7" w:rsidTr="0030492D">
        <w:trPr>
          <w:trHeight w:val="276"/>
        </w:trPr>
        <w:tc>
          <w:tcPr>
            <w:tcW w:w="2482" w:type="dxa"/>
            <w:gridSpan w:val="2"/>
            <w:tcBorders>
              <w:top w:val="nil"/>
              <w:left w:val="nil"/>
              <w:bottom w:val="nil"/>
              <w:right w:val="nil"/>
            </w:tcBorders>
            <w:shd w:val="clear" w:color="auto" w:fill="auto"/>
            <w:vAlign w:val="bottom"/>
            <w:hideMark/>
          </w:tcPr>
          <w:p w:rsidR="002C09D5" w:rsidRPr="005079B7" w:rsidRDefault="002C09D5" w:rsidP="002C09D5">
            <w:pPr>
              <w:rPr>
                <w:rFonts w:ascii="Arial" w:hAnsi="Arial" w:cs="Arial"/>
                <w:color w:val="000000"/>
                <w:sz w:val="16"/>
                <w:szCs w:val="16"/>
              </w:rPr>
            </w:pPr>
            <w:r w:rsidRPr="005079B7">
              <w:rPr>
                <w:rFonts w:ascii="Arial" w:hAnsi="Arial" w:cs="Arial"/>
                <w:color w:val="000000"/>
                <w:sz w:val="16"/>
                <w:szCs w:val="16"/>
              </w:rPr>
              <w:t xml:space="preserve">GRAND TOTAL </w:t>
            </w:r>
          </w:p>
        </w:tc>
        <w:tc>
          <w:tcPr>
            <w:tcW w:w="1298"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22"/>
                <w:szCs w:val="22"/>
              </w:rPr>
            </w:pPr>
            <w:r w:rsidRPr="005079B7">
              <w:rPr>
                <w:rFonts w:ascii="Calibri" w:hAnsi="Calibri"/>
                <w:bCs/>
                <w:sz w:val="22"/>
                <w:szCs w:val="22"/>
              </w:rPr>
              <w:t>9</w:t>
            </w:r>
            <w:r w:rsidR="00426A16">
              <w:rPr>
                <w:rFonts w:ascii="Calibri" w:hAnsi="Calibri"/>
                <w:bCs/>
                <w:sz w:val="22"/>
                <w:szCs w:val="22"/>
              </w:rPr>
              <w:t>51</w:t>
            </w:r>
            <w:r w:rsidRPr="005079B7">
              <w:rPr>
                <w:rFonts w:ascii="Calibri" w:hAnsi="Calibri"/>
                <w:bCs/>
                <w:sz w:val="22"/>
                <w:szCs w:val="22"/>
              </w:rPr>
              <w:t>6</w:t>
            </w:r>
          </w:p>
        </w:tc>
        <w:tc>
          <w:tcPr>
            <w:tcW w:w="1076"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color w:val="000000"/>
                <w:sz w:val="22"/>
                <w:szCs w:val="22"/>
              </w:rPr>
            </w:pPr>
            <w:r w:rsidRPr="005079B7">
              <w:rPr>
                <w:rFonts w:ascii="Calibri" w:hAnsi="Calibri"/>
                <w:bCs/>
                <w:color w:val="000000"/>
                <w:sz w:val="22"/>
                <w:szCs w:val="22"/>
              </w:rPr>
              <w:t> </w:t>
            </w: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sz w:val="22"/>
                <w:szCs w:val="22"/>
              </w:rPr>
            </w:pPr>
            <w:r w:rsidRPr="005079B7">
              <w:rPr>
                <w:rFonts w:ascii="Calibri" w:hAnsi="Calibri"/>
                <w:bCs/>
                <w:sz w:val="22"/>
                <w:szCs w:val="22"/>
              </w:rPr>
              <w:t> </w:t>
            </w:r>
          </w:p>
        </w:tc>
        <w:tc>
          <w:tcPr>
            <w:tcW w:w="1080"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22"/>
                <w:szCs w:val="22"/>
              </w:rPr>
            </w:pPr>
            <w:r w:rsidRPr="005079B7">
              <w:rPr>
                <w:rFonts w:ascii="Calibri" w:hAnsi="Calibri"/>
                <w:bCs/>
                <w:sz w:val="22"/>
                <w:szCs w:val="22"/>
              </w:rPr>
              <w:t>3</w:t>
            </w:r>
            <w:r w:rsidR="00426A16">
              <w:rPr>
                <w:rFonts w:ascii="Calibri" w:hAnsi="Calibri"/>
                <w:bCs/>
                <w:sz w:val="22"/>
                <w:szCs w:val="22"/>
              </w:rPr>
              <w:t>8</w:t>
            </w:r>
            <w:r w:rsidRPr="005079B7">
              <w:rPr>
                <w:rFonts w:ascii="Calibri" w:hAnsi="Calibri"/>
                <w:bCs/>
                <w:sz w:val="22"/>
                <w:szCs w:val="22"/>
              </w:rPr>
              <w:t>,</w:t>
            </w:r>
            <w:r w:rsidR="00426A16">
              <w:rPr>
                <w:rFonts w:ascii="Calibri" w:hAnsi="Calibri"/>
                <w:bCs/>
                <w:sz w:val="22"/>
                <w:szCs w:val="22"/>
              </w:rPr>
              <w:t>22</w:t>
            </w:r>
            <w:r w:rsidRPr="005079B7">
              <w:rPr>
                <w:rFonts w:ascii="Calibri" w:hAnsi="Calibri"/>
                <w:bCs/>
                <w:sz w:val="22"/>
                <w:szCs w:val="22"/>
              </w:rPr>
              <w:t>0</w:t>
            </w:r>
          </w:p>
        </w:tc>
        <w:tc>
          <w:tcPr>
            <w:tcW w:w="1080" w:type="dxa"/>
            <w:gridSpan w:val="2"/>
            <w:tcBorders>
              <w:top w:val="nil"/>
              <w:left w:val="nil"/>
              <w:bottom w:val="nil"/>
              <w:right w:val="nil"/>
            </w:tcBorders>
            <w:shd w:val="clear" w:color="auto" w:fill="auto"/>
            <w:vAlign w:val="bottom"/>
            <w:hideMark/>
          </w:tcPr>
          <w:p w:rsidR="002C09D5" w:rsidRPr="005079B7" w:rsidRDefault="002C09D5" w:rsidP="002C09D5">
            <w:pPr>
              <w:jc w:val="right"/>
              <w:rPr>
                <w:rFonts w:ascii="Calibri" w:hAnsi="Calibri"/>
                <w:bCs/>
                <w:sz w:val="22"/>
                <w:szCs w:val="22"/>
              </w:rPr>
            </w:pPr>
          </w:p>
        </w:tc>
        <w:tc>
          <w:tcPr>
            <w:tcW w:w="1354" w:type="dxa"/>
            <w:gridSpan w:val="2"/>
            <w:tcBorders>
              <w:top w:val="nil"/>
              <w:left w:val="nil"/>
              <w:bottom w:val="nil"/>
              <w:right w:val="nil"/>
            </w:tcBorders>
            <w:shd w:val="clear" w:color="auto" w:fill="auto"/>
            <w:vAlign w:val="bottom"/>
            <w:hideMark/>
          </w:tcPr>
          <w:p w:rsidR="002C09D5" w:rsidRPr="005079B7" w:rsidRDefault="002C09D5" w:rsidP="00426A16">
            <w:pPr>
              <w:jc w:val="right"/>
              <w:rPr>
                <w:rFonts w:ascii="Calibri" w:hAnsi="Calibri"/>
                <w:bCs/>
                <w:sz w:val="22"/>
                <w:szCs w:val="22"/>
              </w:rPr>
            </w:pPr>
            <w:r w:rsidRPr="005079B7">
              <w:rPr>
                <w:rFonts w:ascii="Calibri" w:hAnsi="Calibri"/>
                <w:bCs/>
                <w:sz w:val="22"/>
                <w:szCs w:val="22"/>
              </w:rPr>
              <w:t xml:space="preserve">  18</w:t>
            </w:r>
            <w:r w:rsidR="00426A16">
              <w:rPr>
                <w:rFonts w:ascii="Calibri" w:hAnsi="Calibri"/>
                <w:bCs/>
                <w:sz w:val="22"/>
                <w:szCs w:val="22"/>
              </w:rPr>
              <w:t>5</w:t>
            </w:r>
            <w:r w:rsidRPr="005079B7">
              <w:rPr>
                <w:rFonts w:ascii="Calibri" w:hAnsi="Calibri"/>
                <w:bCs/>
                <w:sz w:val="22"/>
                <w:szCs w:val="22"/>
              </w:rPr>
              <w:t>,</w:t>
            </w:r>
            <w:r w:rsidR="00426A16">
              <w:rPr>
                <w:rFonts w:ascii="Calibri" w:hAnsi="Calibri"/>
                <w:bCs/>
                <w:sz w:val="22"/>
                <w:szCs w:val="22"/>
              </w:rPr>
              <w:t>264</w:t>
            </w:r>
            <w:r w:rsidRPr="005079B7">
              <w:rPr>
                <w:rFonts w:ascii="Calibri" w:hAnsi="Calibri"/>
                <w:bCs/>
                <w:sz w:val="22"/>
                <w:szCs w:val="22"/>
              </w:rPr>
              <w:t>.</w:t>
            </w:r>
            <w:r w:rsidR="00426A16">
              <w:rPr>
                <w:rFonts w:ascii="Calibri" w:hAnsi="Calibri"/>
                <w:bCs/>
                <w:sz w:val="22"/>
                <w:szCs w:val="22"/>
              </w:rPr>
              <w:t>8</w:t>
            </w:r>
            <w:r w:rsidRPr="005079B7">
              <w:rPr>
                <w:rFonts w:ascii="Calibri" w:hAnsi="Calibri"/>
                <w:bCs/>
                <w:sz w:val="22"/>
                <w:szCs w:val="22"/>
              </w:rPr>
              <w:t>0</w:t>
            </w:r>
          </w:p>
        </w:tc>
      </w:tr>
    </w:tbl>
    <w:p w:rsidR="008A68F0" w:rsidRPr="008A68F0" w:rsidRDefault="008A68F0" w:rsidP="008A68F0">
      <w:pPr>
        <w:autoSpaceDE w:val="0"/>
        <w:autoSpaceDN w:val="0"/>
        <w:adjustRightInd w:val="0"/>
        <w:jc w:val="center"/>
        <w:rPr>
          <w:b/>
          <w:szCs w:val="22"/>
        </w:rPr>
      </w:pPr>
    </w:p>
    <w:sectPr w:rsidR="008A68F0" w:rsidRPr="008A68F0" w:rsidSect="008A68F0">
      <w:pgSz w:w="12240" w:h="15840" w:code="1"/>
      <w:pgMar w:top="432"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E8" w:rsidRDefault="00F509E8">
      <w:r>
        <w:separator/>
      </w:r>
    </w:p>
  </w:endnote>
  <w:endnote w:type="continuationSeparator" w:id="0">
    <w:p w:rsidR="00F509E8" w:rsidRDefault="00F50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E8" w:rsidRDefault="00F509E8">
      <w:r>
        <w:separator/>
      </w:r>
    </w:p>
  </w:footnote>
  <w:footnote w:type="continuationSeparator" w:id="0">
    <w:p w:rsidR="00F509E8" w:rsidRDefault="00F509E8">
      <w:r>
        <w:continuationSeparator/>
      </w:r>
    </w:p>
  </w:footnote>
  <w:footnote w:id="1">
    <w:p w:rsidR="00EE6A75" w:rsidRPr="00255A6E" w:rsidRDefault="00EE6A75" w:rsidP="002C09D5">
      <w:pPr>
        <w:pStyle w:val="FootnoteText"/>
        <w:rPr>
          <w:rFonts w:ascii="Arial" w:hAnsi="Arial" w:cs="Arial"/>
          <w:sz w:val="16"/>
          <w:szCs w:val="16"/>
        </w:rPr>
      </w:pPr>
      <w:r w:rsidRPr="00255A6E">
        <w:rPr>
          <w:rStyle w:val="FootnoteReference"/>
          <w:rFonts w:ascii="Arial" w:hAnsi="Arial" w:cs="Arial"/>
          <w:sz w:val="16"/>
          <w:szCs w:val="16"/>
        </w:rPr>
        <w:footnoteRef/>
      </w:r>
      <w:r w:rsidRPr="00255A6E">
        <w:rPr>
          <w:rFonts w:ascii="Arial" w:hAnsi="Arial" w:cs="Arial"/>
          <w:sz w:val="16"/>
          <w:szCs w:val="16"/>
        </w:rPr>
        <w:t xml:space="preserve"> Rule 4.13(b</w:t>
      </w:r>
      <w:proofErr w:type="gramStart"/>
      <w:r w:rsidRPr="00255A6E">
        <w:rPr>
          <w:rFonts w:ascii="Arial" w:hAnsi="Arial" w:cs="Arial"/>
          <w:sz w:val="16"/>
          <w:szCs w:val="16"/>
        </w:rPr>
        <w:t>)(</w:t>
      </w:r>
      <w:proofErr w:type="gramEnd"/>
      <w:r w:rsidRPr="00255A6E">
        <w:rPr>
          <w:rFonts w:ascii="Arial" w:hAnsi="Arial" w:cs="Arial"/>
          <w:sz w:val="16"/>
          <w:szCs w:val="16"/>
        </w:rPr>
        <w:t>1) in previous collection.</w:t>
      </w:r>
    </w:p>
  </w:footnote>
  <w:footnote w:id="2">
    <w:p w:rsidR="00EE6A75" w:rsidRDefault="00EE6A75" w:rsidP="002C09D5">
      <w:pPr>
        <w:pStyle w:val="FootnoteText"/>
      </w:pPr>
      <w:r w:rsidRPr="00255A6E">
        <w:rPr>
          <w:rStyle w:val="FootnoteReference"/>
          <w:rFonts w:ascii="Arial" w:hAnsi="Arial" w:cs="Arial"/>
          <w:sz w:val="16"/>
          <w:szCs w:val="16"/>
        </w:rPr>
        <w:footnoteRef/>
      </w:r>
      <w:r w:rsidRPr="00255A6E">
        <w:rPr>
          <w:rFonts w:ascii="Arial" w:hAnsi="Arial" w:cs="Arial"/>
          <w:sz w:val="16"/>
          <w:szCs w:val="16"/>
        </w:rPr>
        <w:t xml:space="preserve"> Rule 4.13(b)(2) in previous  collection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A75" w:rsidRDefault="00EE6A75">
    <w:pPr>
      <w:pStyle w:val="Header"/>
      <w:jc w:val="center"/>
    </w:pPr>
    <w:r>
      <w:t xml:space="preserve">- </w:t>
    </w:r>
    <w:fldSimple w:instr=" PAGE   \* MERGEFORMAT ">
      <w:r w:rsidR="005B16D2">
        <w:rPr>
          <w:noProof/>
        </w:rPr>
        <w:t>9</w:t>
      </w:r>
    </w:fldSimple>
    <w:r>
      <w:t xml:space="preserve"> -</w:t>
    </w:r>
  </w:p>
  <w:p w:rsidR="00EE6A75" w:rsidRPr="00303CA8" w:rsidRDefault="00EE6A75" w:rsidP="00303C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proofState w:grammar="clean"/>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893"/>
    <w:rsid w:val="000F0431"/>
    <w:rsid w:val="00116439"/>
    <w:rsid w:val="00133494"/>
    <w:rsid w:val="001568E1"/>
    <w:rsid w:val="001971A2"/>
    <w:rsid w:val="001F26F1"/>
    <w:rsid w:val="00294143"/>
    <w:rsid w:val="002A6893"/>
    <w:rsid w:val="002C09D5"/>
    <w:rsid w:val="002F602B"/>
    <w:rsid w:val="00303CA8"/>
    <w:rsid w:val="0030492D"/>
    <w:rsid w:val="00316531"/>
    <w:rsid w:val="00324A79"/>
    <w:rsid w:val="00415BE0"/>
    <w:rsid w:val="00426A16"/>
    <w:rsid w:val="004755C6"/>
    <w:rsid w:val="004F7FF0"/>
    <w:rsid w:val="00536006"/>
    <w:rsid w:val="005B16D2"/>
    <w:rsid w:val="005C6679"/>
    <w:rsid w:val="00650AE6"/>
    <w:rsid w:val="0067779D"/>
    <w:rsid w:val="006E2AA3"/>
    <w:rsid w:val="007643E5"/>
    <w:rsid w:val="007670E6"/>
    <w:rsid w:val="00787A3C"/>
    <w:rsid w:val="007915FB"/>
    <w:rsid w:val="00866B92"/>
    <w:rsid w:val="008A68F0"/>
    <w:rsid w:val="00955C09"/>
    <w:rsid w:val="00996652"/>
    <w:rsid w:val="009A7083"/>
    <w:rsid w:val="00A04E62"/>
    <w:rsid w:val="00A2651A"/>
    <w:rsid w:val="00B20612"/>
    <w:rsid w:val="00BE2774"/>
    <w:rsid w:val="00C07976"/>
    <w:rsid w:val="00C109EC"/>
    <w:rsid w:val="00C275FC"/>
    <w:rsid w:val="00C341C6"/>
    <w:rsid w:val="00C93B6C"/>
    <w:rsid w:val="00CA6F3C"/>
    <w:rsid w:val="00CE635E"/>
    <w:rsid w:val="00E56C84"/>
    <w:rsid w:val="00E93D0B"/>
    <w:rsid w:val="00EA507A"/>
    <w:rsid w:val="00EB65FC"/>
    <w:rsid w:val="00EE6A75"/>
    <w:rsid w:val="00F25B02"/>
    <w:rsid w:val="00F26A07"/>
    <w:rsid w:val="00F37F9A"/>
    <w:rsid w:val="00F509E8"/>
    <w:rsid w:val="00FD708E"/>
    <w:rsid w:val="00FE76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431"/>
  </w:style>
  <w:style w:type="paragraph" w:styleId="Heading1">
    <w:name w:val="heading 1"/>
    <w:basedOn w:val="Normal"/>
    <w:next w:val="Normal"/>
    <w:qFormat/>
    <w:rsid w:val="000F0431"/>
    <w:pPr>
      <w:keepNext/>
      <w:suppressAutoHyphens/>
      <w:spacing w:line="480" w:lineRule="auto"/>
      <w:ind w:left="720" w:hanging="720"/>
      <w:outlineLvl w:val="0"/>
    </w:pPr>
    <w:rPr>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3494"/>
    <w:pPr>
      <w:tabs>
        <w:tab w:val="center" w:pos="4320"/>
        <w:tab w:val="right" w:pos="8640"/>
      </w:tabs>
    </w:pPr>
  </w:style>
  <w:style w:type="paragraph" w:styleId="Footer">
    <w:name w:val="footer"/>
    <w:basedOn w:val="Normal"/>
    <w:rsid w:val="000F0431"/>
    <w:pPr>
      <w:tabs>
        <w:tab w:val="center" w:pos="4320"/>
        <w:tab w:val="right" w:pos="8640"/>
      </w:tabs>
    </w:pPr>
  </w:style>
  <w:style w:type="character" w:styleId="PageNumber">
    <w:name w:val="page number"/>
    <w:basedOn w:val="DefaultParagraphFont"/>
    <w:rsid w:val="000F0431"/>
  </w:style>
  <w:style w:type="paragraph" w:styleId="BodyText2">
    <w:name w:val="Body Text 2"/>
    <w:basedOn w:val="Normal"/>
    <w:rsid w:val="000F0431"/>
    <w:pPr>
      <w:suppressAutoHyphens/>
      <w:jc w:val="center"/>
    </w:pPr>
    <w:rPr>
      <w:sz w:val="25"/>
    </w:rPr>
  </w:style>
  <w:style w:type="paragraph" w:styleId="BodyText">
    <w:name w:val="Body Text"/>
    <w:basedOn w:val="Normal"/>
    <w:rsid w:val="000F0431"/>
    <w:pPr>
      <w:suppressAutoHyphens/>
      <w:spacing w:line="480" w:lineRule="auto"/>
    </w:pPr>
    <w:rPr>
      <w:sz w:val="25"/>
    </w:rPr>
  </w:style>
  <w:style w:type="paragraph" w:styleId="BodyTextIndent">
    <w:name w:val="Body Text Indent"/>
    <w:basedOn w:val="Normal"/>
    <w:rsid w:val="000F0431"/>
    <w:pPr>
      <w:suppressAutoHyphens/>
      <w:spacing w:line="480" w:lineRule="auto"/>
      <w:ind w:left="720" w:hanging="720"/>
    </w:pPr>
    <w:rPr>
      <w:sz w:val="25"/>
    </w:rPr>
  </w:style>
  <w:style w:type="paragraph" w:styleId="BodyTextIndent2">
    <w:name w:val="Body Text Indent 2"/>
    <w:basedOn w:val="Normal"/>
    <w:rsid w:val="000F0431"/>
    <w:pPr>
      <w:suppressAutoHyphens/>
      <w:spacing w:line="480" w:lineRule="auto"/>
      <w:ind w:firstLine="720"/>
    </w:pPr>
    <w:rPr>
      <w:sz w:val="25"/>
    </w:rPr>
  </w:style>
  <w:style w:type="paragraph" w:styleId="BodyTextIndent3">
    <w:name w:val="Body Text Indent 3"/>
    <w:basedOn w:val="Normal"/>
    <w:rsid w:val="000F0431"/>
    <w:pPr>
      <w:suppressAutoHyphens/>
      <w:ind w:left="1440" w:hanging="720"/>
    </w:pPr>
    <w:rPr>
      <w:sz w:val="25"/>
    </w:rPr>
  </w:style>
  <w:style w:type="character" w:customStyle="1" w:styleId="HeaderChar">
    <w:name w:val="Header Char"/>
    <w:basedOn w:val="DefaultParagraphFont"/>
    <w:link w:val="Header"/>
    <w:uiPriority w:val="99"/>
    <w:rsid w:val="00133494"/>
  </w:style>
  <w:style w:type="paragraph" w:styleId="BalloonText">
    <w:name w:val="Balloon Text"/>
    <w:basedOn w:val="Normal"/>
    <w:link w:val="BalloonTextChar"/>
    <w:rsid w:val="00133494"/>
    <w:rPr>
      <w:rFonts w:ascii="Tahoma" w:hAnsi="Tahoma" w:cs="Tahoma"/>
      <w:sz w:val="16"/>
      <w:szCs w:val="16"/>
    </w:rPr>
  </w:style>
  <w:style w:type="character" w:customStyle="1" w:styleId="BalloonTextChar">
    <w:name w:val="Balloon Text Char"/>
    <w:basedOn w:val="DefaultParagraphFont"/>
    <w:link w:val="BalloonText"/>
    <w:rsid w:val="00133494"/>
    <w:rPr>
      <w:rFonts w:ascii="Tahoma" w:hAnsi="Tahoma" w:cs="Tahoma"/>
      <w:sz w:val="16"/>
      <w:szCs w:val="16"/>
    </w:rPr>
  </w:style>
  <w:style w:type="paragraph" w:styleId="FootnoteText">
    <w:name w:val="footnote text"/>
    <w:basedOn w:val="Normal"/>
    <w:link w:val="FootnoteTextChar"/>
    <w:rsid w:val="002C09D5"/>
  </w:style>
  <w:style w:type="character" w:customStyle="1" w:styleId="FootnoteTextChar">
    <w:name w:val="Footnote Text Char"/>
    <w:basedOn w:val="DefaultParagraphFont"/>
    <w:link w:val="FootnoteText"/>
    <w:rsid w:val="002C09D5"/>
  </w:style>
  <w:style w:type="character" w:styleId="FootnoteReference">
    <w:name w:val="footnote reference"/>
    <w:basedOn w:val="DefaultParagraphFont"/>
    <w:rsid w:val="002C09D5"/>
    <w:rPr>
      <w:vertAlign w:val="superscript"/>
    </w:rPr>
  </w:style>
</w:styles>
</file>

<file path=word/webSettings.xml><?xml version="1.0" encoding="utf-8"?>
<w:webSettings xmlns:r="http://schemas.openxmlformats.org/officeDocument/2006/relationships" xmlns:w="http://schemas.openxmlformats.org/wordprocessingml/2006/main">
  <w:divs>
    <w:div w:id="1733891930">
      <w:bodyDiv w:val="1"/>
      <w:marLeft w:val="0"/>
      <w:marRight w:val="0"/>
      <w:marTop w:val="0"/>
      <w:marBottom w:val="0"/>
      <w:divBdr>
        <w:top w:val="none" w:sz="0" w:space="0" w:color="auto"/>
        <w:left w:val="none" w:sz="0" w:space="0" w:color="auto"/>
        <w:bottom w:val="none" w:sz="0" w:space="0" w:color="auto"/>
        <w:right w:val="none" w:sz="0" w:space="0" w:color="auto"/>
      </w:divBdr>
    </w:div>
    <w:div w:id="1955675675">
      <w:bodyDiv w:val="1"/>
      <w:marLeft w:val="0"/>
      <w:marRight w:val="0"/>
      <w:marTop w:val="0"/>
      <w:marBottom w:val="0"/>
      <w:divBdr>
        <w:top w:val="none" w:sz="0" w:space="0" w:color="auto"/>
        <w:left w:val="none" w:sz="0" w:space="0" w:color="auto"/>
        <w:bottom w:val="none" w:sz="0" w:space="0" w:color="auto"/>
        <w:right w:val="none" w:sz="0" w:space="0" w:color="auto"/>
      </w:divBdr>
      <w:divsChild>
        <w:div w:id="431168110">
          <w:marLeft w:val="0"/>
          <w:marRight w:val="0"/>
          <w:marTop w:val="0"/>
          <w:marBottom w:val="0"/>
          <w:divBdr>
            <w:top w:val="none" w:sz="0" w:space="0" w:color="auto"/>
            <w:left w:val="none" w:sz="0" w:space="0" w:color="auto"/>
            <w:bottom w:val="none" w:sz="0" w:space="0" w:color="auto"/>
            <w:right w:val="none" w:sz="0" w:space="0" w:color="auto"/>
          </w:divBdr>
          <w:divsChild>
            <w:div w:id="14365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2886</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You Name Here</dc:creator>
  <cp:lastModifiedBy>VHill</cp:lastModifiedBy>
  <cp:revision>2</cp:revision>
  <cp:lastPrinted>2009-12-09T15:43:00Z</cp:lastPrinted>
  <dcterms:created xsi:type="dcterms:W3CDTF">2011-10-03T20:34:00Z</dcterms:created>
  <dcterms:modified xsi:type="dcterms:W3CDTF">2011-10-03T20:34:00Z</dcterms:modified>
</cp:coreProperties>
</file>