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B32" w:rsidRDefault="00F06B32">
      <w:pPr>
        <w:suppressAutoHyphens/>
        <w:jc w:val="center"/>
      </w:pPr>
      <w:r>
        <w:t xml:space="preserve">Proposed Rulemaking: </w:t>
      </w:r>
      <w:r w:rsidR="00AE3881">
        <w:rPr>
          <w:i/>
        </w:rPr>
        <w:t>ADAPTATION OF REGULATIONS TO INCORPORATE SWAPS</w:t>
      </w:r>
      <w:r>
        <w:t xml:space="preserve"> (76 F.R. </w:t>
      </w:r>
      <w:r w:rsidR="00C163F8">
        <w:t>33066, June 7</w:t>
      </w:r>
      <w:r>
        <w:t>, 2011</w:t>
      </w:r>
      <w:r w:rsidR="00C163F8">
        <w:t>)</w:t>
      </w:r>
    </w:p>
    <w:p w:rsidR="00F06B32" w:rsidRDefault="00F06B32">
      <w:pPr>
        <w:suppressAutoHyphens/>
        <w:jc w:val="center"/>
        <w:rPr>
          <w:rFonts w:ascii="Times New Roman" w:hAnsi="Times New Roman"/>
          <w:b/>
        </w:rPr>
      </w:pPr>
    </w:p>
    <w:p w:rsidR="008377C4" w:rsidRDefault="008377C4">
      <w:pPr>
        <w:suppressAutoHyphens/>
        <w:jc w:val="center"/>
        <w:rPr>
          <w:rFonts w:ascii="Times New Roman" w:hAnsi="Times New Roman"/>
          <w:b/>
        </w:rPr>
      </w:pPr>
      <w:r>
        <w:rPr>
          <w:rFonts w:ascii="Times New Roman" w:hAnsi="Times New Roman"/>
          <w:b/>
        </w:rPr>
        <w:t>SUPPORTING STATEMENT FOR NEW AND</w:t>
      </w:r>
    </w:p>
    <w:p w:rsidR="008377C4" w:rsidRDefault="008377C4">
      <w:pPr>
        <w:suppressAutoHyphens/>
        <w:spacing w:after="240"/>
        <w:jc w:val="center"/>
        <w:rPr>
          <w:rFonts w:ascii="Times New Roman" w:hAnsi="Times New Roman"/>
          <w:b/>
        </w:rPr>
      </w:pPr>
      <w:r>
        <w:rPr>
          <w:rFonts w:ascii="Times New Roman" w:hAnsi="Times New Roman"/>
          <w:b/>
        </w:rPr>
        <w:t>REVISED INFORMATION COLLECTIONS</w:t>
      </w:r>
    </w:p>
    <w:p w:rsidR="008377C4" w:rsidRDefault="008377C4">
      <w:pPr>
        <w:tabs>
          <w:tab w:val="center" w:pos="4680"/>
        </w:tabs>
        <w:suppressAutoHyphens/>
        <w:spacing w:after="240"/>
        <w:jc w:val="center"/>
        <w:rPr>
          <w:rFonts w:ascii="Times New Roman" w:hAnsi="Times New Roman"/>
          <w:b/>
        </w:rPr>
      </w:pPr>
      <w:r>
        <w:rPr>
          <w:rFonts w:ascii="Times New Roman" w:hAnsi="Times New Roman"/>
          <w:b/>
        </w:rPr>
        <w:t>OMB CONTROL NUMBER 3038-____</w:t>
      </w:r>
    </w:p>
    <w:p w:rsidR="008377C4" w:rsidRDefault="008377C4">
      <w:pPr>
        <w:pStyle w:val="Heading1"/>
        <w:keepNext w:val="0"/>
        <w:rPr>
          <w:rFonts w:ascii="Times New Roman" w:hAnsi="Times New Roman"/>
          <w:szCs w:val="24"/>
        </w:rPr>
      </w:pPr>
      <w:r>
        <w:rPr>
          <w:rFonts w:ascii="Times New Roman" w:hAnsi="Times New Roman"/>
          <w:szCs w:val="24"/>
        </w:rPr>
        <w:t>Justification</w:t>
      </w:r>
    </w:p>
    <w:p w:rsidR="008377C4" w:rsidRDefault="008377C4">
      <w:pPr>
        <w:jc w:val="both"/>
      </w:pPr>
    </w:p>
    <w:p w:rsidR="008377C4" w:rsidRDefault="008377C4">
      <w:pPr>
        <w:tabs>
          <w:tab w:val="left" w:pos="-720"/>
        </w:tabs>
        <w:ind w:left="720" w:hanging="720"/>
        <w:jc w:val="both"/>
        <w:rPr>
          <w:rFonts w:ascii="Times New Roman" w:hAnsi="Times New Roman"/>
        </w:rPr>
      </w:pPr>
      <w:r>
        <w:rPr>
          <w:rFonts w:ascii="Times New Roman" w:hAnsi="Times New Roman"/>
          <w:b/>
        </w:rPr>
        <w:t>1.</w:t>
      </w:r>
      <w:r>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377C4" w:rsidRDefault="008377C4">
      <w:pPr>
        <w:pStyle w:val="Default"/>
        <w:jc w:val="both"/>
        <w:rPr>
          <w:rFonts w:ascii="Times New Roman" w:hAnsi="Times New Roman" w:cs="Times New Roman"/>
        </w:rPr>
      </w:pPr>
    </w:p>
    <w:p w:rsidR="008377C4" w:rsidRDefault="008377C4">
      <w:pPr>
        <w:pStyle w:val="Default"/>
        <w:jc w:val="both"/>
        <w:rPr>
          <w:rFonts w:ascii="Times New Roman" w:hAnsi="Times New Roman" w:cs="Times New Roman"/>
        </w:rPr>
      </w:pPr>
      <w:r>
        <w:rPr>
          <w:rFonts w:ascii="Times New Roman" w:hAnsi="Times New Roman" w:cs="Times New Roman"/>
        </w:rPr>
        <w:t xml:space="preserve">Title VII of the Dodd-Frank Wall Street Reform and Consumer Protection Act (Dodd-Frank Act, Pub L. No. 111-203, 124 Stat. 1376 (2010)) amended the Commodity Exchange Act (CEA) to </w:t>
      </w:r>
      <w:r w:rsidR="00CE5BAE">
        <w:rPr>
          <w:rFonts w:ascii="Times New Roman" w:hAnsi="Times New Roman" w:cs="Times New Roman"/>
        </w:rPr>
        <w:t xml:space="preserve">establish a comprehensive new statutory framework for swaps.  These amendments require the Commodity Futures Trading Commission (“the Commission”) to amend several of its </w:t>
      </w:r>
      <w:proofErr w:type="gramStart"/>
      <w:r w:rsidR="00CE5BAE">
        <w:rPr>
          <w:rFonts w:ascii="Times New Roman" w:hAnsi="Times New Roman" w:cs="Times New Roman"/>
        </w:rPr>
        <w:t>regulations</w:t>
      </w:r>
      <w:proofErr w:type="gramEnd"/>
      <w:r w:rsidR="00CE5BAE">
        <w:rPr>
          <w:rFonts w:ascii="Times New Roman" w:hAnsi="Times New Roman" w:cs="Times New Roman"/>
        </w:rPr>
        <w:t xml:space="preserve"> to implement the new framework.</w:t>
      </w:r>
    </w:p>
    <w:p w:rsidR="008377C4" w:rsidRDefault="008377C4">
      <w:pPr>
        <w:pStyle w:val="Default"/>
        <w:jc w:val="both"/>
        <w:rPr>
          <w:rFonts w:ascii="Times New Roman" w:hAnsi="Times New Roman" w:cs="Times New Roman"/>
        </w:rPr>
      </w:pPr>
    </w:p>
    <w:p w:rsidR="008377C4" w:rsidRDefault="008377C4">
      <w:pPr>
        <w:pStyle w:val="Default"/>
        <w:jc w:val="both"/>
        <w:rPr>
          <w:rFonts w:ascii="Times New Roman" w:hAnsi="Times New Roman" w:cs="Times New Roman"/>
        </w:rPr>
      </w:pPr>
      <w:r>
        <w:rPr>
          <w:rFonts w:ascii="Times New Roman" w:hAnsi="Times New Roman" w:cs="Times New Roman"/>
        </w:rPr>
        <w:t xml:space="preserve">The information collection obligations imposed by the proposed regulations are necessary to implement </w:t>
      </w:r>
      <w:r w:rsidR="00CE5BAE">
        <w:rPr>
          <w:rFonts w:ascii="Times New Roman" w:hAnsi="Times New Roman" w:cs="Times New Roman"/>
        </w:rPr>
        <w:t xml:space="preserve">section 721 of the Dodd-Frank Act, which amended the definitions of futures commission merchant and introducing broker to permit these intermediaries to trade swaps on behalf of customers.  They are also necessary to implement section 733 of the Dodd-Frank Act which </w:t>
      </w:r>
      <w:r w:rsidR="009A5F7A">
        <w:rPr>
          <w:rFonts w:ascii="Times New Roman" w:hAnsi="Times New Roman" w:cs="Times New Roman"/>
        </w:rPr>
        <w:t xml:space="preserve">introduced swap execution facilities as a new trading platform for swaps.  </w:t>
      </w:r>
      <w:r w:rsidR="00CE5BAE">
        <w:rPr>
          <w:rFonts w:ascii="Times New Roman" w:hAnsi="Times New Roman" w:cs="Times New Roman"/>
        </w:rPr>
        <w:t>As a result, the Commission needed to amend certain recordkeeping regulations (1.31, 1.33, 1.35, 1.37, and 1.39)</w:t>
      </w:r>
      <w:r>
        <w:rPr>
          <w:rFonts w:ascii="Times New Roman" w:hAnsi="Times New Roman" w:cs="Times New Roman"/>
        </w:rPr>
        <w:t xml:space="preserve"> </w:t>
      </w:r>
      <w:r w:rsidR="00CE5BAE">
        <w:rPr>
          <w:rFonts w:ascii="Times New Roman" w:hAnsi="Times New Roman" w:cs="Times New Roman"/>
        </w:rPr>
        <w:t>so that records of swap transactions</w:t>
      </w:r>
      <w:r w:rsidR="009A5F7A">
        <w:rPr>
          <w:rFonts w:ascii="Times New Roman" w:hAnsi="Times New Roman" w:cs="Times New Roman"/>
        </w:rPr>
        <w:t xml:space="preserve"> are kept</w:t>
      </w:r>
      <w:r w:rsidR="00CE5BAE">
        <w:rPr>
          <w:rFonts w:ascii="Times New Roman" w:hAnsi="Times New Roman" w:cs="Times New Roman"/>
        </w:rPr>
        <w:t xml:space="preserve"> analogously to how </w:t>
      </w:r>
      <w:r w:rsidR="009A5F7A">
        <w:rPr>
          <w:rFonts w:ascii="Times New Roman" w:hAnsi="Times New Roman" w:cs="Times New Roman"/>
        </w:rPr>
        <w:t>futures transactions are presently</w:t>
      </w:r>
      <w:r w:rsidR="00CE5BAE">
        <w:rPr>
          <w:rFonts w:ascii="Times New Roman" w:hAnsi="Times New Roman" w:cs="Times New Roman"/>
        </w:rPr>
        <w:t xml:space="preserve"> maintain</w:t>
      </w:r>
      <w:r w:rsidR="009A5F7A">
        <w:rPr>
          <w:rFonts w:ascii="Times New Roman" w:hAnsi="Times New Roman" w:cs="Times New Roman"/>
        </w:rPr>
        <w:t>ed</w:t>
      </w:r>
      <w:r w:rsidR="00CE5BAE">
        <w:rPr>
          <w:rFonts w:ascii="Times New Roman" w:hAnsi="Times New Roman" w:cs="Times New Roman"/>
        </w:rPr>
        <w:t xml:space="preserve">.  </w:t>
      </w:r>
      <w:r w:rsidR="00D13B2F">
        <w:rPr>
          <w:rFonts w:ascii="Times New Roman" w:hAnsi="Times New Roman" w:cs="Times New Roman"/>
        </w:rPr>
        <w:t>In addition, in light of the Commission’s recently proposed rulemaking that would require swap dealers and major swap participants to keep records of oral communications</w:t>
      </w:r>
      <w:r w:rsidR="00D13B2F" w:rsidRPr="00D13B2F">
        <w:rPr>
          <w:rFonts w:ascii="Times New Roman" w:hAnsi="Times New Roman" w:cs="Times New Roman"/>
          <w:b/>
          <w:color w:val="auto"/>
        </w:rPr>
        <w:t xml:space="preserve"> </w:t>
      </w:r>
      <w:r w:rsidR="00D13B2F" w:rsidRPr="00D13B2F">
        <w:rPr>
          <w:rFonts w:ascii="Times New Roman" w:hAnsi="Times New Roman" w:cs="Times New Roman"/>
          <w:color w:val="auto"/>
        </w:rPr>
        <w:t>(</w:t>
      </w:r>
      <w:hyperlink r:id="rId8" w:history="1">
        <w:r w:rsidR="00D13B2F" w:rsidRPr="00D13B2F">
          <w:rPr>
            <w:rStyle w:val="Hyperlink"/>
            <w:rFonts w:ascii="Times New Roman" w:hAnsi="Times New Roman" w:cs="Times New Roman"/>
            <w:b w:val="0"/>
            <w:color w:val="auto"/>
          </w:rPr>
          <w:t>75 F.R. 76666</w:t>
        </w:r>
      </w:hyperlink>
      <w:r w:rsidR="00D13B2F" w:rsidRPr="00D13B2F">
        <w:rPr>
          <w:rFonts w:ascii="Times New Roman" w:hAnsi="Times New Roman" w:cs="Times New Roman"/>
          <w:color w:val="auto"/>
        </w:rPr>
        <w:t>),</w:t>
      </w:r>
      <w:r w:rsidR="00CE5BAE" w:rsidRPr="00D13B2F">
        <w:rPr>
          <w:rFonts w:ascii="Times New Roman" w:hAnsi="Times New Roman" w:cs="Times New Roman"/>
        </w:rPr>
        <w:t xml:space="preserve"> </w:t>
      </w:r>
      <w:r w:rsidR="00CE5BAE">
        <w:rPr>
          <w:rFonts w:ascii="Times New Roman" w:hAnsi="Times New Roman" w:cs="Times New Roman"/>
        </w:rPr>
        <w:t xml:space="preserve">the Commission is </w:t>
      </w:r>
      <w:r w:rsidR="00D13B2F">
        <w:rPr>
          <w:rFonts w:ascii="Times New Roman" w:hAnsi="Times New Roman" w:cs="Times New Roman"/>
        </w:rPr>
        <w:t>proposing that futures commission merchants, introducing brokers,</w:t>
      </w:r>
      <w:r w:rsidR="00CE5BAE">
        <w:rPr>
          <w:rFonts w:ascii="Times New Roman" w:hAnsi="Times New Roman" w:cs="Times New Roman"/>
        </w:rPr>
        <w:t xml:space="preserve"> </w:t>
      </w:r>
      <w:r w:rsidR="00D13B2F">
        <w:rPr>
          <w:rFonts w:ascii="Times New Roman" w:hAnsi="Times New Roman" w:cs="Times New Roman"/>
        </w:rPr>
        <w:t xml:space="preserve">retail foreign exchange dealers, </w:t>
      </w:r>
      <w:r w:rsidR="00CE5BAE">
        <w:rPr>
          <w:rFonts w:ascii="Times New Roman" w:hAnsi="Times New Roman" w:cs="Times New Roman"/>
        </w:rPr>
        <w:t>members of designated contract markets</w:t>
      </w:r>
      <w:r w:rsidR="00D13B2F">
        <w:rPr>
          <w:rFonts w:ascii="Times New Roman" w:hAnsi="Times New Roman" w:cs="Times New Roman"/>
        </w:rPr>
        <w:t>, and members of swap execution facilities have the same requirement.</w:t>
      </w:r>
    </w:p>
    <w:p w:rsidR="008377C4" w:rsidRDefault="008377C4">
      <w:pPr>
        <w:pStyle w:val="Default"/>
        <w:jc w:val="both"/>
        <w:rPr>
          <w:rFonts w:ascii="Times New Roman" w:hAnsi="Times New Roman" w:cs="Times New Roman"/>
        </w:rPr>
      </w:pPr>
    </w:p>
    <w:p w:rsidR="008377C4" w:rsidRDefault="008377C4">
      <w:pPr>
        <w:pStyle w:val="Default"/>
        <w:jc w:val="both"/>
        <w:rPr>
          <w:rFonts w:ascii="Times New Roman" w:hAnsi="Times New Roman"/>
        </w:rPr>
      </w:pPr>
      <w:r>
        <w:rPr>
          <w:rFonts w:ascii="Times New Roman" w:hAnsi="Times New Roman" w:cs="Times New Roman"/>
        </w:rPr>
        <w:t xml:space="preserve">The information collection burdens are restricted to the costs </w:t>
      </w:r>
      <w:r>
        <w:rPr>
          <w:rFonts w:ascii="Times New Roman" w:hAnsi="Times New Roman"/>
        </w:rPr>
        <w:t xml:space="preserve">associated with the </w:t>
      </w:r>
      <w:r w:rsidRPr="0004202D">
        <w:rPr>
          <w:rFonts w:ascii="Times New Roman" w:hAnsi="Times New Roman"/>
        </w:rPr>
        <w:t>recordkeeping</w:t>
      </w:r>
      <w:r>
        <w:rPr>
          <w:rFonts w:ascii="Times New Roman" w:hAnsi="Times New Roman"/>
        </w:rPr>
        <w:t xml:space="preserve"> </w:t>
      </w:r>
      <w:r w:rsidR="0004202D">
        <w:rPr>
          <w:rFonts w:ascii="Times New Roman" w:hAnsi="Times New Roman"/>
        </w:rPr>
        <w:t xml:space="preserve">and reporting </w:t>
      </w:r>
      <w:r>
        <w:rPr>
          <w:rFonts w:ascii="Times New Roman" w:hAnsi="Times New Roman"/>
        </w:rPr>
        <w:t>requirements that the proposed regulations impose upon affected registrants</w:t>
      </w:r>
      <w:r w:rsidR="009A5F7A">
        <w:rPr>
          <w:rFonts w:ascii="Times New Roman" w:hAnsi="Times New Roman"/>
        </w:rPr>
        <w:t>, registered entities, and their members</w:t>
      </w:r>
      <w:r>
        <w:rPr>
          <w:rFonts w:ascii="Times New Roman" w:hAnsi="Times New Roman"/>
        </w:rPr>
        <w:t xml:space="preserve">.  </w:t>
      </w:r>
    </w:p>
    <w:p w:rsidR="009A5F7A" w:rsidRDefault="009A5F7A">
      <w:pPr>
        <w:pStyle w:val="Default"/>
        <w:jc w:val="both"/>
        <w:rPr>
          <w:rFonts w:ascii="Times New Roman" w:hAnsi="Times New Roman" w:cs="Times New Roman"/>
        </w:rPr>
      </w:pPr>
    </w:p>
    <w:p w:rsidR="008377C4" w:rsidRDefault="008377C4">
      <w:pPr>
        <w:tabs>
          <w:tab w:val="left" w:pos="-720"/>
        </w:tabs>
        <w:ind w:left="720" w:hanging="720"/>
        <w:jc w:val="both"/>
        <w:rPr>
          <w:rFonts w:ascii="Times New Roman" w:hAnsi="Times New Roman"/>
          <w:b/>
        </w:rPr>
      </w:pPr>
      <w:r>
        <w:rPr>
          <w:rFonts w:ascii="Times New Roman" w:hAnsi="Times New Roman"/>
          <w:b/>
        </w:rPr>
        <w:t>2.</w:t>
      </w:r>
      <w:r>
        <w:rPr>
          <w:rFonts w:ascii="Times New Roman" w:hAnsi="Times New Roman"/>
          <w:b/>
        </w:rPr>
        <w:tab/>
        <w:t>Indicate how, by whom, and for what purpose the data would be used.  Except for a new collection, indicate the actual use the agency has made of the information received from the current collection.</w:t>
      </w:r>
    </w:p>
    <w:p w:rsidR="008377C4" w:rsidRDefault="008377C4">
      <w:pPr>
        <w:jc w:val="both"/>
        <w:rPr>
          <w:rFonts w:ascii="Times New Roman" w:hAnsi="Times New Roman"/>
        </w:rPr>
      </w:pPr>
    </w:p>
    <w:p w:rsidR="008377C4" w:rsidRDefault="008377C4">
      <w:pPr>
        <w:pStyle w:val="Default"/>
        <w:jc w:val="both"/>
        <w:rPr>
          <w:rFonts w:ascii="Times New Roman" w:hAnsi="Times New Roman" w:cs="Times New Roman"/>
        </w:rPr>
      </w:pPr>
      <w:r>
        <w:rPr>
          <w:rFonts w:ascii="Times New Roman" w:hAnsi="Times New Roman" w:cs="Times New Roman"/>
        </w:rPr>
        <w:t>Commission staff would use the information required to be preserved when conducting the Commission’s examination and oversight program with respect to the affected registrants</w:t>
      </w:r>
      <w:r w:rsidR="00D85F41">
        <w:rPr>
          <w:rFonts w:ascii="Times New Roman" w:hAnsi="Times New Roman" w:cs="Times New Roman"/>
        </w:rPr>
        <w:t xml:space="preserve"> </w:t>
      </w:r>
      <w:r w:rsidR="00D85F41" w:rsidRPr="00D85F41">
        <w:rPr>
          <w:rFonts w:ascii="Times New Roman" w:hAnsi="Times New Roman"/>
          <w:color w:val="auto"/>
        </w:rPr>
        <w:t>and when conducting investigations into potential violations of the CEA.</w:t>
      </w:r>
    </w:p>
    <w:p w:rsidR="008377C4" w:rsidRDefault="008377C4">
      <w:pPr>
        <w:jc w:val="both"/>
        <w:rPr>
          <w:rFonts w:ascii="Times New Roman" w:hAnsi="Times New Roman"/>
        </w:rPr>
      </w:pPr>
    </w:p>
    <w:p w:rsidR="008377C4" w:rsidRDefault="008377C4">
      <w:pPr>
        <w:keepNext/>
        <w:tabs>
          <w:tab w:val="left" w:pos="-720"/>
        </w:tabs>
        <w:spacing w:after="240"/>
        <w:ind w:left="720" w:hanging="720"/>
        <w:jc w:val="both"/>
        <w:rPr>
          <w:rFonts w:ascii="Times New Roman" w:hAnsi="Times New Roman"/>
          <w:b/>
        </w:rPr>
      </w:pPr>
      <w:r>
        <w:rPr>
          <w:rFonts w:ascii="Times New Roman" w:hAnsi="Times New Roman"/>
          <w:b/>
        </w:rPr>
        <w:lastRenderedPageBreak/>
        <w:t>3.</w:t>
      </w:r>
      <w:r>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377C4" w:rsidRDefault="008377C4">
      <w:pPr>
        <w:tabs>
          <w:tab w:val="left" w:pos="-720"/>
          <w:tab w:val="left" w:pos="0"/>
        </w:tabs>
        <w:spacing w:after="240"/>
        <w:jc w:val="both"/>
        <w:rPr>
          <w:rFonts w:ascii="Times New Roman" w:hAnsi="Times New Roman"/>
        </w:rPr>
      </w:pPr>
      <w:r>
        <w:rPr>
          <w:rFonts w:ascii="Times New Roman" w:hAnsi="Times New Roman"/>
        </w:rPr>
        <w:t xml:space="preserve">The proposed regulations require that recordkeeping generally be performed in accordance with Commission </w:t>
      </w:r>
      <w:r w:rsidR="00D13B2F">
        <w:rPr>
          <w:rFonts w:ascii="Times New Roman" w:hAnsi="Times New Roman"/>
        </w:rPr>
        <w:t>R</w:t>
      </w:r>
      <w:r>
        <w:rPr>
          <w:rFonts w:ascii="Times New Roman" w:hAnsi="Times New Roman"/>
        </w:rPr>
        <w:t>egulation 1.31, which permits the use of electronic storage media.</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4.</w:t>
      </w:r>
      <w:r>
        <w:rPr>
          <w:rFonts w:ascii="Times New Roman" w:hAnsi="Times New Roman"/>
          <w:b/>
        </w:rPr>
        <w:tab/>
        <w:t>Describe efforts to identify duplication.  Show specifically why any similar information already available cannot be used or modified for use for the purposes described in Item 2 above.</w:t>
      </w:r>
    </w:p>
    <w:p w:rsidR="008377C4" w:rsidRDefault="005D6E0D">
      <w:pPr>
        <w:tabs>
          <w:tab w:val="left" w:pos="-720"/>
        </w:tabs>
        <w:spacing w:after="240"/>
        <w:jc w:val="both"/>
        <w:rPr>
          <w:rFonts w:ascii="Times New Roman" w:hAnsi="Times New Roman"/>
        </w:rPr>
      </w:pPr>
      <w:r>
        <w:rPr>
          <w:rFonts w:ascii="Times New Roman" w:hAnsi="Times New Roman"/>
        </w:rPr>
        <w:t>The recordkeeping regulations amended in this rulemaking are the only recordkeeping regulations affecting futures commission merchants and introducing brokers.  The information collected pursuant to these regulations</w:t>
      </w:r>
      <w:r w:rsidR="008377C4">
        <w:rPr>
          <w:rFonts w:ascii="Times New Roman" w:hAnsi="Times New Roman"/>
        </w:rPr>
        <w:t xml:space="preserve"> is not collected by any other agency or available for public disclosure through any other source.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5.</w:t>
      </w:r>
      <w:r>
        <w:rPr>
          <w:rFonts w:ascii="Times New Roman" w:hAnsi="Times New Roman"/>
          <w:b/>
        </w:rPr>
        <w:tab/>
        <w:t>If the collection of information involves small business or other small entities (Item 5 of OMB From 83-I), describe the methods used to minimize burden.</w:t>
      </w:r>
    </w:p>
    <w:p w:rsidR="008377C4" w:rsidRDefault="00B221AB">
      <w:pPr>
        <w:tabs>
          <w:tab w:val="left" w:pos="-720"/>
        </w:tabs>
        <w:spacing w:after="240"/>
        <w:jc w:val="both"/>
        <w:rPr>
          <w:rFonts w:ascii="Times New Roman" w:hAnsi="Times New Roman"/>
        </w:rPr>
      </w:pPr>
      <w:r>
        <w:rPr>
          <w:rFonts w:ascii="Times New Roman" w:hAnsi="Times New Roman"/>
        </w:rPr>
        <w:t>All entities subject to the amended regulations, except for introducing brokers, will be large financial institutions.  With respect to introducing brokers, the Commission conducted a Regulatory Flexibility Analysis and determined that minimizing the burden for introducing brokers likely would create an unacceptable opportunity for regulatory arbitrage.</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6.</w:t>
      </w:r>
      <w:r>
        <w:rPr>
          <w:rFonts w:ascii="Times New Roman" w:hAnsi="Times New Roman"/>
          <w:b/>
        </w:rPr>
        <w:tab/>
        <w:t>Describe the consequence to the Federal Program or policy activities if the collection were conducted less frequently as well as any technical or legal obstacles to reducing burden.</w:t>
      </w:r>
    </w:p>
    <w:p w:rsidR="008377C4" w:rsidRDefault="008377C4">
      <w:pPr>
        <w:pStyle w:val="Default"/>
        <w:jc w:val="both"/>
        <w:rPr>
          <w:rFonts w:ascii="Times New Roman" w:hAnsi="Times New Roman" w:cs="Times New Roman"/>
        </w:rPr>
      </w:pPr>
      <w:r>
        <w:rPr>
          <w:rFonts w:ascii="Times New Roman" w:hAnsi="Times New Roman" w:cs="Times New Roman"/>
        </w:rPr>
        <w:t>Failure to maintain the records required by the proposed regulations would adversely affect the Commission’s ability to e</w:t>
      </w:r>
      <w:r w:rsidR="00084F0F">
        <w:rPr>
          <w:rFonts w:ascii="Times New Roman" w:hAnsi="Times New Roman" w:cs="Times New Roman"/>
        </w:rPr>
        <w:t xml:space="preserve">nsure the affected registrants’ and their members’ </w:t>
      </w:r>
      <w:r>
        <w:rPr>
          <w:rFonts w:ascii="Times New Roman" w:hAnsi="Times New Roman" w:cs="Times New Roman"/>
        </w:rPr>
        <w:t xml:space="preserve">compliance with their obligations under the CEA and Commission regulations to </w:t>
      </w:r>
      <w:r w:rsidR="00084F0F">
        <w:rPr>
          <w:rFonts w:ascii="Times New Roman" w:hAnsi="Times New Roman" w:cs="Times New Roman"/>
        </w:rPr>
        <w:t>document swap transactions.</w:t>
      </w:r>
      <w:r>
        <w:rPr>
          <w:rFonts w:ascii="Times New Roman" w:hAnsi="Times New Roman" w:cs="Times New Roman"/>
        </w:rPr>
        <w:t xml:space="preserve">  </w:t>
      </w:r>
    </w:p>
    <w:p w:rsidR="008377C4" w:rsidRDefault="008377C4">
      <w:pPr>
        <w:pStyle w:val="Default"/>
        <w:jc w:val="both"/>
        <w:rPr>
          <w:rFonts w:ascii="Times New Roman" w:hAnsi="Times New Roman" w:cs="Times New Roman"/>
        </w:rPr>
      </w:pPr>
    </w:p>
    <w:p w:rsidR="008377C4" w:rsidRDefault="008377C4">
      <w:pPr>
        <w:tabs>
          <w:tab w:val="left" w:pos="-720"/>
          <w:tab w:val="left" w:pos="0"/>
        </w:tabs>
        <w:spacing w:after="240"/>
        <w:jc w:val="both"/>
        <w:rPr>
          <w:rFonts w:ascii="Times New Roman" w:hAnsi="Times New Roman"/>
          <w:b/>
        </w:rPr>
      </w:pPr>
      <w:r>
        <w:rPr>
          <w:rFonts w:ascii="Times New Roman" w:hAnsi="Times New Roman"/>
          <w:b/>
        </w:rPr>
        <w:t>7.</w:t>
      </w:r>
      <w:r>
        <w:rPr>
          <w:rFonts w:ascii="Times New Roman" w:hAnsi="Times New Roman"/>
          <w:b/>
        </w:rPr>
        <w:tab/>
        <w:t>Explain any special circumstances that require the collection to be conducted in a manner:</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report information to the agency more often than quarterly;</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regulations do not impose any reporting requirements</w:t>
      </w:r>
      <w:r w:rsidR="00ED0CAE">
        <w:rPr>
          <w:rFonts w:ascii="Times New Roman" w:hAnsi="Times New Roman"/>
        </w:rPr>
        <w:t xml:space="preserve"> to the agency</w:t>
      </w:r>
      <w:r>
        <w:rPr>
          <w:rFonts w:ascii="Times New Roman" w:hAnsi="Times New Roman"/>
        </w:rPr>
        <w:t>.</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prepare a written response to a collection of information in fewer than 30 days after receipt of it:</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This question does not apply.</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requiring respondents to submit more that an original and two copies of any document;</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regulations do not impose any requirements that would obligate a respondent to submit more than an original and two copies of any document.</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respondents to retain records other than health, medical, government contract, grant-in-aid, or tax records, for more than three years;</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Commission regulation 1.31 expressly requires that:</w:t>
      </w:r>
    </w:p>
    <w:p w:rsidR="008377C4" w:rsidRDefault="008377C4">
      <w:pPr>
        <w:tabs>
          <w:tab w:val="left" w:pos="-720"/>
          <w:tab w:val="left" w:pos="0"/>
          <w:tab w:val="left" w:pos="720"/>
        </w:tabs>
        <w:spacing w:after="240"/>
        <w:ind w:left="720" w:right="720"/>
        <w:jc w:val="both"/>
        <w:rPr>
          <w:rFonts w:ascii="Times New Roman" w:hAnsi="Times New Roman"/>
        </w:rPr>
      </w:pPr>
      <w:r>
        <w:rPr>
          <w:rFonts w:ascii="Times New Roman" w:hAnsi="Times New Roman"/>
        </w:rPr>
        <w:t xml:space="preserve">All books and records required to be kept by the [CEA] or by [Commission] regulations shall be kept for a period of five years from the date thereof and shall be readily accessible during the first </w:t>
      </w:r>
      <w:r w:rsidR="00F06B32">
        <w:rPr>
          <w:rFonts w:ascii="Times New Roman" w:hAnsi="Times New Roman"/>
        </w:rPr>
        <w:t>two</w:t>
      </w:r>
      <w:r>
        <w:rPr>
          <w:rFonts w:ascii="Times New Roman" w:hAnsi="Times New Roman"/>
        </w:rPr>
        <w:t xml:space="preserve"> years of the five-year period.  All such books and records shall be open to inspection by any representative of the </w:t>
      </w:r>
      <w:r w:rsidR="00AB713A">
        <w:rPr>
          <w:rFonts w:ascii="Times New Roman" w:hAnsi="Times New Roman"/>
        </w:rPr>
        <w:t>C</w:t>
      </w:r>
      <w:r>
        <w:rPr>
          <w:rFonts w:ascii="Times New Roman" w:hAnsi="Times New Roman"/>
        </w:rPr>
        <w:t>ommission or the United States Department of Justice.</w:t>
      </w:r>
    </w:p>
    <w:p w:rsidR="00084F0F" w:rsidRDefault="00084F0F" w:rsidP="00084F0F">
      <w:pPr>
        <w:tabs>
          <w:tab w:val="left" w:pos="-720"/>
          <w:tab w:val="left" w:pos="0"/>
          <w:tab w:val="left" w:pos="720"/>
        </w:tabs>
        <w:spacing w:after="240"/>
        <w:ind w:right="720"/>
        <w:jc w:val="both"/>
        <w:rPr>
          <w:rFonts w:ascii="Times New Roman" w:hAnsi="Times New Roman"/>
        </w:rPr>
      </w:pPr>
      <w:r>
        <w:rPr>
          <w:rFonts w:ascii="Times New Roman" w:hAnsi="Times New Roman"/>
        </w:rPr>
        <w:t xml:space="preserve">In addition, in this proposed rulemaking, the Commission proposes to amend </w:t>
      </w:r>
      <w:r w:rsidR="00515EF7">
        <w:rPr>
          <w:rFonts w:ascii="Times New Roman" w:hAnsi="Times New Roman"/>
        </w:rPr>
        <w:t>R</w:t>
      </w:r>
      <w:r>
        <w:rPr>
          <w:rFonts w:ascii="Times New Roman" w:hAnsi="Times New Roman"/>
        </w:rPr>
        <w:t>egulation 1.</w:t>
      </w:r>
      <w:r w:rsidR="00AB713A">
        <w:rPr>
          <w:rFonts w:ascii="Times New Roman" w:hAnsi="Times New Roman"/>
        </w:rPr>
        <w:t xml:space="preserve">31 so that </w:t>
      </w:r>
      <w:r w:rsidR="00AB713A" w:rsidRPr="008835FE">
        <w:rPr>
          <w:rFonts w:ascii="Times New Roman" w:hAnsi="Times New Roman"/>
        </w:rPr>
        <w:t xml:space="preserve">records of any swap or related cash or forward transaction shall be kept until the termination, maturity, expiration, transfer, assignment, or </w:t>
      </w:r>
      <w:proofErr w:type="spellStart"/>
      <w:r w:rsidR="00AB713A" w:rsidRPr="008835FE">
        <w:rPr>
          <w:rFonts w:ascii="Times New Roman" w:hAnsi="Times New Roman"/>
        </w:rPr>
        <w:t>novation</w:t>
      </w:r>
      <w:proofErr w:type="spellEnd"/>
      <w:r w:rsidR="00AB713A" w:rsidRPr="008835FE">
        <w:rPr>
          <w:rFonts w:ascii="Times New Roman" w:hAnsi="Times New Roman"/>
        </w:rPr>
        <w:t xml:space="preserve"> date of the transaction and for a period of five years after such date. </w:t>
      </w:r>
      <w:r w:rsidR="00AB713A">
        <w:rPr>
          <w:rFonts w:ascii="Times New Roman" w:hAnsi="Times New Roman"/>
        </w:rPr>
        <w:t xml:space="preserve"> In addition, swap records must be open to inspection not only to the Commission or the Department of Justice but also to applicable prudential regulators, as that term is defined in section 1a(39) of the Act.  Finally, those security-based swap agreements described in section </w:t>
      </w:r>
      <w:proofErr w:type="gramStart"/>
      <w:r w:rsidR="00AB713A">
        <w:rPr>
          <w:rFonts w:ascii="Times New Roman" w:hAnsi="Times New Roman"/>
        </w:rPr>
        <w:t>1a(</w:t>
      </w:r>
      <w:proofErr w:type="gramEnd"/>
      <w:r w:rsidR="00AB713A">
        <w:rPr>
          <w:rFonts w:ascii="Times New Roman" w:hAnsi="Times New Roman"/>
        </w:rPr>
        <w:t xml:space="preserve">47)(A)(v) of the Act must </w:t>
      </w:r>
      <w:r w:rsidR="00515EF7">
        <w:rPr>
          <w:rFonts w:ascii="Times New Roman" w:hAnsi="Times New Roman"/>
        </w:rPr>
        <w:t xml:space="preserve">also </w:t>
      </w:r>
      <w:r w:rsidR="00AB713A">
        <w:rPr>
          <w:rFonts w:ascii="Times New Roman" w:hAnsi="Times New Roman"/>
        </w:rPr>
        <w:t>be open to inspection by the United States Securities and Exchange Commission.</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 xml:space="preserve">in connection with a statistical survey, that is not designed to produce valid and reliable results that can be generalized to the universe of study; </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any statistical surveys.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requiring the use of a statistical data classification that has not been reviewed and approved by OMB;</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nor involve the use of any statistical data classification.</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This question does not apply.  The proposed regulation does not require a pledge of confidentiality.</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lastRenderedPageBreak/>
        <w:t>requiring respondents to submit proprietary trade secrets, or other confidential information unless the agency can demonstrate that it has instituted procedures to protect the information's confidentiality to the extent permitted by law.</w:t>
      </w:r>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t xml:space="preserve">This question does not apply.  In any event, the Commission has promulgated regulations to protect the confidentiality of any information collected from respondents.  Such regulations are set forth in 17 CFR Part 145.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8.</w:t>
      </w:r>
      <w:r>
        <w:rPr>
          <w:rFonts w:ascii="Times New Roman" w:hAnsi="Times New Roman"/>
          <w:b/>
        </w:rPr>
        <w:tab/>
        <w:t xml:space="preserve">If applicable, provide a copy and identify the date and page number of publication in the </w:t>
      </w:r>
      <w:r>
        <w:rPr>
          <w:rFonts w:ascii="Times New Roman" w:hAnsi="Times New Roman"/>
          <w:b/>
          <w:i/>
        </w:rPr>
        <w:t>Federal Register</w:t>
      </w:r>
      <w:r>
        <w:rPr>
          <w:rFonts w:ascii="Times New Roman" w:hAnsi="Times New Roman"/>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C4A87" w:rsidRDefault="00B221AB">
      <w:pPr>
        <w:pStyle w:val="TOC6"/>
        <w:tabs>
          <w:tab w:val="clear" w:pos="9360"/>
          <w:tab w:val="left" w:pos="-720"/>
          <w:tab w:val="left" w:pos="0"/>
        </w:tabs>
        <w:suppressAutoHyphens w:val="0"/>
        <w:spacing w:after="240"/>
        <w:ind w:left="0" w:firstLine="0"/>
        <w:jc w:val="both"/>
        <w:rPr>
          <w:rFonts w:ascii="Times New Roman" w:hAnsi="Times New Roman"/>
          <w:szCs w:val="24"/>
        </w:rPr>
      </w:pPr>
      <w:r>
        <w:rPr>
          <w:rFonts w:ascii="Times New Roman" w:hAnsi="Times New Roman"/>
          <w:szCs w:val="24"/>
        </w:rPr>
        <w:t xml:space="preserve">A copy of the proposed rulemaking has been submitted to the Federal Register for publication and public comment. </w:t>
      </w:r>
      <w:r w:rsidR="008377C4" w:rsidRPr="00BC4A87">
        <w:rPr>
          <w:rFonts w:ascii="Times New Roman" w:hAnsi="Times New Roman"/>
          <w:szCs w:val="24"/>
        </w:rPr>
        <w:t xml:space="preserve">The Commission is affirmatively </w:t>
      </w:r>
      <w:r w:rsidR="00BC4A87">
        <w:rPr>
          <w:rFonts w:ascii="Times New Roman" w:hAnsi="Times New Roman"/>
          <w:szCs w:val="24"/>
        </w:rPr>
        <w:t>seeking comment from the public:</w:t>
      </w:r>
    </w:p>
    <w:p w:rsidR="00BC4A87" w:rsidRDefault="00B221AB">
      <w:pPr>
        <w:pStyle w:val="TOC6"/>
        <w:tabs>
          <w:tab w:val="clear" w:pos="9360"/>
          <w:tab w:val="left" w:pos="-720"/>
          <w:tab w:val="left" w:pos="0"/>
        </w:tabs>
        <w:suppressAutoHyphens w:val="0"/>
        <w:spacing w:after="240"/>
        <w:ind w:left="0" w:firstLine="0"/>
        <w:jc w:val="both"/>
        <w:rPr>
          <w:rFonts w:ascii="Times New Roman" w:hAnsi="Times New Roman"/>
        </w:rPr>
      </w:pPr>
      <w:r>
        <w:rPr>
          <w:rFonts w:ascii="Times New Roman" w:hAnsi="Times New Roman"/>
        </w:rPr>
        <w:t>-</w:t>
      </w:r>
      <w:r w:rsidR="00BC4A87" w:rsidRPr="00BC4A87">
        <w:rPr>
          <w:rFonts w:ascii="Times New Roman" w:hAnsi="Times New Roman"/>
        </w:rPr>
        <w:t>on the potential costs and benefits of requiring registrants to record and maintain oral communications a</w:t>
      </w:r>
      <w:r w:rsidR="00BC4A87">
        <w:rPr>
          <w:rFonts w:ascii="Times New Roman" w:hAnsi="Times New Roman"/>
        </w:rPr>
        <w:t>s provided in the proposed rule and</w:t>
      </w:r>
    </w:p>
    <w:p w:rsidR="008377C4" w:rsidRPr="00BC4A87" w:rsidRDefault="00B221AB">
      <w:pPr>
        <w:pStyle w:val="TOC6"/>
        <w:tabs>
          <w:tab w:val="clear" w:pos="9360"/>
          <w:tab w:val="left" w:pos="-720"/>
          <w:tab w:val="left" w:pos="0"/>
        </w:tabs>
        <w:suppressAutoHyphens w:val="0"/>
        <w:spacing w:after="240"/>
        <w:ind w:left="0" w:firstLine="0"/>
        <w:jc w:val="both"/>
        <w:rPr>
          <w:rFonts w:ascii="Times New Roman" w:hAnsi="Times New Roman"/>
          <w:szCs w:val="24"/>
        </w:rPr>
      </w:pPr>
      <w:r>
        <w:rPr>
          <w:rFonts w:ascii="Times New Roman" w:hAnsi="Times New Roman"/>
        </w:rPr>
        <w:t>-</w:t>
      </w:r>
      <w:r w:rsidR="00BC4A87" w:rsidRPr="00BC4A87">
        <w:rPr>
          <w:rFonts w:ascii="Times New Roman" w:hAnsi="Times New Roman"/>
        </w:rPr>
        <w:t>on whether the retention period for any communication medium (</w:t>
      </w:r>
      <w:r w:rsidR="00BC4A87" w:rsidRPr="00BC4A87">
        <w:rPr>
          <w:rFonts w:ascii="Times New Roman" w:hAnsi="Times New Roman"/>
          <w:u w:val="single"/>
        </w:rPr>
        <w:t>e.g.</w:t>
      </w:r>
      <w:r w:rsidR="00BC4A87" w:rsidRPr="00BC4A87">
        <w:rPr>
          <w:rFonts w:ascii="Times New Roman" w:hAnsi="Times New Roman"/>
        </w:rPr>
        <w:t>, oral communications) should be shorter than the retention period applic</w:t>
      </w:r>
      <w:r>
        <w:rPr>
          <w:rFonts w:ascii="Times New Roman" w:hAnsi="Times New Roman"/>
        </w:rPr>
        <w:t>able to other required records.</w:t>
      </w:r>
    </w:p>
    <w:p w:rsidR="008377C4" w:rsidRDefault="008377C4">
      <w:pPr>
        <w:tabs>
          <w:tab w:val="left" w:pos="-720"/>
        </w:tabs>
        <w:spacing w:after="240"/>
        <w:ind w:left="720"/>
        <w:jc w:val="both"/>
        <w:rPr>
          <w:rFonts w:ascii="Times New Roman" w:hAnsi="Times New Roman"/>
          <w:b/>
        </w:rPr>
      </w:pPr>
      <w:r>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377C4" w:rsidRDefault="00C90C08">
      <w:pPr>
        <w:pStyle w:val="TOC6"/>
        <w:tabs>
          <w:tab w:val="clear" w:pos="9360"/>
          <w:tab w:val="left" w:pos="-720"/>
          <w:tab w:val="left" w:pos="0"/>
        </w:tabs>
        <w:suppressAutoHyphens w:val="0"/>
        <w:spacing w:after="240"/>
        <w:ind w:left="0" w:firstLine="0"/>
        <w:jc w:val="both"/>
        <w:rPr>
          <w:rFonts w:ascii="Times New Roman" w:hAnsi="Times New Roman"/>
          <w:szCs w:val="24"/>
        </w:rPr>
      </w:pPr>
      <w:r>
        <w:rPr>
          <w:rFonts w:ascii="Times New Roman" w:hAnsi="Times New Roman"/>
          <w:szCs w:val="24"/>
        </w:rPr>
        <w:t>None.</w:t>
      </w:r>
    </w:p>
    <w:p w:rsidR="008377C4" w:rsidRDefault="008377C4">
      <w:pPr>
        <w:tabs>
          <w:tab w:val="left" w:pos="-720"/>
        </w:tabs>
        <w:spacing w:after="240"/>
        <w:ind w:left="720"/>
        <w:jc w:val="both"/>
        <w:rPr>
          <w:rFonts w:ascii="Times New Roman" w:hAnsi="Times New Roman"/>
          <w:b/>
        </w:rPr>
      </w:pPr>
      <w:r>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8377C4" w:rsidRDefault="008377C4">
      <w:pPr>
        <w:tabs>
          <w:tab w:val="left" w:pos="-720"/>
        </w:tabs>
        <w:spacing w:after="240"/>
        <w:jc w:val="both"/>
        <w:rPr>
          <w:rFonts w:ascii="Times New Roman" w:hAnsi="Times New Roman"/>
        </w:rPr>
      </w:pPr>
      <w:r>
        <w:rPr>
          <w:rFonts w:ascii="Times New Roman" w:hAnsi="Times New Roman"/>
        </w:rPr>
        <w:t xml:space="preserve">No such circumstances are anticipated.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9.</w:t>
      </w:r>
      <w:r>
        <w:rPr>
          <w:rFonts w:ascii="Times New Roman" w:hAnsi="Times New Roman"/>
          <w:b/>
        </w:rPr>
        <w:tab/>
        <w:t xml:space="preserve">Explain any decision to provide any payment or gift to respondents, other than </w:t>
      </w:r>
      <w:proofErr w:type="spellStart"/>
      <w:r>
        <w:rPr>
          <w:rFonts w:ascii="Times New Roman" w:hAnsi="Times New Roman"/>
          <w:b/>
        </w:rPr>
        <w:t>renumeration</w:t>
      </w:r>
      <w:proofErr w:type="spellEnd"/>
      <w:r>
        <w:rPr>
          <w:rFonts w:ascii="Times New Roman" w:hAnsi="Times New Roman"/>
          <w:b/>
        </w:rPr>
        <w:t xml:space="preserve"> of contractors or grantees.</w:t>
      </w:r>
    </w:p>
    <w:p w:rsidR="008377C4" w:rsidRDefault="008377C4">
      <w:pPr>
        <w:tabs>
          <w:tab w:val="left" w:pos="-720"/>
        </w:tabs>
        <w:spacing w:after="240"/>
        <w:jc w:val="both"/>
        <w:rPr>
          <w:rFonts w:ascii="Times New Roman" w:hAnsi="Times New Roman"/>
        </w:rPr>
      </w:pPr>
      <w:r>
        <w:rPr>
          <w:rFonts w:ascii="Times New Roman" w:hAnsi="Times New Roman"/>
        </w:rPr>
        <w:t>This question does not apply.  No decision to provide any payment or gift to respondents has been made.</w:t>
      </w:r>
    </w:p>
    <w:p w:rsidR="008377C4" w:rsidRDefault="008377C4">
      <w:pPr>
        <w:tabs>
          <w:tab w:val="left" w:pos="-720"/>
        </w:tabs>
        <w:spacing w:after="240"/>
        <w:ind w:left="720" w:hanging="720"/>
        <w:jc w:val="both"/>
        <w:rPr>
          <w:rFonts w:ascii="Times New Roman" w:hAnsi="Times New Roman"/>
          <w:b/>
        </w:rPr>
      </w:pPr>
      <w:proofErr w:type="gramStart"/>
      <w:r>
        <w:rPr>
          <w:rFonts w:ascii="Times New Roman" w:hAnsi="Times New Roman"/>
          <w:b/>
        </w:rPr>
        <w:t>10.</w:t>
      </w:r>
      <w:r>
        <w:rPr>
          <w:rFonts w:ascii="Times New Roman" w:hAnsi="Times New Roman"/>
          <w:b/>
        </w:rPr>
        <w:tab/>
        <w:t>Describe any assurance of confidentiality provided to respondents and the basis for the assurance in statute, regulations, or agency policy.</w:t>
      </w:r>
      <w:proofErr w:type="gramEnd"/>
    </w:p>
    <w:p w:rsidR="008377C4" w:rsidRDefault="008377C4">
      <w:pPr>
        <w:tabs>
          <w:tab w:val="left" w:pos="-720"/>
          <w:tab w:val="left" w:pos="0"/>
          <w:tab w:val="left" w:pos="720"/>
        </w:tabs>
        <w:spacing w:after="240"/>
        <w:jc w:val="both"/>
        <w:rPr>
          <w:rFonts w:ascii="Times New Roman" w:hAnsi="Times New Roman"/>
        </w:rPr>
      </w:pPr>
      <w:r>
        <w:rPr>
          <w:rFonts w:ascii="Times New Roman" w:hAnsi="Times New Roman"/>
        </w:rPr>
        <w:lastRenderedPageBreak/>
        <w:t>If the proposed regulations are adopted, the Commission will protect proprietary information according to the Freedom of Information Act and the regulations that the Commission has promulgated to protect the confidentiality of collected information contained in 17 CFR 145, “Commission Records and Information.”  In addition, section 8(a) of the CEA provides for the confidentiality of data and information, except under the limited circumstances delineated therein.  The Commission also is required to protect certain information pursuant to the Privacy Act of 1974.</w:t>
      </w:r>
    </w:p>
    <w:p w:rsidR="008377C4" w:rsidRDefault="008377C4">
      <w:pPr>
        <w:tabs>
          <w:tab w:val="left" w:pos="-720"/>
        </w:tabs>
        <w:spacing w:after="240"/>
        <w:ind w:left="720" w:hanging="720"/>
        <w:jc w:val="both"/>
        <w:rPr>
          <w:rFonts w:ascii="Times New Roman" w:hAnsi="Times New Roman"/>
          <w:b/>
        </w:rPr>
      </w:pPr>
      <w:proofErr w:type="gramStart"/>
      <w:r>
        <w:rPr>
          <w:rFonts w:ascii="Times New Roman" w:hAnsi="Times New Roman"/>
          <w:b/>
        </w:rPr>
        <w:t>11.</w:t>
      </w:r>
      <w:r>
        <w:rPr>
          <w:rFonts w:ascii="Times New Roman" w:hAnsi="Times New Roman"/>
          <w:b/>
        </w:rPr>
        <w:tab/>
        <w:t>Provide additional justification for any questions of a sensitive nature, such as sexual behavior and attitudes, religious beliefs, and other matters that are commonly considered private.</w:t>
      </w:r>
      <w:proofErr w:type="gramEnd"/>
      <w:r>
        <w:rPr>
          <w:rFonts w:ascii="Times New Roman" w:hAnsi="Times New Roman"/>
          <w:b/>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377C4" w:rsidRDefault="008377C4">
      <w:pPr>
        <w:tabs>
          <w:tab w:val="left" w:pos="-720"/>
        </w:tabs>
        <w:spacing w:after="240"/>
        <w:jc w:val="both"/>
        <w:rPr>
          <w:rFonts w:ascii="Times New Roman" w:hAnsi="Times New Roman"/>
        </w:rPr>
      </w:pPr>
      <w:r>
        <w:rPr>
          <w:rFonts w:ascii="Times New Roman" w:hAnsi="Times New Roman"/>
        </w:rPr>
        <w:t>This question does not apply.  The proposed regulations do not request or require the provision of sensitive information, as that term is used in question 11.</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12.</w:t>
      </w:r>
      <w:r>
        <w:rPr>
          <w:rFonts w:ascii="Times New Roman" w:hAnsi="Times New Roman"/>
          <w:b/>
        </w:rPr>
        <w:tab/>
        <w:t>Provide estimates of the hour burden of the collection of information.  The Statement should:</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the request for approval covers more than one form, provide separate hour burden estimates for each form and aggregate the hour burdens in Item 13 of OMB Form 83-I.</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A7768" w:rsidRDefault="008377C4">
      <w:pPr>
        <w:pStyle w:val="PlainText"/>
        <w:jc w:val="both"/>
        <w:rPr>
          <w:rFonts w:ascii="Times New Roman" w:hAnsi="Times New Roman"/>
          <w:color w:val="auto"/>
          <w:sz w:val="24"/>
          <w:szCs w:val="24"/>
        </w:rPr>
      </w:pPr>
      <w:r>
        <w:rPr>
          <w:rFonts w:ascii="Times New Roman" w:hAnsi="Times New Roman"/>
          <w:i/>
          <w:color w:val="auto"/>
          <w:sz w:val="24"/>
          <w:szCs w:val="24"/>
        </w:rPr>
        <w:t>See</w:t>
      </w:r>
      <w:r>
        <w:rPr>
          <w:rFonts w:ascii="Times New Roman" w:hAnsi="Times New Roman"/>
          <w:color w:val="auto"/>
          <w:sz w:val="24"/>
          <w:szCs w:val="24"/>
        </w:rPr>
        <w:t xml:space="preserve"> Attachment A.  </w:t>
      </w:r>
    </w:p>
    <w:p w:rsidR="004A7768" w:rsidRDefault="004A7768">
      <w:pPr>
        <w:pStyle w:val="PlainText"/>
        <w:jc w:val="both"/>
        <w:rPr>
          <w:rFonts w:ascii="Times New Roman" w:hAnsi="Times New Roman"/>
          <w:color w:val="auto"/>
          <w:sz w:val="24"/>
          <w:szCs w:val="24"/>
        </w:rPr>
      </w:pPr>
    </w:p>
    <w:p w:rsidR="004A7768" w:rsidRDefault="008D0CBE">
      <w:pPr>
        <w:pStyle w:val="PlainText"/>
        <w:jc w:val="both"/>
        <w:rPr>
          <w:rFonts w:ascii="Times New Roman" w:hAnsi="Times New Roman"/>
          <w:color w:val="auto"/>
          <w:sz w:val="24"/>
          <w:szCs w:val="24"/>
        </w:rPr>
      </w:pPr>
      <w:r>
        <w:rPr>
          <w:rFonts w:ascii="Times New Roman" w:hAnsi="Times New Roman"/>
          <w:color w:val="auto"/>
          <w:sz w:val="24"/>
          <w:szCs w:val="24"/>
        </w:rPr>
        <w:t xml:space="preserve">Aggregate burdens for certain of the proposed amendments cannot reasonably be estimated.  Explanations follow.  Those proposed amendments do </w:t>
      </w:r>
      <w:r w:rsidRPr="004A7768">
        <w:rPr>
          <w:rFonts w:ascii="Times New Roman" w:hAnsi="Times New Roman"/>
          <w:i/>
          <w:color w:val="auto"/>
          <w:sz w:val="24"/>
          <w:szCs w:val="24"/>
        </w:rPr>
        <w:t>not</w:t>
      </w:r>
      <w:r>
        <w:rPr>
          <w:rFonts w:ascii="Times New Roman" w:hAnsi="Times New Roman"/>
          <w:color w:val="auto"/>
          <w:sz w:val="24"/>
          <w:szCs w:val="24"/>
        </w:rPr>
        <w:t xml:space="preserve"> appear on Attachment A.  </w:t>
      </w:r>
    </w:p>
    <w:p w:rsidR="004A7768" w:rsidRDefault="004A7768">
      <w:pPr>
        <w:pStyle w:val="PlainText"/>
        <w:jc w:val="both"/>
        <w:rPr>
          <w:rFonts w:ascii="Times New Roman" w:hAnsi="Times New Roman"/>
          <w:color w:val="auto"/>
          <w:sz w:val="24"/>
          <w:szCs w:val="24"/>
        </w:rPr>
      </w:pPr>
    </w:p>
    <w:p w:rsidR="008377C4" w:rsidRPr="008D0CBE" w:rsidRDefault="008D0CBE">
      <w:pPr>
        <w:pStyle w:val="PlainText"/>
        <w:jc w:val="both"/>
        <w:rPr>
          <w:rFonts w:ascii="Times New Roman" w:hAnsi="Times New Roman"/>
          <w:color w:val="auto"/>
          <w:sz w:val="24"/>
          <w:szCs w:val="24"/>
        </w:rPr>
      </w:pPr>
      <w:r>
        <w:rPr>
          <w:rFonts w:ascii="Times New Roman" w:hAnsi="Times New Roman"/>
          <w:color w:val="auto"/>
          <w:sz w:val="24"/>
          <w:szCs w:val="24"/>
        </w:rPr>
        <w:lastRenderedPageBreak/>
        <w:t xml:space="preserve">Also following is </w:t>
      </w:r>
      <w:r w:rsidR="00515EF7">
        <w:rPr>
          <w:rFonts w:ascii="Times New Roman" w:hAnsi="Times New Roman"/>
          <w:color w:val="auto"/>
          <w:sz w:val="24"/>
          <w:szCs w:val="24"/>
        </w:rPr>
        <w:t xml:space="preserve">an </w:t>
      </w:r>
      <w:r>
        <w:rPr>
          <w:rFonts w:ascii="Times New Roman" w:hAnsi="Times New Roman"/>
          <w:color w:val="auto"/>
          <w:sz w:val="24"/>
          <w:szCs w:val="24"/>
        </w:rPr>
        <w:t xml:space="preserve">explanation of the hourly burden for the proposed amendment to Regulation 1.33, which </w:t>
      </w:r>
      <w:r w:rsidRPr="004A7768">
        <w:rPr>
          <w:rFonts w:ascii="Times New Roman" w:hAnsi="Times New Roman"/>
          <w:i/>
          <w:color w:val="auto"/>
          <w:sz w:val="24"/>
          <w:szCs w:val="24"/>
        </w:rPr>
        <w:t>is</w:t>
      </w:r>
      <w:r>
        <w:rPr>
          <w:rFonts w:ascii="Times New Roman" w:hAnsi="Times New Roman"/>
          <w:color w:val="auto"/>
          <w:sz w:val="24"/>
          <w:szCs w:val="24"/>
        </w:rPr>
        <w:t xml:space="preserve"> summarized on Attachment A.</w:t>
      </w:r>
    </w:p>
    <w:p w:rsidR="008377C4" w:rsidRDefault="008377C4">
      <w:pPr>
        <w:pStyle w:val="PlainText"/>
        <w:jc w:val="both"/>
        <w:rPr>
          <w:rFonts w:ascii="Times New Roman" w:hAnsi="Times New Roman"/>
          <w:color w:val="auto"/>
          <w:sz w:val="24"/>
          <w:szCs w:val="24"/>
        </w:rPr>
      </w:pPr>
    </w:p>
    <w:p w:rsidR="003F7819" w:rsidRDefault="003F7819" w:rsidP="003F7819">
      <w:pPr>
        <w:jc w:val="both"/>
        <w:rPr>
          <w:rFonts w:ascii="Times New Roman" w:hAnsi="Times New Roman"/>
        </w:rPr>
      </w:pPr>
      <w:r>
        <w:rPr>
          <w:rFonts w:ascii="Times New Roman" w:hAnsi="Times New Roman"/>
          <w:u w:val="single"/>
        </w:rPr>
        <w:t>Requirement that futures commission merchants</w:t>
      </w:r>
      <w:r w:rsidR="00C8136B">
        <w:rPr>
          <w:rFonts w:ascii="Times New Roman" w:hAnsi="Times New Roman"/>
          <w:u w:val="single"/>
        </w:rPr>
        <w:t xml:space="preserve"> (“FCMs”)</w:t>
      </w:r>
      <w:r>
        <w:rPr>
          <w:rFonts w:ascii="Times New Roman" w:hAnsi="Times New Roman"/>
          <w:u w:val="single"/>
        </w:rPr>
        <w:t xml:space="preserve"> prepare swap confirmations and monthly statements describing customers’ swap positions</w:t>
      </w:r>
      <w:r>
        <w:rPr>
          <w:rFonts w:ascii="Times New Roman" w:hAnsi="Times New Roman"/>
        </w:rPr>
        <w:t xml:space="preserve"> (1.33)</w:t>
      </w:r>
    </w:p>
    <w:p w:rsidR="003F7819" w:rsidRDefault="003F7819" w:rsidP="003F7819">
      <w:pPr>
        <w:jc w:val="both"/>
        <w:rPr>
          <w:rFonts w:ascii="Times New Roman" w:hAnsi="Times New Roman"/>
        </w:rPr>
      </w:pPr>
    </w:p>
    <w:p w:rsidR="003F7819" w:rsidRDefault="003F7819" w:rsidP="003F7819">
      <w:pPr>
        <w:jc w:val="both"/>
        <w:rPr>
          <w:rFonts w:ascii="Times New Roman" w:hAnsi="Times New Roman"/>
        </w:rPr>
      </w:pPr>
      <w:r w:rsidRPr="00BE20E6">
        <w:rPr>
          <w:rFonts w:ascii="Times New Roman" w:hAnsi="Times New Roman"/>
          <w:u w:val="single"/>
        </w:rPr>
        <w:t>Number of registrants</w:t>
      </w:r>
      <w:r>
        <w:rPr>
          <w:rFonts w:ascii="Times New Roman" w:hAnsi="Times New Roman"/>
        </w:rPr>
        <w:t xml:space="preserve">:   </w:t>
      </w:r>
      <w:r w:rsidRPr="00BE20E6">
        <w:rPr>
          <w:rFonts w:ascii="Times New Roman" w:hAnsi="Times New Roman"/>
          <w:b/>
        </w:rPr>
        <w:t>141 FCMs</w:t>
      </w:r>
      <w:r w:rsidR="00BE20E6" w:rsidRPr="00BE20E6">
        <w:rPr>
          <w:rFonts w:ascii="Times New Roman" w:hAnsi="Times New Roman"/>
          <w:b/>
        </w:rPr>
        <w:t>.</w:t>
      </w:r>
    </w:p>
    <w:p w:rsidR="00BE20E6" w:rsidRDefault="00BE20E6" w:rsidP="003F7819">
      <w:pPr>
        <w:jc w:val="both"/>
        <w:rPr>
          <w:rFonts w:ascii="Times New Roman" w:hAnsi="Times New Roman"/>
        </w:rPr>
      </w:pPr>
    </w:p>
    <w:p w:rsidR="003F7819" w:rsidRDefault="003F7819" w:rsidP="003F7819">
      <w:pPr>
        <w:jc w:val="both"/>
        <w:rPr>
          <w:rFonts w:ascii="Times New Roman" w:hAnsi="Times New Roman"/>
        </w:rPr>
      </w:pPr>
      <w:r w:rsidRPr="00BE20E6">
        <w:rPr>
          <w:rFonts w:ascii="Times New Roman" w:hAnsi="Times New Roman"/>
          <w:u w:val="single"/>
        </w:rPr>
        <w:t>Frequency of collection</w:t>
      </w:r>
      <w:r>
        <w:rPr>
          <w:rFonts w:ascii="Times New Roman" w:hAnsi="Times New Roman"/>
        </w:rPr>
        <w:t xml:space="preserve">:  </w:t>
      </w:r>
      <w:r w:rsidR="00C8136B" w:rsidRPr="00BE20E6">
        <w:rPr>
          <w:rFonts w:ascii="Times New Roman" w:hAnsi="Times New Roman"/>
          <w:b/>
        </w:rPr>
        <w:t>A</w:t>
      </w:r>
      <w:r w:rsidR="000949DB" w:rsidRPr="00BE20E6">
        <w:rPr>
          <w:rFonts w:ascii="Times New Roman" w:hAnsi="Times New Roman"/>
          <w:b/>
        </w:rPr>
        <w:t>s needed</w:t>
      </w:r>
      <w:r w:rsidR="00C8136B" w:rsidRPr="00BE20E6">
        <w:rPr>
          <w:rFonts w:ascii="Times New Roman" w:hAnsi="Times New Roman"/>
          <w:b/>
        </w:rPr>
        <w:t>.</w:t>
      </w:r>
    </w:p>
    <w:p w:rsidR="00C8136B" w:rsidRDefault="00C8136B" w:rsidP="003F7819">
      <w:pPr>
        <w:jc w:val="both"/>
        <w:rPr>
          <w:rFonts w:ascii="Times New Roman" w:hAnsi="Times New Roman"/>
        </w:rPr>
      </w:pPr>
    </w:p>
    <w:p w:rsidR="00BE20E6" w:rsidRDefault="003F7819" w:rsidP="003F7819">
      <w:pPr>
        <w:jc w:val="both"/>
        <w:rPr>
          <w:rFonts w:ascii="Times New Roman" w:hAnsi="Times New Roman"/>
        </w:rPr>
      </w:pPr>
      <w:r w:rsidRPr="00BE20E6">
        <w:rPr>
          <w:rFonts w:ascii="Times New Roman" w:hAnsi="Times New Roman"/>
          <w:u w:val="single"/>
        </w:rPr>
        <w:t>Estimated number of annual responses per registrant</w:t>
      </w:r>
      <w:r>
        <w:rPr>
          <w:rFonts w:ascii="Times New Roman" w:hAnsi="Times New Roman"/>
        </w:rPr>
        <w:t xml:space="preserve">: </w:t>
      </w:r>
      <w:r w:rsidR="009118EA">
        <w:rPr>
          <w:rFonts w:ascii="Times New Roman" w:hAnsi="Times New Roman"/>
          <w:b/>
        </w:rPr>
        <w:t>1,191</w:t>
      </w:r>
      <w:r w:rsidR="00F37740" w:rsidRPr="00BE20E6">
        <w:rPr>
          <w:rFonts w:ascii="Times New Roman" w:hAnsi="Times New Roman"/>
          <w:b/>
        </w:rPr>
        <w:t xml:space="preserve"> swap confirmations and </w:t>
      </w:r>
      <w:r w:rsidR="009118EA">
        <w:rPr>
          <w:rFonts w:ascii="Times New Roman" w:hAnsi="Times New Roman"/>
          <w:b/>
        </w:rPr>
        <w:t xml:space="preserve">99 </w:t>
      </w:r>
      <w:r w:rsidR="00F37740" w:rsidRPr="00BE20E6">
        <w:rPr>
          <w:rFonts w:ascii="Times New Roman" w:hAnsi="Times New Roman"/>
          <w:b/>
        </w:rPr>
        <w:t>monthly statements</w:t>
      </w:r>
      <w:r w:rsidR="00C8136B" w:rsidRPr="00BE20E6">
        <w:rPr>
          <w:rFonts w:ascii="Times New Roman" w:hAnsi="Times New Roman"/>
          <w:b/>
        </w:rPr>
        <w:t>.</w:t>
      </w:r>
      <w:r w:rsidR="00C8136B">
        <w:rPr>
          <w:rFonts w:ascii="Times New Roman" w:hAnsi="Times New Roman"/>
        </w:rPr>
        <w:t xml:space="preserve">  </w:t>
      </w:r>
    </w:p>
    <w:p w:rsidR="00BE20E6" w:rsidRDefault="00BE20E6" w:rsidP="003F7819">
      <w:pPr>
        <w:jc w:val="both"/>
        <w:rPr>
          <w:rFonts w:ascii="Times New Roman" w:hAnsi="Times New Roman"/>
        </w:rPr>
      </w:pPr>
    </w:p>
    <w:p w:rsidR="00F37740" w:rsidRDefault="00C8136B" w:rsidP="00BE20E6">
      <w:pPr>
        <w:ind w:firstLine="720"/>
        <w:jc w:val="both"/>
        <w:rPr>
          <w:rFonts w:ascii="Times New Roman" w:hAnsi="Times New Roman"/>
        </w:rPr>
      </w:pPr>
      <w:r>
        <w:rPr>
          <w:rFonts w:ascii="Times New Roman" w:hAnsi="Times New Roman"/>
        </w:rPr>
        <w:t>Explanation:</w:t>
      </w:r>
    </w:p>
    <w:p w:rsidR="00F37740" w:rsidRDefault="00F37740" w:rsidP="00F37740">
      <w:pPr>
        <w:ind w:firstLine="720"/>
        <w:jc w:val="both"/>
        <w:rPr>
          <w:rFonts w:ascii="Times New Roman" w:hAnsi="Times New Roman"/>
        </w:rPr>
      </w:pPr>
    </w:p>
    <w:p w:rsidR="003F7819" w:rsidRDefault="00F37740" w:rsidP="00C8136B">
      <w:pPr>
        <w:ind w:left="720"/>
        <w:jc w:val="both"/>
        <w:rPr>
          <w:rFonts w:ascii="Times New Roman" w:hAnsi="Times New Roman"/>
        </w:rPr>
      </w:pPr>
      <w:proofErr w:type="gramStart"/>
      <w:r>
        <w:rPr>
          <w:rFonts w:ascii="Times New Roman" w:hAnsi="Times New Roman"/>
        </w:rPr>
        <w:t>2016 hrs.</w:t>
      </w:r>
      <w:proofErr w:type="gramEnd"/>
      <w:r w:rsidR="00C8136B">
        <w:rPr>
          <w:rFonts w:ascii="Times New Roman" w:hAnsi="Times New Roman"/>
        </w:rPr>
        <w:t xml:space="preserve"> </w:t>
      </w:r>
      <w:proofErr w:type="gramStart"/>
      <w:r w:rsidR="00C8136B">
        <w:rPr>
          <w:rFonts w:ascii="Times New Roman" w:hAnsi="Times New Roman"/>
        </w:rPr>
        <w:t>of</w:t>
      </w:r>
      <w:proofErr w:type="gramEnd"/>
      <w:r w:rsidR="00C8136B">
        <w:rPr>
          <w:rFonts w:ascii="Times New Roman" w:hAnsi="Times New Roman"/>
        </w:rPr>
        <w:t xml:space="preserve"> swap trading</w:t>
      </w:r>
      <w:r>
        <w:rPr>
          <w:rFonts w:ascii="Times New Roman" w:hAnsi="Times New Roman"/>
        </w:rPr>
        <w:t xml:space="preserve"> per yr</w:t>
      </w:r>
      <w:r w:rsidR="00C8136B">
        <w:rPr>
          <w:rFonts w:ascii="Times New Roman" w:hAnsi="Times New Roman"/>
        </w:rPr>
        <w:t>. [252 trading days x 8 hrs./day]</w:t>
      </w:r>
      <w:r>
        <w:rPr>
          <w:rFonts w:ascii="Times New Roman" w:hAnsi="Times New Roman"/>
        </w:rPr>
        <w:t xml:space="preserve">  x 250 </w:t>
      </w:r>
      <w:r w:rsidR="00C8136B">
        <w:rPr>
          <w:rFonts w:ascii="Times New Roman" w:hAnsi="Times New Roman"/>
        </w:rPr>
        <w:t>estimated swap dealers (“SDs”)</w:t>
      </w:r>
      <w:r>
        <w:rPr>
          <w:rFonts w:ascii="Times New Roman" w:hAnsi="Times New Roman"/>
        </w:rPr>
        <w:t xml:space="preserve"> = 504,000 total hrs</w:t>
      </w:r>
      <w:r w:rsidR="00C8136B">
        <w:rPr>
          <w:rFonts w:ascii="Times New Roman" w:hAnsi="Times New Roman"/>
        </w:rPr>
        <w:t>.</w:t>
      </w:r>
      <w:r>
        <w:rPr>
          <w:rFonts w:ascii="Times New Roman" w:hAnsi="Times New Roman"/>
        </w:rPr>
        <w:t xml:space="preserve"> </w:t>
      </w:r>
      <w:proofErr w:type="gramStart"/>
      <w:r>
        <w:rPr>
          <w:rFonts w:ascii="Times New Roman" w:hAnsi="Times New Roman"/>
        </w:rPr>
        <w:t>of</w:t>
      </w:r>
      <w:proofErr w:type="gramEnd"/>
      <w:r>
        <w:rPr>
          <w:rFonts w:ascii="Times New Roman" w:hAnsi="Times New Roman"/>
        </w:rPr>
        <w:t xml:space="preserve"> swaps</w:t>
      </w:r>
    </w:p>
    <w:p w:rsidR="00C8136B" w:rsidRDefault="00C8136B" w:rsidP="00C8136B">
      <w:pPr>
        <w:ind w:left="720"/>
        <w:jc w:val="both"/>
        <w:rPr>
          <w:rFonts w:ascii="Times New Roman" w:hAnsi="Times New Roman"/>
        </w:rPr>
      </w:pPr>
    </w:p>
    <w:p w:rsidR="00BE20E6" w:rsidRDefault="00C8136B" w:rsidP="00C8136B">
      <w:pPr>
        <w:ind w:left="720"/>
        <w:jc w:val="both"/>
        <w:rPr>
          <w:rFonts w:ascii="Times New Roman" w:hAnsi="Times New Roman"/>
        </w:rPr>
      </w:pPr>
      <w:r>
        <w:rPr>
          <w:rFonts w:ascii="Times New Roman" w:hAnsi="Times New Roman"/>
        </w:rPr>
        <w:t xml:space="preserve">Estimated that </w:t>
      </w:r>
      <w:r w:rsidR="00F37740">
        <w:rPr>
          <w:rFonts w:ascii="Times New Roman" w:hAnsi="Times New Roman"/>
        </w:rPr>
        <w:t xml:space="preserve">1/3 of </w:t>
      </w:r>
      <w:r>
        <w:rPr>
          <w:rFonts w:ascii="Times New Roman" w:hAnsi="Times New Roman"/>
        </w:rPr>
        <w:t xml:space="preserve">swaps will be </w:t>
      </w:r>
      <w:r w:rsidR="00F37740">
        <w:rPr>
          <w:rFonts w:ascii="Times New Roman" w:hAnsi="Times New Roman"/>
        </w:rPr>
        <w:t xml:space="preserve">cleared and therefore handled by FCMs = </w:t>
      </w:r>
    </w:p>
    <w:p w:rsidR="00F37740" w:rsidRDefault="009118EA" w:rsidP="00C8136B">
      <w:pPr>
        <w:ind w:left="720"/>
        <w:jc w:val="both"/>
        <w:rPr>
          <w:rFonts w:ascii="Times New Roman" w:hAnsi="Times New Roman"/>
        </w:rPr>
      </w:pPr>
      <w:proofErr w:type="gramStart"/>
      <w:r>
        <w:rPr>
          <w:rFonts w:ascii="Times New Roman" w:hAnsi="Times New Roman"/>
        </w:rPr>
        <w:t>168,000</w:t>
      </w:r>
      <w:r w:rsidR="00F37740">
        <w:rPr>
          <w:rFonts w:ascii="Times New Roman" w:hAnsi="Times New Roman"/>
        </w:rPr>
        <w:t xml:space="preserve"> hrs</w:t>
      </w:r>
      <w:r w:rsidR="00C8136B">
        <w:rPr>
          <w:rFonts w:ascii="Times New Roman" w:hAnsi="Times New Roman"/>
        </w:rPr>
        <w:t>.</w:t>
      </w:r>
      <w:proofErr w:type="gramEnd"/>
      <w:r w:rsidR="00F37740">
        <w:rPr>
          <w:rFonts w:ascii="Times New Roman" w:hAnsi="Times New Roman"/>
        </w:rPr>
        <w:t xml:space="preserve"> </w:t>
      </w:r>
      <w:proofErr w:type="gramStart"/>
      <w:r w:rsidR="00F37740">
        <w:rPr>
          <w:rFonts w:ascii="Times New Roman" w:hAnsi="Times New Roman"/>
        </w:rPr>
        <w:t>of</w:t>
      </w:r>
      <w:proofErr w:type="gramEnd"/>
      <w:r w:rsidR="00F37740">
        <w:rPr>
          <w:rFonts w:ascii="Times New Roman" w:hAnsi="Times New Roman"/>
        </w:rPr>
        <w:t xml:space="preserve"> cleared swaps</w:t>
      </w:r>
    </w:p>
    <w:p w:rsidR="00C8136B" w:rsidRDefault="00C8136B" w:rsidP="00C8136B">
      <w:pPr>
        <w:ind w:left="720"/>
        <w:jc w:val="both"/>
        <w:rPr>
          <w:rFonts w:ascii="Times New Roman" w:hAnsi="Times New Roman"/>
        </w:rPr>
      </w:pPr>
    </w:p>
    <w:p w:rsidR="00F37740" w:rsidRDefault="009118EA" w:rsidP="00F37740">
      <w:pPr>
        <w:ind w:firstLine="720"/>
        <w:jc w:val="both"/>
        <w:rPr>
          <w:rFonts w:ascii="Times New Roman" w:hAnsi="Times New Roman"/>
        </w:rPr>
      </w:pPr>
      <w:proofErr w:type="gramStart"/>
      <w:r>
        <w:rPr>
          <w:rFonts w:ascii="Times New Roman" w:hAnsi="Times New Roman"/>
        </w:rPr>
        <w:t>168,000</w:t>
      </w:r>
      <w:r w:rsidR="00F37740">
        <w:rPr>
          <w:rFonts w:ascii="Times New Roman" w:hAnsi="Times New Roman"/>
        </w:rPr>
        <w:t xml:space="preserve"> hrs</w:t>
      </w:r>
      <w:r w:rsidR="00C8136B">
        <w:rPr>
          <w:rFonts w:ascii="Times New Roman" w:hAnsi="Times New Roman"/>
        </w:rPr>
        <w:t>.</w:t>
      </w:r>
      <w:proofErr w:type="gramEnd"/>
      <w:r w:rsidR="00C8136B">
        <w:rPr>
          <w:rFonts w:ascii="Times New Roman" w:hAnsi="Times New Roman"/>
        </w:rPr>
        <w:t xml:space="preserve"> / 141 FCMs = </w:t>
      </w:r>
      <w:r>
        <w:rPr>
          <w:rFonts w:ascii="Times New Roman" w:hAnsi="Times New Roman"/>
        </w:rPr>
        <w:t>1,191</w:t>
      </w:r>
      <w:r w:rsidR="00C8136B">
        <w:rPr>
          <w:rFonts w:ascii="Times New Roman" w:hAnsi="Times New Roman"/>
        </w:rPr>
        <w:t xml:space="preserve"> hrs. </w:t>
      </w:r>
      <w:proofErr w:type="gramStart"/>
      <w:r w:rsidR="00C8136B">
        <w:rPr>
          <w:rFonts w:ascii="Times New Roman" w:hAnsi="Times New Roman"/>
        </w:rPr>
        <w:t>per</w:t>
      </w:r>
      <w:proofErr w:type="gramEnd"/>
      <w:r w:rsidR="00C8136B">
        <w:rPr>
          <w:rFonts w:ascii="Times New Roman" w:hAnsi="Times New Roman"/>
        </w:rPr>
        <w:t xml:space="preserve"> </w:t>
      </w:r>
      <w:r w:rsidR="00F37740">
        <w:rPr>
          <w:rFonts w:ascii="Times New Roman" w:hAnsi="Times New Roman"/>
        </w:rPr>
        <w:t xml:space="preserve">yr of swaps for </w:t>
      </w:r>
      <w:r w:rsidR="00F37740">
        <w:rPr>
          <w:rFonts w:ascii="Times New Roman" w:hAnsi="Times New Roman"/>
          <w:i/>
        </w:rPr>
        <w:t>each</w:t>
      </w:r>
      <w:r w:rsidR="00F37740">
        <w:rPr>
          <w:rFonts w:ascii="Times New Roman" w:hAnsi="Times New Roman"/>
        </w:rPr>
        <w:t xml:space="preserve"> FCM</w:t>
      </w:r>
    </w:p>
    <w:p w:rsidR="00C8136B" w:rsidRDefault="00C8136B" w:rsidP="00F37740">
      <w:pPr>
        <w:ind w:firstLine="720"/>
        <w:jc w:val="both"/>
        <w:rPr>
          <w:rFonts w:ascii="Times New Roman" w:hAnsi="Times New Roman"/>
        </w:rPr>
      </w:pPr>
    </w:p>
    <w:p w:rsidR="00F37740" w:rsidRDefault="009118EA" w:rsidP="00F37740">
      <w:pPr>
        <w:ind w:firstLine="720"/>
        <w:jc w:val="both"/>
        <w:rPr>
          <w:rFonts w:ascii="Times New Roman" w:hAnsi="Times New Roman"/>
        </w:rPr>
      </w:pPr>
      <w:proofErr w:type="gramStart"/>
      <w:r>
        <w:rPr>
          <w:rFonts w:ascii="Times New Roman" w:hAnsi="Times New Roman"/>
        </w:rPr>
        <w:t>1,191</w:t>
      </w:r>
      <w:r w:rsidR="00F37740">
        <w:rPr>
          <w:rFonts w:ascii="Times New Roman" w:hAnsi="Times New Roman"/>
        </w:rPr>
        <w:t xml:space="preserve"> hrs</w:t>
      </w:r>
      <w:r w:rsidR="00C8136B">
        <w:rPr>
          <w:rFonts w:ascii="Times New Roman" w:hAnsi="Times New Roman"/>
        </w:rPr>
        <w:t>.</w:t>
      </w:r>
      <w:proofErr w:type="gramEnd"/>
      <w:r w:rsidR="00C8136B">
        <w:rPr>
          <w:rFonts w:ascii="Times New Roman" w:hAnsi="Times New Roman"/>
        </w:rPr>
        <w:t xml:space="preserve"> / 1 hr per swap = </w:t>
      </w:r>
      <w:r>
        <w:rPr>
          <w:rFonts w:ascii="Times New Roman" w:hAnsi="Times New Roman"/>
        </w:rPr>
        <w:t>1,191</w:t>
      </w:r>
      <w:r w:rsidR="00C8136B">
        <w:rPr>
          <w:rFonts w:ascii="Times New Roman" w:hAnsi="Times New Roman"/>
        </w:rPr>
        <w:t xml:space="preserve"> swaps will be</w:t>
      </w:r>
      <w:r w:rsidR="00F37740">
        <w:rPr>
          <w:rFonts w:ascii="Times New Roman" w:hAnsi="Times New Roman"/>
        </w:rPr>
        <w:t xml:space="preserve"> cleared by FCMs each year </w:t>
      </w:r>
    </w:p>
    <w:p w:rsidR="00C8136B" w:rsidRDefault="00C8136B" w:rsidP="00F37740">
      <w:pPr>
        <w:ind w:firstLine="720"/>
        <w:jc w:val="both"/>
        <w:rPr>
          <w:rFonts w:ascii="Times New Roman" w:hAnsi="Times New Roman"/>
        </w:rPr>
      </w:pPr>
    </w:p>
    <w:p w:rsidR="00C8136B" w:rsidRDefault="009118EA" w:rsidP="00F37740">
      <w:pPr>
        <w:ind w:firstLine="720"/>
        <w:jc w:val="both"/>
        <w:rPr>
          <w:rFonts w:ascii="Times New Roman" w:hAnsi="Times New Roman"/>
        </w:rPr>
      </w:pPr>
      <w:r>
        <w:rPr>
          <w:rFonts w:ascii="Times New Roman" w:hAnsi="Times New Roman"/>
        </w:rPr>
        <w:t>1,191</w:t>
      </w:r>
      <w:r w:rsidR="00C8136B">
        <w:rPr>
          <w:rFonts w:ascii="Times New Roman" w:hAnsi="Times New Roman"/>
        </w:rPr>
        <w:t xml:space="preserve"> swaps cleared by each FCM will yield</w:t>
      </w:r>
      <w:r w:rsidR="00BE20E6">
        <w:rPr>
          <w:rFonts w:ascii="Times New Roman" w:hAnsi="Times New Roman"/>
        </w:rPr>
        <w:t>:</w:t>
      </w:r>
    </w:p>
    <w:p w:rsidR="00C8136B" w:rsidRDefault="00C8136B" w:rsidP="00F37740">
      <w:pPr>
        <w:ind w:firstLine="720"/>
        <w:jc w:val="both"/>
        <w:rPr>
          <w:rFonts w:ascii="Times New Roman" w:hAnsi="Times New Roman"/>
        </w:rPr>
      </w:pPr>
    </w:p>
    <w:p w:rsidR="00F37740" w:rsidRDefault="009118EA" w:rsidP="00F37740">
      <w:pPr>
        <w:ind w:firstLine="720"/>
        <w:jc w:val="both"/>
        <w:rPr>
          <w:rFonts w:ascii="Times New Roman" w:hAnsi="Times New Roman"/>
        </w:rPr>
      </w:pPr>
      <w:r>
        <w:rPr>
          <w:rFonts w:ascii="Times New Roman" w:hAnsi="Times New Roman"/>
          <w:b/>
        </w:rPr>
        <w:t>1,191</w:t>
      </w:r>
      <w:r w:rsidR="00F37740" w:rsidRPr="00F37740">
        <w:rPr>
          <w:rFonts w:ascii="Times New Roman" w:hAnsi="Times New Roman"/>
          <w:b/>
        </w:rPr>
        <w:t xml:space="preserve"> swap confirmations</w:t>
      </w:r>
      <w:r w:rsidR="00F37740">
        <w:rPr>
          <w:rFonts w:ascii="Times New Roman" w:hAnsi="Times New Roman"/>
        </w:rPr>
        <w:t xml:space="preserve"> and</w:t>
      </w:r>
    </w:p>
    <w:p w:rsidR="00F37740" w:rsidRPr="00F37740" w:rsidRDefault="009118EA" w:rsidP="00F37740">
      <w:pPr>
        <w:ind w:firstLine="720"/>
        <w:jc w:val="both"/>
        <w:rPr>
          <w:rFonts w:ascii="Times New Roman" w:hAnsi="Times New Roman"/>
        </w:rPr>
      </w:pPr>
      <w:proofErr w:type="gramStart"/>
      <w:r>
        <w:rPr>
          <w:rFonts w:ascii="Times New Roman" w:hAnsi="Times New Roman"/>
          <w:b/>
        </w:rPr>
        <w:t xml:space="preserve">99 </w:t>
      </w:r>
      <w:r w:rsidR="00F37740" w:rsidRPr="00CF2E59">
        <w:rPr>
          <w:rFonts w:ascii="Times New Roman" w:hAnsi="Times New Roman"/>
          <w:b/>
        </w:rPr>
        <w:t>monthly statements</w:t>
      </w:r>
      <w:r w:rsidR="00F37740">
        <w:rPr>
          <w:rFonts w:ascii="Times New Roman" w:hAnsi="Times New Roman"/>
        </w:rPr>
        <w:t xml:space="preserve"> (</w:t>
      </w:r>
      <w:r>
        <w:rPr>
          <w:rFonts w:ascii="Times New Roman" w:hAnsi="Times New Roman"/>
        </w:rPr>
        <w:t>1,191</w:t>
      </w:r>
      <w:r w:rsidR="00F37740">
        <w:rPr>
          <w:rFonts w:ascii="Times New Roman" w:hAnsi="Times New Roman"/>
        </w:rPr>
        <w:t>/12</w:t>
      </w:r>
      <w:r w:rsidR="00C8136B">
        <w:rPr>
          <w:rFonts w:ascii="Times New Roman" w:hAnsi="Times New Roman"/>
        </w:rPr>
        <w:t xml:space="preserve"> mos.</w:t>
      </w:r>
      <w:r w:rsidR="00F37740">
        <w:rPr>
          <w:rFonts w:ascii="Times New Roman" w:hAnsi="Times New Roman"/>
        </w:rPr>
        <w:t>)</w:t>
      </w:r>
      <w:r w:rsidR="00C8136B">
        <w:rPr>
          <w:rFonts w:ascii="Times New Roman" w:hAnsi="Times New Roman"/>
        </w:rPr>
        <w:t xml:space="preserve"> to be completed by each FCM.</w:t>
      </w:r>
      <w:proofErr w:type="gramEnd"/>
    </w:p>
    <w:p w:rsidR="00F37740" w:rsidRDefault="00F37740" w:rsidP="00F37740">
      <w:pPr>
        <w:ind w:firstLine="720"/>
        <w:jc w:val="both"/>
        <w:rPr>
          <w:rFonts w:ascii="Times New Roman" w:hAnsi="Times New Roman"/>
        </w:rPr>
      </w:pPr>
    </w:p>
    <w:p w:rsidR="003F7819" w:rsidRDefault="003F7819" w:rsidP="003F7819">
      <w:pPr>
        <w:jc w:val="both"/>
        <w:rPr>
          <w:rFonts w:ascii="Times New Roman" w:hAnsi="Times New Roman"/>
        </w:rPr>
      </w:pPr>
      <w:r w:rsidRPr="00BE20E6">
        <w:rPr>
          <w:rFonts w:ascii="Times New Roman" w:hAnsi="Times New Roman"/>
          <w:u w:val="single"/>
        </w:rPr>
        <w:t>Estimated aggregate number of annual responses</w:t>
      </w:r>
      <w:r>
        <w:rPr>
          <w:rFonts w:ascii="Times New Roman" w:hAnsi="Times New Roman"/>
        </w:rPr>
        <w:t xml:space="preserve">:  </w:t>
      </w:r>
      <w:r w:rsidR="000C77F9">
        <w:rPr>
          <w:rFonts w:ascii="Times New Roman" w:hAnsi="Times New Roman"/>
        </w:rPr>
        <w:t>1,1</w:t>
      </w:r>
      <w:r w:rsidR="00E84C9A">
        <w:rPr>
          <w:rFonts w:ascii="Times New Roman" w:hAnsi="Times New Roman"/>
        </w:rPr>
        <w:t>91</w:t>
      </w:r>
      <w:r w:rsidR="000C77F9">
        <w:rPr>
          <w:rFonts w:ascii="Times New Roman" w:hAnsi="Times New Roman"/>
        </w:rPr>
        <w:t xml:space="preserve"> x 141 FCMs = </w:t>
      </w:r>
      <w:r w:rsidR="009118EA">
        <w:rPr>
          <w:rFonts w:ascii="Times New Roman" w:hAnsi="Times New Roman"/>
          <w:b/>
        </w:rPr>
        <w:t>167,931</w:t>
      </w:r>
      <w:r w:rsidR="000C77F9">
        <w:rPr>
          <w:rFonts w:ascii="Times New Roman" w:hAnsi="Times New Roman"/>
        </w:rPr>
        <w:t xml:space="preserve"> aggregate swap confirmations and </w:t>
      </w:r>
      <w:r w:rsidR="009118EA">
        <w:rPr>
          <w:rFonts w:ascii="Times New Roman" w:hAnsi="Times New Roman"/>
        </w:rPr>
        <w:t xml:space="preserve">99 </w:t>
      </w:r>
      <w:r w:rsidR="000C77F9">
        <w:rPr>
          <w:rFonts w:ascii="Times New Roman" w:hAnsi="Times New Roman"/>
        </w:rPr>
        <w:t xml:space="preserve">x 141 FCMs = </w:t>
      </w:r>
      <w:r w:rsidR="009118EA">
        <w:rPr>
          <w:rFonts w:ascii="Times New Roman" w:hAnsi="Times New Roman"/>
          <w:b/>
        </w:rPr>
        <w:t>13,959</w:t>
      </w:r>
      <w:r w:rsidR="000C77F9">
        <w:rPr>
          <w:rFonts w:ascii="Times New Roman" w:hAnsi="Times New Roman"/>
        </w:rPr>
        <w:t xml:space="preserve"> aggregate monthly statements</w:t>
      </w:r>
    </w:p>
    <w:p w:rsidR="000C77F9" w:rsidRDefault="000C77F9" w:rsidP="003F7819">
      <w:pPr>
        <w:jc w:val="both"/>
        <w:rPr>
          <w:rFonts w:ascii="Times New Roman" w:hAnsi="Times New Roman"/>
        </w:rPr>
      </w:pPr>
    </w:p>
    <w:p w:rsidR="003F7819" w:rsidRDefault="003F7819" w:rsidP="003F7819">
      <w:pPr>
        <w:jc w:val="both"/>
        <w:rPr>
          <w:rFonts w:ascii="Times New Roman" w:hAnsi="Times New Roman"/>
        </w:rPr>
      </w:pPr>
      <w:r w:rsidRPr="00BE20E6">
        <w:rPr>
          <w:rFonts w:ascii="Times New Roman" w:hAnsi="Times New Roman"/>
          <w:u w:val="single"/>
        </w:rPr>
        <w:t>Estimated annual hour burden per registrant</w:t>
      </w:r>
      <w:r>
        <w:rPr>
          <w:rFonts w:ascii="Times New Roman" w:hAnsi="Times New Roman"/>
        </w:rPr>
        <w:t xml:space="preserve">: 1 </w:t>
      </w:r>
      <w:r w:rsidR="00BE20E6">
        <w:rPr>
          <w:rFonts w:ascii="Times New Roman" w:hAnsi="Times New Roman"/>
        </w:rPr>
        <w:t>hr.</w:t>
      </w:r>
      <w:r>
        <w:rPr>
          <w:rFonts w:ascii="Times New Roman" w:hAnsi="Times New Roman"/>
        </w:rPr>
        <w:t xml:space="preserve"> for each swap confirmation and 1 </w:t>
      </w:r>
      <w:r w:rsidR="00BE20E6">
        <w:rPr>
          <w:rFonts w:ascii="Times New Roman" w:hAnsi="Times New Roman"/>
        </w:rPr>
        <w:t>hr.</w:t>
      </w:r>
      <w:r>
        <w:rPr>
          <w:rFonts w:ascii="Times New Roman" w:hAnsi="Times New Roman"/>
        </w:rPr>
        <w:t xml:space="preserve"> for each monthly statement</w:t>
      </w:r>
    </w:p>
    <w:p w:rsidR="00BE20E6" w:rsidRDefault="00BE20E6" w:rsidP="003F7819">
      <w:pPr>
        <w:jc w:val="both"/>
        <w:rPr>
          <w:rFonts w:ascii="Times New Roman" w:hAnsi="Times New Roman"/>
        </w:rPr>
      </w:pPr>
    </w:p>
    <w:p w:rsidR="003F7819" w:rsidRDefault="003F7819" w:rsidP="003F7819">
      <w:pPr>
        <w:jc w:val="both"/>
        <w:rPr>
          <w:rFonts w:ascii="Times New Roman" w:hAnsi="Times New Roman"/>
        </w:rPr>
      </w:pPr>
      <w:r w:rsidRPr="00BE20E6">
        <w:rPr>
          <w:rFonts w:ascii="Times New Roman" w:hAnsi="Times New Roman"/>
          <w:u w:val="single"/>
        </w:rPr>
        <w:t>Estimated aggregate annual hour burden</w:t>
      </w:r>
      <w:r>
        <w:rPr>
          <w:rFonts w:ascii="Times New Roman" w:hAnsi="Times New Roman"/>
        </w:rPr>
        <w:t xml:space="preserve">:  </w:t>
      </w:r>
      <w:r w:rsidR="000C77F9">
        <w:rPr>
          <w:rFonts w:ascii="Times New Roman" w:hAnsi="Times New Roman"/>
        </w:rPr>
        <w:t>1 hr</w:t>
      </w:r>
      <w:r w:rsidR="00BE20E6">
        <w:rPr>
          <w:rFonts w:ascii="Times New Roman" w:hAnsi="Times New Roman"/>
        </w:rPr>
        <w:t>.</w:t>
      </w:r>
      <w:r w:rsidR="000C77F9">
        <w:rPr>
          <w:rFonts w:ascii="Times New Roman" w:hAnsi="Times New Roman"/>
        </w:rPr>
        <w:t xml:space="preserve"> x </w:t>
      </w:r>
      <w:r w:rsidR="00291570">
        <w:rPr>
          <w:rFonts w:ascii="Times New Roman" w:hAnsi="Times New Roman"/>
        </w:rPr>
        <w:t>167,931</w:t>
      </w:r>
      <w:r w:rsidR="000C77F9">
        <w:rPr>
          <w:rFonts w:ascii="Times New Roman" w:hAnsi="Times New Roman"/>
        </w:rPr>
        <w:t xml:space="preserve"> = </w:t>
      </w:r>
      <w:r w:rsidR="00291570">
        <w:rPr>
          <w:rFonts w:ascii="Times New Roman" w:hAnsi="Times New Roman"/>
          <w:b/>
        </w:rPr>
        <w:t>167,931</w:t>
      </w:r>
      <w:r w:rsidR="000C77F9">
        <w:rPr>
          <w:rFonts w:ascii="Times New Roman" w:hAnsi="Times New Roman"/>
        </w:rPr>
        <w:t xml:space="preserve"> aggregate hrs</w:t>
      </w:r>
      <w:r w:rsidR="00C8136B">
        <w:rPr>
          <w:rFonts w:ascii="Times New Roman" w:hAnsi="Times New Roman"/>
        </w:rPr>
        <w:t>.</w:t>
      </w:r>
      <w:r w:rsidR="000C77F9">
        <w:rPr>
          <w:rFonts w:ascii="Times New Roman" w:hAnsi="Times New Roman"/>
        </w:rPr>
        <w:t xml:space="preserve"> </w:t>
      </w:r>
      <w:proofErr w:type="gramStart"/>
      <w:r w:rsidR="000C77F9">
        <w:rPr>
          <w:rFonts w:ascii="Times New Roman" w:hAnsi="Times New Roman"/>
        </w:rPr>
        <w:t>for</w:t>
      </w:r>
      <w:proofErr w:type="gramEnd"/>
      <w:r w:rsidR="000C77F9">
        <w:rPr>
          <w:rFonts w:ascii="Times New Roman" w:hAnsi="Times New Roman"/>
        </w:rPr>
        <w:t xml:space="preserve"> swap confirmations and 1 hr x </w:t>
      </w:r>
      <w:r w:rsidR="00291570">
        <w:rPr>
          <w:rFonts w:ascii="Times New Roman" w:hAnsi="Times New Roman"/>
        </w:rPr>
        <w:t>13,959</w:t>
      </w:r>
      <w:r w:rsidR="000C77F9">
        <w:rPr>
          <w:rFonts w:ascii="Times New Roman" w:hAnsi="Times New Roman"/>
        </w:rPr>
        <w:t xml:space="preserve"> = </w:t>
      </w:r>
      <w:r w:rsidR="00291570">
        <w:rPr>
          <w:rFonts w:ascii="Times New Roman" w:hAnsi="Times New Roman"/>
          <w:b/>
        </w:rPr>
        <w:t>13,959</w:t>
      </w:r>
      <w:r w:rsidR="000C77F9">
        <w:rPr>
          <w:rFonts w:ascii="Times New Roman" w:hAnsi="Times New Roman"/>
        </w:rPr>
        <w:t xml:space="preserve"> aggregate hrs</w:t>
      </w:r>
      <w:r w:rsidR="00C8136B">
        <w:rPr>
          <w:rFonts w:ascii="Times New Roman" w:hAnsi="Times New Roman"/>
        </w:rPr>
        <w:t>.</w:t>
      </w:r>
      <w:r w:rsidR="000C77F9">
        <w:rPr>
          <w:rFonts w:ascii="Times New Roman" w:hAnsi="Times New Roman"/>
        </w:rPr>
        <w:t xml:space="preserve"> </w:t>
      </w:r>
      <w:proofErr w:type="gramStart"/>
      <w:r w:rsidR="000C77F9">
        <w:rPr>
          <w:rFonts w:ascii="Times New Roman" w:hAnsi="Times New Roman"/>
        </w:rPr>
        <w:t>for</w:t>
      </w:r>
      <w:proofErr w:type="gramEnd"/>
      <w:r w:rsidR="000C77F9">
        <w:rPr>
          <w:rFonts w:ascii="Times New Roman" w:hAnsi="Times New Roman"/>
        </w:rPr>
        <w:t xml:space="preserve"> monthly statements</w:t>
      </w:r>
    </w:p>
    <w:p w:rsidR="00C01A3E" w:rsidRDefault="00C01A3E" w:rsidP="00715A20">
      <w:pPr>
        <w:jc w:val="both"/>
        <w:rPr>
          <w:rFonts w:ascii="Times New Roman" w:hAnsi="Times New Roman"/>
          <w:u w:val="single"/>
        </w:rPr>
      </w:pPr>
    </w:p>
    <w:p w:rsidR="00BE20E6" w:rsidRDefault="00BE20E6" w:rsidP="00715A20">
      <w:pPr>
        <w:jc w:val="both"/>
        <w:rPr>
          <w:rFonts w:ascii="Times New Roman" w:hAnsi="Times New Roman"/>
          <w:u w:val="single"/>
        </w:rPr>
      </w:pPr>
    </w:p>
    <w:p w:rsidR="00083EF4" w:rsidRDefault="00083EF4" w:rsidP="00715A20">
      <w:pPr>
        <w:jc w:val="both"/>
        <w:rPr>
          <w:rFonts w:ascii="Times New Roman" w:hAnsi="Times New Roman"/>
        </w:rPr>
      </w:pPr>
      <w:r>
        <w:rPr>
          <w:rFonts w:ascii="Times New Roman" w:hAnsi="Times New Roman"/>
          <w:u w:val="single"/>
        </w:rPr>
        <w:t xml:space="preserve">Requirement that FCMs, </w:t>
      </w:r>
      <w:r w:rsidR="00C01A3E">
        <w:rPr>
          <w:rFonts w:ascii="Times New Roman" w:hAnsi="Times New Roman"/>
          <w:u w:val="single"/>
        </w:rPr>
        <w:t>IBs, and DCM members</w:t>
      </w:r>
      <w:r>
        <w:rPr>
          <w:rFonts w:ascii="Times New Roman" w:hAnsi="Times New Roman"/>
          <w:u w:val="single"/>
        </w:rPr>
        <w:t xml:space="preserve"> comply with Regulation 1.35 for any swap transactions they enter into</w:t>
      </w:r>
      <w:r>
        <w:rPr>
          <w:rFonts w:ascii="Times New Roman" w:hAnsi="Times New Roman"/>
        </w:rPr>
        <w:t>:</w:t>
      </w:r>
    </w:p>
    <w:p w:rsidR="00083EF4" w:rsidRDefault="00083EF4" w:rsidP="00715A20">
      <w:pPr>
        <w:jc w:val="both"/>
        <w:rPr>
          <w:rFonts w:ascii="Times New Roman" w:hAnsi="Times New Roman"/>
        </w:rPr>
      </w:pPr>
    </w:p>
    <w:p w:rsidR="007F3143" w:rsidRDefault="007F3143" w:rsidP="00083EF4">
      <w:pPr>
        <w:jc w:val="both"/>
        <w:rPr>
          <w:rFonts w:ascii="Times New Roman" w:hAnsi="Times New Roman"/>
        </w:rPr>
      </w:pPr>
      <w:r>
        <w:rPr>
          <w:rFonts w:ascii="Times New Roman" w:hAnsi="Times New Roman"/>
        </w:rPr>
        <w:t>This proposed amendment requires FCMs, IBs, and DCM members to comply with those transaction recordkeeping requirements</w:t>
      </w:r>
      <w:r w:rsidR="004F15A5">
        <w:rPr>
          <w:rFonts w:ascii="Times New Roman" w:hAnsi="Times New Roman"/>
        </w:rPr>
        <w:t>, which</w:t>
      </w:r>
      <w:r>
        <w:rPr>
          <w:rFonts w:ascii="Times New Roman" w:hAnsi="Times New Roman"/>
        </w:rPr>
        <w:t xml:space="preserve"> they currently adhere to with respect to futures transactions</w:t>
      </w:r>
      <w:r w:rsidR="004F15A5">
        <w:rPr>
          <w:rFonts w:ascii="Times New Roman" w:hAnsi="Times New Roman"/>
        </w:rPr>
        <w:t>,</w:t>
      </w:r>
      <w:r>
        <w:rPr>
          <w:rFonts w:ascii="Times New Roman" w:hAnsi="Times New Roman"/>
        </w:rPr>
        <w:t xml:space="preserve"> for swap transactions.  As described in the Federal Register document, the </w:t>
      </w:r>
      <w:r>
        <w:rPr>
          <w:rFonts w:ascii="Times New Roman" w:hAnsi="Times New Roman"/>
        </w:rPr>
        <w:lastRenderedPageBreak/>
        <w:t>Commission has estimated it will take each of the aforementioned entities approximately ½ hour to fulfill the recordkeeping requirement for each swap transaction.</w:t>
      </w:r>
    </w:p>
    <w:p w:rsidR="007F3143" w:rsidRDefault="007F3143" w:rsidP="00083EF4">
      <w:pPr>
        <w:jc w:val="both"/>
        <w:rPr>
          <w:rFonts w:ascii="Times New Roman" w:hAnsi="Times New Roman"/>
        </w:rPr>
      </w:pPr>
    </w:p>
    <w:p w:rsidR="00366FA5" w:rsidRDefault="00366FA5" w:rsidP="00083EF4">
      <w:pPr>
        <w:jc w:val="both"/>
        <w:rPr>
          <w:rFonts w:ascii="Times New Roman" w:hAnsi="Times New Roman"/>
        </w:rPr>
      </w:pPr>
      <w:r>
        <w:rPr>
          <w:rFonts w:ascii="Times New Roman" w:hAnsi="Times New Roman"/>
        </w:rPr>
        <w:t xml:space="preserve">As described above, it is estimated that each FCM will enter into </w:t>
      </w:r>
      <w:r w:rsidR="00291570">
        <w:rPr>
          <w:rFonts w:ascii="Times New Roman" w:hAnsi="Times New Roman"/>
        </w:rPr>
        <w:t>1,191</w:t>
      </w:r>
      <w:r>
        <w:rPr>
          <w:rFonts w:ascii="Times New Roman" w:hAnsi="Times New Roman"/>
        </w:rPr>
        <w:t xml:space="preserve"> swaps per year, which would create an aggregate burden of </w:t>
      </w:r>
      <w:r w:rsidR="00291570">
        <w:rPr>
          <w:rFonts w:ascii="Times New Roman" w:hAnsi="Times New Roman"/>
        </w:rPr>
        <w:t xml:space="preserve">596 </w:t>
      </w:r>
      <w:r>
        <w:rPr>
          <w:rFonts w:ascii="Times New Roman" w:hAnsi="Times New Roman"/>
        </w:rPr>
        <w:t xml:space="preserve">hrs. </w:t>
      </w:r>
      <w:proofErr w:type="gramStart"/>
      <w:r>
        <w:rPr>
          <w:rFonts w:ascii="Times New Roman" w:hAnsi="Times New Roman"/>
        </w:rPr>
        <w:t>per</w:t>
      </w:r>
      <w:proofErr w:type="gramEnd"/>
      <w:r>
        <w:rPr>
          <w:rFonts w:ascii="Times New Roman" w:hAnsi="Times New Roman"/>
        </w:rPr>
        <w:t xml:space="preserve"> year</w:t>
      </w:r>
      <w:r w:rsidR="00B74DC4">
        <w:rPr>
          <w:rFonts w:ascii="Times New Roman" w:hAnsi="Times New Roman"/>
        </w:rPr>
        <w:t xml:space="preserve"> [</w:t>
      </w:r>
      <w:r w:rsidR="00291570">
        <w:rPr>
          <w:rFonts w:ascii="Times New Roman" w:hAnsi="Times New Roman"/>
        </w:rPr>
        <w:t>1,191</w:t>
      </w:r>
      <w:r w:rsidR="00B74DC4">
        <w:rPr>
          <w:rFonts w:ascii="Times New Roman" w:hAnsi="Times New Roman"/>
        </w:rPr>
        <w:t xml:space="preserve"> / 2]</w:t>
      </w:r>
      <w:r>
        <w:rPr>
          <w:rFonts w:ascii="Times New Roman" w:hAnsi="Times New Roman"/>
        </w:rPr>
        <w:t xml:space="preserve"> for all 141 FCMs to comply with Regulation 1.35 in respect of swap transactions.</w:t>
      </w:r>
    </w:p>
    <w:p w:rsidR="00366FA5" w:rsidRDefault="00366FA5" w:rsidP="00083EF4">
      <w:pPr>
        <w:jc w:val="both"/>
        <w:rPr>
          <w:rFonts w:ascii="Times New Roman" w:hAnsi="Times New Roman"/>
        </w:rPr>
      </w:pPr>
    </w:p>
    <w:p w:rsidR="00366FA5" w:rsidRDefault="007F3143" w:rsidP="00083EF4">
      <w:pPr>
        <w:jc w:val="both"/>
        <w:rPr>
          <w:rFonts w:ascii="Times New Roman" w:hAnsi="Times New Roman"/>
        </w:rPr>
      </w:pPr>
      <w:r>
        <w:rPr>
          <w:rFonts w:ascii="Times New Roman" w:hAnsi="Times New Roman"/>
        </w:rPr>
        <w:t xml:space="preserve">The Commission cannot estimate </w:t>
      </w:r>
      <w:r w:rsidR="00366FA5">
        <w:rPr>
          <w:rFonts w:ascii="Times New Roman" w:hAnsi="Times New Roman"/>
        </w:rPr>
        <w:t>how many IBs</w:t>
      </w:r>
      <w:r w:rsidR="007B4189">
        <w:rPr>
          <w:rFonts w:ascii="Times New Roman" w:hAnsi="Times New Roman"/>
        </w:rPr>
        <w:t xml:space="preserve"> (1,582 total)</w:t>
      </w:r>
      <w:r w:rsidR="00366FA5">
        <w:rPr>
          <w:rFonts w:ascii="Times New Roman" w:hAnsi="Times New Roman"/>
        </w:rPr>
        <w:t xml:space="preserve"> and DCM members</w:t>
      </w:r>
      <w:r w:rsidR="007B4189">
        <w:rPr>
          <w:rFonts w:ascii="Times New Roman" w:hAnsi="Times New Roman"/>
        </w:rPr>
        <w:t xml:space="preserve"> (11,500 in the aggregate)</w:t>
      </w:r>
      <w:r w:rsidR="00366FA5">
        <w:rPr>
          <w:rFonts w:ascii="Times New Roman" w:hAnsi="Times New Roman"/>
        </w:rPr>
        <w:t xml:space="preserve"> will enter into swaps.  Whereas an FCM is required for a cleared swap to be cleared, it is not necessary that an IB be involved.  In addition, an FCM </w:t>
      </w:r>
      <w:r w:rsidR="008D0CBE">
        <w:rPr>
          <w:rFonts w:ascii="Times New Roman" w:hAnsi="Times New Roman"/>
        </w:rPr>
        <w:t>typically will be</w:t>
      </w:r>
      <w:r w:rsidR="00366FA5">
        <w:rPr>
          <w:rFonts w:ascii="Times New Roman" w:hAnsi="Times New Roman"/>
        </w:rPr>
        <w:t xml:space="preserve"> a member of at least one DCM.</w:t>
      </w:r>
      <w:r w:rsidR="007B4189">
        <w:rPr>
          <w:rFonts w:ascii="Times New Roman" w:hAnsi="Times New Roman"/>
        </w:rPr>
        <w:t xml:space="preserve">  Therefore, the 11,500 aggregate DCM members </w:t>
      </w:r>
      <w:proofErr w:type="gramStart"/>
      <w:r w:rsidR="007B4189">
        <w:rPr>
          <w:rFonts w:ascii="Times New Roman" w:hAnsi="Times New Roman"/>
        </w:rPr>
        <w:t>includes</w:t>
      </w:r>
      <w:proofErr w:type="gramEnd"/>
      <w:r w:rsidR="007B4189">
        <w:rPr>
          <w:rFonts w:ascii="Times New Roman" w:hAnsi="Times New Roman"/>
        </w:rPr>
        <w:t xml:space="preserve"> </w:t>
      </w:r>
      <w:r w:rsidR="008D0CBE">
        <w:rPr>
          <w:rFonts w:ascii="Times New Roman" w:hAnsi="Times New Roman"/>
        </w:rPr>
        <w:t xml:space="preserve">a significant number of </w:t>
      </w:r>
      <w:r w:rsidR="007B4189">
        <w:rPr>
          <w:rFonts w:ascii="Times New Roman" w:hAnsi="Times New Roman"/>
        </w:rPr>
        <w:t>FCMs.</w:t>
      </w:r>
      <w:r w:rsidR="00366FA5">
        <w:rPr>
          <w:rFonts w:ascii="Times New Roman" w:hAnsi="Times New Roman"/>
        </w:rPr>
        <w:t xml:space="preserve">  It is possible that a DCM member who is not an FCM may be involved in a cleared swap transaction, but the Commission cannot estimate the number.</w:t>
      </w:r>
    </w:p>
    <w:p w:rsidR="007F3143" w:rsidRDefault="007F3143" w:rsidP="00083EF4">
      <w:pPr>
        <w:jc w:val="both"/>
        <w:rPr>
          <w:rFonts w:ascii="Times New Roman" w:hAnsi="Times New Roman"/>
        </w:rPr>
      </w:pPr>
    </w:p>
    <w:p w:rsidR="004D789F" w:rsidRDefault="004D789F" w:rsidP="00083EF4">
      <w:pPr>
        <w:jc w:val="both"/>
        <w:rPr>
          <w:rFonts w:ascii="Times New Roman" w:hAnsi="Times New Roman"/>
        </w:rPr>
      </w:pPr>
    </w:p>
    <w:p w:rsidR="004D789F" w:rsidRDefault="004D789F" w:rsidP="00083EF4">
      <w:pPr>
        <w:jc w:val="both"/>
        <w:rPr>
          <w:rFonts w:ascii="Times New Roman" w:hAnsi="Times New Roman"/>
        </w:rPr>
      </w:pPr>
      <w:r>
        <w:rPr>
          <w:rFonts w:ascii="Times New Roman" w:hAnsi="Times New Roman"/>
          <w:u w:val="single"/>
        </w:rPr>
        <w:t xml:space="preserve">Requirement that </w:t>
      </w:r>
      <w:r w:rsidR="00C01A3E">
        <w:rPr>
          <w:rFonts w:ascii="Times New Roman" w:hAnsi="Times New Roman"/>
          <w:u w:val="single"/>
        </w:rPr>
        <w:t>SEF members</w:t>
      </w:r>
      <w:r>
        <w:rPr>
          <w:rFonts w:ascii="Times New Roman" w:hAnsi="Times New Roman"/>
          <w:u w:val="single"/>
        </w:rPr>
        <w:t xml:space="preserve"> comply with Regulation 1.35 for any swap transactions they enter into</w:t>
      </w:r>
      <w:r>
        <w:rPr>
          <w:rFonts w:ascii="Times New Roman" w:hAnsi="Times New Roman"/>
        </w:rPr>
        <w:t>:</w:t>
      </w:r>
    </w:p>
    <w:p w:rsidR="004D789F" w:rsidRDefault="004D789F" w:rsidP="00083EF4">
      <w:pPr>
        <w:jc w:val="both"/>
        <w:rPr>
          <w:rFonts w:ascii="Times New Roman" w:hAnsi="Times New Roman"/>
        </w:rPr>
      </w:pPr>
    </w:p>
    <w:p w:rsidR="004D789F" w:rsidRDefault="004D789F" w:rsidP="00083EF4">
      <w:pPr>
        <w:jc w:val="both"/>
        <w:rPr>
          <w:rFonts w:ascii="Times New Roman" w:hAnsi="Times New Roman"/>
        </w:rPr>
      </w:pPr>
      <w:r>
        <w:rPr>
          <w:rFonts w:ascii="Times New Roman" w:hAnsi="Times New Roman"/>
        </w:rPr>
        <w:t>The Commission estimates it will take a SEF member ½ hour to comply with Regulation 1.35’s transaction recordkeeping requirements with respect to each swap.  While the Commission is able to estimate the number of swaps that will be cleared, the Commission cannot presently estimate the percentage of swaps that will be traded on SEFs as opposed to DCMs.  In addition, certain SEF members may also be FCMs.</w:t>
      </w:r>
      <w:r w:rsidR="00CA178E">
        <w:rPr>
          <w:rFonts w:ascii="Times New Roman" w:hAnsi="Times New Roman"/>
        </w:rPr>
        <w:t xml:space="preserve">  Therefore, the Commission cannot estimate the annual aggregate burden for SEF members to comply with Regulation 1.35.</w:t>
      </w:r>
    </w:p>
    <w:p w:rsidR="004D789F" w:rsidRPr="004D789F" w:rsidRDefault="004D789F" w:rsidP="00083EF4">
      <w:pPr>
        <w:jc w:val="both"/>
        <w:rPr>
          <w:rFonts w:ascii="Times New Roman" w:hAnsi="Times New Roman"/>
          <w:u w:val="single"/>
        </w:rPr>
      </w:pPr>
    </w:p>
    <w:p w:rsidR="004F750F" w:rsidRDefault="004F750F" w:rsidP="004F750F">
      <w:pPr>
        <w:jc w:val="both"/>
        <w:rPr>
          <w:rFonts w:ascii="Times New Roman" w:hAnsi="Times New Roman"/>
          <w:u w:val="single"/>
        </w:rPr>
      </w:pPr>
    </w:p>
    <w:p w:rsidR="004F750F" w:rsidRPr="004F750F" w:rsidRDefault="004F750F" w:rsidP="004F750F">
      <w:pPr>
        <w:jc w:val="both"/>
        <w:rPr>
          <w:rFonts w:ascii="Times New Roman" w:hAnsi="Times New Roman"/>
        </w:rPr>
      </w:pPr>
      <w:r>
        <w:rPr>
          <w:rFonts w:ascii="Times New Roman" w:hAnsi="Times New Roman"/>
          <w:u w:val="single"/>
        </w:rPr>
        <w:t>Requirement that each FCM, IB and DCM member keep records showing</w:t>
      </w:r>
      <w:r w:rsidR="00E32913">
        <w:rPr>
          <w:rFonts w:ascii="Times New Roman" w:hAnsi="Times New Roman"/>
          <w:u w:val="single"/>
        </w:rPr>
        <w:t xml:space="preserve"> a</w:t>
      </w:r>
      <w:r>
        <w:rPr>
          <w:rFonts w:ascii="Times New Roman" w:hAnsi="Times New Roman"/>
          <w:u w:val="single"/>
        </w:rPr>
        <w:t xml:space="preserve"> customer’s name, address, occupation or business, and </w:t>
      </w:r>
      <w:r w:rsidR="00E32913">
        <w:rPr>
          <w:rFonts w:ascii="Times New Roman" w:hAnsi="Times New Roman"/>
          <w:u w:val="single"/>
        </w:rPr>
        <w:t xml:space="preserve">the </w:t>
      </w:r>
      <w:r>
        <w:rPr>
          <w:rFonts w:ascii="Times New Roman" w:hAnsi="Times New Roman"/>
          <w:u w:val="single"/>
        </w:rPr>
        <w:t>name of any other person guaranteeing the account or exercising any trading control over it for each swap transaction entered into</w:t>
      </w:r>
      <w:r>
        <w:rPr>
          <w:rFonts w:ascii="Times New Roman" w:hAnsi="Times New Roman"/>
        </w:rPr>
        <w:t xml:space="preserve"> (1.37(a))</w:t>
      </w:r>
    </w:p>
    <w:p w:rsidR="004F15A5" w:rsidRDefault="004F750F" w:rsidP="004F15A5">
      <w:pPr>
        <w:jc w:val="both"/>
        <w:rPr>
          <w:rFonts w:ascii="Times New Roman" w:hAnsi="Times New Roman"/>
        </w:rPr>
      </w:pPr>
      <w:r>
        <w:rPr>
          <w:rFonts w:ascii="Times New Roman" w:hAnsi="Times New Roman"/>
        </w:rPr>
        <w:br/>
      </w:r>
      <w:r w:rsidR="004F15A5">
        <w:rPr>
          <w:rFonts w:ascii="Times New Roman" w:hAnsi="Times New Roman"/>
        </w:rPr>
        <w:t xml:space="preserve">This proposed amendment requires FCMs, IBs, and DCM members to comply with a recordkeeping requirement, which they currently adhere to with </w:t>
      </w:r>
      <w:r w:rsidR="00077F85">
        <w:rPr>
          <w:rFonts w:ascii="Times New Roman" w:hAnsi="Times New Roman"/>
        </w:rPr>
        <w:t>respect to futures transactions,</w:t>
      </w:r>
      <w:r w:rsidR="004F15A5">
        <w:rPr>
          <w:rFonts w:ascii="Times New Roman" w:hAnsi="Times New Roman"/>
        </w:rPr>
        <w:t xml:space="preserve"> for swap transactions.  As described in the Federal Register document, the Commission has estimated it will take each of the aforementioned entities approximately </w:t>
      </w:r>
      <w:r w:rsidR="003647C6">
        <w:rPr>
          <w:rFonts w:ascii="Times New Roman" w:hAnsi="Times New Roman"/>
        </w:rPr>
        <w:t>.4 hours</w:t>
      </w:r>
      <w:r w:rsidR="004F15A5">
        <w:rPr>
          <w:rFonts w:ascii="Times New Roman" w:hAnsi="Times New Roman"/>
        </w:rPr>
        <w:t xml:space="preserve"> to fulfill </w:t>
      </w:r>
      <w:r w:rsidR="003647C6">
        <w:rPr>
          <w:rFonts w:ascii="Times New Roman" w:hAnsi="Times New Roman"/>
        </w:rPr>
        <w:t>this</w:t>
      </w:r>
      <w:r w:rsidR="004F15A5">
        <w:rPr>
          <w:rFonts w:ascii="Times New Roman" w:hAnsi="Times New Roman"/>
        </w:rPr>
        <w:t xml:space="preserve"> recordkeeping requirement for each swap transaction.</w:t>
      </w:r>
    </w:p>
    <w:p w:rsidR="007B4189" w:rsidRDefault="007B4189" w:rsidP="004F750F">
      <w:pPr>
        <w:jc w:val="both"/>
        <w:rPr>
          <w:rFonts w:ascii="Times New Roman" w:hAnsi="Times New Roman"/>
        </w:rPr>
      </w:pPr>
    </w:p>
    <w:p w:rsidR="00F62A29" w:rsidRDefault="00F62A29" w:rsidP="00F62A29">
      <w:pPr>
        <w:jc w:val="both"/>
        <w:rPr>
          <w:rFonts w:ascii="Times New Roman" w:hAnsi="Times New Roman"/>
        </w:rPr>
      </w:pPr>
      <w:r>
        <w:rPr>
          <w:rFonts w:ascii="Times New Roman" w:hAnsi="Times New Roman"/>
        </w:rPr>
        <w:t xml:space="preserve">As described above, it is estimated that each FCM will enter into </w:t>
      </w:r>
      <w:r w:rsidR="00291570">
        <w:rPr>
          <w:rFonts w:ascii="Times New Roman" w:hAnsi="Times New Roman"/>
        </w:rPr>
        <w:t>1,191</w:t>
      </w:r>
      <w:r>
        <w:rPr>
          <w:rFonts w:ascii="Times New Roman" w:hAnsi="Times New Roman"/>
        </w:rPr>
        <w:t xml:space="preserve"> swaps per year, which would create an aggregate burden of </w:t>
      </w:r>
      <w:r w:rsidR="00291570">
        <w:rPr>
          <w:rFonts w:ascii="Times New Roman" w:hAnsi="Times New Roman"/>
        </w:rPr>
        <w:t xml:space="preserve">476 </w:t>
      </w:r>
      <w:r>
        <w:rPr>
          <w:rFonts w:ascii="Times New Roman" w:hAnsi="Times New Roman"/>
        </w:rPr>
        <w:t xml:space="preserve">hrs. </w:t>
      </w:r>
      <w:proofErr w:type="gramStart"/>
      <w:r>
        <w:rPr>
          <w:rFonts w:ascii="Times New Roman" w:hAnsi="Times New Roman"/>
        </w:rPr>
        <w:t>per</w:t>
      </w:r>
      <w:proofErr w:type="gramEnd"/>
      <w:r>
        <w:rPr>
          <w:rFonts w:ascii="Times New Roman" w:hAnsi="Times New Roman"/>
        </w:rPr>
        <w:t xml:space="preserve"> year</w:t>
      </w:r>
      <w:r w:rsidR="00B74DC4">
        <w:rPr>
          <w:rFonts w:ascii="Times New Roman" w:hAnsi="Times New Roman"/>
        </w:rPr>
        <w:t xml:space="preserve"> [</w:t>
      </w:r>
      <w:r w:rsidR="00291570">
        <w:rPr>
          <w:rFonts w:ascii="Times New Roman" w:hAnsi="Times New Roman"/>
        </w:rPr>
        <w:t>1,191</w:t>
      </w:r>
      <w:r w:rsidR="00B74DC4">
        <w:rPr>
          <w:rFonts w:ascii="Times New Roman" w:hAnsi="Times New Roman"/>
        </w:rPr>
        <w:t>x .4]</w:t>
      </w:r>
      <w:r>
        <w:rPr>
          <w:rFonts w:ascii="Times New Roman" w:hAnsi="Times New Roman"/>
        </w:rPr>
        <w:t xml:space="preserve"> for all 141 FCMs to comply with Regulation 1.</w:t>
      </w:r>
      <w:r w:rsidR="00B74DC4">
        <w:rPr>
          <w:rFonts w:ascii="Times New Roman" w:hAnsi="Times New Roman"/>
        </w:rPr>
        <w:t>37(a)</w:t>
      </w:r>
      <w:r>
        <w:rPr>
          <w:rFonts w:ascii="Times New Roman" w:hAnsi="Times New Roman"/>
        </w:rPr>
        <w:t xml:space="preserve"> in respect of swap transactions.</w:t>
      </w:r>
    </w:p>
    <w:p w:rsidR="00F62A29" w:rsidRDefault="00F62A29" w:rsidP="00F62A29">
      <w:pPr>
        <w:jc w:val="both"/>
        <w:rPr>
          <w:rFonts w:ascii="Times New Roman" w:hAnsi="Times New Roman"/>
        </w:rPr>
      </w:pPr>
    </w:p>
    <w:p w:rsidR="00F62A29" w:rsidRDefault="00B74DC4" w:rsidP="00F62A29">
      <w:pPr>
        <w:jc w:val="both"/>
        <w:rPr>
          <w:rFonts w:ascii="Times New Roman" w:hAnsi="Times New Roman"/>
        </w:rPr>
      </w:pPr>
      <w:r>
        <w:rPr>
          <w:rFonts w:ascii="Times New Roman" w:hAnsi="Times New Roman"/>
        </w:rPr>
        <w:t>As described above, t</w:t>
      </w:r>
      <w:r w:rsidR="00F62A29">
        <w:rPr>
          <w:rFonts w:ascii="Times New Roman" w:hAnsi="Times New Roman"/>
        </w:rPr>
        <w:t xml:space="preserve">he Commission cannot estimate how many IBs (1,582 total) and DCM members (11,500 in the aggregate) will enter into swaps.  Whereas an FCM is required for a cleared swap to be cleared, it is not necessary that an IB be involved.  In addition, an FCM </w:t>
      </w:r>
      <w:r w:rsidR="003B4927">
        <w:rPr>
          <w:rFonts w:ascii="Times New Roman" w:hAnsi="Times New Roman"/>
        </w:rPr>
        <w:t>typically will be</w:t>
      </w:r>
      <w:r w:rsidR="00F62A29">
        <w:rPr>
          <w:rFonts w:ascii="Times New Roman" w:hAnsi="Times New Roman"/>
        </w:rPr>
        <w:t xml:space="preserve"> a member of at least one DCM.  Therefore, the 11,500 aggregate DCM members </w:t>
      </w:r>
      <w:proofErr w:type="gramStart"/>
      <w:r w:rsidR="00F62A29">
        <w:rPr>
          <w:rFonts w:ascii="Times New Roman" w:hAnsi="Times New Roman"/>
        </w:rPr>
        <w:t>includes</w:t>
      </w:r>
      <w:proofErr w:type="gramEnd"/>
      <w:r w:rsidR="00F62A29">
        <w:rPr>
          <w:rFonts w:ascii="Times New Roman" w:hAnsi="Times New Roman"/>
        </w:rPr>
        <w:t xml:space="preserve"> </w:t>
      </w:r>
      <w:r w:rsidR="003B4927">
        <w:rPr>
          <w:rFonts w:ascii="Times New Roman" w:hAnsi="Times New Roman"/>
        </w:rPr>
        <w:t>a significant number of</w:t>
      </w:r>
      <w:r w:rsidR="00F62A29">
        <w:rPr>
          <w:rFonts w:ascii="Times New Roman" w:hAnsi="Times New Roman"/>
        </w:rPr>
        <w:t xml:space="preserve"> FCMs.  It is possible that a DCM member who is not </w:t>
      </w:r>
      <w:r w:rsidR="00F62A29">
        <w:rPr>
          <w:rFonts w:ascii="Times New Roman" w:hAnsi="Times New Roman"/>
        </w:rPr>
        <w:lastRenderedPageBreak/>
        <w:t>an FCM may be involved in a cleared swap transaction, but the Commission cannot estimate the number.</w:t>
      </w:r>
    </w:p>
    <w:p w:rsidR="001249F2" w:rsidRDefault="001249F2" w:rsidP="004F750F">
      <w:pPr>
        <w:jc w:val="both"/>
        <w:rPr>
          <w:rFonts w:ascii="Times New Roman" w:hAnsi="Times New Roman"/>
        </w:rPr>
      </w:pPr>
    </w:p>
    <w:p w:rsidR="007A40B1" w:rsidRDefault="007A40B1" w:rsidP="004F750F">
      <w:pPr>
        <w:jc w:val="both"/>
        <w:rPr>
          <w:rFonts w:ascii="Times New Roman" w:hAnsi="Times New Roman"/>
          <w:u w:val="single"/>
        </w:rPr>
      </w:pPr>
    </w:p>
    <w:p w:rsidR="00077F85" w:rsidRPr="00077F85" w:rsidRDefault="001249F2" w:rsidP="00077F85">
      <w:pPr>
        <w:jc w:val="both"/>
        <w:rPr>
          <w:rFonts w:ascii="Times New Roman" w:hAnsi="Times New Roman"/>
          <w:u w:val="single"/>
        </w:rPr>
      </w:pPr>
      <w:r>
        <w:rPr>
          <w:rFonts w:ascii="Times New Roman" w:hAnsi="Times New Roman"/>
          <w:u w:val="single"/>
        </w:rPr>
        <w:t xml:space="preserve">Requirement </w:t>
      </w:r>
      <w:r w:rsidRPr="001249F2">
        <w:rPr>
          <w:rFonts w:ascii="Times New Roman" w:hAnsi="Times New Roman"/>
          <w:u w:val="single"/>
        </w:rPr>
        <w:t>that each FCM carrying an omnibus account for another FCM, a foreign broker, a member of a DCM or any other person maintain a daily record for such account of the total open long contracts and the total open short contracts in each swap</w:t>
      </w:r>
      <w:r>
        <w:t xml:space="preserve"> </w:t>
      </w:r>
      <w:r w:rsidRPr="001249F2">
        <w:rPr>
          <w:rFonts w:ascii="Times New Roman" w:hAnsi="Times New Roman"/>
        </w:rPr>
        <w:t>(1.37(b))</w:t>
      </w:r>
    </w:p>
    <w:p w:rsidR="00077F85" w:rsidRDefault="00077F85" w:rsidP="00077F85">
      <w:pPr>
        <w:jc w:val="both"/>
        <w:rPr>
          <w:rFonts w:ascii="Times New Roman" w:hAnsi="Times New Roman"/>
        </w:rPr>
      </w:pPr>
      <w:r>
        <w:rPr>
          <w:rFonts w:ascii="Times New Roman" w:hAnsi="Times New Roman"/>
        </w:rPr>
        <w:br/>
        <w:t>This proposed amendment requires FCMs to comply with a recordkeeping requirement, which they currently adhere to with respect to futures transactions, for swap transactions.  As described in the Federal Register document, the Commission has estimated it will take each FCM .4 hours to fulfill this recordkeeping requirement for each swap transaction.</w:t>
      </w:r>
    </w:p>
    <w:p w:rsidR="00077F85" w:rsidRDefault="00077F85" w:rsidP="00077F85">
      <w:pPr>
        <w:jc w:val="both"/>
        <w:rPr>
          <w:rFonts w:ascii="Times New Roman" w:hAnsi="Times New Roman"/>
        </w:rPr>
      </w:pPr>
    </w:p>
    <w:p w:rsidR="00077F85" w:rsidRDefault="00077F85" w:rsidP="00077F85">
      <w:pPr>
        <w:jc w:val="both"/>
        <w:rPr>
          <w:rFonts w:ascii="Times New Roman" w:hAnsi="Times New Roman"/>
        </w:rPr>
      </w:pPr>
      <w:r>
        <w:rPr>
          <w:rFonts w:ascii="Times New Roman" w:hAnsi="Times New Roman"/>
        </w:rPr>
        <w:t>The Commission cannot estimate the aggregate burden for this amendment because it is not known</w:t>
      </w:r>
      <w:r w:rsidR="003B4927">
        <w:rPr>
          <w:rFonts w:ascii="Times New Roman" w:hAnsi="Times New Roman"/>
        </w:rPr>
        <w:t>, and it cannot be reasonably estimated,</w:t>
      </w:r>
      <w:r>
        <w:rPr>
          <w:rFonts w:ascii="Times New Roman" w:hAnsi="Times New Roman"/>
        </w:rPr>
        <w:t xml:space="preserve"> </w:t>
      </w:r>
      <w:r w:rsidRPr="00077F85">
        <w:rPr>
          <w:rFonts w:ascii="Times New Roman" w:hAnsi="Times New Roman"/>
          <w:i/>
        </w:rPr>
        <w:t>how many</w:t>
      </w:r>
      <w:r>
        <w:rPr>
          <w:rFonts w:ascii="Times New Roman" w:hAnsi="Times New Roman"/>
        </w:rPr>
        <w:t xml:space="preserve"> swap transactions will involve an FCM carrying an omnibus account for another FCM, a foreign broker, DCM member, or any other person.</w:t>
      </w:r>
    </w:p>
    <w:p w:rsidR="00CA178E" w:rsidRDefault="00CA178E">
      <w:pPr>
        <w:keepNext/>
        <w:tabs>
          <w:tab w:val="left" w:pos="-720"/>
          <w:tab w:val="left" w:pos="0"/>
        </w:tabs>
        <w:spacing w:after="240"/>
        <w:jc w:val="both"/>
        <w:rPr>
          <w:rFonts w:ascii="Times New Roman" w:hAnsi="Times New Roman"/>
          <w:u w:val="single"/>
        </w:rPr>
      </w:pPr>
    </w:p>
    <w:p w:rsidR="007A40B1" w:rsidRPr="007A40B1" w:rsidRDefault="007A40B1">
      <w:pPr>
        <w:keepNext/>
        <w:tabs>
          <w:tab w:val="left" w:pos="-720"/>
          <w:tab w:val="left" w:pos="0"/>
        </w:tabs>
        <w:spacing w:after="240"/>
        <w:jc w:val="both"/>
        <w:rPr>
          <w:rFonts w:ascii="Times New Roman" w:hAnsi="Times New Roman"/>
        </w:rPr>
      </w:pPr>
      <w:r>
        <w:rPr>
          <w:rFonts w:ascii="Times New Roman" w:hAnsi="Times New Roman"/>
          <w:u w:val="single"/>
        </w:rPr>
        <w:t xml:space="preserve">Requirement that </w:t>
      </w:r>
      <w:r w:rsidR="005B59C3">
        <w:rPr>
          <w:rFonts w:ascii="Times New Roman" w:hAnsi="Times New Roman"/>
          <w:u w:val="single"/>
        </w:rPr>
        <w:t>swap execution facilities (“</w:t>
      </w:r>
      <w:r>
        <w:rPr>
          <w:rFonts w:ascii="Times New Roman" w:hAnsi="Times New Roman"/>
          <w:u w:val="single"/>
        </w:rPr>
        <w:t>SEFs</w:t>
      </w:r>
      <w:r w:rsidR="005B59C3">
        <w:rPr>
          <w:rFonts w:ascii="Times New Roman" w:hAnsi="Times New Roman"/>
          <w:u w:val="single"/>
        </w:rPr>
        <w:t>”)</w:t>
      </w:r>
      <w:r>
        <w:rPr>
          <w:rFonts w:ascii="Times New Roman" w:hAnsi="Times New Roman"/>
          <w:u w:val="single"/>
        </w:rPr>
        <w:t xml:space="preserve"> keep a record showing the true name, address, and principal occupation or business of any foreign trader executing transactions on the facility or exchange</w:t>
      </w:r>
      <w:r>
        <w:rPr>
          <w:rFonts w:ascii="Times New Roman" w:hAnsi="Times New Roman"/>
        </w:rPr>
        <w:t xml:space="preserve"> (1.37(c))</w:t>
      </w:r>
    </w:p>
    <w:p w:rsidR="00077F85" w:rsidRDefault="00077F85" w:rsidP="00077F85">
      <w:pPr>
        <w:jc w:val="both"/>
        <w:rPr>
          <w:rFonts w:ascii="Times New Roman" w:hAnsi="Times New Roman"/>
        </w:rPr>
      </w:pPr>
      <w:r>
        <w:rPr>
          <w:rFonts w:ascii="Times New Roman" w:hAnsi="Times New Roman"/>
        </w:rPr>
        <w:t>This proposed amendment requires SEFs to comply with a recordkeeping requirement</w:t>
      </w:r>
      <w:r w:rsidR="005B59C3">
        <w:rPr>
          <w:rFonts w:ascii="Times New Roman" w:hAnsi="Times New Roman"/>
        </w:rPr>
        <w:t xml:space="preserve"> currently applicable to DCMs</w:t>
      </w:r>
      <w:r>
        <w:rPr>
          <w:rFonts w:ascii="Times New Roman" w:hAnsi="Times New Roman"/>
        </w:rPr>
        <w:t xml:space="preserve">.  As described in the Federal Register document, the Commission has estimated it will take each </w:t>
      </w:r>
      <w:r w:rsidR="005B59C3">
        <w:rPr>
          <w:rFonts w:ascii="Times New Roman" w:hAnsi="Times New Roman"/>
        </w:rPr>
        <w:t xml:space="preserve">SEF </w:t>
      </w:r>
      <w:r>
        <w:rPr>
          <w:rFonts w:ascii="Times New Roman" w:hAnsi="Times New Roman"/>
        </w:rPr>
        <w:t xml:space="preserve">.4 hours to fulfill this recordkeeping requirement </w:t>
      </w:r>
      <w:r w:rsidR="005B59C3">
        <w:rPr>
          <w:rFonts w:ascii="Times New Roman" w:hAnsi="Times New Roman"/>
        </w:rPr>
        <w:t>each time a foreign trader executes a transaction</w:t>
      </w:r>
      <w:r>
        <w:rPr>
          <w:rFonts w:ascii="Times New Roman" w:hAnsi="Times New Roman"/>
        </w:rPr>
        <w:t>.</w:t>
      </w:r>
    </w:p>
    <w:p w:rsidR="00077F85" w:rsidRDefault="00077F85" w:rsidP="00077F85">
      <w:pPr>
        <w:jc w:val="both"/>
        <w:rPr>
          <w:rFonts w:ascii="Times New Roman" w:hAnsi="Times New Roman"/>
        </w:rPr>
      </w:pPr>
    </w:p>
    <w:p w:rsidR="00077F85" w:rsidRDefault="00077F85" w:rsidP="00077F85">
      <w:pPr>
        <w:jc w:val="both"/>
        <w:rPr>
          <w:rFonts w:ascii="Times New Roman" w:hAnsi="Times New Roman"/>
        </w:rPr>
      </w:pPr>
      <w:r>
        <w:rPr>
          <w:rFonts w:ascii="Times New Roman" w:hAnsi="Times New Roman"/>
        </w:rPr>
        <w:t>The Commission cannot estimate the aggregate burden for this amendment because it is not known</w:t>
      </w:r>
      <w:r w:rsidR="003B4927">
        <w:rPr>
          <w:rFonts w:ascii="Times New Roman" w:hAnsi="Times New Roman"/>
        </w:rPr>
        <w:t>, and it cannot be reasonably estimated,</w:t>
      </w:r>
      <w:r>
        <w:rPr>
          <w:rFonts w:ascii="Times New Roman" w:hAnsi="Times New Roman"/>
        </w:rPr>
        <w:t xml:space="preserve"> </w:t>
      </w:r>
      <w:r w:rsidRPr="00077F85">
        <w:rPr>
          <w:rFonts w:ascii="Times New Roman" w:hAnsi="Times New Roman"/>
          <w:i/>
        </w:rPr>
        <w:t>how many</w:t>
      </w:r>
      <w:r>
        <w:rPr>
          <w:rFonts w:ascii="Times New Roman" w:hAnsi="Times New Roman"/>
        </w:rPr>
        <w:t xml:space="preserve"> swap transactions </w:t>
      </w:r>
      <w:r w:rsidR="005B59C3">
        <w:rPr>
          <w:rFonts w:ascii="Times New Roman" w:hAnsi="Times New Roman"/>
        </w:rPr>
        <w:t>will be executed on SEFs by foreign traders</w:t>
      </w:r>
      <w:r>
        <w:rPr>
          <w:rFonts w:ascii="Times New Roman" w:hAnsi="Times New Roman"/>
        </w:rPr>
        <w:t>.</w:t>
      </w:r>
    </w:p>
    <w:p w:rsidR="00077F85" w:rsidRDefault="00077F85">
      <w:pPr>
        <w:keepNext/>
        <w:tabs>
          <w:tab w:val="left" w:pos="-720"/>
          <w:tab w:val="left" w:pos="0"/>
        </w:tabs>
        <w:spacing w:after="240"/>
        <w:jc w:val="both"/>
        <w:rPr>
          <w:rFonts w:ascii="Times New Roman" w:hAnsi="Times New Roman"/>
          <w:b/>
        </w:rPr>
      </w:pPr>
    </w:p>
    <w:p w:rsidR="007A40B1" w:rsidRDefault="007A40B1">
      <w:pPr>
        <w:keepNext/>
        <w:tabs>
          <w:tab w:val="left" w:pos="-720"/>
          <w:tab w:val="left" w:pos="0"/>
        </w:tabs>
        <w:spacing w:after="240"/>
        <w:jc w:val="both"/>
        <w:rPr>
          <w:rFonts w:ascii="Times New Roman" w:hAnsi="Times New Roman"/>
        </w:rPr>
      </w:pPr>
      <w:r>
        <w:rPr>
          <w:rFonts w:ascii="Times New Roman" w:hAnsi="Times New Roman"/>
          <w:u w:val="single"/>
        </w:rPr>
        <w:t>Requirement that SEF</w:t>
      </w:r>
      <w:r w:rsidR="00E32913">
        <w:rPr>
          <w:rFonts w:ascii="Times New Roman" w:hAnsi="Times New Roman"/>
          <w:u w:val="single"/>
        </w:rPr>
        <w:t xml:space="preserve">s </w:t>
      </w:r>
      <w:r>
        <w:rPr>
          <w:rFonts w:ascii="Times New Roman" w:hAnsi="Times New Roman"/>
          <w:u w:val="single"/>
        </w:rPr>
        <w:t>record those buy- and sell-orders of different principals that SEF members have executed simultaneously</w:t>
      </w:r>
      <w:r>
        <w:rPr>
          <w:rFonts w:ascii="Times New Roman" w:hAnsi="Times New Roman"/>
        </w:rPr>
        <w:t xml:space="preserve"> (1.39)</w:t>
      </w:r>
    </w:p>
    <w:p w:rsidR="005B59C3" w:rsidRDefault="005B59C3" w:rsidP="005B59C3">
      <w:pPr>
        <w:jc w:val="both"/>
        <w:rPr>
          <w:rFonts w:ascii="Times New Roman" w:hAnsi="Times New Roman"/>
        </w:rPr>
      </w:pPr>
      <w:r>
        <w:rPr>
          <w:rFonts w:ascii="Times New Roman" w:hAnsi="Times New Roman"/>
        </w:rPr>
        <w:t xml:space="preserve">This </w:t>
      </w:r>
      <w:r w:rsidR="00E32913">
        <w:rPr>
          <w:rFonts w:ascii="Times New Roman" w:hAnsi="Times New Roman"/>
        </w:rPr>
        <w:t xml:space="preserve">proposed amendment requires SEFs </w:t>
      </w:r>
      <w:r>
        <w:rPr>
          <w:rFonts w:ascii="Times New Roman" w:hAnsi="Times New Roman"/>
        </w:rPr>
        <w:t>to comply with a recordkeeping requirement currently applicable to DCMs.  As described in the Federal Register document, the Commission has estimated it will take each SEF .1 hours to capture the required information each time SEF members simultaneously execute buy and sell orders of different principals.</w:t>
      </w:r>
    </w:p>
    <w:p w:rsidR="005B59C3" w:rsidRDefault="005B59C3" w:rsidP="005B59C3">
      <w:pPr>
        <w:jc w:val="both"/>
        <w:rPr>
          <w:rFonts w:ascii="Times New Roman" w:hAnsi="Times New Roman"/>
        </w:rPr>
      </w:pPr>
    </w:p>
    <w:p w:rsidR="005B59C3" w:rsidRDefault="005B59C3" w:rsidP="005B59C3">
      <w:pPr>
        <w:jc w:val="both"/>
        <w:rPr>
          <w:rFonts w:ascii="Times New Roman" w:hAnsi="Times New Roman"/>
        </w:rPr>
      </w:pPr>
      <w:r>
        <w:rPr>
          <w:rFonts w:ascii="Times New Roman" w:hAnsi="Times New Roman"/>
        </w:rPr>
        <w:t>The Commission cannot estimate the aggregate burden for this amendment because it is not known</w:t>
      </w:r>
      <w:r w:rsidR="003B4927">
        <w:rPr>
          <w:rFonts w:ascii="Times New Roman" w:hAnsi="Times New Roman"/>
        </w:rPr>
        <w:t>, and it cannot be reasonably estimated,</w:t>
      </w:r>
      <w:r>
        <w:rPr>
          <w:rFonts w:ascii="Times New Roman" w:hAnsi="Times New Roman"/>
        </w:rPr>
        <w:t xml:space="preserve"> </w:t>
      </w:r>
      <w:r w:rsidRPr="00077F85">
        <w:rPr>
          <w:rFonts w:ascii="Times New Roman" w:hAnsi="Times New Roman"/>
          <w:i/>
        </w:rPr>
        <w:t>how many</w:t>
      </w:r>
      <w:r>
        <w:rPr>
          <w:rFonts w:ascii="Times New Roman" w:hAnsi="Times New Roman"/>
        </w:rPr>
        <w:t xml:space="preserve"> buy and sell orders will be executed simultaneously on SEFs.</w:t>
      </w:r>
    </w:p>
    <w:p w:rsidR="008377C4" w:rsidRDefault="008377C4">
      <w:pPr>
        <w:keepNext/>
        <w:tabs>
          <w:tab w:val="left" w:pos="-720"/>
          <w:tab w:val="left" w:pos="0"/>
        </w:tabs>
        <w:spacing w:after="240"/>
        <w:jc w:val="both"/>
        <w:rPr>
          <w:rFonts w:ascii="Times New Roman" w:hAnsi="Times New Roman"/>
          <w:b/>
        </w:rPr>
      </w:pPr>
      <w:r>
        <w:rPr>
          <w:rFonts w:ascii="Times New Roman" w:hAnsi="Times New Roman"/>
          <w:b/>
        </w:rPr>
        <w:lastRenderedPageBreak/>
        <w:t>13.</w:t>
      </w:r>
      <w:r>
        <w:rPr>
          <w:rFonts w:ascii="Times New Roman" w:hAnsi="Times New Roman"/>
          <w:b/>
        </w:rPr>
        <w:tab/>
        <w:t xml:space="preserve">Provide an estimate of the total annual cost burden to respondents or </w:t>
      </w:r>
      <w:proofErr w:type="spellStart"/>
      <w:r>
        <w:rPr>
          <w:rFonts w:ascii="Times New Roman" w:hAnsi="Times New Roman"/>
          <w:b/>
        </w:rPr>
        <w:t>recordkeepers</w:t>
      </w:r>
      <w:proofErr w:type="spellEnd"/>
      <w:r>
        <w:rPr>
          <w:rFonts w:ascii="Times New Roman" w:hAnsi="Times New Roman"/>
          <w:b/>
        </w:rPr>
        <w:t xml:space="preserve"> resulting from the collection of information.  (Do not include the cost of any hour burden shown in Items 12 and 14).</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8377C4" w:rsidRDefault="008377C4">
      <w:pPr>
        <w:numPr>
          <w:ilvl w:val="0"/>
          <w:numId w:val="1"/>
        </w:numPr>
        <w:tabs>
          <w:tab w:val="clear" w:pos="936"/>
          <w:tab w:val="left" w:pos="-720"/>
          <w:tab w:val="left" w:pos="0"/>
          <w:tab w:val="left" w:pos="720"/>
          <w:tab w:val="num" w:pos="1080"/>
        </w:tabs>
        <w:spacing w:after="240"/>
        <w:ind w:left="1080" w:hanging="360"/>
        <w:jc w:val="both"/>
        <w:rPr>
          <w:rFonts w:ascii="Times New Roman" w:hAnsi="Times New Roman"/>
          <w:b/>
        </w:rPr>
      </w:pPr>
      <w:r>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F3143" w:rsidRDefault="007F3143" w:rsidP="007F3143">
      <w:pPr>
        <w:spacing w:after="240"/>
        <w:ind w:left="936"/>
        <w:jc w:val="both"/>
        <w:rPr>
          <w:rFonts w:ascii="Times New Roman" w:hAnsi="Times New Roman"/>
        </w:rPr>
      </w:pPr>
      <w:r>
        <w:rPr>
          <w:rFonts w:ascii="Times New Roman" w:hAnsi="Times New Roman"/>
        </w:rPr>
        <w:t>See Attachment A.  There will be start-up costs associated with the proposed amendments to section 1.35 (maintenance of records of oral communications).  Hardware costs for all entities that will be subject to 1.35 are estimated to be $55,000 for an average large entity that does not already have systems in place, and $10,00 for each small entity that does not alread</w:t>
      </w:r>
      <w:r w:rsidR="005F4F54">
        <w:rPr>
          <w:rFonts w:ascii="Times New Roman" w:hAnsi="Times New Roman"/>
        </w:rPr>
        <w:t>y have systems in place.  Start-</w:t>
      </w:r>
      <w:r>
        <w:rPr>
          <w:rFonts w:ascii="Times New Roman" w:hAnsi="Times New Roman"/>
        </w:rPr>
        <w:t>up labor costs were estimated for all of these entities at $6,750.  The Commission has estimated that each entity will have to devote one hour per trading day of information technology specialists in order to ensure the operation of the system to retain oral records.</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14.</w:t>
      </w:r>
      <w:r>
        <w:rPr>
          <w:rFonts w:ascii="Times New Roman" w:hAnsi="Times New Roman"/>
          <w:b/>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8377C4" w:rsidRDefault="008377C4">
      <w:pPr>
        <w:tabs>
          <w:tab w:val="left" w:pos="-720"/>
        </w:tabs>
        <w:spacing w:after="240"/>
        <w:jc w:val="both"/>
        <w:rPr>
          <w:rFonts w:ascii="Times New Roman" w:hAnsi="Times New Roman"/>
        </w:rPr>
      </w:pPr>
      <w:r>
        <w:rPr>
          <w:rFonts w:ascii="Times New Roman" w:hAnsi="Times New Roman"/>
        </w:rPr>
        <w:lastRenderedPageBreak/>
        <w:t>It is not anticipated that the proposed regulations would impose any additional costs to the Federal Government.</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15.</w:t>
      </w:r>
      <w:r>
        <w:rPr>
          <w:rFonts w:ascii="Times New Roman" w:hAnsi="Times New Roman"/>
          <w:b/>
        </w:rPr>
        <w:tab/>
        <w:t>Explain the reasons for any program changes or adjustments reported in Items 13 or 14 of the OMB Form 83-I.</w:t>
      </w:r>
    </w:p>
    <w:p w:rsidR="008377C4" w:rsidRDefault="008377C4">
      <w:pPr>
        <w:tabs>
          <w:tab w:val="left" w:pos="-720"/>
        </w:tabs>
        <w:spacing w:after="240"/>
        <w:jc w:val="both"/>
        <w:rPr>
          <w:rFonts w:ascii="Times New Roman" w:hAnsi="Times New Roman"/>
        </w:rPr>
      </w:pPr>
      <w:r>
        <w:rPr>
          <w:rFonts w:ascii="Times New Roman" w:hAnsi="Times New Roman"/>
        </w:rPr>
        <w:t xml:space="preserve">The program changes or adjustments are required by the Dodd-Frank Act, which established a new regulatory scheme.  </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16.</w:t>
      </w:r>
      <w:r>
        <w:rPr>
          <w:rFonts w:ascii="Times New Roman" w:hAnsi="Times New Roman"/>
          <w:b/>
        </w:rPr>
        <w:tab/>
      </w:r>
      <w:proofErr w:type="gramStart"/>
      <w:r>
        <w:rPr>
          <w:rFonts w:ascii="Times New Roman" w:hAnsi="Times New Roman"/>
          <w:b/>
        </w:rPr>
        <w:t>For</w:t>
      </w:r>
      <w:proofErr w:type="gramEnd"/>
      <w:r>
        <w:rPr>
          <w:rFonts w:ascii="Times New Roman" w:hAnsi="Times New Roman"/>
          <w:b/>
        </w:rPr>
        <w:t xml:space="preserve">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8377C4" w:rsidRDefault="008377C4">
      <w:pPr>
        <w:tabs>
          <w:tab w:val="left" w:pos="-720"/>
        </w:tabs>
        <w:spacing w:after="240"/>
        <w:jc w:val="both"/>
        <w:rPr>
          <w:rFonts w:ascii="Times New Roman" w:hAnsi="Times New Roman"/>
        </w:rPr>
      </w:pPr>
      <w:r>
        <w:rPr>
          <w:rFonts w:ascii="Times New Roman" w:hAnsi="Times New Roman"/>
        </w:rPr>
        <w:t>This question does not apply.</w:t>
      </w:r>
    </w:p>
    <w:p w:rsidR="008377C4" w:rsidRDefault="008377C4">
      <w:pPr>
        <w:tabs>
          <w:tab w:val="left" w:pos="-720"/>
        </w:tabs>
        <w:spacing w:after="240"/>
        <w:ind w:left="720" w:hanging="720"/>
        <w:jc w:val="both"/>
        <w:rPr>
          <w:rFonts w:ascii="Times New Roman" w:hAnsi="Times New Roman"/>
          <w:b/>
        </w:rPr>
      </w:pPr>
      <w:r>
        <w:rPr>
          <w:rFonts w:ascii="Times New Roman" w:hAnsi="Times New Roman"/>
          <w:b/>
        </w:rPr>
        <w:t>17.</w:t>
      </w:r>
      <w:r>
        <w:rPr>
          <w:rFonts w:ascii="Times New Roman" w:hAnsi="Times New Roman"/>
          <w:b/>
        </w:rPr>
        <w:tab/>
      </w:r>
      <w:proofErr w:type="gramStart"/>
      <w:r>
        <w:rPr>
          <w:rFonts w:ascii="Times New Roman" w:hAnsi="Times New Roman"/>
          <w:b/>
        </w:rPr>
        <w:t>If</w:t>
      </w:r>
      <w:proofErr w:type="gramEnd"/>
      <w:r>
        <w:rPr>
          <w:rFonts w:ascii="Times New Roman" w:hAnsi="Times New Roman"/>
          <w:b/>
        </w:rPr>
        <w:t xml:space="preserve"> seeking approval to not display the expiration date for OMB approval of the information collection, explain the reasons that display would be inappropriate.</w:t>
      </w:r>
    </w:p>
    <w:p w:rsidR="008377C4" w:rsidRDefault="008377C4">
      <w:pPr>
        <w:tabs>
          <w:tab w:val="left" w:pos="-720"/>
        </w:tabs>
        <w:spacing w:after="240"/>
        <w:jc w:val="both"/>
        <w:rPr>
          <w:rFonts w:ascii="Times New Roman" w:hAnsi="Times New Roman"/>
        </w:rPr>
      </w:pPr>
      <w:r>
        <w:rPr>
          <w:rFonts w:ascii="Times New Roman" w:hAnsi="Times New Roman"/>
        </w:rPr>
        <w:t>This question does not apply.</w:t>
      </w:r>
    </w:p>
    <w:p w:rsidR="008377C4" w:rsidRDefault="008377C4">
      <w:pPr>
        <w:keepNext/>
        <w:tabs>
          <w:tab w:val="left" w:pos="-720"/>
        </w:tabs>
        <w:spacing w:after="240"/>
        <w:ind w:left="720" w:hanging="720"/>
        <w:jc w:val="both"/>
        <w:rPr>
          <w:rFonts w:ascii="Times New Roman" w:hAnsi="Times New Roman"/>
          <w:b/>
        </w:rPr>
      </w:pPr>
      <w:proofErr w:type="gramStart"/>
      <w:r>
        <w:rPr>
          <w:rFonts w:ascii="Times New Roman" w:hAnsi="Times New Roman"/>
          <w:b/>
        </w:rPr>
        <w:t>18.</w:t>
      </w:r>
      <w:r>
        <w:rPr>
          <w:rFonts w:ascii="Times New Roman" w:hAnsi="Times New Roman"/>
          <w:b/>
        </w:rPr>
        <w:tab/>
        <w:t>Explain each exception to the certification statement identified in Item 19, "Certification for Paperwork Reduction Act Submissions," of OMB Form 83-I.</w:t>
      </w:r>
      <w:proofErr w:type="gramEnd"/>
    </w:p>
    <w:p w:rsidR="008377C4" w:rsidRDefault="004A318D">
      <w:pPr>
        <w:tabs>
          <w:tab w:val="left" w:pos="-720"/>
        </w:tabs>
        <w:spacing w:after="240"/>
        <w:jc w:val="both"/>
        <w:rPr>
          <w:rFonts w:ascii="Times New Roman" w:hAnsi="Times New Roman"/>
        </w:rPr>
      </w:pPr>
      <w:proofErr w:type="gramStart"/>
      <w:r>
        <w:rPr>
          <w:rFonts w:ascii="Times New Roman" w:hAnsi="Times New Roman"/>
        </w:rPr>
        <w:t>None.</w:t>
      </w:r>
      <w:proofErr w:type="gramEnd"/>
    </w:p>
    <w:p w:rsidR="008377C4" w:rsidRDefault="008377C4">
      <w:pPr>
        <w:pStyle w:val="Title"/>
        <w:spacing w:after="240"/>
        <w:rPr>
          <w:sz w:val="24"/>
          <w:szCs w:val="24"/>
        </w:rPr>
      </w:pPr>
      <w:r>
        <w:br w:type="page"/>
      </w:r>
      <w:r>
        <w:rPr>
          <w:sz w:val="24"/>
          <w:szCs w:val="24"/>
        </w:rPr>
        <w:lastRenderedPageBreak/>
        <w:t>Attachment A</w:t>
      </w:r>
    </w:p>
    <w:p w:rsidR="00817F61" w:rsidRDefault="006007CB" w:rsidP="006007CB">
      <w:pPr>
        <w:rPr>
          <w:rFonts w:ascii="Times New Roman" w:hAnsi="Times New Roman"/>
          <w:b/>
        </w:rPr>
      </w:pPr>
      <w:r w:rsidRPr="006007CB">
        <w:rPr>
          <w:rFonts w:ascii="Times New Roman" w:hAnsi="Times New Roman"/>
          <w:b/>
        </w:rPr>
        <w:t xml:space="preserve">Amendments to Adapt CFTC Regulations to the Dodd-Frank Act: </w:t>
      </w:r>
    </w:p>
    <w:p w:rsidR="006007CB" w:rsidRDefault="006007CB" w:rsidP="006007CB">
      <w:pPr>
        <w:rPr>
          <w:rFonts w:ascii="Times New Roman" w:hAnsi="Times New Roman"/>
          <w:b/>
        </w:rPr>
      </w:pPr>
      <w:r w:rsidRPr="006007CB">
        <w:rPr>
          <w:rFonts w:ascii="Times New Roman" w:hAnsi="Times New Roman"/>
          <w:b/>
        </w:rPr>
        <w:t>Regulations 1.31, 1.33, 1.35, 1.37, and 1.39</w:t>
      </w:r>
    </w:p>
    <w:p w:rsidR="00817F61" w:rsidRDefault="00817F61" w:rsidP="006007CB">
      <w:pPr>
        <w:rPr>
          <w:rFonts w:ascii="Times New Roman" w:hAnsi="Times New Roman"/>
          <w:b/>
          <w:i/>
        </w:rPr>
      </w:pPr>
    </w:p>
    <w:p w:rsidR="00817F61" w:rsidRPr="00817F61" w:rsidRDefault="00817F61" w:rsidP="006007CB">
      <w:pPr>
        <w:rPr>
          <w:rFonts w:ascii="Times New Roman" w:hAnsi="Times New Roman"/>
        </w:rPr>
      </w:pPr>
      <w:r w:rsidRPr="00817F61">
        <w:rPr>
          <w:rFonts w:ascii="Times New Roman" w:hAnsi="Times New Roman"/>
          <w:i/>
        </w:rPr>
        <w:t>See also</w:t>
      </w:r>
      <w:r w:rsidR="0076103C">
        <w:rPr>
          <w:rFonts w:ascii="Times New Roman" w:hAnsi="Times New Roman"/>
        </w:rPr>
        <w:t xml:space="preserve"> responses to Questions 12 and 13</w:t>
      </w:r>
      <w:r w:rsidRPr="00817F61">
        <w:rPr>
          <w:rFonts w:ascii="Times New Roman" w:hAnsi="Times New Roman"/>
        </w:rPr>
        <w:t>, above.</w:t>
      </w:r>
    </w:p>
    <w:p w:rsidR="008377C4" w:rsidRDefault="006007CB">
      <w:pPr>
        <w:pStyle w:val="Title"/>
        <w:spacing w:after="480"/>
        <w:rPr>
          <w:sz w:val="24"/>
          <w:szCs w:val="24"/>
        </w:rPr>
      </w:pPr>
      <w:r>
        <w:rPr>
          <w:sz w:val="24"/>
          <w:szCs w:val="24"/>
        </w:rPr>
        <w:br/>
      </w:r>
      <w:r w:rsidR="008377C4">
        <w:rPr>
          <w:sz w:val="24"/>
          <w:szCs w:val="24"/>
        </w:rPr>
        <w:t>OMB Collection File 3038-</w:t>
      </w:r>
    </w:p>
    <w:tbl>
      <w:tblPr>
        <w:tblW w:w="9163" w:type="dxa"/>
        <w:jc w:val="center"/>
        <w:tblInd w:w="5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50"/>
        <w:gridCol w:w="1183"/>
        <w:gridCol w:w="1538"/>
        <w:gridCol w:w="1330"/>
        <w:gridCol w:w="13"/>
        <w:gridCol w:w="1437"/>
        <w:gridCol w:w="1512"/>
      </w:tblGrid>
      <w:tr w:rsidR="00127669" w:rsidTr="006523DF">
        <w:trPr>
          <w:jc w:val="center"/>
        </w:trPr>
        <w:tc>
          <w:tcPr>
            <w:tcW w:w="2150" w:type="dxa"/>
          </w:tcPr>
          <w:p w:rsidR="00127669" w:rsidRDefault="00127669" w:rsidP="00C01A3E">
            <w:pPr>
              <w:jc w:val="center"/>
              <w:rPr>
                <w:rFonts w:ascii="Times New Roman" w:hAnsi="Times New Roman"/>
                <w:sz w:val="20"/>
                <w:szCs w:val="20"/>
              </w:rPr>
            </w:pPr>
            <w:r>
              <w:rPr>
                <w:rFonts w:ascii="Times New Roman" w:hAnsi="Times New Roman"/>
                <w:sz w:val="20"/>
                <w:szCs w:val="20"/>
              </w:rPr>
              <w:t>Requirement</w:t>
            </w:r>
          </w:p>
        </w:tc>
        <w:tc>
          <w:tcPr>
            <w:tcW w:w="1183" w:type="dxa"/>
          </w:tcPr>
          <w:p w:rsidR="00127669" w:rsidRDefault="00127669" w:rsidP="00C01A3E">
            <w:pPr>
              <w:jc w:val="center"/>
              <w:rPr>
                <w:rFonts w:ascii="Times New Roman" w:hAnsi="Times New Roman"/>
                <w:sz w:val="20"/>
                <w:szCs w:val="20"/>
              </w:rPr>
            </w:pPr>
            <w:r>
              <w:rPr>
                <w:rFonts w:ascii="Times New Roman" w:hAnsi="Times New Roman"/>
                <w:sz w:val="20"/>
                <w:szCs w:val="20"/>
              </w:rPr>
              <w:t>Estimated Number of Registrants Per Year</w:t>
            </w:r>
          </w:p>
        </w:tc>
        <w:tc>
          <w:tcPr>
            <w:tcW w:w="1538" w:type="dxa"/>
          </w:tcPr>
          <w:p w:rsidR="00127669" w:rsidRDefault="00127669" w:rsidP="00C01A3E">
            <w:pPr>
              <w:jc w:val="center"/>
              <w:rPr>
                <w:rFonts w:ascii="Times New Roman" w:hAnsi="Times New Roman"/>
                <w:sz w:val="20"/>
                <w:szCs w:val="20"/>
              </w:rPr>
            </w:pPr>
            <w:r>
              <w:rPr>
                <w:rFonts w:ascii="Times New Roman" w:hAnsi="Times New Roman"/>
                <w:sz w:val="20"/>
                <w:szCs w:val="20"/>
              </w:rPr>
              <w:t>Number of Responses Per Registrant</w:t>
            </w:r>
          </w:p>
          <w:p w:rsidR="00127669" w:rsidRDefault="00127669" w:rsidP="00C01A3E">
            <w:pPr>
              <w:jc w:val="center"/>
              <w:rPr>
                <w:rFonts w:ascii="Times New Roman" w:hAnsi="Times New Roman"/>
                <w:sz w:val="20"/>
                <w:szCs w:val="20"/>
              </w:rPr>
            </w:pPr>
            <w:r>
              <w:rPr>
                <w:rFonts w:ascii="Times New Roman" w:hAnsi="Times New Roman"/>
                <w:sz w:val="20"/>
                <w:szCs w:val="20"/>
              </w:rPr>
              <w:t>Annually</w:t>
            </w:r>
          </w:p>
        </w:tc>
        <w:tc>
          <w:tcPr>
            <w:tcW w:w="1343" w:type="dxa"/>
            <w:gridSpan w:val="2"/>
          </w:tcPr>
          <w:p w:rsidR="00127669" w:rsidRDefault="00127669" w:rsidP="00C01A3E">
            <w:pPr>
              <w:jc w:val="center"/>
              <w:rPr>
                <w:rFonts w:ascii="Times New Roman" w:hAnsi="Times New Roman"/>
                <w:sz w:val="20"/>
                <w:szCs w:val="20"/>
              </w:rPr>
            </w:pPr>
            <w:r>
              <w:rPr>
                <w:rFonts w:ascii="Times New Roman" w:hAnsi="Times New Roman"/>
                <w:sz w:val="20"/>
                <w:szCs w:val="20"/>
              </w:rPr>
              <w:t>Aggregate</w:t>
            </w:r>
          </w:p>
          <w:p w:rsidR="00127669" w:rsidRDefault="00127669" w:rsidP="00C01A3E">
            <w:pPr>
              <w:jc w:val="center"/>
              <w:rPr>
                <w:rFonts w:ascii="Times New Roman" w:hAnsi="Times New Roman"/>
                <w:sz w:val="20"/>
                <w:szCs w:val="20"/>
              </w:rPr>
            </w:pPr>
            <w:r>
              <w:rPr>
                <w:rFonts w:ascii="Times New Roman" w:hAnsi="Times New Roman"/>
                <w:sz w:val="20"/>
                <w:szCs w:val="20"/>
              </w:rPr>
              <w:t>Number of  Responses</w:t>
            </w:r>
          </w:p>
          <w:p w:rsidR="00127669" w:rsidRDefault="00127669" w:rsidP="00C01A3E">
            <w:pPr>
              <w:jc w:val="center"/>
              <w:rPr>
                <w:rFonts w:ascii="Times New Roman" w:hAnsi="Times New Roman"/>
                <w:sz w:val="20"/>
                <w:szCs w:val="20"/>
              </w:rPr>
            </w:pPr>
            <w:r>
              <w:rPr>
                <w:rFonts w:ascii="Times New Roman" w:hAnsi="Times New Roman"/>
                <w:sz w:val="20"/>
                <w:szCs w:val="20"/>
              </w:rPr>
              <w:t>Annually</w:t>
            </w:r>
          </w:p>
          <w:p w:rsidR="00127669" w:rsidRDefault="00127669" w:rsidP="00C01A3E">
            <w:pPr>
              <w:jc w:val="center"/>
              <w:rPr>
                <w:rFonts w:ascii="Times New Roman" w:hAnsi="Times New Roman"/>
                <w:sz w:val="20"/>
                <w:szCs w:val="20"/>
              </w:rPr>
            </w:pPr>
          </w:p>
        </w:tc>
        <w:tc>
          <w:tcPr>
            <w:tcW w:w="1437" w:type="dxa"/>
          </w:tcPr>
          <w:p w:rsidR="00127669" w:rsidRDefault="00127669" w:rsidP="00C01A3E">
            <w:pPr>
              <w:jc w:val="center"/>
              <w:rPr>
                <w:rFonts w:ascii="Times New Roman" w:hAnsi="Times New Roman"/>
                <w:sz w:val="20"/>
                <w:szCs w:val="20"/>
              </w:rPr>
            </w:pPr>
            <w:r>
              <w:rPr>
                <w:rFonts w:ascii="Times New Roman" w:hAnsi="Times New Roman"/>
                <w:sz w:val="20"/>
                <w:szCs w:val="20"/>
              </w:rPr>
              <w:t>Estimated Average Number of Hours Per Response</w:t>
            </w:r>
          </w:p>
          <w:p w:rsidR="00127669" w:rsidRDefault="00127669" w:rsidP="00C01A3E">
            <w:pPr>
              <w:jc w:val="center"/>
              <w:rPr>
                <w:rFonts w:ascii="Times New Roman" w:hAnsi="Times New Roman"/>
                <w:sz w:val="20"/>
                <w:szCs w:val="20"/>
              </w:rPr>
            </w:pPr>
          </w:p>
        </w:tc>
        <w:tc>
          <w:tcPr>
            <w:tcW w:w="1512" w:type="dxa"/>
          </w:tcPr>
          <w:p w:rsidR="00127669" w:rsidRDefault="00127669" w:rsidP="00C01A3E">
            <w:pPr>
              <w:jc w:val="center"/>
              <w:rPr>
                <w:rFonts w:ascii="Times New Roman" w:hAnsi="Times New Roman"/>
                <w:sz w:val="20"/>
                <w:szCs w:val="20"/>
              </w:rPr>
            </w:pPr>
            <w:r>
              <w:rPr>
                <w:rFonts w:ascii="Times New Roman" w:hAnsi="Times New Roman"/>
                <w:sz w:val="20"/>
                <w:szCs w:val="20"/>
              </w:rPr>
              <w:t>Estimated aggregate burden</w:t>
            </w:r>
          </w:p>
          <w:p w:rsidR="00127669" w:rsidRDefault="00127669" w:rsidP="00C01A3E">
            <w:pPr>
              <w:jc w:val="center"/>
              <w:rPr>
                <w:rFonts w:ascii="Times New Roman" w:hAnsi="Times New Roman"/>
                <w:sz w:val="20"/>
                <w:szCs w:val="20"/>
              </w:rPr>
            </w:pPr>
          </w:p>
        </w:tc>
      </w:tr>
      <w:tr w:rsidR="00127669" w:rsidRPr="009E0E52" w:rsidTr="006523DF">
        <w:trPr>
          <w:jc w:val="center"/>
        </w:trPr>
        <w:tc>
          <w:tcPr>
            <w:tcW w:w="2150" w:type="dxa"/>
          </w:tcPr>
          <w:p w:rsidR="00127669" w:rsidRPr="001E1F52" w:rsidRDefault="00127669" w:rsidP="00C01A3E">
            <w:pPr>
              <w:rPr>
                <w:rFonts w:ascii="Times New Roman" w:hAnsi="Times New Roman"/>
                <w:b/>
                <w:sz w:val="20"/>
                <w:szCs w:val="20"/>
              </w:rPr>
            </w:pPr>
            <w:r w:rsidRPr="001E1F52">
              <w:rPr>
                <w:rFonts w:ascii="Times New Roman" w:hAnsi="Times New Roman"/>
                <w:b/>
                <w:sz w:val="20"/>
                <w:szCs w:val="20"/>
                <w:u w:val="single"/>
              </w:rPr>
              <w:t>Recordkeeping</w:t>
            </w:r>
            <w:r w:rsidRPr="001E1F52">
              <w:rPr>
                <w:rFonts w:ascii="Times New Roman" w:hAnsi="Times New Roman"/>
                <w:b/>
                <w:sz w:val="20"/>
                <w:szCs w:val="20"/>
              </w:rPr>
              <w:t>:</w:t>
            </w:r>
          </w:p>
          <w:p w:rsidR="00127669" w:rsidRPr="001E1F52" w:rsidRDefault="00127669" w:rsidP="00C01A3E">
            <w:pPr>
              <w:rPr>
                <w:rFonts w:ascii="Times New Roman" w:hAnsi="Times New Roman"/>
                <w:sz w:val="20"/>
                <w:szCs w:val="20"/>
              </w:rPr>
            </w:pPr>
            <w:r w:rsidRPr="001E1F52">
              <w:rPr>
                <w:rFonts w:ascii="Times New Roman" w:hAnsi="Times New Roman"/>
                <w:sz w:val="20"/>
                <w:szCs w:val="20"/>
              </w:rPr>
              <w:t>1.31(b)(3)(ii)</w:t>
            </w:r>
            <w:r w:rsidR="00527E7E">
              <w:rPr>
                <w:rFonts w:ascii="Times New Roman" w:hAnsi="Times New Roman"/>
                <w:sz w:val="20"/>
                <w:szCs w:val="20"/>
              </w:rPr>
              <w:t xml:space="preserve"> (Development of “audit system”)</w:t>
            </w:r>
          </w:p>
        </w:tc>
        <w:tc>
          <w:tcPr>
            <w:tcW w:w="1183" w:type="dxa"/>
          </w:tcPr>
          <w:p w:rsidR="00127669" w:rsidRDefault="00127669" w:rsidP="00C01A3E">
            <w:pPr>
              <w:rPr>
                <w:rFonts w:ascii="Times New Roman" w:hAnsi="Times New Roman"/>
                <w:sz w:val="20"/>
                <w:szCs w:val="20"/>
              </w:rPr>
            </w:pPr>
            <w:r w:rsidRPr="001E1F52">
              <w:rPr>
                <w:rFonts w:ascii="Times New Roman" w:hAnsi="Times New Roman"/>
                <w:sz w:val="20"/>
                <w:szCs w:val="20"/>
              </w:rPr>
              <w:t>3,500</w:t>
            </w:r>
            <w:r w:rsidR="00527E7E">
              <w:rPr>
                <w:rFonts w:ascii="Times New Roman" w:hAnsi="Times New Roman"/>
                <w:sz w:val="20"/>
                <w:szCs w:val="20"/>
              </w:rPr>
              <w:t xml:space="preserve"> members of swap execution facilities (“SEF members”)</w:t>
            </w:r>
          </w:p>
          <w:p w:rsidR="00527E7E" w:rsidRPr="001E1F52" w:rsidRDefault="00527E7E" w:rsidP="00C01A3E">
            <w:pPr>
              <w:rPr>
                <w:rFonts w:ascii="Times New Roman" w:hAnsi="Times New Roman"/>
                <w:sz w:val="20"/>
                <w:szCs w:val="20"/>
              </w:rPr>
            </w:pPr>
          </w:p>
        </w:tc>
        <w:tc>
          <w:tcPr>
            <w:tcW w:w="1538" w:type="dxa"/>
          </w:tcPr>
          <w:p w:rsidR="00527E7E" w:rsidRDefault="00127669" w:rsidP="00C01A3E">
            <w:pPr>
              <w:rPr>
                <w:rFonts w:ascii="Times New Roman" w:hAnsi="Times New Roman"/>
                <w:sz w:val="20"/>
                <w:szCs w:val="20"/>
              </w:rPr>
            </w:pPr>
            <w:r w:rsidRPr="001E1F52">
              <w:rPr>
                <w:rFonts w:ascii="Times New Roman" w:hAnsi="Times New Roman"/>
                <w:sz w:val="20"/>
                <w:szCs w:val="20"/>
              </w:rPr>
              <w:t xml:space="preserve">1 </w:t>
            </w:r>
          </w:p>
          <w:p w:rsidR="00127669" w:rsidRPr="001E1F52" w:rsidRDefault="00527E7E" w:rsidP="00C01A3E">
            <w:pPr>
              <w:rPr>
                <w:rFonts w:ascii="Times New Roman" w:hAnsi="Times New Roman"/>
                <w:sz w:val="20"/>
                <w:szCs w:val="20"/>
              </w:rPr>
            </w:pPr>
            <w:r>
              <w:rPr>
                <w:rFonts w:ascii="Times New Roman" w:hAnsi="Times New Roman"/>
                <w:sz w:val="20"/>
                <w:szCs w:val="20"/>
              </w:rPr>
              <w:t xml:space="preserve">(1 </w:t>
            </w:r>
            <w:r w:rsidR="00127669" w:rsidRPr="001E1F52">
              <w:rPr>
                <w:rFonts w:ascii="Times New Roman" w:hAnsi="Times New Roman"/>
                <w:sz w:val="20"/>
                <w:szCs w:val="20"/>
              </w:rPr>
              <w:t>time only</w:t>
            </w:r>
            <w:r>
              <w:rPr>
                <w:rFonts w:ascii="Times New Roman" w:hAnsi="Times New Roman"/>
                <w:sz w:val="20"/>
                <w:szCs w:val="20"/>
              </w:rPr>
              <w:t>)</w:t>
            </w:r>
          </w:p>
        </w:tc>
        <w:tc>
          <w:tcPr>
            <w:tcW w:w="1343" w:type="dxa"/>
            <w:gridSpan w:val="2"/>
          </w:tcPr>
          <w:p w:rsidR="00527E7E" w:rsidRDefault="00127669" w:rsidP="00C01A3E">
            <w:pPr>
              <w:rPr>
                <w:rFonts w:ascii="Times New Roman" w:hAnsi="Times New Roman"/>
                <w:sz w:val="20"/>
                <w:szCs w:val="20"/>
              </w:rPr>
            </w:pPr>
            <w:r w:rsidRPr="001E1F52">
              <w:rPr>
                <w:rFonts w:ascii="Times New Roman" w:hAnsi="Times New Roman"/>
                <w:sz w:val="20"/>
                <w:szCs w:val="20"/>
              </w:rPr>
              <w:t>3,500</w:t>
            </w:r>
            <w:r w:rsidR="00527E7E">
              <w:rPr>
                <w:rFonts w:ascii="Times New Roman" w:hAnsi="Times New Roman"/>
                <w:sz w:val="20"/>
                <w:szCs w:val="20"/>
              </w:rPr>
              <w:t xml:space="preserve"> </w:t>
            </w:r>
          </w:p>
          <w:p w:rsidR="00127669" w:rsidRPr="001E1F52" w:rsidRDefault="00527E7E" w:rsidP="00C01A3E">
            <w:pPr>
              <w:rPr>
                <w:rFonts w:ascii="Times New Roman" w:hAnsi="Times New Roman"/>
                <w:sz w:val="20"/>
                <w:szCs w:val="20"/>
              </w:rPr>
            </w:pPr>
            <w:r>
              <w:rPr>
                <w:rFonts w:ascii="Times New Roman" w:hAnsi="Times New Roman"/>
                <w:sz w:val="20"/>
                <w:szCs w:val="20"/>
              </w:rPr>
              <w:t>(1 time only)</w:t>
            </w:r>
          </w:p>
        </w:tc>
        <w:tc>
          <w:tcPr>
            <w:tcW w:w="1437" w:type="dxa"/>
          </w:tcPr>
          <w:p w:rsidR="00127669" w:rsidRPr="001E1F52" w:rsidRDefault="00127669" w:rsidP="00C01A3E">
            <w:pPr>
              <w:rPr>
                <w:rFonts w:ascii="Times New Roman" w:hAnsi="Times New Roman"/>
                <w:sz w:val="20"/>
                <w:szCs w:val="20"/>
              </w:rPr>
            </w:pPr>
            <w:r w:rsidRPr="001E1F52">
              <w:rPr>
                <w:rFonts w:ascii="Times New Roman" w:hAnsi="Times New Roman"/>
                <w:sz w:val="20"/>
                <w:szCs w:val="20"/>
              </w:rPr>
              <w:t>100 hrs</w:t>
            </w:r>
            <w:r w:rsidR="001E1F52" w:rsidRPr="001E1F52">
              <w:rPr>
                <w:rFonts w:ascii="Times New Roman" w:hAnsi="Times New Roman"/>
                <w:sz w:val="20"/>
                <w:szCs w:val="20"/>
              </w:rPr>
              <w:t>.</w:t>
            </w:r>
          </w:p>
        </w:tc>
        <w:tc>
          <w:tcPr>
            <w:tcW w:w="1512" w:type="dxa"/>
          </w:tcPr>
          <w:p w:rsidR="00127669" w:rsidRPr="001E1F52" w:rsidRDefault="00127669" w:rsidP="00C01A3E">
            <w:pPr>
              <w:rPr>
                <w:rFonts w:ascii="Times New Roman" w:hAnsi="Times New Roman"/>
                <w:sz w:val="20"/>
                <w:szCs w:val="20"/>
              </w:rPr>
            </w:pPr>
            <w:r w:rsidRPr="001E1F52">
              <w:rPr>
                <w:rFonts w:ascii="Times New Roman" w:hAnsi="Times New Roman"/>
                <w:sz w:val="20"/>
                <w:szCs w:val="20"/>
              </w:rPr>
              <w:t>350,000 hrs</w:t>
            </w:r>
            <w:r w:rsidR="001E1F52" w:rsidRPr="001E1F52">
              <w:rPr>
                <w:rFonts w:ascii="Times New Roman" w:hAnsi="Times New Roman"/>
                <w:sz w:val="20"/>
                <w:szCs w:val="20"/>
              </w:rPr>
              <w:t>.</w:t>
            </w:r>
          </w:p>
        </w:tc>
      </w:tr>
      <w:tr w:rsidR="00127669" w:rsidRPr="009E0E52" w:rsidTr="006523DF">
        <w:trPr>
          <w:jc w:val="center"/>
        </w:trPr>
        <w:tc>
          <w:tcPr>
            <w:tcW w:w="2150" w:type="dxa"/>
          </w:tcPr>
          <w:p w:rsidR="00127669" w:rsidRPr="001E1F52" w:rsidRDefault="00127669" w:rsidP="00C01A3E">
            <w:pPr>
              <w:rPr>
                <w:rFonts w:ascii="Times New Roman" w:hAnsi="Times New Roman"/>
                <w:b/>
                <w:sz w:val="20"/>
                <w:szCs w:val="20"/>
              </w:rPr>
            </w:pPr>
            <w:r w:rsidRPr="001E1F52">
              <w:rPr>
                <w:rFonts w:ascii="Times New Roman" w:hAnsi="Times New Roman"/>
                <w:b/>
                <w:sz w:val="20"/>
                <w:szCs w:val="20"/>
                <w:u w:val="single"/>
              </w:rPr>
              <w:t>Recordkeeping</w:t>
            </w:r>
            <w:r w:rsidRPr="001E1F52">
              <w:rPr>
                <w:rFonts w:ascii="Times New Roman" w:hAnsi="Times New Roman"/>
                <w:b/>
                <w:sz w:val="20"/>
                <w:szCs w:val="20"/>
              </w:rPr>
              <w:t>:</w:t>
            </w:r>
          </w:p>
          <w:p w:rsidR="00127669" w:rsidRDefault="00127669" w:rsidP="00C01A3E">
            <w:pPr>
              <w:rPr>
                <w:rFonts w:ascii="Times New Roman" w:hAnsi="Times New Roman"/>
                <w:sz w:val="20"/>
                <w:szCs w:val="20"/>
              </w:rPr>
            </w:pPr>
            <w:r w:rsidRPr="001E1F52">
              <w:rPr>
                <w:rFonts w:ascii="Times New Roman" w:hAnsi="Times New Roman"/>
                <w:sz w:val="20"/>
                <w:szCs w:val="20"/>
              </w:rPr>
              <w:t>1.31(c)</w:t>
            </w:r>
            <w:r w:rsidR="00527E7E">
              <w:rPr>
                <w:rFonts w:ascii="Times New Roman" w:hAnsi="Times New Roman"/>
                <w:sz w:val="20"/>
                <w:szCs w:val="20"/>
              </w:rPr>
              <w:t xml:space="preserve"> (Representation</w:t>
            </w:r>
            <w:r w:rsidR="00CA178E">
              <w:rPr>
                <w:rFonts w:ascii="Times New Roman" w:hAnsi="Times New Roman"/>
                <w:sz w:val="20"/>
                <w:szCs w:val="20"/>
              </w:rPr>
              <w:t xml:space="preserve"> to the Commission concerning audit system)</w:t>
            </w:r>
          </w:p>
          <w:p w:rsidR="00CA178E" w:rsidRPr="001E1F52" w:rsidRDefault="00CA178E" w:rsidP="00C01A3E">
            <w:pPr>
              <w:rPr>
                <w:rFonts w:ascii="Times New Roman" w:hAnsi="Times New Roman"/>
                <w:sz w:val="20"/>
                <w:szCs w:val="20"/>
              </w:rPr>
            </w:pPr>
          </w:p>
        </w:tc>
        <w:tc>
          <w:tcPr>
            <w:tcW w:w="1183" w:type="dxa"/>
          </w:tcPr>
          <w:p w:rsidR="00127669" w:rsidRDefault="00127669" w:rsidP="00C01A3E">
            <w:pPr>
              <w:rPr>
                <w:rFonts w:ascii="Times New Roman" w:hAnsi="Times New Roman"/>
                <w:sz w:val="20"/>
                <w:szCs w:val="20"/>
              </w:rPr>
            </w:pPr>
            <w:r w:rsidRPr="001E1F52">
              <w:rPr>
                <w:rFonts w:ascii="Times New Roman" w:hAnsi="Times New Roman"/>
                <w:sz w:val="20"/>
                <w:szCs w:val="20"/>
              </w:rPr>
              <w:t>3,500</w:t>
            </w:r>
            <w:r w:rsidR="00527E7E">
              <w:rPr>
                <w:rFonts w:ascii="Times New Roman" w:hAnsi="Times New Roman"/>
                <w:sz w:val="20"/>
                <w:szCs w:val="20"/>
              </w:rPr>
              <w:t xml:space="preserve"> SEF members</w:t>
            </w:r>
          </w:p>
          <w:p w:rsidR="00527E7E" w:rsidRPr="001E1F52" w:rsidRDefault="00527E7E" w:rsidP="00C01A3E">
            <w:pPr>
              <w:rPr>
                <w:rFonts w:ascii="Times New Roman" w:hAnsi="Times New Roman"/>
                <w:sz w:val="20"/>
                <w:szCs w:val="20"/>
              </w:rPr>
            </w:pPr>
          </w:p>
        </w:tc>
        <w:tc>
          <w:tcPr>
            <w:tcW w:w="1538" w:type="dxa"/>
          </w:tcPr>
          <w:p w:rsidR="00527E7E" w:rsidRDefault="00127669" w:rsidP="00C01A3E">
            <w:pPr>
              <w:rPr>
                <w:rFonts w:ascii="Times New Roman" w:hAnsi="Times New Roman"/>
                <w:sz w:val="20"/>
                <w:szCs w:val="20"/>
              </w:rPr>
            </w:pPr>
            <w:r w:rsidRPr="001E1F52">
              <w:rPr>
                <w:rFonts w:ascii="Times New Roman" w:hAnsi="Times New Roman"/>
                <w:sz w:val="20"/>
                <w:szCs w:val="20"/>
              </w:rPr>
              <w:t xml:space="preserve">1 </w:t>
            </w:r>
          </w:p>
          <w:p w:rsidR="00127669" w:rsidRPr="001E1F52" w:rsidRDefault="00527E7E" w:rsidP="00C01A3E">
            <w:pPr>
              <w:rPr>
                <w:rFonts w:ascii="Times New Roman" w:hAnsi="Times New Roman"/>
                <w:sz w:val="20"/>
                <w:szCs w:val="20"/>
              </w:rPr>
            </w:pPr>
            <w:r>
              <w:rPr>
                <w:rFonts w:ascii="Times New Roman" w:hAnsi="Times New Roman"/>
                <w:sz w:val="20"/>
                <w:szCs w:val="20"/>
              </w:rPr>
              <w:t xml:space="preserve">(1 </w:t>
            </w:r>
            <w:r w:rsidRPr="001E1F52">
              <w:rPr>
                <w:rFonts w:ascii="Times New Roman" w:hAnsi="Times New Roman"/>
                <w:sz w:val="20"/>
                <w:szCs w:val="20"/>
              </w:rPr>
              <w:t>time only</w:t>
            </w:r>
            <w:r>
              <w:rPr>
                <w:rFonts w:ascii="Times New Roman" w:hAnsi="Times New Roman"/>
                <w:sz w:val="20"/>
                <w:szCs w:val="20"/>
              </w:rPr>
              <w:t>)</w:t>
            </w:r>
          </w:p>
        </w:tc>
        <w:tc>
          <w:tcPr>
            <w:tcW w:w="1343" w:type="dxa"/>
            <w:gridSpan w:val="2"/>
          </w:tcPr>
          <w:p w:rsidR="00527E7E" w:rsidRDefault="00127669" w:rsidP="00C01A3E">
            <w:pPr>
              <w:rPr>
                <w:rFonts w:ascii="Times New Roman" w:hAnsi="Times New Roman"/>
                <w:sz w:val="20"/>
                <w:szCs w:val="20"/>
              </w:rPr>
            </w:pPr>
            <w:r w:rsidRPr="001E1F52">
              <w:rPr>
                <w:rFonts w:ascii="Times New Roman" w:hAnsi="Times New Roman"/>
                <w:sz w:val="20"/>
                <w:szCs w:val="20"/>
              </w:rPr>
              <w:t>3,500</w:t>
            </w:r>
            <w:r w:rsidR="00527E7E">
              <w:rPr>
                <w:rFonts w:ascii="Times New Roman" w:hAnsi="Times New Roman"/>
                <w:sz w:val="20"/>
                <w:szCs w:val="20"/>
              </w:rPr>
              <w:t xml:space="preserve"> </w:t>
            </w:r>
          </w:p>
          <w:p w:rsidR="00127669" w:rsidRDefault="00527E7E" w:rsidP="00C01A3E">
            <w:pPr>
              <w:rPr>
                <w:rFonts w:ascii="Times New Roman" w:hAnsi="Times New Roman"/>
                <w:sz w:val="20"/>
                <w:szCs w:val="20"/>
              </w:rPr>
            </w:pPr>
            <w:r>
              <w:rPr>
                <w:rFonts w:ascii="Times New Roman" w:hAnsi="Times New Roman"/>
                <w:sz w:val="20"/>
                <w:szCs w:val="20"/>
              </w:rPr>
              <w:t xml:space="preserve">(1 </w:t>
            </w:r>
            <w:r w:rsidRPr="001E1F52">
              <w:rPr>
                <w:rFonts w:ascii="Times New Roman" w:hAnsi="Times New Roman"/>
                <w:sz w:val="20"/>
                <w:szCs w:val="20"/>
              </w:rPr>
              <w:t>time only</w:t>
            </w:r>
            <w:r>
              <w:rPr>
                <w:rFonts w:ascii="Times New Roman" w:hAnsi="Times New Roman"/>
                <w:sz w:val="20"/>
                <w:szCs w:val="20"/>
              </w:rPr>
              <w:t>)</w:t>
            </w:r>
          </w:p>
          <w:p w:rsidR="00527E7E" w:rsidRPr="001E1F52" w:rsidRDefault="00527E7E" w:rsidP="00C01A3E">
            <w:pPr>
              <w:rPr>
                <w:rFonts w:ascii="Times New Roman" w:hAnsi="Times New Roman"/>
                <w:sz w:val="20"/>
                <w:szCs w:val="20"/>
              </w:rPr>
            </w:pPr>
          </w:p>
        </w:tc>
        <w:tc>
          <w:tcPr>
            <w:tcW w:w="1437" w:type="dxa"/>
          </w:tcPr>
          <w:p w:rsidR="00127669" w:rsidRPr="001E1F52" w:rsidRDefault="00127669" w:rsidP="00C01A3E">
            <w:pPr>
              <w:rPr>
                <w:rFonts w:ascii="Times New Roman" w:hAnsi="Times New Roman"/>
                <w:sz w:val="20"/>
                <w:szCs w:val="20"/>
              </w:rPr>
            </w:pPr>
            <w:r w:rsidRPr="001E1F52">
              <w:rPr>
                <w:rFonts w:ascii="Times New Roman" w:hAnsi="Times New Roman"/>
                <w:sz w:val="20"/>
                <w:szCs w:val="20"/>
              </w:rPr>
              <w:t>1 hr</w:t>
            </w:r>
            <w:r w:rsidR="001E1F52" w:rsidRPr="001E1F52">
              <w:rPr>
                <w:rFonts w:ascii="Times New Roman" w:hAnsi="Times New Roman"/>
                <w:sz w:val="20"/>
                <w:szCs w:val="20"/>
              </w:rPr>
              <w:t>.</w:t>
            </w:r>
          </w:p>
        </w:tc>
        <w:tc>
          <w:tcPr>
            <w:tcW w:w="1512" w:type="dxa"/>
          </w:tcPr>
          <w:p w:rsidR="00127669" w:rsidRPr="001E1F52" w:rsidRDefault="00127669" w:rsidP="00C01A3E">
            <w:pPr>
              <w:rPr>
                <w:rFonts w:ascii="Times New Roman" w:hAnsi="Times New Roman"/>
                <w:sz w:val="20"/>
                <w:szCs w:val="20"/>
              </w:rPr>
            </w:pPr>
            <w:r w:rsidRPr="001E1F52">
              <w:rPr>
                <w:rFonts w:ascii="Times New Roman" w:hAnsi="Times New Roman"/>
                <w:sz w:val="20"/>
                <w:szCs w:val="20"/>
              </w:rPr>
              <w:t>3,500 hrs</w:t>
            </w:r>
            <w:r w:rsidR="001E1F52" w:rsidRPr="001E1F52">
              <w:rPr>
                <w:rFonts w:ascii="Times New Roman" w:hAnsi="Times New Roman"/>
                <w:sz w:val="20"/>
                <w:szCs w:val="20"/>
              </w:rPr>
              <w:t>.</w:t>
            </w:r>
          </w:p>
        </w:tc>
      </w:tr>
      <w:tr w:rsidR="00127669" w:rsidTr="006523DF">
        <w:trPr>
          <w:trHeight w:val="530"/>
          <w:jc w:val="center"/>
        </w:trPr>
        <w:tc>
          <w:tcPr>
            <w:tcW w:w="2150" w:type="dxa"/>
          </w:tcPr>
          <w:p w:rsidR="00127669" w:rsidRDefault="00127669" w:rsidP="003834F1">
            <w:pPr>
              <w:rPr>
                <w:rFonts w:ascii="Times New Roman" w:hAnsi="Times New Roman"/>
                <w:sz w:val="20"/>
                <w:szCs w:val="20"/>
              </w:rPr>
            </w:pPr>
            <w:r w:rsidRPr="001E1F52">
              <w:rPr>
                <w:rFonts w:ascii="Times New Roman" w:hAnsi="Times New Roman"/>
                <w:b/>
                <w:sz w:val="20"/>
                <w:szCs w:val="20"/>
                <w:u w:val="single"/>
              </w:rPr>
              <w:t>Recordkeeping:</w:t>
            </w:r>
            <w:r>
              <w:rPr>
                <w:rFonts w:ascii="Times New Roman" w:hAnsi="Times New Roman"/>
                <w:sz w:val="20"/>
                <w:szCs w:val="20"/>
              </w:rPr>
              <w:br/>
              <w:t>1.35(a)(</w:t>
            </w:r>
            <w:r w:rsidR="000D33C7">
              <w:rPr>
                <w:rFonts w:ascii="Times New Roman" w:hAnsi="Times New Roman"/>
                <w:sz w:val="20"/>
                <w:szCs w:val="20"/>
              </w:rPr>
              <w:t>M</w:t>
            </w:r>
            <w:r w:rsidR="003834F1">
              <w:rPr>
                <w:rFonts w:ascii="Times New Roman" w:hAnsi="Times New Roman"/>
                <w:sz w:val="20"/>
                <w:szCs w:val="20"/>
              </w:rPr>
              <w:t>aintaining records</w:t>
            </w:r>
            <w:r w:rsidR="00527E7E">
              <w:rPr>
                <w:rFonts w:ascii="Times New Roman" w:hAnsi="Times New Roman"/>
                <w:sz w:val="20"/>
                <w:szCs w:val="20"/>
              </w:rPr>
              <w:t xml:space="preserve"> of oral communications</w:t>
            </w:r>
            <w:r>
              <w:rPr>
                <w:rFonts w:ascii="Times New Roman" w:hAnsi="Times New Roman"/>
                <w:sz w:val="20"/>
                <w:szCs w:val="20"/>
              </w:rPr>
              <w:t>)</w:t>
            </w:r>
          </w:p>
          <w:p w:rsidR="00527E7E" w:rsidRPr="00426C5A" w:rsidRDefault="00527E7E" w:rsidP="003834F1">
            <w:pPr>
              <w:rPr>
                <w:rFonts w:ascii="Times New Roman" w:hAnsi="Times New Roman"/>
                <w:sz w:val="20"/>
                <w:szCs w:val="20"/>
              </w:rPr>
            </w:pPr>
          </w:p>
        </w:tc>
        <w:tc>
          <w:tcPr>
            <w:tcW w:w="1183" w:type="dxa"/>
          </w:tcPr>
          <w:p w:rsidR="00127669" w:rsidRDefault="00C01A3E" w:rsidP="00C01A3E">
            <w:pPr>
              <w:rPr>
                <w:rFonts w:ascii="Times New Roman" w:hAnsi="Times New Roman"/>
                <w:sz w:val="20"/>
                <w:szCs w:val="20"/>
              </w:rPr>
            </w:pPr>
            <w:r>
              <w:rPr>
                <w:rFonts w:ascii="Times New Roman" w:hAnsi="Times New Roman"/>
                <w:sz w:val="20"/>
                <w:szCs w:val="20"/>
              </w:rPr>
              <w:t>16</w:t>
            </w:r>
            <w:r w:rsidR="00CA178E">
              <w:rPr>
                <w:rFonts w:ascii="Times New Roman" w:hAnsi="Times New Roman"/>
                <w:sz w:val="20"/>
                <w:szCs w:val="20"/>
              </w:rPr>
              <w:t>,</w:t>
            </w:r>
            <w:r>
              <w:rPr>
                <w:rFonts w:ascii="Times New Roman" w:hAnsi="Times New Roman"/>
                <w:sz w:val="20"/>
                <w:szCs w:val="20"/>
              </w:rPr>
              <w:t>583</w:t>
            </w:r>
            <w:r>
              <w:rPr>
                <w:rStyle w:val="FootnoteReference"/>
                <w:rFonts w:ascii="Times New Roman" w:hAnsi="Times New Roman"/>
                <w:sz w:val="20"/>
                <w:szCs w:val="20"/>
              </w:rPr>
              <w:footnoteReference w:id="1"/>
            </w:r>
          </w:p>
        </w:tc>
        <w:tc>
          <w:tcPr>
            <w:tcW w:w="1538" w:type="dxa"/>
          </w:tcPr>
          <w:p w:rsidR="00127669" w:rsidRPr="004570FB" w:rsidRDefault="00C01A3E" w:rsidP="006E6660">
            <w:pPr>
              <w:rPr>
                <w:rFonts w:ascii="Times New Roman" w:hAnsi="Times New Roman"/>
                <w:sz w:val="20"/>
                <w:szCs w:val="20"/>
              </w:rPr>
            </w:pPr>
            <w:r w:rsidRPr="004570FB">
              <w:rPr>
                <w:rFonts w:ascii="Times New Roman" w:hAnsi="Times New Roman"/>
                <w:sz w:val="20"/>
                <w:szCs w:val="20"/>
              </w:rPr>
              <w:t xml:space="preserve">1 time only to establish system and </w:t>
            </w:r>
            <w:r w:rsidR="00542663" w:rsidRPr="004570FB">
              <w:rPr>
                <w:rFonts w:ascii="Times New Roman" w:hAnsi="Times New Roman"/>
                <w:sz w:val="20"/>
                <w:szCs w:val="20"/>
              </w:rPr>
              <w:t>252 times/yr</w:t>
            </w:r>
            <w:r w:rsidR="006E6660" w:rsidRPr="004570FB">
              <w:rPr>
                <w:rFonts w:ascii="Times New Roman" w:hAnsi="Times New Roman"/>
                <w:sz w:val="20"/>
                <w:szCs w:val="20"/>
              </w:rPr>
              <w:t>.</w:t>
            </w:r>
            <w:r w:rsidR="00542663" w:rsidRPr="004570FB">
              <w:rPr>
                <w:rFonts w:ascii="Times New Roman" w:hAnsi="Times New Roman"/>
                <w:sz w:val="20"/>
                <w:szCs w:val="20"/>
              </w:rPr>
              <w:t xml:space="preserve"> (1 </w:t>
            </w:r>
            <w:r w:rsidR="006E6660" w:rsidRPr="004570FB">
              <w:rPr>
                <w:rFonts w:ascii="Times New Roman" w:hAnsi="Times New Roman"/>
                <w:sz w:val="20"/>
                <w:szCs w:val="20"/>
              </w:rPr>
              <w:t>hr.</w:t>
            </w:r>
            <w:r w:rsidR="00542663" w:rsidRPr="004570FB">
              <w:rPr>
                <w:rFonts w:ascii="Times New Roman" w:hAnsi="Times New Roman"/>
                <w:sz w:val="20"/>
                <w:szCs w:val="20"/>
              </w:rPr>
              <w:t xml:space="preserve"> for each trading day) to ensure the operation of the system</w:t>
            </w:r>
            <w:r w:rsidR="00C949C4" w:rsidRPr="004570FB">
              <w:rPr>
                <w:rFonts w:ascii="Times New Roman" w:hAnsi="Times New Roman"/>
                <w:sz w:val="20"/>
                <w:szCs w:val="20"/>
              </w:rPr>
              <w:t xml:space="preserve"> (“maintenance”)</w:t>
            </w:r>
          </w:p>
        </w:tc>
        <w:tc>
          <w:tcPr>
            <w:tcW w:w="1343" w:type="dxa"/>
            <w:gridSpan w:val="2"/>
          </w:tcPr>
          <w:p w:rsidR="00127669" w:rsidRPr="004570FB" w:rsidRDefault="00D13B2F" w:rsidP="00C01A3E">
            <w:pPr>
              <w:rPr>
                <w:rFonts w:ascii="Times New Roman" w:hAnsi="Times New Roman"/>
                <w:sz w:val="20"/>
                <w:szCs w:val="20"/>
              </w:rPr>
            </w:pPr>
            <w:r w:rsidRPr="004570FB">
              <w:rPr>
                <w:rFonts w:ascii="Times New Roman" w:hAnsi="Times New Roman"/>
                <w:sz w:val="20"/>
                <w:szCs w:val="20"/>
              </w:rPr>
              <w:t xml:space="preserve">16,583 for the start-up and </w:t>
            </w:r>
            <w:r w:rsidR="00542663" w:rsidRPr="004570FB">
              <w:rPr>
                <w:rFonts w:ascii="Times New Roman" w:hAnsi="Times New Roman"/>
                <w:sz w:val="20"/>
                <w:szCs w:val="20"/>
              </w:rPr>
              <w:t>4,178,916 (16,583 x 252</w:t>
            </w:r>
            <w:r w:rsidR="00C949C4" w:rsidRPr="004570FB">
              <w:rPr>
                <w:rFonts w:ascii="Times New Roman" w:hAnsi="Times New Roman"/>
                <w:sz w:val="20"/>
                <w:szCs w:val="20"/>
              </w:rPr>
              <w:t xml:space="preserve"> days</w:t>
            </w:r>
            <w:r w:rsidR="00542663" w:rsidRPr="004570FB">
              <w:rPr>
                <w:rFonts w:ascii="Times New Roman" w:hAnsi="Times New Roman"/>
                <w:sz w:val="20"/>
                <w:szCs w:val="20"/>
              </w:rPr>
              <w:t>) for maintenance</w:t>
            </w:r>
          </w:p>
        </w:tc>
        <w:tc>
          <w:tcPr>
            <w:tcW w:w="1437" w:type="dxa"/>
          </w:tcPr>
          <w:p w:rsidR="00127669" w:rsidRDefault="00542663" w:rsidP="00C01A3E">
            <w:pPr>
              <w:rPr>
                <w:rFonts w:ascii="Times New Roman" w:hAnsi="Times New Roman"/>
                <w:sz w:val="20"/>
                <w:szCs w:val="20"/>
              </w:rPr>
            </w:pPr>
            <w:r>
              <w:rPr>
                <w:rFonts w:ascii="Times New Roman" w:hAnsi="Times New Roman"/>
                <w:sz w:val="20"/>
                <w:szCs w:val="20"/>
              </w:rPr>
              <w:t>135 hrs. for start-up and 1 hr</w:t>
            </w:r>
            <w:r w:rsidR="006E6660">
              <w:rPr>
                <w:rFonts w:ascii="Times New Roman" w:hAnsi="Times New Roman"/>
                <w:sz w:val="20"/>
                <w:szCs w:val="20"/>
              </w:rPr>
              <w:t>.</w:t>
            </w:r>
            <w:r>
              <w:rPr>
                <w:rFonts w:ascii="Times New Roman" w:hAnsi="Times New Roman"/>
                <w:sz w:val="20"/>
                <w:szCs w:val="20"/>
              </w:rPr>
              <w:t>/day for maintenance</w:t>
            </w:r>
          </w:p>
        </w:tc>
        <w:tc>
          <w:tcPr>
            <w:tcW w:w="1512" w:type="dxa"/>
          </w:tcPr>
          <w:p w:rsidR="00127669" w:rsidRDefault="00542663" w:rsidP="00C01A3E">
            <w:pPr>
              <w:rPr>
                <w:rFonts w:ascii="Times New Roman" w:hAnsi="Times New Roman"/>
                <w:sz w:val="20"/>
                <w:szCs w:val="20"/>
              </w:rPr>
            </w:pPr>
            <w:r>
              <w:rPr>
                <w:rFonts w:ascii="Times New Roman" w:hAnsi="Times New Roman"/>
                <w:sz w:val="20"/>
                <w:szCs w:val="20"/>
              </w:rPr>
              <w:t>2</w:t>
            </w:r>
            <w:r w:rsidR="00C949C4">
              <w:rPr>
                <w:rFonts w:ascii="Times New Roman" w:hAnsi="Times New Roman"/>
                <w:sz w:val="20"/>
                <w:szCs w:val="20"/>
              </w:rPr>
              <w:t>,</w:t>
            </w:r>
            <w:r>
              <w:rPr>
                <w:rFonts w:ascii="Times New Roman" w:hAnsi="Times New Roman"/>
                <w:sz w:val="20"/>
                <w:szCs w:val="20"/>
              </w:rPr>
              <w:t>238</w:t>
            </w:r>
            <w:r w:rsidR="00C949C4">
              <w:rPr>
                <w:rFonts w:ascii="Times New Roman" w:hAnsi="Times New Roman"/>
                <w:sz w:val="20"/>
                <w:szCs w:val="20"/>
              </w:rPr>
              <w:t>,</w:t>
            </w:r>
            <w:r>
              <w:rPr>
                <w:rFonts w:ascii="Times New Roman" w:hAnsi="Times New Roman"/>
                <w:sz w:val="20"/>
                <w:szCs w:val="20"/>
              </w:rPr>
              <w:t xml:space="preserve">705 hrs. (16,583 x 135 hrs.) </w:t>
            </w:r>
            <w:proofErr w:type="gramStart"/>
            <w:r>
              <w:rPr>
                <w:rFonts w:ascii="Times New Roman" w:hAnsi="Times New Roman"/>
                <w:sz w:val="20"/>
                <w:szCs w:val="20"/>
              </w:rPr>
              <w:t>for</w:t>
            </w:r>
            <w:proofErr w:type="gramEnd"/>
            <w:r>
              <w:rPr>
                <w:rFonts w:ascii="Times New Roman" w:hAnsi="Times New Roman"/>
                <w:sz w:val="20"/>
                <w:szCs w:val="20"/>
              </w:rPr>
              <w:t xml:space="preserve"> start-up and 16,583 hrs. (16,583 x 1 hr.) for maintenance</w:t>
            </w:r>
          </w:p>
        </w:tc>
      </w:tr>
      <w:tr w:rsidR="00127669" w:rsidRPr="009E0E52" w:rsidTr="006523DF">
        <w:trPr>
          <w:jc w:val="center"/>
        </w:trPr>
        <w:tc>
          <w:tcPr>
            <w:tcW w:w="2150" w:type="dxa"/>
          </w:tcPr>
          <w:p w:rsidR="00127669" w:rsidRPr="00127669" w:rsidRDefault="00127669" w:rsidP="00C01A3E">
            <w:pPr>
              <w:rPr>
                <w:rFonts w:ascii="Times New Roman" w:hAnsi="Times New Roman"/>
                <w:b/>
                <w:sz w:val="20"/>
                <w:szCs w:val="20"/>
              </w:rPr>
            </w:pPr>
            <w:r w:rsidRPr="00127669">
              <w:rPr>
                <w:rFonts w:ascii="Times New Roman" w:hAnsi="Times New Roman"/>
                <w:b/>
                <w:sz w:val="20"/>
                <w:szCs w:val="20"/>
                <w:u w:val="single"/>
              </w:rPr>
              <w:t>Recordkeeping</w:t>
            </w:r>
            <w:r w:rsidRPr="00127669">
              <w:rPr>
                <w:rFonts w:ascii="Times New Roman" w:hAnsi="Times New Roman"/>
                <w:b/>
                <w:sz w:val="20"/>
                <w:szCs w:val="20"/>
              </w:rPr>
              <w:t>:</w:t>
            </w:r>
          </w:p>
          <w:p w:rsidR="00127669" w:rsidRPr="00127669" w:rsidRDefault="00127669" w:rsidP="00127669">
            <w:pPr>
              <w:rPr>
                <w:rFonts w:ascii="Times New Roman" w:hAnsi="Times New Roman"/>
                <w:sz w:val="20"/>
                <w:szCs w:val="20"/>
              </w:rPr>
            </w:pPr>
            <w:r w:rsidRPr="00127669">
              <w:rPr>
                <w:rFonts w:ascii="Times New Roman" w:hAnsi="Times New Roman"/>
                <w:sz w:val="20"/>
                <w:szCs w:val="20"/>
              </w:rPr>
              <w:t>1.33</w:t>
            </w:r>
            <w:r w:rsidR="00826EE1">
              <w:rPr>
                <w:rFonts w:ascii="Times New Roman" w:hAnsi="Times New Roman"/>
                <w:sz w:val="20"/>
                <w:szCs w:val="20"/>
              </w:rPr>
              <w:t xml:space="preserve"> (preparation of swap confirmations and monthly statements describing customers’ swap positions)</w:t>
            </w:r>
          </w:p>
        </w:tc>
        <w:tc>
          <w:tcPr>
            <w:tcW w:w="1183" w:type="dxa"/>
          </w:tcPr>
          <w:p w:rsidR="00127669" w:rsidRPr="00127669" w:rsidRDefault="00127669" w:rsidP="00C01A3E">
            <w:pPr>
              <w:rPr>
                <w:rFonts w:ascii="Times New Roman" w:hAnsi="Times New Roman"/>
                <w:sz w:val="20"/>
                <w:szCs w:val="20"/>
              </w:rPr>
            </w:pPr>
            <w:r w:rsidRPr="00127669">
              <w:rPr>
                <w:rFonts w:ascii="Times New Roman" w:hAnsi="Times New Roman"/>
                <w:sz w:val="20"/>
                <w:szCs w:val="20"/>
              </w:rPr>
              <w:t>141</w:t>
            </w:r>
            <w:r w:rsidR="00B23151">
              <w:rPr>
                <w:rFonts w:ascii="Times New Roman" w:hAnsi="Times New Roman"/>
                <w:sz w:val="20"/>
                <w:szCs w:val="20"/>
              </w:rPr>
              <w:t xml:space="preserve"> futures commission merchants (“FCMs”)</w:t>
            </w:r>
          </w:p>
        </w:tc>
        <w:tc>
          <w:tcPr>
            <w:tcW w:w="1538" w:type="dxa"/>
          </w:tcPr>
          <w:p w:rsidR="00127669" w:rsidRPr="00826EE1" w:rsidRDefault="00AF5D0C" w:rsidP="00AF5D0C">
            <w:pPr>
              <w:rPr>
                <w:rFonts w:ascii="Times New Roman" w:hAnsi="Times New Roman"/>
                <w:sz w:val="20"/>
                <w:szCs w:val="20"/>
              </w:rPr>
            </w:pPr>
            <w:r>
              <w:rPr>
                <w:rFonts w:ascii="Times New Roman" w:hAnsi="Times New Roman"/>
                <w:sz w:val="20"/>
                <w:szCs w:val="20"/>
              </w:rPr>
              <w:t>1,191</w:t>
            </w:r>
            <w:r w:rsidR="00826EE1" w:rsidRPr="00826EE1">
              <w:rPr>
                <w:rFonts w:ascii="Times New Roman" w:hAnsi="Times New Roman"/>
                <w:sz w:val="20"/>
                <w:szCs w:val="20"/>
              </w:rPr>
              <w:t xml:space="preserve"> swap confirmations and </w:t>
            </w:r>
            <w:r>
              <w:rPr>
                <w:rFonts w:ascii="Times New Roman" w:hAnsi="Times New Roman"/>
                <w:sz w:val="20"/>
                <w:szCs w:val="20"/>
              </w:rPr>
              <w:t>99</w:t>
            </w:r>
            <w:r w:rsidRPr="00826EE1">
              <w:rPr>
                <w:rFonts w:ascii="Times New Roman" w:hAnsi="Times New Roman"/>
                <w:sz w:val="20"/>
                <w:szCs w:val="20"/>
              </w:rPr>
              <w:t xml:space="preserve"> </w:t>
            </w:r>
            <w:r w:rsidR="00826EE1" w:rsidRPr="00826EE1">
              <w:rPr>
                <w:rFonts w:ascii="Times New Roman" w:hAnsi="Times New Roman"/>
                <w:sz w:val="20"/>
                <w:szCs w:val="20"/>
              </w:rPr>
              <w:t>monthly statements</w:t>
            </w:r>
            <w:r w:rsidR="00826EE1" w:rsidRPr="00826EE1">
              <w:rPr>
                <w:rStyle w:val="FootnoteReference"/>
                <w:rFonts w:ascii="Times New Roman" w:hAnsi="Times New Roman"/>
                <w:sz w:val="20"/>
                <w:szCs w:val="20"/>
              </w:rPr>
              <w:footnoteReference w:id="2"/>
            </w:r>
          </w:p>
        </w:tc>
        <w:tc>
          <w:tcPr>
            <w:tcW w:w="1330" w:type="dxa"/>
          </w:tcPr>
          <w:p w:rsidR="00127669" w:rsidRPr="00826EE1" w:rsidRDefault="00AF5D0C" w:rsidP="00AF5D0C">
            <w:pPr>
              <w:rPr>
                <w:rFonts w:ascii="Times New Roman" w:hAnsi="Times New Roman"/>
                <w:sz w:val="20"/>
                <w:szCs w:val="20"/>
              </w:rPr>
            </w:pPr>
            <w:r>
              <w:rPr>
                <w:rFonts w:ascii="Times New Roman" w:hAnsi="Times New Roman"/>
                <w:sz w:val="20"/>
                <w:szCs w:val="20"/>
              </w:rPr>
              <w:t>167,931</w:t>
            </w:r>
            <w:r w:rsidR="00826EE1" w:rsidRPr="00826EE1">
              <w:rPr>
                <w:rFonts w:ascii="Times New Roman" w:hAnsi="Times New Roman"/>
                <w:sz w:val="20"/>
                <w:szCs w:val="20"/>
              </w:rPr>
              <w:t xml:space="preserve"> swap confirmations and </w:t>
            </w:r>
            <w:r>
              <w:rPr>
                <w:rFonts w:ascii="Times New Roman" w:hAnsi="Times New Roman"/>
                <w:sz w:val="20"/>
                <w:szCs w:val="20"/>
              </w:rPr>
              <w:t>13,959</w:t>
            </w:r>
            <w:r w:rsidR="00826EE1" w:rsidRPr="00826EE1">
              <w:rPr>
                <w:rFonts w:ascii="Times New Roman" w:hAnsi="Times New Roman"/>
                <w:sz w:val="20"/>
                <w:szCs w:val="20"/>
              </w:rPr>
              <w:t xml:space="preserve"> monthly confirmations</w:t>
            </w:r>
          </w:p>
        </w:tc>
        <w:tc>
          <w:tcPr>
            <w:tcW w:w="1450" w:type="dxa"/>
            <w:gridSpan w:val="2"/>
          </w:tcPr>
          <w:p w:rsidR="00127669" w:rsidRDefault="00127669" w:rsidP="00127669">
            <w:pPr>
              <w:rPr>
                <w:rFonts w:ascii="Times New Roman" w:hAnsi="Times New Roman"/>
                <w:sz w:val="20"/>
                <w:szCs w:val="20"/>
              </w:rPr>
            </w:pPr>
            <w:r>
              <w:rPr>
                <w:rFonts w:ascii="Times New Roman" w:hAnsi="Times New Roman"/>
                <w:sz w:val="20"/>
                <w:szCs w:val="20"/>
              </w:rPr>
              <w:t>1 hr for each confirmation and 1 hr for each monthly statement</w:t>
            </w:r>
          </w:p>
          <w:p w:rsidR="00127669" w:rsidRPr="009E0E52" w:rsidRDefault="00127669" w:rsidP="00C01A3E">
            <w:pPr>
              <w:rPr>
                <w:rFonts w:ascii="Times New Roman" w:hAnsi="Times New Roman"/>
                <w:sz w:val="20"/>
                <w:szCs w:val="20"/>
                <w:highlight w:val="yellow"/>
              </w:rPr>
            </w:pPr>
          </w:p>
        </w:tc>
        <w:tc>
          <w:tcPr>
            <w:tcW w:w="1512" w:type="dxa"/>
          </w:tcPr>
          <w:p w:rsidR="00127669" w:rsidRPr="009E0E52" w:rsidRDefault="00AF5D0C" w:rsidP="00AF5D0C">
            <w:pPr>
              <w:rPr>
                <w:rFonts w:ascii="Times New Roman" w:hAnsi="Times New Roman"/>
                <w:sz w:val="20"/>
                <w:szCs w:val="20"/>
                <w:highlight w:val="yellow"/>
              </w:rPr>
            </w:pPr>
            <w:r>
              <w:rPr>
                <w:rFonts w:ascii="Times New Roman" w:hAnsi="Times New Roman"/>
                <w:sz w:val="20"/>
                <w:szCs w:val="20"/>
              </w:rPr>
              <w:t>167,931</w:t>
            </w:r>
            <w:r w:rsidR="00826EE1" w:rsidRPr="00826EE1">
              <w:rPr>
                <w:rFonts w:ascii="Times New Roman" w:hAnsi="Times New Roman"/>
                <w:sz w:val="20"/>
                <w:szCs w:val="20"/>
              </w:rPr>
              <w:t xml:space="preserve"> hrs. </w:t>
            </w:r>
            <w:proofErr w:type="gramStart"/>
            <w:r w:rsidR="00826EE1" w:rsidRPr="00826EE1">
              <w:rPr>
                <w:rFonts w:ascii="Times New Roman" w:hAnsi="Times New Roman"/>
                <w:sz w:val="20"/>
                <w:szCs w:val="20"/>
              </w:rPr>
              <w:t>for</w:t>
            </w:r>
            <w:proofErr w:type="gramEnd"/>
            <w:r w:rsidR="00826EE1" w:rsidRPr="00826EE1">
              <w:rPr>
                <w:rFonts w:ascii="Times New Roman" w:hAnsi="Times New Roman"/>
                <w:sz w:val="20"/>
                <w:szCs w:val="20"/>
              </w:rPr>
              <w:t xml:space="preserve"> swap confirmations and </w:t>
            </w:r>
            <w:r>
              <w:rPr>
                <w:rFonts w:ascii="Times New Roman" w:hAnsi="Times New Roman"/>
                <w:sz w:val="20"/>
                <w:szCs w:val="20"/>
              </w:rPr>
              <w:t>13,959</w:t>
            </w:r>
            <w:r w:rsidR="00826EE1" w:rsidRPr="00826EE1">
              <w:rPr>
                <w:rFonts w:ascii="Times New Roman" w:hAnsi="Times New Roman"/>
                <w:sz w:val="20"/>
                <w:szCs w:val="20"/>
              </w:rPr>
              <w:t xml:space="preserve"> hrs. for monthly confirmations</w:t>
            </w:r>
          </w:p>
        </w:tc>
      </w:tr>
    </w:tbl>
    <w:p w:rsidR="00127669" w:rsidRDefault="00127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0"/>
        </w:rPr>
      </w:pPr>
    </w:p>
    <w:sectPr w:rsidR="00127669" w:rsidSect="00C14510">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0FB" w:rsidRDefault="004570FB">
      <w:r>
        <w:separator/>
      </w:r>
    </w:p>
  </w:endnote>
  <w:endnote w:type="continuationSeparator" w:id="0">
    <w:p w:rsidR="004570FB" w:rsidRDefault="004570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0FB" w:rsidRDefault="00A746B2">
    <w:pPr>
      <w:pStyle w:val="Footer"/>
      <w:jc w:val="center"/>
      <w:rPr>
        <w:rFonts w:ascii="Times New Roman" w:hAnsi="Times New Roman"/>
        <w:sz w:val="20"/>
        <w:szCs w:val="20"/>
      </w:rPr>
    </w:pPr>
    <w:r>
      <w:rPr>
        <w:rFonts w:ascii="Times New Roman" w:hAnsi="Times New Roman"/>
        <w:sz w:val="20"/>
        <w:szCs w:val="20"/>
      </w:rPr>
      <w:fldChar w:fldCharType="begin"/>
    </w:r>
    <w:r w:rsidR="004570FB">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292923">
      <w:rPr>
        <w:rFonts w:ascii="Times New Roman" w:hAnsi="Times New Roman"/>
        <w:noProof/>
        <w:sz w:val="20"/>
        <w:szCs w:val="20"/>
      </w:rPr>
      <w:t>1</w:t>
    </w:r>
    <w:r>
      <w:rPr>
        <w:rFonts w:ascii="Times New Roman" w:hAnsi="Times New Roman"/>
        <w:sz w:val="20"/>
        <w:szCs w:val="20"/>
      </w:rPr>
      <w:fldChar w:fldCharType="end"/>
    </w:r>
  </w:p>
  <w:p w:rsidR="004570FB" w:rsidRDefault="004570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0FB" w:rsidRDefault="004570FB">
      <w:r>
        <w:separator/>
      </w:r>
    </w:p>
  </w:footnote>
  <w:footnote w:type="continuationSeparator" w:id="0">
    <w:p w:rsidR="004570FB" w:rsidRDefault="004570FB">
      <w:r>
        <w:continuationSeparator/>
      </w:r>
    </w:p>
  </w:footnote>
  <w:footnote w:id="1">
    <w:p w:rsidR="004570FB" w:rsidRDefault="004570FB">
      <w:pPr>
        <w:pStyle w:val="FootnoteText"/>
        <w:rPr>
          <w:sz w:val="20"/>
        </w:rPr>
      </w:pPr>
      <w:r w:rsidRPr="00C949C4">
        <w:rPr>
          <w:rStyle w:val="FootnoteReference"/>
          <w:sz w:val="20"/>
        </w:rPr>
        <w:footnoteRef/>
      </w:r>
      <w:r w:rsidRPr="00C949C4">
        <w:rPr>
          <w:sz w:val="20"/>
        </w:rPr>
        <w:t xml:space="preserve"> </w:t>
      </w:r>
      <w:r>
        <w:rPr>
          <w:sz w:val="20"/>
        </w:rPr>
        <w:t>16,583 represents the total number of FCMs (141), introducing brokers (“IBs”) (1,582), members of designated contract markets (“DCM members”) (11,500), SEF members (3,500), and retail foreign exchange dealers (“RFEDs”) (1).  The number of FCMs is not included in the total because each FCM is typically a member of at least one DCM.  Therefore, it would be duplicative to count both the number of FCMs and the number of DCM members.</w:t>
      </w:r>
    </w:p>
    <w:p w:rsidR="00AF5D0C" w:rsidRDefault="00AF5D0C">
      <w:pPr>
        <w:pStyle w:val="FootnoteText"/>
      </w:pPr>
    </w:p>
  </w:footnote>
  <w:footnote w:id="2">
    <w:p w:rsidR="004570FB" w:rsidRDefault="004570FB">
      <w:pPr>
        <w:pStyle w:val="FootnoteText"/>
      </w:pPr>
      <w:r>
        <w:rPr>
          <w:rStyle w:val="FootnoteReference"/>
        </w:rPr>
        <w:footnoteRef/>
      </w:r>
      <w:r>
        <w:t xml:space="preserve"> </w:t>
      </w:r>
      <w:r w:rsidRPr="00826EE1">
        <w:rPr>
          <w:sz w:val="20"/>
        </w:rPr>
        <w:t>See response to question 12 for an explanation of these numbers.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oNotTrackMove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B7997"/>
    <w:rsid w:val="0004202D"/>
    <w:rsid w:val="00064EAC"/>
    <w:rsid w:val="00077F85"/>
    <w:rsid w:val="00083EF4"/>
    <w:rsid w:val="00084F0F"/>
    <w:rsid w:val="000949DB"/>
    <w:rsid w:val="000A07AA"/>
    <w:rsid w:val="000A6AC0"/>
    <w:rsid w:val="000C77F9"/>
    <w:rsid w:val="000D33C7"/>
    <w:rsid w:val="00101D8F"/>
    <w:rsid w:val="0011384E"/>
    <w:rsid w:val="001249F2"/>
    <w:rsid w:val="00127669"/>
    <w:rsid w:val="0013292C"/>
    <w:rsid w:val="00161CCE"/>
    <w:rsid w:val="001A03D7"/>
    <w:rsid w:val="001C18BF"/>
    <w:rsid w:val="001E1F52"/>
    <w:rsid w:val="001F3576"/>
    <w:rsid w:val="0023195D"/>
    <w:rsid w:val="00235507"/>
    <w:rsid w:val="0028022A"/>
    <w:rsid w:val="00291570"/>
    <w:rsid w:val="00292923"/>
    <w:rsid w:val="002A0792"/>
    <w:rsid w:val="00332877"/>
    <w:rsid w:val="003647C6"/>
    <w:rsid w:val="00365E5E"/>
    <w:rsid w:val="00366FA5"/>
    <w:rsid w:val="003834F1"/>
    <w:rsid w:val="0039389F"/>
    <w:rsid w:val="003B4927"/>
    <w:rsid w:val="003F7819"/>
    <w:rsid w:val="00426C5A"/>
    <w:rsid w:val="004570FB"/>
    <w:rsid w:val="0049046F"/>
    <w:rsid w:val="004A318D"/>
    <w:rsid w:val="004A7768"/>
    <w:rsid w:val="004D789F"/>
    <w:rsid w:val="004F15A5"/>
    <w:rsid w:val="004F750F"/>
    <w:rsid w:val="00515EF7"/>
    <w:rsid w:val="00520A00"/>
    <w:rsid w:val="005266B9"/>
    <w:rsid w:val="00527E7E"/>
    <w:rsid w:val="00542663"/>
    <w:rsid w:val="00583BC3"/>
    <w:rsid w:val="005B59C3"/>
    <w:rsid w:val="005D6E0D"/>
    <w:rsid w:val="005D6F81"/>
    <w:rsid w:val="005F4F54"/>
    <w:rsid w:val="006007CB"/>
    <w:rsid w:val="006523DF"/>
    <w:rsid w:val="00664DE6"/>
    <w:rsid w:val="006D268D"/>
    <w:rsid w:val="006D7103"/>
    <w:rsid w:val="006E6660"/>
    <w:rsid w:val="00715A20"/>
    <w:rsid w:val="00737B34"/>
    <w:rsid w:val="0076103C"/>
    <w:rsid w:val="007868C2"/>
    <w:rsid w:val="007A40B1"/>
    <w:rsid w:val="007B4189"/>
    <w:rsid w:val="007F3143"/>
    <w:rsid w:val="00817F61"/>
    <w:rsid w:val="00826EE1"/>
    <w:rsid w:val="008377C4"/>
    <w:rsid w:val="008A0131"/>
    <w:rsid w:val="008D0CBE"/>
    <w:rsid w:val="009118EA"/>
    <w:rsid w:val="00945BF7"/>
    <w:rsid w:val="00951A20"/>
    <w:rsid w:val="00957CF4"/>
    <w:rsid w:val="009A5F7A"/>
    <w:rsid w:val="009B322C"/>
    <w:rsid w:val="009D7F8D"/>
    <w:rsid w:val="00A746B2"/>
    <w:rsid w:val="00A7497E"/>
    <w:rsid w:val="00AB713A"/>
    <w:rsid w:val="00AD30A0"/>
    <w:rsid w:val="00AE3881"/>
    <w:rsid w:val="00AF5D0C"/>
    <w:rsid w:val="00B221AB"/>
    <w:rsid w:val="00B23151"/>
    <w:rsid w:val="00B33DB2"/>
    <w:rsid w:val="00B74DC4"/>
    <w:rsid w:val="00B800E1"/>
    <w:rsid w:val="00BA621A"/>
    <w:rsid w:val="00BC4A87"/>
    <w:rsid w:val="00BE20E6"/>
    <w:rsid w:val="00C01A3E"/>
    <w:rsid w:val="00C14510"/>
    <w:rsid w:val="00C163F8"/>
    <w:rsid w:val="00C56388"/>
    <w:rsid w:val="00C679C7"/>
    <w:rsid w:val="00C8136B"/>
    <w:rsid w:val="00C90C08"/>
    <w:rsid w:val="00C949C4"/>
    <w:rsid w:val="00CA178E"/>
    <w:rsid w:val="00CE5BAE"/>
    <w:rsid w:val="00CF2E59"/>
    <w:rsid w:val="00D13B2F"/>
    <w:rsid w:val="00D3264B"/>
    <w:rsid w:val="00D64CE9"/>
    <w:rsid w:val="00D85F41"/>
    <w:rsid w:val="00DA2DE7"/>
    <w:rsid w:val="00DD3094"/>
    <w:rsid w:val="00E32913"/>
    <w:rsid w:val="00E84C9A"/>
    <w:rsid w:val="00EA2762"/>
    <w:rsid w:val="00ED0CAE"/>
    <w:rsid w:val="00ED101F"/>
    <w:rsid w:val="00ED3E67"/>
    <w:rsid w:val="00F06B32"/>
    <w:rsid w:val="00F2591A"/>
    <w:rsid w:val="00F37740"/>
    <w:rsid w:val="00F62A29"/>
    <w:rsid w:val="00F813B1"/>
    <w:rsid w:val="00FB7997"/>
    <w:rsid w:val="00FE631C"/>
    <w:rsid w:val="00FF1BE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4510"/>
    <w:rPr>
      <w:rFonts w:ascii="Arial" w:hAnsi="Arial"/>
      <w:sz w:val="24"/>
      <w:szCs w:val="24"/>
    </w:rPr>
  </w:style>
  <w:style w:type="paragraph" w:styleId="Heading1">
    <w:name w:val="heading 1"/>
    <w:basedOn w:val="Normal"/>
    <w:next w:val="Normal"/>
    <w:qFormat/>
    <w:rsid w:val="00C14510"/>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14510"/>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C14510"/>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character" w:styleId="FootnoteReference">
    <w:name w:val="footnote reference"/>
    <w:basedOn w:val="DefaultParagraphFont"/>
    <w:uiPriority w:val="99"/>
    <w:rsid w:val="00C14510"/>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C14510"/>
    <w:rPr>
      <w:rFonts w:ascii="Times New Roman" w:hAnsi="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C14510"/>
    <w:rPr>
      <w:sz w:val="24"/>
    </w:rPr>
  </w:style>
  <w:style w:type="paragraph" w:customStyle="1" w:styleId="Default">
    <w:name w:val="Default"/>
    <w:rsid w:val="00C14510"/>
    <w:pPr>
      <w:widowControl w:val="0"/>
      <w:autoSpaceDE w:val="0"/>
      <w:autoSpaceDN w:val="0"/>
      <w:adjustRightInd w:val="0"/>
    </w:pPr>
    <w:rPr>
      <w:rFonts w:ascii="Optimum" w:hAnsi="Optimum" w:cs="Optimum"/>
      <w:color w:val="000000"/>
      <w:sz w:val="24"/>
      <w:szCs w:val="24"/>
    </w:rPr>
  </w:style>
  <w:style w:type="paragraph" w:styleId="Header">
    <w:name w:val="header"/>
    <w:basedOn w:val="Normal"/>
    <w:link w:val="HeaderChar"/>
    <w:rsid w:val="00C14510"/>
    <w:pPr>
      <w:tabs>
        <w:tab w:val="center" w:pos="4680"/>
        <w:tab w:val="right" w:pos="9360"/>
      </w:tabs>
    </w:pPr>
  </w:style>
  <w:style w:type="character" w:customStyle="1" w:styleId="HeaderChar">
    <w:name w:val="Header Char"/>
    <w:basedOn w:val="DefaultParagraphFont"/>
    <w:link w:val="Header"/>
    <w:rsid w:val="00C14510"/>
    <w:rPr>
      <w:rFonts w:ascii="Arial" w:hAnsi="Arial"/>
      <w:sz w:val="24"/>
      <w:szCs w:val="24"/>
    </w:rPr>
  </w:style>
  <w:style w:type="paragraph" w:styleId="Footer">
    <w:name w:val="footer"/>
    <w:basedOn w:val="Normal"/>
    <w:link w:val="FooterChar"/>
    <w:uiPriority w:val="99"/>
    <w:rsid w:val="00C14510"/>
    <w:pPr>
      <w:tabs>
        <w:tab w:val="center" w:pos="4680"/>
        <w:tab w:val="right" w:pos="9360"/>
      </w:tabs>
    </w:pPr>
  </w:style>
  <w:style w:type="character" w:customStyle="1" w:styleId="FooterChar">
    <w:name w:val="Footer Char"/>
    <w:basedOn w:val="DefaultParagraphFont"/>
    <w:link w:val="Footer"/>
    <w:uiPriority w:val="99"/>
    <w:rsid w:val="00C14510"/>
    <w:rPr>
      <w:rFonts w:ascii="Arial" w:hAnsi="Arial"/>
      <w:sz w:val="24"/>
      <w:szCs w:val="24"/>
    </w:rPr>
  </w:style>
  <w:style w:type="paragraph" w:styleId="PlainText">
    <w:name w:val="Plain Text"/>
    <w:basedOn w:val="Normal"/>
    <w:link w:val="PlainTextChar"/>
    <w:uiPriority w:val="99"/>
    <w:unhideWhenUsed/>
    <w:rsid w:val="00C14510"/>
    <w:rPr>
      <w:rFonts w:ascii="Calibri" w:hAnsi="Calibri"/>
      <w:color w:val="1F497D"/>
      <w:sz w:val="22"/>
      <w:szCs w:val="21"/>
    </w:rPr>
  </w:style>
  <w:style w:type="character" w:customStyle="1" w:styleId="PlainTextChar">
    <w:name w:val="Plain Text Char"/>
    <w:basedOn w:val="DefaultParagraphFont"/>
    <w:link w:val="PlainText"/>
    <w:uiPriority w:val="99"/>
    <w:rsid w:val="00C14510"/>
    <w:rPr>
      <w:rFonts w:ascii="Calibri" w:hAnsi="Calibri"/>
      <w:color w:val="1F497D"/>
      <w:sz w:val="22"/>
      <w:szCs w:val="21"/>
    </w:rPr>
  </w:style>
  <w:style w:type="paragraph" w:customStyle="1" w:styleId="CM3">
    <w:name w:val="CM3"/>
    <w:basedOn w:val="Default"/>
    <w:next w:val="Default"/>
    <w:uiPriority w:val="99"/>
    <w:rsid w:val="00C14510"/>
    <w:pPr>
      <w:spacing w:line="268" w:lineRule="atLeast"/>
    </w:pPr>
    <w:rPr>
      <w:rFonts w:cs="Times New Roman"/>
      <w:color w:val="auto"/>
    </w:rPr>
  </w:style>
  <w:style w:type="paragraph" w:styleId="Title">
    <w:name w:val="Title"/>
    <w:basedOn w:val="Normal"/>
    <w:link w:val="TitleChar"/>
    <w:qFormat/>
    <w:rsid w:val="00C14510"/>
    <w:pPr>
      <w:jc w:val="center"/>
    </w:pPr>
    <w:rPr>
      <w:rFonts w:ascii="Times New Roman" w:hAnsi="Times New Roman"/>
      <w:b/>
      <w:sz w:val="40"/>
      <w:szCs w:val="20"/>
    </w:rPr>
  </w:style>
  <w:style w:type="character" w:customStyle="1" w:styleId="TitleChar">
    <w:name w:val="Title Char"/>
    <w:basedOn w:val="DefaultParagraphFont"/>
    <w:link w:val="Title"/>
    <w:rsid w:val="00C14510"/>
    <w:rPr>
      <w:b/>
      <w:sz w:val="40"/>
    </w:rPr>
  </w:style>
  <w:style w:type="table" w:styleId="TableGrid">
    <w:name w:val="Table Grid"/>
    <w:basedOn w:val="TableNormal"/>
    <w:rsid w:val="00127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13B2F"/>
    <w:rPr>
      <w:b/>
      <w:bCs/>
      <w:strike w:val="0"/>
      <w:dstrike w:val="0"/>
      <w:color w:val="D65300"/>
      <w:u w:val="none"/>
      <w:effect w:val="none"/>
    </w:rPr>
  </w:style>
  <w:style w:type="paragraph" w:styleId="BalloonText">
    <w:name w:val="Balloon Text"/>
    <w:basedOn w:val="Normal"/>
    <w:link w:val="BalloonTextChar"/>
    <w:rsid w:val="00AF5D0C"/>
    <w:rPr>
      <w:rFonts w:ascii="Tahoma" w:hAnsi="Tahoma" w:cs="Tahoma"/>
      <w:sz w:val="16"/>
      <w:szCs w:val="16"/>
    </w:rPr>
  </w:style>
  <w:style w:type="character" w:customStyle="1" w:styleId="BalloonTextChar">
    <w:name w:val="Balloon Text Char"/>
    <w:basedOn w:val="DefaultParagraphFont"/>
    <w:link w:val="BalloonText"/>
    <w:rsid w:val="00AF5D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8174016">
      <w:bodyDiv w:val="1"/>
      <w:marLeft w:val="0"/>
      <w:marRight w:val="0"/>
      <w:marTop w:val="0"/>
      <w:marBottom w:val="0"/>
      <w:divBdr>
        <w:top w:val="none" w:sz="0" w:space="0" w:color="auto"/>
        <w:left w:val="none" w:sz="0" w:space="0" w:color="auto"/>
        <w:bottom w:val="none" w:sz="0" w:space="0" w:color="auto"/>
        <w:right w:val="none" w:sz="0" w:space="0" w:color="auto"/>
      </w:divBdr>
    </w:div>
    <w:div w:id="92026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ftc.gov/LawRegulation/FederalRegister/ProposedRules/2010-3088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C90CEA-1115-4852-9F53-915CEE42A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3917</Words>
  <Characters>21868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25734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PRA, supporting statement, information collection</cp:keywords>
  <cp:lastModifiedBy>VHill</cp:lastModifiedBy>
  <cp:revision>2</cp:revision>
  <cp:lastPrinted>2011-05-09T13:20:00Z</cp:lastPrinted>
  <dcterms:created xsi:type="dcterms:W3CDTF">2011-08-04T22:11:00Z</dcterms:created>
  <dcterms:modified xsi:type="dcterms:W3CDTF">2011-08-04T22:11:00Z</dcterms:modified>
</cp:coreProperties>
</file>