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D2" w:rsidRPr="00D938FC" w:rsidRDefault="004A061B" w:rsidP="00BB3AA9">
      <w:pPr>
        <w:rPr>
          <w:b/>
        </w:rPr>
      </w:pPr>
      <w:r w:rsidRPr="00D938FC">
        <w:rPr>
          <w:b/>
        </w:rPr>
        <w:t>Supporting Statement for Paperwork Reduction Act Submissions</w:t>
      </w:r>
    </w:p>
    <w:p w:rsidR="004A061B" w:rsidRPr="00D938FC" w:rsidRDefault="004A061B" w:rsidP="00BB3AA9">
      <w:pPr>
        <w:rPr>
          <w:b/>
        </w:rPr>
      </w:pPr>
    </w:p>
    <w:p w:rsidR="004A061B" w:rsidRPr="00D938FC" w:rsidRDefault="004A061B" w:rsidP="00BB3AA9">
      <w:pPr>
        <w:pStyle w:val="ListParagraph"/>
        <w:numPr>
          <w:ilvl w:val="0"/>
          <w:numId w:val="8"/>
        </w:numPr>
        <w:rPr>
          <w:b/>
        </w:rPr>
      </w:pPr>
      <w:r w:rsidRPr="00D938FC">
        <w:rPr>
          <w:b/>
        </w:rPr>
        <w:t>Justification</w:t>
      </w:r>
    </w:p>
    <w:p w:rsidR="004A061B" w:rsidRPr="00D938FC" w:rsidRDefault="004A061B" w:rsidP="00BB3AA9">
      <w:pPr>
        <w:pStyle w:val="ListParagraph"/>
        <w:ind w:left="360"/>
      </w:pPr>
    </w:p>
    <w:p w:rsidR="004A061B" w:rsidRPr="00D938FC" w:rsidRDefault="004A061B" w:rsidP="00BB3AA9">
      <w:pPr>
        <w:pStyle w:val="ListParagraph"/>
        <w:ind w:left="360"/>
        <w:rPr>
          <w:b/>
        </w:rPr>
      </w:pPr>
      <w:r w:rsidRPr="00D938FC">
        <w:t xml:space="preserve">1.  </w:t>
      </w:r>
      <w:r w:rsidRPr="00D938FC">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64B0A" w:rsidRPr="00D938FC" w:rsidRDefault="00A64B0A" w:rsidP="00A64B0A">
      <w:pPr>
        <w:pStyle w:val="BodyTextIndent2"/>
        <w:rPr>
          <w:sz w:val="24"/>
          <w:szCs w:val="24"/>
        </w:rPr>
      </w:pPr>
    </w:p>
    <w:p w:rsidR="00BB3AA9" w:rsidRPr="00D938FC" w:rsidRDefault="00BB3AA9" w:rsidP="00A64B0A">
      <w:pPr>
        <w:ind w:left="360"/>
      </w:pPr>
      <w:r w:rsidRPr="00D938FC">
        <w:t xml:space="preserve">This information collection is necessary for HUD to monitor potential purchasers’ current compliance with state or local government housing statutes, regulations, ordinances, and codes.  This information collection requires potential purchasers of HUD-owned multifamily housing projects to certify that all </w:t>
      </w:r>
      <w:r w:rsidR="002073AB" w:rsidRPr="00D938FC">
        <w:t xml:space="preserve">of their </w:t>
      </w:r>
      <w:r w:rsidRPr="00D938FC">
        <w:t>projects owned and located in the same city or town as the project to be purchased are in compliance with state and local housing codes.</w:t>
      </w:r>
      <w:r w:rsidR="002073AB" w:rsidRPr="00D938FC">
        <w:t xml:space="preserve"> (</w:t>
      </w:r>
      <w:r w:rsidRPr="00D938FC">
        <w:t>This information is being collected in accordance with Section 219 of the Consolidated Appropriations Act of 2004</w:t>
      </w:r>
      <w:r w:rsidR="002073AB" w:rsidRPr="00D938FC">
        <w:rPr>
          <w:rStyle w:val="FootnoteReference"/>
        </w:rPr>
        <w:footnoteReference w:id="1"/>
      </w:r>
      <w:r w:rsidRPr="00D938FC">
        <w:t xml:space="preserve"> and the revised regulations at 24 CFR Part 200, Subpart H.</w:t>
      </w:r>
      <w:r w:rsidR="002073AB" w:rsidRPr="00D938FC">
        <w:rPr>
          <w:rStyle w:val="FootnoteReference"/>
        </w:rPr>
        <w:footnoteReference w:id="2"/>
      </w:r>
      <w:r w:rsidRPr="00D938FC">
        <w:t xml:space="preserve">  In addition, HUD issued a proposed rule  (24 CFR Parts 200 and 290, disposition of Multifamily Housing Projects by HUD; Purchaser’s Compliance With State and Local Housing Laws and Requirements), which was announced in the Federal Register on August 5, 2005, Volume 70, No. 150, page 45492.</w:t>
      </w:r>
      <w:r w:rsidR="00091D42" w:rsidRPr="00D938FC">
        <w:rPr>
          <w:rStyle w:val="FootnoteReference"/>
        </w:rPr>
        <w:footnoteReference w:id="3"/>
      </w:r>
      <w:r w:rsidRPr="00D938FC">
        <w:t xml:space="preserve">  This proposed rule has not yet been finalized and is currently under internal review; however the proposed rule remains HUD’s policy position.</w:t>
      </w:r>
    </w:p>
    <w:p w:rsidR="004A061B" w:rsidRPr="00D938FC" w:rsidRDefault="004A061B" w:rsidP="00BB3AA9">
      <w:pPr>
        <w:pStyle w:val="ListParagraph"/>
        <w:ind w:left="360"/>
        <w:rPr>
          <w:b/>
        </w:rPr>
      </w:pPr>
    </w:p>
    <w:p w:rsidR="00065F66" w:rsidRPr="00D938FC" w:rsidRDefault="00065F66" w:rsidP="00BB3AA9">
      <w:pPr>
        <w:pStyle w:val="ListParagraph"/>
        <w:ind w:left="360"/>
      </w:pPr>
    </w:p>
    <w:p w:rsidR="00065F66" w:rsidRPr="00D938FC" w:rsidRDefault="00065F66" w:rsidP="00BB3AA9">
      <w:pPr>
        <w:pStyle w:val="ListParagraph"/>
        <w:ind w:left="360"/>
        <w:rPr>
          <w:b/>
        </w:rPr>
      </w:pPr>
      <w:r w:rsidRPr="00D938FC">
        <w:rPr>
          <w:b/>
        </w:rPr>
        <w:t>2.  Indicate how, by whom, and for what purpose the information is to be used.  Except for a new collection, indicate the actual use the agency has made of the information received from the current collection.</w:t>
      </w:r>
    </w:p>
    <w:p w:rsidR="005E36CC" w:rsidRPr="00D938FC" w:rsidRDefault="005E36CC" w:rsidP="00BB3AA9">
      <w:pPr>
        <w:pStyle w:val="ListParagraph"/>
        <w:ind w:left="360"/>
        <w:rPr>
          <w:b/>
        </w:rPr>
      </w:pPr>
    </w:p>
    <w:p w:rsidR="005E36CC" w:rsidRPr="00D938FC" w:rsidRDefault="00BB3AA9" w:rsidP="00A64B0A">
      <w:pPr>
        <w:pStyle w:val="ListParagraph"/>
        <w:ind w:left="360"/>
      </w:pPr>
      <w:r w:rsidRPr="00D938FC">
        <w:rPr>
          <w:bCs/>
        </w:rPr>
        <w:t xml:space="preserve">The respondents include potential purchasers of multifamily housing projects that are HUD-owned or secured by a HUD-held mortgage which are being foreclosed.  This collection requires potential purchasers to certify that all other properties owned by the purchaser, and located in the same city or town as the project being purchased, are in substantial compliance with applicable state or local government housing statutes, regulations, ordinances, and codes.  This collection also expands the scope of the participation and compliance requirements for HUD’s Federal Housing Administration programs to include purchasers of multifamily housing projects from state or local governments, in cases where the property had previously been acquired by the state or local government from HUD.  This information is be used by HUD staff to determine if the potential purchaser has honored its past legal and financial obligations prior to approval of the sale.  Since the last submission, HUD revised its Note Sale requirements which impacted HUD’s procedures for property disposition because it reduced the number of projects that are HUD-Held.  As a result, HUD’s current inventory </w:t>
      </w:r>
      <w:r w:rsidRPr="00D938FC">
        <w:rPr>
          <w:bCs/>
        </w:rPr>
        <w:lastRenderedPageBreak/>
        <w:t>reported for this submission is only three responses, which does not require OMB clearance.  However, HUD is unable to guarantee that the number of respondents will remain constant; therefore, this collection seeks OMB approval in the event that there is an increase in the number of responses.</w:t>
      </w:r>
    </w:p>
    <w:p w:rsidR="00BB3AA9" w:rsidRPr="00D938FC" w:rsidRDefault="00BB3AA9" w:rsidP="00BB3AA9">
      <w:pPr>
        <w:pStyle w:val="ListParagraph"/>
        <w:ind w:left="360"/>
      </w:pPr>
    </w:p>
    <w:p w:rsidR="005E36CC" w:rsidRPr="00D938FC" w:rsidRDefault="005E36CC" w:rsidP="00BB3AA9">
      <w:pPr>
        <w:pStyle w:val="ListParagraph"/>
        <w:ind w:left="360"/>
      </w:pPr>
      <w:r w:rsidRPr="00D938FC">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E36CC" w:rsidRPr="00D938FC" w:rsidRDefault="005E36CC" w:rsidP="00BB3AA9">
      <w:pPr>
        <w:pStyle w:val="ListParagraph"/>
        <w:ind w:left="360"/>
      </w:pPr>
    </w:p>
    <w:p w:rsidR="00BB3AA9" w:rsidRPr="00D938FC" w:rsidRDefault="00BB3AA9" w:rsidP="00A64B0A">
      <w:pPr>
        <w:pStyle w:val="ListParagraph"/>
        <w:ind w:left="360"/>
      </w:pPr>
      <w:r w:rsidRPr="00D938FC">
        <w:t>This information collection does not involve the use of automated electronic, mechanical, or other technological collection at this time.  A one-page form (which will take about 15 minutes or less) is required and is available on HUD’s website.  Since it takes a short amount of time to complete and a program change has reduced the number of respondents, automation is not feasible for this form because of Department funding limitations.</w:t>
      </w:r>
    </w:p>
    <w:p w:rsidR="00534729" w:rsidRPr="00D938FC" w:rsidRDefault="00534729" w:rsidP="00BB3AA9">
      <w:pPr>
        <w:pStyle w:val="ListParagraph"/>
        <w:ind w:left="360"/>
      </w:pPr>
    </w:p>
    <w:p w:rsidR="00534729" w:rsidRPr="00D938FC" w:rsidRDefault="00534729" w:rsidP="00BB3AA9">
      <w:pPr>
        <w:pStyle w:val="ListParagraph"/>
        <w:ind w:left="360"/>
      </w:pPr>
      <w:r w:rsidRPr="00D938FC">
        <w:rPr>
          <w:b/>
        </w:rPr>
        <w:t>4.  Describe efforts to identify duplication.  Show specifically why any similar information already available cannot be used or modified for use for the purposes described in Item 2 above.</w:t>
      </w:r>
    </w:p>
    <w:p w:rsidR="00534729" w:rsidRPr="00D938FC" w:rsidRDefault="00534729" w:rsidP="00BB3AA9">
      <w:pPr>
        <w:pStyle w:val="ListParagraph"/>
        <w:ind w:left="360"/>
      </w:pPr>
    </w:p>
    <w:p w:rsidR="00534729" w:rsidRPr="00D938FC" w:rsidRDefault="00BB3AA9" w:rsidP="00A64B0A">
      <w:pPr>
        <w:pStyle w:val="ListParagraph"/>
        <w:ind w:left="360"/>
      </w:pPr>
      <w:r w:rsidRPr="00D938FC">
        <w:rPr>
          <w:bCs/>
        </w:rPr>
        <w:t>There are no duplicate methods in place to collect and monitor this information.</w:t>
      </w:r>
    </w:p>
    <w:p w:rsidR="00BB3AA9" w:rsidRPr="00D938FC" w:rsidRDefault="00BB3AA9" w:rsidP="00BB3AA9">
      <w:pPr>
        <w:pStyle w:val="ListParagraph"/>
        <w:ind w:left="360"/>
      </w:pPr>
    </w:p>
    <w:p w:rsidR="00534729" w:rsidRPr="00D938FC" w:rsidRDefault="00534729" w:rsidP="00BB3AA9">
      <w:pPr>
        <w:pStyle w:val="ListParagraph"/>
        <w:ind w:left="360"/>
      </w:pPr>
      <w:r w:rsidRPr="00D938FC">
        <w:rPr>
          <w:b/>
        </w:rPr>
        <w:t xml:space="preserve">5.  If the collection of information impacts small businesses or other small entities (Item 5 of OMB form 83-I) describe any methods used </w:t>
      </w:r>
      <w:r w:rsidR="006F2968" w:rsidRPr="00D938FC">
        <w:rPr>
          <w:b/>
        </w:rPr>
        <w:t>to</w:t>
      </w:r>
      <w:r w:rsidRPr="00D938FC">
        <w:rPr>
          <w:b/>
        </w:rPr>
        <w:t xml:space="preserve"> minimize burden.</w:t>
      </w:r>
    </w:p>
    <w:p w:rsidR="00534729" w:rsidRPr="00D938FC" w:rsidRDefault="00534729" w:rsidP="00BB3AA9">
      <w:pPr>
        <w:pStyle w:val="ListParagraph"/>
        <w:ind w:left="360"/>
      </w:pPr>
    </w:p>
    <w:p w:rsidR="00BB3AA9" w:rsidRPr="00D938FC" w:rsidRDefault="00BB3AA9" w:rsidP="00A64B0A">
      <w:pPr>
        <w:pStyle w:val="ListParagraph"/>
        <w:ind w:left="360"/>
      </w:pPr>
      <w:r w:rsidRPr="00D938FC">
        <w:rPr>
          <w:bCs/>
        </w:rPr>
        <w:t>This collection may impact small businesses if involved in purchasing a HUD-owned multifamily housing project.  The collection will be reviewed during the approval period to determine if methods can be altered to minimize burden.</w:t>
      </w:r>
    </w:p>
    <w:p w:rsidR="006F2968" w:rsidRPr="00D938FC" w:rsidRDefault="006F2968" w:rsidP="00BB3AA9">
      <w:pPr>
        <w:pStyle w:val="ListParagraph"/>
        <w:ind w:left="360"/>
      </w:pPr>
    </w:p>
    <w:p w:rsidR="006F2968" w:rsidRPr="00D938FC" w:rsidRDefault="006F2968" w:rsidP="00BB3AA9">
      <w:pPr>
        <w:pStyle w:val="ListParagraph"/>
        <w:ind w:left="360"/>
        <w:rPr>
          <w:b/>
        </w:rPr>
      </w:pPr>
      <w:r w:rsidRPr="00D938FC">
        <w:rPr>
          <w:b/>
        </w:rPr>
        <w:t>6.  Describe the consequence to Federal program or policy activities if the collection is not conducted or is conducted less frequently, as well as any technical or legal obstacles to reducing burden.</w:t>
      </w:r>
    </w:p>
    <w:p w:rsidR="006F2968" w:rsidRPr="00D938FC" w:rsidRDefault="006F2968" w:rsidP="00BB3AA9">
      <w:pPr>
        <w:pStyle w:val="ListParagraph"/>
        <w:ind w:left="360"/>
        <w:rPr>
          <w:b/>
        </w:rPr>
      </w:pPr>
    </w:p>
    <w:p w:rsidR="00BB3AA9" w:rsidRPr="00D938FC" w:rsidRDefault="00BB3AA9" w:rsidP="00A64B0A">
      <w:pPr>
        <w:pStyle w:val="ListParagraph"/>
        <w:ind w:left="360"/>
        <w:rPr>
          <w:b/>
        </w:rPr>
      </w:pPr>
      <w:r w:rsidRPr="00D938FC">
        <w:t>If this information is not collected or collected less frequently, the sale transactions could violate section 203(</w:t>
      </w:r>
      <w:proofErr w:type="spellStart"/>
      <w:r w:rsidRPr="00D938FC">
        <w:t>i</w:t>
      </w:r>
      <w:proofErr w:type="spellEnd"/>
      <w:r w:rsidRPr="00D938FC">
        <w:t>) of the Housing and Community Development Act of 1978.  Specifically, Section 203(</w:t>
      </w:r>
      <w:proofErr w:type="spellStart"/>
      <w:r w:rsidRPr="00D938FC">
        <w:t>i</w:t>
      </w:r>
      <w:proofErr w:type="spellEnd"/>
      <w:r w:rsidRPr="00D938FC">
        <w:t>) of the Housing and Community Development Act of 1978 which authorizes the Secretary of HUD to manage or dispose of HUD-held multifamily housing projects and allows state and local governments the right of first refusal to purchase a multifamily housing project that is owned by the Secretary or subject to a mortgage held by the Secretary.  HUD’s regulations for the multifamily housing project disposition program are located at 24 CFR Part 290, Subpart H, which establishes HUD’s standards for approval, disapproval, or withholding of action on principals based on past performance.  In order to monitor compliance with these regulations, HUD requires certification of compliance for all projects in the locality of the project to be purchased (HUD and non-HUD related.)</w:t>
      </w:r>
    </w:p>
    <w:p w:rsidR="006F2968" w:rsidRPr="00D938FC" w:rsidRDefault="006F2968" w:rsidP="00BB3AA9">
      <w:pPr>
        <w:pStyle w:val="ListParagraph"/>
        <w:ind w:left="360"/>
      </w:pPr>
    </w:p>
    <w:p w:rsidR="006F2968" w:rsidRPr="00D938FC" w:rsidRDefault="006F2968" w:rsidP="00BB3AA9">
      <w:pPr>
        <w:pStyle w:val="ListParagraph"/>
        <w:ind w:left="360"/>
        <w:rPr>
          <w:b/>
        </w:rPr>
      </w:pPr>
      <w:r w:rsidRPr="00D938FC">
        <w:rPr>
          <w:b/>
        </w:rPr>
        <w:lastRenderedPageBreak/>
        <w:t>7.  Explain any special circumstances that would cause an information collection to be conducted in a manner:</w:t>
      </w:r>
    </w:p>
    <w:p w:rsidR="00DA062E" w:rsidRPr="00D938FC" w:rsidRDefault="00DA062E" w:rsidP="00BB3AA9">
      <w:pPr>
        <w:pStyle w:val="ListParagraph"/>
        <w:ind w:left="360"/>
      </w:pPr>
    </w:p>
    <w:p w:rsidR="00460091" w:rsidRPr="00D938FC" w:rsidRDefault="00BB3AA9" w:rsidP="00A64B0A">
      <w:pPr>
        <w:pStyle w:val="ListParagraph"/>
        <w:ind w:left="360"/>
      </w:pPr>
      <w:r w:rsidRPr="00D938FC">
        <w:t>There are no special reporting requirements.</w:t>
      </w:r>
    </w:p>
    <w:p w:rsidR="00A64B0A" w:rsidRPr="00D938FC" w:rsidRDefault="00A64B0A" w:rsidP="00BB3AA9">
      <w:pPr>
        <w:pStyle w:val="ListParagraph"/>
        <w:ind w:left="360"/>
        <w:rPr>
          <w:b/>
        </w:rPr>
      </w:pPr>
    </w:p>
    <w:p w:rsidR="00DA062E" w:rsidRPr="00D938FC" w:rsidRDefault="00DA062E" w:rsidP="00BB3AA9">
      <w:pPr>
        <w:pStyle w:val="ListParagraph"/>
        <w:ind w:left="360"/>
        <w:rPr>
          <w:b/>
        </w:rPr>
      </w:pPr>
      <w:r w:rsidRPr="00D938FC">
        <w:rPr>
          <w:b/>
        </w:rPr>
        <w:t>8.  If applicable, provide a copy and identif</w:t>
      </w:r>
      <w:r w:rsidR="00611766" w:rsidRPr="00D938FC">
        <w:rPr>
          <w:b/>
        </w:rPr>
        <w:t xml:space="preserve">y the date and page number of </w:t>
      </w:r>
      <w:r w:rsidRPr="00D938FC">
        <w:rPr>
          <w:b/>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3CB1" w:rsidRPr="00D938FC" w:rsidRDefault="00693CB1" w:rsidP="00BB3AA9">
      <w:pPr>
        <w:pStyle w:val="ListParagraph"/>
        <w:numPr>
          <w:ilvl w:val="0"/>
          <w:numId w:val="9"/>
        </w:numPr>
        <w:rPr>
          <w:b/>
        </w:rPr>
      </w:pPr>
      <w:r w:rsidRPr="00D938FC">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93CB1" w:rsidRPr="00D938FC" w:rsidRDefault="00693CB1" w:rsidP="00BB3AA9">
      <w:pPr>
        <w:pStyle w:val="ListParagraph"/>
        <w:numPr>
          <w:ilvl w:val="0"/>
          <w:numId w:val="9"/>
        </w:numPr>
        <w:rPr>
          <w:b/>
        </w:rPr>
      </w:pPr>
      <w:r w:rsidRPr="00D938FC">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70215F" w:rsidRPr="00D938FC" w:rsidRDefault="00460091" w:rsidP="00BB3AA9">
      <w:pPr>
        <w:pStyle w:val="ListParagraph"/>
        <w:ind w:left="360"/>
      </w:pPr>
      <w:r w:rsidRPr="00D938FC">
        <w:t xml:space="preserve">     </w:t>
      </w:r>
    </w:p>
    <w:p w:rsidR="00693CB1" w:rsidRPr="00D938FC" w:rsidRDefault="00BB3AA9" w:rsidP="00A64B0A">
      <w:pPr>
        <w:pStyle w:val="ListParagraph"/>
        <w:ind w:left="360"/>
      </w:pPr>
      <w:r w:rsidRPr="00D938FC">
        <w:t xml:space="preserve">This information is collected in a manner consistent with guidelines of 5 CFR 1320.6.  The Notice announcing this collection of information appeared </w:t>
      </w:r>
      <w:r w:rsidR="00C1669E">
        <w:t>in the Federal Register on Friday, April 29, 2011 (Vol.76, No. 83, page 24042) no comments were received.</w:t>
      </w:r>
    </w:p>
    <w:p w:rsidR="00BB3AA9" w:rsidRPr="00D938FC" w:rsidRDefault="00BB3AA9" w:rsidP="00BB3AA9">
      <w:pPr>
        <w:pStyle w:val="ListParagraph"/>
        <w:ind w:left="360"/>
      </w:pPr>
    </w:p>
    <w:p w:rsidR="00693CB1" w:rsidRPr="00D938FC" w:rsidRDefault="00693CB1" w:rsidP="00BB3AA9">
      <w:pPr>
        <w:pStyle w:val="ListParagraph"/>
        <w:ind w:left="360"/>
        <w:rPr>
          <w:b/>
        </w:rPr>
      </w:pPr>
      <w:r w:rsidRPr="00D938FC">
        <w:rPr>
          <w:b/>
        </w:rPr>
        <w:t>9.  Explain any decision to provide any payment or gift to respondents, other than remuneration of contractors or grantees.</w:t>
      </w:r>
    </w:p>
    <w:p w:rsidR="00693CB1" w:rsidRPr="00D938FC" w:rsidRDefault="00693CB1" w:rsidP="00A64B0A">
      <w:pPr>
        <w:pStyle w:val="ListParagraph"/>
        <w:ind w:left="0"/>
      </w:pPr>
    </w:p>
    <w:p w:rsidR="00BB3AA9" w:rsidRPr="00D938FC" w:rsidRDefault="00A64B0A" w:rsidP="00A64B0A">
      <w:pPr>
        <w:pStyle w:val="BodyTextIndent2"/>
        <w:ind w:left="0"/>
        <w:rPr>
          <w:b w:val="0"/>
          <w:bCs w:val="0"/>
          <w:sz w:val="24"/>
          <w:szCs w:val="24"/>
        </w:rPr>
      </w:pPr>
      <w:r w:rsidRPr="00D938FC">
        <w:rPr>
          <w:b w:val="0"/>
          <w:bCs w:val="0"/>
          <w:sz w:val="24"/>
          <w:szCs w:val="24"/>
        </w:rPr>
        <w:tab/>
      </w:r>
      <w:r w:rsidRPr="00D938FC">
        <w:rPr>
          <w:b w:val="0"/>
          <w:bCs w:val="0"/>
          <w:sz w:val="24"/>
          <w:szCs w:val="24"/>
        </w:rPr>
        <w:tab/>
      </w:r>
      <w:r w:rsidR="00BB3AA9" w:rsidRPr="00D938FC">
        <w:rPr>
          <w:b w:val="0"/>
          <w:bCs w:val="0"/>
          <w:sz w:val="24"/>
          <w:szCs w:val="24"/>
        </w:rPr>
        <w:t>There will be no gifts or payments to respondents.</w:t>
      </w:r>
    </w:p>
    <w:p w:rsidR="00693CB1" w:rsidRPr="00D938FC" w:rsidRDefault="00693CB1" w:rsidP="00BB3AA9">
      <w:pPr>
        <w:pStyle w:val="ListParagraph"/>
        <w:ind w:left="360"/>
      </w:pPr>
    </w:p>
    <w:p w:rsidR="00BB3AA9" w:rsidRPr="00D938FC" w:rsidRDefault="00BB3AA9" w:rsidP="00BB3AA9">
      <w:pPr>
        <w:pStyle w:val="ListParagraph"/>
        <w:ind w:left="360"/>
      </w:pPr>
    </w:p>
    <w:p w:rsidR="00693CB1" w:rsidRPr="00D938FC" w:rsidRDefault="00693CB1" w:rsidP="00BB3AA9">
      <w:pPr>
        <w:pStyle w:val="ListParagraph"/>
        <w:ind w:left="360"/>
        <w:rPr>
          <w:b/>
        </w:rPr>
      </w:pPr>
      <w:r w:rsidRPr="00D938FC">
        <w:rPr>
          <w:b/>
        </w:rPr>
        <w:t>10.  Describe any assurance of confidentiality provided to respondents and the basis for assurance in statute, regulation or agency policy.</w:t>
      </w:r>
    </w:p>
    <w:p w:rsidR="005B70E7" w:rsidRPr="00D938FC" w:rsidRDefault="005B70E7" w:rsidP="00BB3AA9">
      <w:pPr>
        <w:pStyle w:val="ListParagraph"/>
        <w:ind w:left="360"/>
        <w:rPr>
          <w:b/>
        </w:rPr>
      </w:pPr>
    </w:p>
    <w:p w:rsidR="00BB3AA9" w:rsidRPr="00D938FC" w:rsidRDefault="00BB3AA9" w:rsidP="00A64B0A">
      <w:pPr>
        <w:pStyle w:val="ListParagraph"/>
        <w:ind w:left="360"/>
      </w:pPr>
      <w:r w:rsidRPr="00D938FC">
        <w:rPr>
          <w:bCs/>
        </w:rPr>
        <w:t>The information collected is not of a confidential nature.  HUD does not assure confidentiality to respondents.</w:t>
      </w:r>
    </w:p>
    <w:p w:rsidR="005B70E7" w:rsidRPr="00D938FC" w:rsidRDefault="005B70E7" w:rsidP="00BB3AA9">
      <w:pPr>
        <w:pStyle w:val="ListParagraph"/>
        <w:ind w:left="360"/>
      </w:pPr>
    </w:p>
    <w:p w:rsidR="005B70E7" w:rsidRPr="00D938FC" w:rsidRDefault="005B70E7" w:rsidP="00BB3AA9">
      <w:pPr>
        <w:pStyle w:val="ListParagraph"/>
        <w:ind w:left="360"/>
        <w:rPr>
          <w:b/>
        </w:rPr>
      </w:pPr>
      <w:r w:rsidRPr="00D938FC">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B70E7" w:rsidRPr="00D938FC" w:rsidRDefault="005B70E7" w:rsidP="00BB3AA9">
      <w:pPr>
        <w:pStyle w:val="ListParagraph"/>
        <w:ind w:left="360"/>
        <w:rPr>
          <w:b/>
        </w:rPr>
      </w:pPr>
    </w:p>
    <w:p w:rsidR="00BB3AA9" w:rsidRPr="00D938FC" w:rsidRDefault="00BB3AA9" w:rsidP="00A64B0A">
      <w:pPr>
        <w:tabs>
          <w:tab w:val="left" w:pos="360"/>
          <w:tab w:val="left" w:pos="720"/>
        </w:tabs>
        <w:ind w:left="720" w:hanging="360"/>
      </w:pPr>
      <w:r w:rsidRPr="00D938FC">
        <w:t>There are no questions of a sensitive nature.</w:t>
      </w:r>
    </w:p>
    <w:p w:rsidR="005B70E7" w:rsidRPr="00D938FC" w:rsidRDefault="005B70E7" w:rsidP="00BB3AA9">
      <w:pPr>
        <w:pStyle w:val="ListParagraph"/>
        <w:ind w:left="360"/>
      </w:pPr>
    </w:p>
    <w:p w:rsidR="00BB3AA9" w:rsidRPr="00D938FC" w:rsidRDefault="00BB3AA9" w:rsidP="00BB3AA9">
      <w:pPr>
        <w:pStyle w:val="ListParagraph"/>
        <w:ind w:left="360"/>
      </w:pPr>
    </w:p>
    <w:p w:rsidR="005B70E7" w:rsidRPr="00D938FC" w:rsidRDefault="005B70E7" w:rsidP="00BB3AA9">
      <w:pPr>
        <w:pStyle w:val="ListParagraph"/>
        <w:ind w:left="360"/>
        <w:rPr>
          <w:b/>
        </w:rPr>
      </w:pPr>
      <w:r w:rsidRPr="00D938FC">
        <w:rPr>
          <w:b/>
        </w:rPr>
        <w:t>12.  Provide estimates of the hour burden of the collection of information.  The statement should:</w:t>
      </w:r>
    </w:p>
    <w:p w:rsidR="00684D7D" w:rsidRPr="00D938FC" w:rsidRDefault="00684D7D" w:rsidP="00BB3AA9">
      <w:pPr>
        <w:pStyle w:val="ListParagraph"/>
        <w:numPr>
          <w:ilvl w:val="0"/>
          <w:numId w:val="10"/>
        </w:numPr>
        <w:rPr>
          <w:b/>
        </w:rPr>
      </w:pPr>
      <w:r w:rsidRPr="00D938FC">
        <w:rPr>
          <w:b/>
        </w:rPr>
        <w:t>i</w:t>
      </w:r>
      <w:r w:rsidR="005B70E7" w:rsidRPr="00D938FC">
        <w:rPr>
          <w:b/>
        </w:rPr>
        <w:t>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5B70E7" w:rsidRPr="00D938FC" w:rsidRDefault="00684D7D" w:rsidP="00BB3AA9">
      <w:pPr>
        <w:pStyle w:val="ListParagraph"/>
        <w:numPr>
          <w:ilvl w:val="0"/>
          <w:numId w:val="10"/>
        </w:numPr>
        <w:rPr>
          <w:b/>
        </w:rPr>
      </w:pPr>
      <w:r w:rsidRPr="00D938FC">
        <w:rPr>
          <w:b/>
        </w:rPr>
        <w:t>if this request covers more than one form, provide separate hour burden estimates for each form and aggregate the hour burdens in Item 13 of form OMB 83-I; and</w:t>
      </w:r>
    </w:p>
    <w:p w:rsidR="00684D7D" w:rsidRPr="00D938FC" w:rsidRDefault="00684D7D" w:rsidP="00BB3AA9">
      <w:pPr>
        <w:pStyle w:val="ListParagraph"/>
        <w:numPr>
          <w:ilvl w:val="0"/>
          <w:numId w:val="10"/>
        </w:numPr>
        <w:rPr>
          <w:b/>
        </w:rPr>
      </w:pPr>
      <w:r w:rsidRPr="00D938FC">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8332A" w:rsidRPr="00D938FC" w:rsidRDefault="0058332A" w:rsidP="00BB3AA9">
      <w:pPr>
        <w:pStyle w:val="ListParagraph"/>
        <w:ind w:left="1080"/>
        <w:rPr>
          <w:b/>
        </w:rPr>
      </w:pPr>
    </w:p>
    <w:p w:rsidR="00BB3AA9" w:rsidRPr="00D938FC" w:rsidRDefault="00BB3AA9" w:rsidP="00A64B0A">
      <w:pPr>
        <w:tabs>
          <w:tab w:val="left" w:pos="360"/>
        </w:tabs>
        <w:spacing w:after="120"/>
        <w:ind w:left="720" w:hanging="360"/>
      </w:pPr>
      <w:r w:rsidRPr="00D938FC">
        <w:t>Estimates of annualized costs to Respondents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1312"/>
        <w:gridCol w:w="1394"/>
        <w:gridCol w:w="1354"/>
        <w:gridCol w:w="1209"/>
        <w:gridCol w:w="1109"/>
        <w:gridCol w:w="1207"/>
      </w:tblGrid>
      <w:tr w:rsidR="00BB3AA9" w:rsidRPr="00D938FC" w:rsidTr="00BB3AA9">
        <w:tc>
          <w:tcPr>
            <w:tcW w:w="1344" w:type="dxa"/>
            <w:vAlign w:val="center"/>
          </w:tcPr>
          <w:p w:rsidR="00BB3AA9" w:rsidRPr="00D938FC" w:rsidRDefault="00BB3AA9" w:rsidP="00BB3AA9">
            <w:pPr>
              <w:tabs>
                <w:tab w:val="left" w:pos="480"/>
              </w:tabs>
              <w:spacing w:before="40" w:after="40"/>
            </w:pPr>
            <w:r w:rsidRPr="00D938FC">
              <w:t>Estimated Number of Respondents</w:t>
            </w:r>
            <w:r w:rsidRPr="00D938FC">
              <w:rPr>
                <w:color w:val="0000FF"/>
                <w:vertAlign w:val="superscript"/>
              </w:rPr>
              <w:t>1</w:t>
            </w:r>
          </w:p>
        </w:tc>
        <w:tc>
          <w:tcPr>
            <w:tcW w:w="1324" w:type="dxa"/>
            <w:vAlign w:val="center"/>
          </w:tcPr>
          <w:p w:rsidR="00BB3AA9" w:rsidRPr="00D938FC" w:rsidRDefault="00BB3AA9" w:rsidP="00BB3AA9">
            <w:pPr>
              <w:tabs>
                <w:tab w:val="left" w:pos="480"/>
              </w:tabs>
              <w:spacing w:before="40" w:after="40"/>
            </w:pPr>
            <w:r w:rsidRPr="00D938FC">
              <w:t>Frequency of Response (per annum)</w:t>
            </w:r>
            <w:r w:rsidRPr="00D938FC">
              <w:rPr>
                <w:color w:val="0000FF"/>
                <w:vertAlign w:val="superscript"/>
              </w:rPr>
              <w:t>2</w:t>
            </w:r>
          </w:p>
        </w:tc>
        <w:tc>
          <w:tcPr>
            <w:tcW w:w="1407" w:type="dxa"/>
            <w:vAlign w:val="center"/>
          </w:tcPr>
          <w:p w:rsidR="00BB3AA9" w:rsidRPr="00D938FC" w:rsidRDefault="00BB3AA9" w:rsidP="00BB3AA9">
            <w:pPr>
              <w:tabs>
                <w:tab w:val="left" w:pos="480"/>
              </w:tabs>
              <w:spacing w:before="40" w:after="40"/>
            </w:pPr>
            <w:r w:rsidRPr="00D938FC">
              <w:t>Total Number of Responses</w:t>
            </w:r>
            <w:r w:rsidRPr="00D938FC">
              <w:rPr>
                <w:color w:val="0000FF"/>
                <w:vertAlign w:val="superscript"/>
              </w:rPr>
              <w:t>3</w:t>
            </w:r>
          </w:p>
        </w:tc>
        <w:tc>
          <w:tcPr>
            <w:tcW w:w="1387" w:type="dxa"/>
            <w:vAlign w:val="center"/>
          </w:tcPr>
          <w:p w:rsidR="00BB3AA9" w:rsidRPr="00D938FC" w:rsidRDefault="00BB3AA9" w:rsidP="00BB3AA9">
            <w:pPr>
              <w:tabs>
                <w:tab w:val="left" w:pos="480"/>
              </w:tabs>
              <w:spacing w:before="40" w:after="40"/>
            </w:pPr>
            <w:r w:rsidRPr="00D938FC">
              <w:t>Burden Hours per Response</w:t>
            </w:r>
          </w:p>
        </w:tc>
        <w:tc>
          <w:tcPr>
            <w:tcW w:w="1252" w:type="dxa"/>
            <w:vAlign w:val="center"/>
          </w:tcPr>
          <w:p w:rsidR="00BB3AA9" w:rsidRPr="00D938FC" w:rsidRDefault="00BB3AA9" w:rsidP="00BB3AA9">
            <w:pPr>
              <w:tabs>
                <w:tab w:val="left" w:pos="480"/>
              </w:tabs>
              <w:spacing w:before="40" w:after="40"/>
            </w:pPr>
            <w:r w:rsidRPr="00D938FC">
              <w:t>Total Annual Burden Hours</w:t>
            </w:r>
          </w:p>
        </w:tc>
        <w:tc>
          <w:tcPr>
            <w:tcW w:w="1144" w:type="dxa"/>
            <w:vAlign w:val="center"/>
          </w:tcPr>
          <w:p w:rsidR="00BB3AA9" w:rsidRPr="00D938FC" w:rsidRDefault="00BB3AA9" w:rsidP="00BB3AA9">
            <w:pPr>
              <w:tabs>
                <w:tab w:val="left" w:pos="480"/>
              </w:tabs>
              <w:spacing w:before="40" w:after="40"/>
            </w:pPr>
            <w:r w:rsidRPr="00D938FC">
              <w:t>Cost per Hour</w:t>
            </w:r>
            <w:r w:rsidRPr="00D938FC">
              <w:rPr>
                <w:color w:val="0000FF"/>
                <w:vertAlign w:val="superscript"/>
              </w:rPr>
              <w:t>4</w:t>
            </w:r>
          </w:p>
        </w:tc>
        <w:tc>
          <w:tcPr>
            <w:tcW w:w="1250" w:type="dxa"/>
            <w:vAlign w:val="center"/>
          </w:tcPr>
          <w:p w:rsidR="00BB3AA9" w:rsidRPr="00D938FC" w:rsidRDefault="00BB3AA9" w:rsidP="00BB3AA9">
            <w:pPr>
              <w:tabs>
                <w:tab w:val="left" w:pos="480"/>
              </w:tabs>
              <w:spacing w:before="40" w:after="40"/>
            </w:pPr>
            <w:r w:rsidRPr="00D938FC">
              <w:t>Total Annual Cost</w:t>
            </w:r>
          </w:p>
        </w:tc>
      </w:tr>
      <w:tr w:rsidR="00BB3AA9" w:rsidRPr="00D938FC" w:rsidTr="00BB3AA9">
        <w:tc>
          <w:tcPr>
            <w:tcW w:w="1344" w:type="dxa"/>
            <w:vAlign w:val="center"/>
          </w:tcPr>
          <w:p w:rsidR="00AC4211" w:rsidRPr="00D938FC" w:rsidRDefault="00711D35">
            <w:pPr>
              <w:tabs>
                <w:tab w:val="left" w:pos="480"/>
              </w:tabs>
              <w:spacing w:before="40" w:after="40"/>
            </w:pPr>
            <w:r w:rsidRPr="00D938FC">
              <w:t>25</w:t>
            </w:r>
          </w:p>
        </w:tc>
        <w:tc>
          <w:tcPr>
            <w:tcW w:w="1324" w:type="dxa"/>
            <w:vAlign w:val="center"/>
          </w:tcPr>
          <w:p w:rsidR="00BB3AA9" w:rsidRPr="00D938FC" w:rsidRDefault="00BB3AA9" w:rsidP="00BB3AA9">
            <w:pPr>
              <w:tabs>
                <w:tab w:val="left" w:pos="480"/>
              </w:tabs>
              <w:spacing w:before="40" w:after="40"/>
            </w:pPr>
            <w:r w:rsidRPr="00D938FC">
              <w:t>1</w:t>
            </w:r>
          </w:p>
        </w:tc>
        <w:tc>
          <w:tcPr>
            <w:tcW w:w="1407" w:type="dxa"/>
            <w:vAlign w:val="center"/>
          </w:tcPr>
          <w:p w:rsidR="00BB3AA9" w:rsidRPr="00D938FC" w:rsidRDefault="00711D35" w:rsidP="00BB3AA9">
            <w:pPr>
              <w:tabs>
                <w:tab w:val="left" w:pos="480"/>
              </w:tabs>
              <w:spacing w:before="40" w:after="40"/>
            </w:pPr>
            <w:r w:rsidRPr="00D938FC">
              <w:t>25</w:t>
            </w:r>
          </w:p>
        </w:tc>
        <w:tc>
          <w:tcPr>
            <w:tcW w:w="1387" w:type="dxa"/>
            <w:vAlign w:val="center"/>
          </w:tcPr>
          <w:p w:rsidR="00BB3AA9" w:rsidRPr="00D938FC" w:rsidRDefault="00BB3AA9" w:rsidP="00BB3AA9">
            <w:pPr>
              <w:tabs>
                <w:tab w:val="left" w:pos="480"/>
              </w:tabs>
              <w:spacing w:before="40" w:after="40"/>
            </w:pPr>
            <w:r w:rsidRPr="00D938FC">
              <w:t>0.25</w:t>
            </w:r>
          </w:p>
        </w:tc>
        <w:tc>
          <w:tcPr>
            <w:tcW w:w="1252" w:type="dxa"/>
            <w:vAlign w:val="center"/>
          </w:tcPr>
          <w:p w:rsidR="00AC4211" w:rsidRDefault="00711D35" w:rsidP="00AC4211">
            <w:pPr>
              <w:tabs>
                <w:tab w:val="left" w:pos="480"/>
              </w:tabs>
              <w:spacing w:before="40" w:after="40"/>
              <w:rPr>
                <w:rFonts w:ascii="Arial" w:eastAsia="Times New Roman" w:hAnsi="Arial" w:cs="Arial"/>
                <w:sz w:val="22"/>
                <w:szCs w:val="22"/>
              </w:rPr>
            </w:pPr>
            <w:r w:rsidRPr="00D938FC">
              <w:t>6</w:t>
            </w:r>
            <w:r w:rsidR="00BB3AA9" w:rsidRPr="00D938FC">
              <w:t>.</w:t>
            </w:r>
            <w:r w:rsidRPr="00D938FC">
              <w:t>2</w:t>
            </w:r>
            <w:r w:rsidR="00BB3AA9" w:rsidRPr="00D938FC">
              <w:t>5</w:t>
            </w:r>
          </w:p>
        </w:tc>
        <w:tc>
          <w:tcPr>
            <w:tcW w:w="1144" w:type="dxa"/>
            <w:vAlign w:val="center"/>
          </w:tcPr>
          <w:p w:rsidR="00BB3AA9" w:rsidRPr="00D938FC" w:rsidRDefault="00BB3AA9" w:rsidP="00BB3AA9">
            <w:pPr>
              <w:tabs>
                <w:tab w:val="left" w:pos="480"/>
              </w:tabs>
              <w:spacing w:before="40" w:after="40"/>
            </w:pPr>
            <w:r w:rsidRPr="00D938FC">
              <w:t>$15.00</w:t>
            </w:r>
          </w:p>
        </w:tc>
        <w:tc>
          <w:tcPr>
            <w:tcW w:w="1250" w:type="dxa"/>
            <w:vAlign w:val="center"/>
          </w:tcPr>
          <w:p w:rsidR="00AC4211" w:rsidRPr="00D938FC" w:rsidRDefault="00BB3AA9">
            <w:pPr>
              <w:tabs>
                <w:tab w:val="left" w:pos="480"/>
              </w:tabs>
              <w:spacing w:before="40" w:after="40"/>
            </w:pPr>
            <w:r w:rsidRPr="00D938FC">
              <w:t>$</w:t>
            </w:r>
            <w:r w:rsidR="00711D35" w:rsidRPr="00D938FC">
              <w:t>93.75</w:t>
            </w:r>
          </w:p>
        </w:tc>
      </w:tr>
    </w:tbl>
    <w:p w:rsidR="00BB3AA9" w:rsidRPr="00D938FC" w:rsidRDefault="00BB3AA9" w:rsidP="00BB3AA9">
      <w:pPr>
        <w:tabs>
          <w:tab w:val="left" w:pos="360"/>
        </w:tabs>
        <w:ind w:left="360"/>
      </w:pPr>
    </w:p>
    <w:p w:rsidR="00BB3AA9" w:rsidRPr="00D938FC" w:rsidRDefault="00AC4211" w:rsidP="00BB3AA9">
      <w:pPr>
        <w:numPr>
          <w:ilvl w:val="0"/>
          <w:numId w:val="18"/>
        </w:numPr>
        <w:tabs>
          <w:tab w:val="left" w:pos="360"/>
        </w:tabs>
        <w:overflowPunct w:val="0"/>
        <w:autoSpaceDE w:val="0"/>
        <w:autoSpaceDN w:val="0"/>
        <w:adjustRightInd w:val="0"/>
        <w:textAlignment w:val="baseline"/>
        <w:rPr>
          <w:vertAlign w:val="superscript"/>
        </w:rPr>
      </w:pPr>
      <w:r w:rsidRPr="00AC4211">
        <w:rPr>
          <w:vertAlign w:val="superscript"/>
        </w:rPr>
        <w:t xml:space="preserve">Estimated Number of Respondents (Insured Inventory) reflects the number of properties in HUD’s inventory that will only be affected if they go into foreclosure or become HUD-Held.  The possibility of receiving 14,758 respondents in one year would mean all of HUD’s insured portfolio would fail, which would be extremely rare. </w:t>
      </w:r>
    </w:p>
    <w:p w:rsidR="00BB3AA9" w:rsidRPr="00D938FC" w:rsidRDefault="00BB3AA9" w:rsidP="00BB3AA9">
      <w:pPr>
        <w:tabs>
          <w:tab w:val="left" w:pos="360"/>
        </w:tabs>
        <w:ind w:left="360"/>
        <w:rPr>
          <w:vertAlign w:val="superscript"/>
        </w:rPr>
      </w:pPr>
    </w:p>
    <w:p w:rsidR="00BB3AA9" w:rsidRPr="00D938FC" w:rsidRDefault="00AC4211" w:rsidP="00BB3AA9">
      <w:pPr>
        <w:numPr>
          <w:ilvl w:val="0"/>
          <w:numId w:val="18"/>
        </w:numPr>
        <w:tabs>
          <w:tab w:val="left" w:pos="360"/>
        </w:tabs>
        <w:overflowPunct w:val="0"/>
        <w:autoSpaceDE w:val="0"/>
        <w:autoSpaceDN w:val="0"/>
        <w:adjustRightInd w:val="0"/>
        <w:textAlignment w:val="baseline"/>
        <w:rPr>
          <w:vertAlign w:val="superscript"/>
        </w:rPr>
      </w:pPr>
      <w:r w:rsidRPr="00AC4211">
        <w:rPr>
          <w:vertAlign w:val="superscript"/>
        </w:rPr>
        <w:t xml:space="preserve">The frequency of response is based on the number of times per year the respondent is required to submit this information.  </w:t>
      </w:r>
    </w:p>
    <w:p w:rsidR="00BB3AA9" w:rsidRPr="00D938FC" w:rsidRDefault="00BB3AA9" w:rsidP="00BB3AA9">
      <w:pPr>
        <w:tabs>
          <w:tab w:val="left" w:pos="360"/>
        </w:tabs>
        <w:ind w:left="360"/>
        <w:rPr>
          <w:vertAlign w:val="superscript"/>
        </w:rPr>
      </w:pPr>
    </w:p>
    <w:p w:rsidR="00BB3AA9" w:rsidRPr="00D938FC" w:rsidRDefault="00AC4211" w:rsidP="00BB3AA9">
      <w:pPr>
        <w:numPr>
          <w:ilvl w:val="0"/>
          <w:numId w:val="18"/>
        </w:numPr>
        <w:tabs>
          <w:tab w:val="left" w:pos="360"/>
        </w:tabs>
        <w:overflowPunct w:val="0"/>
        <w:autoSpaceDE w:val="0"/>
        <w:autoSpaceDN w:val="0"/>
        <w:adjustRightInd w:val="0"/>
        <w:textAlignment w:val="baseline"/>
        <w:rPr>
          <w:vertAlign w:val="superscript"/>
        </w:rPr>
      </w:pPr>
      <w:r w:rsidRPr="00AC4211">
        <w:rPr>
          <w:vertAlign w:val="superscript"/>
        </w:rPr>
        <w:t>Estimated Number of Responses is based on the average sale of HUD-owned projects in the last fiscal year (about 3 per year). This number is based on surveying HUD’s two Property Disposition Centers (Fort Worth and Atlanta).</w:t>
      </w:r>
    </w:p>
    <w:p w:rsidR="00BB3AA9" w:rsidRPr="00D938FC" w:rsidRDefault="00AC4211" w:rsidP="00BB3AA9">
      <w:pPr>
        <w:numPr>
          <w:ilvl w:val="0"/>
          <w:numId w:val="18"/>
        </w:numPr>
        <w:tabs>
          <w:tab w:val="left" w:pos="360"/>
        </w:tabs>
        <w:overflowPunct w:val="0"/>
        <w:autoSpaceDE w:val="0"/>
        <w:autoSpaceDN w:val="0"/>
        <w:adjustRightInd w:val="0"/>
        <w:spacing w:before="120"/>
        <w:textAlignment w:val="baseline"/>
        <w:rPr>
          <w:vertAlign w:val="subscript"/>
        </w:rPr>
      </w:pPr>
      <w:r w:rsidRPr="00AC4211">
        <w:rPr>
          <w:vertAlign w:val="subscript"/>
        </w:rPr>
        <w:t>Estimated Cost to respondents is based on the respondent or respondent’s staff hourly rate to gather and list the projects on the certification form.  Cost per hour was obtained from payscale.com.</w:t>
      </w:r>
    </w:p>
    <w:tbl>
      <w:tblPr>
        <w:tblW w:w="9051" w:type="dxa"/>
        <w:tblInd w:w="93" w:type="dxa"/>
        <w:tblLayout w:type="fixed"/>
        <w:tblLook w:val="04A0"/>
      </w:tblPr>
      <w:tblGrid>
        <w:gridCol w:w="1512"/>
        <w:gridCol w:w="1254"/>
        <w:gridCol w:w="1267"/>
        <w:gridCol w:w="1236"/>
        <w:gridCol w:w="1226"/>
        <w:gridCol w:w="1170"/>
        <w:gridCol w:w="1386"/>
      </w:tblGrid>
      <w:tr w:rsidR="005E5AAC" w:rsidRPr="00D938FC" w:rsidTr="00BB3AA9">
        <w:trPr>
          <w:trHeight w:val="300"/>
        </w:trPr>
        <w:tc>
          <w:tcPr>
            <w:tcW w:w="1512" w:type="dxa"/>
            <w:tcBorders>
              <w:top w:val="nil"/>
              <w:left w:val="nil"/>
              <w:bottom w:val="nil"/>
              <w:right w:val="nil"/>
            </w:tcBorders>
            <w:shd w:val="clear" w:color="auto" w:fill="auto"/>
            <w:noWrap/>
            <w:vAlign w:val="bottom"/>
            <w:hideMark/>
          </w:tcPr>
          <w:p w:rsidR="00AC4211" w:rsidRPr="00D938FC" w:rsidRDefault="00AC4211">
            <w:pPr>
              <w:rPr>
                <w:rFonts w:eastAsia="Times New Roman"/>
                <w:b/>
                <w:bCs/>
                <w:color w:val="000000"/>
              </w:rPr>
            </w:pPr>
            <w:bookmarkStart w:id="0" w:name="BurdenCalc"/>
            <w:bookmarkEnd w:id="0"/>
          </w:p>
        </w:tc>
        <w:tc>
          <w:tcPr>
            <w:tcW w:w="1254" w:type="dxa"/>
            <w:tcBorders>
              <w:top w:val="nil"/>
              <w:left w:val="nil"/>
              <w:bottom w:val="nil"/>
              <w:right w:val="nil"/>
            </w:tcBorders>
            <w:shd w:val="clear" w:color="auto" w:fill="auto"/>
            <w:noWrap/>
            <w:vAlign w:val="bottom"/>
            <w:hideMark/>
          </w:tcPr>
          <w:p w:rsidR="005E5AAC" w:rsidRPr="00D938FC" w:rsidRDefault="005E5AAC" w:rsidP="00BB3AA9">
            <w:pPr>
              <w:rPr>
                <w:rFonts w:eastAsia="Times New Roman"/>
                <w:b/>
                <w:bCs/>
                <w:color w:val="000000"/>
              </w:rPr>
            </w:pPr>
          </w:p>
        </w:tc>
        <w:tc>
          <w:tcPr>
            <w:tcW w:w="1267" w:type="dxa"/>
            <w:tcBorders>
              <w:top w:val="nil"/>
              <w:left w:val="nil"/>
              <w:bottom w:val="nil"/>
              <w:right w:val="nil"/>
            </w:tcBorders>
            <w:shd w:val="clear" w:color="auto" w:fill="auto"/>
            <w:noWrap/>
            <w:vAlign w:val="bottom"/>
            <w:hideMark/>
          </w:tcPr>
          <w:p w:rsidR="005E5AAC" w:rsidRPr="00D938FC" w:rsidRDefault="005E5AAC" w:rsidP="00BB3AA9">
            <w:pPr>
              <w:rPr>
                <w:rFonts w:eastAsia="Times New Roman"/>
                <w:b/>
                <w:bCs/>
                <w:color w:val="000000"/>
              </w:rPr>
            </w:pPr>
          </w:p>
        </w:tc>
        <w:tc>
          <w:tcPr>
            <w:tcW w:w="1236" w:type="dxa"/>
            <w:tcBorders>
              <w:top w:val="nil"/>
              <w:left w:val="nil"/>
              <w:bottom w:val="nil"/>
              <w:right w:val="nil"/>
            </w:tcBorders>
            <w:shd w:val="clear" w:color="auto" w:fill="auto"/>
            <w:noWrap/>
            <w:vAlign w:val="bottom"/>
            <w:hideMark/>
          </w:tcPr>
          <w:p w:rsidR="005E5AAC" w:rsidRPr="00D938FC" w:rsidRDefault="005E5AAC" w:rsidP="00BB3AA9">
            <w:pPr>
              <w:rPr>
                <w:rFonts w:eastAsia="Times New Roman"/>
                <w:b/>
                <w:bCs/>
                <w:color w:val="000000"/>
              </w:rPr>
            </w:pPr>
          </w:p>
        </w:tc>
        <w:tc>
          <w:tcPr>
            <w:tcW w:w="1226" w:type="dxa"/>
            <w:tcBorders>
              <w:top w:val="nil"/>
              <w:left w:val="nil"/>
              <w:bottom w:val="nil"/>
              <w:right w:val="nil"/>
            </w:tcBorders>
            <w:shd w:val="clear" w:color="auto" w:fill="auto"/>
            <w:noWrap/>
            <w:vAlign w:val="bottom"/>
            <w:hideMark/>
          </w:tcPr>
          <w:p w:rsidR="005E5AAC" w:rsidRPr="00D938FC" w:rsidRDefault="005E5AAC" w:rsidP="00BB3AA9">
            <w:pPr>
              <w:rPr>
                <w:rFonts w:eastAsia="Times New Roman"/>
                <w:b/>
                <w:bCs/>
                <w:color w:val="000000"/>
              </w:rPr>
            </w:pPr>
          </w:p>
        </w:tc>
        <w:tc>
          <w:tcPr>
            <w:tcW w:w="1170" w:type="dxa"/>
            <w:tcBorders>
              <w:top w:val="nil"/>
              <w:left w:val="nil"/>
              <w:bottom w:val="nil"/>
              <w:right w:val="nil"/>
            </w:tcBorders>
            <w:shd w:val="clear" w:color="auto" w:fill="auto"/>
            <w:noWrap/>
            <w:vAlign w:val="bottom"/>
            <w:hideMark/>
          </w:tcPr>
          <w:p w:rsidR="005E5AAC" w:rsidRPr="00D938FC" w:rsidRDefault="005E5AAC" w:rsidP="00BB3AA9">
            <w:pPr>
              <w:rPr>
                <w:rFonts w:eastAsia="Times New Roman"/>
                <w:b/>
                <w:bCs/>
                <w:color w:val="000000"/>
              </w:rPr>
            </w:pPr>
          </w:p>
        </w:tc>
        <w:tc>
          <w:tcPr>
            <w:tcW w:w="1386" w:type="dxa"/>
            <w:tcBorders>
              <w:top w:val="nil"/>
              <w:left w:val="nil"/>
              <w:bottom w:val="nil"/>
              <w:right w:val="nil"/>
            </w:tcBorders>
            <w:shd w:val="clear" w:color="auto" w:fill="auto"/>
            <w:noWrap/>
            <w:vAlign w:val="bottom"/>
            <w:hideMark/>
          </w:tcPr>
          <w:p w:rsidR="005E5AAC" w:rsidRPr="00D938FC" w:rsidRDefault="005E5AAC" w:rsidP="00BB3AA9">
            <w:pPr>
              <w:rPr>
                <w:rFonts w:eastAsia="Times New Roman"/>
                <w:b/>
                <w:bCs/>
                <w:color w:val="000000"/>
              </w:rPr>
            </w:pPr>
          </w:p>
        </w:tc>
      </w:tr>
    </w:tbl>
    <w:p w:rsidR="00712EBB" w:rsidRPr="00D938FC" w:rsidRDefault="00712EBB" w:rsidP="00BB3AA9">
      <w:pPr>
        <w:rPr>
          <w:b/>
        </w:rPr>
      </w:pPr>
      <w:r w:rsidRPr="00D938FC">
        <w:rPr>
          <w:b/>
        </w:rPr>
        <w:t xml:space="preserve">13.  Provide an estimate of the total annual cost burden to respondents or </w:t>
      </w:r>
      <w:proofErr w:type="spellStart"/>
      <w:r w:rsidRPr="00D938FC">
        <w:rPr>
          <w:b/>
        </w:rPr>
        <w:t>recordkeepers</w:t>
      </w:r>
      <w:proofErr w:type="spellEnd"/>
      <w:r w:rsidRPr="00D938FC">
        <w:rPr>
          <w:b/>
        </w:rPr>
        <w:t xml:space="preserve"> resulting from the collection of information (do not include the cost of any hour burden shown in items 12 and 14).  </w:t>
      </w:r>
    </w:p>
    <w:p w:rsidR="00460091" w:rsidRPr="00D938FC" w:rsidRDefault="00460091" w:rsidP="00BB3AA9">
      <w:pPr>
        <w:rPr>
          <w:b/>
        </w:rPr>
      </w:pPr>
    </w:p>
    <w:p w:rsidR="00712EBB" w:rsidRPr="00D938FC" w:rsidRDefault="00712EBB" w:rsidP="00BB3AA9">
      <w:pPr>
        <w:pStyle w:val="ListParagraph"/>
        <w:numPr>
          <w:ilvl w:val="0"/>
          <w:numId w:val="12"/>
        </w:numPr>
        <w:rPr>
          <w:b/>
        </w:rPr>
      </w:pPr>
      <w:r w:rsidRPr="00D938FC">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w:t>
      </w:r>
      <w:r w:rsidR="008253B4" w:rsidRPr="00D938FC">
        <w:rPr>
          <w:b/>
        </w:rPr>
        <w:t xml:space="preserve"> such as pu</w:t>
      </w:r>
      <w:r w:rsidRPr="00D938FC">
        <w:rPr>
          <w:b/>
        </w:rPr>
        <w:t>rchasing comp</w:t>
      </w:r>
      <w:r w:rsidR="008253B4" w:rsidRPr="00D938FC">
        <w:rPr>
          <w:b/>
        </w:rPr>
        <w:t>u</w:t>
      </w:r>
      <w:r w:rsidRPr="00D938FC">
        <w:rPr>
          <w:b/>
        </w:rPr>
        <w:t>ters</w:t>
      </w:r>
      <w:r w:rsidR="008253B4" w:rsidRPr="00D938FC">
        <w:rPr>
          <w:b/>
        </w:rPr>
        <w:t xml:space="preserve"> and software; monitoring, sampling, drilling and testing equipment; and record storage facilities;</w:t>
      </w:r>
    </w:p>
    <w:p w:rsidR="00460091" w:rsidRPr="00D938FC" w:rsidRDefault="00460091" w:rsidP="00BB3AA9">
      <w:pPr>
        <w:pStyle w:val="ListParagraph"/>
        <w:rPr>
          <w:b/>
        </w:rPr>
      </w:pPr>
    </w:p>
    <w:p w:rsidR="008253B4" w:rsidRPr="00D938FC" w:rsidRDefault="008253B4" w:rsidP="00BB3AA9">
      <w:pPr>
        <w:pStyle w:val="ListParagraph"/>
        <w:numPr>
          <w:ilvl w:val="0"/>
          <w:numId w:val="12"/>
        </w:numPr>
        <w:rPr>
          <w:b/>
        </w:rPr>
      </w:pPr>
      <w:r w:rsidRPr="00D938FC">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60091" w:rsidRPr="00D938FC" w:rsidRDefault="00460091" w:rsidP="00BB3AA9">
      <w:pPr>
        <w:pStyle w:val="ListParagraph"/>
        <w:rPr>
          <w:b/>
        </w:rPr>
      </w:pPr>
    </w:p>
    <w:p w:rsidR="008253B4" w:rsidRPr="00D938FC" w:rsidRDefault="008253B4" w:rsidP="00BB3AA9">
      <w:pPr>
        <w:pStyle w:val="ListParagraph"/>
        <w:numPr>
          <w:ilvl w:val="0"/>
          <w:numId w:val="12"/>
        </w:numPr>
      </w:pPr>
      <w:r w:rsidRPr="00D938FC">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253B4" w:rsidRPr="00D938FC" w:rsidRDefault="008253B4" w:rsidP="00BB3AA9"/>
    <w:p w:rsidR="008253B4" w:rsidRPr="00D938FC" w:rsidRDefault="00BB3AA9" w:rsidP="00BB3AA9">
      <w:r w:rsidRPr="00D938FC">
        <w:t>There are no additional costs to purchasers.</w:t>
      </w:r>
    </w:p>
    <w:p w:rsidR="00A64B0A" w:rsidRPr="00D938FC" w:rsidRDefault="00A64B0A" w:rsidP="00BB3AA9">
      <w:pPr>
        <w:rPr>
          <w:b/>
        </w:rPr>
      </w:pPr>
    </w:p>
    <w:p w:rsidR="008253B4" w:rsidRPr="00D938FC" w:rsidRDefault="008253B4" w:rsidP="00BB3AA9">
      <w:pPr>
        <w:rPr>
          <w:b/>
        </w:rPr>
      </w:pPr>
      <w:r w:rsidRPr="00D938FC">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w:t>
      </w:r>
      <w:r w:rsidR="00151282" w:rsidRPr="00D938FC">
        <w:rPr>
          <w:b/>
        </w:rPr>
        <w:t>gencies also may aggregate cost estimates from Items 12, 13, and 14 in a single table.</w:t>
      </w:r>
    </w:p>
    <w:p w:rsidR="00151282" w:rsidRPr="00D938FC" w:rsidRDefault="00151282" w:rsidP="00BB3AA9">
      <w:pPr>
        <w:rPr>
          <w:b/>
        </w:rPr>
      </w:pPr>
    </w:p>
    <w:p w:rsidR="00BB3AA9" w:rsidRPr="00D938FC" w:rsidRDefault="00BB3AA9" w:rsidP="00BB3AA9">
      <w:pPr>
        <w:pStyle w:val="BodyTextIndent2"/>
        <w:spacing w:after="120"/>
        <w:rPr>
          <w:b w:val="0"/>
          <w:bCs w:val="0"/>
          <w:sz w:val="24"/>
          <w:szCs w:val="24"/>
        </w:rPr>
      </w:pPr>
      <w:r w:rsidRPr="00D938FC">
        <w:rPr>
          <w:b w:val="0"/>
          <w:bCs w:val="0"/>
          <w:sz w:val="24"/>
          <w:szCs w:val="24"/>
        </w:rPr>
        <w:t>Estimates of annualized costs to the Federal Government</w:t>
      </w:r>
    </w:p>
    <w:tbl>
      <w:tblPr>
        <w:tblW w:w="8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5"/>
        <w:gridCol w:w="1230"/>
        <w:gridCol w:w="1199"/>
        <w:gridCol w:w="1312"/>
        <w:gridCol w:w="1311"/>
        <w:gridCol w:w="1313"/>
      </w:tblGrid>
      <w:tr w:rsidR="00BB3AA9" w:rsidRPr="00D938FC" w:rsidTr="00BB3AA9">
        <w:tc>
          <w:tcPr>
            <w:tcW w:w="1680" w:type="dxa"/>
            <w:vAlign w:val="center"/>
          </w:tcPr>
          <w:p w:rsidR="00BB3AA9" w:rsidRPr="00D938FC" w:rsidRDefault="00BB3AA9" w:rsidP="00BB3AA9">
            <w:pPr>
              <w:tabs>
                <w:tab w:val="left" w:pos="480"/>
              </w:tabs>
              <w:spacing w:before="40" w:after="40"/>
            </w:pPr>
            <w:r w:rsidRPr="00D938FC">
              <w:t>Estimated Number of Respondents</w:t>
            </w:r>
          </w:p>
        </w:tc>
        <w:tc>
          <w:tcPr>
            <w:tcW w:w="1200" w:type="dxa"/>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Estimated Number of Responses</w:t>
            </w:r>
          </w:p>
        </w:tc>
        <w:tc>
          <w:tcPr>
            <w:tcW w:w="120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Staff Hours per Response</w:t>
            </w:r>
          </w:p>
        </w:tc>
        <w:tc>
          <w:tcPr>
            <w:tcW w:w="132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Total Annual Burden Hours</w:t>
            </w:r>
          </w:p>
        </w:tc>
        <w:tc>
          <w:tcPr>
            <w:tcW w:w="132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*Cost per Hour</w:t>
            </w:r>
          </w:p>
        </w:tc>
        <w:tc>
          <w:tcPr>
            <w:tcW w:w="132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Total Annual Costs</w:t>
            </w:r>
          </w:p>
        </w:tc>
      </w:tr>
      <w:tr w:rsidR="00BB3AA9" w:rsidRPr="00D938FC" w:rsidTr="00BB3AA9">
        <w:tc>
          <w:tcPr>
            <w:tcW w:w="1680" w:type="dxa"/>
            <w:vAlign w:val="center"/>
          </w:tcPr>
          <w:p w:rsidR="00BB3AA9" w:rsidRPr="00D938FC" w:rsidRDefault="00711D35" w:rsidP="00BB3AA9">
            <w:pPr>
              <w:tabs>
                <w:tab w:val="left" w:pos="480"/>
              </w:tabs>
              <w:spacing w:before="40" w:after="40"/>
            </w:pPr>
            <w:r w:rsidRPr="00D938FC">
              <w:t>25</w:t>
            </w:r>
          </w:p>
        </w:tc>
        <w:tc>
          <w:tcPr>
            <w:tcW w:w="1200" w:type="dxa"/>
          </w:tcPr>
          <w:p w:rsidR="00BB3AA9" w:rsidRPr="00D938FC" w:rsidRDefault="00711D35" w:rsidP="00BB3AA9">
            <w:pPr>
              <w:pStyle w:val="BodyTextIndent2"/>
              <w:spacing w:before="40" w:after="40"/>
              <w:ind w:left="0" w:firstLine="0"/>
              <w:rPr>
                <w:b w:val="0"/>
                <w:bCs w:val="0"/>
                <w:sz w:val="24"/>
                <w:szCs w:val="24"/>
              </w:rPr>
            </w:pPr>
            <w:r w:rsidRPr="00D938FC">
              <w:rPr>
                <w:b w:val="0"/>
                <w:bCs w:val="0"/>
                <w:sz w:val="24"/>
                <w:szCs w:val="24"/>
              </w:rPr>
              <w:t>25</w:t>
            </w:r>
          </w:p>
        </w:tc>
        <w:tc>
          <w:tcPr>
            <w:tcW w:w="120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.50</w:t>
            </w:r>
          </w:p>
        </w:tc>
        <w:tc>
          <w:tcPr>
            <w:tcW w:w="132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1</w:t>
            </w:r>
            <w:r w:rsidR="00711D35" w:rsidRPr="00D938FC">
              <w:rPr>
                <w:b w:val="0"/>
                <w:bCs w:val="0"/>
                <w:sz w:val="24"/>
                <w:szCs w:val="24"/>
              </w:rPr>
              <w:t>2</w:t>
            </w:r>
            <w:r w:rsidRPr="00D938FC">
              <w:rPr>
                <w:b w:val="0"/>
                <w:bCs w:val="0"/>
                <w:sz w:val="24"/>
                <w:szCs w:val="24"/>
              </w:rPr>
              <w:t>.5</w:t>
            </w:r>
          </w:p>
        </w:tc>
        <w:tc>
          <w:tcPr>
            <w:tcW w:w="132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$28.00</w:t>
            </w:r>
          </w:p>
        </w:tc>
        <w:tc>
          <w:tcPr>
            <w:tcW w:w="1320" w:type="dxa"/>
            <w:vAlign w:val="center"/>
          </w:tcPr>
          <w:p w:rsidR="00BB3AA9" w:rsidRPr="00D938FC" w:rsidRDefault="00BB3AA9" w:rsidP="00BB3AA9">
            <w:pPr>
              <w:pStyle w:val="BodyTextIndent2"/>
              <w:spacing w:before="40" w:after="40"/>
              <w:ind w:left="0" w:firstLine="0"/>
              <w:rPr>
                <w:b w:val="0"/>
                <w:bCs w:val="0"/>
                <w:sz w:val="24"/>
                <w:szCs w:val="24"/>
              </w:rPr>
            </w:pPr>
            <w:r w:rsidRPr="00D938FC">
              <w:rPr>
                <w:b w:val="0"/>
                <w:bCs w:val="0"/>
                <w:sz w:val="24"/>
                <w:szCs w:val="24"/>
              </w:rPr>
              <w:t>$</w:t>
            </w:r>
            <w:r w:rsidR="00711D35" w:rsidRPr="00D938FC">
              <w:rPr>
                <w:b w:val="0"/>
                <w:bCs w:val="0"/>
                <w:sz w:val="24"/>
                <w:szCs w:val="24"/>
              </w:rPr>
              <w:t>350</w:t>
            </w:r>
            <w:r w:rsidRPr="00D938FC">
              <w:rPr>
                <w:b w:val="0"/>
                <w:bCs w:val="0"/>
                <w:sz w:val="24"/>
                <w:szCs w:val="24"/>
              </w:rPr>
              <w:t>.00</w:t>
            </w:r>
          </w:p>
        </w:tc>
      </w:tr>
    </w:tbl>
    <w:p w:rsidR="00BB3AA9" w:rsidRPr="00D938FC" w:rsidRDefault="00BB3AA9" w:rsidP="00BB3AA9">
      <w:pPr>
        <w:tabs>
          <w:tab w:val="left" w:pos="360"/>
          <w:tab w:val="left" w:pos="720"/>
        </w:tabs>
        <w:spacing w:before="120"/>
        <w:ind w:left="360"/>
        <w:rPr>
          <w:vertAlign w:val="subscript"/>
        </w:rPr>
      </w:pPr>
      <w:r w:rsidRPr="00D938FC">
        <w:rPr>
          <w:vertAlign w:val="subscript"/>
        </w:rPr>
        <w:t>*Estimated cost per hour for HUD Staff (GS-12) to review and confirm the information submitted by the potential purchaser.  Cost per hour obtained from Office of Personnel Management general service hourly wage chart for GS-12, Step 1.</w:t>
      </w:r>
    </w:p>
    <w:p w:rsidR="00BB3AA9" w:rsidRPr="00D938FC" w:rsidRDefault="00BB3AA9" w:rsidP="00BB3AA9"/>
    <w:p w:rsidR="00BB3AA9" w:rsidRPr="00D938FC" w:rsidRDefault="00BB3AA9" w:rsidP="00BB3AA9"/>
    <w:p w:rsidR="00AB53D3" w:rsidRPr="00D938FC" w:rsidRDefault="00AB53D3" w:rsidP="00BB3AA9">
      <w:r w:rsidRPr="00D938FC">
        <w:rPr>
          <w:b/>
        </w:rPr>
        <w:t>15.  Explain the reasons of any program changes or adjustments reported in Items 13 and 14 of the OMB form 83-I.</w:t>
      </w:r>
    </w:p>
    <w:p w:rsidR="00AB53D3" w:rsidRPr="00D938FC" w:rsidRDefault="00AB53D3" w:rsidP="00BB3AA9"/>
    <w:p w:rsidR="00BB3AA9" w:rsidRPr="00D938FC" w:rsidRDefault="00110C7F" w:rsidP="00A64B0A">
      <w:r>
        <w:t xml:space="preserve">This is </w:t>
      </w:r>
      <w:r w:rsidR="000B1A61">
        <w:t>a revision of a currently approved collection</w:t>
      </w:r>
      <w:r>
        <w:t xml:space="preserve">.  </w:t>
      </w:r>
      <w:r w:rsidR="000B1A61">
        <w:t xml:space="preserve">The </w:t>
      </w:r>
      <w:r w:rsidR="00BB3AA9" w:rsidRPr="00D938FC">
        <w:t>reduction in the number of res</w:t>
      </w:r>
      <w:r w:rsidR="00A64B0A" w:rsidRPr="00D938FC">
        <w:t xml:space="preserve">pondents results from a program </w:t>
      </w:r>
      <w:r w:rsidR="00BB3AA9" w:rsidRPr="00D938FC">
        <w:t>change.  HUD no longer holds projects after foreclosure longer than a day or so; therefore, the HUD-owned inventory drastically decreased since the last submission.</w:t>
      </w:r>
      <w:r w:rsidR="000B1A61">
        <w:t xml:space="preserve">  Although there was a reduction in respondents we received more participation which accounts for the increase in annual responses and hours.  </w:t>
      </w:r>
      <w:r w:rsidR="00BB3AA9" w:rsidRPr="00D938FC">
        <w:t xml:space="preserve">  </w:t>
      </w:r>
    </w:p>
    <w:p w:rsidR="00BB3AA9" w:rsidRPr="00D938FC" w:rsidRDefault="00BB3AA9" w:rsidP="00BB3AA9">
      <w:pPr>
        <w:tabs>
          <w:tab w:val="left" w:pos="360"/>
        </w:tabs>
        <w:ind w:left="360" w:hanging="360"/>
      </w:pPr>
    </w:p>
    <w:p w:rsidR="00AB53D3" w:rsidRPr="00D938FC" w:rsidRDefault="00AB53D3" w:rsidP="00BB3AA9"/>
    <w:p w:rsidR="00AB53D3" w:rsidRPr="00D938FC" w:rsidRDefault="00AB53D3" w:rsidP="00BB3AA9">
      <w:pPr>
        <w:rPr>
          <w:b/>
        </w:rPr>
      </w:pPr>
      <w:r w:rsidRPr="00D938FC">
        <w:rPr>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53D3" w:rsidRPr="00D938FC" w:rsidRDefault="00AB53D3" w:rsidP="00BB3AA9">
      <w:pPr>
        <w:rPr>
          <w:b/>
        </w:rPr>
      </w:pPr>
    </w:p>
    <w:p w:rsidR="00AB53D3" w:rsidRPr="00D938FC" w:rsidRDefault="00BB3AA9" w:rsidP="00BB3AA9">
      <w:r w:rsidRPr="00D938FC">
        <w:t>The results of this collection will not be published.</w:t>
      </w:r>
    </w:p>
    <w:p w:rsidR="00BB3AA9" w:rsidRPr="00D938FC" w:rsidRDefault="00BB3AA9" w:rsidP="00BB3AA9"/>
    <w:p w:rsidR="00AB53D3" w:rsidRPr="00D938FC" w:rsidRDefault="00AB53D3" w:rsidP="00BB3AA9">
      <w:pPr>
        <w:rPr>
          <w:b/>
        </w:rPr>
      </w:pPr>
      <w:r w:rsidRPr="00D938FC">
        <w:rPr>
          <w:b/>
        </w:rPr>
        <w:t>17.  If seeking approval to not display the expiration date for OMB approval of the information collection, explain the reasons that display would be inappropriate.</w:t>
      </w:r>
    </w:p>
    <w:p w:rsidR="00AB53D3" w:rsidRPr="00D938FC" w:rsidRDefault="00AB53D3" w:rsidP="00BB3AA9">
      <w:pPr>
        <w:rPr>
          <w:b/>
        </w:rPr>
      </w:pPr>
    </w:p>
    <w:p w:rsidR="00AB53D3" w:rsidRPr="00D938FC" w:rsidRDefault="00BB3AA9" w:rsidP="00BB3AA9">
      <w:r w:rsidRPr="00D938FC">
        <w:rPr>
          <w:bCs/>
        </w:rPr>
        <w:t>HUD is not seeking approval not to display the expiration date for this information collection.</w:t>
      </w:r>
    </w:p>
    <w:p w:rsidR="00BB3AA9" w:rsidRPr="00D938FC" w:rsidRDefault="00BB3AA9" w:rsidP="00BB3AA9">
      <w:pPr>
        <w:rPr>
          <w:b/>
        </w:rPr>
      </w:pPr>
    </w:p>
    <w:p w:rsidR="00AB53D3" w:rsidRPr="00D938FC" w:rsidRDefault="00AB53D3" w:rsidP="00BB3AA9">
      <w:pPr>
        <w:rPr>
          <w:b/>
        </w:rPr>
      </w:pPr>
      <w:r w:rsidRPr="00D938FC">
        <w:rPr>
          <w:b/>
        </w:rPr>
        <w:t>18.  Explain each exception to the certification statement identified in item 19.</w:t>
      </w:r>
    </w:p>
    <w:p w:rsidR="00A64B0A" w:rsidRPr="00D938FC" w:rsidRDefault="00A64B0A" w:rsidP="00BB3AA9"/>
    <w:p w:rsidR="00AB53D3" w:rsidRPr="00D938FC" w:rsidRDefault="00BB3AA9" w:rsidP="00BB3AA9">
      <w:r w:rsidRPr="00D938FC">
        <w:t>There are no exceptions to the Certification Statement identified in item 19.</w:t>
      </w:r>
    </w:p>
    <w:sectPr w:rsidR="00AB53D3" w:rsidRPr="00D938FC" w:rsidSect="005074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3AB" w:rsidRDefault="002073AB" w:rsidP="002073AB">
      <w:r>
        <w:separator/>
      </w:r>
    </w:p>
  </w:endnote>
  <w:endnote w:type="continuationSeparator" w:id="0">
    <w:p w:rsidR="002073AB" w:rsidRDefault="002073AB" w:rsidP="00207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3AB" w:rsidRDefault="002073AB" w:rsidP="002073AB">
      <w:r>
        <w:separator/>
      </w:r>
    </w:p>
  </w:footnote>
  <w:footnote w:type="continuationSeparator" w:id="0">
    <w:p w:rsidR="002073AB" w:rsidRDefault="002073AB" w:rsidP="002073AB">
      <w:r>
        <w:continuationSeparator/>
      </w:r>
    </w:p>
  </w:footnote>
  <w:footnote w:id="1">
    <w:p w:rsidR="002073AB" w:rsidRDefault="002073AB">
      <w:pPr>
        <w:pStyle w:val="FootnoteText"/>
      </w:pPr>
      <w:r>
        <w:rPr>
          <w:rStyle w:val="FootnoteReference"/>
        </w:rPr>
        <w:footnoteRef/>
      </w:r>
      <w:r>
        <w:t xml:space="preserve"> </w:t>
      </w:r>
      <w:hyperlink r:id="rId1" w:history="1">
        <w:r w:rsidRPr="009E4297">
          <w:rPr>
            <w:rStyle w:val="Hyperlink"/>
          </w:rPr>
          <w:t>http://frwebgate.access.gpo.gov/cgi-bin/getdoc.cgi?dbname=108_cong_public_laws&amp;docid=f:publ199.108.pdf</w:t>
        </w:r>
      </w:hyperlink>
      <w:r>
        <w:t xml:space="preserve"> </w:t>
      </w:r>
    </w:p>
  </w:footnote>
  <w:footnote w:id="2">
    <w:p w:rsidR="002073AB" w:rsidRDefault="002073AB">
      <w:pPr>
        <w:pStyle w:val="FootnoteText"/>
      </w:pPr>
      <w:r>
        <w:rPr>
          <w:rStyle w:val="FootnoteReference"/>
        </w:rPr>
        <w:footnoteRef/>
      </w:r>
      <w:r>
        <w:t xml:space="preserve"> </w:t>
      </w:r>
      <w:hyperlink r:id="rId2" w:anchor="24:2.1.1.1.1.7" w:history="1">
        <w:r w:rsidRPr="009E4297">
          <w:rPr>
            <w:rStyle w:val="Hyperlink"/>
          </w:rPr>
          <w:t>http://ecfr.gpoaccess.gov/cgi/t/text/text-idx?c=ecfr&amp;sid=9ba49513f6365a64f0ab15e294733f1f&amp;rgn=div5&amp;view=text&amp;node=24:2.1.1.1.1&amp;idno=24#24:2.1.1.1.1.7</w:t>
        </w:r>
      </w:hyperlink>
      <w:r>
        <w:t xml:space="preserve"> </w:t>
      </w:r>
    </w:p>
  </w:footnote>
  <w:footnote w:id="3">
    <w:p w:rsidR="00091D42" w:rsidRDefault="00091D42">
      <w:pPr>
        <w:pStyle w:val="FootnoteText"/>
      </w:pPr>
      <w:r>
        <w:rPr>
          <w:rStyle w:val="FootnoteReference"/>
        </w:rPr>
        <w:footnoteRef/>
      </w:r>
      <w:r>
        <w:t xml:space="preserve"> </w:t>
      </w:r>
      <w:hyperlink r:id="rId3" w:history="1">
        <w:r w:rsidRPr="009E4297">
          <w:rPr>
            <w:rStyle w:val="Hyperlink"/>
          </w:rPr>
          <w:t>http://www.gpo.gov/fdsys/pkg/FR-2005-08-05/html/05-15472.htm</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53F3E"/>
    <w:multiLevelType w:val="multilevel"/>
    <w:tmpl w:val="3DF65D14"/>
    <w:lvl w:ilvl="0">
      <w:start w:val="1"/>
      <w:numFmt w:val="decimal"/>
      <w:pStyle w:val="HBX1"/>
      <w:lvlText w:val="13-%1."/>
      <w:lvlJc w:val="left"/>
      <w:pPr>
        <w:ind w:left="360" w:hanging="360"/>
      </w:pPr>
      <w:rPr>
        <w:rFonts w:ascii="Arial" w:hAnsi="Arial" w:hint="default"/>
        <w:b/>
        <w:i w:val="0"/>
        <w:caps w:val="0"/>
        <w:strike w:val="0"/>
        <w:dstrike w:val="0"/>
        <w:outline/>
        <w:shadow w:val="0"/>
        <w:emboss w:val="0"/>
        <w:imprint w:val="0"/>
        <w:vanish w:val="0"/>
        <w:sz w:val="28"/>
        <w:vertAlign w:val="baseline"/>
      </w:rPr>
    </w:lvl>
    <w:lvl w:ilvl="1">
      <w:start w:val="1"/>
      <w:numFmt w:val="upperLetter"/>
      <w:lvlText w:val="%2."/>
      <w:lvlJc w:val="left"/>
      <w:pPr>
        <w:tabs>
          <w:tab w:val="num" w:pos="900"/>
        </w:tabs>
        <w:ind w:left="1260" w:hanging="360"/>
      </w:pPr>
      <w:rPr>
        <w:rFonts w:hint="default"/>
      </w:rPr>
    </w:lvl>
    <w:lvl w:ilvl="2">
      <w:start w:val="1"/>
      <w:numFmt w:val="decimal"/>
      <w:lvlText w:val="%3)"/>
      <w:lvlJc w:val="left"/>
      <w:pPr>
        <w:tabs>
          <w:tab w:val="num" w:pos="1080"/>
        </w:tabs>
        <w:ind w:left="1800" w:hanging="360"/>
      </w:pPr>
      <w:rPr>
        <w:rFonts w:hint="default"/>
      </w:rPr>
    </w:lvl>
    <w:lvl w:ilvl="3">
      <w:start w:val="1"/>
      <w:numFmt w:val="lowerLetter"/>
      <w:lvlText w:val="%4)"/>
      <w:lvlJc w:val="right"/>
      <w:pPr>
        <w:tabs>
          <w:tab w:val="num" w:pos="720"/>
        </w:tabs>
        <w:ind w:left="2160" w:hanging="360"/>
      </w:pPr>
      <w:rPr>
        <w:rFonts w:hint="default"/>
      </w:rPr>
    </w:lvl>
    <w:lvl w:ilvl="4">
      <w:start w:val="1"/>
      <w:numFmt w:val="lowerRoman"/>
      <w:lvlText w:val="%5)"/>
      <w:lvlJc w:val="left"/>
      <w:pPr>
        <w:tabs>
          <w:tab w:val="num" w:pos="-720"/>
        </w:tabs>
        <w:ind w:left="720" w:hanging="360"/>
      </w:pPr>
      <w:rPr>
        <w:rFonts w:hint="default"/>
      </w:rPr>
    </w:lvl>
    <w:lvl w:ilvl="5">
      <w:start w:val="1"/>
      <w:numFmt w:val="lowerLetter"/>
      <w:lvlText w:val="%6)"/>
      <w:lvlJc w:val="left"/>
      <w:pPr>
        <w:tabs>
          <w:tab w:val="num" w:pos="2952"/>
        </w:tabs>
        <w:ind w:left="2952" w:hanging="432"/>
      </w:pPr>
      <w:rPr>
        <w:rFonts w:hint="default"/>
      </w:rPr>
    </w:lvl>
    <w:lvl w:ilvl="6">
      <w:start w:val="1"/>
      <w:numFmt w:val="lowerRoman"/>
      <w:lvlText w:val="%7)"/>
      <w:lvlJc w:val="right"/>
      <w:pPr>
        <w:tabs>
          <w:tab w:val="num" w:pos="3096"/>
        </w:tabs>
        <w:ind w:left="3096" w:hanging="288"/>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3">
    <w:nsid w:val="210161C9"/>
    <w:multiLevelType w:val="multilevel"/>
    <w:tmpl w:val="9FA8A1B0"/>
    <w:lvl w:ilvl="0">
      <w:start w:val="1"/>
      <w:numFmt w:val="upperLetter"/>
      <w:lvlText w:val="%1."/>
      <w:lvlJc w:val="left"/>
      <w:pPr>
        <w:ind w:left="720" w:hanging="360"/>
      </w:pPr>
      <w:rPr>
        <w:rFonts w:hint="default"/>
      </w:rPr>
    </w:lvl>
    <w:lvl w:ilvl="1">
      <w:start w:val="1"/>
      <w:numFmt w:val="upperLetter"/>
      <w:lvlText w:val="%2."/>
      <w:lvlJc w:val="left"/>
      <w:pPr>
        <w:tabs>
          <w:tab w:val="num" w:pos="360"/>
        </w:tabs>
        <w:ind w:left="720" w:hanging="360"/>
      </w:pPr>
      <w:rPr>
        <w:rFonts w:hint="default"/>
      </w:rPr>
    </w:lvl>
    <w:lvl w:ilvl="2">
      <w:start w:val="1"/>
      <w:numFmt w:val="upperLetter"/>
      <w:pStyle w:val="HBAOutline"/>
      <w:lvlText w:val="%3."/>
      <w:lvlJc w:val="left"/>
      <w:pPr>
        <w:tabs>
          <w:tab w:val="num" w:pos="360"/>
        </w:tabs>
        <w:ind w:left="1440" w:hanging="360"/>
      </w:pPr>
      <w:rPr>
        <w:rFonts w:hint="default"/>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756A30"/>
    <w:multiLevelType w:val="hybridMultilevel"/>
    <w:tmpl w:val="F580B568"/>
    <w:lvl w:ilvl="0" w:tplc="CDCE098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C71B58"/>
    <w:multiLevelType w:val="hybridMultilevel"/>
    <w:tmpl w:val="FFC029FC"/>
    <w:lvl w:ilvl="0" w:tplc="76448F0E">
      <w:start w:val="1"/>
      <w:numFmt w:val="lowerLetter"/>
      <w:pStyle w:val="HBaOutline0"/>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A96838"/>
    <w:multiLevelType w:val="hybridMultilevel"/>
    <w:tmpl w:val="FFE20490"/>
    <w:lvl w:ilvl="0" w:tplc="8F260C20">
      <w:start w:val="1"/>
      <w:numFmt w:val="lowerRoman"/>
      <w:pStyle w:val="HBiOutline"/>
      <w:lvlText w:val="%1)"/>
      <w:lvlJc w:val="left"/>
      <w:pPr>
        <w:ind w:left="216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D82DE2"/>
    <w:multiLevelType w:val="hybridMultilevel"/>
    <w:tmpl w:val="1B3E57D8"/>
    <w:lvl w:ilvl="0" w:tplc="6A6665A8">
      <w:start w:val="1"/>
      <w:numFmt w:val="decimal"/>
      <w:pStyle w:val="HB1Outline"/>
      <w:lvlText w:val="%1)"/>
      <w:lvlJc w:val="left"/>
      <w:pPr>
        <w:ind w:left="1260" w:hanging="360"/>
      </w:pPr>
      <w:rPr>
        <w:rFonts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E4F4B65"/>
    <w:multiLevelType w:val="singleLevel"/>
    <w:tmpl w:val="159E9B36"/>
    <w:lvl w:ilvl="0">
      <w:start w:val="1"/>
      <w:numFmt w:val="bullet"/>
      <w:pStyle w:val="Tablebullet"/>
      <w:lvlText w:val=""/>
      <w:lvlJc w:val="left"/>
      <w:pPr>
        <w:tabs>
          <w:tab w:val="num" w:pos="360"/>
        </w:tabs>
        <w:ind w:left="360" w:hanging="360"/>
      </w:pPr>
      <w:rPr>
        <w:rFonts w:ascii="Symbol" w:hAnsi="Symbol" w:hint="default"/>
      </w:rPr>
    </w:lvl>
  </w:abstractNum>
  <w:abstractNum w:abstractNumId="11">
    <w:nsid w:val="60C10BE8"/>
    <w:multiLevelType w:val="hybridMultilevel"/>
    <w:tmpl w:val="3F26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347D1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81646E4"/>
    <w:multiLevelType w:val="hybridMultilevel"/>
    <w:tmpl w:val="C2327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12"/>
  </w:num>
  <w:num w:numId="2">
    <w:abstractNumId w:val="10"/>
  </w:num>
  <w:num w:numId="3">
    <w:abstractNumId w:val="8"/>
  </w:num>
  <w:num w:numId="4">
    <w:abstractNumId w:val="2"/>
  </w:num>
  <w:num w:numId="5">
    <w:abstractNumId w:val="3"/>
  </w:num>
  <w:num w:numId="6">
    <w:abstractNumId w:val="9"/>
  </w:num>
  <w:num w:numId="7">
    <w:abstractNumId w:val="7"/>
  </w:num>
  <w:num w:numId="8">
    <w:abstractNumId w:val="14"/>
  </w:num>
  <w:num w:numId="9">
    <w:abstractNumId w:val="6"/>
  </w:num>
  <w:num w:numId="10">
    <w:abstractNumId w:val="4"/>
  </w:num>
  <w:num w:numId="11">
    <w:abstractNumId w:val="11"/>
  </w:num>
  <w:num w:numId="12">
    <w:abstractNumId w:val="1"/>
  </w:num>
  <w:num w:numId="13">
    <w:abstractNumId w:val="0"/>
  </w:num>
  <w:num w:numId="14">
    <w:abstractNumId w:val="16"/>
  </w:num>
  <w:num w:numId="15">
    <w:abstractNumId w:val="13"/>
  </w:num>
  <w:num w:numId="1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15"/>
  </w:num>
  <w:num w:numId="18">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4A061B"/>
    <w:rsid w:val="00001A47"/>
    <w:rsid w:val="0002192F"/>
    <w:rsid w:val="00041169"/>
    <w:rsid w:val="00044B18"/>
    <w:rsid w:val="0004578E"/>
    <w:rsid w:val="00065F66"/>
    <w:rsid w:val="00080D2F"/>
    <w:rsid w:val="00091D42"/>
    <w:rsid w:val="000B1A61"/>
    <w:rsid w:val="00110C7F"/>
    <w:rsid w:val="00124A3C"/>
    <w:rsid w:val="001325C9"/>
    <w:rsid w:val="00151282"/>
    <w:rsid w:val="00196F19"/>
    <w:rsid w:val="001A1D5C"/>
    <w:rsid w:val="001C5D7D"/>
    <w:rsid w:val="002073AB"/>
    <w:rsid w:val="0021397A"/>
    <w:rsid w:val="00255E05"/>
    <w:rsid w:val="002978F9"/>
    <w:rsid w:val="002D0734"/>
    <w:rsid w:val="00320791"/>
    <w:rsid w:val="003A138B"/>
    <w:rsid w:val="003A1673"/>
    <w:rsid w:val="003B5EB1"/>
    <w:rsid w:val="003B7B1A"/>
    <w:rsid w:val="003C41D0"/>
    <w:rsid w:val="003D5E50"/>
    <w:rsid w:val="003E0FD1"/>
    <w:rsid w:val="0041398B"/>
    <w:rsid w:val="00452E2B"/>
    <w:rsid w:val="00460091"/>
    <w:rsid w:val="00481D97"/>
    <w:rsid w:val="004A061B"/>
    <w:rsid w:val="004B51CA"/>
    <w:rsid w:val="004D5CF3"/>
    <w:rsid w:val="004E45D3"/>
    <w:rsid w:val="005074D2"/>
    <w:rsid w:val="00515E97"/>
    <w:rsid w:val="00534729"/>
    <w:rsid w:val="0057314C"/>
    <w:rsid w:val="0058332A"/>
    <w:rsid w:val="005B70E7"/>
    <w:rsid w:val="005C5CE0"/>
    <w:rsid w:val="005E36CC"/>
    <w:rsid w:val="005E5AAC"/>
    <w:rsid w:val="00605659"/>
    <w:rsid w:val="00611766"/>
    <w:rsid w:val="0062174F"/>
    <w:rsid w:val="00634F1A"/>
    <w:rsid w:val="00641A03"/>
    <w:rsid w:val="00684D7D"/>
    <w:rsid w:val="00693CB1"/>
    <w:rsid w:val="006A26CF"/>
    <w:rsid w:val="006C7D50"/>
    <w:rsid w:val="006F2968"/>
    <w:rsid w:val="0070215F"/>
    <w:rsid w:val="00711D35"/>
    <w:rsid w:val="00712EBB"/>
    <w:rsid w:val="00792006"/>
    <w:rsid w:val="00803F52"/>
    <w:rsid w:val="00821B9B"/>
    <w:rsid w:val="008253B4"/>
    <w:rsid w:val="008504E2"/>
    <w:rsid w:val="0085694E"/>
    <w:rsid w:val="00896B7D"/>
    <w:rsid w:val="00905777"/>
    <w:rsid w:val="009254DE"/>
    <w:rsid w:val="00935929"/>
    <w:rsid w:val="00976A7F"/>
    <w:rsid w:val="00982DB1"/>
    <w:rsid w:val="009956C9"/>
    <w:rsid w:val="00A303A7"/>
    <w:rsid w:val="00A64B0A"/>
    <w:rsid w:val="00A7661E"/>
    <w:rsid w:val="00AB133A"/>
    <w:rsid w:val="00AB53D3"/>
    <w:rsid w:val="00AC4211"/>
    <w:rsid w:val="00AC71A5"/>
    <w:rsid w:val="00B30014"/>
    <w:rsid w:val="00BB3AA9"/>
    <w:rsid w:val="00BC3B31"/>
    <w:rsid w:val="00C103AF"/>
    <w:rsid w:val="00C12C9D"/>
    <w:rsid w:val="00C14D1F"/>
    <w:rsid w:val="00C1669E"/>
    <w:rsid w:val="00C37E6C"/>
    <w:rsid w:val="00CC3163"/>
    <w:rsid w:val="00D0370C"/>
    <w:rsid w:val="00D07670"/>
    <w:rsid w:val="00D1368E"/>
    <w:rsid w:val="00D25016"/>
    <w:rsid w:val="00D2591F"/>
    <w:rsid w:val="00D64021"/>
    <w:rsid w:val="00D91BD0"/>
    <w:rsid w:val="00D938FC"/>
    <w:rsid w:val="00D95479"/>
    <w:rsid w:val="00DA062E"/>
    <w:rsid w:val="00DB0F73"/>
    <w:rsid w:val="00DE6D6E"/>
    <w:rsid w:val="00DE7532"/>
    <w:rsid w:val="00DF01CD"/>
    <w:rsid w:val="00E04092"/>
    <w:rsid w:val="00E7459C"/>
    <w:rsid w:val="00E82477"/>
    <w:rsid w:val="00EC7C7B"/>
    <w:rsid w:val="00ED2E7E"/>
    <w:rsid w:val="00F75907"/>
    <w:rsid w:val="00FC4115"/>
    <w:rsid w:val="00FE2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73"/>
    <w:rPr>
      <w:sz w:val="24"/>
      <w:szCs w:val="24"/>
    </w:rPr>
  </w:style>
  <w:style w:type="paragraph" w:styleId="Heading1">
    <w:name w:val="heading 1"/>
    <w:basedOn w:val="Normal"/>
    <w:next w:val="Normal"/>
    <w:link w:val="Heading1Char"/>
    <w:qFormat/>
    <w:rsid w:val="00001A47"/>
    <w:pPr>
      <w:keepNext/>
      <w:numPr>
        <w:numId w:val="1"/>
      </w:numPr>
      <w:outlineLvl w:val="0"/>
    </w:pPr>
    <w:rPr>
      <w:rFonts w:eastAsia="Times New Roman"/>
      <w:b/>
      <w:bCs/>
      <w:color w:val="0000FF"/>
    </w:rPr>
  </w:style>
  <w:style w:type="paragraph" w:styleId="Heading2">
    <w:name w:val="heading 2"/>
    <w:basedOn w:val="Normal"/>
    <w:next w:val="Normal"/>
    <w:link w:val="Heading2Char"/>
    <w:qFormat/>
    <w:rsid w:val="00001A47"/>
    <w:pPr>
      <w:keepNext/>
      <w:numPr>
        <w:ilvl w:val="1"/>
        <w:numId w:val="1"/>
      </w:numPr>
      <w:autoSpaceDE w:val="0"/>
      <w:autoSpaceDN w:val="0"/>
      <w:adjustRightInd w:val="0"/>
      <w:spacing w:line="240" w:lineRule="atLeast"/>
      <w:outlineLvl w:val="1"/>
    </w:pPr>
    <w:rPr>
      <w:rFonts w:ascii="Arial" w:eastAsia="Times New Roman" w:hAnsi="Arial" w:cs="Arial"/>
      <w:b/>
      <w:bCs/>
      <w:color w:val="0000FF"/>
      <w:sz w:val="20"/>
      <w:szCs w:val="20"/>
    </w:rPr>
  </w:style>
  <w:style w:type="paragraph" w:styleId="Heading3">
    <w:name w:val="heading 3"/>
    <w:aliases w:val="Sub"/>
    <w:basedOn w:val="Normal"/>
    <w:next w:val="Normal"/>
    <w:link w:val="Heading3Char"/>
    <w:qFormat/>
    <w:rsid w:val="00001A47"/>
    <w:pPr>
      <w:keepNext/>
      <w:numPr>
        <w:ilvl w:val="2"/>
        <w:numId w:val="1"/>
      </w:numPr>
      <w:autoSpaceDE w:val="0"/>
      <w:autoSpaceDN w:val="0"/>
      <w:adjustRightInd w:val="0"/>
      <w:spacing w:line="240" w:lineRule="atLeast"/>
      <w:outlineLvl w:val="2"/>
    </w:pPr>
    <w:rPr>
      <w:rFonts w:ascii="Arial" w:eastAsia="Times New Roman" w:hAnsi="Arial" w:cs="Arial"/>
      <w:b/>
      <w:bCs/>
      <w:color w:val="000000"/>
      <w:sz w:val="20"/>
      <w:szCs w:val="20"/>
    </w:rPr>
  </w:style>
  <w:style w:type="paragraph" w:styleId="Heading4">
    <w:name w:val="heading 4"/>
    <w:basedOn w:val="Normal"/>
    <w:next w:val="Normal"/>
    <w:link w:val="Heading4Char"/>
    <w:qFormat/>
    <w:rsid w:val="00001A47"/>
    <w:pPr>
      <w:keepNext/>
      <w:numPr>
        <w:ilvl w:val="3"/>
        <w:numId w:val="1"/>
      </w:numPr>
      <w:autoSpaceDE w:val="0"/>
      <w:autoSpaceDN w:val="0"/>
      <w:adjustRightInd w:val="0"/>
      <w:spacing w:line="240" w:lineRule="atLeast"/>
      <w:outlineLvl w:val="3"/>
    </w:pPr>
    <w:rPr>
      <w:rFonts w:eastAsia="Times New Roman"/>
      <w:b/>
      <w:bCs/>
      <w:sz w:val="22"/>
      <w:szCs w:val="20"/>
    </w:rPr>
  </w:style>
  <w:style w:type="paragraph" w:styleId="Heading5">
    <w:name w:val="heading 5"/>
    <w:basedOn w:val="Normal"/>
    <w:next w:val="Normal"/>
    <w:link w:val="Heading5Char"/>
    <w:qFormat/>
    <w:rsid w:val="00001A47"/>
    <w:pPr>
      <w:keepNext/>
      <w:numPr>
        <w:ilvl w:val="4"/>
        <w:numId w:val="1"/>
      </w:numPr>
      <w:jc w:val="center"/>
      <w:outlineLvl w:val="4"/>
    </w:pPr>
    <w:rPr>
      <w:rFonts w:eastAsia="Times New Roman"/>
      <w:b/>
      <w:u w:val="single"/>
    </w:rPr>
  </w:style>
  <w:style w:type="paragraph" w:styleId="Heading6">
    <w:name w:val="heading 6"/>
    <w:basedOn w:val="Normal"/>
    <w:next w:val="Normal"/>
    <w:link w:val="Heading6Char"/>
    <w:qFormat/>
    <w:rsid w:val="00001A47"/>
    <w:pPr>
      <w:keepNext/>
      <w:numPr>
        <w:ilvl w:val="5"/>
        <w:numId w:val="1"/>
      </w:numPr>
      <w:overflowPunct w:val="0"/>
      <w:autoSpaceDE w:val="0"/>
      <w:autoSpaceDN w:val="0"/>
      <w:adjustRightInd w:val="0"/>
      <w:textAlignment w:val="baseline"/>
      <w:outlineLvl w:val="5"/>
    </w:pPr>
    <w:rPr>
      <w:rFonts w:ascii="Arial" w:eastAsia="Times New Roman" w:hAnsi="Arial" w:cs="Arial"/>
      <w:b/>
    </w:rPr>
  </w:style>
  <w:style w:type="paragraph" w:styleId="Heading7">
    <w:name w:val="heading 7"/>
    <w:basedOn w:val="Normal"/>
    <w:next w:val="Normal"/>
    <w:link w:val="Heading7Char"/>
    <w:qFormat/>
    <w:rsid w:val="00001A47"/>
    <w:pPr>
      <w:keepNext/>
      <w:numPr>
        <w:ilvl w:val="6"/>
        <w:numId w:val="1"/>
      </w:numPr>
      <w:overflowPunct w:val="0"/>
      <w:autoSpaceDE w:val="0"/>
      <w:autoSpaceDN w:val="0"/>
      <w:adjustRightInd w:val="0"/>
      <w:jc w:val="center"/>
      <w:textAlignment w:val="baseline"/>
      <w:outlineLvl w:val="6"/>
    </w:pPr>
    <w:rPr>
      <w:rFonts w:ascii="Arial" w:eastAsia="Times New Roman" w:hAnsi="Arial"/>
      <w:b/>
      <w:i/>
      <w:iCs/>
      <w:sz w:val="22"/>
      <w:szCs w:val="20"/>
    </w:rPr>
  </w:style>
  <w:style w:type="paragraph" w:styleId="Heading8">
    <w:name w:val="heading 8"/>
    <w:basedOn w:val="Normal"/>
    <w:next w:val="Normal"/>
    <w:link w:val="Heading8Char"/>
    <w:qFormat/>
    <w:rsid w:val="00001A47"/>
    <w:pPr>
      <w:keepNext/>
      <w:numPr>
        <w:ilvl w:val="7"/>
        <w:numId w:val="1"/>
      </w:numPr>
      <w:overflowPunct w:val="0"/>
      <w:autoSpaceDE w:val="0"/>
      <w:autoSpaceDN w:val="0"/>
      <w:adjustRightInd w:val="0"/>
      <w:textAlignment w:val="baseline"/>
      <w:outlineLvl w:val="7"/>
    </w:pPr>
    <w:rPr>
      <w:rFonts w:ascii="Arial" w:eastAsia="Times New Roman" w:hAnsi="Arial"/>
      <w:b/>
      <w:bCs/>
      <w:i/>
      <w:iCs/>
      <w:sz w:val="18"/>
      <w:szCs w:val="20"/>
    </w:rPr>
  </w:style>
  <w:style w:type="paragraph" w:styleId="Heading9">
    <w:name w:val="heading 9"/>
    <w:basedOn w:val="Normal"/>
    <w:next w:val="Normal"/>
    <w:link w:val="Heading9Char"/>
    <w:qFormat/>
    <w:rsid w:val="00001A47"/>
    <w:pPr>
      <w:keepNext/>
      <w:numPr>
        <w:ilvl w:val="8"/>
        <w:numId w:val="1"/>
      </w:numPr>
      <w:overflowPunct w:val="0"/>
      <w:autoSpaceDE w:val="0"/>
      <w:autoSpaceDN w:val="0"/>
      <w:adjustRightInd w:val="0"/>
      <w:jc w:val="right"/>
      <w:textAlignment w:val="baseline"/>
      <w:outlineLvl w:val="8"/>
    </w:pPr>
    <w:rPr>
      <w:rFonts w:ascii="Arial" w:eastAsia="Times New Roman"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next w:val="HB1Text"/>
    <w:autoRedefine/>
    <w:rsid w:val="001325C9"/>
    <w:pPr>
      <w:numPr>
        <w:numId w:val="6"/>
      </w:numPr>
      <w:spacing w:after="120" w:line="240" w:lineRule="auto"/>
      <w:jc w:val="left"/>
      <w:outlineLvl w:val="2"/>
    </w:pPr>
    <w:rPr>
      <w:rFonts w:eastAsia="MS Mincho"/>
      <w:b w:val="0"/>
      <w:sz w:val="22"/>
      <w:szCs w:val="22"/>
    </w:rPr>
  </w:style>
  <w:style w:type="paragraph" w:customStyle="1" w:styleId="HBX1Outline">
    <w:name w:val="HB X.1 Outline"/>
    <w:basedOn w:val="Handbook"/>
    <w:next w:val="HB1Text"/>
    <w:autoRedefine/>
    <w:qFormat/>
    <w:rsid w:val="00792006"/>
    <w:pPr>
      <w:spacing w:line="360" w:lineRule="auto"/>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autoRedefine/>
    <w:qFormat/>
    <w:rsid w:val="00001A47"/>
    <w:pPr>
      <w:tabs>
        <w:tab w:val="left" w:pos="360"/>
      </w:tabs>
      <w:spacing w:line="240" w:lineRule="auto"/>
      <w:ind w:left="36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autoRedefine/>
    <w:qFormat/>
    <w:rsid w:val="00001A47"/>
    <w:pPr>
      <w:tabs>
        <w:tab w:val="left" w:pos="360"/>
      </w:tabs>
      <w:spacing w:line="240" w:lineRule="auto"/>
      <w:ind w:left="720"/>
      <w:jc w:val="left"/>
    </w:pPr>
    <w:rPr>
      <w:b w:val="0"/>
      <w:sz w:val="22"/>
      <w:szCs w:val="22"/>
    </w:rPr>
  </w:style>
  <w:style w:type="paragraph" w:customStyle="1" w:styleId="HB1Text">
    <w:name w:val="HB 1) Text"/>
    <w:basedOn w:val="Handbook"/>
    <w:autoRedefine/>
    <w:rsid w:val="00982DB1"/>
    <w:pPr>
      <w:spacing w:after="120" w:line="240" w:lineRule="auto"/>
      <w:ind w:left="1080"/>
      <w:jc w:val="left"/>
    </w:pPr>
    <w:rPr>
      <w:rFonts w:eastAsia="MS Mincho"/>
      <w:b w:val="0"/>
      <w:sz w:val="22"/>
      <w:szCs w:val="22"/>
    </w:rPr>
  </w:style>
  <w:style w:type="paragraph" w:customStyle="1" w:styleId="HBaOutline0">
    <w:name w:val="HB a) Outline"/>
    <w:basedOn w:val="Handbook"/>
    <w:autoRedefine/>
    <w:rsid w:val="00DE7532"/>
    <w:pPr>
      <w:numPr>
        <w:numId w:val="7"/>
      </w:numPr>
      <w:spacing w:after="120" w:line="240" w:lineRule="auto"/>
      <w:jc w:val="left"/>
    </w:pPr>
    <w:rPr>
      <w:b w:val="0"/>
      <w:sz w:val="22"/>
    </w:rPr>
  </w:style>
  <w:style w:type="paragraph" w:customStyle="1" w:styleId="HBaText0">
    <w:name w:val="HB a) Text"/>
    <w:basedOn w:val="Handbook"/>
    <w:autoRedefine/>
    <w:qFormat/>
    <w:rsid w:val="00001A47"/>
    <w:pPr>
      <w:tabs>
        <w:tab w:val="left" w:pos="360"/>
      </w:tabs>
      <w:spacing w:line="240" w:lineRule="auto"/>
      <w:ind w:left="1440"/>
      <w:jc w:val="left"/>
    </w:pPr>
    <w:rPr>
      <w:b w:val="0"/>
      <w:sz w:val="22"/>
    </w:rPr>
  </w:style>
  <w:style w:type="paragraph" w:customStyle="1" w:styleId="HBiOutline">
    <w:name w:val="HB i) Outline"/>
    <w:basedOn w:val="Normal"/>
    <w:autoRedefine/>
    <w:rsid w:val="00FC4115"/>
    <w:pPr>
      <w:numPr>
        <w:numId w:val="3"/>
      </w:numPr>
      <w:spacing w:after="120"/>
      <w:outlineLvl w:val="4"/>
    </w:pPr>
    <w:rPr>
      <w:rFonts w:eastAsia="MS Mincho"/>
      <w:sz w:val="22"/>
    </w:rPr>
  </w:style>
  <w:style w:type="paragraph" w:customStyle="1" w:styleId="HBiText">
    <w:name w:val="HB i) Text"/>
    <w:basedOn w:val="Handbook"/>
    <w:autoRedefine/>
    <w:qFormat/>
    <w:rsid w:val="00D25016"/>
    <w:pPr>
      <w:tabs>
        <w:tab w:val="left" w:pos="360"/>
      </w:tabs>
      <w:spacing w:after="120" w:line="240" w:lineRule="auto"/>
      <w:ind w:left="2160"/>
      <w:jc w:val="left"/>
    </w:pPr>
    <w:rPr>
      <w:b w:val="0"/>
      <w:sz w:val="22"/>
      <w:szCs w:val="22"/>
    </w:rPr>
  </w:style>
  <w:style w:type="character" w:customStyle="1" w:styleId="Heading1Char">
    <w:name w:val="Heading 1 Char"/>
    <w:basedOn w:val="DefaultParagraphFont"/>
    <w:link w:val="Heading1"/>
    <w:rsid w:val="00001A47"/>
    <w:rPr>
      <w:rFonts w:eastAsia="Times New Roman"/>
      <w:b/>
      <w:bCs/>
      <w:color w:val="0000FF"/>
      <w:sz w:val="24"/>
      <w:szCs w:val="24"/>
    </w:rPr>
  </w:style>
  <w:style w:type="character" w:customStyle="1" w:styleId="Heading2Char">
    <w:name w:val="Heading 2 Char"/>
    <w:basedOn w:val="DefaultParagraphFont"/>
    <w:link w:val="Heading2"/>
    <w:rsid w:val="00001A47"/>
    <w:rPr>
      <w:rFonts w:ascii="Arial" w:eastAsia="Times New Roman" w:hAnsi="Arial" w:cs="Arial"/>
      <w:b/>
      <w:bCs/>
      <w:color w:val="0000FF"/>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rPr>
  </w:style>
  <w:style w:type="character" w:customStyle="1" w:styleId="Heading4Char">
    <w:name w:val="Heading 4 Char"/>
    <w:basedOn w:val="DefaultParagraphFont"/>
    <w:link w:val="Heading4"/>
    <w:rsid w:val="00001A47"/>
    <w:rPr>
      <w:rFonts w:eastAsia="Times New Roman"/>
      <w:b/>
      <w:bCs/>
      <w:sz w:val="22"/>
    </w:rPr>
  </w:style>
  <w:style w:type="character" w:customStyle="1" w:styleId="Heading5Char">
    <w:name w:val="Heading 5 Char"/>
    <w:basedOn w:val="DefaultParagraphFont"/>
    <w:link w:val="Heading5"/>
    <w:rsid w:val="00001A47"/>
    <w:rPr>
      <w:rFonts w:eastAsia="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b/>
      <w:i/>
      <w:iCs/>
      <w:sz w:val="22"/>
    </w:rPr>
  </w:style>
  <w:style w:type="character" w:customStyle="1" w:styleId="Heading8Char">
    <w:name w:val="Heading 8 Char"/>
    <w:basedOn w:val="DefaultParagraphFont"/>
    <w:link w:val="Heading8"/>
    <w:rsid w:val="00001A47"/>
    <w:rPr>
      <w:rFonts w:ascii="Arial" w:eastAsia="Times New Roman" w:hAnsi="Arial"/>
      <w:b/>
      <w:bCs/>
      <w:i/>
      <w:iCs/>
      <w:sz w:val="18"/>
    </w:rPr>
  </w:style>
  <w:style w:type="character" w:customStyle="1" w:styleId="Heading9Char">
    <w:name w:val="Heading 9 Char"/>
    <w:basedOn w:val="DefaultParagraphFont"/>
    <w:link w:val="Heading9"/>
    <w:rsid w:val="00001A47"/>
    <w:rPr>
      <w:rFonts w:ascii="Arial" w:eastAsia="Times New Roman" w:hAnsi="Arial"/>
      <w:b/>
      <w:bCs/>
      <w:sz w:val="18"/>
    </w:rPr>
  </w:style>
  <w:style w:type="paragraph" w:styleId="FootnoteText">
    <w:name w:val="footnote text"/>
    <w:basedOn w:val="Normal"/>
    <w:link w:val="FootnoteTextChar"/>
    <w:semiHidden/>
    <w:rsid w:val="00001A47"/>
    <w:rPr>
      <w:rFonts w:eastAsia="Times New Roman"/>
      <w:sz w:val="20"/>
      <w:szCs w:val="20"/>
    </w:rPr>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rPr>
      <w:rFonts w:eastAsia="Times New Roman"/>
      <w:sz w:val="20"/>
      <w:szCs w:val="20"/>
    </w:rPr>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rPr>
      <w:rFonts w:eastAsia="Times New Roman"/>
    </w:r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rPr>
      <w:rFonts w:eastAsia="Times New Roman"/>
      <w:sz w:val="20"/>
      <w:szCs w:val="20"/>
    </w:rPr>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eastAsia="Times New Roman" w:hAnsi="Courier New" w:cs="Courier New"/>
      <w:sz w:val="20"/>
      <w:szCs w:val="20"/>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rsid w:val="00001A47"/>
    <w:pPr>
      <w:spacing w:after="180"/>
    </w:pPr>
    <w:rPr>
      <w:rFonts w:eastAsia="Times New Roman"/>
    </w:r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b/>
      <w:bCs/>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rPr>
      <w:rFonts w:eastAsia="Times New Roman"/>
    </w:r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eastAsia="Times New Roman" w:hAnsi="Arial"/>
      <w:b/>
      <w:sz w:val="22"/>
    </w:rPr>
  </w:style>
  <w:style w:type="paragraph" w:customStyle="1" w:styleId="Tablebullet">
    <w:name w:val="Table bullet"/>
    <w:basedOn w:val="Normal"/>
    <w:rsid w:val="00001A47"/>
    <w:pPr>
      <w:numPr>
        <w:numId w:val="2"/>
      </w:numPr>
      <w:spacing w:after="120"/>
    </w:pPr>
    <w:rPr>
      <w:rFonts w:ascii="Arial" w:eastAsia="Times New Roman" w:hAnsi="Arial"/>
      <w:sz w:val="20"/>
    </w:rPr>
  </w:style>
  <w:style w:type="paragraph" w:customStyle="1" w:styleId="Handbook">
    <w:name w:val="Handbook"/>
    <w:basedOn w:val="Normal"/>
    <w:rsid w:val="00001A47"/>
    <w:pPr>
      <w:spacing w:line="480" w:lineRule="auto"/>
      <w:jc w:val="center"/>
    </w:pPr>
    <w:rPr>
      <w:rFonts w:ascii="Arial" w:eastAsia="Times New Roman" w:hAnsi="Arial" w:cs="Arial"/>
      <w:b/>
    </w:rPr>
  </w:style>
  <w:style w:type="paragraph" w:customStyle="1" w:styleId="StyleHBChapterLeft">
    <w:name w:val="Style HB Chapter + Left"/>
    <w:basedOn w:val="HBChapter"/>
    <w:rsid w:val="00001A47"/>
    <w:pPr>
      <w:jc w:val="left"/>
    </w:pPr>
    <w:rPr>
      <w:rFonts w:cs="Times New Roman"/>
      <w:bCs/>
      <w:spacing w:val="60"/>
      <w:szCs w:val="2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szCs w:val="20"/>
    </w:rPr>
  </w:style>
  <w:style w:type="paragraph" w:customStyle="1" w:styleId="StyleHBaOutlineLeft1Firstline025">
    <w:name w:val="Style HB a) Outline + Left:  1&quot; First line:  0.25&quot;"/>
    <w:basedOn w:val="HBaOutline0"/>
    <w:rsid w:val="00001A47"/>
    <w:pPr>
      <w:numPr>
        <w:numId w:val="0"/>
      </w:numPr>
    </w:pPr>
    <w:rPr>
      <w:rFonts w:cs="Times New Roman"/>
      <w:szCs w:val="20"/>
    </w:rPr>
  </w:style>
  <w:style w:type="paragraph" w:customStyle="1" w:styleId="HBX1">
    <w:name w:val="HB X.1"/>
    <w:basedOn w:val="Handbook"/>
    <w:next w:val="HBx1Text0"/>
    <w:autoRedefine/>
    <w:rsid w:val="00080D2F"/>
    <w:pPr>
      <w:numPr>
        <w:numId w:val="4"/>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eastAsia="Times New Roman" w:hAnsi="Arial" w:cs="Arial"/>
      <w:sz w:val="22"/>
      <w:szCs w:val="22"/>
    </w:rPr>
  </w:style>
  <w:style w:type="paragraph" w:customStyle="1" w:styleId="HBAOutline">
    <w:name w:val="HB A Outline"/>
    <w:basedOn w:val="Handbook"/>
    <w:autoRedefine/>
    <w:rsid w:val="001C5D7D"/>
    <w:pPr>
      <w:numPr>
        <w:ilvl w:val="2"/>
        <w:numId w:val="5"/>
      </w:numPr>
      <w:spacing w:after="120" w:line="240" w:lineRule="auto"/>
      <w:jc w:val="left"/>
      <w:outlineLvl w:val="1"/>
    </w:pPr>
    <w:rPr>
      <w:rFonts w:eastAsia="MS Mincho"/>
      <w:b w:val="0"/>
      <w:sz w:val="22"/>
    </w:rPr>
  </w:style>
  <w:style w:type="paragraph" w:styleId="BodyTextIndent2">
    <w:name w:val="Body Text Indent 2"/>
    <w:basedOn w:val="Normal"/>
    <w:link w:val="BodyTextIndent2Char"/>
    <w:rsid w:val="00BB3AA9"/>
    <w:pPr>
      <w:tabs>
        <w:tab w:val="left" w:pos="360"/>
      </w:tabs>
      <w:overflowPunct w:val="0"/>
      <w:autoSpaceDE w:val="0"/>
      <w:autoSpaceDN w:val="0"/>
      <w:adjustRightInd w:val="0"/>
      <w:ind w:left="360" w:hanging="360"/>
      <w:textAlignment w:val="baseline"/>
    </w:pPr>
    <w:rPr>
      <w:rFonts w:eastAsia="Times New Roman"/>
      <w:b/>
      <w:bCs/>
      <w:sz w:val="20"/>
      <w:szCs w:val="20"/>
    </w:rPr>
  </w:style>
  <w:style w:type="character" w:customStyle="1" w:styleId="BodyTextIndent2Char">
    <w:name w:val="Body Text Indent 2 Char"/>
    <w:basedOn w:val="DefaultParagraphFont"/>
    <w:link w:val="BodyTextIndent2"/>
    <w:rsid w:val="00BB3AA9"/>
    <w:rPr>
      <w:rFonts w:eastAsia="Times New Roman"/>
      <w:b/>
      <w:bCs/>
    </w:rPr>
  </w:style>
</w:styles>
</file>

<file path=word/webSettings.xml><?xml version="1.0" encoding="utf-8"?>
<w:webSettings xmlns:r="http://schemas.openxmlformats.org/officeDocument/2006/relationships" xmlns:w="http://schemas.openxmlformats.org/wordprocessingml/2006/main">
  <w:divs>
    <w:div w:id="14725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po.gov/fdsys/pkg/FR-2005-08-05/html/05-15472.htm" TargetMode="External"/><Relationship Id="rId2" Type="http://schemas.openxmlformats.org/officeDocument/2006/relationships/hyperlink" Target="http://ecfr.gpoaccess.gov/cgi/t/text/text-idx?c=ecfr&amp;sid=9ba49513f6365a64f0ab15e294733f1f&amp;rgn=div5&amp;view=text&amp;node=24:2.1.1.1.1&amp;idno=24" TargetMode="External"/><Relationship Id="rId1" Type="http://schemas.openxmlformats.org/officeDocument/2006/relationships/hyperlink" Target="http://frwebgate.access.gpo.gov/cgi-bin/getdoc.cgi?dbname=108_cong_public_laws&amp;docid=f:publ199.1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8964-5793-48B7-A51F-9CA8885C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Messner</dc:creator>
  <cp:keywords/>
  <dc:description/>
  <cp:lastModifiedBy>atpotts</cp:lastModifiedBy>
  <cp:revision>4</cp:revision>
  <cp:lastPrinted>2011-05-09T15:39:00Z</cp:lastPrinted>
  <dcterms:created xsi:type="dcterms:W3CDTF">2011-09-29T18:44:00Z</dcterms:created>
  <dcterms:modified xsi:type="dcterms:W3CDTF">2011-09-29T18:59:00Z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-66429049</vt:i4>
  </property>
  <property fmtid="{D5CDD505-2E9C-101B-9397-08002B2CF9AE}" pid="3" name="_NewReviewCycle">
    <vt:lpwstr/>
  </property>
  <property fmtid="{D5CDD505-2E9C-101B-9397-08002B2CF9AE}" pid="4" name="_EmailSubject">
    <vt:lpwstr>Purchaser's Compliance With State and Local Housing Laws and Requirements - OMB Information Collection 2502-0559</vt:lpwstr>
  </property>
  <property fmtid="{D5CDD505-2E9C-101B-9397-08002B2CF9AE}" pid="5" name="_AuthorEmail">
    <vt:lpwstr>Jeremy.S.Bates@hud.gov</vt:lpwstr>
  </property>
  <property fmtid="{D5CDD505-2E9C-101B-9397-08002B2CF9AE}" pid="6" name="_AuthorEmailDisplayName">
    <vt:lpwstr>Bates, Jeremy S</vt:lpwstr>
  </property>
  <property fmtid="{D5CDD505-2E9C-101B-9397-08002B2CF9AE}" pid="7" name="_ReviewingToolsShownOnce">
    <vt:lpwstr/>
  </property>
</Properties>
</file>