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2A" w:rsidRDefault="00A62C2A">
      <w:pPr>
        <w:pStyle w:val="Title"/>
        <w:rPr>
          <w:rFonts w:ascii="Arial Black" w:hAnsi="Arial Black"/>
          <w:b w:val="0"/>
          <w:bCs w:val="0"/>
        </w:rPr>
      </w:pPr>
      <w:r>
        <w:rPr>
          <w:rFonts w:ascii="Arial Black" w:hAnsi="Arial Black"/>
          <w:b w:val="0"/>
          <w:bCs w:val="0"/>
        </w:rPr>
        <w:t>PAPERWORK REDUCTION ACT</w:t>
      </w:r>
    </w:p>
    <w:p w:rsidR="00A62C2A" w:rsidRDefault="00A62C2A">
      <w:pPr>
        <w:pStyle w:val="Default"/>
        <w:jc w:val="center"/>
        <w:rPr>
          <w:rFonts w:ascii="Arial" w:hAnsi="Arial" w:cs="Arial"/>
          <w:sz w:val="20"/>
        </w:rPr>
      </w:pPr>
      <w:r>
        <w:rPr>
          <w:rFonts w:ascii="Arial Black" w:hAnsi="Arial Black" w:cs="Arial"/>
          <w:szCs w:val="20"/>
        </w:rPr>
        <w:t>CHANGE WORKSHEET</w:t>
      </w:r>
    </w:p>
    <w:tbl>
      <w:tblPr>
        <w:tblW w:w="11407" w:type="dxa"/>
        <w:tblInd w:w="-827" w:type="dxa"/>
        <w:tblLook w:val="0000"/>
      </w:tblPr>
      <w:tblGrid>
        <w:gridCol w:w="374"/>
        <w:gridCol w:w="16"/>
        <w:gridCol w:w="374"/>
        <w:gridCol w:w="930"/>
        <w:gridCol w:w="2233"/>
        <w:gridCol w:w="2057"/>
        <w:gridCol w:w="1682"/>
        <w:gridCol w:w="3741"/>
      </w:tblGrid>
      <w:tr w:rsidR="00A62C2A">
        <w:trPr>
          <w:trHeight w:val="1342"/>
        </w:trPr>
        <w:tc>
          <w:tcPr>
            <w:tcW w:w="7666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Agency/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</w:rPr>
              <w:t>Subagency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U.S.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Department of Housing and Urban Development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Office of Housing, Office of Multifamily Housing Development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62C2A" w:rsidRDefault="00A62C2A">
            <w:pPr>
              <w:pStyle w:val="Heading2"/>
            </w:pPr>
            <w:r>
              <w:t xml:space="preserve">OMB Control Number 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Pr="007E2A5D" w:rsidRDefault="00A62C2A" w:rsidP="00646C5B">
            <w:pPr>
              <w:jc w:val="center"/>
              <w:rPr>
                <w:rFonts w:cs="Arial"/>
                <w:szCs w:val="18"/>
              </w:rPr>
            </w:pPr>
            <w:r w:rsidRPr="007E2A5D">
              <w:rPr>
                <w:rFonts w:cs="Arial"/>
                <w:szCs w:val="18"/>
              </w:rPr>
              <w:t>2502-</w:t>
            </w:r>
            <w:r w:rsidR="00646C5B" w:rsidRPr="007E2A5D">
              <w:rPr>
                <w:rFonts w:cs="Arial"/>
                <w:szCs w:val="18"/>
              </w:rPr>
              <w:t>0306</w:t>
            </w:r>
          </w:p>
        </w:tc>
      </w:tr>
      <w:tr w:rsidR="00A62C2A">
        <w:trPr>
          <w:trHeight w:val="352"/>
        </w:trPr>
        <w:tc>
          <w:tcPr>
            <w:tcW w:w="11407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pStyle w:val="Default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  <w:t>Enter only items that change</w:t>
            </w:r>
          </w:p>
          <w:p w:rsidR="00A62C2A" w:rsidRDefault="00A62C2A">
            <w:pPr>
              <w:pStyle w:val="Default"/>
              <w:autoSpaceDE/>
              <w:autoSpaceDN/>
              <w:adjustRightInd/>
              <w:rPr>
                <w:rFonts w:ascii="Arial Black" w:hAnsi="Arial Black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                                                                                                                Current record                                                              New record</w:t>
            </w:r>
          </w:p>
        </w:tc>
      </w:tr>
      <w:tr w:rsidR="00A62C2A">
        <w:trPr>
          <w:trHeight w:val="1122"/>
        </w:trPr>
        <w:tc>
          <w:tcPr>
            <w:tcW w:w="39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Agency form number(s)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</w:p>
          <w:p w:rsidR="00A62C2A" w:rsidRPr="007E2A5D" w:rsidRDefault="00A62C2A">
            <w:pPr>
              <w:pStyle w:val="Default"/>
              <w:rPr>
                <w:rFonts w:ascii="Arial" w:hAnsi="Arial" w:cs="Arial"/>
                <w:color w:val="auto"/>
                <w:szCs w:val="18"/>
              </w:rPr>
            </w:pPr>
            <w:r w:rsidRPr="007E2A5D">
              <w:rPr>
                <w:rFonts w:ascii="Arial" w:hAnsi="Arial" w:cs="Arial"/>
                <w:color w:val="auto"/>
                <w:szCs w:val="18"/>
              </w:rPr>
              <w:t>HUD-</w:t>
            </w:r>
            <w:r w:rsidR="00A8399B" w:rsidRPr="007E2A5D">
              <w:rPr>
                <w:rFonts w:ascii="Arial" w:hAnsi="Arial" w:cs="Arial"/>
                <w:color w:val="auto"/>
                <w:szCs w:val="18"/>
              </w:rPr>
              <w:t>9545-Y</w:t>
            </w:r>
          </w:p>
          <w:p w:rsidR="00A8399B" w:rsidRPr="007E2A5D" w:rsidRDefault="00A8399B" w:rsidP="00A8399B">
            <w:pPr>
              <w:pStyle w:val="Default"/>
              <w:rPr>
                <w:rFonts w:ascii="Arial" w:hAnsi="Arial" w:cs="Arial"/>
                <w:color w:val="auto"/>
                <w:szCs w:val="18"/>
              </w:rPr>
            </w:pPr>
            <w:r w:rsidRPr="007E2A5D">
              <w:rPr>
                <w:rFonts w:ascii="Arial" w:hAnsi="Arial" w:cs="Arial"/>
                <w:color w:val="auto"/>
                <w:szCs w:val="18"/>
              </w:rPr>
              <w:t>HUD-9545-Z</w:t>
            </w:r>
          </w:p>
          <w:p w:rsidR="00A62C2A" w:rsidRDefault="00A62C2A">
            <w:pPr>
              <w:pStyle w:val="Defaul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62C2A" w:rsidRDefault="00A62C2A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pStyle w:val="Heading1"/>
              <w:jc w:val="center"/>
              <w:rPr>
                <w:rFonts w:ascii="Arial" w:hAnsi="Arial" w:cs="Arial"/>
                <w:color w:val="00000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Annual reporting and recordkeeping hour burden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B3B3B3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0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Number of respondents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responses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74" w:type="dxa"/>
            <w:tcBorders>
              <w:left w:val="single" w:sz="12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163" w:type="dxa"/>
            <w:gridSpan w:val="2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Percent of these responses collected electronically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19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 hours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12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23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53" w:type="dxa"/>
            <w:gridSpan w:val="4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4"/>
        </w:trPr>
        <w:tc>
          <w:tcPr>
            <w:tcW w:w="374" w:type="dxa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6"/>
        </w:trPr>
        <w:tc>
          <w:tcPr>
            <w:tcW w:w="374" w:type="dxa"/>
            <w:tcBorders>
              <w:left w:val="single" w:sz="12" w:space="0" w:color="000000"/>
              <w:bottom w:val="single" w:sz="4" w:space="0" w:color="auto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>
        <w:trPr>
          <w:cantSplit/>
          <w:trHeight w:val="360"/>
        </w:trPr>
        <w:tc>
          <w:tcPr>
            <w:tcW w:w="3927" w:type="dxa"/>
            <w:gridSpan w:val="5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Annual reporting and recordkeeping cost burden (in thousands of dollars)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14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Total annualized Capital/Startup costs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20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Total annual costs (O&amp;M)</w:t>
            </w:r>
          </w:p>
        </w:tc>
        <w:tc>
          <w:tcPr>
            <w:tcW w:w="3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27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Total annualized cost requested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38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Difference</w:t>
            </w: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0</w:t>
            </w:r>
          </w:p>
        </w:tc>
      </w:tr>
      <w:tr w:rsidR="00A62C2A" w:rsidTr="00B2751A">
        <w:trPr>
          <w:cantSplit/>
          <w:trHeight w:val="249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537" w:type="dxa"/>
            <w:gridSpan w:val="3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Explanation of difference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33"/>
        </w:trPr>
        <w:tc>
          <w:tcPr>
            <w:tcW w:w="390" w:type="dxa"/>
            <w:gridSpan w:val="2"/>
            <w:tcBorders>
              <w:left w:val="single" w:sz="12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change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 w:rsidTr="00B2751A">
        <w:trPr>
          <w:cantSplit/>
          <w:trHeight w:val="253"/>
        </w:trPr>
        <w:tc>
          <w:tcPr>
            <w:tcW w:w="390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  <w:vAlign w:val="center"/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223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Adjustment</w:t>
            </w:r>
          </w:p>
        </w:tc>
        <w:tc>
          <w:tcPr>
            <w:tcW w:w="373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3B3B3"/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>
        <w:trPr>
          <w:cantSplit/>
          <w:trHeight w:val="1285"/>
        </w:trPr>
        <w:tc>
          <w:tcPr>
            <w:tcW w:w="11407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Other changes**</w:t>
            </w: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7E2A5D" w:rsidRPr="007E2A5D" w:rsidRDefault="00B2751A">
            <w:pPr>
              <w:rPr>
                <w:rFonts w:cs="Arial"/>
                <w:color w:val="000000"/>
              </w:rPr>
            </w:pPr>
            <w:r w:rsidRPr="007E2A5D">
              <w:rPr>
                <w:rFonts w:cs="Arial"/>
                <w:color w:val="000000"/>
              </w:rPr>
              <w:t xml:space="preserve">In order to serve its clients better, HUD </w:t>
            </w:r>
            <w:r w:rsidR="00744919" w:rsidRPr="007E2A5D">
              <w:rPr>
                <w:rFonts w:cs="Arial"/>
                <w:color w:val="000000"/>
              </w:rPr>
              <w:t>had made the following non material change</w:t>
            </w:r>
            <w:r w:rsidR="007E2A5D" w:rsidRPr="007E2A5D">
              <w:rPr>
                <w:rFonts w:cs="Arial"/>
                <w:color w:val="000000"/>
              </w:rPr>
              <w:t xml:space="preserve">s, </w:t>
            </w:r>
            <w:r w:rsidR="000F5F67">
              <w:rPr>
                <w:rFonts w:cs="Arial"/>
                <w:color w:val="000000"/>
              </w:rPr>
              <w:t xml:space="preserve">please </w:t>
            </w:r>
            <w:r w:rsidR="007E2A5D" w:rsidRPr="007E2A5D">
              <w:rPr>
                <w:rFonts w:cs="Arial"/>
                <w:color w:val="000000"/>
              </w:rPr>
              <w:t>see attach</w:t>
            </w:r>
            <w:r w:rsidR="000F5F67">
              <w:rPr>
                <w:rFonts w:cs="Arial"/>
                <w:color w:val="000000"/>
              </w:rPr>
              <w:t>m</w:t>
            </w:r>
            <w:r w:rsidR="007E2A5D" w:rsidRPr="007E2A5D">
              <w:rPr>
                <w:rFonts w:cs="Arial"/>
                <w:color w:val="000000"/>
              </w:rPr>
              <w:t>e</w:t>
            </w:r>
            <w:r w:rsidR="000F5F67">
              <w:rPr>
                <w:rFonts w:cs="Arial"/>
                <w:color w:val="000000"/>
              </w:rPr>
              <w:t>nt.</w:t>
            </w:r>
            <w:r w:rsidR="00744919" w:rsidRPr="007E2A5D">
              <w:rPr>
                <w:rFonts w:cs="Arial"/>
                <w:color w:val="000000"/>
              </w:rPr>
              <w:t xml:space="preserve"> </w:t>
            </w:r>
          </w:p>
          <w:p w:rsidR="007E2A5D" w:rsidRDefault="007E2A5D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</w:p>
        </w:tc>
      </w:tr>
      <w:tr w:rsidR="00A62C2A">
        <w:trPr>
          <w:cantSplit/>
          <w:trHeight w:val="1250"/>
        </w:trPr>
        <w:tc>
          <w:tcPr>
            <w:tcW w:w="598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62C2A" w:rsidRDefault="00A62C2A">
            <w:pPr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Signature of Senior Official or designee: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62C2A" w:rsidRDefault="00A62C2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" w:eastAsia="Times New Roman" w:hAnsi="Arial" w:cs="Arial"/>
                <w:szCs w:val="18"/>
              </w:rPr>
            </w:pPr>
            <w:r>
              <w:rPr>
                <w:rFonts w:ascii="Arial" w:eastAsia="Times New Roman" w:hAnsi="Arial" w:cs="Arial"/>
                <w:szCs w:val="18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For OIRA Use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_______________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  <w:r>
              <w:rPr>
                <w:rFonts w:cs="Arial"/>
                <w:color w:val="000000"/>
                <w:sz w:val="20"/>
                <w:szCs w:val="18"/>
              </w:rPr>
              <w:t>______________</w:t>
            </w:r>
          </w:p>
          <w:p w:rsidR="00A62C2A" w:rsidRDefault="00A62C2A">
            <w:pPr>
              <w:jc w:val="center"/>
              <w:rPr>
                <w:rFonts w:cs="Arial"/>
                <w:color w:val="000000"/>
                <w:sz w:val="20"/>
                <w:szCs w:val="18"/>
              </w:rPr>
            </w:pPr>
          </w:p>
        </w:tc>
      </w:tr>
    </w:tbl>
    <w:p w:rsidR="00A62C2A" w:rsidRDefault="00A62C2A">
      <w:pPr>
        <w:pStyle w:val="Default"/>
        <w:ind w:left="-74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**This form cannot be used to extend an expiration date.</w:t>
      </w:r>
    </w:p>
    <w:p w:rsidR="00E61105" w:rsidRDefault="00A62C2A">
      <w:pPr>
        <w:ind w:left="-720" w:right="-1112"/>
        <w:rPr>
          <w:rFonts w:cs="Arial"/>
          <w:sz w:val="20"/>
        </w:rPr>
      </w:pPr>
      <w:r>
        <w:rPr>
          <w:rFonts w:cs="Arial"/>
          <w:sz w:val="20"/>
        </w:rPr>
        <w:t>OMB FORM 83-C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10/95 </w:t>
      </w:r>
    </w:p>
    <w:p w:rsidR="00E61105" w:rsidRPr="00E61105" w:rsidRDefault="00E61105" w:rsidP="00E61105">
      <w:pPr>
        <w:tabs>
          <w:tab w:val="left" w:pos="6300"/>
          <w:tab w:val="left" w:pos="6840"/>
        </w:tabs>
        <w:rPr>
          <w:rFonts w:cs="Arial"/>
        </w:rPr>
      </w:pPr>
      <w:r>
        <w:rPr>
          <w:rFonts w:cs="Arial"/>
          <w:sz w:val="20"/>
        </w:rPr>
        <w:br w:type="page"/>
      </w:r>
      <w:r w:rsidRPr="00E61105">
        <w:rPr>
          <w:rFonts w:cs="Arial"/>
        </w:rPr>
        <w:lastRenderedPageBreak/>
        <w:t>Attachment</w:t>
      </w:r>
    </w:p>
    <w:p w:rsidR="00E61105" w:rsidRDefault="00E61105" w:rsidP="00E61105">
      <w:pPr>
        <w:tabs>
          <w:tab w:val="left" w:pos="6300"/>
          <w:tab w:val="left" w:pos="6840"/>
        </w:tabs>
        <w:jc w:val="center"/>
        <w:rPr>
          <w:rFonts w:cs="Arial"/>
        </w:rPr>
      </w:pPr>
      <w:r>
        <w:rPr>
          <w:rFonts w:cs="Arial"/>
        </w:rPr>
        <w:t>HUD -9545-Y Date Changes</w:t>
      </w:r>
    </w:p>
    <w:p w:rsidR="00E61105" w:rsidRPr="00C26159" w:rsidRDefault="00E61105" w:rsidP="00E61105">
      <w:pPr>
        <w:tabs>
          <w:tab w:val="left" w:pos="6300"/>
          <w:tab w:val="left" w:pos="6840"/>
        </w:tabs>
        <w:jc w:val="center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</w:t>
      </w:r>
    </w:p>
    <w:p w:rsidR="00E61105" w:rsidRPr="00B32FF8" w:rsidRDefault="00E61105" w:rsidP="00E61105">
      <w:pPr>
        <w:rPr>
          <w:b/>
          <w:u w:val="single"/>
        </w:rPr>
      </w:pPr>
      <w:r>
        <w:rPr>
          <w:b/>
          <w:u w:val="single"/>
        </w:rPr>
        <w:t xml:space="preserve">Seller Acknowledgement and Contingency Period </w:t>
      </w:r>
    </w:p>
    <w:p w:rsidR="00E61105" w:rsidRDefault="00E61105" w:rsidP="00E61105">
      <w:pPr>
        <w:rPr>
          <w:b/>
          <w:color w:val="000000"/>
          <w:spacing w:val="5"/>
        </w:rPr>
      </w:pPr>
      <w:r w:rsidRPr="000A710C">
        <w:rPr>
          <w:b/>
          <w:color w:val="000000"/>
          <w:spacing w:val="5"/>
        </w:rPr>
        <w:t xml:space="preserve">Removing </w:t>
      </w:r>
      <w:r>
        <w:rPr>
          <w:b/>
          <w:color w:val="000000"/>
          <w:spacing w:val="5"/>
        </w:rPr>
        <w:t>sentence</w:t>
      </w:r>
    </w:p>
    <w:p w:rsidR="00E61105" w:rsidRDefault="00E61105" w:rsidP="00E61105">
      <w:pPr>
        <w:rPr>
          <w:color w:val="000000"/>
          <w:spacing w:val="3"/>
        </w:rPr>
      </w:pPr>
      <w:r>
        <w:rPr>
          <w:color w:val="000000"/>
          <w:spacing w:val="5"/>
        </w:rPr>
        <w:t>Purchaser has a contingency period to withdraw from the contract that</w:t>
      </w:r>
      <w:r w:rsidRPr="004B314C">
        <w:rPr>
          <w:color w:val="000000"/>
          <w:spacing w:val="5"/>
        </w:rPr>
        <w:t xml:space="preserve"> expires </w:t>
      </w:r>
      <w:r>
        <w:rPr>
          <w:color w:val="000000"/>
          <w:spacing w:val="5"/>
        </w:rPr>
        <w:t>fifteen (</w:t>
      </w:r>
      <w:r w:rsidRPr="004B314C">
        <w:rPr>
          <w:color w:val="000000"/>
          <w:spacing w:val="5"/>
        </w:rPr>
        <w:t>15</w:t>
      </w:r>
      <w:r>
        <w:rPr>
          <w:color w:val="000000"/>
          <w:spacing w:val="5"/>
        </w:rPr>
        <w:t>) calendar</w:t>
      </w:r>
      <w:r w:rsidRPr="004B314C">
        <w:rPr>
          <w:color w:val="000000"/>
          <w:spacing w:val="5"/>
        </w:rPr>
        <w:t xml:space="preserve"> days </w:t>
      </w:r>
      <w:r w:rsidRPr="004B314C">
        <w:rPr>
          <w:color w:val="000000"/>
          <w:spacing w:val="3"/>
        </w:rPr>
        <w:t>from the date of the Purchaser's signature below</w:t>
      </w:r>
      <w:r>
        <w:rPr>
          <w:color w:val="000000"/>
          <w:spacing w:val="3"/>
        </w:rPr>
        <w:t>.</w:t>
      </w:r>
    </w:p>
    <w:p w:rsidR="00E61105" w:rsidRDefault="00E61105" w:rsidP="00E61105">
      <w:pPr>
        <w:ind w:left="360"/>
        <w:rPr>
          <w:b/>
        </w:rPr>
      </w:pPr>
    </w:p>
    <w:p w:rsidR="00E61105" w:rsidRDefault="00E61105" w:rsidP="00E61105">
      <w:pPr>
        <w:rPr>
          <w:b/>
        </w:rPr>
      </w:pPr>
      <w:r>
        <w:rPr>
          <w:b/>
        </w:rPr>
        <w:t>Replacing removed sentence to read</w:t>
      </w:r>
    </w:p>
    <w:p w:rsidR="00E61105" w:rsidRDefault="00E61105" w:rsidP="00E61105">
      <w:pPr>
        <w:rPr>
          <w:color w:val="000000"/>
          <w:spacing w:val="5"/>
        </w:rPr>
      </w:pPr>
      <w:r>
        <w:rPr>
          <w:color w:val="000000"/>
          <w:spacing w:val="7"/>
        </w:rPr>
        <w:t xml:space="preserve">Purchaser has a contingency period to withdraw from the contract that expires </w:t>
      </w:r>
      <w:r>
        <w:rPr>
          <w:color w:val="000000"/>
          <w:spacing w:val="5"/>
        </w:rPr>
        <w:t xml:space="preserve">fifteen (15) calendar days from the date the contract is accepted by HUD. </w:t>
      </w:r>
    </w:p>
    <w:p w:rsidR="00E61105" w:rsidRDefault="00E61105" w:rsidP="00E61105">
      <w:pPr>
        <w:ind w:left="360"/>
      </w:pPr>
    </w:p>
    <w:p w:rsidR="00E61105" w:rsidRDefault="00E61105" w:rsidP="00E61105">
      <w:pPr>
        <w:rPr>
          <w:b/>
          <w:u w:val="single"/>
        </w:rPr>
      </w:pPr>
      <w:r>
        <w:rPr>
          <w:b/>
          <w:u w:val="single"/>
        </w:rPr>
        <w:t xml:space="preserve">Financing Type (Selling Broker to initial applicable item) </w:t>
      </w:r>
    </w:p>
    <w:p w:rsidR="00E61105" w:rsidRDefault="00E61105" w:rsidP="00E61105">
      <w:pPr>
        <w:tabs>
          <w:tab w:val="right" w:leader="underscore" w:pos="10273"/>
        </w:tabs>
        <w:rPr>
          <w:b/>
          <w:color w:val="000000"/>
          <w:spacing w:val="5"/>
        </w:rPr>
      </w:pPr>
      <w:r w:rsidRPr="00952116">
        <w:rPr>
          <w:b/>
          <w:color w:val="000000"/>
          <w:spacing w:val="5"/>
        </w:rPr>
        <w:t xml:space="preserve">Removing </w:t>
      </w:r>
      <w:r>
        <w:rPr>
          <w:b/>
          <w:color w:val="000000"/>
          <w:spacing w:val="5"/>
        </w:rPr>
        <w:t>sentence, 1</w:t>
      </w:r>
      <w:r w:rsidRPr="00451191">
        <w:rPr>
          <w:b/>
          <w:color w:val="000000"/>
          <w:spacing w:val="5"/>
          <w:vertAlign w:val="superscript"/>
        </w:rPr>
        <w:t>st</w:t>
      </w:r>
      <w:r>
        <w:rPr>
          <w:b/>
          <w:color w:val="000000"/>
          <w:spacing w:val="5"/>
        </w:rPr>
        <w:t xml:space="preserve"> item  </w:t>
      </w:r>
    </w:p>
    <w:p w:rsidR="00E61105" w:rsidRPr="00952116" w:rsidRDefault="00E61105" w:rsidP="00E61105">
      <w:pPr>
        <w:tabs>
          <w:tab w:val="right" w:leader="underscore" w:pos="10273"/>
        </w:tabs>
        <w:rPr>
          <w:color w:val="000000"/>
          <w:spacing w:val="6"/>
        </w:rPr>
      </w:pPr>
      <w:r w:rsidRPr="00952116">
        <w:rPr>
          <w:color w:val="000000"/>
          <w:spacing w:val="5"/>
        </w:rPr>
        <w:t xml:space="preserve">The Purchaser has a contingency period, which expires 15 days </w:t>
      </w:r>
      <w:r w:rsidRPr="00952116">
        <w:rPr>
          <w:color w:val="000000"/>
          <w:spacing w:val="3"/>
        </w:rPr>
        <w:t xml:space="preserve">from the date of the Purchaser's signature below, to review records and reports provided by the Seller and to </w:t>
      </w:r>
      <w:r w:rsidRPr="00952116">
        <w:rPr>
          <w:color w:val="000000"/>
          <w:spacing w:val="5"/>
        </w:rPr>
        <w:t>conduct an independent inspection or risk assessment.</w:t>
      </w:r>
    </w:p>
    <w:p w:rsidR="00E61105" w:rsidRPr="00B32FF8" w:rsidRDefault="00E61105" w:rsidP="00E61105">
      <w:pPr>
        <w:ind w:left="360"/>
        <w:rPr>
          <w:b/>
          <w:u w:val="single"/>
        </w:rPr>
      </w:pPr>
    </w:p>
    <w:p w:rsidR="00E61105" w:rsidRDefault="00E61105" w:rsidP="00E61105">
      <w:pPr>
        <w:tabs>
          <w:tab w:val="right" w:leader="underscore" w:pos="10273"/>
        </w:tabs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Replacing removed sentence, 1</w:t>
      </w:r>
      <w:r w:rsidRPr="00451191">
        <w:rPr>
          <w:b/>
          <w:color w:val="000000"/>
          <w:spacing w:val="5"/>
          <w:vertAlign w:val="superscript"/>
        </w:rPr>
        <w:t>st</w:t>
      </w:r>
      <w:r>
        <w:rPr>
          <w:b/>
          <w:color w:val="000000"/>
          <w:spacing w:val="5"/>
        </w:rPr>
        <w:t xml:space="preserve"> item to read</w:t>
      </w:r>
      <w:r w:rsidRPr="000A710C">
        <w:rPr>
          <w:b/>
          <w:color w:val="000000"/>
          <w:spacing w:val="5"/>
        </w:rPr>
        <w:t xml:space="preserve"> </w:t>
      </w:r>
    </w:p>
    <w:p w:rsidR="00E61105" w:rsidRDefault="00E61105" w:rsidP="00E61105">
      <w:pPr>
        <w:tabs>
          <w:tab w:val="right" w:leader="underscore" w:pos="10273"/>
        </w:tabs>
        <w:rPr>
          <w:color w:val="000000"/>
          <w:spacing w:val="5"/>
        </w:rPr>
      </w:pPr>
      <w:r>
        <w:rPr>
          <w:color w:val="000000"/>
          <w:spacing w:val="5"/>
        </w:rPr>
        <w:t>The Purchaser has a contingency period</w:t>
      </w:r>
      <w:r>
        <w:rPr>
          <w:color w:val="000000"/>
          <w:spacing w:val="3"/>
        </w:rPr>
        <w:t xml:space="preserve"> </w:t>
      </w:r>
      <w:r w:rsidRPr="00952116">
        <w:rPr>
          <w:color w:val="000000"/>
          <w:spacing w:val="3"/>
        </w:rPr>
        <w:t xml:space="preserve">that expires fifteen (15) days from the date the contract is accepted by HUD to review reports provided by the Seller and to </w:t>
      </w:r>
      <w:r w:rsidRPr="00952116">
        <w:rPr>
          <w:color w:val="000000"/>
          <w:spacing w:val="5"/>
        </w:rPr>
        <w:t>conduct an investigation inspection or assessment.</w:t>
      </w:r>
    </w:p>
    <w:p w:rsidR="00E61105" w:rsidRDefault="00E61105" w:rsidP="00E61105">
      <w:pPr>
        <w:ind w:right="288"/>
        <w:rPr>
          <w:b/>
          <w:color w:val="000000"/>
          <w:spacing w:val="5"/>
        </w:rPr>
      </w:pPr>
    </w:p>
    <w:p w:rsidR="00E61105" w:rsidRDefault="00E61105" w:rsidP="00E61105">
      <w:pPr>
        <w:ind w:right="288"/>
      </w:pPr>
      <w:r>
        <w:rPr>
          <w:b/>
          <w:color w:val="000000"/>
          <w:spacing w:val="5"/>
        </w:rPr>
        <w:t>Removing sentence, 3</w:t>
      </w:r>
      <w:r w:rsidRPr="00451191">
        <w:rPr>
          <w:b/>
          <w:color w:val="000000"/>
          <w:spacing w:val="5"/>
          <w:vertAlign w:val="superscript"/>
        </w:rPr>
        <w:t>rd</w:t>
      </w:r>
      <w:r>
        <w:rPr>
          <w:b/>
          <w:color w:val="000000"/>
          <w:spacing w:val="5"/>
        </w:rPr>
        <w:t xml:space="preserve"> item</w:t>
      </w:r>
      <w:r w:rsidRPr="00D21261">
        <w:t xml:space="preserve"> </w:t>
      </w:r>
    </w:p>
    <w:p w:rsidR="00E61105" w:rsidRDefault="00E61105" w:rsidP="00E61105">
      <w:pPr>
        <w:ind w:right="288"/>
        <w:rPr>
          <w:color w:val="000000"/>
          <w:spacing w:val="5"/>
        </w:rPr>
      </w:pPr>
      <w:r w:rsidRPr="00D21261">
        <w:rPr>
          <w:color w:val="000000"/>
          <w:spacing w:val="5"/>
        </w:rPr>
        <w:t xml:space="preserve">If the Seller has not already done so, the Seller agrees to procure a visual assessment </w:t>
      </w:r>
      <w:r w:rsidRPr="00D21261">
        <w:rPr>
          <w:color w:val="000000"/>
          <w:spacing w:val="6"/>
        </w:rPr>
        <w:t xml:space="preserve">and lead-based paint inspection and stabilize the deteriorated lead-based paint in accordance with the </w:t>
      </w:r>
      <w:r w:rsidRPr="00D21261">
        <w:rPr>
          <w:color w:val="000000"/>
          <w:spacing w:val="5"/>
        </w:rPr>
        <w:t xml:space="preserve">stabilization plan and obtain lead clearance before the settlement date </w:t>
      </w:r>
      <w:r>
        <w:rPr>
          <w:color w:val="000000"/>
          <w:spacing w:val="5"/>
        </w:rPr>
        <w:t>o</w:t>
      </w:r>
      <w:r w:rsidRPr="00D21261">
        <w:rPr>
          <w:color w:val="000000"/>
          <w:spacing w:val="5"/>
        </w:rPr>
        <w:t>r any extensions thereof.</w:t>
      </w:r>
    </w:p>
    <w:p w:rsidR="00E61105" w:rsidRDefault="00E61105" w:rsidP="00E61105">
      <w:pPr>
        <w:ind w:left="297" w:right="288"/>
        <w:rPr>
          <w:b/>
          <w:color w:val="000000"/>
          <w:spacing w:val="5"/>
        </w:rPr>
      </w:pPr>
    </w:p>
    <w:p w:rsidR="00E61105" w:rsidRDefault="00E61105" w:rsidP="00E61105">
      <w:pPr>
        <w:ind w:right="288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Replacing removed sentence, 3</w:t>
      </w:r>
      <w:r w:rsidRPr="00451191">
        <w:rPr>
          <w:b/>
          <w:color w:val="000000"/>
          <w:spacing w:val="5"/>
          <w:vertAlign w:val="superscript"/>
        </w:rPr>
        <w:t>rd</w:t>
      </w:r>
      <w:r>
        <w:rPr>
          <w:b/>
          <w:color w:val="000000"/>
          <w:spacing w:val="5"/>
        </w:rPr>
        <w:t xml:space="preserve"> item to read</w:t>
      </w:r>
      <w:r w:rsidRPr="000A710C">
        <w:rPr>
          <w:b/>
          <w:color w:val="000000"/>
          <w:spacing w:val="5"/>
        </w:rPr>
        <w:t xml:space="preserve"> </w:t>
      </w:r>
    </w:p>
    <w:p w:rsidR="00E61105" w:rsidRPr="00D21261" w:rsidRDefault="00E61105" w:rsidP="00E61105">
      <w:pPr>
        <w:ind w:right="288"/>
        <w:rPr>
          <w:color w:val="000000"/>
          <w:spacing w:val="4"/>
        </w:rPr>
      </w:pPr>
      <w:r>
        <w:rPr>
          <w:color w:val="000000"/>
          <w:spacing w:val="5"/>
        </w:rPr>
        <w:t xml:space="preserve">If the Seller has not already done so, the Seller agrees to </w:t>
      </w:r>
      <w:r>
        <w:rPr>
          <w:color w:val="000000"/>
          <w:spacing w:val="6"/>
        </w:rPr>
        <w:t xml:space="preserve">stabilize the deteriorated lead-based paint in accordance with the </w:t>
      </w:r>
      <w:r>
        <w:rPr>
          <w:color w:val="000000"/>
          <w:spacing w:val="5"/>
        </w:rPr>
        <w:t xml:space="preserve">stabilization plan and obtain lead clearance </w:t>
      </w:r>
      <w:r w:rsidRPr="00D21261">
        <w:rPr>
          <w:color w:val="000000"/>
          <w:spacing w:val="5"/>
        </w:rPr>
        <w:t>by the close of the escrow period or any extensions thereof.</w:t>
      </w:r>
    </w:p>
    <w:p w:rsidR="00E61105" w:rsidRPr="00D21261" w:rsidRDefault="00E61105" w:rsidP="00E61105">
      <w:pPr>
        <w:ind w:left="360"/>
      </w:pPr>
    </w:p>
    <w:p w:rsidR="00E61105" w:rsidRDefault="00E61105" w:rsidP="00E61105">
      <w:pPr>
        <w:tabs>
          <w:tab w:val="left" w:pos="6300"/>
          <w:tab w:val="left" w:pos="6840"/>
        </w:tabs>
        <w:jc w:val="center"/>
        <w:rPr>
          <w:rFonts w:cs="Arial"/>
        </w:rPr>
      </w:pPr>
      <w:r>
        <w:rPr>
          <w:rFonts w:cs="Arial"/>
        </w:rPr>
        <w:t xml:space="preserve">HUD -9545-Z Date Changes </w:t>
      </w:r>
    </w:p>
    <w:p w:rsidR="00E61105" w:rsidRPr="00C26159" w:rsidRDefault="00E61105" w:rsidP="00E61105">
      <w:pPr>
        <w:tabs>
          <w:tab w:val="left" w:pos="6300"/>
          <w:tab w:val="left" w:pos="6840"/>
        </w:tabs>
        <w:jc w:val="center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</w:t>
      </w:r>
    </w:p>
    <w:p w:rsidR="00E61105" w:rsidRPr="00B32FF8" w:rsidRDefault="00E61105" w:rsidP="00E61105">
      <w:pPr>
        <w:rPr>
          <w:b/>
          <w:u w:val="single"/>
        </w:rPr>
      </w:pPr>
      <w:r>
        <w:rPr>
          <w:b/>
          <w:u w:val="single"/>
        </w:rPr>
        <w:t xml:space="preserve">Inspection Contingency </w:t>
      </w:r>
    </w:p>
    <w:p w:rsidR="00E61105" w:rsidRDefault="00E61105" w:rsidP="00E61105">
      <w:pPr>
        <w:rPr>
          <w:b/>
        </w:rPr>
      </w:pPr>
      <w:r>
        <w:rPr>
          <w:b/>
        </w:rPr>
        <w:t xml:space="preserve">Removing sentence </w:t>
      </w:r>
    </w:p>
    <w:p w:rsidR="00E61105" w:rsidRDefault="00E61105" w:rsidP="00E61105">
      <w:pPr>
        <w:rPr>
          <w:color w:val="000000"/>
          <w:spacing w:val="7"/>
        </w:rPr>
      </w:pPr>
      <w:r>
        <w:rPr>
          <w:color w:val="000000"/>
          <w:spacing w:val="4"/>
        </w:rPr>
        <w:t xml:space="preserve">The Purchaser has a contingency period that expires fifteen (15) calendar days from the date </w:t>
      </w:r>
      <w:r w:rsidRPr="00174C47">
        <w:rPr>
          <w:color w:val="000000"/>
          <w:spacing w:val="4"/>
        </w:rPr>
        <w:t>of</w:t>
      </w:r>
      <w:r>
        <w:rPr>
          <w:color w:val="000000"/>
          <w:spacing w:val="4"/>
        </w:rPr>
        <w:t xml:space="preserve"> the </w:t>
      </w:r>
      <w:r w:rsidRPr="00174C47">
        <w:rPr>
          <w:color w:val="000000"/>
          <w:spacing w:val="5"/>
        </w:rPr>
        <w:t>Purchaser's signature below,</w:t>
      </w:r>
      <w:r>
        <w:rPr>
          <w:color w:val="000000"/>
          <w:spacing w:val="5"/>
        </w:rPr>
        <w:t xml:space="preserve"> to conduct at the Purchaser's expense, an independent lead-based paint inspection </w:t>
      </w:r>
      <w:r>
        <w:rPr>
          <w:color w:val="000000"/>
          <w:spacing w:val="7"/>
        </w:rPr>
        <w:t xml:space="preserve">or risk assessment. </w:t>
      </w:r>
    </w:p>
    <w:p w:rsidR="00E61105" w:rsidRDefault="00E61105" w:rsidP="00E61105">
      <w:pPr>
        <w:ind w:left="360"/>
      </w:pPr>
    </w:p>
    <w:p w:rsidR="00E61105" w:rsidRDefault="00E61105" w:rsidP="00E61105">
      <w:pPr>
        <w:rPr>
          <w:b/>
          <w:color w:val="000000"/>
          <w:spacing w:val="5"/>
        </w:rPr>
      </w:pPr>
      <w:r w:rsidRPr="000A710C">
        <w:rPr>
          <w:b/>
          <w:color w:val="000000"/>
          <w:spacing w:val="5"/>
        </w:rPr>
        <w:t>Re</w:t>
      </w:r>
      <w:r>
        <w:rPr>
          <w:b/>
          <w:color w:val="000000"/>
          <w:spacing w:val="5"/>
        </w:rPr>
        <w:t>placing re</w:t>
      </w:r>
      <w:r w:rsidRPr="000A710C">
        <w:rPr>
          <w:b/>
          <w:color w:val="000000"/>
          <w:spacing w:val="5"/>
        </w:rPr>
        <w:t>mov</w:t>
      </w:r>
      <w:r>
        <w:rPr>
          <w:b/>
          <w:color w:val="000000"/>
          <w:spacing w:val="5"/>
        </w:rPr>
        <w:t>ed</w:t>
      </w:r>
      <w:r w:rsidRPr="000A710C">
        <w:rPr>
          <w:b/>
          <w:color w:val="000000"/>
          <w:spacing w:val="5"/>
        </w:rPr>
        <w:t xml:space="preserve"> </w:t>
      </w:r>
      <w:r>
        <w:rPr>
          <w:b/>
          <w:color w:val="000000"/>
          <w:spacing w:val="5"/>
        </w:rPr>
        <w:t>sentence to read</w:t>
      </w:r>
    </w:p>
    <w:p w:rsidR="00E61105" w:rsidRDefault="00E61105" w:rsidP="00E61105">
      <w:pPr>
        <w:rPr>
          <w:color w:val="000000"/>
          <w:spacing w:val="7"/>
        </w:rPr>
      </w:pPr>
      <w:r>
        <w:rPr>
          <w:color w:val="000000"/>
          <w:spacing w:val="4"/>
        </w:rPr>
        <w:t xml:space="preserve">The Purchaser has a contingency period that expires fifteen (15) calendar days from the date the </w:t>
      </w:r>
      <w:r w:rsidRPr="00955E76">
        <w:rPr>
          <w:spacing w:val="4"/>
        </w:rPr>
        <w:t>contract is accepted by HUD</w:t>
      </w:r>
      <w:r w:rsidRPr="00955E76">
        <w:rPr>
          <w:color w:val="000000"/>
          <w:spacing w:val="4"/>
        </w:rPr>
        <w:t xml:space="preserve"> </w:t>
      </w:r>
      <w:r w:rsidRPr="00955E76">
        <w:rPr>
          <w:color w:val="000000"/>
          <w:spacing w:val="5"/>
        </w:rPr>
        <w:t xml:space="preserve">to conduct at the Purchaser's expense, an independent lead-based paint inspection </w:t>
      </w:r>
      <w:r w:rsidRPr="00955E76">
        <w:rPr>
          <w:spacing w:val="5"/>
        </w:rPr>
        <w:t>visual assessment for deteriorated paint</w:t>
      </w:r>
      <w:r w:rsidRPr="00C94BA7">
        <w:rPr>
          <w:b/>
          <w:color w:val="FF0000"/>
          <w:spacing w:val="5"/>
        </w:rPr>
        <w:t xml:space="preserve"> </w:t>
      </w:r>
      <w:r>
        <w:rPr>
          <w:color w:val="000000"/>
          <w:spacing w:val="7"/>
        </w:rPr>
        <w:t xml:space="preserve">or risk assessment. </w:t>
      </w:r>
    </w:p>
    <w:p w:rsidR="00E61105" w:rsidRPr="004B314C" w:rsidRDefault="00E61105" w:rsidP="00E61105"/>
    <w:p w:rsidR="00E61105" w:rsidRDefault="00E61105" w:rsidP="00E61105">
      <w:pPr>
        <w:rPr>
          <w:b/>
          <w:u w:val="single"/>
        </w:rPr>
      </w:pPr>
      <w:r>
        <w:rPr>
          <w:b/>
          <w:u w:val="single"/>
        </w:rPr>
        <w:t xml:space="preserve">Financing Type (Selling Broker to initial applicable clause) </w:t>
      </w:r>
    </w:p>
    <w:p w:rsidR="00E61105" w:rsidRDefault="00E61105" w:rsidP="00E61105">
      <w:pPr>
        <w:tabs>
          <w:tab w:val="right" w:leader="underscore" w:pos="10273"/>
        </w:tabs>
        <w:rPr>
          <w:b/>
          <w:color w:val="000000"/>
          <w:spacing w:val="5"/>
        </w:rPr>
      </w:pPr>
      <w:r w:rsidRPr="00952116">
        <w:rPr>
          <w:b/>
          <w:color w:val="000000"/>
          <w:spacing w:val="5"/>
        </w:rPr>
        <w:t xml:space="preserve">Removing </w:t>
      </w:r>
      <w:r>
        <w:rPr>
          <w:b/>
          <w:color w:val="000000"/>
          <w:spacing w:val="5"/>
        </w:rPr>
        <w:t>sentences 2</w:t>
      </w:r>
      <w:r w:rsidRPr="00245E65">
        <w:rPr>
          <w:b/>
          <w:color w:val="000000"/>
          <w:spacing w:val="5"/>
          <w:vertAlign w:val="superscript"/>
        </w:rPr>
        <w:t>nd</w:t>
      </w:r>
      <w:r>
        <w:rPr>
          <w:b/>
          <w:color w:val="000000"/>
          <w:spacing w:val="5"/>
        </w:rPr>
        <w:t xml:space="preserve"> clause  </w:t>
      </w:r>
    </w:p>
    <w:p w:rsidR="00E61105" w:rsidRPr="001F7DB8" w:rsidRDefault="00E61105" w:rsidP="00E61105">
      <w:pPr>
        <w:ind w:right="72"/>
        <w:rPr>
          <w:color w:val="000000"/>
          <w:spacing w:val="10"/>
        </w:rPr>
      </w:pPr>
      <w:r w:rsidRPr="001F7DB8">
        <w:rPr>
          <w:color w:val="000000"/>
          <w:spacing w:val="10"/>
        </w:rPr>
        <w:lastRenderedPageBreak/>
        <w:t xml:space="preserve">Written notification must be </w:t>
      </w:r>
      <w:r w:rsidRPr="001F7DB8">
        <w:rPr>
          <w:color w:val="000000"/>
          <w:spacing w:val="2"/>
        </w:rPr>
        <w:t xml:space="preserve">postmarked by the later of fifteen (15) calendar days from </w:t>
      </w:r>
      <w:r w:rsidRPr="007770C2">
        <w:rPr>
          <w:color w:val="000000"/>
          <w:spacing w:val="2"/>
        </w:rPr>
        <w:t>the date of the Purchaser's signature below</w:t>
      </w:r>
      <w:r w:rsidRPr="001F7DB8">
        <w:rPr>
          <w:color w:val="000000"/>
          <w:spacing w:val="2"/>
        </w:rPr>
        <w:t xml:space="preserve"> or two (2) business days following the date of the Purchaser's signature on the supplemental Lead-Based Paint Disclosure </w:t>
      </w:r>
      <w:r w:rsidRPr="001F7DB8">
        <w:rPr>
          <w:color w:val="000000"/>
          <w:spacing w:val="10"/>
        </w:rPr>
        <w:t>Addendum.</w:t>
      </w:r>
    </w:p>
    <w:p w:rsidR="00E61105" w:rsidRPr="001F7DB8" w:rsidRDefault="00E61105" w:rsidP="00E61105">
      <w:pPr>
        <w:spacing w:before="396"/>
        <w:ind w:right="360"/>
        <w:rPr>
          <w:color w:val="000000"/>
          <w:spacing w:val="3"/>
        </w:rPr>
      </w:pPr>
      <w:r w:rsidRPr="001F7DB8">
        <w:rPr>
          <w:color w:val="000000"/>
          <w:spacing w:val="3"/>
        </w:rPr>
        <w:t xml:space="preserve">If deteriorated lead-based paint was identified in the inspection </w:t>
      </w:r>
      <w:r>
        <w:rPr>
          <w:color w:val="000000"/>
          <w:spacing w:val="3"/>
        </w:rPr>
        <w:t>r</w:t>
      </w:r>
      <w:r w:rsidRPr="001F7DB8">
        <w:rPr>
          <w:color w:val="000000"/>
          <w:spacing w:val="3"/>
        </w:rPr>
        <w:t xml:space="preserve">eport and the Purchaser does not exercise its </w:t>
      </w:r>
      <w:r w:rsidRPr="001F7DB8">
        <w:rPr>
          <w:color w:val="000000"/>
          <w:spacing w:val="6"/>
        </w:rPr>
        <w:t xml:space="preserve">option to withdraw from the sales contract, the Seller will stabilize the deteriorated lead-based paint in </w:t>
      </w:r>
      <w:r w:rsidRPr="001F7DB8">
        <w:rPr>
          <w:color w:val="000000"/>
          <w:spacing w:val="3"/>
        </w:rPr>
        <w:t xml:space="preserve">accordance with the stabilization plan and obtain lead clearance before the settlement date or any extensions </w:t>
      </w:r>
      <w:r w:rsidRPr="001F7DB8">
        <w:rPr>
          <w:color w:val="000000"/>
          <w:spacing w:val="10"/>
        </w:rPr>
        <w:t>thereof.</w:t>
      </w:r>
    </w:p>
    <w:p w:rsidR="00E61105" w:rsidRDefault="00E61105" w:rsidP="00E61105">
      <w:pPr>
        <w:tabs>
          <w:tab w:val="right" w:leader="underscore" w:pos="10273"/>
        </w:tabs>
        <w:ind w:left="360"/>
        <w:rPr>
          <w:b/>
          <w:color w:val="000000"/>
          <w:spacing w:val="5"/>
        </w:rPr>
      </w:pPr>
    </w:p>
    <w:p w:rsidR="00E61105" w:rsidRDefault="00E61105" w:rsidP="00E61105">
      <w:pPr>
        <w:tabs>
          <w:tab w:val="right" w:leader="underscore" w:pos="10273"/>
        </w:tabs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Replacing removed sentences 2</w:t>
      </w:r>
      <w:r w:rsidRPr="00326757">
        <w:rPr>
          <w:b/>
          <w:color w:val="000000"/>
          <w:spacing w:val="5"/>
          <w:vertAlign w:val="superscript"/>
        </w:rPr>
        <w:t>nd</w:t>
      </w:r>
      <w:r>
        <w:rPr>
          <w:b/>
          <w:color w:val="000000"/>
          <w:spacing w:val="5"/>
        </w:rPr>
        <w:t xml:space="preserve"> clause to read</w:t>
      </w:r>
      <w:r w:rsidRPr="000A710C">
        <w:rPr>
          <w:b/>
          <w:color w:val="000000"/>
          <w:spacing w:val="5"/>
        </w:rPr>
        <w:t xml:space="preserve"> </w:t>
      </w:r>
    </w:p>
    <w:p w:rsidR="00E61105" w:rsidRPr="007E315D" w:rsidRDefault="00E61105" w:rsidP="00E61105">
      <w:r w:rsidRPr="007E315D">
        <w:t xml:space="preserve">Written notification must be postmarked by the latest of fifteen (15) calendar days from </w:t>
      </w:r>
      <w:r w:rsidRPr="007770C2">
        <w:t>the date the contract is accepted by HUD</w:t>
      </w:r>
      <w:r w:rsidRPr="007E315D">
        <w:t xml:space="preserve"> or two (2) business days following the date of the Purchaser’s signature on the supplemental Lead-Based Paint Disclosure Addendum.</w:t>
      </w:r>
    </w:p>
    <w:p w:rsidR="00E61105" w:rsidRPr="007E315D" w:rsidRDefault="00E61105" w:rsidP="00E61105">
      <w:pPr>
        <w:spacing w:before="396"/>
        <w:ind w:right="360"/>
        <w:rPr>
          <w:color w:val="000000"/>
          <w:spacing w:val="3"/>
        </w:rPr>
      </w:pPr>
      <w:r w:rsidRPr="007E315D">
        <w:rPr>
          <w:color w:val="000000"/>
          <w:spacing w:val="3"/>
        </w:rPr>
        <w:t xml:space="preserve">If deteriorated lead-based paint was identified in the inspection Report and the Purchaser does not exercise its </w:t>
      </w:r>
      <w:r w:rsidRPr="007E315D">
        <w:rPr>
          <w:color w:val="000000"/>
          <w:spacing w:val="6"/>
        </w:rPr>
        <w:t xml:space="preserve">option to withdraw from the sales contract, HUD will stabilize the deteriorated lead-based paint in </w:t>
      </w:r>
      <w:r w:rsidRPr="007E315D">
        <w:rPr>
          <w:color w:val="000000"/>
          <w:spacing w:val="3"/>
        </w:rPr>
        <w:t xml:space="preserve">accordance with the stabilization plan and obtain lead clearance before the settlement date by the close of the escrow period or any extensions </w:t>
      </w:r>
      <w:r w:rsidRPr="007E315D">
        <w:rPr>
          <w:color w:val="000000"/>
          <w:spacing w:val="10"/>
        </w:rPr>
        <w:t>thereof.</w:t>
      </w:r>
    </w:p>
    <w:p w:rsidR="00E61105" w:rsidRPr="007E315D" w:rsidRDefault="00E61105" w:rsidP="00E61105">
      <w:pPr>
        <w:ind w:left="297" w:right="288"/>
        <w:rPr>
          <w:b/>
          <w:color w:val="000000"/>
          <w:spacing w:val="5"/>
        </w:rPr>
      </w:pPr>
    </w:p>
    <w:p w:rsidR="00E61105" w:rsidRPr="00D21261" w:rsidRDefault="00E61105" w:rsidP="00E61105">
      <w:pPr>
        <w:ind w:left="297" w:right="288" w:firstLine="60"/>
        <w:rPr>
          <w:color w:val="000000"/>
          <w:spacing w:val="4"/>
        </w:rPr>
      </w:pPr>
    </w:p>
    <w:p w:rsidR="00A62C2A" w:rsidRDefault="00A62C2A">
      <w:pPr>
        <w:ind w:left="-720" w:right="-1112"/>
        <w:rPr>
          <w:rFonts w:cs="Arial"/>
          <w:sz w:val="20"/>
        </w:rPr>
      </w:pPr>
    </w:p>
    <w:sectPr w:rsidR="00A62C2A" w:rsidSect="00112314">
      <w:type w:val="continuous"/>
      <w:pgSz w:w="12240" w:h="15840"/>
      <w:pgMar w:top="1440" w:right="1440" w:bottom="635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620"/>
    <w:rsid w:val="000162A5"/>
    <w:rsid w:val="000F5F67"/>
    <w:rsid w:val="00112314"/>
    <w:rsid w:val="002379F1"/>
    <w:rsid w:val="00646C5B"/>
    <w:rsid w:val="00744919"/>
    <w:rsid w:val="007E2A5D"/>
    <w:rsid w:val="00A62C2A"/>
    <w:rsid w:val="00A8399B"/>
    <w:rsid w:val="00AD5620"/>
    <w:rsid w:val="00B2751A"/>
    <w:rsid w:val="00E6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>
      <o:colormenu v:ext="edit" strokecolor="#0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314"/>
    <w:rPr>
      <w:rFonts w:ascii="Arial" w:hAnsi="Arial"/>
      <w:sz w:val="24"/>
      <w:szCs w:val="24"/>
    </w:rPr>
  </w:style>
  <w:style w:type="paragraph" w:styleId="Heading1">
    <w:name w:val="heading 1"/>
    <w:basedOn w:val="Default"/>
    <w:next w:val="Default"/>
    <w:qFormat/>
    <w:rsid w:val="00112314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rsid w:val="00112314"/>
    <w:pPr>
      <w:keepNext/>
      <w:outlineLvl w:val="1"/>
    </w:pPr>
    <w:rPr>
      <w:rFonts w:cs="Arial"/>
      <w:b/>
      <w:bCs/>
      <w:color w:val="000000"/>
      <w:sz w:val="20"/>
      <w:szCs w:val="18"/>
    </w:rPr>
  </w:style>
  <w:style w:type="paragraph" w:styleId="Heading3">
    <w:name w:val="heading 3"/>
    <w:basedOn w:val="Normal"/>
    <w:next w:val="Normal"/>
    <w:qFormat/>
    <w:rsid w:val="00112314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23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rsid w:val="00112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le">
    <w:name w:val="Title"/>
    <w:basedOn w:val="Normal"/>
    <w:qFormat/>
    <w:rsid w:val="00112314"/>
    <w:pPr>
      <w:jc w:val="center"/>
    </w:pPr>
    <w:rPr>
      <w:rFonts w:cs="Arial"/>
      <w:b/>
      <w:bCs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U.S. Department of Housing and Urban Development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HUD</dc:creator>
  <cp:keywords/>
  <dc:description/>
  <cp:lastModifiedBy>atpotts</cp:lastModifiedBy>
  <cp:revision>2</cp:revision>
  <dcterms:created xsi:type="dcterms:W3CDTF">2011-03-01T18:18:00Z</dcterms:created>
  <dcterms:modified xsi:type="dcterms:W3CDTF">2011-03-01T18:18:00Z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-70865359</vt:i4>
  </property>
  <property fmtid="{D5CDD505-2E9C-101B-9397-08002B2CF9AE}" pid="3" name="_NewReviewCycle">
    <vt:lpwstr/>
  </property>
  <property fmtid="{D5CDD505-2E9C-101B-9397-08002B2CF9AE}" pid="4" name="_EmailSubject">
    <vt:lpwstr>Sample 83C</vt:lpwstr>
  </property>
  <property fmtid="{D5CDD505-2E9C-101B-9397-08002B2CF9AE}" pid="5" name="_AuthorEmail">
    <vt:lpwstr>Venida.B.Brown@hud.gov</vt:lpwstr>
  </property>
  <property fmtid="{D5CDD505-2E9C-101B-9397-08002B2CF9AE}" pid="6" name="_AuthorEmailDisplayName">
    <vt:lpwstr>Brown, Venida B</vt:lpwstr>
  </property>
  <property fmtid="{D5CDD505-2E9C-101B-9397-08002B2CF9AE}" pid="7" name="_PreviousAdHocReviewCycleID">
    <vt:i4>-1105795456</vt:i4>
  </property>
</Properties>
</file>