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C6A" w:rsidRDefault="00C50C6A" w:rsidP="00066F0E">
      <w:pPr>
        <w:pStyle w:val="CM15"/>
        <w:widowControl/>
        <w:spacing w:after="0"/>
        <w:rPr>
          <w:color w:val="000000"/>
        </w:rPr>
      </w:pPr>
    </w:p>
    <w:p w:rsidR="00542F99" w:rsidRDefault="00542F99" w:rsidP="00066F0E">
      <w:pPr>
        <w:pStyle w:val="Default"/>
      </w:pPr>
    </w:p>
    <w:p w:rsidR="00542F99" w:rsidRDefault="00542F99" w:rsidP="00066F0E">
      <w:pPr>
        <w:pStyle w:val="Default"/>
      </w:pPr>
    </w:p>
    <w:p w:rsidR="00542F99" w:rsidRPr="00542F99" w:rsidRDefault="00542F99" w:rsidP="00066F0E">
      <w:pPr>
        <w:pStyle w:val="Default"/>
      </w:pPr>
    </w:p>
    <w:p w:rsidR="00542F99" w:rsidRPr="00954A74" w:rsidRDefault="00542F99" w:rsidP="00066F0E">
      <w:pPr>
        <w:jc w:val="center"/>
        <w:rPr>
          <w:sz w:val="32"/>
          <w:szCs w:val="32"/>
        </w:rPr>
      </w:pPr>
      <w:r w:rsidRPr="00954A74">
        <w:rPr>
          <w:sz w:val="32"/>
          <w:szCs w:val="32"/>
        </w:rPr>
        <w:t>Supporting Statement</w:t>
      </w:r>
    </w:p>
    <w:p w:rsidR="00542F99" w:rsidRPr="00954A74" w:rsidRDefault="00542F99" w:rsidP="00066F0E"/>
    <w:p w:rsidR="00542F99" w:rsidRPr="00954A74" w:rsidRDefault="00542F99" w:rsidP="00066F0E">
      <w:pPr>
        <w:jc w:val="center"/>
        <w:rPr>
          <w:sz w:val="32"/>
          <w:szCs w:val="32"/>
        </w:rPr>
      </w:pPr>
      <w:r w:rsidRPr="00954A74">
        <w:rPr>
          <w:sz w:val="32"/>
          <w:szCs w:val="32"/>
        </w:rPr>
        <w:t>for</w:t>
      </w:r>
    </w:p>
    <w:p w:rsidR="00542F99" w:rsidRPr="00954A74" w:rsidRDefault="00542F99" w:rsidP="00066F0E">
      <w:pPr>
        <w:jc w:val="center"/>
      </w:pPr>
    </w:p>
    <w:p w:rsidR="00542F99" w:rsidRPr="00954A74" w:rsidRDefault="00542F99" w:rsidP="00066F0E">
      <w:pPr>
        <w:jc w:val="center"/>
        <w:rPr>
          <w:sz w:val="32"/>
          <w:szCs w:val="32"/>
        </w:rPr>
      </w:pPr>
      <w:r w:rsidRPr="00954A74">
        <w:rPr>
          <w:sz w:val="32"/>
          <w:szCs w:val="32"/>
        </w:rPr>
        <w:t>Information Collection Request</w:t>
      </w:r>
    </w:p>
    <w:p w:rsidR="0007630F" w:rsidRPr="00954A74" w:rsidRDefault="0007630F" w:rsidP="00066F0E">
      <w:pPr>
        <w:pStyle w:val="Default"/>
        <w:widowControl/>
        <w:rPr>
          <w:rFonts w:cs="Times New Roman"/>
          <w:color w:val="auto"/>
        </w:rPr>
      </w:pPr>
    </w:p>
    <w:p w:rsidR="00542F99" w:rsidRDefault="00542F99" w:rsidP="00066F0E">
      <w:pPr>
        <w:pStyle w:val="Default"/>
        <w:widowControl/>
        <w:rPr>
          <w:rFonts w:cs="Times New Roman"/>
          <w:color w:val="auto"/>
        </w:rPr>
      </w:pPr>
    </w:p>
    <w:p w:rsidR="00542F99" w:rsidRPr="00F502B4" w:rsidRDefault="00542F99" w:rsidP="00066F0E">
      <w:pPr>
        <w:pStyle w:val="Default"/>
        <w:widowControl/>
        <w:rPr>
          <w:rFonts w:cs="Times New Roman"/>
          <w:color w:val="auto"/>
        </w:rPr>
      </w:pPr>
    </w:p>
    <w:p w:rsidR="00F502B4" w:rsidRPr="00954A74" w:rsidRDefault="00135B83" w:rsidP="00066F0E">
      <w:pPr>
        <w:pStyle w:val="CM2"/>
        <w:widowControl/>
        <w:spacing w:line="240" w:lineRule="auto"/>
        <w:jc w:val="center"/>
        <w:rPr>
          <w:b/>
          <w:bCs/>
          <w:sz w:val="32"/>
          <w:szCs w:val="32"/>
        </w:rPr>
      </w:pPr>
      <w:r w:rsidRPr="00954A74">
        <w:rPr>
          <w:b/>
          <w:bCs/>
          <w:sz w:val="32"/>
          <w:szCs w:val="32"/>
        </w:rPr>
        <w:t xml:space="preserve">Transition Program </w:t>
      </w:r>
      <w:r w:rsidRPr="00954A74">
        <w:rPr>
          <w:b/>
          <w:sz w:val="32"/>
          <w:szCs w:val="32"/>
        </w:rPr>
        <w:t>for Equipment Manufacturers</w:t>
      </w:r>
      <w:r w:rsidR="00542F99" w:rsidRPr="00954A74">
        <w:rPr>
          <w:b/>
          <w:sz w:val="32"/>
          <w:szCs w:val="32"/>
        </w:rPr>
        <w:t xml:space="preserve"> </w:t>
      </w:r>
      <w:r w:rsidRPr="00954A74">
        <w:rPr>
          <w:b/>
          <w:sz w:val="32"/>
          <w:szCs w:val="32"/>
        </w:rPr>
        <w:t>(Renewal)</w:t>
      </w:r>
    </w:p>
    <w:p w:rsidR="00135B83" w:rsidRDefault="00135B83" w:rsidP="00066F0E">
      <w:pPr>
        <w:pStyle w:val="CM16"/>
        <w:widowControl/>
        <w:spacing w:after="0"/>
        <w:jc w:val="center"/>
      </w:pPr>
    </w:p>
    <w:p w:rsidR="00542F99" w:rsidRDefault="00542F99" w:rsidP="00066F0E">
      <w:pPr>
        <w:pStyle w:val="Default"/>
      </w:pPr>
    </w:p>
    <w:p w:rsidR="00542F99" w:rsidRDefault="00542F99" w:rsidP="00066F0E">
      <w:pPr>
        <w:pStyle w:val="Default"/>
      </w:pPr>
    </w:p>
    <w:p w:rsidR="00542F99" w:rsidRDefault="00F729DA" w:rsidP="008F7295">
      <w:pPr>
        <w:pStyle w:val="Default"/>
        <w:jc w:val="center"/>
      </w:pPr>
      <w:r>
        <w:t>EPA ICR Number 1826.05</w:t>
      </w:r>
      <w:r w:rsidR="008F7295">
        <w:t xml:space="preserve"> OMB Control Number 2060-0369</w:t>
      </w:r>
    </w:p>
    <w:p w:rsidR="00542F99" w:rsidRDefault="00542F99" w:rsidP="00066F0E">
      <w:pPr>
        <w:pStyle w:val="Default"/>
      </w:pPr>
    </w:p>
    <w:p w:rsidR="00542F99" w:rsidRPr="00542F99" w:rsidRDefault="00542F99" w:rsidP="00066F0E">
      <w:pPr>
        <w:pStyle w:val="Default"/>
      </w:pPr>
    </w:p>
    <w:p w:rsidR="00542F99" w:rsidRDefault="00542F99" w:rsidP="00066F0E">
      <w:pPr>
        <w:pStyle w:val="CM2"/>
        <w:widowControl/>
        <w:spacing w:line="240" w:lineRule="auto"/>
        <w:jc w:val="center"/>
      </w:pPr>
      <w:r w:rsidRPr="00F502B4">
        <w:t>42 USC 7521 § 213(d)</w:t>
      </w:r>
    </w:p>
    <w:p w:rsidR="00542F99" w:rsidRDefault="00542F99" w:rsidP="00066F0E">
      <w:pPr>
        <w:pStyle w:val="CM2"/>
        <w:widowControl/>
        <w:spacing w:line="240" w:lineRule="auto"/>
        <w:jc w:val="center"/>
      </w:pPr>
      <w:r w:rsidRPr="00F502B4">
        <w:t>40 CFR 89.102</w:t>
      </w:r>
    </w:p>
    <w:p w:rsidR="00AD40B4" w:rsidRDefault="00AD40B4" w:rsidP="00AD40B4">
      <w:pPr>
        <w:pStyle w:val="Default"/>
        <w:jc w:val="center"/>
      </w:pPr>
      <w:r>
        <w:t>40 CFR 1039.625</w:t>
      </w:r>
    </w:p>
    <w:p w:rsidR="00AD40B4" w:rsidRDefault="00AD40B4" w:rsidP="00AD40B4">
      <w:pPr>
        <w:pStyle w:val="Default"/>
        <w:jc w:val="center"/>
      </w:pPr>
      <w:r>
        <w:t>40 CFR 1039.626</w:t>
      </w:r>
    </w:p>
    <w:p w:rsidR="004E6DC8" w:rsidRPr="00AD40B4" w:rsidRDefault="004E6DC8" w:rsidP="00AD40B4">
      <w:pPr>
        <w:pStyle w:val="Default"/>
        <w:jc w:val="center"/>
      </w:pPr>
      <w:r>
        <w:t>40 CFR 1039.630</w:t>
      </w:r>
    </w:p>
    <w:p w:rsidR="0052262D" w:rsidRDefault="0052262D" w:rsidP="0052262D">
      <w:pPr>
        <w:pStyle w:val="Default"/>
        <w:jc w:val="center"/>
      </w:pPr>
      <w:r>
        <w:t>40 CFR 1054.625</w:t>
      </w:r>
    </w:p>
    <w:p w:rsidR="00A950D8" w:rsidRDefault="00A950D8" w:rsidP="0052262D">
      <w:pPr>
        <w:pStyle w:val="Default"/>
        <w:jc w:val="center"/>
      </w:pPr>
      <w:r>
        <w:t>40 CFR 1054.626</w:t>
      </w:r>
    </w:p>
    <w:p w:rsidR="004E6DC8" w:rsidRDefault="004E6DC8" w:rsidP="004E6DC8">
      <w:pPr>
        <w:pStyle w:val="Default"/>
        <w:jc w:val="center"/>
      </w:pPr>
      <w:r>
        <w:t>40 CFR 1054.635</w:t>
      </w:r>
    </w:p>
    <w:p w:rsidR="002E43FB" w:rsidRDefault="002E43FB" w:rsidP="002E43FB">
      <w:pPr>
        <w:pStyle w:val="Default"/>
        <w:jc w:val="center"/>
      </w:pPr>
      <w:r>
        <w:t>40 CFR 1068.250</w:t>
      </w:r>
    </w:p>
    <w:p w:rsidR="004E6DC8" w:rsidRPr="0052262D" w:rsidRDefault="004E6DC8" w:rsidP="0052262D">
      <w:pPr>
        <w:pStyle w:val="Default"/>
        <w:jc w:val="center"/>
      </w:pPr>
      <w:r>
        <w:t>40 CFR 1068.255</w:t>
      </w:r>
    </w:p>
    <w:p w:rsidR="0007630F" w:rsidRDefault="0007630F" w:rsidP="00066F0E">
      <w:pPr>
        <w:pStyle w:val="Default"/>
        <w:jc w:val="center"/>
      </w:pPr>
    </w:p>
    <w:p w:rsidR="00542F99" w:rsidRDefault="00542F99" w:rsidP="00066F0E">
      <w:pPr>
        <w:pStyle w:val="Default"/>
        <w:jc w:val="center"/>
      </w:pPr>
    </w:p>
    <w:p w:rsidR="00542F99" w:rsidRDefault="00542F99" w:rsidP="00066F0E">
      <w:pPr>
        <w:pStyle w:val="Default"/>
        <w:jc w:val="center"/>
      </w:pPr>
    </w:p>
    <w:p w:rsidR="00542F99" w:rsidRDefault="00542F99" w:rsidP="00066F0E">
      <w:pPr>
        <w:pStyle w:val="CM18"/>
        <w:widowControl/>
        <w:spacing w:after="0"/>
        <w:jc w:val="center"/>
      </w:pPr>
    </w:p>
    <w:p w:rsidR="00B5228C" w:rsidRDefault="00B5228C" w:rsidP="00B5228C">
      <w:pPr>
        <w:pStyle w:val="Default"/>
      </w:pPr>
    </w:p>
    <w:p w:rsidR="00135B83" w:rsidRDefault="00135B83" w:rsidP="00066F0E">
      <w:pPr>
        <w:pStyle w:val="CM17"/>
        <w:widowControl/>
        <w:spacing w:after="0"/>
      </w:pPr>
    </w:p>
    <w:p w:rsidR="0007630F" w:rsidRPr="0007630F" w:rsidRDefault="0007630F" w:rsidP="00066F0E">
      <w:pPr>
        <w:pStyle w:val="Default"/>
        <w:jc w:val="center"/>
      </w:pPr>
    </w:p>
    <w:p w:rsidR="00135B83" w:rsidRDefault="00135B83" w:rsidP="00066F0E">
      <w:pPr>
        <w:pStyle w:val="CM2"/>
        <w:widowControl/>
        <w:spacing w:line="240" w:lineRule="auto"/>
      </w:pPr>
    </w:p>
    <w:p w:rsidR="0007630F" w:rsidRDefault="0007630F" w:rsidP="00066F0E">
      <w:pPr>
        <w:pStyle w:val="Default"/>
      </w:pPr>
    </w:p>
    <w:p w:rsidR="0007630F" w:rsidRDefault="0007630F" w:rsidP="00066F0E">
      <w:pPr>
        <w:pStyle w:val="Default"/>
      </w:pPr>
    </w:p>
    <w:p w:rsidR="0007630F" w:rsidRPr="0007630F" w:rsidRDefault="0007630F" w:rsidP="00066F0E">
      <w:pPr>
        <w:pStyle w:val="Default"/>
      </w:pPr>
    </w:p>
    <w:p w:rsidR="00A126FD" w:rsidRPr="00A126FD" w:rsidRDefault="00135B83" w:rsidP="00A126FD">
      <w:pPr>
        <w:pStyle w:val="CM2"/>
        <w:widowControl/>
        <w:spacing w:line="240" w:lineRule="auto"/>
        <w:jc w:val="center"/>
      </w:pPr>
      <w:r w:rsidRPr="00F502B4">
        <w:t>Certification and Compliance Division</w:t>
      </w:r>
    </w:p>
    <w:p w:rsidR="00F502B4" w:rsidRDefault="00135B83" w:rsidP="00066F0E">
      <w:pPr>
        <w:pStyle w:val="CM2"/>
        <w:widowControl/>
        <w:spacing w:line="240" w:lineRule="auto"/>
        <w:jc w:val="center"/>
      </w:pPr>
      <w:r w:rsidRPr="00F502B4">
        <w:t>Office of Transportation and Air Quality</w:t>
      </w:r>
    </w:p>
    <w:p w:rsidR="00F502B4" w:rsidRDefault="00135B83" w:rsidP="00066F0E">
      <w:pPr>
        <w:pStyle w:val="CM2"/>
        <w:widowControl/>
        <w:spacing w:line="240" w:lineRule="auto"/>
        <w:jc w:val="center"/>
      </w:pPr>
      <w:r w:rsidRPr="00F502B4">
        <w:t>Office of Air and Radiation</w:t>
      </w:r>
    </w:p>
    <w:p w:rsidR="00135B83" w:rsidRPr="00F502B4" w:rsidRDefault="00135B83" w:rsidP="00066F0E">
      <w:pPr>
        <w:pStyle w:val="CM2"/>
        <w:widowControl/>
        <w:spacing w:line="240" w:lineRule="auto"/>
        <w:jc w:val="center"/>
      </w:pPr>
      <w:r w:rsidRPr="00F502B4">
        <w:t>U.S. Environmental Protection Agency</w:t>
      </w:r>
    </w:p>
    <w:p w:rsidR="0007630F" w:rsidRDefault="0007630F" w:rsidP="00066F0E">
      <w:pPr>
        <w:pStyle w:val="Heading1"/>
        <w:sectPr w:rsidR="0007630F" w:rsidSect="0007630F">
          <w:type w:val="continuous"/>
          <w:pgSz w:w="12240" w:h="15840"/>
          <w:pgMar w:top="720" w:right="1440" w:bottom="1440" w:left="1440" w:header="720" w:footer="720" w:gutter="0"/>
          <w:cols w:space="720"/>
          <w:noEndnote/>
        </w:sectPr>
      </w:pPr>
    </w:p>
    <w:p w:rsidR="00F502B4" w:rsidRDefault="00135B83" w:rsidP="00066F0E">
      <w:pPr>
        <w:pStyle w:val="Heading1"/>
      </w:pPr>
      <w:r w:rsidRPr="00F502B4">
        <w:lastRenderedPageBreak/>
        <w:t xml:space="preserve">1. </w:t>
      </w:r>
      <w:r w:rsidR="00C50C6A">
        <w:t xml:space="preserve"> </w:t>
      </w:r>
      <w:r w:rsidR="009D037A">
        <w:tab/>
      </w:r>
      <w:r w:rsidRPr="009D037A">
        <w:rPr>
          <w:u w:val="single"/>
        </w:rPr>
        <w:t>Identification of the Information Collection</w:t>
      </w:r>
    </w:p>
    <w:p w:rsidR="00135B83" w:rsidRPr="00F502B4" w:rsidRDefault="00135B83" w:rsidP="00066F0E">
      <w:pPr>
        <w:pStyle w:val="CM15"/>
        <w:widowControl/>
        <w:spacing w:after="0"/>
      </w:pPr>
    </w:p>
    <w:p w:rsidR="00F502B4" w:rsidRPr="0005383E" w:rsidRDefault="00135B83" w:rsidP="00066F0E">
      <w:pPr>
        <w:pStyle w:val="Heading2"/>
        <w:ind w:left="360"/>
        <w:rPr>
          <w:b w:val="0"/>
        </w:rPr>
      </w:pPr>
      <w:r w:rsidRPr="0005383E">
        <w:rPr>
          <w:b w:val="0"/>
        </w:rPr>
        <w:t xml:space="preserve">1(a) </w:t>
      </w:r>
      <w:r w:rsidR="0007630F" w:rsidRPr="0005383E">
        <w:rPr>
          <w:b w:val="0"/>
        </w:rPr>
        <w:t xml:space="preserve"> </w:t>
      </w:r>
      <w:r w:rsidR="009D037A" w:rsidRPr="0005383E">
        <w:rPr>
          <w:b w:val="0"/>
        </w:rPr>
        <w:tab/>
      </w:r>
      <w:r w:rsidRPr="0005383E">
        <w:rPr>
          <w:b w:val="0"/>
          <w:u w:val="single"/>
        </w:rPr>
        <w:t>Title and Number of the Information Collection</w:t>
      </w:r>
    </w:p>
    <w:p w:rsidR="00135B83" w:rsidRPr="00F502B4" w:rsidRDefault="00135B83" w:rsidP="00066F0E">
      <w:pPr>
        <w:pStyle w:val="CM16"/>
        <w:widowControl/>
        <w:spacing w:after="0"/>
      </w:pPr>
    </w:p>
    <w:p w:rsidR="00F502B4" w:rsidRDefault="00135B83" w:rsidP="00066F0E">
      <w:pPr>
        <w:pStyle w:val="CM16"/>
        <w:widowControl/>
        <w:spacing w:after="0"/>
      </w:pPr>
      <w:r w:rsidRPr="00F502B4">
        <w:t>Transition Program for Equipment Manufacturers (Renewal),</w:t>
      </w:r>
      <w:r w:rsidR="00F502B4" w:rsidRPr="00F502B4">
        <w:t xml:space="preserve"> </w:t>
      </w:r>
      <w:r w:rsidR="00BA2E96">
        <w:t xml:space="preserve">EPA Number </w:t>
      </w:r>
      <w:r w:rsidR="00F729DA">
        <w:t>1826.05</w:t>
      </w:r>
      <w:r w:rsidRPr="00F502B4">
        <w:t>, OMB Number 2060-0369.</w:t>
      </w:r>
    </w:p>
    <w:p w:rsidR="00135B83" w:rsidRPr="00F502B4" w:rsidRDefault="00135B83" w:rsidP="00066F0E">
      <w:pPr>
        <w:pStyle w:val="CM16"/>
        <w:widowControl/>
        <w:spacing w:after="0"/>
        <w:ind w:firstLine="720"/>
      </w:pPr>
    </w:p>
    <w:p w:rsidR="00F502B4" w:rsidRPr="0005383E" w:rsidRDefault="00135B83" w:rsidP="00066F0E">
      <w:pPr>
        <w:pStyle w:val="Heading2"/>
        <w:ind w:left="360"/>
        <w:rPr>
          <w:b w:val="0"/>
        </w:rPr>
      </w:pPr>
      <w:r w:rsidRPr="0005383E">
        <w:rPr>
          <w:b w:val="0"/>
        </w:rPr>
        <w:t xml:space="preserve">1(b) </w:t>
      </w:r>
      <w:r w:rsidR="0007630F" w:rsidRPr="0005383E">
        <w:rPr>
          <w:b w:val="0"/>
        </w:rPr>
        <w:t xml:space="preserve"> </w:t>
      </w:r>
      <w:r w:rsidR="009D037A" w:rsidRPr="0005383E">
        <w:rPr>
          <w:b w:val="0"/>
        </w:rPr>
        <w:tab/>
      </w:r>
      <w:r w:rsidRPr="0005383E">
        <w:rPr>
          <w:b w:val="0"/>
          <w:u w:val="single"/>
        </w:rPr>
        <w:t>Short Characterization</w:t>
      </w:r>
    </w:p>
    <w:p w:rsidR="00135B83" w:rsidRPr="00F502B4" w:rsidRDefault="00135B83" w:rsidP="00066F0E">
      <w:pPr>
        <w:pStyle w:val="CM16"/>
        <w:widowControl/>
        <w:spacing w:after="0"/>
      </w:pPr>
    </w:p>
    <w:p w:rsidR="008B7E46" w:rsidRDefault="00FF4B71" w:rsidP="00A849C9">
      <w:pPr>
        <w:pStyle w:val="Default"/>
        <w:widowControl/>
        <w:ind w:firstLine="720"/>
      </w:pPr>
      <w:r w:rsidRPr="00E106D2">
        <w:t>When EPA establishes new regulations with tighter engine emission standards, engine manufacturers often need to change the design of their engines to achieve the emissions reductions required by the new standards.  Consequently, or</w:t>
      </w:r>
      <w:r w:rsidR="00A75EBF">
        <w:t>iginal equipment manufacturers</w:t>
      </w:r>
      <w:r w:rsidRPr="00E106D2">
        <w:t xml:space="preserve"> may also need to redesign their products to accommodate these engine design changes.  Sometimes, </w:t>
      </w:r>
      <w:r w:rsidR="00A75EBF">
        <w:t>equipment manufacturers</w:t>
      </w:r>
      <w:r w:rsidRPr="00E106D2">
        <w:t xml:space="preserve"> have trouble making the necessary adjustments by the effective date of the regulations.  In an effort to provide </w:t>
      </w:r>
      <w:r w:rsidR="00A75EBF">
        <w:t>equipment manufacturers</w:t>
      </w:r>
      <w:r w:rsidRPr="00E106D2">
        <w:t xml:space="preserve"> with some flexibility in complying with the regulations, EPA created the Transition Program for Equipment Manufacturers (TPEM).  Under the program, </w:t>
      </w:r>
      <w:r w:rsidR="00A75EBF">
        <w:t>equipment manufacturers</w:t>
      </w:r>
      <w:r w:rsidRPr="00E106D2">
        <w:t xml:space="preserve"> are allowed to delay compliance with the new standards for up to seven years as long as they comply with certain limitations. Participation in the program is voluntary.  Participating </w:t>
      </w:r>
      <w:r w:rsidR="00A75EBF">
        <w:t>equipment manufacturers</w:t>
      </w:r>
      <w:r w:rsidRPr="00E106D2">
        <w:t xml:space="preserve"> and engine manufacturers who provide the noncompliant engines are required to keep records and submit reports of their activities under the program.  </w:t>
      </w:r>
    </w:p>
    <w:p w:rsidR="00FF13B1" w:rsidRDefault="00FF13B1" w:rsidP="00A849C9">
      <w:pPr>
        <w:pStyle w:val="Default"/>
        <w:widowControl/>
        <w:ind w:firstLine="720"/>
      </w:pPr>
    </w:p>
    <w:p w:rsidR="00FF13B1" w:rsidRDefault="00FF13B1" w:rsidP="00A849C9">
      <w:pPr>
        <w:pStyle w:val="Default"/>
        <w:widowControl/>
        <w:ind w:firstLine="720"/>
      </w:pPr>
      <w:r>
        <w:t>TPEM is currently available only for nonroad compression-ignited engines (NRCI) and spark-ignited engines at or below 19 kW (small SI).  NRCI TPEM regulations can be found at 40 CFR 89.102 for Tier 1 through Tier 3 engines, and 1039.625 for Tier 4 engines. Small SI TPEM regulations are found at 40 CFR 1054.625.</w:t>
      </w:r>
    </w:p>
    <w:p w:rsidR="00FF4B71" w:rsidRPr="00F502B4" w:rsidRDefault="00FF4B71" w:rsidP="00066F0E">
      <w:pPr>
        <w:pStyle w:val="Default"/>
        <w:widowControl/>
        <w:rPr>
          <w:rFonts w:cs="Times New Roman"/>
        </w:rPr>
      </w:pPr>
    </w:p>
    <w:p w:rsidR="00F502B4" w:rsidRDefault="00135B83" w:rsidP="00066F0E">
      <w:pPr>
        <w:pStyle w:val="CM20"/>
        <w:widowControl/>
        <w:spacing w:after="0"/>
        <w:ind w:firstLine="720"/>
      </w:pPr>
      <w:r w:rsidRPr="005279C2">
        <w:t xml:space="preserve">It has been estimated that a total of </w:t>
      </w:r>
      <w:r w:rsidR="00835C7D">
        <w:t xml:space="preserve">405 engine and equipment </w:t>
      </w:r>
      <w:r w:rsidRPr="005279C2">
        <w:t>manufacturers will</w:t>
      </w:r>
      <w:r w:rsidR="008B7E46" w:rsidRPr="005279C2">
        <w:t xml:space="preserve"> </w:t>
      </w:r>
      <w:r w:rsidRPr="005279C2">
        <w:t xml:space="preserve">respond to this collection with an approximate cost of </w:t>
      </w:r>
      <w:r w:rsidR="00835C7D">
        <w:t>$</w:t>
      </w:r>
      <w:r w:rsidR="00934171">
        <w:t>4,086,455</w:t>
      </w:r>
      <w:r w:rsidR="00835C7D">
        <w:t>.</w:t>
      </w:r>
    </w:p>
    <w:p w:rsidR="00135B83" w:rsidRPr="00F502B4" w:rsidRDefault="00135B83" w:rsidP="00066F0E">
      <w:pPr>
        <w:pStyle w:val="CM20"/>
        <w:widowControl/>
        <w:spacing w:after="0"/>
        <w:ind w:firstLine="720"/>
      </w:pPr>
    </w:p>
    <w:p w:rsidR="00F502B4" w:rsidRDefault="00135B83" w:rsidP="00066F0E">
      <w:pPr>
        <w:pStyle w:val="Heading1"/>
      </w:pPr>
      <w:r w:rsidRPr="0007630F">
        <w:t xml:space="preserve">2. </w:t>
      </w:r>
      <w:r w:rsidR="00C50C6A" w:rsidRPr="0007630F">
        <w:t xml:space="preserve"> </w:t>
      </w:r>
      <w:r w:rsidR="009D037A">
        <w:tab/>
      </w:r>
      <w:r w:rsidRPr="009D037A">
        <w:rPr>
          <w:u w:val="single"/>
        </w:rPr>
        <w:t>Need for and Use of the Collection</w:t>
      </w:r>
    </w:p>
    <w:p w:rsidR="00135B83" w:rsidRDefault="00135B83" w:rsidP="00066F0E">
      <w:pPr>
        <w:pStyle w:val="CM15"/>
        <w:widowControl/>
        <w:spacing w:after="0"/>
      </w:pPr>
    </w:p>
    <w:p w:rsidR="00F502B4" w:rsidRPr="0005383E" w:rsidRDefault="00135B83" w:rsidP="00066F0E">
      <w:pPr>
        <w:pStyle w:val="Heading2"/>
        <w:ind w:left="360"/>
        <w:rPr>
          <w:b w:val="0"/>
          <w:u w:val="single"/>
        </w:rPr>
      </w:pPr>
      <w:r w:rsidRPr="0005383E">
        <w:rPr>
          <w:b w:val="0"/>
        </w:rPr>
        <w:t xml:space="preserve">2(a) </w:t>
      </w:r>
      <w:r w:rsidR="0007630F" w:rsidRPr="0005383E">
        <w:rPr>
          <w:b w:val="0"/>
        </w:rPr>
        <w:t xml:space="preserve"> </w:t>
      </w:r>
      <w:r w:rsidR="009D037A" w:rsidRPr="0005383E">
        <w:rPr>
          <w:b w:val="0"/>
        </w:rPr>
        <w:tab/>
      </w:r>
      <w:r w:rsidRPr="0005383E">
        <w:rPr>
          <w:b w:val="0"/>
          <w:u w:val="single"/>
        </w:rPr>
        <w:t>Need/Authority for the Collection</w:t>
      </w:r>
    </w:p>
    <w:p w:rsidR="00135B83" w:rsidRPr="00F502B4" w:rsidRDefault="00135B83" w:rsidP="00066F0E">
      <w:pPr>
        <w:pStyle w:val="CM16"/>
        <w:widowControl/>
        <w:spacing w:after="0"/>
      </w:pPr>
    </w:p>
    <w:p w:rsidR="00F502B4" w:rsidRDefault="00135B83" w:rsidP="00066F0E">
      <w:pPr>
        <w:pStyle w:val="CM15"/>
        <w:widowControl/>
        <w:spacing w:after="0"/>
        <w:ind w:firstLine="720"/>
      </w:pPr>
      <w:r w:rsidRPr="00F502B4">
        <w:t>Pursuant to Section 206(a) of the Clean Air Act (42 USC</w:t>
      </w:r>
      <w:r w:rsidR="008B7E46" w:rsidRPr="00F502B4">
        <w:t xml:space="preserve"> </w:t>
      </w:r>
      <w:r w:rsidRPr="00F502B4">
        <w:t>7521), vehicle and engine manufacturers may not legally introduce</w:t>
      </w:r>
      <w:r w:rsidR="008B7E46" w:rsidRPr="00F502B4">
        <w:t xml:space="preserve"> </w:t>
      </w:r>
      <w:r w:rsidRPr="00F502B4">
        <w:t>their product into US commerce unless EPA has certified that</w:t>
      </w:r>
      <w:r w:rsidR="008B7E46" w:rsidRPr="00F502B4">
        <w:t xml:space="preserve"> </w:t>
      </w:r>
      <w:r w:rsidRPr="00F502B4">
        <w:t>their vehicles and engines comply with applicable emission</w:t>
      </w:r>
      <w:r w:rsidR="008B7E46" w:rsidRPr="00F502B4">
        <w:t xml:space="preserve"> </w:t>
      </w:r>
      <w:r w:rsidRPr="00F502B4">
        <w:t>standards</w:t>
      </w:r>
      <w:r w:rsidR="00F502B4" w:rsidRPr="00F502B4">
        <w:t xml:space="preserve">.  </w:t>
      </w:r>
      <w:r w:rsidRPr="00F502B4">
        <w:t xml:space="preserve">Section </w:t>
      </w:r>
      <w:r w:rsidR="00227622">
        <w:t>213(d) extends that prohibition</w:t>
      </w:r>
      <w:r w:rsidRPr="00F502B4">
        <w:t xml:space="preserve"> to nonroad engines</w:t>
      </w:r>
      <w:r w:rsidR="00227622">
        <w:t xml:space="preserve">.  This is </w:t>
      </w:r>
      <w:r w:rsidR="00227622" w:rsidRPr="00F502B4">
        <w:t>codified at 40 CFR 89.1003(a)</w:t>
      </w:r>
      <w:r w:rsidR="00227622">
        <w:t xml:space="preserve"> </w:t>
      </w:r>
      <w:r w:rsidR="001D6CED">
        <w:t xml:space="preserve">and 1068.101(a)(1) </w:t>
      </w:r>
      <w:r w:rsidR="00227622">
        <w:t>for compression-ignited engines</w:t>
      </w:r>
      <w:r w:rsidR="00227622" w:rsidRPr="00F502B4">
        <w:t>,</w:t>
      </w:r>
      <w:r w:rsidR="00227622">
        <w:t xml:space="preserve"> </w:t>
      </w:r>
      <w:r w:rsidR="00245872">
        <w:t>and at 40 CFR 10</w:t>
      </w:r>
      <w:r w:rsidR="00A41470">
        <w:t>68</w:t>
      </w:r>
      <w:r w:rsidR="00245872">
        <w:t>.</w:t>
      </w:r>
      <w:r w:rsidR="00A41470">
        <w:t>101(a)(1)</w:t>
      </w:r>
      <w:r w:rsidR="00227622">
        <w:t xml:space="preserve"> for</w:t>
      </w:r>
      <w:r w:rsidR="00245872">
        <w:t xml:space="preserve"> small nonroad spark-ignition engines</w:t>
      </w:r>
      <w:r w:rsidRPr="00F502B4">
        <w:t>.</w:t>
      </w:r>
    </w:p>
    <w:p w:rsidR="00135B83" w:rsidRPr="00F502B4" w:rsidRDefault="00135B83" w:rsidP="00066F0E">
      <w:pPr>
        <w:pStyle w:val="CM15"/>
        <w:widowControl/>
        <w:spacing w:after="0"/>
        <w:ind w:firstLine="720"/>
      </w:pPr>
    </w:p>
    <w:p w:rsidR="00135B83" w:rsidRDefault="00135B83" w:rsidP="00066F0E">
      <w:pPr>
        <w:pStyle w:val="CM15"/>
        <w:widowControl/>
        <w:spacing w:after="0"/>
        <w:ind w:firstLine="720"/>
      </w:pPr>
      <w:r w:rsidRPr="00F502B4">
        <w:t xml:space="preserve">To alleviate the unintended impact of </w:t>
      </w:r>
      <w:r w:rsidR="00227622">
        <w:t>new</w:t>
      </w:r>
      <w:r w:rsidR="008B7E46" w:rsidRPr="00F502B4">
        <w:t xml:space="preserve"> </w:t>
      </w:r>
      <w:r w:rsidRPr="00F502B4">
        <w:t xml:space="preserve">emission regulations on </w:t>
      </w:r>
      <w:r w:rsidR="00A75EBF">
        <w:t>equipment manufacturers</w:t>
      </w:r>
      <w:r w:rsidRPr="00F502B4">
        <w:t>, EPA created TPEM</w:t>
      </w:r>
      <w:r w:rsidR="00F502B4" w:rsidRPr="00F502B4">
        <w:t xml:space="preserve">.  </w:t>
      </w:r>
      <w:r w:rsidRPr="00F502B4">
        <w:t>The program</w:t>
      </w:r>
      <w:r w:rsidR="008B7E46" w:rsidRPr="00F502B4">
        <w:t xml:space="preserve"> </w:t>
      </w:r>
      <w:r w:rsidR="00A75EBF">
        <w:t>allows manufacturers</w:t>
      </w:r>
      <w:r w:rsidRPr="00F502B4">
        <w:t xml:space="preserve"> to install noncompliant engines in their equipment</w:t>
      </w:r>
      <w:r w:rsidR="008B7E46" w:rsidRPr="00F502B4">
        <w:t xml:space="preserve"> </w:t>
      </w:r>
      <w:r w:rsidRPr="00F502B4">
        <w:t>for a limited period of time provided they comply with the</w:t>
      </w:r>
      <w:r w:rsidR="008B7E46" w:rsidRPr="00F502B4">
        <w:t xml:space="preserve"> </w:t>
      </w:r>
      <w:r w:rsidRPr="00F502B4">
        <w:t xml:space="preserve">requirements described in this information collection. </w:t>
      </w:r>
      <w:r w:rsidR="008B7E46" w:rsidRPr="00F502B4">
        <w:t xml:space="preserve"> </w:t>
      </w:r>
    </w:p>
    <w:p w:rsidR="00C50C6A" w:rsidRPr="00C50C6A" w:rsidRDefault="00C50C6A" w:rsidP="00066F0E">
      <w:pPr>
        <w:pStyle w:val="Default"/>
        <w:widowControl/>
      </w:pPr>
    </w:p>
    <w:p w:rsidR="00F502B4" w:rsidRDefault="00135B83" w:rsidP="00066F0E">
      <w:pPr>
        <w:pStyle w:val="CM17"/>
        <w:widowControl/>
        <w:spacing w:after="0"/>
        <w:ind w:firstLine="720"/>
      </w:pPr>
      <w:r w:rsidRPr="00F502B4">
        <w:lastRenderedPageBreak/>
        <w:t>TPEM also provides protection for engine manufacturers so</w:t>
      </w:r>
      <w:r w:rsidR="008B7E46" w:rsidRPr="00F502B4">
        <w:t xml:space="preserve"> </w:t>
      </w:r>
      <w:r w:rsidRPr="00F502B4">
        <w:t>that they can sell engines that do not comply with current</w:t>
      </w:r>
      <w:r w:rsidR="008B7E46" w:rsidRPr="00F502B4">
        <w:t xml:space="preserve"> </w:t>
      </w:r>
      <w:r w:rsidRPr="00F502B4">
        <w:t xml:space="preserve">regulations to </w:t>
      </w:r>
      <w:r w:rsidR="00A75EBF">
        <w:t>equipment manufacturers</w:t>
      </w:r>
      <w:r w:rsidRPr="00F502B4">
        <w:t xml:space="preserve"> under the provisions of TPEM</w:t>
      </w:r>
      <w:r w:rsidR="00F502B4" w:rsidRPr="00F502B4">
        <w:t xml:space="preserve">.  </w:t>
      </w:r>
      <w:r w:rsidRPr="00F502B4">
        <w:t>The program is</w:t>
      </w:r>
      <w:r w:rsidR="008B7E46" w:rsidRPr="00F502B4">
        <w:t xml:space="preserve"> </w:t>
      </w:r>
      <w:r w:rsidRPr="00F502B4">
        <w:t>codified at 40 CFR 89.102</w:t>
      </w:r>
      <w:r w:rsidR="00196A95">
        <w:t>, 40 CFR 1039.625,</w:t>
      </w:r>
      <w:r w:rsidR="00245872">
        <w:t xml:space="preserve"> and 40 CFR 1054.625</w:t>
      </w:r>
      <w:r w:rsidR="00F502B4" w:rsidRPr="00F502B4">
        <w:t xml:space="preserve">.  </w:t>
      </w:r>
      <w:r w:rsidRPr="00F502B4">
        <w:t>Engine manufacturers are also required</w:t>
      </w:r>
      <w:r w:rsidR="008B7E46" w:rsidRPr="00F502B4">
        <w:t xml:space="preserve"> </w:t>
      </w:r>
      <w:r w:rsidRPr="00F502B4">
        <w:t>to report the number of engines they sold under TPEM and their</w:t>
      </w:r>
      <w:r w:rsidR="008B7E46" w:rsidRPr="00F502B4">
        <w:t xml:space="preserve"> </w:t>
      </w:r>
      <w:r w:rsidRPr="00F502B4">
        <w:t>purchasers annually</w:t>
      </w:r>
      <w:r w:rsidR="00F502B4" w:rsidRPr="00F502B4">
        <w:t xml:space="preserve">.  </w:t>
      </w:r>
      <w:r w:rsidRPr="00F502B4">
        <w:t>The purpose of these reports is to</w:t>
      </w:r>
      <w:r w:rsidR="008B7E46" w:rsidRPr="00F502B4">
        <w:t xml:space="preserve"> </w:t>
      </w:r>
      <w:r w:rsidRPr="00F502B4">
        <w:t xml:space="preserve">independently verify the information provided by </w:t>
      </w:r>
      <w:r w:rsidR="00A75EBF">
        <w:t>equipment manufacturers</w:t>
      </w:r>
      <w:r w:rsidRPr="00F502B4">
        <w:t xml:space="preserve"> in their</w:t>
      </w:r>
      <w:r w:rsidR="008B7E46" w:rsidRPr="00F502B4">
        <w:t xml:space="preserve"> </w:t>
      </w:r>
      <w:r w:rsidRPr="00F502B4">
        <w:t>reports and prevent misuse of the program.</w:t>
      </w:r>
      <w:r w:rsidR="00A950D8">
        <w:t xml:space="preserve">  In addition, equipment manufacturers may be required under </w:t>
      </w:r>
      <w:r w:rsidR="00031FF9">
        <w:t xml:space="preserve">40 CFR 1039.626 or </w:t>
      </w:r>
      <w:r w:rsidR="00A950D8">
        <w:t>40 CFR 1054.626 to post a bond to cover any potential enforcement action under the Clean Air Act before importing equipment with exempted engines produced outside the United States.</w:t>
      </w:r>
    </w:p>
    <w:p w:rsidR="00135B83" w:rsidRPr="00F502B4" w:rsidRDefault="00135B83" w:rsidP="00066F0E">
      <w:pPr>
        <w:pStyle w:val="CM17"/>
        <w:widowControl/>
        <w:spacing w:after="0"/>
        <w:ind w:firstLine="720"/>
      </w:pPr>
    </w:p>
    <w:p w:rsidR="00F502B4" w:rsidRPr="0005383E" w:rsidRDefault="00135B83" w:rsidP="00066F0E">
      <w:pPr>
        <w:pStyle w:val="Heading2"/>
        <w:ind w:left="360"/>
        <w:rPr>
          <w:b w:val="0"/>
        </w:rPr>
      </w:pPr>
      <w:r w:rsidRPr="0005383E">
        <w:rPr>
          <w:b w:val="0"/>
        </w:rPr>
        <w:t xml:space="preserve">2(b) </w:t>
      </w:r>
      <w:r w:rsidR="0007630F" w:rsidRPr="0005383E">
        <w:rPr>
          <w:b w:val="0"/>
        </w:rPr>
        <w:t xml:space="preserve"> </w:t>
      </w:r>
      <w:r w:rsidR="009D037A" w:rsidRPr="0005383E">
        <w:rPr>
          <w:b w:val="0"/>
        </w:rPr>
        <w:tab/>
      </w:r>
      <w:r w:rsidRPr="0005383E">
        <w:rPr>
          <w:b w:val="0"/>
          <w:u w:val="single"/>
        </w:rPr>
        <w:t>Practical Utility/Users of the Data</w:t>
      </w:r>
    </w:p>
    <w:p w:rsidR="00135B83" w:rsidRPr="00F502B4" w:rsidRDefault="00135B83" w:rsidP="00066F0E">
      <w:pPr>
        <w:pStyle w:val="CM16"/>
        <w:widowControl/>
        <w:spacing w:after="0"/>
      </w:pPr>
    </w:p>
    <w:p w:rsidR="00F502B4" w:rsidRDefault="00135B83" w:rsidP="00066F0E">
      <w:pPr>
        <w:pStyle w:val="CM15"/>
        <w:widowControl/>
        <w:spacing w:after="0"/>
        <w:ind w:firstLine="720"/>
      </w:pPr>
      <w:r w:rsidRPr="00F502B4">
        <w:t>The information collected under TPEM is used to verify</w:t>
      </w:r>
      <w:r w:rsidR="008B7E46" w:rsidRPr="00F502B4">
        <w:t xml:space="preserve"> </w:t>
      </w:r>
      <w:r w:rsidRPr="00F502B4">
        <w:t>compliance and prevent abuse or misuse of the program</w:t>
      </w:r>
      <w:r w:rsidR="00F502B4" w:rsidRPr="00F502B4">
        <w:t xml:space="preserve">.  </w:t>
      </w:r>
      <w:r w:rsidRPr="00F502B4">
        <w:t>If</w:t>
      </w:r>
      <w:r w:rsidR="008B7E46" w:rsidRPr="00F502B4">
        <w:t xml:space="preserve"> </w:t>
      </w:r>
      <w:r w:rsidRPr="00F502B4">
        <w:t>compliance issues are identified, information submitted under the</w:t>
      </w:r>
      <w:r w:rsidR="008B7E46" w:rsidRPr="00F502B4">
        <w:t xml:space="preserve"> </w:t>
      </w:r>
      <w:r w:rsidRPr="00F502B4">
        <w:t xml:space="preserve">program could be used for enforcement purposes. </w:t>
      </w:r>
    </w:p>
    <w:p w:rsidR="00135B83" w:rsidRPr="00F502B4" w:rsidRDefault="00135B83" w:rsidP="00066F0E">
      <w:pPr>
        <w:pStyle w:val="CM15"/>
        <w:widowControl/>
        <w:spacing w:after="0"/>
        <w:ind w:firstLine="720"/>
      </w:pPr>
    </w:p>
    <w:p w:rsidR="00F502B4" w:rsidRDefault="000F49EE" w:rsidP="00066F0E">
      <w:pPr>
        <w:pStyle w:val="Default"/>
        <w:widowControl/>
      </w:pPr>
      <w:r>
        <w:rPr>
          <w:rFonts w:cs="Times New Roman"/>
          <w:color w:val="auto"/>
        </w:rPr>
        <w:tab/>
      </w:r>
      <w:r w:rsidR="00135B83" w:rsidRPr="00F502B4">
        <w:rPr>
          <w:rFonts w:cs="Times New Roman"/>
          <w:color w:val="auto"/>
        </w:rPr>
        <w:t>The information will be received, reviewed, and used by the</w:t>
      </w:r>
      <w:r w:rsidR="008B7E46" w:rsidRPr="00F502B4">
        <w:rPr>
          <w:rFonts w:cs="Times New Roman"/>
          <w:color w:val="auto"/>
        </w:rPr>
        <w:t xml:space="preserve"> </w:t>
      </w:r>
      <w:r w:rsidR="00135B83" w:rsidRPr="00F502B4">
        <w:rPr>
          <w:rFonts w:cs="Times New Roman"/>
          <w:color w:val="auto"/>
        </w:rPr>
        <w:t>Engine Programs Group (EPG), Certification and Compliance</w:t>
      </w:r>
      <w:r w:rsidR="008B7E46" w:rsidRPr="00F502B4">
        <w:rPr>
          <w:rFonts w:cs="Times New Roman"/>
          <w:color w:val="auto"/>
        </w:rPr>
        <w:t xml:space="preserve"> </w:t>
      </w:r>
      <w:r w:rsidR="00135B83" w:rsidRPr="00F502B4">
        <w:t>Division, Office of Transportation and Air Quality, Office of Air</w:t>
      </w:r>
      <w:r w:rsidR="008B7E46" w:rsidRPr="00F502B4">
        <w:t xml:space="preserve"> </w:t>
      </w:r>
      <w:r w:rsidR="00135B83" w:rsidRPr="00F502B4">
        <w:t>and Radiation</w:t>
      </w:r>
      <w:r w:rsidR="00F502B4" w:rsidRPr="00F502B4">
        <w:t xml:space="preserve">.  </w:t>
      </w:r>
      <w:r w:rsidR="00135B83" w:rsidRPr="00F502B4">
        <w:t>Non-confidential portions of the information</w:t>
      </w:r>
      <w:r w:rsidR="008B7E46" w:rsidRPr="00F502B4">
        <w:t xml:space="preserve"> </w:t>
      </w:r>
      <w:r w:rsidR="00135B83" w:rsidRPr="00F502B4">
        <w:t>might be used by importers, end users, environmental groups,</w:t>
      </w:r>
      <w:r w:rsidR="008B7E46" w:rsidRPr="00F502B4">
        <w:t xml:space="preserve"> </w:t>
      </w:r>
      <w:r w:rsidR="00135B83" w:rsidRPr="00F502B4">
        <w:t>members of the public, state and local governments or other</w:t>
      </w:r>
      <w:r w:rsidR="008B7E46" w:rsidRPr="00F502B4">
        <w:t xml:space="preserve"> </w:t>
      </w:r>
      <w:r w:rsidR="00135B83" w:rsidRPr="00F502B4">
        <w:t xml:space="preserve">federal agencies such as US Customs. </w:t>
      </w:r>
    </w:p>
    <w:p w:rsidR="00135B83" w:rsidRPr="0007630F" w:rsidRDefault="00135B83" w:rsidP="00066F0E">
      <w:pPr>
        <w:pStyle w:val="CM16"/>
        <w:widowControl/>
        <w:spacing w:after="0"/>
      </w:pPr>
    </w:p>
    <w:p w:rsidR="00F502B4" w:rsidRDefault="00135B83" w:rsidP="00066F0E">
      <w:pPr>
        <w:pStyle w:val="Heading1"/>
      </w:pPr>
      <w:r w:rsidRPr="0007630F">
        <w:t xml:space="preserve">3. </w:t>
      </w:r>
      <w:r w:rsidR="0007630F" w:rsidRPr="0007630F">
        <w:t xml:space="preserve"> </w:t>
      </w:r>
      <w:r w:rsidR="009D037A">
        <w:tab/>
      </w:r>
      <w:r w:rsidRPr="009D037A">
        <w:rPr>
          <w:u w:val="single"/>
        </w:rPr>
        <w:t>Nonduplication, Consultations and Other Collection Criteria</w:t>
      </w:r>
    </w:p>
    <w:p w:rsidR="00135B83" w:rsidRPr="00F502B4" w:rsidRDefault="00135B83" w:rsidP="00066F0E">
      <w:pPr>
        <w:pStyle w:val="CM15"/>
        <w:widowControl/>
        <w:spacing w:after="0"/>
      </w:pPr>
    </w:p>
    <w:p w:rsidR="00F502B4" w:rsidRPr="00271DFD" w:rsidRDefault="00135B83" w:rsidP="00066F0E">
      <w:pPr>
        <w:pStyle w:val="Heading2"/>
        <w:ind w:left="360"/>
        <w:rPr>
          <w:b w:val="0"/>
          <w:u w:val="single"/>
        </w:rPr>
      </w:pPr>
      <w:r w:rsidRPr="00271DFD">
        <w:rPr>
          <w:b w:val="0"/>
        </w:rPr>
        <w:t xml:space="preserve">3(a) </w:t>
      </w:r>
      <w:r w:rsidR="0007630F" w:rsidRPr="00271DFD">
        <w:rPr>
          <w:b w:val="0"/>
        </w:rPr>
        <w:t xml:space="preserve"> </w:t>
      </w:r>
      <w:r w:rsidR="009D037A" w:rsidRPr="00271DFD">
        <w:rPr>
          <w:b w:val="0"/>
        </w:rPr>
        <w:tab/>
      </w:r>
      <w:r w:rsidRPr="00271DFD">
        <w:rPr>
          <w:b w:val="0"/>
          <w:u w:val="single"/>
        </w:rPr>
        <w:t>Nonduplication</w:t>
      </w:r>
    </w:p>
    <w:p w:rsidR="00135B83" w:rsidRPr="00F502B4" w:rsidRDefault="00135B83" w:rsidP="00066F0E">
      <w:pPr>
        <w:pStyle w:val="CM15"/>
        <w:widowControl/>
        <w:spacing w:after="0"/>
      </w:pPr>
    </w:p>
    <w:p w:rsidR="00F502B4" w:rsidRDefault="00135B83" w:rsidP="00066F0E">
      <w:pPr>
        <w:pStyle w:val="CM17"/>
        <w:widowControl/>
        <w:spacing w:after="0"/>
        <w:ind w:firstLine="720"/>
      </w:pPr>
      <w:r w:rsidRPr="00F502B4">
        <w:t>This program is unique to EPA</w:t>
      </w:r>
      <w:r w:rsidR="00F502B4" w:rsidRPr="00F502B4">
        <w:t xml:space="preserve">.  </w:t>
      </w:r>
      <w:r w:rsidRPr="00F502B4">
        <w:t>No other program or Agency</w:t>
      </w:r>
      <w:r w:rsidR="008B7E46" w:rsidRPr="00F502B4">
        <w:t xml:space="preserve"> </w:t>
      </w:r>
      <w:r w:rsidRPr="00F502B4">
        <w:t>collects this information</w:t>
      </w:r>
      <w:r w:rsidR="00F502B4" w:rsidRPr="00F502B4">
        <w:t xml:space="preserve">.  </w:t>
      </w:r>
      <w:r w:rsidRPr="00F502B4">
        <w:t>Because of its specialized (and</w:t>
      </w:r>
      <w:r w:rsidR="008B7E46" w:rsidRPr="00F502B4">
        <w:t xml:space="preserve"> </w:t>
      </w:r>
      <w:r w:rsidRPr="00F502B4">
        <w:t>sometimes confidential) nature, the information collected is not</w:t>
      </w:r>
      <w:r w:rsidR="008B7E46" w:rsidRPr="00F502B4">
        <w:t xml:space="preserve"> </w:t>
      </w:r>
      <w:r w:rsidRPr="00F502B4">
        <w:t>available from any other source</w:t>
      </w:r>
      <w:r w:rsidR="00F502B4" w:rsidRPr="00F502B4">
        <w:t xml:space="preserve">.  </w:t>
      </w:r>
      <w:r w:rsidRPr="00F502B4">
        <w:t>Some of the information</w:t>
      </w:r>
      <w:r w:rsidR="008B7E46" w:rsidRPr="00F502B4">
        <w:t xml:space="preserve"> </w:t>
      </w:r>
      <w:r w:rsidRPr="00F502B4">
        <w:t>requested --such as actual production volumes-- is claimed by</w:t>
      </w:r>
      <w:r w:rsidR="008B7E46" w:rsidRPr="00F502B4">
        <w:t xml:space="preserve"> </w:t>
      </w:r>
      <w:r w:rsidRPr="00F502B4">
        <w:t>manufacturers as confidential business information (CBI);</w:t>
      </w:r>
      <w:r w:rsidR="008B7E46" w:rsidRPr="00F502B4">
        <w:t xml:space="preserve"> </w:t>
      </w:r>
      <w:r w:rsidRPr="00F502B4">
        <w:t xml:space="preserve">therefore, EPA can only obtain it from manufacturers. </w:t>
      </w:r>
      <w:r w:rsidR="008B7E46" w:rsidRPr="00F502B4">
        <w:t xml:space="preserve"> </w:t>
      </w:r>
      <w:r w:rsidRPr="00F502B4">
        <w:t>Participation in the program is voluntary.</w:t>
      </w:r>
    </w:p>
    <w:p w:rsidR="00135B83" w:rsidRPr="00F502B4" w:rsidRDefault="00135B83" w:rsidP="00066F0E">
      <w:pPr>
        <w:pStyle w:val="CM17"/>
        <w:widowControl/>
        <w:spacing w:after="0"/>
        <w:ind w:firstLine="720"/>
      </w:pPr>
    </w:p>
    <w:p w:rsidR="00F502B4" w:rsidRPr="00271DFD" w:rsidRDefault="00135B83" w:rsidP="00066F0E">
      <w:pPr>
        <w:pStyle w:val="Heading2"/>
        <w:ind w:left="360"/>
        <w:rPr>
          <w:b w:val="0"/>
        </w:rPr>
      </w:pPr>
      <w:r w:rsidRPr="00271DFD">
        <w:rPr>
          <w:b w:val="0"/>
        </w:rPr>
        <w:t xml:space="preserve">3(b) </w:t>
      </w:r>
      <w:r w:rsidR="0007630F" w:rsidRPr="00271DFD">
        <w:rPr>
          <w:b w:val="0"/>
        </w:rPr>
        <w:t xml:space="preserve"> </w:t>
      </w:r>
      <w:r w:rsidR="009D037A" w:rsidRPr="00271DFD">
        <w:rPr>
          <w:b w:val="0"/>
        </w:rPr>
        <w:tab/>
      </w:r>
      <w:r w:rsidRPr="00271DFD">
        <w:rPr>
          <w:b w:val="0"/>
          <w:u w:val="single"/>
        </w:rPr>
        <w:t>Public Notice Required Prior to ICR Submission to OMB</w:t>
      </w:r>
    </w:p>
    <w:p w:rsidR="00135B83" w:rsidRPr="00F502B4" w:rsidRDefault="00135B83" w:rsidP="00066F0E">
      <w:pPr>
        <w:pStyle w:val="CM15"/>
        <w:widowControl/>
        <w:spacing w:after="0"/>
      </w:pPr>
    </w:p>
    <w:p w:rsidR="00817731" w:rsidRPr="0086573B" w:rsidRDefault="00135B83" w:rsidP="00FF13B1">
      <w:pPr>
        <w:pStyle w:val="CM17"/>
        <w:widowControl/>
        <w:spacing w:after="0"/>
        <w:ind w:firstLine="720"/>
      </w:pPr>
      <w:r w:rsidRPr="00F502B4">
        <w:t>An announcement of the public comment period for this ICR</w:t>
      </w:r>
      <w:r w:rsidR="008B7E46" w:rsidRPr="00F502B4">
        <w:t xml:space="preserve"> </w:t>
      </w:r>
      <w:r w:rsidRPr="00F502B4">
        <w:t xml:space="preserve">renewal was published in the </w:t>
      </w:r>
      <w:r w:rsidRPr="00F502B4">
        <w:rPr>
          <w:u w:val="single"/>
        </w:rPr>
        <w:t>Federal Register</w:t>
      </w:r>
      <w:r w:rsidRPr="00F502B4">
        <w:t xml:space="preserve"> (</w:t>
      </w:r>
      <w:r w:rsidR="00E04CE0">
        <w:t>7</w:t>
      </w:r>
      <w:r w:rsidR="00F14191">
        <w:t>5</w:t>
      </w:r>
      <w:r w:rsidRPr="00F502B4">
        <w:t xml:space="preserve"> </w:t>
      </w:r>
      <w:r w:rsidRPr="00F502B4">
        <w:rPr>
          <w:u w:val="single"/>
        </w:rPr>
        <w:t>FR</w:t>
      </w:r>
      <w:r w:rsidRPr="00F502B4">
        <w:t xml:space="preserve"> </w:t>
      </w:r>
      <w:r w:rsidR="00F14191">
        <w:t>63171</w:t>
      </w:r>
      <w:r w:rsidRPr="00F502B4">
        <w:t>) on</w:t>
      </w:r>
      <w:r w:rsidR="008B7E46" w:rsidRPr="00F502B4">
        <w:t xml:space="preserve"> </w:t>
      </w:r>
      <w:r w:rsidR="00F14191">
        <w:t>October 14</w:t>
      </w:r>
      <w:r w:rsidR="00E04CE0">
        <w:t>, 20</w:t>
      </w:r>
      <w:r w:rsidR="00F14191">
        <w:t>1</w:t>
      </w:r>
      <w:r w:rsidR="00E04CE0">
        <w:t>0</w:t>
      </w:r>
      <w:r w:rsidR="00F502B4" w:rsidRPr="00F502B4">
        <w:t xml:space="preserve">.  </w:t>
      </w:r>
      <w:r w:rsidR="00FF13B1">
        <w:t>No comments were received.</w:t>
      </w:r>
    </w:p>
    <w:p w:rsidR="00135B83" w:rsidRPr="00F502B4" w:rsidRDefault="00135B83" w:rsidP="00066F0E">
      <w:pPr>
        <w:pStyle w:val="CM17"/>
        <w:widowControl/>
        <w:spacing w:after="0"/>
        <w:ind w:firstLine="720"/>
      </w:pPr>
    </w:p>
    <w:p w:rsidR="00F502B4" w:rsidRDefault="00135B83" w:rsidP="00066F0E">
      <w:pPr>
        <w:pStyle w:val="Heading2"/>
        <w:ind w:left="360"/>
      </w:pPr>
      <w:r w:rsidRPr="00755854">
        <w:rPr>
          <w:b w:val="0"/>
        </w:rPr>
        <w:t xml:space="preserve">3(c) </w:t>
      </w:r>
      <w:r w:rsidR="0007630F">
        <w:t xml:space="preserve"> </w:t>
      </w:r>
      <w:r w:rsidR="009D037A">
        <w:tab/>
      </w:r>
      <w:r w:rsidRPr="00271DFD">
        <w:rPr>
          <w:b w:val="0"/>
          <w:u w:val="single"/>
        </w:rPr>
        <w:t>Consultations</w:t>
      </w:r>
    </w:p>
    <w:p w:rsidR="00135B83" w:rsidRPr="00F502B4" w:rsidRDefault="00135B83" w:rsidP="00066F0E">
      <w:pPr>
        <w:pStyle w:val="CM15"/>
        <w:widowControl/>
        <w:spacing w:after="0"/>
      </w:pPr>
    </w:p>
    <w:p w:rsidR="00F502B4" w:rsidRDefault="00135B83" w:rsidP="00066F0E">
      <w:pPr>
        <w:pStyle w:val="CM21"/>
        <w:widowControl/>
        <w:spacing w:after="0"/>
        <w:ind w:firstLine="720"/>
      </w:pPr>
      <w:r w:rsidRPr="00F502B4">
        <w:t>EPA consulted less than ten past respondents regarding this</w:t>
      </w:r>
      <w:r w:rsidR="008B7E46" w:rsidRPr="00F502B4">
        <w:t xml:space="preserve"> </w:t>
      </w:r>
      <w:r w:rsidRPr="00F502B4">
        <w:t>information collection burden.</w:t>
      </w:r>
    </w:p>
    <w:p w:rsidR="00135B83" w:rsidRPr="00F502B4" w:rsidRDefault="00135B83" w:rsidP="00066F0E">
      <w:pPr>
        <w:pStyle w:val="CM21"/>
        <w:widowControl/>
        <w:spacing w:after="0"/>
      </w:pPr>
    </w:p>
    <w:p w:rsidR="00F502B4" w:rsidRPr="00A75EBF" w:rsidRDefault="00F502B4" w:rsidP="00066F0E">
      <w:pPr>
        <w:pStyle w:val="CM16"/>
        <w:widowControl/>
        <w:spacing w:after="0"/>
      </w:pPr>
      <w:r w:rsidRPr="00A75EBF">
        <w:t>Contact:  Mr. Gary Gauthun</w:t>
      </w:r>
    </w:p>
    <w:p w:rsidR="00F502B4" w:rsidRPr="00A75EBF" w:rsidRDefault="00F502B4" w:rsidP="00066F0E">
      <w:pPr>
        <w:pStyle w:val="Default"/>
        <w:widowControl/>
        <w:rPr>
          <w:rFonts w:cs="Times New Roman"/>
        </w:rPr>
      </w:pPr>
      <w:r w:rsidRPr="00A75EBF">
        <w:rPr>
          <w:rFonts w:cs="Times New Roman"/>
        </w:rPr>
        <w:t>Company:  Northwest Products</w:t>
      </w:r>
    </w:p>
    <w:p w:rsidR="00F502B4" w:rsidRPr="002C41A0" w:rsidRDefault="00F502B4" w:rsidP="00066F0E">
      <w:pPr>
        <w:pStyle w:val="Default"/>
        <w:widowControl/>
        <w:rPr>
          <w:rFonts w:cs="Times New Roman"/>
        </w:rPr>
      </w:pPr>
      <w:r w:rsidRPr="00A75EBF">
        <w:rPr>
          <w:rFonts w:cs="Times New Roman"/>
        </w:rPr>
        <w:t>Phone:  253-854-1915</w:t>
      </w:r>
    </w:p>
    <w:p w:rsidR="00F502B4" w:rsidRPr="002C41A0" w:rsidRDefault="00F502B4" w:rsidP="00066F0E">
      <w:pPr>
        <w:pStyle w:val="Default"/>
        <w:widowControl/>
        <w:rPr>
          <w:rFonts w:cs="Times New Roman"/>
        </w:rPr>
      </w:pPr>
    </w:p>
    <w:p w:rsidR="00F502B4" w:rsidRPr="002C41A0" w:rsidRDefault="00F502B4" w:rsidP="00066F0E">
      <w:pPr>
        <w:pStyle w:val="Default"/>
        <w:widowControl/>
        <w:rPr>
          <w:rFonts w:cs="Times New Roman"/>
        </w:rPr>
      </w:pPr>
      <w:r w:rsidRPr="002C41A0">
        <w:rPr>
          <w:rFonts w:cs="Times New Roman"/>
        </w:rPr>
        <w:lastRenderedPageBreak/>
        <w:t>Contact:  Ms. Lisa Maeser</w:t>
      </w:r>
    </w:p>
    <w:p w:rsidR="00F502B4" w:rsidRPr="002C41A0" w:rsidRDefault="00F502B4" w:rsidP="00596E93">
      <w:pPr>
        <w:pStyle w:val="Default"/>
        <w:widowControl/>
        <w:rPr>
          <w:rFonts w:cs="Times New Roman"/>
        </w:rPr>
      </w:pPr>
      <w:r w:rsidRPr="002C41A0">
        <w:rPr>
          <w:rFonts w:cs="Times New Roman"/>
        </w:rPr>
        <w:t>Company:  Hardy Diesels and Equipment,</w:t>
      </w:r>
      <w:r w:rsidR="00596E93">
        <w:rPr>
          <w:rFonts w:cs="Times New Roman"/>
        </w:rPr>
        <w:t xml:space="preserve"> </w:t>
      </w:r>
      <w:smartTag w:uri="urn:schemas-microsoft-com:office:smarttags" w:element="country-region">
        <w:smartTag w:uri="urn:schemas-microsoft-com:office:smarttags" w:element="place">
          <w:r w:rsidRPr="002C41A0">
            <w:rPr>
              <w:rFonts w:cs="Times New Roman"/>
            </w:rPr>
            <w:t>China</w:t>
          </w:r>
        </w:smartTag>
      </w:smartTag>
      <w:r w:rsidRPr="002C41A0">
        <w:rPr>
          <w:rFonts w:cs="Times New Roman"/>
        </w:rPr>
        <w:t xml:space="preserve"> Diesel Imports</w:t>
      </w:r>
    </w:p>
    <w:p w:rsidR="00F502B4" w:rsidRPr="00F502B4" w:rsidRDefault="00F502B4" w:rsidP="00066F0E">
      <w:pPr>
        <w:pStyle w:val="Default"/>
        <w:widowControl/>
        <w:rPr>
          <w:rFonts w:cs="Times New Roman"/>
        </w:rPr>
      </w:pPr>
      <w:r w:rsidRPr="002C41A0">
        <w:rPr>
          <w:rFonts w:cs="Times New Roman"/>
        </w:rPr>
        <w:t>Phone:  800-341-7027</w:t>
      </w:r>
    </w:p>
    <w:p w:rsidR="00F502B4" w:rsidRPr="00F502B4" w:rsidRDefault="00F502B4" w:rsidP="00066F0E">
      <w:pPr>
        <w:pStyle w:val="Default"/>
        <w:widowControl/>
        <w:rPr>
          <w:rFonts w:cs="Times New Roman"/>
        </w:rPr>
      </w:pPr>
    </w:p>
    <w:p w:rsidR="00FF13B1" w:rsidRDefault="00FF13B1" w:rsidP="00066F0E">
      <w:pPr>
        <w:pStyle w:val="Heading2"/>
        <w:ind w:left="360"/>
        <w:rPr>
          <w:b w:val="0"/>
        </w:rPr>
      </w:pPr>
    </w:p>
    <w:p w:rsidR="00F502B4" w:rsidRPr="00271DFD" w:rsidRDefault="00135B83" w:rsidP="00066F0E">
      <w:pPr>
        <w:pStyle w:val="Heading2"/>
        <w:ind w:left="360"/>
        <w:rPr>
          <w:b w:val="0"/>
        </w:rPr>
      </w:pPr>
      <w:r w:rsidRPr="00271DFD">
        <w:rPr>
          <w:b w:val="0"/>
        </w:rPr>
        <w:t xml:space="preserve">3(d) </w:t>
      </w:r>
      <w:r w:rsidR="0007630F" w:rsidRPr="00271DFD">
        <w:rPr>
          <w:b w:val="0"/>
        </w:rPr>
        <w:t xml:space="preserve"> </w:t>
      </w:r>
      <w:r w:rsidR="009D037A" w:rsidRPr="00271DFD">
        <w:rPr>
          <w:b w:val="0"/>
        </w:rPr>
        <w:tab/>
      </w:r>
      <w:r w:rsidRPr="00271DFD">
        <w:rPr>
          <w:b w:val="0"/>
          <w:u w:val="single"/>
        </w:rPr>
        <w:t>Effects of Less Frequent Collection</w:t>
      </w:r>
    </w:p>
    <w:p w:rsidR="00135B83" w:rsidRPr="00F502B4" w:rsidRDefault="00135B83" w:rsidP="00066F0E">
      <w:pPr>
        <w:pStyle w:val="CM16"/>
        <w:widowControl/>
        <w:spacing w:after="0"/>
      </w:pPr>
    </w:p>
    <w:p w:rsidR="00F502B4" w:rsidRDefault="00FF13B1" w:rsidP="00066F0E">
      <w:pPr>
        <w:pStyle w:val="CM15"/>
        <w:widowControl/>
        <w:spacing w:after="0"/>
        <w:ind w:firstLine="720"/>
      </w:pPr>
      <w:r>
        <w:t>Under Part 89</w:t>
      </w:r>
      <w:r w:rsidR="00135B83" w:rsidRPr="00F502B4">
        <w:t>, each item of</w:t>
      </w:r>
      <w:r w:rsidR="008B7E46" w:rsidRPr="00F502B4">
        <w:t xml:space="preserve"> </w:t>
      </w:r>
      <w:r w:rsidR="00135B83" w:rsidRPr="00F502B4">
        <w:t xml:space="preserve">information requested </w:t>
      </w:r>
      <w:r w:rsidR="008024A5">
        <w:t xml:space="preserve">from equipment manufacturers </w:t>
      </w:r>
      <w:r w:rsidR="00135B83" w:rsidRPr="00F502B4">
        <w:t>is collected only once</w:t>
      </w:r>
      <w:r w:rsidR="00F502B4" w:rsidRPr="00F502B4">
        <w:t xml:space="preserve">.  </w:t>
      </w:r>
      <w:r w:rsidR="00135B83" w:rsidRPr="00F502B4">
        <w:t>More information</w:t>
      </w:r>
      <w:r w:rsidR="008B7E46" w:rsidRPr="00F502B4">
        <w:t xml:space="preserve"> </w:t>
      </w:r>
      <w:r w:rsidR="00135B83" w:rsidRPr="00F502B4">
        <w:t>could be requested if it is deemed necessary for</w:t>
      </w:r>
      <w:r w:rsidR="008B7E46" w:rsidRPr="00F502B4">
        <w:t xml:space="preserve"> </w:t>
      </w:r>
      <w:r w:rsidR="00135B83" w:rsidRPr="00F502B4">
        <w:t xml:space="preserve">compliance/enforcement purposes. </w:t>
      </w:r>
      <w:r w:rsidR="008024A5">
        <w:t xml:space="preserve">Part 1039 participants, however, must also submit annual reports.  In these reports, equipment manufacturers must report the number of pieces of equipment they have sold in the US under TPEM.  TPEM allows equipment manufacturers to sell only a limited amount of pieces of equipment throughout the duration of the program.  Under the Small Volume Allowance, sales must comply with annual limits.  Under the Percent-of-Production Allowance, manufacturers must keep track of annual sales percentages, which must be added up until a program cap is reached.  Due to these limits, annual reporting is the best way for both manufacturers and EPA to make sure that program requirements are complied with. </w:t>
      </w:r>
    </w:p>
    <w:p w:rsidR="00135B83" w:rsidRPr="00F502B4" w:rsidRDefault="00135B83" w:rsidP="00066F0E">
      <w:pPr>
        <w:pStyle w:val="CM15"/>
        <w:widowControl/>
        <w:spacing w:after="0"/>
        <w:ind w:firstLine="720"/>
      </w:pPr>
    </w:p>
    <w:p w:rsidR="00F502B4" w:rsidRDefault="008024A5" w:rsidP="00066F0E">
      <w:pPr>
        <w:pStyle w:val="CM17"/>
        <w:widowControl/>
        <w:spacing w:after="0"/>
        <w:ind w:firstLine="720"/>
      </w:pPr>
      <w:r>
        <w:t xml:space="preserve">Engine manufacturers </w:t>
      </w:r>
      <w:r w:rsidR="00135B83" w:rsidRPr="00F502B4">
        <w:t>are required to submit an annual</w:t>
      </w:r>
      <w:r w:rsidR="008B7E46" w:rsidRPr="00F502B4">
        <w:t xml:space="preserve"> </w:t>
      </w:r>
      <w:r w:rsidR="00135B83" w:rsidRPr="00F502B4">
        <w:t>production report under the requirements of the Certification</w:t>
      </w:r>
      <w:r w:rsidR="008B7E46" w:rsidRPr="00F502B4">
        <w:t xml:space="preserve"> </w:t>
      </w:r>
      <w:r w:rsidR="00135B83" w:rsidRPr="00F502B4">
        <w:t>Program</w:t>
      </w:r>
      <w:r w:rsidR="00140823">
        <w:t xml:space="preserve">. TPEM keeps that frequency so engine manufacturers may submit their TPEM data at the same time they submit their overall engine sales data.  It is also easier for </w:t>
      </w:r>
      <w:r w:rsidR="00135B83" w:rsidRPr="00F502B4">
        <w:t>engine manufacturer</w:t>
      </w:r>
      <w:r w:rsidR="00140823">
        <w:t>s</w:t>
      </w:r>
      <w:r w:rsidR="008B7E46" w:rsidRPr="00F502B4">
        <w:t xml:space="preserve"> </w:t>
      </w:r>
      <w:r w:rsidR="00135B83" w:rsidRPr="00F502B4">
        <w:t>to gather the information at the end of the engine model year</w:t>
      </w:r>
      <w:r w:rsidR="008B7E46" w:rsidRPr="00F502B4">
        <w:t xml:space="preserve"> </w:t>
      </w:r>
      <w:r w:rsidR="00135B83" w:rsidRPr="00F502B4">
        <w:t>rather than coming back later to gather information from</w:t>
      </w:r>
      <w:r w:rsidR="008B7E46" w:rsidRPr="00F502B4">
        <w:t xml:space="preserve"> </w:t>
      </w:r>
      <w:r w:rsidR="00135B83" w:rsidRPr="00F502B4">
        <w:t>different years and production cycles.</w:t>
      </w:r>
    </w:p>
    <w:p w:rsidR="008024A5" w:rsidRDefault="008024A5" w:rsidP="008024A5">
      <w:pPr>
        <w:pStyle w:val="Default"/>
      </w:pPr>
    </w:p>
    <w:p w:rsidR="008024A5" w:rsidRPr="008024A5" w:rsidRDefault="008024A5" w:rsidP="008024A5">
      <w:pPr>
        <w:pStyle w:val="Default"/>
      </w:pPr>
      <w:r>
        <w:tab/>
        <w:t xml:space="preserve"> </w:t>
      </w:r>
    </w:p>
    <w:p w:rsidR="00135B83" w:rsidRPr="00F502B4" w:rsidRDefault="00135B83" w:rsidP="00066F0E">
      <w:pPr>
        <w:pStyle w:val="CM17"/>
        <w:widowControl/>
        <w:spacing w:after="0"/>
        <w:ind w:firstLine="720"/>
      </w:pPr>
    </w:p>
    <w:p w:rsidR="00F502B4" w:rsidRPr="00271DFD" w:rsidRDefault="00135B83" w:rsidP="00066F0E">
      <w:pPr>
        <w:pStyle w:val="Heading2"/>
        <w:ind w:left="360"/>
        <w:rPr>
          <w:b w:val="0"/>
        </w:rPr>
      </w:pPr>
      <w:r w:rsidRPr="00271DFD">
        <w:rPr>
          <w:b w:val="0"/>
        </w:rPr>
        <w:t xml:space="preserve">3(e) </w:t>
      </w:r>
      <w:r w:rsidR="0007630F" w:rsidRPr="00271DFD">
        <w:rPr>
          <w:b w:val="0"/>
        </w:rPr>
        <w:t xml:space="preserve"> </w:t>
      </w:r>
      <w:r w:rsidR="009D037A" w:rsidRPr="00271DFD">
        <w:rPr>
          <w:b w:val="0"/>
        </w:rPr>
        <w:tab/>
      </w:r>
      <w:r w:rsidRPr="00271DFD">
        <w:rPr>
          <w:b w:val="0"/>
          <w:u w:val="single"/>
        </w:rPr>
        <w:t>General Guidelines</w:t>
      </w:r>
    </w:p>
    <w:p w:rsidR="00135B83" w:rsidRPr="00F502B4" w:rsidRDefault="00135B83" w:rsidP="00066F0E">
      <w:pPr>
        <w:pStyle w:val="CM15"/>
        <w:widowControl/>
        <w:spacing w:after="0"/>
      </w:pPr>
    </w:p>
    <w:p w:rsidR="00F502B4" w:rsidRDefault="00135B83" w:rsidP="00066F0E">
      <w:pPr>
        <w:pStyle w:val="CM17"/>
        <w:widowControl/>
        <w:spacing w:after="0"/>
        <w:ind w:firstLine="720"/>
      </w:pPr>
      <w:r w:rsidRPr="00F502B4">
        <w:t>This section is not applicable</w:t>
      </w:r>
      <w:r w:rsidR="00F502B4" w:rsidRPr="00F502B4">
        <w:t xml:space="preserve">.  </w:t>
      </w:r>
      <w:r w:rsidRPr="00F502B4">
        <w:t>No Paperwork Reduction Act</w:t>
      </w:r>
      <w:r w:rsidR="008B7E46" w:rsidRPr="00F502B4">
        <w:t xml:space="preserve"> </w:t>
      </w:r>
      <w:r w:rsidRPr="00F502B4">
        <w:t>guideline is exceeded.</w:t>
      </w:r>
    </w:p>
    <w:p w:rsidR="00135B83" w:rsidRPr="00F502B4" w:rsidRDefault="00135B83" w:rsidP="00066F0E">
      <w:pPr>
        <w:pStyle w:val="CM17"/>
        <w:widowControl/>
        <w:spacing w:after="0"/>
        <w:ind w:firstLine="720"/>
      </w:pPr>
    </w:p>
    <w:p w:rsidR="00F502B4" w:rsidRPr="00271DFD" w:rsidRDefault="00135B83" w:rsidP="00066F0E">
      <w:pPr>
        <w:pStyle w:val="Heading2"/>
        <w:ind w:left="360"/>
        <w:rPr>
          <w:b w:val="0"/>
        </w:rPr>
      </w:pPr>
      <w:r w:rsidRPr="00271DFD">
        <w:rPr>
          <w:b w:val="0"/>
        </w:rPr>
        <w:t xml:space="preserve">3(f) </w:t>
      </w:r>
      <w:r w:rsidR="0007630F" w:rsidRPr="00271DFD">
        <w:rPr>
          <w:b w:val="0"/>
        </w:rPr>
        <w:t xml:space="preserve"> </w:t>
      </w:r>
      <w:r w:rsidR="009D037A" w:rsidRPr="00271DFD">
        <w:rPr>
          <w:b w:val="0"/>
        </w:rPr>
        <w:tab/>
      </w:r>
      <w:r w:rsidRPr="00271DFD">
        <w:rPr>
          <w:b w:val="0"/>
          <w:u w:val="single"/>
        </w:rPr>
        <w:t>Confidentiality</w:t>
      </w:r>
    </w:p>
    <w:p w:rsidR="00135B83" w:rsidRPr="00F502B4" w:rsidRDefault="00135B83" w:rsidP="00066F0E">
      <w:pPr>
        <w:pStyle w:val="CM15"/>
        <w:widowControl/>
        <w:spacing w:after="0"/>
      </w:pPr>
    </w:p>
    <w:p w:rsidR="00F502B4" w:rsidRDefault="00135B83" w:rsidP="00066F0E">
      <w:pPr>
        <w:pStyle w:val="CM17"/>
        <w:widowControl/>
        <w:spacing w:after="0"/>
        <w:ind w:firstLine="720"/>
      </w:pPr>
      <w:r w:rsidRPr="00F502B4">
        <w:t>Manufacturers are allowed to assert a claim of</w:t>
      </w:r>
      <w:r w:rsidR="008B7E46" w:rsidRPr="00F502B4">
        <w:t xml:space="preserve"> </w:t>
      </w:r>
      <w:r w:rsidRPr="00F502B4">
        <w:t xml:space="preserve">confidentiality over information provided to EPA. </w:t>
      </w:r>
      <w:r w:rsidR="008B7E46" w:rsidRPr="00F502B4">
        <w:t xml:space="preserve"> </w:t>
      </w:r>
      <w:r w:rsidRPr="00F502B4">
        <w:t>Confidentiality is provided in accordance with the Freedom of</w:t>
      </w:r>
      <w:r w:rsidR="008B7E46" w:rsidRPr="00F502B4">
        <w:t xml:space="preserve"> </w:t>
      </w:r>
      <w:r w:rsidRPr="00F502B4">
        <w:t xml:space="preserve">Information Act and EPA regulations at 40 CFR </w:t>
      </w:r>
      <w:r w:rsidR="00F502B4">
        <w:t>part</w:t>
      </w:r>
      <w:r w:rsidRPr="00F502B4">
        <w:t xml:space="preserve"> 2.</w:t>
      </w:r>
    </w:p>
    <w:p w:rsidR="00135B83" w:rsidRPr="00F502B4" w:rsidRDefault="00135B83" w:rsidP="00066F0E">
      <w:pPr>
        <w:pStyle w:val="CM17"/>
        <w:widowControl/>
        <w:spacing w:after="0"/>
        <w:ind w:firstLine="1440"/>
      </w:pPr>
    </w:p>
    <w:p w:rsidR="00F502B4" w:rsidRPr="00271DFD" w:rsidRDefault="00135B83" w:rsidP="00066F0E">
      <w:pPr>
        <w:pStyle w:val="Heading2"/>
        <w:ind w:left="360"/>
        <w:rPr>
          <w:b w:val="0"/>
        </w:rPr>
      </w:pPr>
      <w:r w:rsidRPr="00271DFD">
        <w:rPr>
          <w:b w:val="0"/>
        </w:rPr>
        <w:t xml:space="preserve">3(g) </w:t>
      </w:r>
      <w:r w:rsidR="0007630F" w:rsidRPr="00271DFD">
        <w:rPr>
          <w:b w:val="0"/>
        </w:rPr>
        <w:t xml:space="preserve"> </w:t>
      </w:r>
      <w:r w:rsidR="009D037A" w:rsidRPr="00271DFD">
        <w:rPr>
          <w:b w:val="0"/>
        </w:rPr>
        <w:tab/>
      </w:r>
      <w:r w:rsidRPr="00271DFD">
        <w:rPr>
          <w:b w:val="0"/>
          <w:u w:val="single"/>
        </w:rPr>
        <w:t>Sensitive Questions</w:t>
      </w:r>
    </w:p>
    <w:p w:rsidR="00135B83" w:rsidRPr="00F502B4" w:rsidRDefault="00135B83" w:rsidP="00066F0E">
      <w:pPr>
        <w:pStyle w:val="CM15"/>
        <w:widowControl/>
        <w:spacing w:after="0"/>
      </w:pPr>
    </w:p>
    <w:p w:rsidR="00135B83" w:rsidRDefault="00135B83" w:rsidP="00066F0E">
      <w:pPr>
        <w:pStyle w:val="CM20"/>
        <w:widowControl/>
        <w:spacing w:after="0"/>
        <w:ind w:firstLine="720"/>
      </w:pPr>
      <w:r w:rsidRPr="00F502B4">
        <w:t>No sensitive questions are asked in this information</w:t>
      </w:r>
      <w:r w:rsidR="008B7E46" w:rsidRPr="00F502B4">
        <w:t xml:space="preserve"> </w:t>
      </w:r>
      <w:r w:rsidRPr="00F502B4">
        <w:t xml:space="preserve">collection. </w:t>
      </w:r>
      <w:r w:rsidR="008B7E46" w:rsidRPr="00F502B4">
        <w:t xml:space="preserve"> </w:t>
      </w:r>
    </w:p>
    <w:p w:rsidR="00F502B4" w:rsidRPr="00F502B4" w:rsidRDefault="00F502B4" w:rsidP="00066F0E">
      <w:pPr>
        <w:pStyle w:val="Default"/>
        <w:widowControl/>
      </w:pPr>
    </w:p>
    <w:p w:rsidR="00F502B4" w:rsidRPr="009D037A" w:rsidRDefault="00135B83" w:rsidP="00066F0E">
      <w:pPr>
        <w:pStyle w:val="Heading1"/>
        <w:rPr>
          <w:u w:val="single"/>
        </w:rPr>
      </w:pPr>
      <w:r w:rsidRPr="00F502B4">
        <w:t xml:space="preserve">4. </w:t>
      </w:r>
      <w:r w:rsidR="00C50C6A">
        <w:t xml:space="preserve"> </w:t>
      </w:r>
      <w:r w:rsidR="009D037A">
        <w:tab/>
      </w:r>
      <w:r w:rsidRPr="009D037A">
        <w:rPr>
          <w:u w:val="single"/>
        </w:rPr>
        <w:t>Respondents and Information Requested</w:t>
      </w:r>
    </w:p>
    <w:p w:rsidR="00135B83" w:rsidRPr="00F502B4" w:rsidRDefault="00135B83" w:rsidP="00066F0E">
      <w:pPr>
        <w:pStyle w:val="CM4"/>
        <w:widowControl/>
        <w:spacing w:line="240" w:lineRule="auto"/>
      </w:pPr>
    </w:p>
    <w:p w:rsidR="00F502B4" w:rsidRPr="00271DFD" w:rsidRDefault="00135B83" w:rsidP="00066F0E">
      <w:pPr>
        <w:pStyle w:val="Heading2"/>
        <w:ind w:left="360"/>
        <w:rPr>
          <w:b w:val="0"/>
          <w:u w:val="single"/>
        </w:rPr>
      </w:pPr>
      <w:r w:rsidRPr="00271DFD">
        <w:rPr>
          <w:b w:val="0"/>
        </w:rPr>
        <w:t xml:space="preserve">4(a) </w:t>
      </w:r>
      <w:r w:rsidR="0007630F" w:rsidRPr="00271DFD">
        <w:rPr>
          <w:b w:val="0"/>
        </w:rPr>
        <w:t xml:space="preserve"> </w:t>
      </w:r>
      <w:r w:rsidR="009D037A" w:rsidRPr="00271DFD">
        <w:rPr>
          <w:b w:val="0"/>
        </w:rPr>
        <w:tab/>
      </w:r>
      <w:r w:rsidRPr="00271DFD">
        <w:rPr>
          <w:b w:val="0"/>
          <w:u w:val="single"/>
        </w:rPr>
        <w:t>Respondents/NAICS Codes</w:t>
      </w:r>
    </w:p>
    <w:p w:rsidR="00135B83" w:rsidRPr="00F502B4" w:rsidRDefault="00135B83" w:rsidP="00066F0E">
      <w:pPr>
        <w:pStyle w:val="CM15"/>
        <w:widowControl/>
        <w:spacing w:after="0"/>
      </w:pPr>
    </w:p>
    <w:p w:rsidR="00F502B4" w:rsidRDefault="00135B83" w:rsidP="00066F0E">
      <w:pPr>
        <w:pStyle w:val="CM15"/>
        <w:widowControl/>
        <w:spacing w:after="0"/>
        <w:ind w:firstLine="720"/>
      </w:pPr>
      <w:r w:rsidRPr="00F502B4">
        <w:lastRenderedPageBreak/>
        <w:t>Respondents are manufacturers of nonroad equipment and</w:t>
      </w:r>
      <w:r w:rsidR="008B7E46" w:rsidRPr="00F502B4">
        <w:t xml:space="preserve"> </w:t>
      </w:r>
      <w:r w:rsidRPr="00F502B4">
        <w:t>engines within the following North American Industry</w:t>
      </w:r>
      <w:r w:rsidR="008B7E46" w:rsidRPr="00F502B4">
        <w:t xml:space="preserve"> </w:t>
      </w:r>
      <w:r w:rsidRPr="00F502B4">
        <w:t>Classification System codes:</w:t>
      </w:r>
    </w:p>
    <w:p w:rsidR="00135B83" w:rsidRPr="00F502B4" w:rsidRDefault="00135B83" w:rsidP="00066F0E">
      <w:pPr>
        <w:pStyle w:val="CM15"/>
        <w:widowControl/>
        <w:spacing w:after="0"/>
        <w:ind w:firstLine="720"/>
      </w:pPr>
    </w:p>
    <w:p w:rsidR="00F502B4" w:rsidRDefault="00C50C6A" w:rsidP="00066F0E">
      <w:pPr>
        <w:pStyle w:val="CM17"/>
        <w:widowControl/>
        <w:spacing w:after="0"/>
      </w:pPr>
      <w:r>
        <w:t>333618</w:t>
      </w:r>
      <w:r>
        <w:tab/>
      </w:r>
      <w:r w:rsidR="00135B83" w:rsidRPr="00F502B4">
        <w:t>Other Engine Equipment Manufacturing</w:t>
      </w:r>
    </w:p>
    <w:p w:rsidR="00F502B4" w:rsidRDefault="00C50C6A" w:rsidP="00066F0E">
      <w:pPr>
        <w:pStyle w:val="CM17"/>
        <w:widowControl/>
        <w:spacing w:after="0"/>
      </w:pPr>
      <w:r>
        <w:t>333111</w:t>
      </w:r>
      <w:r>
        <w:tab/>
      </w:r>
      <w:r w:rsidR="00135B83" w:rsidRPr="00F502B4">
        <w:t>Farm Machinery and Equipment Manufacturing</w:t>
      </w:r>
    </w:p>
    <w:p w:rsidR="00245872" w:rsidRPr="00245872" w:rsidRDefault="00245872" w:rsidP="00245872">
      <w:pPr>
        <w:pStyle w:val="Default"/>
      </w:pPr>
      <w:r>
        <w:t>333112</w:t>
      </w:r>
      <w:r>
        <w:tab/>
        <w:t>Lawn and Garden Tractor Manufacturing</w:t>
      </w:r>
    </w:p>
    <w:p w:rsidR="00F502B4" w:rsidRDefault="00135B83" w:rsidP="00066F0E">
      <w:pPr>
        <w:pStyle w:val="CM17"/>
        <w:widowControl/>
        <w:spacing w:after="0"/>
      </w:pPr>
      <w:r w:rsidRPr="00F502B4">
        <w:t>333120</w:t>
      </w:r>
      <w:r w:rsidR="00C50C6A">
        <w:tab/>
      </w:r>
      <w:r w:rsidRPr="00F502B4">
        <w:t>Construction Machinery Manufacturing</w:t>
      </w:r>
    </w:p>
    <w:p w:rsidR="00135B83" w:rsidRPr="00F502B4" w:rsidRDefault="00135B83" w:rsidP="00066F0E">
      <w:pPr>
        <w:pStyle w:val="CM17"/>
        <w:widowControl/>
        <w:spacing w:after="0"/>
      </w:pPr>
    </w:p>
    <w:p w:rsidR="00F502B4" w:rsidRPr="00271DFD" w:rsidRDefault="00135B83" w:rsidP="00066F0E">
      <w:pPr>
        <w:pStyle w:val="Heading2"/>
        <w:ind w:left="360"/>
        <w:rPr>
          <w:b w:val="0"/>
        </w:rPr>
      </w:pPr>
      <w:r w:rsidRPr="00271DFD">
        <w:rPr>
          <w:b w:val="0"/>
        </w:rPr>
        <w:t xml:space="preserve">4(b) </w:t>
      </w:r>
      <w:r w:rsidR="0007630F" w:rsidRPr="00271DFD">
        <w:rPr>
          <w:b w:val="0"/>
        </w:rPr>
        <w:t xml:space="preserve"> </w:t>
      </w:r>
      <w:r w:rsidR="00A929FE" w:rsidRPr="00271DFD">
        <w:rPr>
          <w:b w:val="0"/>
        </w:rPr>
        <w:tab/>
      </w:r>
      <w:r w:rsidRPr="00271DFD">
        <w:rPr>
          <w:b w:val="0"/>
          <w:u w:val="single"/>
        </w:rPr>
        <w:t>Information Requested</w:t>
      </w:r>
    </w:p>
    <w:p w:rsidR="00135B83" w:rsidRPr="00F502B4" w:rsidRDefault="00135B83" w:rsidP="00066F0E">
      <w:pPr>
        <w:pStyle w:val="CM16"/>
        <w:widowControl/>
        <w:spacing w:after="0"/>
      </w:pPr>
    </w:p>
    <w:p w:rsidR="00F502B4" w:rsidRDefault="00135B83" w:rsidP="00140823">
      <w:pPr>
        <w:pStyle w:val="CM15"/>
        <w:widowControl/>
        <w:spacing w:after="0"/>
        <w:ind w:firstLine="720"/>
      </w:pPr>
      <w:r w:rsidRPr="00F502B4">
        <w:t xml:space="preserve">TPEM consists of </w:t>
      </w:r>
      <w:r w:rsidR="00140823">
        <w:t xml:space="preserve">two </w:t>
      </w:r>
      <w:r w:rsidR="00C50C6A">
        <w:t>"</w:t>
      </w:r>
      <w:r w:rsidRPr="00F502B4">
        <w:t>allowances</w:t>
      </w:r>
      <w:r w:rsidR="00C50C6A">
        <w:t>"</w:t>
      </w:r>
      <w:r w:rsidRPr="00F502B4">
        <w:t>:</w:t>
      </w:r>
      <w:r w:rsidR="00140823">
        <w:t xml:space="preserve"> the Percent-of-production A</w:t>
      </w:r>
      <w:r w:rsidRPr="00F502B4">
        <w:t>llowance</w:t>
      </w:r>
      <w:r w:rsidR="00140823">
        <w:t xml:space="preserve"> and the Small Volume Allowance. It also contains provisions for manufacturers facing economic or technical hardship to seek additional relief.</w:t>
      </w:r>
    </w:p>
    <w:p w:rsidR="00135B83" w:rsidRPr="00F502B4" w:rsidRDefault="00135B83" w:rsidP="00066F0E">
      <w:pPr>
        <w:pStyle w:val="Default"/>
        <w:widowControl/>
        <w:rPr>
          <w:rFonts w:cs="Times New Roman"/>
          <w:color w:val="auto"/>
        </w:rPr>
      </w:pPr>
    </w:p>
    <w:p w:rsidR="00140823" w:rsidRDefault="00A75EBF" w:rsidP="00066F0E">
      <w:pPr>
        <w:pStyle w:val="CM15"/>
        <w:widowControl/>
        <w:spacing w:after="0"/>
        <w:ind w:firstLine="720"/>
      </w:pPr>
      <w:r>
        <w:t>Equipment manufacturers</w:t>
      </w:r>
      <w:r w:rsidR="00135B83" w:rsidRPr="00F502B4">
        <w:t xml:space="preserve"> can claim only one per power category</w:t>
      </w:r>
      <w:r w:rsidR="00140823">
        <w:rPr>
          <w:rStyle w:val="FootnoteReference"/>
        </w:rPr>
        <w:footnoteReference w:id="1"/>
      </w:r>
      <w:r w:rsidR="00F502B4" w:rsidRPr="00F502B4">
        <w:t xml:space="preserve">.  </w:t>
      </w:r>
      <w:r w:rsidR="00140823">
        <w:t>Hardship relief is given on a case-by-cases basis</w:t>
      </w:r>
      <w:r w:rsidR="00A2218E">
        <w:t>. When applying for hardship, manufacturers must submit information about the circumstances that created the hardship, demonstrate that these circumstances are beyond their control and not their fault and, depending on the type of hardship requested, technical or financial information.</w:t>
      </w:r>
    </w:p>
    <w:p w:rsidR="00135B83" w:rsidRPr="00F502B4" w:rsidRDefault="00135B83" w:rsidP="00A2218E">
      <w:pPr>
        <w:pStyle w:val="CM15"/>
        <w:widowControl/>
        <w:spacing w:after="0"/>
      </w:pPr>
    </w:p>
    <w:p w:rsidR="00F502B4" w:rsidRDefault="00A75EBF" w:rsidP="00066F0E">
      <w:pPr>
        <w:pStyle w:val="CM15"/>
        <w:widowControl/>
        <w:spacing w:after="0"/>
        <w:ind w:firstLine="720"/>
      </w:pPr>
      <w:r>
        <w:t>Equipment manufacturers</w:t>
      </w:r>
      <w:r w:rsidR="00135B83" w:rsidRPr="00F502B4">
        <w:t xml:space="preserve"> must demonstrate compliance with the provisions of the</w:t>
      </w:r>
      <w:r w:rsidR="008B7E46" w:rsidRPr="00F502B4">
        <w:t xml:space="preserve"> </w:t>
      </w:r>
      <w:r w:rsidR="00135B83" w:rsidRPr="00F502B4">
        <w:t>allowance they have selected for each power category by</w:t>
      </w:r>
      <w:r w:rsidR="008B7E46" w:rsidRPr="00F502B4">
        <w:t xml:space="preserve"> </w:t>
      </w:r>
      <w:r w:rsidR="00135B83" w:rsidRPr="00F502B4">
        <w:t>submitting the corresponding calculations and by keeping adequate</w:t>
      </w:r>
      <w:r w:rsidR="008B7E46" w:rsidRPr="00F502B4">
        <w:t xml:space="preserve"> </w:t>
      </w:r>
      <w:r w:rsidR="00135B83" w:rsidRPr="00F502B4">
        <w:t>records of all exempt equipment</w:t>
      </w:r>
      <w:r w:rsidR="00F502B4" w:rsidRPr="00F502B4">
        <w:t xml:space="preserve">.  </w:t>
      </w:r>
      <w:r w:rsidR="00135B83" w:rsidRPr="00F502B4">
        <w:t>A list of power categories is</w:t>
      </w:r>
      <w:r w:rsidR="008B7E46" w:rsidRPr="00F502B4">
        <w:t xml:space="preserve"> </w:t>
      </w:r>
      <w:r w:rsidR="00135B83" w:rsidRPr="00F502B4">
        <w:t>attached.</w:t>
      </w:r>
    </w:p>
    <w:p w:rsidR="00135B83" w:rsidRPr="00F502B4" w:rsidRDefault="00135B83" w:rsidP="00066F0E">
      <w:pPr>
        <w:pStyle w:val="CM15"/>
        <w:widowControl/>
        <w:spacing w:after="0"/>
        <w:ind w:firstLine="720"/>
      </w:pPr>
    </w:p>
    <w:p w:rsidR="002E43FB" w:rsidRDefault="00A75EBF" w:rsidP="00E230A6">
      <w:pPr>
        <w:pStyle w:val="CM15"/>
        <w:widowControl/>
        <w:spacing w:after="0"/>
        <w:ind w:firstLine="720"/>
      </w:pPr>
      <w:r>
        <w:t>Equipment manufacturers</w:t>
      </w:r>
      <w:r w:rsidR="00135B83" w:rsidRPr="00F502B4">
        <w:t xml:space="preserve"> electing to participate in TPEM must also assure, in</w:t>
      </w:r>
      <w:r w:rsidR="008B7E46" w:rsidRPr="00F502B4">
        <w:t xml:space="preserve"> </w:t>
      </w:r>
      <w:r w:rsidR="00135B83" w:rsidRPr="00F502B4">
        <w:t>writing, to the engine manufacturer supplying the noncompliant</w:t>
      </w:r>
      <w:r w:rsidR="008B7E46" w:rsidRPr="00F502B4">
        <w:t xml:space="preserve"> </w:t>
      </w:r>
      <w:r w:rsidR="00135B83" w:rsidRPr="00F502B4">
        <w:t>engines that these engines are going to be used only in</w:t>
      </w:r>
      <w:r w:rsidR="008B7E46" w:rsidRPr="00F502B4">
        <w:t xml:space="preserve"> </w:t>
      </w:r>
      <w:r w:rsidR="00135B83" w:rsidRPr="00F502B4">
        <w:t>accordance with the provisions of TPEM</w:t>
      </w:r>
      <w:r w:rsidR="00F502B4" w:rsidRPr="00F502B4">
        <w:t xml:space="preserve">.  </w:t>
      </w:r>
      <w:r w:rsidR="00135B83" w:rsidRPr="00F502B4">
        <w:t>Engine manufacturers</w:t>
      </w:r>
      <w:r w:rsidR="008B7E46" w:rsidRPr="00F502B4">
        <w:t xml:space="preserve"> </w:t>
      </w:r>
      <w:r w:rsidR="00135B83" w:rsidRPr="00F502B4">
        <w:t>need that written assurance to protect themselves against the</w:t>
      </w:r>
      <w:r w:rsidR="008B7E46" w:rsidRPr="00F502B4">
        <w:t xml:space="preserve"> </w:t>
      </w:r>
      <w:r w:rsidR="00870987">
        <w:t xml:space="preserve">liabilities </w:t>
      </w:r>
      <w:r w:rsidR="00135B83" w:rsidRPr="00F502B4">
        <w:t>found in 40 CFR 89.1003</w:t>
      </w:r>
      <w:r w:rsidR="00870987">
        <w:t>, 1039.101(a)(1)</w:t>
      </w:r>
      <w:r w:rsidR="00575B5E">
        <w:t xml:space="preserve"> and 10</w:t>
      </w:r>
      <w:r w:rsidR="00A41470">
        <w:t>68</w:t>
      </w:r>
      <w:r w:rsidR="00575B5E">
        <w:t>.</w:t>
      </w:r>
      <w:r w:rsidR="00A41470">
        <w:t>101(a)(1)</w:t>
      </w:r>
      <w:r w:rsidR="00135B83" w:rsidRPr="00F502B4">
        <w:t>.</w:t>
      </w:r>
      <w:r w:rsidR="002E43FB">
        <w:t xml:space="preserve"> </w:t>
      </w:r>
      <w:r w:rsidR="00E230A6">
        <w:t xml:space="preserve">  </w:t>
      </w:r>
      <w:r w:rsidR="002E43FB">
        <w:t>There are also engine labeling requirements for Tier 4 NRCI and small SI engines.</w:t>
      </w:r>
    </w:p>
    <w:p w:rsidR="002E43FB" w:rsidRDefault="002E43FB" w:rsidP="002E43FB">
      <w:pPr>
        <w:pStyle w:val="Default"/>
      </w:pPr>
    </w:p>
    <w:p w:rsidR="002E43FB" w:rsidRDefault="002E43FB" w:rsidP="002E43FB">
      <w:pPr>
        <w:pStyle w:val="Default"/>
      </w:pPr>
      <w:r>
        <w:tab/>
        <w:t>For imported Tier 4 NRCI and small SI equipment, equipment manufacturers may need to post a bond, prior to importation, “to cover any potential enforcement actions under the CAA” [1039.626(a)(9) and 1054.626(a)(9)].  NRCI engine manufacturers who also manufacture equipment abroad may request a bond waiver if their US assets exceed $10 million [1039.626(a)(9)(ii)(B) and1054.690].</w:t>
      </w:r>
    </w:p>
    <w:p w:rsidR="00135B83" w:rsidRPr="00F502B4" w:rsidRDefault="00135B83" w:rsidP="00066F0E">
      <w:pPr>
        <w:pStyle w:val="CM15"/>
        <w:widowControl/>
        <w:spacing w:after="0"/>
        <w:ind w:firstLine="720"/>
      </w:pPr>
    </w:p>
    <w:p w:rsidR="00F502B4" w:rsidRDefault="00A75EBF" w:rsidP="00066F0E">
      <w:pPr>
        <w:pStyle w:val="CM18"/>
        <w:widowControl/>
        <w:spacing w:after="0"/>
        <w:ind w:firstLine="720"/>
      </w:pPr>
      <w:r>
        <w:t>Equipment manufacturers</w:t>
      </w:r>
      <w:r w:rsidR="00135B83" w:rsidRPr="00F502B4">
        <w:t xml:space="preserve"> must keep records of the production of all pieces of</w:t>
      </w:r>
      <w:r w:rsidR="008B7E46" w:rsidRPr="00F502B4">
        <w:t xml:space="preserve"> </w:t>
      </w:r>
      <w:r w:rsidR="00135B83" w:rsidRPr="00F502B4">
        <w:t>equipment manufactured under the provisions of TPEM</w:t>
      </w:r>
      <w:r w:rsidR="00F502B4" w:rsidRPr="00F502B4">
        <w:t xml:space="preserve">.  </w:t>
      </w:r>
      <w:r w:rsidR="00135B83" w:rsidRPr="00F502B4">
        <w:t>These</w:t>
      </w:r>
      <w:r w:rsidR="008B7E46" w:rsidRPr="00F502B4">
        <w:t xml:space="preserve"> </w:t>
      </w:r>
      <w:r w:rsidR="00135B83" w:rsidRPr="00F502B4">
        <w:t>records must be kept until December 31 of the year after the last</w:t>
      </w:r>
      <w:r w:rsidR="008B7E46" w:rsidRPr="00F502B4">
        <w:t xml:space="preserve"> </w:t>
      </w:r>
      <w:r w:rsidR="00135B83" w:rsidRPr="00F502B4">
        <w:t xml:space="preserve">year in which any of the allowances are used by the company. </w:t>
      </w:r>
      <w:r w:rsidR="008B7E46" w:rsidRPr="00F502B4">
        <w:t xml:space="preserve"> </w:t>
      </w:r>
      <w:r w:rsidR="00135B83" w:rsidRPr="00F502B4">
        <w:t>E</w:t>
      </w:r>
      <w:r>
        <w:t>quipment manufacturers</w:t>
      </w:r>
      <w:r w:rsidR="00135B83" w:rsidRPr="00F502B4">
        <w:t xml:space="preserve"> must make these records available to the Agency upon</w:t>
      </w:r>
      <w:r w:rsidR="008B7E46" w:rsidRPr="00F502B4">
        <w:t xml:space="preserve"> </w:t>
      </w:r>
      <w:r w:rsidR="00135B83" w:rsidRPr="00F502B4">
        <w:t>request</w:t>
      </w:r>
      <w:r w:rsidR="00F502B4" w:rsidRPr="00F502B4">
        <w:t xml:space="preserve">.  </w:t>
      </w:r>
      <w:r w:rsidR="00135B83" w:rsidRPr="00F502B4">
        <w:t xml:space="preserve">An </w:t>
      </w:r>
      <w:r>
        <w:t>equipment manufacturer</w:t>
      </w:r>
      <w:r w:rsidR="00135B83" w:rsidRPr="00F502B4">
        <w:t xml:space="preserve"> with inaccurate or inadequate records would be</w:t>
      </w:r>
      <w:r w:rsidR="008B7E46" w:rsidRPr="00F502B4">
        <w:t xml:space="preserve"> </w:t>
      </w:r>
      <w:r w:rsidR="00135B83" w:rsidRPr="00F502B4">
        <w:t xml:space="preserve">subject to civil penalties under existing law. </w:t>
      </w:r>
    </w:p>
    <w:p w:rsidR="00870987" w:rsidRDefault="00870987" w:rsidP="00870987">
      <w:pPr>
        <w:pStyle w:val="Default"/>
      </w:pPr>
    </w:p>
    <w:p w:rsidR="00870987" w:rsidRDefault="00870987" w:rsidP="002E43FB">
      <w:pPr>
        <w:pStyle w:val="Default"/>
      </w:pPr>
      <w:r>
        <w:tab/>
      </w:r>
    </w:p>
    <w:p w:rsidR="00870987" w:rsidRPr="00870987" w:rsidRDefault="00870987" w:rsidP="00870987">
      <w:pPr>
        <w:pStyle w:val="Default"/>
      </w:pPr>
    </w:p>
    <w:p w:rsidR="00135B83" w:rsidRPr="00F502B4" w:rsidRDefault="00135B83" w:rsidP="00066F0E">
      <w:pPr>
        <w:pStyle w:val="CM18"/>
        <w:widowControl/>
        <w:spacing w:after="0"/>
        <w:ind w:firstLine="720"/>
      </w:pPr>
    </w:p>
    <w:p w:rsidR="00F502B4" w:rsidRDefault="00135B83" w:rsidP="00066F0E">
      <w:pPr>
        <w:pStyle w:val="CM17"/>
        <w:widowControl/>
        <w:spacing w:after="0"/>
      </w:pPr>
      <w:r w:rsidRPr="00F502B4">
        <w:t>(</w:t>
      </w:r>
      <w:proofErr w:type="spellStart"/>
      <w:r w:rsidRPr="00F502B4">
        <w:t>i</w:t>
      </w:r>
      <w:proofErr w:type="spellEnd"/>
      <w:r w:rsidRPr="00F502B4">
        <w:t xml:space="preserve">) </w:t>
      </w:r>
      <w:r w:rsidR="0007630F">
        <w:t xml:space="preserve"> </w:t>
      </w:r>
      <w:r w:rsidR="00E230A6">
        <w:t>Data Items</w:t>
      </w:r>
    </w:p>
    <w:p w:rsidR="00135B83" w:rsidRPr="00F502B4" w:rsidRDefault="00135B83" w:rsidP="00066F0E">
      <w:pPr>
        <w:pStyle w:val="CM17"/>
        <w:widowControl/>
        <w:spacing w:after="0"/>
        <w:ind w:firstLine="720"/>
      </w:pPr>
    </w:p>
    <w:p w:rsidR="00F502B4" w:rsidRPr="00C50C6A" w:rsidRDefault="00135B83" w:rsidP="00066F0E">
      <w:pPr>
        <w:pStyle w:val="CM21"/>
        <w:widowControl/>
        <w:spacing w:after="0"/>
        <w:jc w:val="center"/>
        <w:rPr>
          <w:b/>
        </w:rPr>
      </w:pPr>
      <w:r w:rsidRPr="00C50C6A">
        <w:rPr>
          <w:b/>
        </w:rPr>
        <w:t>Table A</w:t>
      </w:r>
      <w:r w:rsidR="00C50C6A" w:rsidRPr="00C50C6A">
        <w:rPr>
          <w:b/>
        </w:rPr>
        <w:t xml:space="preserve"> </w:t>
      </w:r>
      <w:r w:rsidR="00C50C6A" w:rsidRPr="00C50C6A">
        <w:rPr>
          <w:b/>
        </w:rPr>
        <w:br/>
      </w:r>
      <w:r w:rsidRPr="00C50C6A">
        <w:rPr>
          <w:b/>
        </w:rPr>
        <w:t>Information Items Requested from</w:t>
      </w:r>
      <w:r w:rsidR="00C50C6A">
        <w:rPr>
          <w:b/>
        </w:rPr>
        <w:br/>
      </w:r>
      <w:r w:rsidRPr="00C50C6A">
        <w:rPr>
          <w:b/>
        </w:rPr>
        <w:t>Equipment Manufacturers</w:t>
      </w:r>
    </w:p>
    <w:p w:rsidR="00135B83" w:rsidRPr="00F502B4" w:rsidRDefault="00135B83" w:rsidP="00066F0E">
      <w:pPr>
        <w:pStyle w:val="CM21"/>
        <w:widowControl/>
        <w:spacing w:after="0"/>
        <w:jc w:val="center"/>
      </w:pPr>
    </w:p>
    <w:tbl>
      <w:tblPr>
        <w:tblW w:w="7650" w:type="dxa"/>
        <w:jc w:val="center"/>
        <w:tblBorders>
          <w:top w:val="nil"/>
          <w:left w:val="nil"/>
          <w:bottom w:val="nil"/>
          <w:right w:val="nil"/>
        </w:tblBorders>
        <w:tblCellMar>
          <w:top w:w="72" w:type="dxa"/>
          <w:left w:w="72" w:type="dxa"/>
          <w:bottom w:w="72" w:type="dxa"/>
          <w:right w:w="72" w:type="dxa"/>
        </w:tblCellMar>
        <w:tblLook w:val="0000"/>
      </w:tblPr>
      <w:tblGrid>
        <w:gridCol w:w="4290"/>
        <w:gridCol w:w="3360"/>
      </w:tblGrid>
      <w:tr w:rsidR="00135B83" w:rsidRPr="00C50C6A" w:rsidTr="00B930E0">
        <w:trPr>
          <w:jc w:val="center"/>
        </w:trPr>
        <w:tc>
          <w:tcPr>
            <w:tcW w:w="429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135B83" w:rsidRPr="00C50C6A" w:rsidRDefault="00135B83" w:rsidP="00066F0E">
            <w:pPr>
              <w:pStyle w:val="Default"/>
              <w:widowControl/>
              <w:jc w:val="center"/>
              <w:rPr>
                <w:rFonts w:cs="Times New Roman"/>
                <w:b/>
                <w:sz w:val="22"/>
                <w:szCs w:val="22"/>
              </w:rPr>
            </w:pPr>
            <w:r w:rsidRPr="00C50C6A">
              <w:rPr>
                <w:rFonts w:cs="Times New Roman"/>
                <w:b/>
                <w:sz w:val="22"/>
                <w:szCs w:val="22"/>
              </w:rPr>
              <w:t>Information Item</w:t>
            </w:r>
          </w:p>
        </w:tc>
        <w:tc>
          <w:tcPr>
            <w:tcW w:w="336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135B83" w:rsidRPr="00C50C6A" w:rsidRDefault="00135B83" w:rsidP="00066F0E">
            <w:pPr>
              <w:pStyle w:val="Default"/>
              <w:widowControl/>
              <w:jc w:val="center"/>
              <w:rPr>
                <w:rFonts w:cs="Times New Roman"/>
                <w:b/>
                <w:sz w:val="22"/>
                <w:szCs w:val="22"/>
              </w:rPr>
            </w:pPr>
            <w:r w:rsidRPr="00C50C6A">
              <w:rPr>
                <w:rFonts w:cs="Times New Roman"/>
                <w:b/>
                <w:sz w:val="22"/>
                <w:szCs w:val="22"/>
              </w:rPr>
              <w:t>Reference in Regulations</w:t>
            </w:r>
          </w:p>
        </w:tc>
      </w:tr>
      <w:tr w:rsidR="00135B83" w:rsidRPr="00C50C6A" w:rsidTr="00B930E0">
        <w:trPr>
          <w:jc w:val="center"/>
        </w:trPr>
        <w:tc>
          <w:tcPr>
            <w:tcW w:w="4290" w:type="dxa"/>
            <w:tcBorders>
              <w:top w:val="single" w:sz="4" w:space="0" w:color="000000"/>
              <w:left w:val="single" w:sz="9" w:space="0" w:color="000000"/>
              <w:bottom w:val="single" w:sz="9" w:space="0" w:color="000000"/>
              <w:right w:val="single" w:sz="9" w:space="0" w:color="000000"/>
            </w:tcBorders>
            <w:vAlign w:val="bottom"/>
          </w:tcPr>
          <w:p w:rsidR="00135B83" w:rsidRPr="00C50C6A" w:rsidRDefault="00135B83" w:rsidP="00066F0E">
            <w:pPr>
              <w:pStyle w:val="Default"/>
              <w:widowControl/>
              <w:rPr>
                <w:rFonts w:cs="Times New Roman"/>
                <w:sz w:val="20"/>
                <w:szCs w:val="22"/>
              </w:rPr>
            </w:pPr>
            <w:r w:rsidRPr="00C50C6A">
              <w:rPr>
                <w:rFonts w:cs="Times New Roman"/>
                <w:sz w:val="20"/>
                <w:szCs w:val="22"/>
              </w:rPr>
              <w:t xml:space="preserve">Letter to the engine manufacturer </w:t>
            </w:r>
          </w:p>
        </w:tc>
        <w:tc>
          <w:tcPr>
            <w:tcW w:w="3360" w:type="dxa"/>
            <w:tcBorders>
              <w:top w:val="single" w:sz="4" w:space="0" w:color="000000"/>
              <w:left w:val="single" w:sz="9" w:space="0" w:color="000000"/>
              <w:bottom w:val="single" w:sz="9" w:space="0" w:color="000000"/>
              <w:right w:val="single" w:sz="9" w:space="0" w:color="000000"/>
            </w:tcBorders>
            <w:vAlign w:val="bottom"/>
          </w:tcPr>
          <w:p w:rsidR="00135B83" w:rsidRPr="00C50C6A" w:rsidRDefault="00135B83" w:rsidP="00031FF9">
            <w:pPr>
              <w:pStyle w:val="Default"/>
              <w:widowControl/>
              <w:jc w:val="center"/>
              <w:rPr>
                <w:rFonts w:cs="Times New Roman"/>
                <w:sz w:val="20"/>
                <w:szCs w:val="22"/>
              </w:rPr>
            </w:pPr>
            <w:r w:rsidRPr="00C50C6A">
              <w:rPr>
                <w:rFonts w:cs="Times New Roman"/>
                <w:sz w:val="20"/>
                <w:szCs w:val="22"/>
              </w:rPr>
              <w:t>89.102(g)</w:t>
            </w:r>
            <w:r w:rsidR="00522FF1">
              <w:rPr>
                <w:rFonts w:cs="Times New Roman"/>
                <w:sz w:val="20"/>
                <w:szCs w:val="22"/>
              </w:rPr>
              <w:t xml:space="preserve">; </w:t>
            </w:r>
            <w:r w:rsidR="00031FF9">
              <w:rPr>
                <w:rFonts w:cs="Times New Roman"/>
                <w:sz w:val="20"/>
                <w:szCs w:val="22"/>
              </w:rPr>
              <w:t xml:space="preserve">1039.625(j)(1); </w:t>
            </w:r>
            <w:r w:rsidR="00522FF1">
              <w:rPr>
                <w:rFonts w:cs="Times New Roman"/>
                <w:sz w:val="20"/>
                <w:szCs w:val="22"/>
              </w:rPr>
              <w:t>1054.625(j)(1)</w:t>
            </w:r>
          </w:p>
        </w:tc>
      </w:tr>
      <w:tr w:rsidR="00135B83" w:rsidRPr="00C50C6A" w:rsidTr="00B930E0">
        <w:trPr>
          <w:jc w:val="center"/>
        </w:trPr>
        <w:tc>
          <w:tcPr>
            <w:tcW w:w="4290" w:type="dxa"/>
            <w:tcBorders>
              <w:top w:val="single" w:sz="9" w:space="0" w:color="000000"/>
              <w:left w:val="single" w:sz="9" w:space="0" w:color="000000"/>
              <w:bottom w:val="single" w:sz="9" w:space="0" w:color="000000"/>
              <w:right w:val="single" w:sz="9" w:space="0" w:color="000000"/>
            </w:tcBorders>
            <w:vAlign w:val="bottom"/>
          </w:tcPr>
          <w:p w:rsidR="00135B83" w:rsidRPr="00C50C6A" w:rsidRDefault="00135B83" w:rsidP="00066F0E">
            <w:pPr>
              <w:pStyle w:val="Default"/>
              <w:widowControl/>
              <w:rPr>
                <w:rFonts w:cs="Times New Roman"/>
                <w:sz w:val="20"/>
                <w:szCs w:val="22"/>
              </w:rPr>
            </w:pPr>
            <w:r w:rsidRPr="00C50C6A">
              <w:rPr>
                <w:rFonts w:cs="Times New Roman"/>
                <w:sz w:val="20"/>
                <w:szCs w:val="22"/>
              </w:rPr>
              <w:t xml:space="preserve">Calculation to verify compliance </w:t>
            </w:r>
          </w:p>
        </w:tc>
        <w:tc>
          <w:tcPr>
            <w:tcW w:w="3360" w:type="dxa"/>
            <w:tcBorders>
              <w:top w:val="single" w:sz="9" w:space="0" w:color="000000"/>
              <w:left w:val="single" w:sz="9" w:space="0" w:color="000000"/>
              <w:bottom w:val="single" w:sz="9" w:space="0" w:color="000000"/>
              <w:right w:val="single" w:sz="9" w:space="0" w:color="000000"/>
            </w:tcBorders>
            <w:vAlign w:val="bottom"/>
          </w:tcPr>
          <w:p w:rsidR="00135B83" w:rsidRPr="00C50C6A" w:rsidRDefault="00135B83" w:rsidP="00522FF1">
            <w:pPr>
              <w:pStyle w:val="Default"/>
              <w:widowControl/>
              <w:jc w:val="center"/>
              <w:rPr>
                <w:rFonts w:cs="Times New Roman"/>
                <w:sz w:val="20"/>
                <w:szCs w:val="22"/>
              </w:rPr>
            </w:pPr>
            <w:r w:rsidRPr="00C50C6A">
              <w:rPr>
                <w:rFonts w:cs="Times New Roman"/>
                <w:sz w:val="20"/>
                <w:szCs w:val="22"/>
              </w:rPr>
              <w:t>89.102(e)(1)</w:t>
            </w:r>
            <w:r w:rsidR="00031FF9">
              <w:rPr>
                <w:rFonts w:cs="Times New Roman"/>
                <w:sz w:val="20"/>
                <w:szCs w:val="22"/>
              </w:rPr>
              <w:t>; 1039.625(g)</w:t>
            </w:r>
          </w:p>
        </w:tc>
      </w:tr>
    </w:tbl>
    <w:p w:rsidR="00135B83" w:rsidRDefault="00135B83" w:rsidP="00066F0E">
      <w:pPr>
        <w:pStyle w:val="Default"/>
        <w:widowControl/>
        <w:rPr>
          <w:rFonts w:cs="Times New Roman"/>
          <w:color w:val="auto"/>
        </w:rPr>
      </w:pPr>
    </w:p>
    <w:p w:rsidR="00C50C6A" w:rsidRPr="00F502B4" w:rsidRDefault="00C50C6A" w:rsidP="00066F0E">
      <w:pPr>
        <w:pStyle w:val="Default"/>
        <w:widowControl/>
        <w:rPr>
          <w:rFonts w:cs="Times New Roman"/>
          <w:color w:val="auto"/>
        </w:rPr>
      </w:pPr>
    </w:p>
    <w:p w:rsidR="00F502B4" w:rsidRDefault="00135B83" w:rsidP="00066F0E">
      <w:pPr>
        <w:pStyle w:val="Table"/>
        <w:keepNext/>
      </w:pPr>
      <w:r w:rsidRPr="00F502B4">
        <w:t>Table B</w:t>
      </w:r>
      <w:r w:rsidR="00C50C6A">
        <w:t xml:space="preserve"> </w:t>
      </w:r>
      <w:r w:rsidR="00C50C6A">
        <w:br/>
      </w:r>
      <w:r w:rsidRPr="00F502B4">
        <w:t>Application for Hardship Relief</w:t>
      </w:r>
    </w:p>
    <w:p w:rsidR="00135B83" w:rsidRPr="00F502B4" w:rsidRDefault="00135B83" w:rsidP="00066F0E">
      <w:pPr>
        <w:pStyle w:val="CM15"/>
        <w:widowControl/>
        <w:spacing w:after="0"/>
        <w:jc w:val="center"/>
      </w:pPr>
    </w:p>
    <w:p w:rsidR="00F502B4" w:rsidRDefault="00A75EBF" w:rsidP="00066F0E">
      <w:pPr>
        <w:pStyle w:val="CM21"/>
        <w:widowControl/>
        <w:spacing w:after="0"/>
        <w:ind w:firstLine="720"/>
      </w:pPr>
      <w:r>
        <w:t>Equipment manufacturers</w:t>
      </w:r>
      <w:r w:rsidR="00135B83" w:rsidRPr="00F502B4">
        <w:t xml:space="preserve"> who feel that TPEM does not provide a viable</w:t>
      </w:r>
      <w:r w:rsidR="008B7E46" w:rsidRPr="00F502B4">
        <w:t xml:space="preserve"> </w:t>
      </w:r>
      <w:r w:rsidR="00135B83" w:rsidRPr="00F502B4">
        <w:t>alternative for them to comply with EPA emissions regulations on</w:t>
      </w:r>
      <w:r w:rsidR="008B7E46" w:rsidRPr="00F502B4">
        <w:t xml:space="preserve"> </w:t>
      </w:r>
      <w:r w:rsidR="00135B83" w:rsidRPr="00F502B4">
        <w:t>a timely manner, and, as a consequence, will face serious</w:t>
      </w:r>
      <w:r w:rsidR="008B7E46" w:rsidRPr="00F502B4">
        <w:t xml:space="preserve"> </w:t>
      </w:r>
      <w:r w:rsidR="00135B83" w:rsidRPr="00F502B4">
        <w:t xml:space="preserve">economic hardship, can apply for hardship relief. </w:t>
      </w:r>
    </w:p>
    <w:p w:rsidR="00135B83" w:rsidRDefault="00135B83" w:rsidP="00066F0E">
      <w:pPr>
        <w:pStyle w:val="CM21"/>
        <w:widowControl/>
        <w:spacing w:after="0"/>
        <w:ind w:firstLine="720"/>
      </w:pPr>
    </w:p>
    <w:p w:rsidR="00C50C6A" w:rsidRPr="00C50C6A" w:rsidRDefault="00C50C6A" w:rsidP="00066F0E">
      <w:pPr>
        <w:pStyle w:val="Default"/>
      </w:pPr>
    </w:p>
    <w:tbl>
      <w:tblPr>
        <w:tblW w:w="7740" w:type="dxa"/>
        <w:jc w:val="center"/>
        <w:tblBorders>
          <w:top w:val="nil"/>
          <w:left w:val="nil"/>
          <w:bottom w:val="nil"/>
          <w:right w:val="nil"/>
        </w:tblBorders>
        <w:tblCellMar>
          <w:top w:w="72" w:type="dxa"/>
          <w:left w:w="72" w:type="dxa"/>
          <w:bottom w:w="72" w:type="dxa"/>
          <w:right w:w="72" w:type="dxa"/>
        </w:tblCellMar>
        <w:tblLook w:val="0000"/>
      </w:tblPr>
      <w:tblGrid>
        <w:gridCol w:w="4331"/>
        <w:gridCol w:w="3409"/>
      </w:tblGrid>
      <w:tr w:rsidR="00135B83" w:rsidRPr="00C50C6A" w:rsidTr="00B930E0">
        <w:trPr>
          <w:jc w:val="center"/>
        </w:trPr>
        <w:tc>
          <w:tcPr>
            <w:tcW w:w="4331"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135B83" w:rsidRPr="00C50C6A" w:rsidRDefault="00135B83" w:rsidP="00066F0E">
            <w:pPr>
              <w:pStyle w:val="Default"/>
              <w:widowControl/>
              <w:jc w:val="center"/>
              <w:rPr>
                <w:rFonts w:cs="Times New Roman"/>
                <w:b/>
                <w:sz w:val="22"/>
                <w:szCs w:val="22"/>
              </w:rPr>
            </w:pPr>
            <w:r w:rsidRPr="00C50C6A">
              <w:rPr>
                <w:rFonts w:cs="Times New Roman"/>
                <w:b/>
                <w:sz w:val="22"/>
                <w:szCs w:val="22"/>
              </w:rPr>
              <w:t>Information Item</w:t>
            </w:r>
          </w:p>
        </w:tc>
        <w:tc>
          <w:tcPr>
            <w:tcW w:w="3409"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135B83" w:rsidRPr="00C50C6A" w:rsidRDefault="00135B83" w:rsidP="00066F0E">
            <w:pPr>
              <w:pStyle w:val="Default"/>
              <w:widowControl/>
              <w:jc w:val="center"/>
              <w:rPr>
                <w:rFonts w:cs="Times New Roman"/>
                <w:b/>
                <w:sz w:val="22"/>
                <w:szCs w:val="22"/>
              </w:rPr>
            </w:pPr>
            <w:r w:rsidRPr="00C50C6A">
              <w:rPr>
                <w:rFonts w:cs="Times New Roman"/>
                <w:b/>
                <w:sz w:val="22"/>
                <w:szCs w:val="22"/>
              </w:rPr>
              <w:t>Reference in Regulations</w:t>
            </w:r>
          </w:p>
        </w:tc>
      </w:tr>
      <w:tr w:rsidR="00135B83" w:rsidRPr="00C50C6A" w:rsidTr="00B930E0">
        <w:trPr>
          <w:jc w:val="center"/>
        </w:trPr>
        <w:tc>
          <w:tcPr>
            <w:tcW w:w="4331"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066F0E">
            <w:pPr>
              <w:pStyle w:val="Default"/>
              <w:widowControl/>
              <w:rPr>
                <w:rFonts w:cs="Times New Roman"/>
                <w:sz w:val="20"/>
                <w:szCs w:val="22"/>
              </w:rPr>
            </w:pPr>
            <w:r w:rsidRPr="00C50C6A">
              <w:rPr>
                <w:rFonts w:cs="Times New Roman"/>
                <w:sz w:val="20"/>
                <w:szCs w:val="22"/>
              </w:rPr>
              <w:t xml:space="preserve">Statement that the applicant is not also the engine manufacturer </w:t>
            </w:r>
          </w:p>
        </w:tc>
        <w:tc>
          <w:tcPr>
            <w:tcW w:w="3409" w:type="dxa"/>
            <w:tcBorders>
              <w:top w:val="single" w:sz="9" w:space="0" w:color="000000"/>
              <w:left w:val="single" w:sz="9" w:space="0" w:color="000000"/>
              <w:bottom w:val="single" w:sz="9" w:space="0" w:color="000000"/>
              <w:right w:val="single" w:sz="9" w:space="0" w:color="000000"/>
            </w:tcBorders>
            <w:vAlign w:val="bottom"/>
          </w:tcPr>
          <w:p w:rsidR="00135B83" w:rsidRPr="00C50C6A" w:rsidRDefault="00135B83" w:rsidP="00522FF1">
            <w:pPr>
              <w:pStyle w:val="Default"/>
              <w:widowControl/>
              <w:jc w:val="center"/>
              <w:rPr>
                <w:rFonts w:cs="Times New Roman"/>
                <w:sz w:val="20"/>
                <w:szCs w:val="22"/>
              </w:rPr>
            </w:pPr>
            <w:r w:rsidRPr="00C50C6A">
              <w:rPr>
                <w:rFonts w:cs="Times New Roman"/>
                <w:sz w:val="20"/>
                <w:szCs w:val="22"/>
              </w:rPr>
              <w:t>89.102(f)(2)</w:t>
            </w:r>
          </w:p>
        </w:tc>
      </w:tr>
      <w:tr w:rsidR="00135B83" w:rsidRPr="00C50C6A" w:rsidTr="00B930E0">
        <w:trPr>
          <w:jc w:val="center"/>
        </w:trPr>
        <w:tc>
          <w:tcPr>
            <w:tcW w:w="4331" w:type="dxa"/>
            <w:tcBorders>
              <w:top w:val="single" w:sz="9" w:space="0" w:color="000000"/>
              <w:left w:val="single" w:sz="9" w:space="0" w:color="000000"/>
              <w:bottom w:val="single" w:sz="9" w:space="0" w:color="000000"/>
              <w:right w:val="single" w:sz="9" w:space="0" w:color="000000"/>
            </w:tcBorders>
          </w:tcPr>
          <w:p w:rsidR="00135B83" w:rsidRPr="00C50C6A" w:rsidRDefault="00135B83" w:rsidP="00066F0E">
            <w:pPr>
              <w:pStyle w:val="Default"/>
              <w:widowControl/>
              <w:rPr>
                <w:rFonts w:cs="Times New Roman"/>
                <w:sz w:val="20"/>
                <w:szCs w:val="22"/>
              </w:rPr>
            </w:pPr>
            <w:r w:rsidRPr="00C50C6A">
              <w:rPr>
                <w:rFonts w:cs="Times New Roman"/>
                <w:sz w:val="20"/>
                <w:szCs w:val="22"/>
              </w:rPr>
              <w:t>Evidence showing that the conditions causing the impending violation are substantially not the applicant</w:t>
            </w:r>
            <w:r w:rsidR="00C50C6A" w:rsidRPr="00C50C6A">
              <w:rPr>
                <w:rFonts w:cs="Times New Roman"/>
                <w:sz w:val="20"/>
                <w:szCs w:val="22"/>
              </w:rPr>
              <w:t>'</w:t>
            </w:r>
            <w:r w:rsidRPr="00C50C6A">
              <w:rPr>
                <w:rFonts w:cs="Times New Roman"/>
                <w:sz w:val="20"/>
                <w:szCs w:val="22"/>
              </w:rPr>
              <w:t xml:space="preserve">s fault </w:t>
            </w:r>
          </w:p>
        </w:tc>
        <w:tc>
          <w:tcPr>
            <w:tcW w:w="3409"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522FF1">
            <w:pPr>
              <w:pStyle w:val="Default"/>
              <w:widowControl/>
              <w:jc w:val="center"/>
              <w:rPr>
                <w:rFonts w:cs="Times New Roman"/>
                <w:sz w:val="20"/>
                <w:szCs w:val="22"/>
              </w:rPr>
            </w:pPr>
            <w:r w:rsidRPr="00C50C6A">
              <w:rPr>
                <w:rFonts w:cs="Times New Roman"/>
                <w:sz w:val="20"/>
                <w:szCs w:val="22"/>
              </w:rPr>
              <w:t>89.102(f)(3)</w:t>
            </w:r>
            <w:r w:rsidR="002113EA">
              <w:rPr>
                <w:rFonts w:cs="Times New Roman"/>
                <w:sz w:val="20"/>
                <w:szCs w:val="22"/>
              </w:rPr>
              <w:t>; 1039.625(m)</w:t>
            </w:r>
          </w:p>
        </w:tc>
      </w:tr>
      <w:tr w:rsidR="00135B83" w:rsidRPr="00C50C6A" w:rsidTr="00B930E0">
        <w:trPr>
          <w:jc w:val="center"/>
        </w:trPr>
        <w:tc>
          <w:tcPr>
            <w:tcW w:w="4331" w:type="dxa"/>
            <w:tcBorders>
              <w:top w:val="single" w:sz="9" w:space="0" w:color="000000"/>
              <w:left w:val="single" w:sz="9" w:space="0" w:color="000000"/>
              <w:bottom w:val="single" w:sz="9" w:space="0" w:color="000000"/>
              <w:right w:val="single" w:sz="9" w:space="0" w:color="000000"/>
            </w:tcBorders>
          </w:tcPr>
          <w:p w:rsidR="00135B83" w:rsidRPr="00C50C6A" w:rsidRDefault="00135B83" w:rsidP="00066F0E">
            <w:pPr>
              <w:pStyle w:val="Default"/>
              <w:widowControl/>
              <w:rPr>
                <w:rFonts w:cs="Times New Roman"/>
                <w:sz w:val="20"/>
                <w:szCs w:val="22"/>
              </w:rPr>
            </w:pPr>
            <w:r w:rsidRPr="00C50C6A">
              <w:rPr>
                <w:rFonts w:cs="Times New Roman"/>
                <w:sz w:val="20"/>
                <w:szCs w:val="22"/>
              </w:rPr>
              <w:t xml:space="preserve">Evidence showing that, if relief is not granted, the applicant will face serious economic hardship </w:t>
            </w:r>
          </w:p>
        </w:tc>
        <w:tc>
          <w:tcPr>
            <w:tcW w:w="3409"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522FF1">
            <w:pPr>
              <w:pStyle w:val="Default"/>
              <w:widowControl/>
              <w:jc w:val="center"/>
              <w:rPr>
                <w:rFonts w:cs="Times New Roman"/>
                <w:sz w:val="20"/>
                <w:szCs w:val="22"/>
              </w:rPr>
            </w:pPr>
            <w:r w:rsidRPr="00C50C6A">
              <w:rPr>
                <w:rFonts w:cs="Times New Roman"/>
                <w:sz w:val="20"/>
                <w:szCs w:val="22"/>
              </w:rPr>
              <w:t>89.102(f)(4)</w:t>
            </w:r>
            <w:r w:rsidR="002113EA">
              <w:rPr>
                <w:rFonts w:cs="Times New Roman"/>
                <w:sz w:val="20"/>
                <w:szCs w:val="22"/>
              </w:rPr>
              <w:t>; 1039.625(m)</w:t>
            </w:r>
          </w:p>
        </w:tc>
      </w:tr>
      <w:tr w:rsidR="00135B83" w:rsidRPr="00C50C6A" w:rsidTr="00B930E0">
        <w:trPr>
          <w:jc w:val="center"/>
        </w:trPr>
        <w:tc>
          <w:tcPr>
            <w:tcW w:w="4331"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066F0E">
            <w:pPr>
              <w:pStyle w:val="Default"/>
              <w:widowControl/>
              <w:rPr>
                <w:rFonts w:cs="Times New Roman"/>
                <w:sz w:val="20"/>
                <w:szCs w:val="22"/>
              </w:rPr>
            </w:pPr>
            <w:r w:rsidRPr="00C50C6A">
              <w:rPr>
                <w:rFonts w:cs="Times New Roman"/>
                <w:sz w:val="20"/>
                <w:szCs w:val="22"/>
              </w:rPr>
              <w:t xml:space="preserve">Demonstration that no other allowance will help to avoid the impending violation </w:t>
            </w:r>
          </w:p>
        </w:tc>
        <w:tc>
          <w:tcPr>
            <w:tcW w:w="3409"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522FF1">
            <w:pPr>
              <w:pStyle w:val="Default"/>
              <w:widowControl/>
              <w:jc w:val="center"/>
              <w:rPr>
                <w:rFonts w:cs="Times New Roman"/>
                <w:sz w:val="20"/>
                <w:szCs w:val="22"/>
              </w:rPr>
            </w:pPr>
            <w:r w:rsidRPr="00C50C6A">
              <w:rPr>
                <w:rFonts w:cs="Times New Roman"/>
                <w:sz w:val="20"/>
                <w:szCs w:val="22"/>
              </w:rPr>
              <w:t>89.102(f)(5)</w:t>
            </w:r>
            <w:r w:rsidR="002113EA">
              <w:rPr>
                <w:rFonts w:cs="Times New Roman"/>
                <w:sz w:val="20"/>
                <w:szCs w:val="22"/>
              </w:rPr>
              <w:t>; 1039.625(m)</w:t>
            </w:r>
          </w:p>
        </w:tc>
      </w:tr>
    </w:tbl>
    <w:p w:rsidR="00135B83" w:rsidRDefault="00135B83" w:rsidP="00066F0E">
      <w:pPr>
        <w:pStyle w:val="Default"/>
        <w:widowControl/>
        <w:rPr>
          <w:rFonts w:cs="Times New Roman"/>
          <w:color w:val="auto"/>
        </w:rPr>
      </w:pPr>
    </w:p>
    <w:p w:rsidR="00C50C6A" w:rsidRPr="00F502B4" w:rsidRDefault="00C50C6A" w:rsidP="00066F0E">
      <w:pPr>
        <w:pStyle w:val="Default"/>
        <w:widowControl/>
        <w:rPr>
          <w:rFonts w:cs="Times New Roman"/>
          <w:color w:val="auto"/>
        </w:rPr>
      </w:pPr>
    </w:p>
    <w:p w:rsidR="00F502B4" w:rsidRDefault="00135B83" w:rsidP="00066F0E">
      <w:pPr>
        <w:pStyle w:val="Table"/>
      </w:pPr>
      <w:r w:rsidRPr="00F502B4">
        <w:t>Table C</w:t>
      </w:r>
      <w:r w:rsidR="00C50C6A">
        <w:t xml:space="preserve"> </w:t>
      </w:r>
      <w:r w:rsidR="00C50C6A">
        <w:br/>
      </w:r>
      <w:r w:rsidRPr="00F502B4">
        <w:t>Information Items Requested from</w:t>
      </w:r>
      <w:r w:rsidR="00C50C6A">
        <w:br/>
      </w:r>
      <w:r w:rsidRPr="00F502B4">
        <w:t>Engine Manufacturers</w:t>
      </w:r>
    </w:p>
    <w:p w:rsidR="00135B83" w:rsidRPr="00F502B4" w:rsidRDefault="00135B83" w:rsidP="00066F0E">
      <w:pPr>
        <w:pStyle w:val="CM16"/>
        <w:widowControl/>
        <w:spacing w:after="0"/>
        <w:jc w:val="center"/>
      </w:pPr>
    </w:p>
    <w:p w:rsidR="00F502B4" w:rsidRDefault="00135B83" w:rsidP="00066F0E">
      <w:pPr>
        <w:pStyle w:val="CM21"/>
        <w:widowControl/>
        <w:spacing w:after="0"/>
        <w:ind w:firstLine="720"/>
      </w:pPr>
      <w:r w:rsidRPr="00F502B4">
        <w:t>Every year, within 30 days of the end of the model year,</w:t>
      </w:r>
      <w:r w:rsidR="008B7E46" w:rsidRPr="00F502B4">
        <w:t xml:space="preserve"> </w:t>
      </w:r>
      <w:r w:rsidRPr="00F502B4">
        <w:t>engine manufacturers supplying noncompliant engines under the</w:t>
      </w:r>
      <w:r w:rsidR="008B7E46" w:rsidRPr="00F502B4">
        <w:t xml:space="preserve"> </w:t>
      </w:r>
      <w:r w:rsidRPr="00F502B4">
        <w:t>provisions of TPEM must submit a report with the following</w:t>
      </w:r>
      <w:r w:rsidR="008B7E46" w:rsidRPr="00F502B4">
        <w:t xml:space="preserve"> </w:t>
      </w:r>
      <w:r w:rsidRPr="00F502B4">
        <w:t>information:</w:t>
      </w:r>
    </w:p>
    <w:p w:rsidR="00135B83" w:rsidRPr="00F502B4" w:rsidRDefault="00135B83" w:rsidP="00066F0E">
      <w:pPr>
        <w:pStyle w:val="CM21"/>
        <w:widowControl/>
        <w:spacing w:after="0"/>
        <w:ind w:firstLine="720"/>
      </w:pPr>
    </w:p>
    <w:tbl>
      <w:tblPr>
        <w:tblW w:w="8640" w:type="dxa"/>
        <w:jc w:val="center"/>
        <w:tblBorders>
          <w:top w:val="nil"/>
          <w:left w:val="nil"/>
          <w:bottom w:val="nil"/>
          <w:right w:val="nil"/>
        </w:tblBorders>
        <w:tblCellMar>
          <w:top w:w="72" w:type="dxa"/>
          <w:left w:w="72" w:type="dxa"/>
          <w:bottom w:w="72" w:type="dxa"/>
          <w:right w:w="72" w:type="dxa"/>
        </w:tblCellMar>
        <w:tblLook w:val="0000"/>
      </w:tblPr>
      <w:tblGrid>
        <w:gridCol w:w="4329"/>
        <w:gridCol w:w="4311"/>
      </w:tblGrid>
      <w:tr w:rsidR="00135B83" w:rsidRPr="00C50C6A" w:rsidTr="0007630F">
        <w:trPr>
          <w:jc w:val="center"/>
        </w:trPr>
        <w:tc>
          <w:tcPr>
            <w:tcW w:w="4329"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135B83" w:rsidRPr="00C50C6A" w:rsidRDefault="00135B83" w:rsidP="00066F0E">
            <w:pPr>
              <w:pStyle w:val="Default"/>
              <w:widowControl/>
              <w:jc w:val="center"/>
              <w:rPr>
                <w:rFonts w:cs="Times New Roman"/>
                <w:b/>
                <w:sz w:val="22"/>
                <w:szCs w:val="22"/>
              </w:rPr>
            </w:pPr>
            <w:r w:rsidRPr="00C50C6A">
              <w:rPr>
                <w:rFonts w:cs="Times New Roman"/>
                <w:b/>
                <w:sz w:val="22"/>
                <w:szCs w:val="22"/>
              </w:rPr>
              <w:lastRenderedPageBreak/>
              <w:t>Information Item</w:t>
            </w:r>
          </w:p>
        </w:tc>
        <w:tc>
          <w:tcPr>
            <w:tcW w:w="4311"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135B83" w:rsidRPr="00C50C6A" w:rsidRDefault="00135B83" w:rsidP="00066F0E">
            <w:pPr>
              <w:pStyle w:val="Default"/>
              <w:widowControl/>
              <w:jc w:val="center"/>
              <w:rPr>
                <w:rFonts w:cs="Times New Roman"/>
                <w:b/>
                <w:sz w:val="22"/>
                <w:szCs w:val="22"/>
              </w:rPr>
            </w:pPr>
            <w:r w:rsidRPr="00C50C6A">
              <w:rPr>
                <w:rFonts w:cs="Times New Roman"/>
                <w:b/>
                <w:sz w:val="22"/>
                <w:szCs w:val="22"/>
              </w:rPr>
              <w:t>Reference in Regulations</w:t>
            </w:r>
          </w:p>
        </w:tc>
      </w:tr>
      <w:tr w:rsidR="00135B83" w:rsidRPr="00C50C6A" w:rsidTr="0007630F">
        <w:trPr>
          <w:jc w:val="center"/>
        </w:trPr>
        <w:tc>
          <w:tcPr>
            <w:tcW w:w="4329"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066F0E">
            <w:pPr>
              <w:pStyle w:val="Default"/>
              <w:widowControl/>
              <w:rPr>
                <w:rFonts w:cs="Times New Roman"/>
                <w:sz w:val="20"/>
                <w:szCs w:val="22"/>
              </w:rPr>
            </w:pPr>
            <w:r w:rsidRPr="00C50C6A">
              <w:rPr>
                <w:rFonts w:cs="Times New Roman"/>
                <w:sz w:val="20"/>
                <w:szCs w:val="22"/>
              </w:rPr>
              <w:t>Number of engines produced by:</w:t>
            </w:r>
          </w:p>
        </w:tc>
        <w:tc>
          <w:tcPr>
            <w:tcW w:w="4311" w:type="dxa"/>
            <w:tcBorders>
              <w:top w:val="single" w:sz="9" w:space="0" w:color="000000"/>
              <w:left w:val="single" w:sz="9" w:space="0" w:color="000000"/>
              <w:bottom w:val="single" w:sz="9" w:space="0" w:color="000000"/>
              <w:right w:val="single" w:sz="9" w:space="0" w:color="000000"/>
            </w:tcBorders>
          </w:tcPr>
          <w:p w:rsidR="00135B83" w:rsidRPr="00C50C6A" w:rsidRDefault="00135B83" w:rsidP="00066F0E">
            <w:pPr>
              <w:pStyle w:val="Default"/>
              <w:widowControl/>
              <w:jc w:val="center"/>
              <w:rPr>
                <w:rFonts w:cs="Times New Roman"/>
                <w:color w:val="auto"/>
                <w:sz w:val="20"/>
              </w:rPr>
            </w:pPr>
          </w:p>
        </w:tc>
      </w:tr>
      <w:tr w:rsidR="00135B83" w:rsidRPr="00C50C6A" w:rsidTr="0007630F">
        <w:trPr>
          <w:jc w:val="center"/>
        </w:trPr>
        <w:tc>
          <w:tcPr>
            <w:tcW w:w="4329"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066F0E">
            <w:pPr>
              <w:pStyle w:val="Default"/>
              <w:widowControl/>
              <w:rPr>
                <w:rFonts w:cs="Times New Roman"/>
                <w:sz w:val="20"/>
                <w:szCs w:val="22"/>
              </w:rPr>
            </w:pPr>
            <w:r w:rsidRPr="00C50C6A">
              <w:rPr>
                <w:rFonts w:cs="Times New Roman"/>
                <w:sz w:val="20"/>
                <w:szCs w:val="22"/>
              </w:rPr>
              <w:t xml:space="preserve"> Engine model </w:t>
            </w:r>
          </w:p>
        </w:tc>
        <w:tc>
          <w:tcPr>
            <w:tcW w:w="4311"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066F0E">
            <w:pPr>
              <w:pStyle w:val="Default"/>
              <w:widowControl/>
              <w:jc w:val="center"/>
              <w:rPr>
                <w:rFonts w:cs="Times New Roman"/>
                <w:sz w:val="20"/>
                <w:szCs w:val="22"/>
              </w:rPr>
            </w:pPr>
            <w:r w:rsidRPr="00C50C6A">
              <w:rPr>
                <w:rFonts w:cs="Times New Roman"/>
                <w:sz w:val="20"/>
                <w:szCs w:val="22"/>
              </w:rPr>
              <w:t>89.125(b)</w:t>
            </w:r>
            <w:r w:rsidR="008D70A0">
              <w:rPr>
                <w:rFonts w:cs="Times New Roman"/>
                <w:sz w:val="20"/>
                <w:szCs w:val="22"/>
              </w:rPr>
              <w:t xml:space="preserve">; </w:t>
            </w:r>
          </w:p>
        </w:tc>
      </w:tr>
      <w:tr w:rsidR="00135B83" w:rsidRPr="00C50C6A" w:rsidTr="0007630F">
        <w:trPr>
          <w:jc w:val="center"/>
        </w:trPr>
        <w:tc>
          <w:tcPr>
            <w:tcW w:w="4329"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066F0E">
            <w:pPr>
              <w:pStyle w:val="Default"/>
              <w:widowControl/>
              <w:rPr>
                <w:rFonts w:cs="Times New Roman"/>
                <w:sz w:val="20"/>
                <w:szCs w:val="22"/>
              </w:rPr>
            </w:pPr>
            <w:r w:rsidRPr="00C50C6A">
              <w:rPr>
                <w:rFonts w:cs="Times New Roman"/>
                <w:sz w:val="20"/>
                <w:szCs w:val="22"/>
              </w:rPr>
              <w:t xml:space="preserve"> Purchaser or shipping destination </w:t>
            </w:r>
          </w:p>
        </w:tc>
        <w:tc>
          <w:tcPr>
            <w:tcW w:w="4311" w:type="dxa"/>
            <w:tcBorders>
              <w:top w:val="single" w:sz="9" w:space="0" w:color="000000"/>
              <w:left w:val="single" w:sz="9" w:space="0" w:color="000000"/>
              <w:bottom w:val="single" w:sz="9" w:space="0" w:color="000000"/>
              <w:right w:val="single" w:sz="9" w:space="0" w:color="000000"/>
            </w:tcBorders>
          </w:tcPr>
          <w:p w:rsidR="00135B83" w:rsidRPr="00C50C6A" w:rsidRDefault="00135B83" w:rsidP="00066F0E">
            <w:pPr>
              <w:pStyle w:val="Default"/>
              <w:widowControl/>
              <w:jc w:val="center"/>
              <w:rPr>
                <w:rFonts w:cs="Times New Roman"/>
                <w:sz w:val="20"/>
                <w:szCs w:val="22"/>
              </w:rPr>
            </w:pPr>
            <w:r w:rsidRPr="00C50C6A">
              <w:rPr>
                <w:rFonts w:cs="Times New Roman"/>
                <w:sz w:val="20"/>
                <w:szCs w:val="22"/>
              </w:rPr>
              <w:t>89.125(b)</w:t>
            </w:r>
          </w:p>
        </w:tc>
      </w:tr>
      <w:tr w:rsidR="00135B83" w:rsidRPr="00C50C6A" w:rsidTr="0007630F">
        <w:trPr>
          <w:jc w:val="center"/>
        </w:trPr>
        <w:tc>
          <w:tcPr>
            <w:tcW w:w="4329"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07630F" w:rsidP="00066F0E">
            <w:pPr>
              <w:pStyle w:val="Default"/>
              <w:widowControl/>
              <w:rPr>
                <w:rFonts w:cs="Times New Roman"/>
                <w:sz w:val="20"/>
                <w:szCs w:val="22"/>
              </w:rPr>
            </w:pPr>
            <w:r>
              <w:rPr>
                <w:rFonts w:cs="Times New Roman"/>
                <w:sz w:val="20"/>
                <w:szCs w:val="22"/>
              </w:rPr>
              <w:t xml:space="preserve"> </w:t>
            </w:r>
            <w:r w:rsidR="00135B83" w:rsidRPr="00C50C6A">
              <w:rPr>
                <w:rFonts w:cs="Times New Roman"/>
                <w:sz w:val="20"/>
                <w:szCs w:val="22"/>
              </w:rPr>
              <w:t xml:space="preserve">Other categories that EPA may require </w:t>
            </w:r>
          </w:p>
        </w:tc>
        <w:tc>
          <w:tcPr>
            <w:tcW w:w="4311" w:type="dxa"/>
            <w:tcBorders>
              <w:top w:val="single" w:sz="9" w:space="0" w:color="000000"/>
              <w:left w:val="single" w:sz="9" w:space="0" w:color="000000"/>
              <w:bottom w:val="single" w:sz="9" w:space="0" w:color="000000"/>
              <w:right w:val="single" w:sz="9" w:space="0" w:color="000000"/>
            </w:tcBorders>
          </w:tcPr>
          <w:p w:rsidR="00135B83" w:rsidRPr="00C50C6A" w:rsidRDefault="00135B83" w:rsidP="00066F0E">
            <w:pPr>
              <w:pStyle w:val="Default"/>
              <w:widowControl/>
              <w:jc w:val="center"/>
              <w:rPr>
                <w:rFonts w:cs="Times New Roman"/>
                <w:sz w:val="20"/>
                <w:szCs w:val="22"/>
              </w:rPr>
            </w:pPr>
            <w:r w:rsidRPr="00C50C6A">
              <w:rPr>
                <w:rFonts w:cs="Times New Roman"/>
                <w:sz w:val="20"/>
                <w:szCs w:val="22"/>
              </w:rPr>
              <w:t>89.125(b)</w:t>
            </w:r>
            <w:r w:rsidR="00522FF1">
              <w:rPr>
                <w:rFonts w:cs="Times New Roman"/>
                <w:sz w:val="20"/>
                <w:szCs w:val="22"/>
              </w:rPr>
              <w:t>; 1054.625(j)</w:t>
            </w:r>
            <w:r w:rsidR="008D70A0">
              <w:rPr>
                <w:rFonts w:cs="Times New Roman"/>
                <w:sz w:val="20"/>
                <w:szCs w:val="22"/>
              </w:rPr>
              <w:t>; 1039.625(j)</w:t>
            </w:r>
            <w:r w:rsidRPr="00C50C6A">
              <w:rPr>
                <w:rFonts w:cs="Times New Roman"/>
                <w:sz w:val="20"/>
                <w:szCs w:val="22"/>
              </w:rPr>
              <w:t xml:space="preserve"> </w:t>
            </w:r>
          </w:p>
        </w:tc>
      </w:tr>
    </w:tbl>
    <w:p w:rsidR="00135B83" w:rsidRDefault="00135B83" w:rsidP="00066F0E">
      <w:pPr>
        <w:pStyle w:val="Default"/>
        <w:widowControl/>
        <w:rPr>
          <w:rFonts w:cs="Times New Roman"/>
          <w:color w:val="auto"/>
        </w:rPr>
      </w:pPr>
    </w:p>
    <w:p w:rsidR="00C50C6A" w:rsidRPr="00F502B4" w:rsidRDefault="00C50C6A" w:rsidP="00066F0E">
      <w:pPr>
        <w:pStyle w:val="Default"/>
        <w:widowControl/>
        <w:rPr>
          <w:rFonts w:cs="Times New Roman"/>
          <w:color w:val="auto"/>
        </w:rPr>
      </w:pPr>
    </w:p>
    <w:p w:rsidR="00F502B4" w:rsidRDefault="00135B83" w:rsidP="00066F0E">
      <w:pPr>
        <w:pStyle w:val="Table"/>
      </w:pPr>
      <w:r w:rsidRPr="00F502B4">
        <w:t>Table D</w:t>
      </w:r>
      <w:r w:rsidR="00C50C6A">
        <w:t xml:space="preserve"> </w:t>
      </w:r>
      <w:r w:rsidR="00C50C6A">
        <w:br/>
      </w:r>
      <w:r w:rsidRPr="00F502B4">
        <w:t>Recordkeeping Requirements</w:t>
      </w:r>
    </w:p>
    <w:p w:rsidR="00135B83" w:rsidRPr="00F502B4" w:rsidRDefault="00135B83" w:rsidP="00066F0E">
      <w:pPr>
        <w:pStyle w:val="CM16"/>
        <w:widowControl/>
        <w:spacing w:after="0"/>
        <w:jc w:val="center"/>
      </w:pPr>
    </w:p>
    <w:p w:rsidR="00F502B4" w:rsidRDefault="00A75EBF" w:rsidP="00066F0E">
      <w:pPr>
        <w:pStyle w:val="CM22"/>
        <w:widowControl/>
        <w:spacing w:after="0"/>
        <w:ind w:firstLine="720"/>
      </w:pPr>
      <w:r>
        <w:t>Equipment manufacturers</w:t>
      </w:r>
      <w:r w:rsidR="00135B83" w:rsidRPr="00F502B4">
        <w:t xml:space="preserve"> must keep records of all exempt equipment sufficient to demonstrate</w:t>
      </w:r>
      <w:r w:rsidR="008B7E46" w:rsidRPr="00F502B4">
        <w:t xml:space="preserve"> </w:t>
      </w:r>
      <w:r w:rsidR="00135B83" w:rsidRPr="00F502B4">
        <w:t>compliance until at least two full years after the last year in</w:t>
      </w:r>
      <w:r w:rsidR="008B7E46" w:rsidRPr="00F502B4">
        <w:t xml:space="preserve"> </w:t>
      </w:r>
      <w:r w:rsidR="00135B83" w:rsidRPr="00F502B4">
        <w:t>which the allowances are available for each power category</w:t>
      </w:r>
      <w:r w:rsidR="008B7E46" w:rsidRPr="00F502B4">
        <w:t xml:space="preserve"> </w:t>
      </w:r>
      <w:r w:rsidR="00135B83" w:rsidRPr="00F502B4">
        <w:t>(</w:t>
      </w:r>
      <w:r w:rsidR="00E82D77">
        <w:t xml:space="preserve">if subject to </w:t>
      </w:r>
      <w:r w:rsidR="00135B83" w:rsidRPr="00F502B4">
        <w:t>89.102(e)(2))</w:t>
      </w:r>
      <w:r w:rsidR="00E82D77">
        <w:t xml:space="preserve"> or for at least five full years after the final year in which allowances are available for each power category (if subject to 1039.625(h))</w:t>
      </w:r>
      <w:r w:rsidR="00F502B4" w:rsidRPr="00F502B4">
        <w:t xml:space="preserve">.  </w:t>
      </w:r>
      <w:r w:rsidR="00135B83" w:rsidRPr="00F502B4">
        <w:t>These records must be made available to EPA upon</w:t>
      </w:r>
      <w:r w:rsidR="008B7E46" w:rsidRPr="00F502B4">
        <w:t xml:space="preserve"> </w:t>
      </w:r>
      <w:r w:rsidR="00135B83" w:rsidRPr="00F502B4">
        <w:t>request.</w:t>
      </w:r>
    </w:p>
    <w:p w:rsidR="00747FC8" w:rsidRPr="00C50C6A" w:rsidRDefault="00747FC8" w:rsidP="00066F0E">
      <w:pPr>
        <w:pStyle w:val="Default"/>
      </w:pPr>
    </w:p>
    <w:tbl>
      <w:tblPr>
        <w:tblW w:w="8640" w:type="dxa"/>
        <w:jc w:val="center"/>
        <w:tblBorders>
          <w:top w:val="nil"/>
          <w:left w:val="nil"/>
          <w:bottom w:val="nil"/>
          <w:right w:val="nil"/>
        </w:tblBorders>
        <w:tblCellMar>
          <w:top w:w="72" w:type="dxa"/>
          <w:left w:w="72" w:type="dxa"/>
          <w:bottom w:w="72" w:type="dxa"/>
          <w:right w:w="72" w:type="dxa"/>
        </w:tblCellMar>
        <w:tblLook w:val="0000"/>
      </w:tblPr>
      <w:tblGrid>
        <w:gridCol w:w="4329"/>
        <w:gridCol w:w="4311"/>
      </w:tblGrid>
      <w:tr w:rsidR="00135B83" w:rsidRPr="00C50C6A" w:rsidTr="0007630F">
        <w:trPr>
          <w:jc w:val="center"/>
        </w:trPr>
        <w:tc>
          <w:tcPr>
            <w:tcW w:w="4329"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135B83" w:rsidRPr="00C50C6A" w:rsidRDefault="00135B83" w:rsidP="00066F0E">
            <w:pPr>
              <w:pStyle w:val="Default"/>
              <w:widowControl/>
              <w:jc w:val="center"/>
              <w:rPr>
                <w:rFonts w:cs="Times New Roman"/>
                <w:b/>
                <w:sz w:val="22"/>
                <w:szCs w:val="22"/>
              </w:rPr>
            </w:pPr>
            <w:r w:rsidRPr="00C50C6A">
              <w:rPr>
                <w:rFonts w:cs="Times New Roman"/>
                <w:b/>
                <w:sz w:val="22"/>
                <w:szCs w:val="22"/>
              </w:rPr>
              <w:t>Information Item</w:t>
            </w:r>
          </w:p>
        </w:tc>
        <w:tc>
          <w:tcPr>
            <w:tcW w:w="4311"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135B83" w:rsidRPr="00C50C6A" w:rsidRDefault="00135B83" w:rsidP="00066F0E">
            <w:pPr>
              <w:pStyle w:val="Default"/>
              <w:widowControl/>
              <w:jc w:val="center"/>
              <w:rPr>
                <w:rFonts w:cs="Times New Roman"/>
                <w:b/>
                <w:sz w:val="22"/>
                <w:szCs w:val="22"/>
              </w:rPr>
            </w:pPr>
            <w:r w:rsidRPr="00C50C6A">
              <w:rPr>
                <w:rFonts w:cs="Times New Roman"/>
                <w:b/>
                <w:sz w:val="22"/>
                <w:szCs w:val="22"/>
              </w:rPr>
              <w:t>Reference in Regulations</w:t>
            </w:r>
          </w:p>
        </w:tc>
      </w:tr>
      <w:tr w:rsidR="00135B83" w:rsidRPr="00C50C6A" w:rsidTr="0007630F">
        <w:trPr>
          <w:jc w:val="center"/>
        </w:trPr>
        <w:tc>
          <w:tcPr>
            <w:tcW w:w="4329"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066F0E">
            <w:pPr>
              <w:pStyle w:val="Default"/>
              <w:widowControl/>
              <w:rPr>
                <w:rFonts w:cs="Times New Roman"/>
                <w:sz w:val="20"/>
                <w:szCs w:val="22"/>
              </w:rPr>
            </w:pPr>
            <w:r w:rsidRPr="00C50C6A">
              <w:rPr>
                <w:rFonts w:cs="Times New Roman"/>
                <w:sz w:val="20"/>
                <w:szCs w:val="22"/>
              </w:rPr>
              <w:t xml:space="preserve">Equipment and engine model numbers </w:t>
            </w:r>
          </w:p>
        </w:tc>
        <w:tc>
          <w:tcPr>
            <w:tcW w:w="4311"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E82D77">
            <w:pPr>
              <w:pStyle w:val="Default"/>
              <w:widowControl/>
              <w:jc w:val="center"/>
              <w:rPr>
                <w:rFonts w:cs="Times New Roman"/>
                <w:sz w:val="20"/>
                <w:szCs w:val="22"/>
              </w:rPr>
            </w:pPr>
            <w:r w:rsidRPr="00C50C6A">
              <w:rPr>
                <w:rFonts w:cs="Times New Roman"/>
                <w:sz w:val="20"/>
                <w:szCs w:val="22"/>
              </w:rPr>
              <w:t>89.102(e)(2)</w:t>
            </w:r>
            <w:r w:rsidR="00522FF1">
              <w:rPr>
                <w:rFonts w:cs="Times New Roman"/>
                <w:sz w:val="20"/>
                <w:szCs w:val="22"/>
              </w:rPr>
              <w:t>; 1054.625(h)(1)</w:t>
            </w:r>
            <w:r w:rsidR="00E82D77">
              <w:rPr>
                <w:rFonts w:cs="Times New Roman"/>
                <w:sz w:val="20"/>
                <w:szCs w:val="22"/>
              </w:rPr>
              <w:t>;</w:t>
            </w:r>
            <w:r w:rsidRPr="00C50C6A">
              <w:rPr>
                <w:rFonts w:cs="Times New Roman"/>
                <w:sz w:val="20"/>
                <w:szCs w:val="22"/>
              </w:rPr>
              <w:t xml:space="preserve"> </w:t>
            </w:r>
            <w:r w:rsidR="00E82D77">
              <w:rPr>
                <w:rFonts w:cs="Times New Roman"/>
                <w:sz w:val="20"/>
                <w:szCs w:val="22"/>
              </w:rPr>
              <w:t>1039.625(h)(1)</w:t>
            </w:r>
          </w:p>
        </w:tc>
      </w:tr>
      <w:tr w:rsidR="00135B83" w:rsidRPr="00C50C6A" w:rsidTr="0007630F">
        <w:trPr>
          <w:jc w:val="center"/>
        </w:trPr>
        <w:tc>
          <w:tcPr>
            <w:tcW w:w="4329"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066F0E">
            <w:pPr>
              <w:pStyle w:val="Default"/>
              <w:widowControl/>
              <w:rPr>
                <w:rFonts w:cs="Times New Roman"/>
                <w:sz w:val="20"/>
                <w:szCs w:val="22"/>
              </w:rPr>
            </w:pPr>
            <w:r w:rsidRPr="00C50C6A">
              <w:rPr>
                <w:rFonts w:cs="Times New Roman"/>
                <w:sz w:val="20"/>
                <w:szCs w:val="22"/>
              </w:rPr>
              <w:t xml:space="preserve">Serial numbers </w:t>
            </w:r>
          </w:p>
        </w:tc>
        <w:tc>
          <w:tcPr>
            <w:tcW w:w="4311"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066F0E">
            <w:pPr>
              <w:pStyle w:val="Default"/>
              <w:widowControl/>
              <w:jc w:val="center"/>
              <w:rPr>
                <w:rFonts w:cs="Times New Roman"/>
                <w:sz w:val="20"/>
                <w:szCs w:val="22"/>
              </w:rPr>
            </w:pPr>
            <w:r w:rsidRPr="00C50C6A">
              <w:rPr>
                <w:rFonts w:cs="Times New Roman"/>
                <w:sz w:val="20"/>
                <w:szCs w:val="22"/>
              </w:rPr>
              <w:t>89.102(e)(2)</w:t>
            </w:r>
            <w:r w:rsidR="00AE7EF9">
              <w:rPr>
                <w:rFonts w:cs="Times New Roman"/>
                <w:sz w:val="20"/>
                <w:szCs w:val="22"/>
              </w:rPr>
              <w:t>;</w:t>
            </w:r>
            <w:r w:rsidRPr="00C50C6A">
              <w:rPr>
                <w:rFonts w:cs="Times New Roman"/>
                <w:sz w:val="20"/>
                <w:szCs w:val="22"/>
              </w:rPr>
              <w:t xml:space="preserve"> </w:t>
            </w:r>
            <w:r w:rsidR="00AE7EF9">
              <w:rPr>
                <w:rFonts w:cs="Times New Roman"/>
                <w:sz w:val="20"/>
                <w:szCs w:val="22"/>
              </w:rPr>
              <w:t>1039.625(h)(1)</w:t>
            </w:r>
          </w:p>
        </w:tc>
      </w:tr>
      <w:tr w:rsidR="00135B83" w:rsidRPr="00C50C6A" w:rsidTr="0007630F">
        <w:trPr>
          <w:jc w:val="center"/>
        </w:trPr>
        <w:tc>
          <w:tcPr>
            <w:tcW w:w="4329"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066F0E">
            <w:pPr>
              <w:pStyle w:val="Default"/>
              <w:widowControl/>
              <w:rPr>
                <w:rFonts w:cs="Times New Roman"/>
                <w:sz w:val="20"/>
                <w:szCs w:val="22"/>
              </w:rPr>
            </w:pPr>
            <w:r w:rsidRPr="00C50C6A">
              <w:rPr>
                <w:rFonts w:cs="Times New Roman"/>
                <w:sz w:val="20"/>
                <w:szCs w:val="22"/>
              </w:rPr>
              <w:t xml:space="preserve">Dates of manufacture </w:t>
            </w:r>
          </w:p>
        </w:tc>
        <w:tc>
          <w:tcPr>
            <w:tcW w:w="4311"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066F0E">
            <w:pPr>
              <w:pStyle w:val="Default"/>
              <w:widowControl/>
              <w:jc w:val="center"/>
              <w:rPr>
                <w:rFonts w:cs="Times New Roman"/>
                <w:sz w:val="20"/>
                <w:szCs w:val="22"/>
              </w:rPr>
            </w:pPr>
            <w:r w:rsidRPr="00C50C6A">
              <w:rPr>
                <w:rFonts w:cs="Times New Roman"/>
                <w:sz w:val="20"/>
                <w:szCs w:val="22"/>
              </w:rPr>
              <w:t>89.102(e)(2)</w:t>
            </w:r>
            <w:r w:rsidR="00AE7EF9">
              <w:rPr>
                <w:rFonts w:cs="Times New Roman"/>
                <w:sz w:val="20"/>
                <w:szCs w:val="22"/>
              </w:rPr>
              <w:t>; 1039.625(h)(1)</w:t>
            </w:r>
            <w:r w:rsidRPr="00C50C6A">
              <w:rPr>
                <w:rFonts w:cs="Times New Roman"/>
                <w:sz w:val="20"/>
                <w:szCs w:val="22"/>
              </w:rPr>
              <w:t xml:space="preserve"> </w:t>
            </w:r>
          </w:p>
        </w:tc>
      </w:tr>
      <w:tr w:rsidR="00135B83" w:rsidRPr="00C50C6A" w:rsidTr="0007630F">
        <w:trPr>
          <w:jc w:val="center"/>
        </w:trPr>
        <w:tc>
          <w:tcPr>
            <w:tcW w:w="4329"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066F0E">
            <w:pPr>
              <w:pStyle w:val="Default"/>
              <w:widowControl/>
              <w:rPr>
                <w:rFonts w:cs="Times New Roman"/>
                <w:sz w:val="20"/>
                <w:szCs w:val="22"/>
              </w:rPr>
            </w:pPr>
            <w:r w:rsidRPr="00C50C6A">
              <w:rPr>
                <w:rFonts w:cs="Times New Roman"/>
                <w:sz w:val="20"/>
                <w:szCs w:val="22"/>
              </w:rPr>
              <w:t xml:space="preserve">Engine rated power </w:t>
            </w:r>
          </w:p>
        </w:tc>
        <w:tc>
          <w:tcPr>
            <w:tcW w:w="4311"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AE7EF9">
            <w:pPr>
              <w:pStyle w:val="Default"/>
              <w:widowControl/>
              <w:jc w:val="center"/>
              <w:rPr>
                <w:rFonts w:cs="Times New Roman"/>
                <w:sz w:val="20"/>
                <w:szCs w:val="22"/>
              </w:rPr>
            </w:pPr>
            <w:r w:rsidRPr="00C50C6A">
              <w:rPr>
                <w:rFonts w:cs="Times New Roman"/>
                <w:sz w:val="20"/>
                <w:szCs w:val="22"/>
              </w:rPr>
              <w:t>89.102(e)(2)</w:t>
            </w:r>
            <w:r w:rsidR="00AE7EF9">
              <w:rPr>
                <w:rFonts w:cs="Times New Roman"/>
                <w:sz w:val="20"/>
                <w:szCs w:val="22"/>
              </w:rPr>
              <w:t>; 1039.625(h)(2)</w:t>
            </w:r>
            <w:r w:rsidRPr="00C50C6A">
              <w:rPr>
                <w:rFonts w:cs="Times New Roman"/>
                <w:sz w:val="20"/>
                <w:szCs w:val="22"/>
              </w:rPr>
              <w:t xml:space="preserve"> </w:t>
            </w:r>
          </w:p>
        </w:tc>
      </w:tr>
      <w:tr w:rsidR="00135B83" w:rsidRPr="00C50C6A" w:rsidTr="0007630F">
        <w:trPr>
          <w:jc w:val="center"/>
        </w:trPr>
        <w:tc>
          <w:tcPr>
            <w:tcW w:w="4329"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066F0E">
            <w:pPr>
              <w:pStyle w:val="Default"/>
              <w:widowControl/>
              <w:rPr>
                <w:rFonts w:cs="Times New Roman"/>
                <w:sz w:val="20"/>
                <w:szCs w:val="22"/>
              </w:rPr>
            </w:pPr>
            <w:r w:rsidRPr="00C50C6A">
              <w:rPr>
                <w:rFonts w:cs="Times New Roman"/>
                <w:sz w:val="20"/>
                <w:szCs w:val="22"/>
              </w:rPr>
              <w:t xml:space="preserve">Sufficient information to verify </w:t>
            </w:r>
          </w:p>
        </w:tc>
        <w:tc>
          <w:tcPr>
            <w:tcW w:w="4311"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E82D77">
            <w:pPr>
              <w:pStyle w:val="Default"/>
              <w:widowControl/>
              <w:jc w:val="center"/>
              <w:rPr>
                <w:rFonts w:cs="Times New Roman"/>
                <w:sz w:val="20"/>
                <w:szCs w:val="22"/>
              </w:rPr>
            </w:pPr>
            <w:r w:rsidRPr="00C50C6A">
              <w:rPr>
                <w:rFonts w:cs="Times New Roman"/>
                <w:sz w:val="20"/>
                <w:szCs w:val="22"/>
              </w:rPr>
              <w:t>89.102(e)(2)</w:t>
            </w:r>
            <w:r w:rsidR="00522FF1">
              <w:rPr>
                <w:rFonts w:cs="Times New Roman"/>
                <w:sz w:val="20"/>
                <w:szCs w:val="22"/>
              </w:rPr>
              <w:t>; 1054.625(g)</w:t>
            </w:r>
            <w:r w:rsidR="00E82D77">
              <w:rPr>
                <w:rFonts w:cs="Times New Roman"/>
                <w:sz w:val="20"/>
                <w:szCs w:val="22"/>
              </w:rPr>
              <w:t>; 1039.625(g)</w:t>
            </w:r>
            <w:r w:rsidRPr="00C50C6A">
              <w:rPr>
                <w:rFonts w:cs="Times New Roman"/>
                <w:sz w:val="20"/>
                <w:szCs w:val="22"/>
              </w:rPr>
              <w:t xml:space="preserve"> </w:t>
            </w:r>
          </w:p>
        </w:tc>
      </w:tr>
    </w:tbl>
    <w:p w:rsidR="00135B83" w:rsidRDefault="00135B83" w:rsidP="00066F0E">
      <w:pPr>
        <w:pStyle w:val="Default"/>
        <w:widowControl/>
        <w:rPr>
          <w:rFonts w:cs="Times New Roman"/>
          <w:color w:val="auto"/>
        </w:rPr>
      </w:pPr>
    </w:p>
    <w:p w:rsidR="00C50C6A" w:rsidRPr="00F502B4" w:rsidRDefault="00C50C6A" w:rsidP="00066F0E">
      <w:pPr>
        <w:pStyle w:val="Default"/>
        <w:widowControl/>
        <w:rPr>
          <w:rFonts w:cs="Times New Roman"/>
          <w:color w:val="auto"/>
        </w:rPr>
      </w:pPr>
    </w:p>
    <w:p w:rsidR="00F502B4" w:rsidRDefault="00135B83" w:rsidP="00271DFD">
      <w:pPr>
        <w:pStyle w:val="CM16"/>
        <w:widowControl/>
        <w:spacing w:after="0"/>
        <w:jc w:val="both"/>
      </w:pPr>
      <w:r w:rsidRPr="00F502B4">
        <w:t xml:space="preserve">(ii) </w:t>
      </w:r>
      <w:r w:rsidR="0007630F">
        <w:t xml:space="preserve"> </w:t>
      </w:r>
      <w:r w:rsidRPr="00F502B4">
        <w:t>Respondent Activities</w:t>
      </w:r>
    </w:p>
    <w:p w:rsidR="00135B83" w:rsidRPr="00F502B4" w:rsidRDefault="00135B83" w:rsidP="00066F0E">
      <w:pPr>
        <w:pStyle w:val="CM16"/>
        <w:widowControl/>
        <w:spacing w:after="0"/>
        <w:ind w:left="720"/>
        <w:jc w:val="both"/>
      </w:pPr>
    </w:p>
    <w:p w:rsidR="00F502B4" w:rsidRDefault="00135B83" w:rsidP="00066F0E">
      <w:pPr>
        <w:pStyle w:val="CM15"/>
        <w:widowControl/>
        <w:spacing w:after="0"/>
        <w:ind w:left="720"/>
        <w:jc w:val="both"/>
      </w:pPr>
      <w:r w:rsidRPr="00F502B4">
        <w:t xml:space="preserve">Activities carried out by participating </w:t>
      </w:r>
      <w:r w:rsidR="00A75EBF">
        <w:t>equipment manufacturers</w:t>
      </w:r>
      <w:r w:rsidRPr="00F502B4">
        <w:t xml:space="preserve"> are as follows:</w:t>
      </w:r>
    </w:p>
    <w:p w:rsidR="00135B83" w:rsidRPr="00F502B4" w:rsidRDefault="00135B83" w:rsidP="00066F0E">
      <w:pPr>
        <w:pStyle w:val="CM15"/>
        <w:widowControl/>
        <w:spacing w:after="0"/>
        <w:ind w:left="720"/>
        <w:jc w:val="both"/>
      </w:pPr>
    </w:p>
    <w:p w:rsidR="00F502B4" w:rsidRDefault="00C50C6A" w:rsidP="00066F0E">
      <w:pPr>
        <w:pStyle w:val="Default"/>
        <w:widowControl/>
        <w:ind w:left="360"/>
        <w:rPr>
          <w:rFonts w:cs="Times New Roman"/>
          <w:color w:val="auto"/>
        </w:rPr>
      </w:pPr>
      <w:r>
        <w:rPr>
          <w:rFonts w:cs="Times New Roman"/>
          <w:color w:val="auto"/>
        </w:rPr>
        <w:t>●</w:t>
      </w:r>
      <w:r>
        <w:rPr>
          <w:rFonts w:cs="Times New Roman"/>
          <w:color w:val="auto"/>
        </w:rPr>
        <w:tab/>
      </w:r>
      <w:r w:rsidR="00135B83" w:rsidRPr="00F502B4">
        <w:rPr>
          <w:rFonts w:cs="Times New Roman"/>
          <w:color w:val="auto"/>
        </w:rPr>
        <w:t xml:space="preserve">Review the regulations; </w:t>
      </w:r>
      <w:r w:rsidR="00A75EBF">
        <w:rPr>
          <w:rFonts w:cs="Times New Roman"/>
          <w:color w:val="auto"/>
        </w:rPr>
        <w:t>Equipment manufacturers</w:t>
      </w:r>
      <w:r w:rsidR="00135B83" w:rsidRPr="00F502B4">
        <w:rPr>
          <w:rFonts w:cs="Times New Roman"/>
          <w:color w:val="auto"/>
        </w:rPr>
        <w:t xml:space="preserve"> may contact EPA for further</w:t>
      </w:r>
      <w:r w:rsidR="008B7E46" w:rsidRPr="00F502B4">
        <w:rPr>
          <w:rFonts w:cs="Times New Roman"/>
          <w:color w:val="auto"/>
        </w:rPr>
        <w:t xml:space="preserve"> </w:t>
      </w:r>
      <w:r w:rsidR="00135B83" w:rsidRPr="00F502B4">
        <w:rPr>
          <w:rFonts w:cs="Times New Roman"/>
          <w:color w:val="auto"/>
        </w:rPr>
        <w:t>guidance</w:t>
      </w:r>
    </w:p>
    <w:p w:rsidR="00135B83" w:rsidRPr="00F502B4" w:rsidRDefault="00135B83" w:rsidP="00066F0E">
      <w:pPr>
        <w:pStyle w:val="Default"/>
        <w:widowControl/>
        <w:rPr>
          <w:rFonts w:cs="Times New Roman"/>
          <w:color w:val="auto"/>
        </w:rPr>
      </w:pPr>
    </w:p>
    <w:p w:rsidR="00F502B4" w:rsidRDefault="00C50C6A" w:rsidP="00066F0E">
      <w:pPr>
        <w:pStyle w:val="Default"/>
        <w:widowControl/>
        <w:ind w:left="360"/>
        <w:rPr>
          <w:rFonts w:cs="Times New Roman"/>
          <w:color w:val="auto"/>
        </w:rPr>
      </w:pPr>
      <w:r>
        <w:rPr>
          <w:rFonts w:cs="Times New Roman"/>
          <w:color w:val="auto"/>
        </w:rPr>
        <w:t>●</w:t>
      </w:r>
      <w:r>
        <w:rPr>
          <w:rFonts w:cs="Times New Roman"/>
          <w:color w:val="auto"/>
        </w:rPr>
        <w:tab/>
      </w:r>
      <w:r w:rsidR="00135B83" w:rsidRPr="00F502B4">
        <w:rPr>
          <w:rFonts w:cs="Times New Roman"/>
          <w:color w:val="auto"/>
        </w:rPr>
        <w:t>Select an allowance per power category and decide what</w:t>
      </w:r>
      <w:r w:rsidR="008B7E46" w:rsidRPr="00F502B4">
        <w:rPr>
          <w:rFonts w:cs="Times New Roman"/>
          <w:color w:val="auto"/>
        </w:rPr>
        <w:t xml:space="preserve"> </w:t>
      </w:r>
      <w:r w:rsidR="00135B83" w:rsidRPr="00F502B4">
        <w:rPr>
          <w:rFonts w:cs="Times New Roman"/>
          <w:color w:val="auto"/>
        </w:rPr>
        <w:t>equipment to exempt</w:t>
      </w:r>
    </w:p>
    <w:p w:rsidR="00135B83" w:rsidRPr="00F502B4" w:rsidRDefault="00135B83" w:rsidP="00066F0E">
      <w:pPr>
        <w:pStyle w:val="Default"/>
        <w:widowControl/>
        <w:rPr>
          <w:rFonts w:cs="Times New Roman"/>
          <w:color w:val="auto"/>
        </w:rPr>
      </w:pPr>
    </w:p>
    <w:p w:rsidR="00F502B4" w:rsidRDefault="00C50C6A" w:rsidP="00066F0E">
      <w:pPr>
        <w:pStyle w:val="Default"/>
        <w:widowControl/>
        <w:ind w:left="360"/>
        <w:rPr>
          <w:rFonts w:cs="Times New Roman"/>
          <w:color w:val="auto"/>
        </w:rPr>
      </w:pPr>
      <w:r>
        <w:rPr>
          <w:rFonts w:cs="Times New Roman"/>
          <w:color w:val="auto"/>
        </w:rPr>
        <w:t>●</w:t>
      </w:r>
      <w:r>
        <w:rPr>
          <w:rFonts w:cs="Times New Roman"/>
          <w:color w:val="auto"/>
        </w:rPr>
        <w:tab/>
      </w:r>
      <w:r w:rsidR="00135B83" w:rsidRPr="00F502B4">
        <w:rPr>
          <w:rFonts w:cs="Times New Roman"/>
          <w:color w:val="auto"/>
        </w:rPr>
        <w:t>Notify EPA of participation (optional</w:t>
      </w:r>
      <w:r w:rsidR="00870987">
        <w:rPr>
          <w:rFonts w:cs="Times New Roman"/>
          <w:color w:val="auto"/>
        </w:rPr>
        <w:t xml:space="preserve"> under Part 89; required under 1039 and 1054 – one time only</w:t>
      </w:r>
      <w:r w:rsidR="00135B83" w:rsidRPr="00F502B4">
        <w:rPr>
          <w:rFonts w:cs="Times New Roman"/>
          <w:color w:val="auto"/>
        </w:rPr>
        <w:t>)</w:t>
      </w:r>
    </w:p>
    <w:p w:rsidR="00135B83" w:rsidRPr="00F502B4" w:rsidRDefault="00135B83" w:rsidP="00066F0E">
      <w:pPr>
        <w:pStyle w:val="Default"/>
        <w:widowControl/>
        <w:rPr>
          <w:rFonts w:cs="Times New Roman"/>
          <w:color w:val="auto"/>
        </w:rPr>
      </w:pPr>
    </w:p>
    <w:p w:rsidR="00F502B4" w:rsidRDefault="00C50C6A" w:rsidP="00066F0E">
      <w:pPr>
        <w:pStyle w:val="Default"/>
        <w:widowControl/>
        <w:ind w:left="360"/>
        <w:rPr>
          <w:rFonts w:cs="Times New Roman"/>
          <w:color w:val="auto"/>
        </w:rPr>
      </w:pPr>
      <w:r>
        <w:rPr>
          <w:rFonts w:cs="Times New Roman"/>
          <w:color w:val="auto"/>
        </w:rPr>
        <w:t>●</w:t>
      </w:r>
      <w:r>
        <w:rPr>
          <w:rFonts w:cs="Times New Roman"/>
          <w:color w:val="auto"/>
        </w:rPr>
        <w:tab/>
      </w:r>
      <w:r w:rsidR="00135B83" w:rsidRPr="00F502B4">
        <w:rPr>
          <w:rFonts w:cs="Times New Roman"/>
          <w:color w:val="auto"/>
        </w:rPr>
        <w:t>Send a letter to the engine manufacturer</w:t>
      </w:r>
    </w:p>
    <w:p w:rsidR="00135B83" w:rsidRPr="00F502B4" w:rsidRDefault="00135B83" w:rsidP="00066F0E">
      <w:pPr>
        <w:pStyle w:val="Default"/>
        <w:widowControl/>
        <w:rPr>
          <w:rFonts w:cs="Times New Roman"/>
          <w:color w:val="auto"/>
        </w:rPr>
      </w:pPr>
    </w:p>
    <w:p w:rsidR="00F502B4" w:rsidRDefault="00C50C6A" w:rsidP="00066F0E">
      <w:pPr>
        <w:pStyle w:val="Default"/>
        <w:widowControl/>
        <w:ind w:left="360"/>
        <w:rPr>
          <w:rFonts w:cs="Times New Roman"/>
          <w:color w:val="auto"/>
        </w:rPr>
      </w:pPr>
      <w:r>
        <w:rPr>
          <w:rFonts w:cs="Times New Roman"/>
          <w:color w:val="auto"/>
        </w:rPr>
        <w:t>●</w:t>
      </w:r>
      <w:r>
        <w:rPr>
          <w:rFonts w:cs="Times New Roman"/>
          <w:color w:val="auto"/>
        </w:rPr>
        <w:tab/>
      </w:r>
      <w:r w:rsidR="00135B83" w:rsidRPr="00F502B4">
        <w:rPr>
          <w:rFonts w:cs="Times New Roman"/>
          <w:color w:val="auto"/>
        </w:rPr>
        <w:t>Count exempt equipment as it is produced</w:t>
      </w:r>
    </w:p>
    <w:p w:rsidR="00135B83" w:rsidRPr="00F502B4" w:rsidRDefault="00135B83" w:rsidP="00066F0E">
      <w:pPr>
        <w:pStyle w:val="Default"/>
        <w:widowControl/>
        <w:rPr>
          <w:rFonts w:cs="Times New Roman"/>
          <w:color w:val="auto"/>
        </w:rPr>
      </w:pPr>
    </w:p>
    <w:p w:rsidR="00F502B4" w:rsidRDefault="00C50C6A" w:rsidP="00066F0E">
      <w:pPr>
        <w:pStyle w:val="Default"/>
        <w:widowControl/>
        <w:ind w:left="720" w:hanging="360"/>
        <w:rPr>
          <w:rFonts w:cs="Times New Roman"/>
          <w:color w:val="auto"/>
        </w:rPr>
      </w:pPr>
      <w:r>
        <w:rPr>
          <w:rFonts w:cs="Times New Roman"/>
          <w:color w:val="auto"/>
        </w:rPr>
        <w:t>●</w:t>
      </w:r>
      <w:r>
        <w:rPr>
          <w:rFonts w:cs="Times New Roman"/>
          <w:color w:val="auto"/>
        </w:rPr>
        <w:tab/>
      </w:r>
      <w:r w:rsidR="00135B83" w:rsidRPr="00F502B4">
        <w:rPr>
          <w:rFonts w:cs="Times New Roman"/>
          <w:color w:val="auto"/>
        </w:rPr>
        <w:t>Make corresponding calculations to ensure compliance with</w:t>
      </w:r>
      <w:r w:rsidR="008B7E46" w:rsidRPr="00F502B4">
        <w:rPr>
          <w:rFonts w:cs="Times New Roman"/>
          <w:color w:val="auto"/>
        </w:rPr>
        <w:t xml:space="preserve"> </w:t>
      </w:r>
      <w:r w:rsidR="00135B83" w:rsidRPr="00F502B4">
        <w:rPr>
          <w:rFonts w:cs="Times New Roman"/>
          <w:color w:val="auto"/>
        </w:rPr>
        <w:t>the requirements of the selected allowance</w:t>
      </w:r>
    </w:p>
    <w:p w:rsidR="00135B83" w:rsidRPr="00F502B4" w:rsidRDefault="00135B83" w:rsidP="00066F0E">
      <w:pPr>
        <w:pStyle w:val="Default"/>
        <w:widowControl/>
        <w:rPr>
          <w:rFonts w:cs="Times New Roman"/>
          <w:color w:val="auto"/>
        </w:rPr>
      </w:pPr>
    </w:p>
    <w:p w:rsidR="00F502B4" w:rsidRDefault="00C50C6A" w:rsidP="00066F0E">
      <w:pPr>
        <w:pStyle w:val="Default"/>
        <w:widowControl/>
        <w:ind w:left="360"/>
        <w:rPr>
          <w:rFonts w:cs="Times New Roman"/>
          <w:color w:val="auto"/>
        </w:rPr>
      </w:pPr>
      <w:r>
        <w:rPr>
          <w:rFonts w:cs="Times New Roman"/>
          <w:color w:val="auto"/>
        </w:rPr>
        <w:t>●</w:t>
      </w:r>
      <w:r>
        <w:rPr>
          <w:rFonts w:cs="Times New Roman"/>
          <w:color w:val="auto"/>
        </w:rPr>
        <w:tab/>
      </w:r>
      <w:r w:rsidR="00135B83" w:rsidRPr="00F502B4">
        <w:rPr>
          <w:rFonts w:cs="Times New Roman"/>
          <w:color w:val="auto"/>
        </w:rPr>
        <w:t xml:space="preserve">Submit calculations and actual production data to EPA </w:t>
      </w:r>
    </w:p>
    <w:p w:rsidR="00C50C6A" w:rsidRDefault="00C50C6A" w:rsidP="00066F0E">
      <w:pPr>
        <w:pStyle w:val="Default"/>
        <w:widowControl/>
        <w:ind w:left="360"/>
        <w:rPr>
          <w:rFonts w:cs="Times New Roman"/>
          <w:color w:val="auto"/>
        </w:rPr>
      </w:pPr>
    </w:p>
    <w:p w:rsidR="00F502B4" w:rsidRDefault="00C50C6A" w:rsidP="00066F0E">
      <w:pPr>
        <w:pStyle w:val="Default"/>
        <w:widowControl/>
        <w:ind w:left="360"/>
        <w:rPr>
          <w:rFonts w:cs="Times New Roman"/>
          <w:color w:val="auto"/>
        </w:rPr>
      </w:pPr>
      <w:r>
        <w:rPr>
          <w:rFonts w:cs="Times New Roman"/>
          <w:color w:val="auto"/>
        </w:rPr>
        <w:t>●</w:t>
      </w:r>
      <w:r>
        <w:rPr>
          <w:rFonts w:cs="Times New Roman"/>
          <w:color w:val="auto"/>
        </w:rPr>
        <w:tab/>
      </w:r>
      <w:r w:rsidR="00135B83" w:rsidRPr="00F502B4">
        <w:rPr>
          <w:rFonts w:cs="Times New Roman"/>
          <w:color w:val="auto"/>
        </w:rPr>
        <w:t>Retain and maintain records, and submit them upon request</w:t>
      </w:r>
    </w:p>
    <w:p w:rsidR="00870987" w:rsidRDefault="00870987" w:rsidP="00066F0E">
      <w:pPr>
        <w:pStyle w:val="Default"/>
        <w:widowControl/>
        <w:ind w:left="360"/>
        <w:rPr>
          <w:rFonts w:cs="Times New Roman"/>
          <w:color w:val="auto"/>
        </w:rPr>
      </w:pPr>
    </w:p>
    <w:p w:rsidR="00870987" w:rsidRDefault="00870987" w:rsidP="00870987">
      <w:pPr>
        <w:pStyle w:val="Default"/>
        <w:widowControl/>
        <w:ind w:left="360"/>
        <w:rPr>
          <w:rFonts w:cs="Times New Roman"/>
          <w:color w:val="auto"/>
        </w:rPr>
      </w:pPr>
      <w:r>
        <w:rPr>
          <w:rFonts w:cs="Times New Roman"/>
          <w:color w:val="auto"/>
        </w:rPr>
        <w:t>●</w:t>
      </w:r>
      <w:r>
        <w:rPr>
          <w:rFonts w:cs="Times New Roman"/>
          <w:color w:val="auto"/>
        </w:rPr>
        <w:tab/>
        <w:t>For imported engines, post a bond or apply for a waiver.</w:t>
      </w:r>
    </w:p>
    <w:p w:rsidR="00870987" w:rsidRDefault="00870987" w:rsidP="00870987">
      <w:pPr>
        <w:pStyle w:val="Default"/>
        <w:widowControl/>
        <w:rPr>
          <w:rFonts w:cs="Times New Roman"/>
          <w:color w:val="auto"/>
        </w:rPr>
      </w:pPr>
    </w:p>
    <w:p w:rsidR="00135B83" w:rsidRPr="00F502B4" w:rsidRDefault="00135B83" w:rsidP="00066F0E">
      <w:pPr>
        <w:pStyle w:val="Default"/>
        <w:widowControl/>
        <w:rPr>
          <w:rFonts w:cs="Times New Roman"/>
          <w:color w:val="auto"/>
        </w:rPr>
      </w:pPr>
    </w:p>
    <w:p w:rsidR="00F502B4" w:rsidRDefault="00A75EBF" w:rsidP="00066F0E">
      <w:pPr>
        <w:pStyle w:val="Default"/>
        <w:widowControl/>
        <w:numPr>
          <w:ilvl w:val="1"/>
          <w:numId w:val="2"/>
        </w:numPr>
        <w:rPr>
          <w:rFonts w:cs="Times New Roman"/>
          <w:color w:val="auto"/>
        </w:rPr>
      </w:pPr>
      <w:r>
        <w:rPr>
          <w:rFonts w:cs="Times New Roman"/>
          <w:color w:val="auto"/>
        </w:rPr>
        <w:t>Equipment manufacturers</w:t>
      </w:r>
      <w:r w:rsidR="00135B83" w:rsidRPr="00F502B4">
        <w:rPr>
          <w:rFonts w:cs="Times New Roman"/>
          <w:color w:val="auto"/>
        </w:rPr>
        <w:t xml:space="preserve"> who wish to apply for hardship relief will:</w:t>
      </w:r>
    </w:p>
    <w:p w:rsidR="00135B83" w:rsidRPr="00F502B4" w:rsidRDefault="00135B83" w:rsidP="00066F0E">
      <w:pPr>
        <w:pStyle w:val="Default"/>
        <w:widowControl/>
        <w:rPr>
          <w:rFonts w:cs="Times New Roman"/>
          <w:color w:val="auto"/>
        </w:rPr>
      </w:pPr>
    </w:p>
    <w:p w:rsidR="00ED2A9C" w:rsidRDefault="00C50C6A" w:rsidP="00066F0E">
      <w:pPr>
        <w:pStyle w:val="Default"/>
        <w:widowControl/>
        <w:ind w:left="360"/>
        <w:rPr>
          <w:rFonts w:cs="Times New Roman"/>
          <w:color w:val="auto"/>
        </w:rPr>
      </w:pPr>
      <w:r>
        <w:rPr>
          <w:rFonts w:cs="Times New Roman"/>
          <w:color w:val="auto"/>
        </w:rPr>
        <w:t>●</w:t>
      </w:r>
      <w:r>
        <w:rPr>
          <w:rFonts w:cs="Times New Roman"/>
          <w:color w:val="auto"/>
        </w:rPr>
        <w:tab/>
      </w:r>
      <w:r w:rsidR="00135B83" w:rsidRPr="00F502B4">
        <w:rPr>
          <w:rFonts w:cs="Times New Roman"/>
          <w:color w:val="auto"/>
        </w:rPr>
        <w:t>Submit their request in wri</w:t>
      </w:r>
      <w:r>
        <w:rPr>
          <w:rFonts w:cs="Times New Roman"/>
          <w:color w:val="auto"/>
        </w:rPr>
        <w:t xml:space="preserve">ting describing their situation; </w:t>
      </w:r>
      <w:r w:rsidR="00135B83" w:rsidRPr="00F502B4">
        <w:rPr>
          <w:rFonts w:cs="Times New Roman"/>
          <w:color w:val="auto"/>
        </w:rPr>
        <w:t xml:space="preserve">and </w:t>
      </w:r>
    </w:p>
    <w:p w:rsidR="00ED2A9C" w:rsidRPr="00F502B4" w:rsidRDefault="00ED2A9C" w:rsidP="00066F0E">
      <w:pPr>
        <w:pStyle w:val="Default"/>
        <w:widowControl/>
        <w:ind w:left="360"/>
        <w:rPr>
          <w:rFonts w:cs="Times New Roman"/>
          <w:color w:val="auto"/>
        </w:rPr>
      </w:pPr>
    </w:p>
    <w:p w:rsidR="00F502B4" w:rsidRDefault="00C50C6A" w:rsidP="00066F0E">
      <w:pPr>
        <w:pStyle w:val="Default"/>
        <w:widowControl/>
        <w:ind w:left="360"/>
        <w:rPr>
          <w:rFonts w:cs="Times New Roman"/>
          <w:color w:val="auto"/>
        </w:rPr>
      </w:pPr>
      <w:r>
        <w:rPr>
          <w:rFonts w:cs="Times New Roman"/>
          <w:color w:val="auto"/>
        </w:rPr>
        <w:t>●</w:t>
      </w:r>
      <w:r>
        <w:rPr>
          <w:rFonts w:cs="Times New Roman"/>
          <w:color w:val="auto"/>
        </w:rPr>
        <w:tab/>
      </w:r>
      <w:r w:rsidR="00135B83" w:rsidRPr="00F502B4">
        <w:rPr>
          <w:rFonts w:cs="Times New Roman"/>
          <w:color w:val="auto"/>
        </w:rPr>
        <w:t>Provide proof that they will face serious economic hardship</w:t>
      </w:r>
      <w:r w:rsidR="008B7E46" w:rsidRPr="00F502B4">
        <w:rPr>
          <w:rFonts w:cs="Times New Roman"/>
          <w:color w:val="auto"/>
        </w:rPr>
        <w:t xml:space="preserve"> </w:t>
      </w:r>
      <w:r w:rsidR="00135B83" w:rsidRPr="00F502B4">
        <w:rPr>
          <w:rFonts w:cs="Times New Roman"/>
          <w:color w:val="auto"/>
        </w:rPr>
        <w:t>if relief is not granted</w:t>
      </w:r>
    </w:p>
    <w:p w:rsidR="00135B83" w:rsidRPr="00F502B4" w:rsidRDefault="00135B83" w:rsidP="00066F0E">
      <w:pPr>
        <w:pStyle w:val="Default"/>
        <w:widowControl/>
        <w:rPr>
          <w:rFonts w:cs="Times New Roman"/>
          <w:color w:val="auto"/>
        </w:rPr>
      </w:pPr>
    </w:p>
    <w:p w:rsidR="00F502B4" w:rsidRDefault="00C50C6A" w:rsidP="00066F0E">
      <w:pPr>
        <w:pStyle w:val="Default"/>
        <w:widowControl/>
        <w:ind w:left="90"/>
        <w:rPr>
          <w:rFonts w:cs="Times New Roman"/>
          <w:color w:val="auto"/>
        </w:rPr>
      </w:pPr>
      <w:r>
        <w:rPr>
          <w:rFonts w:cs="Times New Roman"/>
          <w:color w:val="auto"/>
        </w:rPr>
        <w:tab/>
      </w:r>
      <w:r w:rsidR="00135B83" w:rsidRPr="00F502B4">
        <w:rPr>
          <w:rFonts w:cs="Times New Roman"/>
          <w:color w:val="auto"/>
        </w:rPr>
        <w:t>Engine manufacturers participating in TPEM as providers of</w:t>
      </w:r>
      <w:r w:rsidR="008B7E46" w:rsidRPr="00F502B4">
        <w:rPr>
          <w:rFonts w:cs="Times New Roman"/>
          <w:color w:val="auto"/>
        </w:rPr>
        <w:t xml:space="preserve"> </w:t>
      </w:r>
      <w:r w:rsidR="00135B83" w:rsidRPr="00F502B4">
        <w:rPr>
          <w:rFonts w:cs="Times New Roman"/>
          <w:color w:val="auto"/>
        </w:rPr>
        <w:t>noncompliant engines:</w:t>
      </w:r>
    </w:p>
    <w:p w:rsidR="00135B83" w:rsidRPr="00F502B4" w:rsidRDefault="00135B83" w:rsidP="00066F0E">
      <w:pPr>
        <w:pStyle w:val="Default"/>
        <w:widowControl/>
        <w:rPr>
          <w:rFonts w:cs="Times New Roman"/>
          <w:color w:val="auto"/>
        </w:rPr>
      </w:pPr>
    </w:p>
    <w:p w:rsidR="00F502B4" w:rsidRDefault="00C50C6A" w:rsidP="00066F0E">
      <w:pPr>
        <w:pStyle w:val="Default"/>
        <w:widowControl/>
        <w:ind w:left="360"/>
        <w:rPr>
          <w:rFonts w:cs="Times New Roman"/>
          <w:color w:val="auto"/>
        </w:rPr>
      </w:pPr>
      <w:r>
        <w:rPr>
          <w:rFonts w:cs="Times New Roman"/>
          <w:color w:val="auto"/>
        </w:rPr>
        <w:t>●</w:t>
      </w:r>
      <w:r>
        <w:rPr>
          <w:rFonts w:cs="Times New Roman"/>
          <w:color w:val="auto"/>
        </w:rPr>
        <w:tab/>
      </w:r>
      <w:r w:rsidR="00135B83" w:rsidRPr="00F502B4">
        <w:rPr>
          <w:rFonts w:cs="Times New Roman"/>
          <w:color w:val="auto"/>
        </w:rPr>
        <w:t>Receive requests for engines and supply them (customary</w:t>
      </w:r>
      <w:r w:rsidR="008B7E46" w:rsidRPr="00F502B4">
        <w:rPr>
          <w:rFonts w:cs="Times New Roman"/>
          <w:color w:val="auto"/>
        </w:rPr>
        <w:t xml:space="preserve"> </w:t>
      </w:r>
      <w:r w:rsidR="00135B83" w:rsidRPr="00F502B4">
        <w:rPr>
          <w:rFonts w:cs="Times New Roman"/>
          <w:color w:val="auto"/>
        </w:rPr>
        <w:t>business practice)</w:t>
      </w:r>
    </w:p>
    <w:p w:rsidR="00ED2A9C" w:rsidRDefault="00ED2A9C" w:rsidP="00066F0E">
      <w:pPr>
        <w:pStyle w:val="Default"/>
        <w:widowControl/>
        <w:ind w:left="360"/>
        <w:rPr>
          <w:rFonts w:cs="Times New Roman"/>
          <w:color w:val="auto"/>
        </w:rPr>
      </w:pPr>
    </w:p>
    <w:p w:rsidR="00F502B4" w:rsidRDefault="00C50C6A" w:rsidP="00066F0E">
      <w:pPr>
        <w:pStyle w:val="Default"/>
        <w:widowControl/>
        <w:ind w:left="360"/>
        <w:rPr>
          <w:rFonts w:cs="Times New Roman"/>
          <w:color w:val="auto"/>
        </w:rPr>
      </w:pPr>
      <w:r>
        <w:rPr>
          <w:rFonts w:cs="Times New Roman"/>
          <w:color w:val="auto"/>
        </w:rPr>
        <w:t>●</w:t>
      </w:r>
      <w:r>
        <w:rPr>
          <w:rFonts w:cs="Times New Roman"/>
          <w:color w:val="auto"/>
        </w:rPr>
        <w:tab/>
      </w:r>
      <w:r w:rsidR="00135B83" w:rsidRPr="00F502B4">
        <w:rPr>
          <w:rFonts w:cs="Times New Roman"/>
          <w:color w:val="auto"/>
        </w:rPr>
        <w:t>Gather information about who is requesting and purchasing</w:t>
      </w:r>
      <w:r w:rsidR="008B7E46" w:rsidRPr="00F502B4">
        <w:rPr>
          <w:rFonts w:cs="Times New Roman"/>
          <w:color w:val="auto"/>
        </w:rPr>
        <w:t xml:space="preserve"> </w:t>
      </w:r>
      <w:r w:rsidR="00135B83" w:rsidRPr="00F502B4">
        <w:rPr>
          <w:rFonts w:cs="Times New Roman"/>
          <w:color w:val="auto"/>
        </w:rPr>
        <w:t>the noncompliant engines</w:t>
      </w:r>
    </w:p>
    <w:p w:rsidR="00ED2A9C" w:rsidRDefault="00ED2A9C" w:rsidP="00066F0E">
      <w:pPr>
        <w:pStyle w:val="Default"/>
        <w:widowControl/>
        <w:ind w:left="360"/>
        <w:rPr>
          <w:rFonts w:cs="Times New Roman"/>
          <w:color w:val="auto"/>
        </w:rPr>
      </w:pPr>
    </w:p>
    <w:p w:rsidR="00F502B4" w:rsidRDefault="00C50C6A" w:rsidP="00066F0E">
      <w:pPr>
        <w:pStyle w:val="Default"/>
        <w:widowControl/>
        <w:ind w:left="360"/>
        <w:rPr>
          <w:rFonts w:cs="Times New Roman"/>
          <w:color w:val="auto"/>
        </w:rPr>
      </w:pPr>
      <w:r>
        <w:rPr>
          <w:rFonts w:cs="Times New Roman"/>
          <w:color w:val="auto"/>
        </w:rPr>
        <w:t>●</w:t>
      </w:r>
      <w:r>
        <w:rPr>
          <w:rFonts w:cs="Times New Roman"/>
          <w:color w:val="auto"/>
        </w:rPr>
        <w:tab/>
      </w:r>
      <w:r w:rsidR="00135B83" w:rsidRPr="00F502B4">
        <w:rPr>
          <w:rFonts w:cs="Times New Roman"/>
          <w:color w:val="auto"/>
        </w:rPr>
        <w:t>Report to EPA their sales under TPEM by engine model and</w:t>
      </w:r>
      <w:r w:rsidR="008B7E46" w:rsidRPr="00F502B4">
        <w:rPr>
          <w:rFonts w:cs="Times New Roman"/>
          <w:color w:val="auto"/>
        </w:rPr>
        <w:t xml:space="preserve"> </w:t>
      </w:r>
      <w:r w:rsidR="00135B83" w:rsidRPr="00F502B4">
        <w:rPr>
          <w:rFonts w:cs="Times New Roman"/>
          <w:color w:val="auto"/>
        </w:rPr>
        <w:t>purchaser</w:t>
      </w:r>
    </w:p>
    <w:p w:rsidR="00ED2A9C" w:rsidRDefault="00ED2A9C" w:rsidP="00066F0E">
      <w:pPr>
        <w:pStyle w:val="Default"/>
        <w:widowControl/>
        <w:ind w:left="360"/>
        <w:rPr>
          <w:rFonts w:cs="Times New Roman"/>
          <w:color w:val="auto"/>
        </w:rPr>
      </w:pPr>
    </w:p>
    <w:p w:rsidR="00F502B4" w:rsidRDefault="00C50C6A" w:rsidP="00066F0E">
      <w:pPr>
        <w:pStyle w:val="Default"/>
        <w:widowControl/>
        <w:ind w:left="360"/>
        <w:rPr>
          <w:rFonts w:cs="Times New Roman"/>
          <w:color w:val="auto"/>
        </w:rPr>
      </w:pPr>
      <w:r>
        <w:rPr>
          <w:rFonts w:cs="Times New Roman"/>
          <w:color w:val="auto"/>
        </w:rPr>
        <w:t>●</w:t>
      </w:r>
      <w:r>
        <w:rPr>
          <w:rFonts w:cs="Times New Roman"/>
          <w:color w:val="auto"/>
        </w:rPr>
        <w:tab/>
      </w:r>
      <w:r w:rsidR="00135B83" w:rsidRPr="00F502B4">
        <w:rPr>
          <w:rFonts w:cs="Times New Roman"/>
          <w:color w:val="auto"/>
        </w:rPr>
        <w:t>Keep records</w:t>
      </w:r>
    </w:p>
    <w:p w:rsidR="00135B83" w:rsidRDefault="00135B83" w:rsidP="00066F0E">
      <w:pPr>
        <w:pStyle w:val="Default"/>
        <w:widowControl/>
        <w:rPr>
          <w:rFonts w:cs="Times New Roman"/>
          <w:color w:val="auto"/>
        </w:rPr>
      </w:pPr>
    </w:p>
    <w:p w:rsidR="00747FC8" w:rsidRDefault="00747FC8" w:rsidP="00066F0E">
      <w:pPr>
        <w:pStyle w:val="Default"/>
        <w:widowControl/>
        <w:rPr>
          <w:rFonts w:cs="Times New Roman"/>
          <w:color w:val="auto"/>
        </w:rPr>
      </w:pPr>
    </w:p>
    <w:p w:rsidR="00747FC8" w:rsidRPr="00F502B4" w:rsidRDefault="00747FC8" w:rsidP="00066F0E">
      <w:pPr>
        <w:pStyle w:val="Default"/>
        <w:widowControl/>
        <w:rPr>
          <w:rFonts w:cs="Times New Roman"/>
          <w:color w:val="auto"/>
        </w:rPr>
      </w:pPr>
    </w:p>
    <w:p w:rsidR="00F502B4" w:rsidRPr="00A929FE" w:rsidRDefault="00135B83" w:rsidP="00066F0E">
      <w:pPr>
        <w:pStyle w:val="Heading1"/>
        <w:ind w:left="720" w:hanging="720"/>
        <w:rPr>
          <w:u w:val="single"/>
        </w:rPr>
      </w:pPr>
      <w:r w:rsidRPr="0007630F">
        <w:t xml:space="preserve">5. </w:t>
      </w:r>
      <w:r w:rsidR="00C50C6A" w:rsidRPr="0007630F">
        <w:t xml:space="preserve"> </w:t>
      </w:r>
      <w:r w:rsidR="00A929FE">
        <w:tab/>
      </w:r>
      <w:r w:rsidRPr="00A929FE">
        <w:rPr>
          <w:u w:val="single"/>
        </w:rPr>
        <w:t>The Information Collected</w:t>
      </w:r>
      <w:r w:rsidR="00C50C6A" w:rsidRPr="00A929FE">
        <w:rPr>
          <w:u w:val="single"/>
        </w:rPr>
        <w:t xml:space="preserve"> </w:t>
      </w:r>
      <w:r w:rsidRPr="00A929FE">
        <w:rPr>
          <w:u w:val="single"/>
        </w:rPr>
        <w:t>--</w:t>
      </w:r>
      <w:r w:rsidR="00C50C6A" w:rsidRPr="00A929FE">
        <w:rPr>
          <w:u w:val="single"/>
        </w:rPr>
        <w:t xml:space="preserve"> </w:t>
      </w:r>
      <w:r w:rsidRPr="00A929FE">
        <w:rPr>
          <w:u w:val="single"/>
        </w:rPr>
        <w:t>Agency Activities, Collection</w:t>
      </w:r>
      <w:r w:rsidR="0007630F" w:rsidRPr="00A929FE">
        <w:rPr>
          <w:u w:val="single"/>
        </w:rPr>
        <w:t xml:space="preserve"> </w:t>
      </w:r>
      <w:r w:rsidRPr="00A929FE">
        <w:rPr>
          <w:u w:val="single"/>
        </w:rPr>
        <w:t>Methodology, and Information Management</w:t>
      </w:r>
    </w:p>
    <w:p w:rsidR="00135B83" w:rsidRPr="00F502B4" w:rsidRDefault="00135B83" w:rsidP="00066F0E">
      <w:pPr>
        <w:pStyle w:val="CM15"/>
        <w:widowControl/>
        <w:spacing w:after="0"/>
        <w:ind w:left="720"/>
      </w:pPr>
    </w:p>
    <w:p w:rsidR="00F502B4" w:rsidRPr="00271DFD" w:rsidRDefault="00135B83" w:rsidP="00066F0E">
      <w:pPr>
        <w:pStyle w:val="Heading2"/>
        <w:ind w:left="360"/>
        <w:rPr>
          <w:b w:val="0"/>
        </w:rPr>
      </w:pPr>
      <w:r w:rsidRPr="00271DFD">
        <w:rPr>
          <w:b w:val="0"/>
        </w:rPr>
        <w:t xml:space="preserve">5(a) </w:t>
      </w:r>
      <w:r w:rsidR="0007630F" w:rsidRPr="00271DFD">
        <w:rPr>
          <w:b w:val="0"/>
        </w:rPr>
        <w:t xml:space="preserve"> </w:t>
      </w:r>
      <w:r w:rsidR="007C429B" w:rsidRPr="00271DFD">
        <w:rPr>
          <w:b w:val="0"/>
        </w:rPr>
        <w:tab/>
      </w:r>
      <w:r w:rsidRPr="00271DFD">
        <w:rPr>
          <w:b w:val="0"/>
          <w:u w:val="single"/>
        </w:rPr>
        <w:t>Agency Activities</w:t>
      </w:r>
    </w:p>
    <w:p w:rsidR="00135B83" w:rsidRPr="00F502B4" w:rsidRDefault="00135B83" w:rsidP="00066F0E">
      <w:pPr>
        <w:pStyle w:val="CM16"/>
        <w:widowControl/>
        <w:spacing w:after="0"/>
      </w:pPr>
    </w:p>
    <w:p w:rsidR="00F502B4" w:rsidRDefault="00135B83" w:rsidP="00066F0E">
      <w:pPr>
        <w:pStyle w:val="CM17"/>
        <w:widowControl/>
        <w:spacing w:after="0"/>
        <w:ind w:firstLine="720"/>
      </w:pPr>
      <w:r w:rsidRPr="00F502B4">
        <w:t>EPA spends a significant amount of time answering questions</w:t>
      </w:r>
      <w:r w:rsidR="008B7E46" w:rsidRPr="00F502B4">
        <w:t xml:space="preserve"> </w:t>
      </w:r>
      <w:r w:rsidRPr="00F502B4">
        <w:t xml:space="preserve">and providing guidance to </w:t>
      </w:r>
      <w:r w:rsidR="001F42AF">
        <w:t>equipment manufacturers</w:t>
      </w:r>
      <w:r w:rsidRPr="00F502B4">
        <w:t>, importers, engine manufacturers</w:t>
      </w:r>
      <w:r w:rsidR="008B7E46" w:rsidRPr="00F502B4">
        <w:t xml:space="preserve"> </w:t>
      </w:r>
      <w:r w:rsidRPr="00F502B4">
        <w:t>and other interested parties about the program</w:t>
      </w:r>
      <w:r w:rsidR="00F502B4" w:rsidRPr="00F502B4">
        <w:t xml:space="preserve">.  </w:t>
      </w:r>
      <w:r w:rsidRPr="00F502B4">
        <w:t>EPA reviews and</w:t>
      </w:r>
      <w:r w:rsidR="008B7E46" w:rsidRPr="00F502B4">
        <w:t xml:space="preserve"> </w:t>
      </w:r>
      <w:r w:rsidRPr="00F502B4">
        <w:t xml:space="preserve">stores the information provided by </w:t>
      </w:r>
      <w:r w:rsidR="001F42AF">
        <w:t>manufacturers</w:t>
      </w:r>
      <w:r w:rsidRPr="00F502B4">
        <w:t>,</w:t>
      </w:r>
      <w:r w:rsidR="008B7E46" w:rsidRPr="00F502B4">
        <w:t xml:space="preserve"> </w:t>
      </w:r>
      <w:r w:rsidRPr="00F502B4">
        <w:t>and will process their reports when they start coming in</w:t>
      </w:r>
      <w:r w:rsidR="00F502B4" w:rsidRPr="00F502B4">
        <w:t xml:space="preserve">.  </w:t>
      </w:r>
      <w:r w:rsidRPr="00F502B4">
        <w:t>The</w:t>
      </w:r>
      <w:r w:rsidR="008B7E46" w:rsidRPr="00F502B4">
        <w:t xml:space="preserve"> </w:t>
      </w:r>
      <w:r w:rsidRPr="00F502B4">
        <w:t>information contained in the reports will be used to verify</w:t>
      </w:r>
      <w:r w:rsidR="008B7E46" w:rsidRPr="00F502B4">
        <w:t xml:space="preserve"> </w:t>
      </w:r>
      <w:r w:rsidRPr="00F502B4">
        <w:t>compliance and for enforcement purposes, as needed</w:t>
      </w:r>
      <w:r w:rsidR="00F502B4" w:rsidRPr="00F502B4">
        <w:t xml:space="preserve">.  </w:t>
      </w:r>
      <w:r w:rsidRPr="00F502B4">
        <w:t>The agency</w:t>
      </w:r>
      <w:r w:rsidR="008B7E46" w:rsidRPr="00F502B4">
        <w:t xml:space="preserve"> </w:t>
      </w:r>
      <w:r w:rsidR="001F42AF">
        <w:t xml:space="preserve">may </w:t>
      </w:r>
      <w:r w:rsidRPr="00F502B4">
        <w:t xml:space="preserve">also conduct investigations </w:t>
      </w:r>
      <w:r w:rsidR="001F42AF">
        <w:t>if there is reason to believe a</w:t>
      </w:r>
      <w:r w:rsidRPr="00F502B4">
        <w:t xml:space="preserve"> </w:t>
      </w:r>
      <w:r w:rsidR="001F42AF">
        <w:t>manufacturer</w:t>
      </w:r>
      <w:r w:rsidRPr="00F502B4">
        <w:t xml:space="preserve"> is misusing the program or defaulting its</w:t>
      </w:r>
      <w:r w:rsidR="008B7E46" w:rsidRPr="00F502B4">
        <w:t xml:space="preserve"> </w:t>
      </w:r>
      <w:r w:rsidRPr="00F502B4">
        <w:t>requirements.</w:t>
      </w:r>
    </w:p>
    <w:p w:rsidR="00135B83" w:rsidRPr="00F502B4" w:rsidRDefault="00135B83" w:rsidP="00066F0E">
      <w:pPr>
        <w:pStyle w:val="CM17"/>
        <w:widowControl/>
        <w:spacing w:after="0"/>
        <w:ind w:firstLine="720"/>
      </w:pPr>
    </w:p>
    <w:p w:rsidR="00F502B4" w:rsidRPr="00271DFD" w:rsidRDefault="00135B83" w:rsidP="00066F0E">
      <w:pPr>
        <w:pStyle w:val="Heading2"/>
        <w:ind w:left="360"/>
        <w:rPr>
          <w:b w:val="0"/>
        </w:rPr>
      </w:pPr>
      <w:r w:rsidRPr="00271DFD">
        <w:rPr>
          <w:b w:val="0"/>
        </w:rPr>
        <w:t xml:space="preserve">5(b) </w:t>
      </w:r>
      <w:r w:rsidR="0007630F" w:rsidRPr="00271DFD">
        <w:rPr>
          <w:b w:val="0"/>
        </w:rPr>
        <w:t xml:space="preserve"> </w:t>
      </w:r>
      <w:r w:rsidR="007C429B" w:rsidRPr="00271DFD">
        <w:rPr>
          <w:b w:val="0"/>
        </w:rPr>
        <w:tab/>
      </w:r>
      <w:r w:rsidRPr="00271DFD">
        <w:rPr>
          <w:b w:val="0"/>
          <w:u w:val="single"/>
        </w:rPr>
        <w:t>Collection Methodology and Management</w:t>
      </w:r>
    </w:p>
    <w:p w:rsidR="00135B83" w:rsidRPr="00F502B4" w:rsidRDefault="00135B83" w:rsidP="00066F0E">
      <w:pPr>
        <w:pStyle w:val="CM16"/>
        <w:widowControl/>
        <w:spacing w:after="0"/>
      </w:pPr>
    </w:p>
    <w:p w:rsidR="00376258" w:rsidRDefault="00135B83" w:rsidP="00066F0E">
      <w:pPr>
        <w:pStyle w:val="CM17"/>
        <w:widowControl/>
        <w:spacing w:after="0"/>
        <w:ind w:firstLine="720"/>
      </w:pPr>
      <w:r w:rsidRPr="00F502B4">
        <w:t>Currently, EPA receives information from respondents both in</w:t>
      </w:r>
      <w:r w:rsidR="008B7E46" w:rsidRPr="00F502B4">
        <w:t xml:space="preserve"> </w:t>
      </w:r>
      <w:r w:rsidRPr="00F502B4">
        <w:t>electronic format and in hard copy</w:t>
      </w:r>
      <w:r w:rsidR="00F502B4" w:rsidRPr="00F502B4">
        <w:t xml:space="preserve">.  </w:t>
      </w:r>
      <w:r w:rsidRPr="00F502B4">
        <w:t xml:space="preserve">EPA </w:t>
      </w:r>
      <w:r w:rsidR="001F42AF">
        <w:t>is developing</w:t>
      </w:r>
      <w:r w:rsidRPr="00F502B4">
        <w:t xml:space="preserve"> a database to collect </w:t>
      </w:r>
      <w:r w:rsidR="001F42AF">
        <w:t>these</w:t>
      </w:r>
      <w:r w:rsidRPr="00F502B4">
        <w:t xml:space="preserve"> reports</w:t>
      </w:r>
      <w:r w:rsidR="00F502B4" w:rsidRPr="00F502B4">
        <w:t xml:space="preserve">.  </w:t>
      </w:r>
      <w:r w:rsidRPr="00F502B4">
        <w:t>Once the database is in</w:t>
      </w:r>
      <w:r w:rsidR="008B7E46" w:rsidRPr="00F502B4">
        <w:t xml:space="preserve"> </w:t>
      </w:r>
      <w:r w:rsidRPr="00F502B4">
        <w:t>place, EPA will store respondent</w:t>
      </w:r>
      <w:r w:rsidR="00C50C6A">
        <w:t>'</w:t>
      </w:r>
      <w:r w:rsidRPr="00F502B4">
        <w:t>s information both in hard copy</w:t>
      </w:r>
      <w:r w:rsidR="008B7E46" w:rsidRPr="00F502B4">
        <w:t xml:space="preserve"> </w:t>
      </w:r>
      <w:r w:rsidRPr="00F502B4">
        <w:t>and electronic format</w:t>
      </w:r>
      <w:r w:rsidR="001F42AF">
        <w:t xml:space="preserve"> (according to the format in which the original submission was received)</w:t>
      </w:r>
      <w:r w:rsidRPr="00F502B4">
        <w:t>.</w:t>
      </w:r>
      <w:r w:rsidR="00376258">
        <w:t xml:space="preserve">  In the meantime, EPA has developed electronic forms (Excel spreadsheets) that manufacturers may use to submit:</w:t>
      </w:r>
    </w:p>
    <w:p w:rsidR="00376258" w:rsidRDefault="00376258" w:rsidP="00376258">
      <w:pPr>
        <w:pStyle w:val="CM17"/>
        <w:widowControl/>
        <w:numPr>
          <w:ilvl w:val="0"/>
          <w:numId w:val="6"/>
        </w:numPr>
        <w:spacing w:after="0"/>
      </w:pPr>
      <w:r>
        <w:lastRenderedPageBreak/>
        <w:t>Equipment manufacturer notifications</w:t>
      </w:r>
    </w:p>
    <w:p w:rsidR="00376258" w:rsidRDefault="00376258" w:rsidP="00376258">
      <w:pPr>
        <w:pStyle w:val="Default"/>
        <w:numPr>
          <w:ilvl w:val="0"/>
          <w:numId w:val="6"/>
        </w:numPr>
      </w:pPr>
      <w:r>
        <w:t>Equipment manufacturer reports</w:t>
      </w:r>
    </w:p>
    <w:p w:rsidR="00376258" w:rsidRDefault="00376258" w:rsidP="00376258">
      <w:pPr>
        <w:pStyle w:val="Default"/>
        <w:numPr>
          <w:ilvl w:val="0"/>
          <w:numId w:val="6"/>
        </w:numPr>
      </w:pPr>
      <w:r>
        <w:t>Engine manufacturer reports</w:t>
      </w:r>
    </w:p>
    <w:p w:rsidR="00376258" w:rsidRPr="00376258" w:rsidRDefault="00376258" w:rsidP="00376258">
      <w:pPr>
        <w:pStyle w:val="Default"/>
        <w:numPr>
          <w:ilvl w:val="0"/>
          <w:numId w:val="6"/>
        </w:numPr>
      </w:pPr>
      <w:r>
        <w:t>Bond waiver requests</w:t>
      </w:r>
    </w:p>
    <w:p w:rsidR="00376258" w:rsidRDefault="00376258" w:rsidP="00376258">
      <w:pPr>
        <w:pStyle w:val="Default"/>
      </w:pPr>
    </w:p>
    <w:p w:rsidR="00376258" w:rsidRPr="00376258" w:rsidRDefault="00A1321F" w:rsidP="00A1321F">
      <w:pPr>
        <w:pStyle w:val="Default"/>
        <w:ind w:left="360"/>
      </w:pPr>
      <w:r>
        <w:t>Copies of these forms will be provided as part of the renewal package for this information collection.</w:t>
      </w:r>
    </w:p>
    <w:p w:rsidR="00376258" w:rsidRPr="00376258" w:rsidRDefault="00376258" w:rsidP="00376258">
      <w:pPr>
        <w:pStyle w:val="Default"/>
      </w:pPr>
    </w:p>
    <w:p w:rsidR="00135B83" w:rsidRPr="00F502B4" w:rsidRDefault="00135B83" w:rsidP="00066F0E">
      <w:pPr>
        <w:pStyle w:val="CM17"/>
        <w:widowControl/>
        <w:spacing w:after="0"/>
        <w:ind w:firstLine="720"/>
      </w:pPr>
    </w:p>
    <w:p w:rsidR="00F502B4" w:rsidRPr="00271DFD" w:rsidRDefault="00135B83" w:rsidP="00066F0E">
      <w:pPr>
        <w:pStyle w:val="Heading2"/>
        <w:ind w:left="360"/>
        <w:rPr>
          <w:b w:val="0"/>
        </w:rPr>
      </w:pPr>
      <w:r w:rsidRPr="00271DFD">
        <w:rPr>
          <w:b w:val="0"/>
        </w:rPr>
        <w:t xml:space="preserve">5(c) </w:t>
      </w:r>
      <w:r w:rsidR="0007630F" w:rsidRPr="00271DFD">
        <w:rPr>
          <w:b w:val="0"/>
        </w:rPr>
        <w:t xml:space="preserve"> </w:t>
      </w:r>
      <w:r w:rsidR="007C429B" w:rsidRPr="00271DFD">
        <w:rPr>
          <w:b w:val="0"/>
        </w:rPr>
        <w:tab/>
      </w:r>
      <w:r w:rsidRPr="00271DFD">
        <w:rPr>
          <w:b w:val="0"/>
          <w:u w:val="single"/>
        </w:rPr>
        <w:t>Small Entity Flexibility</w:t>
      </w:r>
    </w:p>
    <w:p w:rsidR="00135B83" w:rsidRPr="00F502B4" w:rsidRDefault="00135B83" w:rsidP="00066F0E">
      <w:pPr>
        <w:pStyle w:val="CM16"/>
        <w:widowControl/>
        <w:spacing w:after="0"/>
      </w:pPr>
    </w:p>
    <w:p w:rsidR="00F502B4" w:rsidRDefault="00135B83" w:rsidP="00066F0E">
      <w:pPr>
        <w:pStyle w:val="CM15"/>
        <w:widowControl/>
        <w:spacing w:after="0"/>
        <w:ind w:firstLine="720"/>
      </w:pPr>
      <w:r w:rsidRPr="00F502B4">
        <w:t>TPEM is particularly useful to small businesses as it</w:t>
      </w:r>
      <w:r w:rsidR="008B7E46" w:rsidRPr="00F502B4">
        <w:t xml:space="preserve"> </w:t>
      </w:r>
      <w:r w:rsidRPr="00F502B4">
        <w:t>provides them with additional time to comply with EPA emission</w:t>
      </w:r>
      <w:r w:rsidR="008B7E46" w:rsidRPr="00F502B4">
        <w:t xml:space="preserve"> </w:t>
      </w:r>
      <w:r w:rsidRPr="00F502B4">
        <w:t>regulations</w:t>
      </w:r>
      <w:r w:rsidR="00F502B4" w:rsidRPr="00F502B4">
        <w:t xml:space="preserve">.  </w:t>
      </w:r>
      <w:r w:rsidRPr="00F502B4">
        <w:t>Actually, the format of the program is based on</w:t>
      </w:r>
      <w:r w:rsidR="008B7E46" w:rsidRPr="00F502B4">
        <w:t xml:space="preserve"> </w:t>
      </w:r>
      <w:r w:rsidRPr="00F502B4">
        <w:t>recommendations made by the panel convened for the August 1998</w:t>
      </w:r>
      <w:r w:rsidR="008B7E46" w:rsidRPr="00F502B4">
        <w:t xml:space="preserve"> </w:t>
      </w:r>
      <w:r w:rsidRPr="00F502B4">
        <w:t>rule under the Small Business Regulatory Enforcement Fairness Act</w:t>
      </w:r>
      <w:r w:rsidR="008B7E46" w:rsidRPr="00F502B4">
        <w:t xml:space="preserve"> </w:t>
      </w:r>
      <w:r w:rsidRPr="00F502B4">
        <w:t>of 1996 (SBREFA)</w:t>
      </w:r>
      <w:r w:rsidR="00F502B4" w:rsidRPr="00F502B4">
        <w:t xml:space="preserve">.  </w:t>
      </w:r>
      <w:r w:rsidRPr="00F502B4">
        <w:t>The small volume allowance is intended to</w:t>
      </w:r>
      <w:r w:rsidR="008B7E46" w:rsidRPr="00F502B4">
        <w:t xml:space="preserve"> </w:t>
      </w:r>
      <w:r w:rsidRPr="00F502B4">
        <w:t>address the needs of small businesses with a limited product</w:t>
      </w:r>
      <w:r w:rsidR="008B7E46" w:rsidRPr="00F502B4">
        <w:t xml:space="preserve"> </w:t>
      </w:r>
      <w:r w:rsidRPr="00F502B4">
        <w:t>line</w:t>
      </w:r>
      <w:r w:rsidR="00F502B4" w:rsidRPr="00F502B4">
        <w:t xml:space="preserve">.  </w:t>
      </w:r>
      <w:r w:rsidRPr="00F502B4">
        <w:t xml:space="preserve">The percent-of-production allowance requires </w:t>
      </w:r>
      <w:r w:rsidR="00A75EBF">
        <w:t>Equipment manufacturers</w:t>
      </w:r>
      <w:r w:rsidRPr="00F502B4">
        <w:t xml:space="preserve"> to use</w:t>
      </w:r>
      <w:r w:rsidR="008B7E46" w:rsidRPr="00F502B4">
        <w:t xml:space="preserve"> </w:t>
      </w:r>
      <w:r w:rsidRPr="00F502B4">
        <w:t>certified engines in a portion of their production</w:t>
      </w:r>
      <w:r w:rsidR="00F502B4" w:rsidRPr="00F502B4">
        <w:t xml:space="preserve">.  </w:t>
      </w:r>
      <w:r w:rsidRPr="00F502B4">
        <w:t>The small</w:t>
      </w:r>
      <w:r w:rsidR="008B7E46" w:rsidRPr="00F502B4">
        <w:t xml:space="preserve"> </w:t>
      </w:r>
      <w:r w:rsidRPr="00F502B4">
        <w:t xml:space="preserve">volume allowance eliminates that requirement and allows </w:t>
      </w:r>
      <w:r w:rsidR="001F42AF">
        <w:t>equipment manufacturers</w:t>
      </w:r>
      <w:r w:rsidRPr="00F502B4">
        <w:t xml:space="preserve"> to</w:t>
      </w:r>
      <w:r w:rsidR="008B7E46" w:rsidRPr="00F502B4">
        <w:t xml:space="preserve"> </w:t>
      </w:r>
      <w:r w:rsidRPr="00F502B4">
        <w:t>exempt up to 200 pieces of equipment without using certified</w:t>
      </w:r>
      <w:r w:rsidR="008B7E46" w:rsidRPr="00F502B4">
        <w:t xml:space="preserve"> </w:t>
      </w:r>
      <w:r w:rsidRPr="00F502B4">
        <w:t>engines at all.</w:t>
      </w:r>
    </w:p>
    <w:p w:rsidR="003D46EE" w:rsidRDefault="003D46EE" w:rsidP="003D46EE">
      <w:pPr>
        <w:pStyle w:val="Default"/>
      </w:pPr>
    </w:p>
    <w:p w:rsidR="003D46EE" w:rsidRPr="003D46EE" w:rsidRDefault="003D46EE" w:rsidP="003D46EE">
      <w:pPr>
        <w:pStyle w:val="Default"/>
      </w:pPr>
      <w:r>
        <w:tab/>
      </w:r>
      <w:r w:rsidRPr="00835C7D">
        <w:t xml:space="preserve">Regulations at </w:t>
      </w:r>
      <w:r w:rsidR="00835C7D" w:rsidRPr="00835C7D">
        <w:t>1039.625 (m), 1068.255 and 1054.635</w:t>
      </w:r>
      <w:r w:rsidRPr="00835C7D">
        <w:t xml:space="preserve"> provide additional flexib</w:t>
      </w:r>
      <w:r w:rsidR="00835C7D">
        <w:t>ilities</w:t>
      </w:r>
      <w:r w:rsidRPr="00835C7D">
        <w:t xml:space="preserve"> for small volume manufacturers.</w:t>
      </w:r>
    </w:p>
    <w:p w:rsidR="00135B83" w:rsidRPr="00F502B4" w:rsidRDefault="00135B83" w:rsidP="00066F0E">
      <w:pPr>
        <w:pStyle w:val="CM15"/>
        <w:widowControl/>
        <w:spacing w:after="0"/>
        <w:ind w:firstLine="720"/>
      </w:pPr>
    </w:p>
    <w:p w:rsidR="00F502B4" w:rsidRDefault="00135B83" w:rsidP="00066F0E">
      <w:pPr>
        <w:pStyle w:val="CM6"/>
        <w:widowControl/>
        <w:spacing w:line="240" w:lineRule="auto"/>
        <w:ind w:firstLine="720"/>
      </w:pPr>
      <w:r w:rsidRPr="00F502B4">
        <w:t>The information being requested is the minimum needed to</w:t>
      </w:r>
      <w:r w:rsidR="008B7E46" w:rsidRPr="00F502B4">
        <w:t xml:space="preserve"> </w:t>
      </w:r>
      <w:r w:rsidRPr="00F502B4">
        <w:t>maintain the integrity of the program</w:t>
      </w:r>
      <w:r w:rsidR="00F502B4" w:rsidRPr="00F502B4">
        <w:t xml:space="preserve">.  </w:t>
      </w:r>
      <w:r w:rsidRPr="00F502B4">
        <w:t>Further measures to</w:t>
      </w:r>
      <w:r w:rsidR="008B7E46" w:rsidRPr="00F502B4">
        <w:t xml:space="preserve"> </w:t>
      </w:r>
      <w:r w:rsidRPr="00F502B4">
        <w:t>simplify reporting for small businesses do not appear prudent or</w:t>
      </w:r>
      <w:r w:rsidR="008B7E46" w:rsidRPr="00F502B4">
        <w:t xml:space="preserve"> </w:t>
      </w:r>
      <w:r w:rsidRPr="00F502B4">
        <w:t>necessary.</w:t>
      </w:r>
    </w:p>
    <w:p w:rsidR="00135B83" w:rsidRPr="00F502B4" w:rsidRDefault="00135B83" w:rsidP="00066F0E">
      <w:pPr>
        <w:pStyle w:val="CM6"/>
        <w:widowControl/>
        <w:spacing w:line="240" w:lineRule="auto"/>
        <w:ind w:firstLine="720"/>
      </w:pPr>
    </w:p>
    <w:p w:rsidR="00F502B4" w:rsidRPr="00271DFD" w:rsidRDefault="00135B83" w:rsidP="00066F0E">
      <w:pPr>
        <w:pStyle w:val="Heading2"/>
        <w:ind w:left="360"/>
        <w:rPr>
          <w:b w:val="0"/>
        </w:rPr>
      </w:pPr>
      <w:r w:rsidRPr="00271DFD">
        <w:rPr>
          <w:b w:val="0"/>
        </w:rPr>
        <w:t xml:space="preserve">5(d) </w:t>
      </w:r>
      <w:r w:rsidR="0007630F" w:rsidRPr="00271DFD">
        <w:rPr>
          <w:b w:val="0"/>
        </w:rPr>
        <w:t xml:space="preserve"> </w:t>
      </w:r>
      <w:r w:rsidR="007C429B" w:rsidRPr="00271DFD">
        <w:rPr>
          <w:b w:val="0"/>
        </w:rPr>
        <w:tab/>
      </w:r>
      <w:r w:rsidRPr="00271DFD">
        <w:rPr>
          <w:b w:val="0"/>
          <w:u w:val="single"/>
        </w:rPr>
        <w:t>Collection Schedule</w:t>
      </w:r>
    </w:p>
    <w:p w:rsidR="00135B83" w:rsidRPr="00F502B4" w:rsidRDefault="00135B83" w:rsidP="00066F0E">
      <w:pPr>
        <w:pStyle w:val="CM16"/>
        <w:keepNext/>
        <w:widowControl/>
        <w:spacing w:after="0"/>
      </w:pPr>
    </w:p>
    <w:p w:rsidR="00F502B4" w:rsidRDefault="001F42AF" w:rsidP="00066F0E">
      <w:pPr>
        <w:pStyle w:val="CM15"/>
        <w:widowControl/>
        <w:spacing w:after="0"/>
        <w:ind w:firstLine="720"/>
      </w:pPr>
      <w:r>
        <w:t>Under Part 89, i</w:t>
      </w:r>
      <w:r w:rsidR="00135B83" w:rsidRPr="00F502B4">
        <w:t xml:space="preserve">nformation submitted by </w:t>
      </w:r>
      <w:r>
        <w:t>equipment manufacturers</w:t>
      </w:r>
      <w:r w:rsidR="00135B83" w:rsidRPr="00F502B4">
        <w:t xml:space="preserve"> is collected only at the</w:t>
      </w:r>
      <w:r w:rsidR="008B7E46" w:rsidRPr="00F502B4">
        <w:t xml:space="preserve"> </w:t>
      </w:r>
      <w:r w:rsidR="00135B83" w:rsidRPr="00F502B4">
        <w:t xml:space="preserve">beginning and at the end of their participation in the program. </w:t>
      </w:r>
      <w:r w:rsidR="008B7E46" w:rsidRPr="00F502B4">
        <w:t xml:space="preserve"> </w:t>
      </w:r>
      <w:r w:rsidR="00135B83" w:rsidRPr="00F502B4">
        <w:t>At the beginning, they notify EPA of their participation in the</w:t>
      </w:r>
      <w:r w:rsidR="008B7E46" w:rsidRPr="00F502B4">
        <w:t xml:space="preserve"> </w:t>
      </w:r>
      <w:r w:rsidR="00135B83" w:rsidRPr="00F502B4">
        <w:t>program, if they wish to</w:t>
      </w:r>
      <w:r w:rsidR="00F502B4" w:rsidRPr="00F502B4">
        <w:t xml:space="preserve">.  </w:t>
      </w:r>
      <w:r w:rsidR="00135B83" w:rsidRPr="00F502B4">
        <w:t>At the end of the program, they must</w:t>
      </w:r>
      <w:r w:rsidR="008B7E46" w:rsidRPr="00F502B4">
        <w:t xml:space="preserve"> </w:t>
      </w:r>
      <w:r w:rsidR="00135B83" w:rsidRPr="00F502B4">
        <w:t>submit their calculations (no later than December 31 of the final</w:t>
      </w:r>
      <w:r w:rsidR="008B7E46" w:rsidRPr="00F502B4">
        <w:t xml:space="preserve"> </w:t>
      </w:r>
      <w:r w:rsidR="00135B83" w:rsidRPr="00F502B4">
        <w:t>year in which they use the allowances).</w:t>
      </w:r>
      <w:r>
        <w:t xml:space="preserve">  Part 1039 equipment manufacturers must notify EPA of their participation in TPEM before they start using the allowances, and must submit reports annually.</w:t>
      </w:r>
    </w:p>
    <w:p w:rsidR="00135B83" w:rsidRPr="00F502B4" w:rsidRDefault="00135B83" w:rsidP="00066F0E">
      <w:pPr>
        <w:pStyle w:val="CM15"/>
        <w:widowControl/>
        <w:spacing w:after="0"/>
        <w:ind w:firstLine="720"/>
      </w:pPr>
    </w:p>
    <w:p w:rsidR="00F502B4" w:rsidRDefault="00135B83" w:rsidP="00066F0E">
      <w:pPr>
        <w:pStyle w:val="CM20"/>
        <w:widowControl/>
        <w:spacing w:after="0"/>
        <w:ind w:firstLine="720"/>
      </w:pPr>
      <w:r w:rsidRPr="00F502B4">
        <w:t>Engine manufacturers, however, need to submit their reports</w:t>
      </w:r>
      <w:r w:rsidR="008B7E46" w:rsidRPr="00F502B4">
        <w:t xml:space="preserve"> </w:t>
      </w:r>
      <w:r w:rsidRPr="00F502B4">
        <w:t>every year.</w:t>
      </w:r>
    </w:p>
    <w:p w:rsidR="00135B83" w:rsidRPr="00F502B4" w:rsidRDefault="00135B83" w:rsidP="00066F0E">
      <w:pPr>
        <w:pStyle w:val="CM20"/>
        <w:widowControl/>
        <w:spacing w:after="0"/>
        <w:ind w:firstLine="720"/>
      </w:pPr>
    </w:p>
    <w:p w:rsidR="00F502B4" w:rsidRDefault="00135B83" w:rsidP="00066F0E">
      <w:pPr>
        <w:pStyle w:val="Heading1"/>
      </w:pPr>
      <w:r w:rsidRPr="00F502B4">
        <w:t xml:space="preserve">6. </w:t>
      </w:r>
      <w:r w:rsidR="00C50C6A">
        <w:t xml:space="preserve"> </w:t>
      </w:r>
      <w:r w:rsidR="007C429B">
        <w:tab/>
      </w:r>
      <w:r w:rsidRPr="007C429B">
        <w:rPr>
          <w:u w:val="single"/>
        </w:rPr>
        <w:t>Estimating the Burden and Cost of the Collection</w:t>
      </w:r>
    </w:p>
    <w:p w:rsidR="00135B83" w:rsidRPr="00F502B4" w:rsidRDefault="00135B83" w:rsidP="00066F0E">
      <w:pPr>
        <w:pStyle w:val="CM15"/>
        <w:widowControl/>
        <w:spacing w:after="0"/>
      </w:pPr>
    </w:p>
    <w:p w:rsidR="00135B83" w:rsidRPr="00F502B4" w:rsidRDefault="00135B83" w:rsidP="00066F0E">
      <w:pPr>
        <w:pStyle w:val="CM16"/>
        <w:widowControl/>
        <w:spacing w:after="0"/>
        <w:ind w:left="720"/>
      </w:pPr>
    </w:p>
    <w:p w:rsidR="00F502B4" w:rsidRPr="00271DFD" w:rsidRDefault="00135B83" w:rsidP="00066F0E">
      <w:pPr>
        <w:pStyle w:val="Heading2"/>
        <w:ind w:left="0" w:firstLine="0"/>
        <w:rPr>
          <w:b w:val="0"/>
        </w:rPr>
      </w:pPr>
      <w:r w:rsidRPr="00271DFD">
        <w:rPr>
          <w:b w:val="0"/>
        </w:rPr>
        <w:t xml:space="preserve">6(a) </w:t>
      </w:r>
      <w:r w:rsidR="0007630F" w:rsidRPr="00271DFD">
        <w:rPr>
          <w:b w:val="0"/>
        </w:rPr>
        <w:t xml:space="preserve"> </w:t>
      </w:r>
      <w:r w:rsidR="007C429B" w:rsidRPr="00271DFD">
        <w:rPr>
          <w:b w:val="0"/>
        </w:rPr>
        <w:tab/>
      </w:r>
      <w:r w:rsidRPr="00271DFD">
        <w:rPr>
          <w:b w:val="0"/>
          <w:u w:val="single"/>
        </w:rPr>
        <w:t>Estimating Respondent Burden</w:t>
      </w:r>
    </w:p>
    <w:p w:rsidR="00135B83" w:rsidRPr="00F502B4" w:rsidRDefault="00135B83" w:rsidP="00066F0E">
      <w:pPr>
        <w:pStyle w:val="CM16"/>
        <w:widowControl/>
        <w:spacing w:after="0"/>
      </w:pPr>
    </w:p>
    <w:p w:rsidR="00E637B7" w:rsidRPr="00E637B7" w:rsidRDefault="00135B83" w:rsidP="00E637B7">
      <w:pPr>
        <w:ind w:firstLine="720"/>
      </w:pPr>
      <w:r w:rsidRPr="00E637B7">
        <w:lastRenderedPageBreak/>
        <w:t>Burden estimates were taken from the previous ICR and</w:t>
      </w:r>
      <w:r w:rsidR="008B7E46" w:rsidRPr="00E637B7">
        <w:t xml:space="preserve"> </w:t>
      </w:r>
      <w:r w:rsidRPr="00E637B7">
        <w:t>adjusted to reflect comments from fewer than 10 respondents</w:t>
      </w:r>
      <w:r w:rsidR="008B7E46" w:rsidRPr="00E637B7">
        <w:t xml:space="preserve"> </w:t>
      </w:r>
      <w:r w:rsidRPr="00E637B7">
        <w:t>consulted by EPA.</w:t>
      </w:r>
      <w:r w:rsidR="00E637B7">
        <w:t xml:space="preserve">  </w:t>
      </w:r>
      <w:r w:rsidR="00E637B7" w:rsidRPr="00835C7D">
        <w:t>Table 1 and 2</w:t>
      </w:r>
      <w:r w:rsidR="00835C7D">
        <w:t xml:space="preserve"> (spreadsheet file)</w:t>
      </w:r>
      <w:r w:rsidR="00E637B7">
        <w:t xml:space="preserve"> contain detailed information</w:t>
      </w:r>
      <w:r w:rsidR="000F49EE">
        <w:t>.</w:t>
      </w:r>
      <w:r w:rsidR="00E637B7">
        <w:t xml:space="preserve"> </w:t>
      </w:r>
    </w:p>
    <w:p w:rsidR="00135B83" w:rsidRPr="00F502B4" w:rsidRDefault="00135B83" w:rsidP="00066F0E">
      <w:pPr>
        <w:pStyle w:val="CM15"/>
        <w:widowControl/>
        <w:spacing w:after="0"/>
        <w:ind w:firstLine="720"/>
      </w:pPr>
    </w:p>
    <w:p w:rsidR="00F502B4" w:rsidRDefault="00135B83" w:rsidP="00066F0E">
      <w:pPr>
        <w:pStyle w:val="CM17"/>
        <w:widowControl/>
        <w:spacing w:after="0"/>
        <w:ind w:firstLine="720"/>
      </w:pPr>
      <w:r w:rsidRPr="00F502B4">
        <w:t>All burden estimates, including those associated with one-time preparations were annualized.</w:t>
      </w:r>
    </w:p>
    <w:p w:rsidR="00835C7D" w:rsidRPr="00835C7D" w:rsidRDefault="00835C7D" w:rsidP="00835C7D">
      <w:pPr>
        <w:pStyle w:val="Default"/>
      </w:pPr>
    </w:p>
    <w:p w:rsidR="00135B83" w:rsidRPr="00F502B4" w:rsidRDefault="00135B83" w:rsidP="00066F0E">
      <w:pPr>
        <w:pStyle w:val="CM17"/>
        <w:widowControl/>
        <w:spacing w:after="0"/>
        <w:ind w:firstLine="720"/>
      </w:pPr>
    </w:p>
    <w:p w:rsidR="00F502B4" w:rsidRPr="00271DFD" w:rsidRDefault="00135B83" w:rsidP="00066F0E">
      <w:pPr>
        <w:pStyle w:val="Heading2"/>
        <w:ind w:left="360"/>
        <w:rPr>
          <w:b w:val="0"/>
        </w:rPr>
      </w:pPr>
      <w:r w:rsidRPr="00271DFD">
        <w:rPr>
          <w:b w:val="0"/>
        </w:rPr>
        <w:t xml:space="preserve">6(b) </w:t>
      </w:r>
      <w:r w:rsidR="0007630F" w:rsidRPr="00271DFD">
        <w:rPr>
          <w:b w:val="0"/>
        </w:rPr>
        <w:t xml:space="preserve"> </w:t>
      </w:r>
      <w:r w:rsidR="007C429B" w:rsidRPr="00271DFD">
        <w:rPr>
          <w:b w:val="0"/>
        </w:rPr>
        <w:tab/>
      </w:r>
      <w:r w:rsidRPr="00271DFD">
        <w:rPr>
          <w:b w:val="0"/>
          <w:u w:val="single"/>
        </w:rPr>
        <w:t>Estimating Respondent Costs</w:t>
      </w:r>
    </w:p>
    <w:p w:rsidR="00135B83" w:rsidRPr="00F502B4" w:rsidRDefault="00135B83" w:rsidP="00066F0E">
      <w:pPr>
        <w:pStyle w:val="CM15"/>
        <w:widowControl/>
        <w:spacing w:after="0"/>
      </w:pPr>
    </w:p>
    <w:p w:rsidR="00F502B4" w:rsidRDefault="00135B83" w:rsidP="00066F0E">
      <w:pPr>
        <w:pStyle w:val="CM16"/>
        <w:widowControl/>
        <w:spacing w:after="0"/>
      </w:pPr>
      <w:r w:rsidRPr="00F502B4">
        <w:t xml:space="preserve">(i) </w:t>
      </w:r>
      <w:r w:rsidR="0007630F">
        <w:t xml:space="preserve"> </w:t>
      </w:r>
      <w:r w:rsidRPr="00F502B4">
        <w:t>Estimating Labor Costs</w:t>
      </w:r>
    </w:p>
    <w:p w:rsidR="0089522C" w:rsidRPr="0089522C" w:rsidRDefault="0089522C" w:rsidP="0089522C">
      <w:pPr>
        <w:pStyle w:val="Default"/>
      </w:pPr>
    </w:p>
    <w:p w:rsidR="00F502B4" w:rsidRDefault="00135B83" w:rsidP="00066F0E">
      <w:pPr>
        <w:pStyle w:val="CM5"/>
        <w:widowControl/>
        <w:spacing w:line="240" w:lineRule="auto"/>
        <w:ind w:firstLine="720"/>
      </w:pPr>
      <w:r w:rsidRPr="00F502B4">
        <w:t>To estimate labor costs, EPA used the Bureau of Labor</w:t>
      </w:r>
      <w:r w:rsidR="008B7E46" w:rsidRPr="00F502B4">
        <w:t xml:space="preserve"> </w:t>
      </w:r>
      <w:r w:rsidRPr="00F502B4">
        <w:t>Statistics</w:t>
      </w:r>
      <w:r w:rsidR="00C50C6A">
        <w:t>'</w:t>
      </w:r>
      <w:r w:rsidRPr="00F502B4">
        <w:t xml:space="preserve"> National Industry-specific Occupational Wage</w:t>
      </w:r>
      <w:r w:rsidR="008B7E46" w:rsidRPr="00F502B4">
        <w:t xml:space="preserve"> </w:t>
      </w:r>
      <w:r w:rsidRPr="00F502B4">
        <w:t>Estimates (May 200</w:t>
      </w:r>
      <w:r w:rsidR="005E2D3A">
        <w:t>9</w:t>
      </w:r>
      <w:r w:rsidRPr="00F502B4">
        <w:t>) for the Engine and Turbines Industry (SIC</w:t>
      </w:r>
      <w:r w:rsidR="008B7E46" w:rsidRPr="00F502B4">
        <w:t xml:space="preserve"> </w:t>
      </w:r>
      <w:r w:rsidRPr="00F502B4">
        <w:t>351) and increased by a factor of 2.</w:t>
      </w:r>
      <w:r w:rsidR="0089522C">
        <w:t>1</w:t>
      </w:r>
      <w:r w:rsidRPr="00F502B4">
        <w:t xml:space="preserve"> to account for benefits and</w:t>
      </w:r>
      <w:r w:rsidR="008B7E46" w:rsidRPr="00F502B4">
        <w:t xml:space="preserve"> </w:t>
      </w:r>
      <w:r w:rsidRPr="00F502B4">
        <w:t>overhead</w:t>
      </w:r>
      <w:r w:rsidR="00F502B4" w:rsidRPr="00F502B4">
        <w:t xml:space="preserve">.  </w:t>
      </w:r>
      <w:r w:rsidRPr="00F502B4">
        <w:t>The specific rates used are listed below</w:t>
      </w:r>
      <w:r w:rsidR="00F502B4" w:rsidRPr="00F502B4">
        <w:t xml:space="preserve">.  </w:t>
      </w:r>
      <w:r w:rsidRPr="00F502B4">
        <w:t>These are</w:t>
      </w:r>
      <w:r w:rsidR="008B7E46" w:rsidRPr="00F502B4">
        <w:t xml:space="preserve"> </w:t>
      </w:r>
      <w:r w:rsidRPr="00F502B4">
        <w:t>mean hourly rates.</w:t>
      </w:r>
    </w:p>
    <w:p w:rsidR="00135B83" w:rsidRDefault="00135B83" w:rsidP="00066F0E">
      <w:pPr>
        <w:pStyle w:val="CM5"/>
        <w:widowControl/>
        <w:spacing w:line="240" w:lineRule="auto"/>
        <w:ind w:firstLine="720"/>
      </w:pPr>
    </w:p>
    <w:p w:rsidR="00C50C6A" w:rsidRPr="00C50C6A" w:rsidRDefault="00C50C6A" w:rsidP="00066F0E">
      <w:pPr>
        <w:pStyle w:val="Default"/>
      </w:pPr>
    </w:p>
    <w:p w:rsidR="00F502B4" w:rsidRDefault="00135B83" w:rsidP="00066F0E">
      <w:pPr>
        <w:pStyle w:val="Table"/>
      </w:pPr>
      <w:r w:rsidRPr="00F502B4">
        <w:t>Table 3</w:t>
      </w:r>
      <w:r w:rsidR="00C50C6A">
        <w:t xml:space="preserve"> </w:t>
      </w:r>
      <w:r w:rsidRPr="00F502B4">
        <w:br/>
        <w:t>Labor Costs Estimates</w:t>
      </w:r>
    </w:p>
    <w:p w:rsidR="00135B83" w:rsidRPr="00F502B4" w:rsidRDefault="00135B83" w:rsidP="00066F0E">
      <w:pPr>
        <w:pStyle w:val="CM22"/>
        <w:widowControl/>
        <w:spacing w:after="0"/>
        <w:jc w:val="center"/>
      </w:pPr>
    </w:p>
    <w:tbl>
      <w:tblPr>
        <w:tblW w:w="8640" w:type="dxa"/>
        <w:jc w:val="center"/>
        <w:tblBorders>
          <w:top w:val="nil"/>
          <w:left w:val="nil"/>
          <w:bottom w:val="nil"/>
          <w:right w:val="nil"/>
        </w:tblBorders>
        <w:tblCellMar>
          <w:top w:w="72" w:type="dxa"/>
          <w:left w:w="72" w:type="dxa"/>
          <w:bottom w:w="72" w:type="dxa"/>
          <w:right w:w="72" w:type="dxa"/>
        </w:tblCellMar>
        <w:tblLook w:val="0000"/>
      </w:tblPr>
      <w:tblGrid>
        <w:gridCol w:w="3549"/>
        <w:gridCol w:w="1688"/>
        <w:gridCol w:w="1750"/>
        <w:gridCol w:w="1653"/>
      </w:tblGrid>
      <w:tr w:rsidR="00135B83" w:rsidRPr="00C50C6A" w:rsidTr="00C50C6A">
        <w:trPr>
          <w:jc w:val="center"/>
        </w:trPr>
        <w:tc>
          <w:tcPr>
            <w:tcW w:w="3549" w:type="dxa"/>
            <w:tcBorders>
              <w:top w:val="single" w:sz="4" w:space="0" w:color="000000"/>
              <w:left w:val="single" w:sz="4" w:space="0" w:color="000000"/>
              <w:bottom w:val="single" w:sz="4" w:space="0" w:color="000000"/>
              <w:right w:val="single" w:sz="4" w:space="0" w:color="000000"/>
            </w:tcBorders>
            <w:shd w:val="clear" w:color="auto" w:fill="E6E6E6"/>
            <w:vAlign w:val="bottom"/>
          </w:tcPr>
          <w:p w:rsidR="00135B83" w:rsidRPr="00C50C6A" w:rsidRDefault="00135B83" w:rsidP="00066F0E">
            <w:pPr>
              <w:pStyle w:val="Default"/>
              <w:widowControl/>
              <w:jc w:val="center"/>
              <w:rPr>
                <w:rFonts w:cs="Times New Roman"/>
                <w:b/>
                <w:sz w:val="22"/>
                <w:szCs w:val="22"/>
              </w:rPr>
            </w:pPr>
            <w:r w:rsidRPr="00C50C6A">
              <w:rPr>
                <w:rFonts w:cs="Times New Roman"/>
                <w:b/>
                <w:sz w:val="22"/>
                <w:szCs w:val="22"/>
              </w:rPr>
              <w:t>Occupation</w:t>
            </w:r>
          </w:p>
        </w:tc>
        <w:tc>
          <w:tcPr>
            <w:tcW w:w="1688"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135B83" w:rsidRPr="00C50C6A" w:rsidRDefault="00135B83" w:rsidP="00066F0E">
            <w:pPr>
              <w:pStyle w:val="Default"/>
              <w:widowControl/>
              <w:jc w:val="center"/>
              <w:rPr>
                <w:rFonts w:cs="Times New Roman"/>
                <w:b/>
                <w:sz w:val="22"/>
                <w:szCs w:val="22"/>
              </w:rPr>
            </w:pPr>
            <w:r w:rsidRPr="00C50C6A">
              <w:rPr>
                <w:rFonts w:cs="Times New Roman"/>
                <w:b/>
                <w:sz w:val="22"/>
                <w:szCs w:val="22"/>
              </w:rPr>
              <w:t>SOC Code Number</w:t>
            </w:r>
          </w:p>
        </w:tc>
        <w:tc>
          <w:tcPr>
            <w:tcW w:w="175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135B83" w:rsidRPr="00C50C6A" w:rsidRDefault="00135B83" w:rsidP="00066F0E">
            <w:pPr>
              <w:pStyle w:val="Default"/>
              <w:widowControl/>
              <w:jc w:val="center"/>
              <w:rPr>
                <w:rFonts w:cs="Times New Roman"/>
                <w:b/>
                <w:sz w:val="22"/>
                <w:szCs w:val="22"/>
              </w:rPr>
            </w:pPr>
            <w:r w:rsidRPr="00C50C6A">
              <w:rPr>
                <w:rFonts w:cs="Times New Roman"/>
                <w:b/>
                <w:sz w:val="22"/>
                <w:szCs w:val="22"/>
              </w:rPr>
              <w:t>Mean Hourly Rate (BLS)</w:t>
            </w:r>
          </w:p>
        </w:tc>
        <w:tc>
          <w:tcPr>
            <w:tcW w:w="1653" w:type="dxa"/>
            <w:tcBorders>
              <w:top w:val="single" w:sz="4" w:space="0" w:color="000000"/>
              <w:left w:val="single" w:sz="4" w:space="0" w:color="000000"/>
              <w:bottom w:val="single" w:sz="4" w:space="0" w:color="000000"/>
              <w:right w:val="single" w:sz="4" w:space="0" w:color="000000"/>
            </w:tcBorders>
            <w:shd w:val="clear" w:color="auto" w:fill="E6E6E6"/>
            <w:vAlign w:val="bottom"/>
          </w:tcPr>
          <w:p w:rsidR="00135B83" w:rsidRPr="00C50C6A" w:rsidRDefault="00135B83" w:rsidP="00066F0E">
            <w:pPr>
              <w:pStyle w:val="Default"/>
              <w:widowControl/>
              <w:jc w:val="center"/>
              <w:rPr>
                <w:rFonts w:cs="Times New Roman"/>
                <w:b/>
                <w:sz w:val="22"/>
                <w:szCs w:val="22"/>
              </w:rPr>
            </w:pPr>
            <w:r w:rsidRPr="00C50C6A">
              <w:rPr>
                <w:rFonts w:cs="Times New Roman"/>
                <w:b/>
                <w:sz w:val="22"/>
                <w:szCs w:val="22"/>
              </w:rPr>
              <w:t>110%</w:t>
            </w:r>
          </w:p>
        </w:tc>
      </w:tr>
      <w:tr w:rsidR="00135B83" w:rsidRPr="00C50C6A" w:rsidTr="00C50C6A">
        <w:trPr>
          <w:jc w:val="center"/>
        </w:trPr>
        <w:tc>
          <w:tcPr>
            <w:tcW w:w="3549"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066F0E">
            <w:pPr>
              <w:pStyle w:val="Default"/>
              <w:widowControl/>
              <w:rPr>
                <w:rFonts w:cs="Times New Roman"/>
                <w:sz w:val="20"/>
              </w:rPr>
            </w:pPr>
            <w:r w:rsidRPr="00C50C6A">
              <w:rPr>
                <w:rFonts w:cs="Times New Roman"/>
                <w:sz w:val="20"/>
              </w:rPr>
              <w:t xml:space="preserve">Mechanical Engineers </w:t>
            </w:r>
          </w:p>
        </w:tc>
        <w:tc>
          <w:tcPr>
            <w:tcW w:w="1688"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066F0E">
            <w:pPr>
              <w:pStyle w:val="Default"/>
              <w:widowControl/>
              <w:jc w:val="center"/>
              <w:rPr>
                <w:rFonts w:cs="Times New Roman"/>
                <w:sz w:val="20"/>
              </w:rPr>
            </w:pPr>
            <w:r w:rsidRPr="00C50C6A">
              <w:rPr>
                <w:rFonts w:cs="Times New Roman"/>
                <w:sz w:val="20"/>
              </w:rPr>
              <w:t xml:space="preserve">17-2141 </w:t>
            </w:r>
          </w:p>
        </w:tc>
        <w:tc>
          <w:tcPr>
            <w:tcW w:w="1750"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9C2ABD">
            <w:pPr>
              <w:pStyle w:val="Default"/>
              <w:widowControl/>
              <w:jc w:val="center"/>
              <w:rPr>
                <w:rFonts w:cs="Times New Roman"/>
                <w:sz w:val="20"/>
              </w:rPr>
            </w:pPr>
            <w:r w:rsidRPr="00C50C6A">
              <w:rPr>
                <w:rFonts w:cs="Times New Roman"/>
                <w:sz w:val="20"/>
              </w:rPr>
              <w:t>$3</w:t>
            </w:r>
            <w:r w:rsidR="009C2ABD">
              <w:rPr>
                <w:rFonts w:cs="Times New Roman"/>
                <w:sz w:val="20"/>
              </w:rPr>
              <w:t>6</w:t>
            </w:r>
            <w:r w:rsidRPr="00C50C6A">
              <w:rPr>
                <w:rFonts w:cs="Times New Roman"/>
                <w:sz w:val="20"/>
              </w:rPr>
              <w:t>.</w:t>
            </w:r>
            <w:r w:rsidR="009C2ABD">
              <w:rPr>
                <w:rFonts w:cs="Times New Roman"/>
                <w:sz w:val="20"/>
              </w:rPr>
              <w:t>75</w:t>
            </w:r>
            <w:r w:rsidRPr="00C50C6A">
              <w:rPr>
                <w:rFonts w:cs="Times New Roman"/>
                <w:sz w:val="20"/>
              </w:rPr>
              <w:t xml:space="preserve"> </w:t>
            </w:r>
          </w:p>
        </w:tc>
        <w:tc>
          <w:tcPr>
            <w:tcW w:w="1653"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9C2ABD">
            <w:pPr>
              <w:pStyle w:val="Default"/>
              <w:widowControl/>
              <w:jc w:val="center"/>
              <w:rPr>
                <w:rFonts w:cs="Times New Roman"/>
                <w:sz w:val="20"/>
              </w:rPr>
            </w:pPr>
            <w:r w:rsidRPr="00C50C6A">
              <w:rPr>
                <w:rFonts w:cs="Times New Roman"/>
                <w:sz w:val="20"/>
              </w:rPr>
              <w:t>$</w:t>
            </w:r>
            <w:r w:rsidR="009C2ABD">
              <w:rPr>
                <w:rFonts w:cs="Times New Roman"/>
                <w:sz w:val="20"/>
              </w:rPr>
              <w:t>77</w:t>
            </w:r>
            <w:r w:rsidRPr="00C50C6A">
              <w:rPr>
                <w:rFonts w:cs="Times New Roman"/>
                <w:sz w:val="20"/>
              </w:rPr>
              <w:t>.</w:t>
            </w:r>
            <w:r w:rsidR="009C2ABD">
              <w:rPr>
                <w:rFonts w:cs="Times New Roman"/>
                <w:sz w:val="20"/>
              </w:rPr>
              <w:t>1</w:t>
            </w:r>
            <w:r w:rsidRPr="00C50C6A">
              <w:rPr>
                <w:rFonts w:cs="Times New Roman"/>
                <w:sz w:val="20"/>
              </w:rPr>
              <w:t xml:space="preserve">8 </w:t>
            </w:r>
          </w:p>
        </w:tc>
      </w:tr>
      <w:tr w:rsidR="00135B83" w:rsidRPr="00C50C6A" w:rsidTr="00C50C6A">
        <w:trPr>
          <w:jc w:val="center"/>
        </w:trPr>
        <w:tc>
          <w:tcPr>
            <w:tcW w:w="3549"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066F0E">
            <w:pPr>
              <w:pStyle w:val="Default"/>
              <w:widowControl/>
              <w:rPr>
                <w:rFonts w:cs="Times New Roman"/>
                <w:sz w:val="20"/>
              </w:rPr>
            </w:pPr>
            <w:r w:rsidRPr="00C50C6A">
              <w:rPr>
                <w:rFonts w:cs="Times New Roman"/>
                <w:sz w:val="20"/>
              </w:rPr>
              <w:t xml:space="preserve">Engineering Managers </w:t>
            </w:r>
          </w:p>
        </w:tc>
        <w:tc>
          <w:tcPr>
            <w:tcW w:w="1688"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066F0E">
            <w:pPr>
              <w:pStyle w:val="Default"/>
              <w:widowControl/>
              <w:jc w:val="center"/>
              <w:rPr>
                <w:rFonts w:cs="Times New Roman"/>
                <w:sz w:val="20"/>
              </w:rPr>
            </w:pPr>
            <w:r w:rsidRPr="00C50C6A">
              <w:rPr>
                <w:rFonts w:cs="Times New Roman"/>
                <w:sz w:val="20"/>
              </w:rPr>
              <w:t xml:space="preserve">11-9041 </w:t>
            </w:r>
          </w:p>
        </w:tc>
        <w:tc>
          <w:tcPr>
            <w:tcW w:w="1750"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9C2ABD">
            <w:pPr>
              <w:pStyle w:val="Default"/>
              <w:widowControl/>
              <w:jc w:val="center"/>
              <w:rPr>
                <w:rFonts w:cs="Times New Roman"/>
                <w:sz w:val="20"/>
              </w:rPr>
            </w:pPr>
            <w:r w:rsidRPr="00C50C6A">
              <w:rPr>
                <w:rFonts w:cs="Times New Roman"/>
                <w:sz w:val="20"/>
              </w:rPr>
              <w:t>$</w:t>
            </w:r>
            <w:r w:rsidR="009C2ABD">
              <w:rPr>
                <w:rFonts w:cs="Times New Roman"/>
                <w:sz w:val="20"/>
              </w:rPr>
              <w:t>51</w:t>
            </w:r>
            <w:r w:rsidRPr="00C50C6A">
              <w:rPr>
                <w:rFonts w:cs="Times New Roman"/>
                <w:sz w:val="20"/>
              </w:rPr>
              <w:t>.1</w:t>
            </w:r>
            <w:r w:rsidR="009C2ABD">
              <w:rPr>
                <w:rFonts w:cs="Times New Roman"/>
                <w:sz w:val="20"/>
              </w:rPr>
              <w:t>1</w:t>
            </w:r>
            <w:r w:rsidRPr="00C50C6A">
              <w:rPr>
                <w:rFonts w:cs="Times New Roman"/>
                <w:sz w:val="20"/>
              </w:rPr>
              <w:t xml:space="preserve"> </w:t>
            </w:r>
          </w:p>
        </w:tc>
        <w:tc>
          <w:tcPr>
            <w:tcW w:w="1653"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9C2ABD">
            <w:pPr>
              <w:pStyle w:val="Default"/>
              <w:widowControl/>
              <w:jc w:val="center"/>
              <w:rPr>
                <w:rFonts w:cs="Times New Roman"/>
                <w:sz w:val="20"/>
              </w:rPr>
            </w:pPr>
            <w:r w:rsidRPr="00C50C6A">
              <w:rPr>
                <w:rFonts w:cs="Times New Roman"/>
                <w:sz w:val="20"/>
              </w:rPr>
              <w:t>$</w:t>
            </w:r>
            <w:r w:rsidR="009C2ABD">
              <w:rPr>
                <w:rFonts w:cs="Times New Roman"/>
                <w:sz w:val="20"/>
              </w:rPr>
              <w:t>107</w:t>
            </w:r>
            <w:r w:rsidRPr="00C50C6A">
              <w:rPr>
                <w:rFonts w:cs="Times New Roman"/>
                <w:sz w:val="20"/>
              </w:rPr>
              <w:t>.</w:t>
            </w:r>
            <w:r w:rsidR="009C2ABD">
              <w:rPr>
                <w:rFonts w:cs="Times New Roman"/>
                <w:sz w:val="20"/>
              </w:rPr>
              <w:t>33</w:t>
            </w:r>
            <w:r w:rsidRPr="00C50C6A">
              <w:rPr>
                <w:rFonts w:cs="Times New Roman"/>
                <w:sz w:val="20"/>
              </w:rPr>
              <w:t xml:space="preserve"> </w:t>
            </w:r>
          </w:p>
        </w:tc>
      </w:tr>
      <w:tr w:rsidR="00135B83" w:rsidRPr="00C50C6A" w:rsidTr="00C50C6A">
        <w:trPr>
          <w:jc w:val="center"/>
        </w:trPr>
        <w:tc>
          <w:tcPr>
            <w:tcW w:w="3549"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066F0E">
            <w:pPr>
              <w:pStyle w:val="Default"/>
              <w:widowControl/>
              <w:rPr>
                <w:rFonts w:cs="Times New Roman"/>
                <w:sz w:val="20"/>
              </w:rPr>
            </w:pPr>
            <w:r w:rsidRPr="00C50C6A">
              <w:rPr>
                <w:rFonts w:cs="Times New Roman"/>
                <w:sz w:val="20"/>
              </w:rPr>
              <w:t xml:space="preserve">Lawyers </w:t>
            </w:r>
          </w:p>
        </w:tc>
        <w:tc>
          <w:tcPr>
            <w:tcW w:w="1688"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066F0E">
            <w:pPr>
              <w:pStyle w:val="Default"/>
              <w:widowControl/>
              <w:jc w:val="center"/>
              <w:rPr>
                <w:rFonts w:cs="Times New Roman"/>
                <w:sz w:val="20"/>
              </w:rPr>
            </w:pPr>
            <w:r w:rsidRPr="00C50C6A">
              <w:rPr>
                <w:rFonts w:cs="Times New Roman"/>
                <w:sz w:val="20"/>
              </w:rPr>
              <w:t xml:space="preserve">23-1011 </w:t>
            </w:r>
          </w:p>
        </w:tc>
        <w:tc>
          <w:tcPr>
            <w:tcW w:w="1750"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9C2ABD">
            <w:pPr>
              <w:pStyle w:val="Default"/>
              <w:widowControl/>
              <w:jc w:val="center"/>
              <w:rPr>
                <w:rFonts w:cs="Times New Roman"/>
                <w:sz w:val="20"/>
              </w:rPr>
            </w:pPr>
            <w:r w:rsidRPr="00C50C6A">
              <w:rPr>
                <w:rFonts w:cs="Times New Roman"/>
                <w:sz w:val="20"/>
              </w:rPr>
              <w:t xml:space="preserve">$ </w:t>
            </w:r>
            <w:r w:rsidR="009C2ABD">
              <w:rPr>
                <w:rFonts w:cs="Times New Roman"/>
                <w:sz w:val="20"/>
              </w:rPr>
              <w:t>65.65</w:t>
            </w:r>
          </w:p>
        </w:tc>
        <w:tc>
          <w:tcPr>
            <w:tcW w:w="1653"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9C2ABD">
            <w:pPr>
              <w:pStyle w:val="Default"/>
              <w:widowControl/>
              <w:jc w:val="center"/>
              <w:rPr>
                <w:rFonts w:cs="Times New Roman"/>
                <w:sz w:val="20"/>
              </w:rPr>
            </w:pPr>
            <w:r w:rsidRPr="00C50C6A">
              <w:rPr>
                <w:rFonts w:cs="Times New Roman"/>
                <w:sz w:val="20"/>
              </w:rPr>
              <w:t>$1</w:t>
            </w:r>
            <w:r w:rsidR="009C2ABD">
              <w:rPr>
                <w:rFonts w:cs="Times New Roman"/>
                <w:sz w:val="20"/>
              </w:rPr>
              <w:t>37</w:t>
            </w:r>
            <w:r w:rsidRPr="00C50C6A">
              <w:rPr>
                <w:rFonts w:cs="Times New Roman"/>
                <w:sz w:val="20"/>
              </w:rPr>
              <w:t>.8</w:t>
            </w:r>
            <w:r w:rsidR="009C2ABD">
              <w:rPr>
                <w:rFonts w:cs="Times New Roman"/>
                <w:sz w:val="20"/>
              </w:rPr>
              <w:t>7</w:t>
            </w:r>
            <w:r w:rsidRPr="00C50C6A">
              <w:rPr>
                <w:rFonts w:cs="Times New Roman"/>
                <w:sz w:val="20"/>
              </w:rPr>
              <w:t xml:space="preserve"> </w:t>
            </w:r>
          </w:p>
        </w:tc>
      </w:tr>
      <w:tr w:rsidR="00135B83" w:rsidRPr="00C50C6A" w:rsidTr="00C50C6A">
        <w:trPr>
          <w:jc w:val="center"/>
        </w:trPr>
        <w:tc>
          <w:tcPr>
            <w:tcW w:w="3549"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066F0E">
            <w:pPr>
              <w:pStyle w:val="Default"/>
              <w:widowControl/>
              <w:rPr>
                <w:rFonts w:cs="Times New Roman"/>
                <w:sz w:val="20"/>
              </w:rPr>
            </w:pPr>
            <w:r w:rsidRPr="00C50C6A">
              <w:rPr>
                <w:rFonts w:cs="Times New Roman"/>
                <w:sz w:val="20"/>
              </w:rPr>
              <w:t xml:space="preserve">Secretaries, Except Legal, Medical and Executive </w:t>
            </w:r>
          </w:p>
        </w:tc>
        <w:tc>
          <w:tcPr>
            <w:tcW w:w="1688" w:type="dxa"/>
            <w:tcBorders>
              <w:top w:val="single" w:sz="9" w:space="0" w:color="000000"/>
              <w:left w:val="single" w:sz="9" w:space="0" w:color="000000"/>
              <w:bottom w:val="single" w:sz="9" w:space="0" w:color="000000"/>
              <w:right w:val="single" w:sz="9" w:space="0" w:color="000000"/>
            </w:tcBorders>
            <w:vAlign w:val="bottom"/>
          </w:tcPr>
          <w:p w:rsidR="00135B83" w:rsidRPr="00C50C6A" w:rsidRDefault="00135B83" w:rsidP="00066F0E">
            <w:pPr>
              <w:pStyle w:val="Default"/>
              <w:widowControl/>
              <w:jc w:val="center"/>
              <w:rPr>
                <w:rFonts w:cs="Times New Roman"/>
                <w:sz w:val="20"/>
              </w:rPr>
            </w:pPr>
            <w:r w:rsidRPr="00C50C6A">
              <w:rPr>
                <w:rFonts w:cs="Times New Roman"/>
                <w:sz w:val="20"/>
              </w:rPr>
              <w:t xml:space="preserve">43-6014 </w:t>
            </w:r>
          </w:p>
        </w:tc>
        <w:tc>
          <w:tcPr>
            <w:tcW w:w="1750" w:type="dxa"/>
            <w:tcBorders>
              <w:top w:val="single" w:sz="9" w:space="0" w:color="000000"/>
              <w:left w:val="single" w:sz="9" w:space="0" w:color="000000"/>
              <w:bottom w:val="single" w:sz="9" w:space="0" w:color="000000"/>
              <w:right w:val="single" w:sz="9" w:space="0" w:color="000000"/>
            </w:tcBorders>
            <w:vAlign w:val="bottom"/>
          </w:tcPr>
          <w:p w:rsidR="00135B83" w:rsidRPr="00C50C6A" w:rsidRDefault="00135B83" w:rsidP="009C2ABD">
            <w:pPr>
              <w:pStyle w:val="Default"/>
              <w:widowControl/>
              <w:jc w:val="center"/>
              <w:rPr>
                <w:rFonts w:cs="Times New Roman"/>
                <w:sz w:val="20"/>
              </w:rPr>
            </w:pPr>
            <w:r w:rsidRPr="00C50C6A">
              <w:rPr>
                <w:rFonts w:cs="Times New Roman"/>
                <w:sz w:val="20"/>
              </w:rPr>
              <w:t>$1</w:t>
            </w:r>
            <w:r w:rsidR="009C2ABD">
              <w:rPr>
                <w:rFonts w:cs="Times New Roman"/>
                <w:sz w:val="20"/>
              </w:rPr>
              <w:t>6</w:t>
            </w:r>
            <w:r w:rsidRPr="00C50C6A">
              <w:rPr>
                <w:rFonts w:cs="Times New Roman"/>
                <w:sz w:val="20"/>
              </w:rPr>
              <w:t>.</w:t>
            </w:r>
            <w:r w:rsidR="009C2ABD">
              <w:rPr>
                <w:rFonts w:cs="Times New Roman"/>
                <w:sz w:val="20"/>
              </w:rPr>
              <w:t>8</w:t>
            </w:r>
            <w:r w:rsidRPr="00C50C6A">
              <w:rPr>
                <w:rFonts w:cs="Times New Roman"/>
                <w:sz w:val="20"/>
              </w:rPr>
              <w:t>9</w:t>
            </w:r>
          </w:p>
        </w:tc>
        <w:tc>
          <w:tcPr>
            <w:tcW w:w="1653" w:type="dxa"/>
            <w:tcBorders>
              <w:top w:val="single" w:sz="9" w:space="0" w:color="000000"/>
              <w:left w:val="single" w:sz="9" w:space="0" w:color="000000"/>
              <w:bottom w:val="single" w:sz="9" w:space="0" w:color="000000"/>
              <w:right w:val="single" w:sz="9" w:space="0" w:color="000000"/>
            </w:tcBorders>
            <w:vAlign w:val="bottom"/>
          </w:tcPr>
          <w:p w:rsidR="00135B83" w:rsidRPr="00C50C6A" w:rsidRDefault="00135B83" w:rsidP="009C2ABD">
            <w:pPr>
              <w:pStyle w:val="Default"/>
              <w:widowControl/>
              <w:jc w:val="center"/>
              <w:rPr>
                <w:rFonts w:cs="Times New Roman"/>
                <w:sz w:val="20"/>
              </w:rPr>
            </w:pPr>
            <w:r w:rsidRPr="00C50C6A">
              <w:rPr>
                <w:rFonts w:cs="Times New Roman"/>
                <w:sz w:val="20"/>
              </w:rPr>
              <w:t>$3</w:t>
            </w:r>
            <w:r w:rsidR="009C2ABD">
              <w:rPr>
                <w:rFonts w:cs="Times New Roman"/>
                <w:sz w:val="20"/>
              </w:rPr>
              <w:t>5</w:t>
            </w:r>
            <w:r w:rsidRPr="00C50C6A">
              <w:rPr>
                <w:rFonts w:cs="Times New Roman"/>
                <w:sz w:val="20"/>
              </w:rPr>
              <w:t>.</w:t>
            </w:r>
            <w:r w:rsidR="009C2ABD">
              <w:rPr>
                <w:rFonts w:cs="Times New Roman"/>
                <w:sz w:val="20"/>
              </w:rPr>
              <w:t>47</w:t>
            </w:r>
            <w:r w:rsidRPr="00C50C6A">
              <w:rPr>
                <w:rFonts w:cs="Times New Roman"/>
                <w:sz w:val="20"/>
              </w:rPr>
              <w:t xml:space="preserve"> </w:t>
            </w:r>
          </w:p>
        </w:tc>
      </w:tr>
    </w:tbl>
    <w:p w:rsidR="00135B83" w:rsidRDefault="00135B83" w:rsidP="00066F0E">
      <w:pPr>
        <w:pStyle w:val="Default"/>
        <w:widowControl/>
        <w:rPr>
          <w:rFonts w:cs="Times New Roman"/>
          <w:color w:val="auto"/>
        </w:rPr>
      </w:pPr>
    </w:p>
    <w:p w:rsidR="00C50C6A" w:rsidRPr="00F502B4" w:rsidRDefault="00C50C6A" w:rsidP="00066F0E">
      <w:pPr>
        <w:pStyle w:val="Default"/>
        <w:widowControl/>
        <w:rPr>
          <w:rFonts w:cs="Times New Roman"/>
          <w:color w:val="auto"/>
        </w:rPr>
      </w:pPr>
    </w:p>
    <w:p w:rsidR="00F502B4" w:rsidRDefault="00135B83" w:rsidP="00066F0E">
      <w:pPr>
        <w:pStyle w:val="CM16"/>
        <w:widowControl/>
        <w:spacing w:after="0"/>
      </w:pPr>
      <w:r w:rsidRPr="00F502B4">
        <w:t xml:space="preserve">(ii) </w:t>
      </w:r>
      <w:r w:rsidR="0007630F">
        <w:t xml:space="preserve"> </w:t>
      </w:r>
      <w:r w:rsidRPr="00F502B4">
        <w:t>Estimating Capital and Operations and Maintenance (O&amp;M)</w:t>
      </w:r>
      <w:r w:rsidR="00251A23">
        <w:t xml:space="preserve"> </w:t>
      </w:r>
      <w:r w:rsidRPr="00F502B4">
        <w:t>Costs</w:t>
      </w:r>
    </w:p>
    <w:p w:rsidR="00135B83" w:rsidRPr="00F502B4" w:rsidRDefault="00135B83" w:rsidP="00066F0E">
      <w:pPr>
        <w:pStyle w:val="CM16"/>
        <w:widowControl/>
        <w:spacing w:after="0"/>
        <w:ind w:left="1440" w:hanging="720"/>
      </w:pPr>
    </w:p>
    <w:p w:rsidR="00F502B4" w:rsidRDefault="00135B83" w:rsidP="00066F0E">
      <w:pPr>
        <w:pStyle w:val="CM15"/>
        <w:widowControl/>
        <w:spacing w:after="0"/>
        <w:ind w:firstLine="720"/>
      </w:pPr>
      <w:r w:rsidRPr="00F502B4">
        <w:t>Operation and maintenance costs associated with TPEM include</w:t>
      </w:r>
      <w:r w:rsidR="008B7E46" w:rsidRPr="00F502B4">
        <w:t xml:space="preserve"> </w:t>
      </w:r>
      <w:r w:rsidRPr="00F502B4">
        <w:t>phone calls, photocopying, postage expenses and diskettes</w:t>
      </w:r>
      <w:r w:rsidR="00F502B4" w:rsidRPr="00F502B4">
        <w:t xml:space="preserve">.  </w:t>
      </w:r>
      <w:r w:rsidRPr="00F502B4">
        <w:t>Diskettes may be used by manufacturers to keep their records.</w:t>
      </w:r>
    </w:p>
    <w:p w:rsidR="00135B83" w:rsidRPr="00F502B4" w:rsidRDefault="00135B83" w:rsidP="00066F0E">
      <w:pPr>
        <w:pStyle w:val="CM15"/>
        <w:widowControl/>
        <w:spacing w:after="0"/>
        <w:ind w:firstLine="720"/>
      </w:pPr>
    </w:p>
    <w:p w:rsidR="00F502B4" w:rsidRDefault="00135B83" w:rsidP="00066F0E">
      <w:pPr>
        <w:pStyle w:val="CM17"/>
        <w:widowControl/>
        <w:spacing w:after="0"/>
        <w:ind w:firstLine="720"/>
      </w:pPr>
      <w:r w:rsidRPr="00F502B4">
        <w:t>No capital costs are associated with participation in this</w:t>
      </w:r>
      <w:r w:rsidR="008B7E46" w:rsidRPr="00F502B4">
        <w:t xml:space="preserve"> </w:t>
      </w:r>
      <w:r w:rsidRPr="00F502B4">
        <w:t>program.</w:t>
      </w:r>
    </w:p>
    <w:p w:rsidR="00135B83" w:rsidRPr="00F502B4" w:rsidRDefault="00135B83" w:rsidP="00066F0E">
      <w:pPr>
        <w:pStyle w:val="CM17"/>
        <w:widowControl/>
        <w:spacing w:after="0"/>
        <w:ind w:firstLine="720"/>
      </w:pPr>
    </w:p>
    <w:p w:rsidR="00F502B4" w:rsidRDefault="0007630F" w:rsidP="00066F0E">
      <w:pPr>
        <w:pStyle w:val="CM16"/>
        <w:widowControl/>
        <w:spacing w:after="0"/>
        <w:ind w:left="720" w:hanging="720"/>
      </w:pPr>
      <w:r>
        <w:t xml:space="preserve">(iii)  </w:t>
      </w:r>
      <w:r w:rsidR="00135B83" w:rsidRPr="00F502B4">
        <w:t xml:space="preserve">Capital/Start-up vs. Operating and Maintenance Costs </w:t>
      </w:r>
    </w:p>
    <w:p w:rsidR="00135B83" w:rsidRPr="00F502B4" w:rsidRDefault="00135B83" w:rsidP="00066F0E">
      <w:pPr>
        <w:pStyle w:val="CM16"/>
        <w:widowControl/>
        <w:spacing w:after="0"/>
        <w:ind w:left="1440" w:hanging="720"/>
      </w:pPr>
    </w:p>
    <w:p w:rsidR="00F502B4" w:rsidRDefault="00135B83" w:rsidP="00066F0E">
      <w:pPr>
        <w:pStyle w:val="CM17"/>
        <w:widowControl/>
        <w:spacing w:after="0"/>
        <w:ind w:firstLine="720"/>
      </w:pPr>
      <w:r w:rsidRPr="00F502B4">
        <w:t>There are no capital or start-up costs associated with this</w:t>
      </w:r>
      <w:r w:rsidR="008B7E46" w:rsidRPr="00F502B4">
        <w:t xml:space="preserve"> </w:t>
      </w:r>
      <w:r w:rsidRPr="00F502B4">
        <w:t>ICR</w:t>
      </w:r>
      <w:r w:rsidR="00F502B4" w:rsidRPr="00F502B4">
        <w:t xml:space="preserve">.  </w:t>
      </w:r>
      <w:r w:rsidRPr="00F502B4">
        <w:t>O&amp;M costs are discussed in section 6(b)(ii).</w:t>
      </w:r>
    </w:p>
    <w:p w:rsidR="00135B83" w:rsidRPr="00F502B4" w:rsidRDefault="00135B83" w:rsidP="00066F0E">
      <w:pPr>
        <w:pStyle w:val="CM17"/>
        <w:widowControl/>
        <w:spacing w:after="0"/>
        <w:ind w:firstLine="720"/>
      </w:pPr>
    </w:p>
    <w:p w:rsidR="00F502B4" w:rsidRDefault="00135B83" w:rsidP="00066F0E">
      <w:pPr>
        <w:pStyle w:val="CM15"/>
        <w:widowControl/>
        <w:spacing w:after="0"/>
      </w:pPr>
      <w:r w:rsidRPr="00F502B4">
        <w:t xml:space="preserve">(iv) </w:t>
      </w:r>
      <w:r w:rsidR="0007630F">
        <w:t xml:space="preserve"> </w:t>
      </w:r>
      <w:r w:rsidRPr="00F502B4">
        <w:t>Annualizing capital costs</w:t>
      </w:r>
    </w:p>
    <w:p w:rsidR="00135B83" w:rsidRPr="00F502B4" w:rsidRDefault="00135B83" w:rsidP="00066F0E">
      <w:pPr>
        <w:pStyle w:val="CM15"/>
        <w:widowControl/>
        <w:spacing w:after="0"/>
        <w:ind w:firstLine="720"/>
      </w:pPr>
    </w:p>
    <w:p w:rsidR="00F502B4" w:rsidRDefault="00135B83" w:rsidP="00066F0E">
      <w:pPr>
        <w:pStyle w:val="CM17"/>
        <w:widowControl/>
        <w:spacing w:after="0"/>
        <w:ind w:left="720"/>
      </w:pPr>
      <w:r w:rsidRPr="00F502B4">
        <w:t>There are no capital costs associated with this ICR.</w:t>
      </w:r>
    </w:p>
    <w:p w:rsidR="00135B83" w:rsidRPr="00F502B4" w:rsidRDefault="00135B83" w:rsidP="00066F0E">
      <w:pPr>
        <w:pStyle w:val="CM17"/>
        <w:widowControl/>
        <w:spacing w:after="0"/>
        <w:ind w:left="720"/>
      </w:pPr>
    </w:p>
    <w:p w:rsidR="00F502B4" w:rsidRPr="00271DFD" w:rsidRDefault="00135B83" w:rsidP="00066F0E">
      <w:pPr>
        <w:pStyle w:val="Heading2"/>
        <w:ind w:left="0" w:firstLine="0"/>
        <w:rPr>
          <w:b w:val="0"/>
        </w:rPr>
      </w:pPr>
      <w:r w:rsidRPr="00271DFD">
        <w:rPr>
          <w:b w:val="0"/>
        </w:rPr>
        <w:t>6(c)</w:t>
      </w:r>
      <w:r w:rsidR="0007630F" w:rsidRPr="00271DFD">
        <w:rPr>
          <w:b w:val="0"/>
        </w:rPr>
        <w:t xml:space="preserve"> </w:t>
      </w:r>
      <w:r w:rsidRPr="00271DFD">
        <w:rPr>
          <w:b w:val="0"/>
        </w:rPr>
        <w:t xml:space="preserve"> </w:t>
      </w:r>
      <w:r w:rsidR="007C429B" w:rsidRPr="00271DFD">
        <w:rPr>
          <w:b w:val="0"/>
        </w:rPr>
        <w:tab/>
      </w:r>
      <w:r w:rsidRPr="00271DFD">
        <w:rPr>
          <w:b w:val="0"/>
          <w:u w:val="single"/>
        </w:rPr>
        <w:t>Estimating Agency Burden</w:t>
      </w:r>
    </w:p>
    <w:p w:rsidR="00135B83" w:rsidRPr="00F502B4" w:rsidRDefault="00135B83" w:rsidP="00066F0E">
      <w:pPr>
        <w:pStyle w:val="CM4"/>
        <w:widowControl/>
        <w:spacing w:line="240" w:lineRule="auto"/>
      </w:pPr>
    </w:p>
    <w:p w:rsidR="00135B83" w:rsidRDefault="00135B83" w:rsidP="00066F0E">
      <w:pPr>
        <w:pStyle w:val="CM15"/>
        <w:widowControl/>
        <w:spacing w:after="0"/>
        <w:ind w:firstLine="720"/>
      </w:pPr>
      <w:r w:rsidRPr="00F502B4">
        <w:t>Table 4 explain</w:t>
      </w:r>
      <w:r w:rsidR="00922BB1">
        <w:t>s</w:t>
      </w:r>
      <w:r w:rsidRPr="00F502B4">
        <w:t xml:space="preserve"> EPA</w:t>
      </w:r>
      <w:r w:rsidR="00C50C6A">
        <w:t>'</w:t>
      </w:r>
      <w:r w:rsidRPr="00F502B4">
        <w:t>s overall burden associated with the</w:t>
      </w:r>
      <w:r w:rsidR="008B7E46" w:rsidRPr="00F502B4">
        <w:t xml:space="preserve"> </w:t>
      </w:r>
      <w:r w:rsidRPr="00F502B4">
        <w:t>programs contained in this information collection.</w:t>
      </w:r>
      <w:r w:rsidR="00922BB1">
        <w:t xml:space="preserve">  </w:t>
      </w:r>
    </w:p>
    <w:p w:rsidR="00D43F4D" w:rsidRPr="00D43F4D" w:rsidRDefault="00D43F4D" w:rsidP="00D43F4D">
      <w:pPr>
        <w:pStyle w:val="Default"/>
      </w:pPr>
    </w:p>
    <w:p w:rsidR="00F502B4" w:rsidRDefault="00135B83" w:rsidP="00066F0E">
      <w:pPr>
        <w:pStyle w:val="CM16"/>
        <w:widowControl/>
        <w:spacing w:after="0"/>
        <w:ind w:firstLine="720"/>
      </w:pPr>
      <w:r w:rsidRPr="00F502B4">
        <w:t>Table 5 summarizes EPA</w:t>
      </w:r>
      <w:r w:rsidR="00C50C6A">
        <w:t>'</w:t>
      </w:r>
      <w:r w:rsidRPr="00F502B4">
        <w:t>s labor costs associated with this</w:t>
      </w:r>
      <w:r w:rsidR="008B7E46" w:rsidRPr="00F502B4">
        <w:t xml:space="preserve"> </w:t>
      </w:r>
      <w:r w:rsidRPr="00F502B4">
        <w:t>information collection</w:t>
      </w:r>
      <w:r w:rsidR="00F502B4" w:rsidRPr="00F502B4">
        <w:t xml:space="preserve">.  </w:t>
      </w:r>
      <w:r w:rsidRPr="00F502B4">
        <w:t>These costs are based on 20</w:t>
      </w:r>
      <w:r w:rsidR="0097056A">
        <w:t>1</w:t>
      </w:r>
      <w:r w:rsidRPr="00F502B4">
        <w:t>0 hourly</w:t>
      </w:r>
      <w:r w:rsidR="008B7E46" w:rsidRPr="00F502B4">
        <w:t xml:space="preserve"> </w:t>
      </w:r>
      <w:r w:rsidRPr="00F502B4">
        <w:t>wage rates obtained from the Office of Personnel Management and</w:t>
      </w:r>
      <w:r w:rsidR="008B7E46" w:rsidRPr="00F502B4">
        <w:t xml:space="preserve"> </w:t>
      </w:r>
      <w:r w:rsidRPr="00F502B4">
        <w:t>adjusted by a factor of 1.6 to account for benefits and overhead.</w:t>
      </w:r>
    </w:p>
    <w:p w:rsidR="00135B83" w:rsidRDefault="00135B83" w:rsidP="00066F0E">
      <w:pPr>
        <w:pStyle w:val="CM16"/>
        <w:widowControl/>
        <w:spacing w:after="0"/>
        <w:ind w:firstLine="720"/>
      </w:pPr>
    </w:p>
    <w:p w:rsidR="00C50C6A" w:rsidRDefault="00C50C6A" w:rsidP="00066F0E">
      <w:pPr>
        <w:pStyle w:val="Default"/>
      </w:pPr>
    </w:p>
    <w:p w:rsidR="00D43F4D" w:rsidRDefault="00D43F4D" w:rsidP="00066F0E">
      <w:pPr>
        <w:pStyle w:val="Default"/>
      </w:pPr>
    </w:p>
    <w:p w:rsidR="00D43F4D" w:rsidRPr="00C50C6A" w:rsidRDefault="00D43F4D" w:rsidP="00066F0E">
      <w:pPr>
        <w:pStyle w:val="Default"/>
      </w:pPr>
    </w:p>
    <w:p w:rsidR="00F502B4" w:rsidRDefault="00135B83" w:rsidP="00066F0E">
      <w:pPr>
        <w:pStyle w:val="Table"/>
      </w:pPr>
      <w:r w:rsidRPr="00F502B4">
        <w:t>Table 5</w:t>
      </w:r>
      <w:r w:rsidR="00C50C6A">
        <w:t xml:space="preserve"> </w:t>
      </w:r>
      <w:r w:rsidRPr="00F502B4">
        <w:br/>
        <w:t>Agency Labor Costs</w:t>
      </w:r>
    </w:p>
    <w:p w:rsidR="00135B83" w:rsidRPr="00F502B4" w:rsidRDefault="00135B83" w:rsidP="00066F0E">
      <w:pPr>
        <w:pStyle w:val="CM22"/>
        <w:widowControl/>
        <w:spacing w:after="0"/>
        <w:jc w:val="center"/>
      </w:pPr>
    </w:p>
    <w:tbl>
      <w:tblPr>
        <w:tblW w:w="8640" w:type="dxa"/>
        <w:jc w:val="center"/>
        <w:tblBorders>
          <w:top w:val="nil"/>
          <w:left w:val="nil"/>
          <w:bottom w:val="nil"/>
          <w:right w:val="nil"/>
        </w:tblBorders>
        <w:tblCellMar>
          <w:top w:w="72" w:type="dxa"/>
          <w:left w:w="72" w:type="dxa"/>
          <w:bottom w:w="72" w:type="dxa"/>
          <w:right w:w="72" w:type="dxa"/>
        </w:tblCellMar>
        <w:tblLook w:val="0000"/>
      </w:tblPr>
      <w:tblGrid>
        <w:gridCol w:w="4240"/>
        <w:gridCol w:w="2410"/>
        <w:gridCol w:w="1990"/>
      </w:tblGrid>
      <w:tr w:rsidR="00135B83" w:rsidRPr="00C50C6A" w:rsidTr="00C50C6A">
        <w:trPr>
          <w:jc w:val="center"/>
        </w:trPr>
        <w:tc>
          <w:tcPr>
            <w:tcW w:w="4240" w:type="dxa"/>
            <w:tcBorders>
              <w:top w:val="single" w:sz="2" w:space="0" w:color="000000"/>
              <w:left w:val="single" w:sz="2" w:space="0" w:color="000000"/>
              <w:bottom w:val="single" w:sz="2" w:space="0" w:color="000000"/>
              <w:right w:val="single" w:sz="2" w:space="0" w:color="000000"/>
            </w:tcBorders>
            <w:shd w:val="clear" w:color="auto" w:fill="E6E6E6"/>
            <w:vAlign w:val="center"/>
          </w:tcPr>
          <w:p w:rsidR="00135B83" w:rsidRPr="00C50C6A" w:rsidRDefault="00135B83" w:rsidP="00066F0E">
            <w:pPr>
              <w:pStyle w:val="Default"/>
              <w:widowControl/>
              <w:jc w:val="center"/>
              <w:rPr>
                <w:rFonts w:cs="Times New Roman"/>
                <w:b/>
                <w:sz w:val="22"/>
                <w:szCs w:val="22"/>
              </w:rPr>
            </w:pPr>
            <w:r w:rsidRPr="00C50C6A">
              <w:rPr>
                <w:rFonts w:cs="Times New Roman"/>
                <w:b/>
                <w:sz w:val="22"/>
                <w:szCs w:val="22"/>
              </w:rPr>
              <w:t>Occupation</w:t>
            </w:r>
          </w:p>
        </w:tc>
        <w:tc>
          <w:tcPr>
            <w:tcW w:w="2410" w:type="dxa"/>
            <w:tcBorders>
              <w:top w:val="single" w:sz="2" w:space="0" w:color="000000"/>
              <w:left w:val="single" w:sz="2" w:space="0" w:color="000000"/>
              <w:bottom w:val="single" w:sz="2" w:space="0" w:color="000000"/>
              <w:right w:val="single" w:sz="2" w:space="0" w:color="000000"/>
            </w:tcBorders>
            <w:shd w:val="clear" w:color="auto" w:fill="E6E6E6"/>
            <w:vAlign w:val="center"/>
          </w:tcPr>
          <w:p w:rsidR="00135B83" w:rsidRPr="00C50C6A" w:rsidRDefault="00135B83" w:rsidP="00066F0E">
            <w:pPr>
              <w:pStyle w:val="Default"/>
              <w:widowControl/>
              <w:jc w:val="center"/>
              <w:rPr>
                <w:rFonts w:cs="Times New Roman"/>
                <w:b/>
                <w:sz w:val="22"/>
                <w:szCs w:val="22"/>
              </w:rPr>
            </w:pPr>
            <w:r w:rsidRPr="00C50C6A">
              <w:rPr>
                <w:rFonts w:cs="Times New Roman"/>
                <w:b/>
                <w:sz w:val="22"/>
                <w:szCs w:val="22"/>
              </w:rPr>
              <w:t>Hourly Rate</w:t>
            </w:r>
          </w:p>
        </w:tc>
        <w:tc>
          <w:tcPr>
            <w:tcW w:w="1990" w:type="dxa"/>
            <w:tcBorders>
              <w:top w:val="single" w:sz="2" w:space="0" w:color="000000"/>
              <w:left w:val="single" w:sz="2" w:space="0" w:color="000000"/>
              <w:bottom w:val="single" w:sz="2" w:space="0" w:color="000000"/>
              <w:right w:val="single" w:sz="2" w:space="0" w:color="000000"/>
            </w:tcBorders>
            <w:shd w:val="clear" w:color="auto" w:fill="E6E6E6"/>
            <w:vAlign w:val="center"/>
          </w:tcPr>
          <w:p w:rsidR="00135B83" w:rsidRPr="00C50C6A" w:rsidRDefault="00135B83" w:rsidP="00066F0E">
            <w:pPr>
              <w:pStyle w:val="Default"/>
              <w:widowControl/>
              <w:jc w:val="center"/>
              <w:rPr>
                <w:rFonts w:cs="Times New Roman"/>
                <w:b/>
                <w:sz w:val="22"/>
                <w:szCs w:val="22"/>
              </w:rPr>
            </w:pPr>
            <w:r w:rsidRPr="00C50C6A">
              <w:rPr>
                <w:rFonts w:cs="Times New Roman"/>
                <w:b/>
                <w:sz w:val="22"/>
                <w:szCs w:val="22"/>
              </w:rPr>
              <w:t>160%</w:t>
            </w:r>
          </w:p>
        </w:tc>
      </w:tr>
      <w:tr w:rsidR="00135B83" w:rsidRPr="00C50C6A" w:rsidTr="00C50C6A">
        <w:trPr>
          <w:jc w:val="center"/>
        </w:trPr>
        <w:tc>
          <w:tcPr>
            <w:tcW w:w="4240"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066F0E">
            <w:pPr>
              <w:pStyle w:val="Default"/>
              <w:widowControl/>
              <w:rPr>
                <w:rFonts w:cs="Times New Roman"/>
                <w:sz w:val="20"/>
              </w:rPr>
            </w:pPr>
            <w:r w:rsidRPr="00C50C6A">
              <w:rPr>
                <w:rFonts w:cs="Times New Roman"/>
                <w:sz w:val="20"/>
              </w:rPr>
              <w:t xml:space="preserve">Environmental Protection Specialist (GS-13/3) </w:t>
            </w:r>
          </w:p>
        </w:tc>
        <w:tc>
          <w:tcPr>
            <w:tcW w:w="2410" w:type="dxa"/>
            <w:tcBorders>
              <w:top w:val="single" w:sz="9" w:space="0" w:color="000000"/>
              <w:left w:val="single" w:sz="9" w:space="0" w:color="000000"/>
              <w:bottom w:val="single" w:sz="9" w:space="0" w:color="000000"/>
              <w:right w:val="single" w:sz="9" w:space="0" w:color="000000"/>
            </w:tcBorders>
          </w:tcPr>
          <w:p w:rsidR="00135B83" w:rsidRPr="00C50C6A" w:rsidRDefault="00135B83" w:rsidP="00E52EF5">
            <w:pPr>
              <w:pStyle w:val="Default"/>
              <w:widowControl/>
              <w:jc w:val="center"/>
              <w:rPr>
                <w:rFonts w:cs="Times New Roman"/>
                <w:sz w:val="20"/>
              </w:rPr>
            </w:pPr>
            <w:r w:rsidRPr="00C50C6A">
              <w:rPr>
                <w:rFonts w:cs="Times New Roman"/>
                <w:sz w:val="20"/>
              </w:rPr>
              <w:t>$</w:t>
            </w:r>
            <w:r w:rsidR="00E52EF5">
              <w:rPr>
                <w:rFonts w:cs="Times New Roman"/>
                <w:sz w:val="20"/>
              </w:rPr>
              <w:t>45.51</w:t>
            </w:r>
            <w:r w:rsidRPr="00C50C6A">
              <w:rPr>
                <w:rFonts w:cs="Times New Roman"/>
                <w:sz w:val="20"/>
              </w:rPr>
              <w:t xml:space="preserve"> </w:t>
            </w:r>
          </w:p>
        </w:tc>
        <w:tc>
          <w:tcPr>
            <w:tcW w:w="1990" w:type="dxa"/>
            <w:tcBorders>
              <w:top w:val="single" w:sz="9" w:space="0" w:color="000000"/>
              <w:left w:val="single" w:sz="9" w:space="0" w:color="000000"/>
              <w:bottom w:val="single" w:sz="9" w:space="0" w:color="000000"/>
              <w:right w:val="single" w:sz="9" w:space="0" w:color="000000"/>
            </w:tcBorders>
          </w:tcPr>
          <w:p w:rsidR="00135B83" w:rsidRPr="00C50C6A" w:rsidRDefault="00E52EF5" w:rsidP="00066F0E">
            <w:pPr>
              <w:pStyle w:val="Default"/>
              <w:widowControl/>
              <w:jc w:val="center"/>
              <w:rPr>
                <w:rFonts w:cs="Times New Roman"/>
                <w:sz w:val="20"/>
              </w:rPr>
            </w:pPr>
            <w:r>
              <w:rPr>
                <w:rFonts w:cs="Times New Roman"/>
                <w:sz w:val="20"/>
              </w:rPr>
              <w:t>$72.82</w:t>
            </w:r>
          </w:p>
        </w:tc>
      </w:tr>
      <w:tr w:rsidR="00135B83" w:rsidRPr="00C50C6A" w:rsidTr="00C50C6A">
        <w:trPr>
          <w:jc w:val="center"/>
        </w:trPr>
        <w:tc>
          <w:tcPr>
            <w:tcW w:w="4240"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066F0E">
            <w:pPr>
              <w:pStyle w:val="Default"/>
              <w:widowControl/>
              <w:rPr>
                <w:rFonts w:cs="Times New Roman"/>
                <w:sz w:val="20"/>
              </w:rPr>
            </w:pPr>
            <w:r w:rsidRPr="00C50C6A">
              <w:rPr>
                <w:rFonts w:cs="Times New Roman"/>
                <w:sz w:val="20"/>
              </w:rPr>
              <w:t xml:space="preserve">Lawyers (GS-13/7) </w:t>
            </w:r>
          </w:p>
        </w:tc>
        <w:tc>
          <w:tcPr>
            <w:tcW w:w="2410"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E52EF5">
            <w:pPr>
              <w:pStyle w:val="Default"/>
              <w:widowControl/>
              <w:jc w:val="center"/>
              <w:rPr>
                <w:rFonts w:cs="Times New Roman"/>
                <w:sz w:val="20"/>
              </w:rPr>
            </w:pPr>
            <w:r w:rsidRPr="00C50C6A">
              <w:rPr>
                <w:rFonts w:cs="Times New Roman"/>
                <w:sz w:val="20"/>
              </w:rPr>
              <w:t>$</w:t>
            </w:r>
            <w:r w:rsidR="00E52EF5">
              <w:rPr>
                <w:rFonts w:cs="Times New Roman"/>
                <w:sz w:val="20"/>
              </w:rPr>
              <w:t>51.19</w:t>
            </w:r>
            <w:r w:rsidRPr="00C50C6A">
              <w:rPr>
                <w:rFonts w:cs="Times New Roman"/>
                <w:sz w:val="20"/>
              </w:rPr>
              <w:t xml:space="preserve"> </w:t>
            </w:r>
          </w:p>
        </w:tc>
        <w:tc>
          <w:tcPr>
            <w:tcW w:w="1990"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E52EF5">
            <w:pPr>
              <w:pStyle w:val="Default"/>
              <w:widowControl/>
              <w:jc w:val="center"/>
              <w:rPr>
                <w:rFonts w:cs="Times New Roman"/>
                <w:sz w:val="20"/>
              </w:rPr>
            </w:pPr>
            <w:r w:rsidRPr="00C50C6A">
              <w:rPr>
                <w:rFonts w:cs="Times New Roman"/>
                <w:sz w:val="20"/>
              </w:rPr>
              <w:t>$</w:t>
            </w:r>
            <w:r w:rsidR="00E52EF5">
              <w:rPr>
                <w:rFonts w:cs="Times New Roman"/>
                <w:sz w:val="20"/>
              </w:rPr>
              <w:t>81.90</w:t>
            </w:r>
            <w:r w:rsidRPr="00C50C6A">
              <w:rPr>
                <w:rFonts w:cs="Times New Roman"/>
                <w:sz w:val="20"/>
              </w:rPr>
              <w:t xml:space="preserve"> </w:t>
            </w:r>
          </w:p>
        </w:tc>
      </w:tr>
      <w:tr w:rsidR="00135B83" w:rsidRPr="00C50C6A" w:rsidTr="00C50C6A">
        <w:trPr>
          <w:jc w:val="center"/>
        </w:trPr>
        <w:tc>
          <w:tcPr>
            <w:tcW w:w="4240"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066F0E">
            <w:pPr>
              <w:pStyle w:val="Default"/>
              <w:widowControl/>
              <w:rPr>
                <w:rFonts w:cs="Times New Roman"/>
                <w:sz w:val="20"/>
              </w:rPr>
            </w:pPr>
            <w:r w:rsidRPr="00C50C6A">
              <w:rPr>
                <w:rFonts w:cs="Times New Roman"/>
                <w:sz w:val="20"/>
              </w:rPr>
              <w:t xml:space="preserve">Managers (GS-15) </w:t>
            </w:r>
          </w:p>
        </w:tc>
        <w:tc>
          <w:tcPr>
            <w:tcW w:w="2410"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E52EF5" w:rsidP="00066F0E">
            <w:pPr>
              <w:pStyle w:val="Default"/>
              <w:widowControl/>
              <w:jc w:val="center"/>
              <w:rPr>
                <w:rFonts w:cs="Times New Roman"/>
                <w:sz w:val="20"/>
              </w:rPr>
            </w:pPr>
            <w:r>
              <w:rPr>
                <w:rFonts w:cs="Times New Roman"/>
                <w:sz w:val="20"/>
              </w:rPr>
              <w:t>$59.30</w:t>
            </w:r>
            <w:r w:rsidR="00135B83" w:rsidRPr="00C50C6A">
              <w:rPr>
                <w:rFonts w:cs="Times New Roman"/>
                <w:sz w:val="20"/>
              </w:rPr>
              <w:t xml:space="preserve"> </w:t>
            </w:r>
          </w:p>
        </w:tc>
        <w:tc>
          <w:tcPr>
            <w:tcW w:w="1990"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E52EF5">
            <w:pPr>
              <w:pStyle w:val="Default"/>
              <w:widowControl/>
              <w:jc w:val="center"/>
              <w:rPr>
                <w:rFonts w:cs="Times New Roman"/>
                <w:sz w:val="20"/>
              </w:rPr>
            </w:pPr>
            <w:r w:rsidRPr="00C50C6A">
              <w:rPr>
                <w:rFonts w:cs="Times New Roman"/>
                <w:sz w:val="20"/>
              </w:rPr>
              <w:t>$</w:t>
            </w:r>
            <w:r w:rsidR="00E52EF5">
              <w:rPr>
                <w:rFonts w:cs="Times New Roman"/>
                <w:sz w:val="20"/>
              </w:rPr>
              <w:t>94.88</w:t>
            </w:r>
            <w:r w:rsidRPr="00C50C6A">
              <w:rPr>
                <w:rFonts w:cs="Times New Roman"/>
                <w:sz w:val="20"/>
              </w:rPr>
              <w:t xml:space="preserve"> </w:t>
            </w:r>
          </w:p>
        </w:tc>
      </w:tr>
      <w:tr w:rsidR="00135B83" w:rsidRPr="00C50C6A" w:rsidTr="00C50C6A">
        <w:trPr>
          <w:jc w:val="center"/>
        </w:trPr>
        <w:tc>
          <w:tcPr>
            <w:tcW w:w="4240" w:type="dxa"/>
            <w:tcBorders>
              <w:top w:val="single" w:sz="9" w:space="0" w:color="000000"/>
              <w:left w:val="single" w:sz="9" w:space="0" w:color="000000"/>
              <w:bottom w:val="single" w:sz="9" w:space="0" w:color="000000"/>
              <w:right w:val="single" w:sz="9" w:space="0" w:color="000000"/>
            </w:tcBorders>
            <w:vAlign w:val="center"/>
          </w:tcPr>
          <w:p w:rsidR="00135B83" w:rsidRPr="00F6785E" w:rsidRDefault="00135B83" w:rsidP="00066F0E">
            <w:pPr>
              <w:pStyle w:val="Default"/>
              <w:widowControl/>
              <w:rPr>
                <w:rFonts w:cs="Times New Roman"/>
                <w:sz w:val="20"/>
              </w:rPr>
            </w:pPr>
            <w:r w:rsidRPr="00F6785E">
              <w:rPr>
                <w:rFonts w:cs="Times New Roman"/>
                <w:sz w:val="20"/>
              </w:rPr>
              <w:t xml:space="preserve">SES-1 </w:t>
            </w:r>
          </w:p>
        </w:tc>
        <w:tc>
          <w:tcPr>
            <w:tcW w:w="2410" w:type="dxa"/>
            <w:tcBorders>
              <w:top w:val="single" w:sz="9" w:space="0" w:color="000000"/>
              <w:left w:val="single" w:sz="9" w:space="0" w:color="000000"/>
              <w:bottom w:val="single" w:sz="9" w:space="0" w:color="000000"/>
              <w:right w:val="single" w:sz="9" w:space="0" w:color="000000"/>
            </w:tcBorders>
            <w:vAlign w:val="center"/>
          </w:tcPr>
          <w:p w:rsidR="00135B83" w:rsidRPr="00F6785E" w:rsidRDefault="00135B83" w:rsidP="00BF1C68">
            <w:pPr>
              <w:pStyle w:val="Default"/>
              <w:widowControl/>
              <w:jc w:val="center"/>
              <w:rPr>
                <w:rFonts w:cs="Times New Roman"/>
                <w:sz w:val="20"/>
              </w:rPr>
            </w:pPr>
            <w:r w:rsidRPr="00F6785E">
              <w:rPr>
                <w:rFonts w:cs="Times New Roman"/>
                <w:sz w:val="20"/>
              </w:rPr>
              <w:t>$</w:t>
            </w:r>
            <w:r w:rsidR="00F6785E">
              <w:rPr>
                <w:rFonts w:cs="Times New Roman"/>
                <w:sz w:val="20"/>
              </w:rPr>
              <w:t>99.00</w:t>
            </w:r>
            <w:r w:rsidRPr="00F6785E">
              <w:rPr>
                <w:rFonts w:cs="Times New Roman"/>
                <w:sz w:val="20"/>
              </w:rPr>
              <w:t xml:space="preserve"> </w:t>
            </w:r>
          </w:p>
        </w:tc>
        <w:tc>
          <w:tcPr>
            <w:tcW w:w="1990" w:type="dxa"/>
            <w:tcBorders>
              <w:top w:val="single" w:sz="9" w:space="0" w:color="000000"/>
              <w:left w:val="single" w:sz="9" w:space="0" w:color="000000"/>
              <w:bottom w:val="single" w:sz="9" w:space="0" w:color="000000"/>
              <w:right w:val="single" w:sz="9" w:space="0" w:color="000000"/>
            </w:tcBorders>
            <w:vAlign w:val="center"/>
          </w:tcPr>
          <w:p w:rsidR="00135B83" w:rsidRPr="00C50C6A" w:rsidRDefault="00135B83" w:rsidP="00BF1C68">
            <w:pPr>
              <w:pStyle w:val="Default"/>
              <w:widowControl/>
              <w:jc w:val="center"/>
              <w:rPr>
                <w:rFonts w:cs="Times New Roman"/>
                <w:sz w:val="20"/>
              </w:rPr>
            </w:pPr>
            <w:r w:rsidRPr="00F6785E">
              <w:rPr>
                <w:rFonts w:cs="Times New Roman"/>
                <w:sz w:val="20"/>
              </w:rPr>
              <w:t>$</w:t>
            </w:r>
            <w:r w:rsidR="00F6785E">
              <w:rPr>
                <w:rFonts w:cs="Times New Roman"/>
                <w:sz w:val="20"/>
              </w:rPr>
              <w:t>158.40</w:t>
            </w:r>
            <w:r w:rsidRPr="00C50C6A">
              <w:rPr>
                <w:rFonts w:cs="Times New Roman"/>
                <w:sz w:val="20"/>
              </w:rPr>
              <w:t xml:space="preserve"> </w:t>
            </w:r>
          </w:p>
        </w:tc>
      </w:tr>
    </w:tbl>
    <w:p w:rsidR="00135B83" w:rsidRDefault="00135B83" w:rsidP="00066F0E">
      <w:pPr>
        <w:pStyle w:val="Default"/>
        <w:widowControl/>
        <w:rPr>
          <w:rFonts w:cs="Times New Roman"/>
          <w:color w:val="auto"/>
        </w:rPr>
      </w:pPr>
    </w:p>
    <w:p w:rsidR="00C50C6A" w:rsidRPr="00F502B4" w:rsidRDefault="00C50C6A" w:rsidP="00066F0E">
      <w:pPr>
        <w:pStyle w:val="Default"/>
        <w:widowControl/>
        <w:rPr>
          <w:rFonts w:cs="Times New Roman"/>
          <w:color w:val="auto"/>
        </w:rPr>
      </w:pPr>
    </w:p>
    <w:p w:rsidR="00F502B4" w:rsidRDefault="00135B83" w:rsidP="00066F0E">
      <w:pPr>
        <w:pStyle w:val="CM20"/>
        <w:widowControl/>
        <w:spacing w:after="0"/>
        <w:ind w:firstLine="720"/>
      </w:pPr>
      <w:r w:rsidRPr="00F502B4">
        <w:t>O&amp;M costs include phone calls, faxes, postage,</w:t>
      </w:r>
      <w:r w:rsidR="008B7E46" w:rsidRPr="00F502B4">
        <w:t xml:space="preserve"> </w:t>
      </w:r>
      <w:r w:rsidR="00273551">
        <w:t>electronic media</w:t>
      </w:r>
      <w:r w:rsidRPr="00F502B4">
        <w:t xml:space="preserve"> to store information and other expenses incurred in</w:t>
      </w:r>
      <w:r w:rsidR="008B7E46" w:rsidRPr="00F502B4">
        <w:t xml:space="preserve"> </w:t>
      </w:r>
      <w:r w:rsidR="00273551">
        <w:t>contacting respondents.</w:t>
      </w:r>
    </w:p>
    <w:p w:rsidR="00273551" w:rsidRPr="00273551" w:rsidRDefault="00273551" w:rsidP="00273551">
      <w:pPr>
        <w:pStyle w:val="Default"/>
      </w:pPr>
    </w:p>
    <w:p w:rsidR="003A2901" w:rsidRPr="003A2901" w:rsidRDefault="003A2901" w:rsidP="003A2901">
      <w:pPr>
        <w:pStyle w:val="Default"/>
      </w:pPr>
    </w:p>
    <w:p w:rsidR="00F502B4" w:rsidRPr="00271DFD" w:rsidRDefault="00135B83" w:rsidP="001345A5">
      <w:pPr>
        <w:pStyle w:val="Heading2"/>
        <w:ind w:left="0" w:firstLine="0"/>
        <w:rPr>
          <w:b w:val="0"/>
        </w:rPr>
      </w:pPr>
      <w:r w:rsidRPr="00271DFD">
        <w:rPr>
          <w:b w:val="0"/>
        </w:rPr>
        <w:t>6(d)</w:t>
      </w:r>
      <w:r w:rsidR="0007630F" w:rsidRPr="00271DFD">
        <w:rPr>
          <w:b w:val="0"/>
        </w:rPr>
        <w:t xml:space="preserve"> </w:t>
      </w:r>
      <w:r w:rsidRPr="00271DFD">
        <w:rPr>
          <w:b w:val="0"/>
        </w:rPr>
        <w:t xml:space="preserve"> </w:t>
      </w:r>
      <w:r w:rsidR="00083401" w:rsidRPr="00271DFD">
        <w:rPr>
          <w:b w:val="0"/>
        </w:rPr>
        <w:tab/>
      </w:r>
      <w:r w:rsidRPr="00271DFD">
        <w:rPr>
          <w:b w:val="0"/>
          <w:u w:val="single"/>
        </w:rPr>
        <w:t>Estimating the Respondent Universe and Total Burden and Costs</w:t>
      </w:r>
    </w:p>
    <w:p w:rsidR="00135B83" w:rsidRPr="00F502B4" w:rsidRDefault="00135B83" w:rsidP="00066F0E">
      <w:pPr>
        <w:pStyle w:val="CM16"/>
        <w:widowControl/>
        <w:spacing w:after="0"/>
        <w:ind w:left="720" w:hanging="720"/>
      </w:pPr>
    </w:p>
    <w:p w:rsidR="004300A9" w:rsidRDefault="004300A9" w:rsidP="002A5E84">
      <w:pPr>
        <w:pStyle w:val="CM11"/>
        <w:widowControl/>
        <w:spacing w:line="240" w:lineRule="auto"/>
        <w:ind w:firstLine="720"/>
      </w:pPr>
      <w:r>
        <w:t xml:space="preserve">EPA estimates that approximately </w:t>
      </w:r>
      <w:r w:rsidR="00273551">
        <w:t>375 equipment manufacturers and 30</w:t>
      </w:r>
      <w:r>
        <w:t xml:space="preserve"> engine manufacturers will be participating in TPEM during the next three years.  </w:t>
      </w:r>
    </w:p>
    <w:p w:rsidR="004300A9" w:rsidRDefault="004300A9" w:rsidP="002A5E84">
      <w:pPr>
        <w:pStyle w:val="CM11"/>
        <w:widowControl/>
        <w:spacing w:line="240" w:lineRule="auto"/>
        <w:ind w:firstLine="720"/>
      </w:pPr>
    </w:p>
    <w:p w:rsidR="00992C82" w:rsidRPr="00992C82" w:rsidRDefault="004300A9" w:rsidP="00273551">
      <w:pPr>
        <w:pStyle w:val="CM11"/>
        <w:widowControl/>
        <w:spacing w:line="240" w:lineRule="auto"/>
        <w:ind w:firstLine="720"/>
      </w:pPr>
      <w:r>
        <w:t xml:space="preserve">Under Part 89, the period of participation in TPEM has closed for many engine power categories. Therefore, fewer equipment manufacturers will be participating under the Part 89 program.  Most </w:t>
      </w:r>
      <w:r w:rsidR="00992C82">
        <w:t xml:space="preserve">of those who participated in the Part 89 program </w:t>
      </w:r>
      <w:r>
        <w:t xml:space="preserve">are </w:t>
      </w:r>
      <w:r w:rsidR="00992C82">
        <w:t>moving up to the Tier 4 (Part 1039) p</w:t>
      </w:r>
      <w:r>
        <w:t>rogram.  EPA is also receiving notifications of participations from equipment manufacturers who did not participate in the Part 89 program.</w:t>
      </w:r>
      <w:r w:rsidR="00273551">
        <w:t xml:space="preserve">  </w:t>
      </w:r>
      <w:r w:rsidR="00992C82">
        <w:t>EPA also expects sizeable participation in the small SI program mainly due to the large size of the industry.</w:t>
      </w:r>
      <w:r w:rsidR="00273551">
        <w:t xml:space="preserve">  In summary, EPA expects participation in TPEM to increase significantly as (1) the Part 89 program phases out and manufacturers have to comply with tighter emission standards, and (2) TPEM becomes available to more categories of engines.</w:t>
      </w:r>
    </w:p>
    <w:p w:rsidR="00135B83" w:rsidRPr="00F502B4" w:rsidRDefault="00135B83" w:rsidP="00066F0E">
      <w:pPr>
        <w:pStyle w:val="CM15"/>
        <w:widowControl/>
        <w:spacing w:after="0"/>
        <w:ind w:firstLine="720"/>
      </w:pPr>
    </w:p>
    <w:p w:rsidR="00135B83" w:rsidRPr="00F502B4" w:rsidRDefault="00135B83" w:rsidP="00066F0E">
      <w:pPr>
        <w:pStyle w:val="CM17"/>
        <w:widowControl/>
        <w:spacing w:after="0"/>
        <w:ind w:firstLine="720"/>
      </w:pPr>
    </w:p>
    <w:p w:rsidR="00F502B4" w:rsidRPr="00271DFD" w:rsidRDefault="00135B83" w:rsidP="00066F0E">
      <w:pPr>
        <w:pStyle w:val="Heading2"/>
        <w:ind w:left="360"/>
        <w:rPr>
          <w:b w:val="0"/>
        </w:rPr>
      </w:pPr>
      <w:r w:rsidRPr="00271DFD">
        <w:rPr>
          <w:b w:val="0"/>
        </w:rPr>
        <w:t xml:space="preserve">6(e) </w:t>
      </w:r>
      <w:r w:rsidR="0007630F" w:rsidRPr="00271DFD">
        <w:rPr>
          <w:b w:val="0"/>
        </w:rPr>
        <w:t xml:space="preserve"> </w:t>
      </w:r>
      <w:r w:rsidR="00083401" w:rsidRPr="00271DFD">
        <w:rPr>
          <w:b w:val="0"/>
        </w:rPr>
        <w:tab/>
      </w:r>
      <w:r w:rsidRPr="00271DFD">
        <w:rPr>
          <w:b w:val="0"/>
          <w:u w:val="single"/>
        </w:rPr>
        <w:t>Bottom Line Burden Hours and Cost Tables</w:t>
      </w:r>
    </w:p>
    <w:p w:rsidR="00135B83" w:rsidRPr="00F502B4" w:rsidRDefault="00135B83" w:rsidP="00066F0E">
      <w:pPr>
        <w:pStyle w:val="CM15"/>
        <w:widowControl/>
        <w:spacing w:after="0"/>
      </w:pPr>
    </w:p>
    <w:p w:rsidR="00F502B4" w:rsidRPr="00271DFD" w:rsidRDefault="00135B83" w:rsidP="00066F0E">
      <w:pPr>
        <w:pStyle w:val="CM17"/>
        <w:widowControl/>
        <w:spacing w:after="0"/>
        <w:rPr>
          <w:iCs/>
        </w:rPr>
      </w:pPr>
      <w:r w:rsidRPr="00271DFD">
        <w:rPr>
          <w:iCs/>
        </w:rPr>
        <w:t xml:space="preserve">(i) </w:t>
      </w:r>
      <w:r w:rsidR="0007630F" w:rsidRPr="00271DFD">
        <w:rPr>
          <w:iCs/>
        </w:rPr>
        <w:t xml:space="preserve"> </w:t>
      </w:r>
      <w:r w:rsidRPr="00271DFD">
        <w:rPr>
          <w:iCs/>
        </w:rPr>
        <w:t>Respondent Tally</w:t>
      </w:r>
    </w:p>
    <w:p w:rsidR="00135B83" w:rsidRDefault="00135B83" w:rsidP="00066F0E">
      <w:pPr>
        <w:pStyle w:val="Default"/>
        <w:widowControl/>
        <w:rPr>
          <w:rFonts w:cs="Times New Roman"/>
          <w:color w:val="auto"/>
        </w:rPr>
      </w:pPr>
    </w:p>
    <w:tbl>
      <w:tblPr>
        <w:tblW w:w="5283" w:type="dxa"/>
        <w:tblInd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1E0"/>
      </w:tblPr>
      <w:tblGrid>
        <w:gridCol w:w="3213"/>
        <w:gridCol w:w="2070"/>
      </w:tblGrid>
      <w:tr w:rsidR="00E40684" w:rsidTr="00835C7D">
        <w:tc>
          <w:tcPr>
            <w:tcW w:w="3213" w:type="dxa"/>
            <w:tcBorders>
              <w:top w:val="nil"/>
              <w:left w:val="nil"/>
              <w:bottom w:val="nil"/>
              <w:right w:val="nil"/>
            </w:tcBorders>
            <w:shd w:val="clear" w:color="auto" w:fill="auto"/>
          </w:tcPr>
          <w:p w:rsidR="00E40684" w:rsidRPr="003A7C7F" w:rsidRDefault="00E40684" w:rsidP="003A7C7F">
            <w:pPr>
              <w:pStyle w:val="Default"/>
              <w:widowControl/>
              <w:rPr>
                <w:rFonts w:cs="Times New Roman"/>
              </w:rPr>
            </w:pPr>
            <w:r w:rsidRPr="003A7C7F">
              <w:rPr>
                <w:rFonts w:cs="Times New Roman"/>
              </w:rPr>
              <w:t xml:space="preserve">Number of Respondents: </w:t>
            </w:r>
          </w:p>
        </w:tc>
        <w:tc>
          <w:tcPr>
            <w:tcW w:w="2070" w:type="dxa"/>
            <w:tcBorders>
              <w:top w:val="nil"/>
              <w:left w:val="nil"/>
              <w:bottom w:val="nil"/>
              <w:right w:val="nil"/>
            </w:tcBorders>
          </w:tcPr>
          <w:p w:rsidR="00E40684" w:rsidRPr="003A7C7F" w:rsidRDefault="00273551" w:rsidP="003A7C7F">
            <w:pPr>
              <w:pStyle w:val="Default"/>
              <w:widowControl/>
              <w:rPr>
                <w:rFonts w:cs="Times New Roman"/>
              </w:rPr>
            </w:pPr>
            <w:r>
              <w:rPr>
                <w:rFonts w:cs="Times New Roman"/>
              </w:rPr>
              <w:t>405</w:t>
            </w:r>
            <w:r w:rsidR="00E40684" w:rsidRPr="003A7C7F">
              <w:rPr>
                <w:rFonts w:cs="Times New Roman"/>
              </w:rPr>
              <w:t xml:space="preserve"> </w:t>
            </w:r>
          </w:p>
        </w:tc>
      </w:tr>
      <w:tr w:rsidR="00E40684" w:rsidTr="00835C7D">
        <w:tc>
          <w:tcPr>
            <w:tcW w:w="3213" w:type="dxa"/>
            <w:tcBorders>
              <w:top w:val="nil"/>
              <w:left w:val="nil"/>
              <w:bottom w:val="nil"/>
              <w:right w:val="nil"/>
            </w:tcBorders>
            <w:shd w:val="clear" w:color="auto" w:fill="auto"/>
            <w:vAlign w:val="center"/>
          </w:tcPr>
          <w:p w:rsidR="00E40684" w:rsidRPr="003A7C7F" w:rsidRDefault="00E40684" w:rsidP="003A7C7F">
            <w:pPr>
              <w:pStyle w:val="Default"/>
              <w:widowControl/>
              <w:rPr>
                <w:rFonts w:cs="Times New Roman"/>
              </w:rPr>
            </w:pPr>
            <w:r w:rsidRPr="003A7C7F">
              <w:rPr>
                <w:rFonts w:cs="Times New Roman"/>
              </w:rPr>
              <w:t xml:space="preserve">Number of Activities: </w:t>
            </w:r>
          </w:p>
        </w:tc>
        <w:tc>
          <w:tcPr>
            <w:tcW w:w="2070" w:type="dxa"/>
            <w:tcBorders>
              <w:top w:val="nil"/>
              <w:left w:val="nil"/>
              <w:bottom w:val="nil"/>
              <w:right w:val="nil"/>
            </w:tcBorders>
            <w:vAlign w:val="center"/>
          </w:tcPr>
          <w:p w:rsidR="00E40684" w:rsidRPr="003A7C7F" w:rsidRDefault="00273551" w:rsidP="003A7C7F">
            <w:pPr>
              <w:pStyle w:val="Default"/>
              <w:widowControl/>
              <w:rPr>
                <w:rFonts w:cs="Times New Roman"/>
              </w:rPr>
            </w:pPr>
            <w:r>
              <w:rPr>
                <w:rFonts w:cs="Times New Roman"/>
              </w:rPr>
              <w:t>14</w:t>
            </w:r>
          </w:p>
        </w:tc>
      </w:tr>
      <w:tr w:rsidR="00E40684" w:rsidTr="00835C7D">
        <w:tc>
          <w:tcPr>
            <w:tcW w:w="3213" w:type="dxa"/>
            <w:tcBorders>
              <w:top w:val="nil"/>
              <w:left w:val="nil"/>
              <w:bottom w:val="nil"/>
              <w:right w:val="nil"/>
            </w:tcBorders>
            <w:shd w:val="clear" w:color="auto" w:fill="auto"/>
            <w:vAlign w:val="center"/>
          </w:tcPr>
          <w:p w:rsidR="00E40684" w:rsidRPr="003A7C7F" w:rsidRDefault="00E40684" w:rsidP="003A7C7F">
            <w:pPr>
              <w:pStyle w:val="Default"/>
              <w:widowControl/>
              <w:rPr>
                <w:rFonts w:cs="Times New Roman"/>
              </w:rPr>
            </w:pPr>
            <w:r w:rsidRPr="003A7C7F">
              <w:rPr>
                <w:rFonts w:cs="Times New Roman"/>
              </w:rPr>
              <w:t xml:space="preserve">Total Hours Per Year: </w:t>
            </w:r>
          </w:p>
        </w:tc>
        <w:tc>
          <w:tcPr>
            <w:tcW w:w="2070" w:type="dxa"/>
            <w:tcBorders>
              <w:top w:val="nil"/>
              <w:left w:val="nil"/>
              <w:bottom w:val="nil"/>
              <w:right w:val="nil"/>
            </w:tcBorders>
            <w:vAlign w:val="center"/>
          </w:tcPr>
          <w:p w:rsidR="00E40684" w:rsidRPr="003A7C7F" w:rsidRDefault="00273551" w:rsidP="003A7C7F">
            <w:pPr>
              <w:pStyle w:val="Default"/>
              <w:widowControl/>
              <w:rPr>
                <w:rFonts w:cs="Times New Roman"/>
              </w:rPr>
            </w:pPr>
            <w:r>
              <w:rPr>
                <w:rFonts w:cs="Times New Roman"/>
              </w:rPr>
              <w:t>40,090</w:t>
            </w:r>
            <w:r w:rsidR="00E40684" w:rsidRPr="003A7C7F">
              <w:rPr>
                <w:rFonts w:cs="Times New Roman"/>
              </w:rPr>
              <w:t xml:space="preserve"> </w:t>
            </w:r>
          </w:p>
        </w:tc>
      </w:tr>
      <w:tr w:rsidR="00E40684" w:rsidTr="00835C7D">
        <w:tc>
          <w:tcPr>
            <w:tcW w:w="3213" w:type="dxa"/>
            <w:tcBorders>
              <w:top w:val="nil"/>
              <w:left w:val="nil"/>
              <w:bottom w:val="nil"/>
              <w:right w:val="nil"/>
            </w:tcBorders>
            <w:shd w:val="clear" w:color="auto" w:fill="auto"/>
            <w:vAlign w:val="center"/>
          </w:tcPr>
          <w:p w:rsidR="00E40684" w:rsidRPr="003A7C7F" w:rsidRDefault="00E40684" w:rsidP="003A7C7F">
            <w:pPr>
              <w:pStyle w:val="Default"/>
              <w:widowControl/>
              <w:rPr>
                <w:rFonts w:cs="Times New Roman"/>
              </w:rPr>
            </w:pPr>
            <w:r w:rsidRPr="003A7C7F">
              <w:rPr>
                <w:rFonts w:cs="Times New Roman"/>
              </w:rPr>
              <w:t xml:space="preserve">Total Labor Cost Per Year: </w:t>
            </w:r>
          </w:p>
        </w:tc>
        <w:tc>
          <w:tcPr>
            <w:tcW w:w="2070" w:type="dxa"/>
            <w:tcBorders>
              <w:top w:val="nil"/>
              <w:left w:val="nil"/>
              <w:bottom w:val="nil"/>
              <w:right w:val="nil"/>
            </w:tcBorders>
            <w:vAlign w:val="center"/>
          </w:tcPr>
          <w:p w:rsidR="00E40684" w:rsidRPr="003A7C7F" w:rsidRDefault="00273551" w:rsidP="00934171">
            <w:pPr>
              <w:pStyle w:val="Default"/>
              <w:widowControl/>
              <w:rPr>
                <w:rFonts w:cs="Times New Roman"/>
              </w:rPr>
            </w:pPr>
            <w:r>
              <w:rPr>
                <w:rFonts w:cs="Times New Roman"/>
              </w:rPr>
              <w:t>$</w:t>
            </w:r>
            <w:r w:rsidR="00934171">
              <w:rPr>
                <w:rFonts w:cs="Times New Roman"/>
              </w:rPr>
              <w:t>3,024,805</w:t>
            </w:r>
            <w:r w:rsidR="00E40684" w:rsidRPr="003A7C7F">
              <w:rPr>
                <w:rFonts w:cs="Times New Roman"/>
              </w:rPr>
              <w:t xml:space="preserve"> </w:t>
            </w:r>
          </w:p>
        </w:tc>
      </w:tr>
      <w:tr w:rsidR="00E40684" w:rsidTr="00835C7D">
        <w:tc>
          <w:tcPr>
            <w:tcW w:w="3213" w:type="dxa"/>
            <w:tcBorders>
              <w:top w:val="nil"/>
              <w:left w:val="nil"/>
              <w:bottom w:val="nil"/>
              <w:right w:val="nil"/>
            </w:tcBorders>
            <w:shd w:val="clear" w:color="auto" w:fill="auto"/>
            <w:vAlign w:val="center"/>
          </w:tcPr>
          <w:p w:rsidR="00E40684" w:rsidRPr="003A7C7F" w:rsidRDefault="00E40684" w:rsidP="003A7C7F">
            <w:pPr>
              <w:pStyle w:val="Default"/>
              <w:widowControl/>
              <w:rPr>
                <w:rFonts w:cs="Times New Roman"/>
              </w:rPr>
            </w:pPr>
            <w:r w:rsidRPr="003A7C7F">
              <w:rPr>
                <w:rFonts w:cs="Times New Roman"/>
              </w:rPr>
              <w:t xml:space="preserve">Total Annual Capital Costs: </w:t>
            </w:r>
          </w:p>
        </w:tc>
        <w:tc>
          <w:tcPr>
            <w:tcW w:w="2070" w:type="dxa"/>
            <w:tcBorders>
              <w:top w:val="nil"/>
              <w:left w:val="nil"/>
              <w:bottom w:val="nil"/>
              <w:right w:val="nil"/>
            </w:tcBorders>
            <w:vAlign w:val="center"/>
          </w:tcPr>
          <w:p w:rsidR="00E40684" w:rsidRPr="00273551" w:rsidRDefault="00E40684" w:rsidP="003A7C7F">
            <w:pPr>
              <w:pStyle w:val="Default"/>
              <w:widowControl/>
              <w:rPr>
                <w:rFonts w:cs="Times New Roman"/>
              </w:rPr>
            </w:pPr>
            <w:r w:rsidRPr="00273551">
              <w:rPr>
                <w:rFonts w:cs="Times New Roman"/>
              </w:rPr>
              <w:t xml:space="preserve">0 </w:t>
            </w:r>
          </w:p>
        </w:tc>
      </w:tr>
      <w:tr w:rsidR="00E40684" w:rsidTr="00835C7D">
        <w:tc>
          <w:tcPr>
            <w:tcW w:w="3213" w:type="dxa"/>
            <w:tcBorders>
              <w:top w:val="nil"/>
              <w:left w:val="nil"/>
              <w:bottom w:val="nil"/>
              <w:right w:val="nil"/>
            </w:tcBorders>
            <w:shd w:val="clear" w:color="auto" w:fill="auto"/>
            <w:vAlign w:val="center"/>
          </w:tcPr>
          <w:p w:rsidR="00E40684" w:rsidRPr="003A7C7F" w:rsidRDefault="00E40684" w:rsidP="003A7C7F">
            <w:pPr>
              <w:pStyle w:val="Default"/>
              <w:widowControl/>
              <w:rPr>
                <w:rFonts w:cs="Times New Roman"/>
              </w:rPr>
            </w:pPr>
            <w:r w:rsidRPr="003A7C7F">
              <w:rPr>
                <w:rFonts w:cs="Times New Roman"/>
              </w:rPr>
              <w:t xml:space="preserve">Total Annual O&amp;M Costs: </w:t>
            </w:r>
          </w:p>
        </w:tc>
        <w:tc>
          <w:tcPr>
            <w:tcW w:w="2070" w:type="dxa"/>
            <w:tcBorders>
              <w:top w:val="nil"/>
              <w:left w:val="nil"/>
              <w:bottom w:val="nil"/>
              <w:right w:val="nil"/>
            </w:tcBorders>
            <w:vAlign w:val="center"/>
          </w:tcPr>
          <w:p w:rsidR="00E40684" w:rsidRPr="00273551" w:rsidRDefault="00273551" w:rsidP="00934171">
            <w:pPr>
              <w:pStyle w:val="Default"/>
              <w:widowControl/>
              <w:rPr>
                <w:rFonts w:cs="Times New Roman"/>
              </w:rPr>
            </w:pPr>
            <w:r w:rsidRPr="00273551">
              <w:rPr>
                <w:rFonts w:cs="Times New Roman"/>
              </w:rPr>
              <w:t>$1,061,</w:t>
            </w:r>
            <w:r w:rsidR="00934171">
              <w:rPr>
                <w:rFonts w:cs="Times New Roman"/>
              </w:rPr>
              <w:t>6</w:t>
            </w:r>
            <w:r w:rsidRPr="00273551">
              <w:rPr>
                <w:rFonts w:cs="Times New Roman"/>
              </w:rPr>
              <w:t>50</w:t>
            </w:r>
          </w:p>
        </w:tc>
      </w:tr>
      <w:tr w:rsidR="00E40684" w:rsidTr="00835C7D">
        <w:tc>
          <w:tcPr>
            <w:tcW w:w="3213" w:type="dxa"/>
            <w:tcBorders>
              <w:top w:val="nil"/>
              <w:left w:val="nil"/>
              <w:bottom w:val="nil"/>
              <w:right w:val="nil"/>
            </w:tcBorders>
            <w:shd w:val="clear" w:color="auto" w:fill="auto"/>
            <w:vAlign w:val="bottom"/>
          </w:tcPr>
          <w:p w:rsidR="00E40684" w:rsidRPr="003A7C7F" w:rsidRDefault="00E40684" w:rsidP="003A7C7F">
            <w:pPr>
              <w:pStyle w:val="Default"/>
              <w:widowControl/>
              <w:rPr>
                <w:rFonts w:cs="Times New Roman"/>
              </w:rPr>
            </w:pPr>
            <w:r w:rsidRPr="003A7C7F">
              <w:rPr>
                <w:rFonts w:cs="Times New Roman"/>
              </w:rPr>
              <w:t xml:space="preserve">Total Costs: </w:t>
            </w:r>
          </w:p>
        </w:tc>
        <w:tc>
          <w:tcPr>
            <w:tcW w:w="2070" w:type="dxa"/>
            <w:tcBorders>
              <w:top w:val="nil"/>
              <w:left w:val="nil"/>
              <w:bottom w:val="nil"/>
              <w:right w:val="nil"/>
            </w:tcBorders>
            <w:vAlign w:val="bottom"/>
          </w:tcPr>
          <w:p w:rsidR="00E40684" w:rsidRPr="00273551" w:rsidRDefault="00E40684" w:rsidP="00934171">
            <w:pPr>
              <w:pStyle w:val="Default"/>
              <w:widowControl/>
              <w:rPr>
                <w:rFonts w:cs="Times New Roman"/>
              </w:rPr>
            </w:pPr>
            <w:r w:rsidRPr="00273551">
              <w:rPr>
                <w:rFonts w:cs="Times New Roman"/>
              </w:rPr>
              <w:t>$</w:t>
            </w:r>
            <w:r w:rsidR="00934171">
              <w:rPr>
                <w:rFonts w:cs="Times New Roman"/>
              </w:rPr>
              <w:t>4,086,455</w:t>
            </w:r>
          </w:p>
        </w:tc>
      </w:tr>
    </w:tbl>
    <w:p w:rsidR="00C50C6A" w:rsidRPr="00F502B4" w:rsidRDefault="00C50C6A" w:rsidP="00066F0E">
      <w:pPr>
        <w:pStyle w:val="Default"/>
        <w:widowControl/>
        <w:rPr>
          <w:rFonts w:cs="Times New Roman"/>
          <w:color w:val="auto"/>
        </w:rPr>
      </w:pPr>
    </w:p>
    <w:p w:rsidR="00135B83" w:rsidRPr="00A03501" w:rsidRDefault="00135B83" w:rsidP="00A03501">
      <w:pPr>
        <w:pStyle w:val="CM17"/>
        <w:widowControl/>
        <w:spacing w:after="0"/>
        <w:rPr>
          <w:iCs/>
        </w:rPr>
      </w:pPr>
      <w:r w:rsidRPr="00271DFD">
        <w:rPr>
          <w:iCs/>
        </w:rPr>
        <w:t xml:space="preserve">(ii) </w:t>
      </w:r>
      <w:r w:rsidR="0007630F" w:rsidRPr="00271DFD">
        <w:rPr>
          <w:iCs/>
        </w:rPr>
        <w:t xml:space="preserve"> </w:t>
      </w:r>
      <w:r w:rsidRPr="00271DFD">
        <w:rPr>
          <w:iCs/>
        </w:rPr>
        <w:t>The Agency Tally</w:t>
      </w:r>
    </w:p>
    <w:p w:rsidR="00135B83" w:rsidRDefault="00135B83" w:rsidP="00066F0E">
      <w:pPr>
        <w:pStyle w:val="Default"/>
        <w:widowControl/>
        <w:rPr>
          <w:rFonts w:cs="Times New Roman"/>
          <w:color w:val="auto"/>
        </w:rPr>
      </w:pPr>
    </w:p>
    <w:tbl>
      <w:tblPr>
        <w:tblW w:w="531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1E0"/>
      </w:tblPr>
      <w:tblGrid>
        <w:gridCol w:w="3510"/>
        <w:gridCol w:w="1800"/>
      </w:tblGrid>
      <w:tr w:rsidR="00A03501" w:rsidTr="00835C7D">
        <w:tc>
          <w:tcPr>
            <w:tcW w:w="3510" w:type="dxa"/>
            <w:tcBorders>
              <w:top w:val="nil"/>
              <w:left w:val="nil"/>
              <w:bottom w:val="nil"/>
              <w:right w:val="nil"/>
            </w:tcBorders>
          </w:tcPr>
          <w:p w:rsidR="00A03501" w:rsidRPr="003A7C7F" w:rsidRDefault="00A03501" w:rsidP="003A7C7F">
            <w:pPr>
              <w:pStyle w:val="Default"/>
              <w:widowControl/>
              <w:jc w:val="right"/>
              <w:rPr>
                <w:rFonts w:cs="Times New Roman"/>
              </w:rPr>
            </w:pPr>
            <w:r w:rsidRPr="003A7C7F">
              <w:rPr>
                <w:rFonts w:cs="Times New Roman"/>
              </w:rPr>
              <w:t>Number of Respondents</w:t>
            </w:r>
            <w:r w:rsidRPr="003A7C7F">
              <w:rPr>
                <w:rFonts w:cs="Times New Roman"/>
                <w:b/>
                <w:bCs/>
              </w:rPr>
              <w:t xml:space="preserve">: </w:t>
            </w:r>
          </w:p>
        </w:tc>
        <w:tc>
          <w:tcPr>
            <w:tcW w:w="1800" w:type="dxa"/>
            <w:tcBorders>
              <w:top w:val="nil"/>
              <w:left w:val="nil"/>
              <w:bottom w:val="nil"/>
              <w:right w:val="nil"/>
            </w:tcBorders>
          </w:tcPr>
          <w:p w:rsidR="00A03501" w:rsidRPr="00273551" w:rsidRDefault="00273551" w:rsidP="003A7C7F">
            <w:pPr>
              <w:pStyle w:val="Default"/>
              <w:widowControl/>
              <w:rPr>
                <w:rFonts w:cs="Times New Roman"/>
              </w:rPr>
            </w:pPr>
            <w:r w:rsidRPr="00273551">
              <w:rPr>
                <w:rFonts w:cs="Times New Roman"/>
              </w:rPr>
              <w:t>405</w:t>
            </w:r>
          </w:p>
        </w:tc>
      </w:tr>
      <w:tr w:rsidR="00A03501" w:rsidTr="00835C7D">
        <w:tc>
          <w:tcPr>
            <w:tcW w:w="3510" w:type="dxa"/>
            <w:tcBorders>
              <w:top w:val="nil"/>
              <w:left w:val="nil"/>
              <w:bottom w:val="nil"/>
              <w:right w:val="nil"/>
            </w:tcBorders>
            <w:vAlign w:val="center"/>
          </w:tcPr>
          <w:p w:rsidR="00A03501" w:rsidRPr="003A7C7F" w:rsidRDefault="00A03501" w:rsidP="003A7C7F">
            <w:pPr>
              <w:pStyle w:val="Default"/>
              <w:widowControl/>
              <w:jc w:val="right"/>
              <w:rPr>
                <w:rFonts w:cs="Times New Roman"/>
              </w:rPr>
            </w:pPr>
            <w:r w:rsidRPr="003A7C7F">
              <w:rPr>
                <w:rFonts w:cs="Times New Roman"/>
              </w:rPr>
              <w:t xml:space="preserve">Number of Activities: </w:t>
            </w:r>
          </w:p>
        </w:tc>
        <w:tc>
          <w:tcPr>
            <w:tcW w:w="1800" w:type="dxa"/>
            <w:tcBorders>
              <w:top w:val="nil"/>
              <w:left w:val="nil"/>
              <w:bottom w:val="nil"/>
              <w:right w:val="nil"/>
            </w:tcBorders>
            <w:vAlign w:val="center"/>
          </w:tcPr>
          <w:p w:rsidR="00A03501" w:rsidRPr="00273551" w:rsidRDefault="00A03501" w:rsidP="003A7C7F">
            <w:pPr>
              <w:pStyle w:val="Default"/>
              <w:widowControl/>
              <w:rPr>
                <w:rFonts w:cs="Times New Roman"/>
              </w:rPr>
            </w:pPr>
            <w:r w:rsidRPr="00273551">
              <w:rPr>
                <w:rFonts w:cs="Times New Roman"/>
              </w:rPr>
              <w:t xml:space="preserve">9 </w:t>
            </w:r>
          </w:p>
        </w:tc>
      </w:tr>
      <w:tr w:rsidR="00A03501" w:rsidTr="00835C7D">
        <w:tc>
          <w:tcPr>
            <w:tcW w:w="3510" w:type="dxa"/>
            <w:tcBorders>
              <w:top w:val="nil"/>
              <w:left w:val="nil"/>
              <w:bottom w:val="nil"/>
              <w:right w:val="nil"/>
            </w:tcBorders>
            <w:vAlign w:val="center"/>
          </w:tcPr>
          <w:p w:rsidR="00A03501" w:rsidRPr="003A7C7F" w:rsidRDefault="00A03501" w:rsidP="003A7C7F">
            <w:pPr>
              <w:pStyle w:val="Default"/>
              <w:widowControl/>
              <w:jc w:val="right"/>
              <w:rPr>
                <w:rFonts w:cs="Times New Roman"/>
              </w:rPr>
            </w:pPr>
            <w:r w:rsidRPr="003A7C7F">
              <w:rPr>
                <w:rFonts w:cs="Times New Roman"/>
              </w:rPr>
              <w:t xml:space="preserve">Total Hours Per Year: </w:t>
            </w:r>
          </w:p>
        </w:tc>
        <w:tc>
          <w:tcPr>
            <w:tcW w:w="1800" w:type="dxa"/>
            <w:tcBorders>
              <w:top w:val="nil"/>
              <w:left w:val="nil"/>
              <w:bottom w:val="nil"/>
              <w:right w:val="nil"/>
            </w:tcBorders>
            <w:vAlign w:val="center"/>
          </w:tcPr>
          <w:p w:rsidR="00A03501" w:rsidRPr="00273551" w:rsidRDefault="00273551" w:rsidP="003A7C7F">
            <w:pPr>
              <w:pStyle w:val="Default"/>
              <w:widowControl/>
              <w:rPr>
                <w:rFonts w:cs="Times New Roman"/>
              </w:rPr>
            </w:pPr>
            <w:r w:rsidRPr="00273551">
              <w:rPr>
                <w:rFonts w:cs="Times New Roman"/>
              </w:rPr>
              <w:t>6,817</w:t>
            </w:r>
            <w:r w:rsidR="00A03501" w:rsidRPr="00273551">
              <w:rPr>
                <w:rFonts w:cs="Times New Roman"/>
              </w:rPr>
              <w:t xml:space="preserve"> </w:t>
            </w:r>
          </w:p>
        </w:tc>
      </w:tr>
      <w:tr w:rsidR="00A03501" w:rsidTr="00835C7D">
        <w:tc>
          <w:tcPr>
            <w:tcW w:w="3510" w:type="dxa"/>
            <w:tcBorders>
              <w:top w:val="nil"/>
              <w:left w:val="nil"/>
              <w:bottom w:val="nil"/>
              <w:right w:val="nil"/>
            </w:tcBorders>
            <w:vAlign w:val="center"/>
          </w:tcPr>
          <w:p w:rsidR="00A03501" w:rsidRPr="003A7C7F" w:rsidRDefault="00A03501" w:rsidP="003A7C7F">
            <w:pPr>
              <w:pStyle w:val="Default"/>
              <w:widowControl/>
              <w:jc w:val="right"/>
              <w:rPr>
                <w:rFonts w:cs="Times New Roman"/>
              </w:rPr>
            </w:pPr>
            <w:r w:rsidRPr="003A7C7F">
              <w:rPr>
                <w:rFonts w:cs="Times New Roman"/>
              </w:rPr>
              <w:t xml:space="preserve">Total Labor Cost Per Year: </w:t>
            </w:r>
          </w:p>
        </w:tc>
        <w:tc>
          <w:tcPr>
            <w:tcW w:w="1800" w:type="dxa"/>
            <w:tcBorders>
              <w:top w:val="nil"/>
              <w:left w:val="nil"/>
              <w:bottom w:val="nil"/>
              <w:right w:val="nil"/>
            </w:tcBorders>
            <w:vAlign w:val="center"/>
          </w:tcPr>
          <w:p w:rsidR="00A03501" w:rsidRPr="00273551" w:rsidRDefault="00273551" w:rsidP="003A7C7F">
            <w:pPr>
              <w:pStyle w:val="Default"/>
              <w:widowControl/>
              <w:rPr>
                <w:rFonts w:cs="Times New Roman"/>
              </w:rPr>
            </w:pPr>
            <w:r w:rsidRPr="00273551">
              <w:rPr>
                <w:rFonts w:cs="Times New Roman"/>
              </w:rPr>
              <w:t>$507,721</w:t>
            </w:r>
          </w:p>
        </w:tc>
      </w:tr>
      <w:tr w:rsidR="00A03501" w:rsidTr="00835C7D">
        <w:tc>
          <w:tcPr>
            <w:tcW w:w="3510" w:type="dxa"/>
            <w:tcBorders>
              <w:top w:val="nil"/>
              <w:left w:val="nil"/>
              <w:bottom w:val="nil"/>
              <w:right w:val="nil"/>
            </w:tcBorders>
            <w:vAlign w:val="center"/>
          </w:tcPr>
          <w:p w:rsidR="00A03501" w:rsidRPr="003A7C7F" w:rsidRDefault="00A03501" w:rsidP="003A7C7F">
            <w:pPr>
              <w:pStyle w:val="Default"/>
              <w:widowControl/>
              <w:jc w:val="right"/>
              <w:rPr>
                <w:rFonts w:cs="Times New Roman"/>
              </w:rPr>
            </w:pPr>
            <w:r w:rsidRPr="003A7C7F">
              <w:rPr>
                <w:rFonts w:cs="Times New Roman"/>
              </w:rPr>
              <w:t xml:space="preserve">Total Annual Capital Costs: </w:t>
            </w:r>
          </w:p>
        </w:tc>
        <w:tc>
          <w:tcPr>
            <w:tcW w:w="1800" w:type="dxa"/>
            <w:tcBorders>
              <w:top w:val="nil"/>
              <w:left w:val="nil"/>
              <w:bottom w:val="nil"/>
              <w:right w:val="nil"/>
            </w:tcBorders>
            <w:vAlign w:val="center"/>
          </w:tcPr>
          <w:p w:rsidR="00A03501" w:rsidRPr="00273551" w:rsidRDefault="00A03501" w:rsidP="003A7C7F">
            <w:pPr>
              <w:pStyle w:val="Default"/>
              <w:widowControl/>
              <w:rPr>
                <w:rFonts w:cs="Times New Roman"/>
              </w:rPr>
            </w:pPr>
            <w:r w:rsidRPr="00273551">
              <w:rPr>
                <w:rFonts w:cs="Times New Roman"/>
              </w:rPr>
              <w:t xml:space="preserve">0 </w:t>
            </w:r>
          </w:p>
        </w:tc>
      </w:tr>
      <w:tr w:rsidR="00A03501" w:rsidTr="00835C7D">
        <w:tc>
          <w:tcPr>
            <w:tcW w:w="3510" w:type="dxa"/>
            <w:tcBorders>
              <w:top w:val="nil"/>
              <w:left w:val="nil"/>
              <w:bottom w:val="nil"/>
              <w:right w:val="nil"/>
            </w:tcBorders>
            <w:vAlign w:val="center"/>
          </w:tcPr>
          <w:p w:rsidR="00A03501" w:rsidRPr="003A7C7F" w:rsidRDefault="00A03501" w:rsidP="003A7C7F">
            <w:pPr>
              <w:pStyle w:val="Default"/>
              <w:widowControl/>
              <w:jc w:val="right"/>
              <w:rPr>
                <w:rFonts w:cs="Times New Roman"/>
              </w:rPr>
            </w:pPr>
            <w:r w:rsidRPr="003A7C7F">
              <w:rPr>
                <w:rFonts w:cs="Times New Roman"/>
              </w:rPr>
              <w:t xml:space="preserve">Total Annual O&amp;M Costs: </w:t>
            </w:r>
          </w:p>
        </w:tc>
        <w:tc>
          <w:tcPr>
            <w:tcW w:w="1800" w:type="dxa"/>
            <w:tcBorders>
              <w:top w:val="nil"/>
              <w:left w:val="nil"/>
              <w:bottom w:val="nil"/>
              <w:right w:val="nil"/>
            </w:tcBorders>
            <w:vAlign w:val="center"/>
          </w:tcPr>
          <w:p w:rsidR="00A03501" w:rsidRPr="00273551" w:rsidRDefault="00A03501" w:rsidP="00273551">
            <w:pPr>
              <w:pStyle w:val="Default"/>
              <w:widowControl/>
              <w:rPr>
                <w:rFonts w:cs="Times New Roman"/>
              </w:rPr>
            </w:pPr>
            <w:r w:rsidRPr="00273551">
              <w:rPr>
                <w:rFonts w:cs="Times New Roman"/>
              </w:rPr>
              <w:t>$</w:t>
            </w:r>
            <w:r w:rsidR="00273551" w:rsidRPr="00273551">
              <w:rPr>
                <w:rFonts w:cs="Times New Roman"/>
              </w:rPr>
              <w:t>20,470</w:t>
            </w:r>
            <w:r w:rsidRPr="00273551">
              <w:rPr>
                <w:rFonts w:cs="Times New Roman"/>
              </w:rPr>
              <w:t xml:space="preserve"> </w:t>
            </w:r>
          </w:p>
        </w:tc>
      </w:tr>
      <w:tr w:rsidR="00A03501" w:rsidTr="00835C7D">
        <w:tc>
          <w:tcPr>
            <w:tcW w:w="3510" w:type="dxa"/>
            <w:tcBorders>
              <w:top w:val="nil"/>
              <w:left w:val="nil"/>
              <w:bottom w:val="nil"/>
              <w:right w:val="nil"/>
            </w:tcBorders>
            <w:vAlign w:val="bottom"/>
          </w:tcPr>
          <w:p w:rsidR="00A03501" w:rsidRPr="003A7C7F" w:rsidRDefault="00A03501" w:rsidP="003A7C7F">
            <w:pPr>
              <w:pStyle w:val="Default"/>
              <w:widowControl/>
              <w:jc w:val="right"/>
              <w:rPr>
                <w:rFonts w:cs="Times New Roman"/>
              </w:rPr>
            </w:pPr>
            <w:r w:rsidRPr="003A7C7F">
              <w:rPr>
                <w:rFonts w:cs="Times New Roman"/>
              </w:rPr>
              <w:t xml:space="preserve">Total Costs: </w:t>
            </w:r>
          </w:p>
        </w:tc>
        <w:tc>
          <w:tcPr>
            <w:tcW w:w="1800" w:type="dxa"/>
            <w:tcBorders>
              <w:top w:val="nil"/>
              <w:left w:val="nil"/>
              <w:bottom w:val="nil"/>
              <w:right w:val="nil"/>
            </w:tcBorders>
            <w:vAlign w:val="bottom"/>
          </w:tcPr>
          <w:p w:rsidR="00A03501" w:rsidRPr="00273551" w:rsidRDefault="00273551" w:rsidP="00934171">
            <w:pPr>
              <w:pStyle w:val="Default"/>
              <w:widowControl/>
              <w:rPr>
                <w:rFonts w:cs="Times New Roman"/>
              </w:rPr>
            </w:pPr>
            <w:r w:rsidRPr="00273551">
              <w:rPr>
                <w:rFonts w:cs="Times New Roman"/>
              </w:rPr>
              <w:t>$</w:t>
            </w:r>
            <w:r w:rsidR="00934171">
              <w:rPr>
                <w:rFonts w:cs="Times New Roman"/>
              </w:rPr>
              <w:t>528,191</w:t>
            </w:r>
          </w:p>
        </w:tc>
      </w:tr>
    </w:tbl>
    <w:p w:rsidR="00C50C6A" w:rsidRDefault="00C50C6A" w:rsidP="00066F0E">
      <w:pPr>
        <w:pStyle w:val="Default"/>
        <w:widowControl/>
        <w:rPr>
          <w:rFonts w:cs="Times New Roman"/>
          <w:color w:val="auto"/>
        </w:rPr>
      </w:pPr>
    </w:p>
    <w:p w:rsidR="00835C7D" w:rsidRDefault="00835C7D" w:rsidP="00066F0E">
      <w:pPr>
        <w:pStyle w:val="Default"/>
        <w:widowControl/>
        <w:rPr>
          <w:rFonts w:cs="Times New Roman"/>
          <w:color w:val="auto"/>
        </w:rPr>
      </w:pPr>
    </w:p>
    <w:p w:rsidR="00835C7D" w:rsidRPr="00F502B4" w:rsidRDefault="00835C7D" w:rsidP="00066F0E">
      <w:pPr>
        <w:pStyle w:val="Default"/>
        <w:widowControl/>
        <w:rPr>
          <w:rFonts w:cs="Times New Roman"/>
          <w:color w:val="auto"/>
        </w:rPr>
      </w:pPr>
    </w:p>
    <w:p w:rsidR="00F502B4" w:rsidRPr="00271DFD" w:rsidRDefault="00135B83" w:rsidP="00066F0E">
      <w:pPr>
        <w:pStyle w:val="Heading2"/>
        <w:ind w:left="0" w:firstLine="0"/>
        <w:rPr>
          <w:b w:val="0"/>
        </w:rPr>
      </w:pPr>
      <w:r w:rsidRPr="00271DFD">
        <w:rPr>
          <w:b w:val="0"/>
        </w:rPr>
        <w:t xml:space="preserve">6(f) </w:t>
      </w:r>
      <w:r w:rsidR="0007630F" w:rsidRPr="00271DFD">
        <w:rPr>
          <w:b w:val="0"/>
        </w:rPr>
        <w:t xml:space="preserve"> </w:t>
      </w:r>
      <w:r w:rsidR="00271DFD">
        <w:rPr>
          <w:b w:val="0"/>
        </w:rPr>
        <w:tab/>
      </w:r>
      <w:r w:rsidRPr="00271DFD">
        <w:rPr>
          <w:b w:val="0"/>
          <w:u w:val="single"/>
        </w:rPr>
        <w:t>Reasons for change in burden</w:t>
      </w:r>
    </w:p>
    <w:p w:rsidR="00135B83" w:rsidRDefault="00271DFD" w:rsidP="00066F0E">
      <w:pPr>
        <w:pStyle w:val="CM16"/>
        <w:widowControl/>
        <w:spacing w:after="0"/>
      </w:pPr>
      <w:r>
        <w:tab/>
      </w:r>
    </w:p>
    <w:p w:rsidR="00782A2C" w:rsidRDefault="00273551" w:rsidP="00273551">
      <w:pPr>
        <w:pStyle w:val="CM11"/>
        <w:widowControl/>
        <w:spacing w:line="240" w:lineRule="auto"/>
        <w:ind w:firstLine="720"/>
      </w:pPr>
      <w:r>
        <w:t>Total burden has increase</w:t>
      </w:r>
      <w:r w:rsidR="00E952A8">
        <w:t>d</w:t>
      </w:r>
      <w:r>
        <w:t xml:space="preserve"> significantly due to a sharp increase in the estimated number of participants.  </w:t>
      </w:r>
      <w:r w:rsidR="00782A2C">
        <w:t>In previous estimates, EPA’s analysis indicated that the number of participants would decrease as the Part 89 program was phased out and the new, more stringent Part 1039 program started.  This is due to Part 1039’</w:t>
      </w:r>
      <w:r w:rsidR="00ED55B9">
        <w:t>s</w:t>
      </w:r>
      <w:r w:rsidR="00782A2C">
        <w:t xml:space="preserve"> bond</w:t>
      </w:r>
      <w:r w:rsidR="00ED55B9">
        <w:t>ing</w:t>
      </w:r>
      <w:r w:rsidR="00782A2C">
        <w:t xml:space="preserve"> requirements, annual reporting and the fact that engines exempted under the Tier 4 program must meet higher emission standards, even though they </w:t>
      </w:r>
      <w:r w:rsidR="00ED55B9">
        <w:t xml:space="preserve">are </w:t>
      </w:r>
      <w:r w:rsidR="00782A2C">
        <w:t xml:space="preserve">not certified.  </w:t>
      </w:r>
    </w:p>
    <w:p w:rsidR="00782A2C" w:rsidRPr="00782A2C" w:rsidRDefault="00782A2C" w:rsidP="00782A2C">
      <w:pPr>
        <w:pStyle w:val="Default"/>
      </w:pPr>
    </w:p>
    <w:p w:rsidR="00782A2C" w:rsidRDefault="00782A2C" w:rsidP="00273551">
      <w:pPr>
        <w:pStyle w:val="CM11"/>
        <w:widowControl/>
        <w:spacing w:line="240" w:lineRule="auto"/>
        <w:ind w:firstLine="720"/>
      </w:pPr>
      <w:r>
        <w:t>However, tighter Tier 4 standards have resulted in engine manufacturers not be</w:t>
      </w:r>
      <w:r w:rsidR="00E952A8">
        <w:t>i</w:t>
      </w:r>
      <w:r>
        <w:t>n</w:t>
      </w:r>
      <w:r w:rsidR="00E952A8">
        <w:t>g</w:t>
      </w:r>
      <w:r>
        <w:t xml:space="preserve"> able to provide their customers with compliant engines in time for the effective date of the new regulations.  This has meant that equipment </w:t>
      </w:r>
      <w:r w:rsidR="00ED55B9">
        <w:t>manufacturers</w:t>
      </w:r>
      <w:r>
        <w:t xml:space="preserve"> who did not previously participate in TPEM now need the program to reach the gap between the effective date of the regulations and the date when compliant engines are ready. </w:t>
      </w:r>
    </w:p>
    <w:p w:rsidR="00ED55B9" w:rsidRDefault="00ED55B9" w:rsidP="00ED55B9">
      <w:pPr>
        <w:pStyle w:val="Default"/>
      </w:pPr>
      <w:r>
        <w:lastRenderedPageBreak/>
        <w:tab/>
        <w:t>A significant number of participants will also be added when the small Si program start</w:t>
      </w:r>
      <w:r w:rsidR="00E952A8">
        <w:t>s</w:t>
      </w:r>
      <w:r>
        <w:t xml:space="preserve"> in 2011.  EPA expects at least 150 new participants from that industry alone.</w:t>
      </w:r>
    </w:p>
    <w:p w:rsidR="00ED55B9" w:rsidRPr="00ED55B9" w:rsidRDefault="00ED55B9" w:rsidP="00ED55B9">
      <w:pPr>
        <w:pStyle w:val="Default"/>
      </w:pPr>
    </w:p>
    <w:p w:rsidR="00EF4EE5" w:rsidRDefault="00782A2C" w:rsidP="00A42CF6">
      <w:pPr>
        <w:pStyle w:val="CM11"/>
        <w:widowControl/>
        <w:spacing w:line="240" w:lineRule="auto"/>
        <w:ind w:firstLine="720"/>
      </w:pPr>
      <w:r>
        <w:t xml:space="preserve"> </w:t>
      </w:r>
    </w:p>
    <w:p w:rsidR="00F502B4" w:rsidRPr="00271DFD" w:rsidRDefault="00135B83" w:rsidP="00066F0E">
      <w:pPr>
        <w:pStyle w:val="Heading2"/>
        <w:ind w:left="360"/>
        <w:rPr>
          <w:b w:val="0"/>
        </w:rPr>
      </w:pPr>
      <w:r w:rsidRPr="00271DFD">
        <w:rPr>
          <w:b w:val="0"/>
        </w:rPr>
        <w:t xml:space="preserve">6(g) </w:t>
      </w:r>
      <w:r w:rsidR="0007630F" w:rsidRPr="00271DFD">
        <w:rPr>
          <w:b w:val="0"/>
        </w:rPr>
        <w:t xml:space="preserve"> </w:t>
      </w:r>
      <w:r w:rsidR="00271DFD" w:rsidRPr="00271DFD">
        <w:rPr>
          <w:b w:val="0"/>
        </w:rPr>
        <w:tab/>
      </w:r>
      <w:r w:rsidRPr="00271DFD">
        <w:rPr>
          <w:b w:val="0"/>
          <w:u w:val="single"/>
        </w:rPr>
        <w:t>Burden Statement</w:t>
      </w:r>
    </w:p>
    <w:p w:rsidR="00135B83" w:rsidRPr="00F502B4" w:rsidRDefault="00135B83" w:rsidP="00066F0E">
      <w:pPr>
        <w:pStyle w:val="CM16"/>
        <w:widowControl/>
        <w:spacing w:after="0"/>
      </w:pPr>
    </w:p>
    <w:p w:rsidR="00F502B4" w:rsidRDefault="00135B83" w:rsidP="00066F0E">
      <w:pPr>
        <w:pStyle w:val="CM15"/>
        <w:widowControl/>
        <w:spacing w:after="0"/>
        <w:ind w:firstLine="720"/>
      </w:pPr>
      <w:r w:rsidRPr="00F502B4">
        <w:t>The average annual burden associated with participation in</w:t>
      </w:r>
      <w:r w:rsidR="008B7E46" w:rsidRPr="00F502B4">
        <w:t xml:space="preserve"> </w:t>
      </w:r>
      <w:r w:rsidRPr="00F502B4">
        <w:t xml:space="preserve">the Transition Program for Equipment </w:t>
      </w:r>
      <w:r w:rsidRPr="0047683F">
        <w:t xml:space="preserve">Manufacturers is </w:t>
      </w:r>
      <w:r w:rsidR="00934171">
        <w:t>51</w:t>
      </w:r>
      <w:r w:rsidR="0047683F" w:rsidRPr="0047683F">
        <w:t xml:space="preserve"> h</w:t>
      </w:r>
      <w:r w:rsidR="004668EF">
        <w:t>ours per response</w:t>
      </w:r>
      <w:r w:rsidR="0047683F">
        <w:t>.</w:t>
      </w:r>
    </w:p>
    <w:p w:rsidR="00135B83" w:rsidRPr="00F502B4" w:rsidRDefault="00135B83" w:rsidP="00066F0E">
      <w:pPr>
        <w:pStyle w:val="CM15"/>
        <w:widowControl/>
        <w:spacing w:after="0"/>
        <w:ind w:firstLine="720"/>
      </w:pPr>
    </w:p>
    <w:p w:rsidR="00F502B4" w:rsidRDefault="00135B83" w:rsidP="000F7AF3">
      <w:pPr>
        <w:pStyle w:val="CM15"/>
        <w:widowControl/>
        <w:spacing w:after="0"/>
        <w:ind w:firstLine="720"/>
      </w:pPr>
      <w:r w:rsidRPr="00F502B4">
        <w:t>These estimates include time to review applicable</w:t>
      </w:r>
      <w:r w:rsidR="008B7E46" w:rsidRPr="00F502B4">
        <w:t xml:space="preserve"> </w:t>
      </w:r>
      <w:r w:rsidRPr="00F502B4">
        <w:t>regulations and guidance documents, generate and gather the</w:t>
      </w:r>
      <w:r w:rsidR="008B7E46" w:rsidRPr="00F502B4">
        <w:t xml:space="preserve"> </w:t>
      </w:r>
      <w:r w:rsidRPr="00F502B4">
        <w:t>necessary information, submit applications and reports, and</w:t>
      </w:r>
      <w:r w:rsidR="008B7E46" w:rsidRPr="00F502B4">
        <w:t xml:space="preserve"> </w:t>
      </w:r>
      <w:r w:rsidRPr="00F502B4">
        <w:t xml:space="preserve">maintain records. </w:t>
      </w:r>
    </w:p>
    <w:p w:rsidR="00135B83" w:rsidRPr="00F502B4" w:rsidRDefault="00135B83" w:rsidP="00066F0E">
      <w:pPr>
        <w:pStyle w:val="CM15"/>
        <w:widowControl/>
        <w:spacing w:after="0"/>
      </w:pPr>
    </w:p>
    <w:p w:rsidR="000F00A9" w:rsidRDefault="000F00A9" w:rsidP="000F00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tab/>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w:t>
      </w:r>
      <w:r w:rsidRPr="0047683F">
        <w:t>.  The OMB control numbers for EPA's regulations are listed in 40 CFR Part 9 and 48 CFR Chapter 15.</w:t>
      </w:r>
      <w:r>
        <w:t xml:space="preserve">  </w:t>
      </w:r>
    </w:p>
    <w:p w:rsidR="000F7AF3" w:rsidRDefault="000F7AF3" w:rsidP="000F00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p>
    <w:p w:rsidR="0029557A" w:rsidRDefault="000F00A9" w:rsidP="0029557A">
      <w:pPr>
        <w:autoSpaceDE w:val="0"/>
        <w:autoSpaceDN w:val="0"/>
        <w:adjustRightInd w:val="0"/>
      </w:pPr>
      <w:r>
        <w:tab/>
      </w:r>
      <w:r>
        <w:rPr>
          <w:color w:val="0F0F0F"/>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sidR="003E54EA">
        <w:rPr>
          <w:color w:val="0F0F0F"/>
        </w:rPr>
        <w:t xml:space="preserve"> EPA-HQ-OAR-2007-0904</w:t>
      </w:r>
      <w:r>
        <w:rPr>
          <w:color w:val="0F0F0F"/>
        </w:rPr>
        <w:t xml:space="preserve">, which is available for online viewing at </w:t>
      </w:r>
      <w:hyperlink r:id="rId8" w:history="1">
        <w:r w:rsidRPr="00C968CF">
          <w:rPr>
            <w:rStyle w:val="Hyperlink"/>
          </w:rPr>
          <w:t>www.regulations.gov</w:t>
        </w:r>
      </w:hyperlink>
      <w:r>
        <w:rPr>
          <w:color w:val="0F0F0F"/>
        </w:rPr>
        <w:t xml:space="preserve">, or in person viewing at the </w:t>
      </w:r>
      <w:r w:rsidR="0029557A">
        <w:t>Air and Radiation</w:t>
      </w:r>
    </w:p>
    <w:p w:rsidR="000F00A9" w:rsidRPr="0029557A" w:rsidRDefault="0029557A" w:rsidP="0029557A">
      <w:pPr>
        <w:autoSpaceDE w:val="0"/>
        <w:autoSpaceDN w:val="0"/>
        <w:adjustRightInd w:val="0"/>
        <w:rPr>
          <w:sz w:val="20"/>
          <w:szCs w:val="20"/>
        </w:rPr>
      </w:pPr>
      <w:r>
        <w:t>Docket and Information Center</w:t>
      </w:r>
      <w:r w:rsidR="000F00A9">
        <w:rPr>
          <w:color w:val="0F0F0F"/>
        </w:rPr>
        <w:t xml:space="preserve"> in the EPA Docket Center (EPA/DC), EPA West, Room </w:t>
      </w:r>
      <w:r w:rsidR="00934171">
        <w:rPr>
          <w:color w:val="0F0F0F"/>
        </w:rPr>
        <w:t>3334</w:t>
      </w:r>
      <w:r w:rsidR="000F00A9">
        <w:rPr>
          <w:color w:val="0F0F0F"/>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t xml:space="preserve">Air and Radiation Docket and </w:t>
      </w:r>
      <w:smartTag w:uri="urn:schemas-microsoft-com:office:smarttags" w:element="place">
        <w:smartTag w:uri="urn:schemas-microsoft-com:office:smarttags" w:element="PlaceName">
          <w:r>
            <w:t>Information</w:t>
          </w:r>
        </w:smartTag>
        <w:r>
          <w:t xml:space="preserve"> </w:t>
        </w:r>
        <w:smartTag w:uri="urn:schemas-microsoft-com:office:smarttags" w:element="PlaceType">
          <w:r>
            <w:t>Center</w:t>
          </w:r>
        </w:smartTag>
      </w:smartTag>
      <w:r>
        <w:t xml:space="preserve"> is (202) 566-1742</w:t>
      </w:r>
      <w:r w:rsidR="000F00A9">
        <w:rPr>
          <w:color w:val="0F0F0F"/>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000F00A9">
            <w:rPr>
              <w:color w:val="0F0F0F"/>
            </w:rPr>
            <w:t>725 17th Street, NW</w:t>
          </w:r>
        </w:smartTag>
        <w:r w:rsidR="000F00A9">
          <w:rPr>
            <w:color w:val="0F0F0F"/>
          </w:rPr>
          <w:t xml:space="preserve">, </w:t>
        </w:r>
        <w:smartTag w:uri="urn:schemas-microsoft-com:office:smarttags" w:element="City">
          <w:r w:rsidR="000F00A9">
            <w:rPr>
              <w:color w:val="0F0F0F"/>
            </w:rPr>
            <w:t>Washington</w:t>
          </w:r>
        </w:smartTag>
        <w:r w:rsidR="000F00A9">
          <w:rPr>
            <w:color w:val="0F0F0F"/>
          </w:rPr>
          <w:t xml:space="preserve">, </w:t>
        </w:r>
        <w:smartTag w:uri="urn:schemas-microsoft-com:office:smarttags" w:element="State">
          <w:r w:rsidR="000F00A9">
            <w:rPr>
              <w:color w:val="0F0F0F"/>
            </w:rPr>
            <w:t>D.C.</w:t>
          </w:r>
        </w:smartTag>
        <w:r w:rsidR="000F00A9">
          <w:rPr>
            <w:color w:val="0F0F0F"/>
          </w:rPr>
          <w:t xml:space="preserve"> </w:t>
        </w:r>
        <w:smartTag w:uri="urn:schemas-microsoft-com:office:smarttags" w:element="PostalCode">
          <w:r w:rsidR="000F00A9">
            <w:rPr>
              <w:color w:val="0F0F0F"/>
            </w:rPr>
            <w:t>20503</w:t>
          </w:r>
        </w:smartTag>
      </w:smartTag>
      <w:r w:rsidR="000F00A9">
        <w:rPr>
          <w:color w:val="0F0F0F"/>
        </w:rPr>
        <w:t>, Attention: Desk Officer for EPA.  Please include the EPA Docket ID</w:t>
      </w:r>
      <w:r w:rsidR="000F00A9">
        <w:rPr>
          <w:rFonts w:ascii="Courier New" w:hAnsi="Courier New" w:cs="Courier New"/>
          <w:color w:val="0F0F0F"/>
        </w:rPr>
        <w:t xml:space="preserve"> </w:t>
      </w:r>
      <w:r w:rsidR="000F00A9">
        <w:rPr>
          <w:color w:val="0F0F0F"/>
        </w:rPr>
        <w:t xml:space="preserve">Number </w:t>
      </w:r>
      <w:r w:rsidR="003E54EA">
        <w:rPr>
          <w:color w:val="0F0F0F"/>
        </w:rPr>
        <w:t xml:space="preserve">EPA-HQ-OAR-2007-0904 </w:t>
      </w:r>
      <w:r w:rsidR="000F00A9">
        <w:rPr>
          <w:color w:val="0F0F0F"/>
        </w:rPr>
        <w:t xml:space="preserve">and OMB Control Number </w:t>
      </w:r>
      <w:r w:rsidRPr="00635A81">
        <w:t>2060-0369</w:t>
      </w:r>
      <w:r w:rsidR="000F00A9" w:rsidRPr="00635A81">
        <w:t xml:space="preserve"> in any cor</w:t>
      </w:r>
      <w:r w:rsidR="000F00A9">
        <w:rPr>
          <w:color w:val="0F0F0F"/>
        </w:rPr>
        <w:t>respondence.</w:t>
      </w:r>
    </w:p>
    <w:p w:rsidR="00135B83" w:rsidRPr="00F502B4" w:rsidRDefault="00135B83" w:rsidP="00271DFD">
      <w:pPr>
        <w:pStyle w:val="CM7"/>
        <w:widowControl/>
        <w:spacing w:line="240" w:lineRule="auto"/>
      </w:pPr>
    </w:p>
    <w:sectPr w:rsidR="00135B83" w:rsidRPr="00F502B4" w:rsidSect="00596E93">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56B" w:rsidRDefault="00A1756B" w:rsidP="00140823">
      <w:r>
        <w:separator/>
      </w:r>
    </w:p>
  </w:endnote>
  <w:endnote w:type="continuationSeparator" w:id="0">
    <w:p w:rsidR="00A1756B" w:rsidRDefault="00A1756B" w:rsidP="001408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Std">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56B" w:rsidRDefault="00A1756B" w:rsidP="00140823">
      <w:r>
        <w:separator/>
      </w:r>
    </w:p>
  </w:footnote>
  <w:footnote w:type="continuationSeparator" w:id="0">
    <w:p w:rsidR="00A1756B" w:rsidRDefault="00A1756B" w:rsidP="00140823">
      <w:r>
        <w:continuationSeparator/>
      </w:r>
    </w:p>
  </w:footnote>
  <w:footnote w:id="1">
    <w:p w:rsidR="00140823" w:rsidRDefault="00140823">
      <w:pPr>
        <w:pStyle w:val="FootnoteText"/>
      </w:pPr>
      <w:r>
        <w:rPr>
          <w:rStyle w:val="FootnoteReference"/>
        </w:rPr>
        <w:footnoteRef/>
      </w:r>
      <w:r>
        <w:t xml:space="preserve"> Engines and equipment are grouped according to the rating of the engine.  See applicable regulations for a list of power categories that apply to TPEM, which could be different from the power categories used in certification.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25CB04"/>
    <w:multiLevelType w:val="hybridMultilevel"/>
    <w:tmpl w:val="5C3EF94D"/>
    <w:lvl w:ilvl="0" w:tplc="FFFFFFFF">
      <w:start w:val="1"/>
      <w:numFmt w:val="bullet"/>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8A4146"/>
    <w:multiLevelType w:val="hybridMultilevel"/>
    <w:tmpl w:val="D682F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C0510C"/>
    <w:multiLevelType w:val="hybridMultilevel"/>
    <w:tmpl w:val="18C47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09752C6"/>
    <w:multiLevelType w:val="hybridMultilevel"/>
    <w:tmpl w:val="8884D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D5E7173"/>
    <w:multiLevelType w:val="hybridMultilevel"/>
    <w:tmpl w:val="544EB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30998EF"/>
    <w:multiLevelType w:val="hybridMultilevel"/>
    <w:tmpl w:val="102CC1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131078" w:nlCheck="1" w:checkStyle="1"/>
  <w:proofState w:spelling="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625416"/>
    <w:rsid w:val="0001226A"/>
    <w:rsid w:val="00023BE1"/>
    <w:rsid w:val="00031FF9"/>
    <w:rsid w:val="000361C3"/>
    <w:rsid w:val="0005383E"/>
    <w:rsid w:val="00066F0E"/>
    <w:rsid w:val="0007630F"/>
    <w:rsid w:val="00083401"/>
    <w:rsid w:val="00093E68"/>
    <w:rsid w:val="000B5EC1"/>
    <w:rsid w:val="000F00A9"/>
    <w:rsid w:val="000F49EE"/>
    <w:rsid w:val="000F7AF3"/>
    <w:rsid w:val="00111A82"/>
    <w:rsid w:val="001345A5"/>
    <w:rsid w:val="00135B83"/>
    <w:rsid w:val="00140823"/>
    <w:rsid w:val="00183B67"/>
    <w:rsid w:val="001926EC"/>
    <w:rsid w:val="00196A95"/>
    <w:rsid w:val="001D058F"/>
    <w:rsid w:val="001D16A3"/>
    <w:rsid w:val="001D6CED"/>
    <w:rsid w:val="001F19E6"/>
    <w:rsid w:val="001F42AF"/>
    <w:rsid w:val="002061AF"/>
    <w:rsid w:val="002113EA"/>
    <w:rsid w:val="002137F1"/>
    <w:rsid w:val="002163CB"/>
    <w:rsid w:val="00217932"/>
    <w:rsid w:val="00227622"/>
    <w:rsid w:val="00235414"/>
    <w:rsid w:val="00245872"/>
    <w:rsid w:val="00251A23"/>
    <w:rsid w:val="00271DFD"/>
    <w:rsid w:val="00273551"/>
    <w:rsid w:val="0028488B"/>
    <w:rsid w:val="0029557A"/>
    <w:rsid w:val="002A5E84"/>
    <w:rsid w:val="002B3AC3"/>
    <w:rsid w:val="002C0FD6"/>
    <w:rsid w:val="002C41A0"/>
    <w:rsid w:val="002D2529"/>
    <w:rsid w:val="002E43FB"/>
    <w:rsid w:val="002F02ED"/>
    <w:rsid w:val="00336025"/>
    <w:rsid w:val="00376258"/>
    <w:rsid w:val="003A2901"/>
    <w:rsid w:val="003A7C7F"/>
    <w:rsid w:val="003B3FAD"/>
    <w:rsid w:val="003D0B34"/>
    <w:rsid w:val="003D46EE"/>
    <w:rsid w:val="003E54EA"/>
    <w:rsid w:val="003F2237"/>
    <w:rsid w:val="003F6A22"/>
    <w:rsid w:val="004300A9"/>
    <w:rsid w:val="00462420"/>
    <w:rsid w:val="004668EF"/>
    <w:rsid w:val="00467842"/>
    <w:rsid w:val="00471C59"/>
    <w:rsid w:val="0047683F"/>
    <w:rsid w:val="00485BE0"/>
    <w:rsid w:val="004C2EC9"/>
    <w:rsid w:val="004D7818"/>
    <w:rsid w:val="004E6DC8"/>
    <w:rsid w:val="00521C68"/>
    <w:rsid w:val="0052262D"/>
    <w:rsid w:val="00522FF1"/>
    <w:rsid w:val="005279C2"/>
    <w:rsid w:val="00530904"/>
    <w:rsid w:val="00542F99"/>
    <w:rsid w:val="00567288"/>
    <w:rsid w:val="00575B5E"/>
    <w:rsid w:val="0058756D"/>
    <w:rsid w:val="00596344"/>
    <w:rsid w:val="00596E93"/>
    <w:rsid w:val="005B32FA"/>
    <w:rsid w:val="005E2D3A"/>
    <w:rsid w:val="00625416"/>
    <w:rsid w:val="00635A81"/>
    <w:rsid w:val="00657F3F"/>
    <w:rsid w:val="00680DE3"/>
    <w:rsid w:val="006A2D72"/>
    <w:rsid w:val="006B4E7A"/>
    <w:rsid w:val="006B6783"/>
    <w:rsid w:val="006C2236"/>
    <w:rsid w:val="006F2B39"/>
    <w:rsid w:val="006F2E4D"/>
    <w:rsid w:val="006F5888"/>
    <w:rsid w:val="007357E7"/>
    <w:rsid w:val="00747C97"/>
    <w:rsid w:val="00747FC8"/>
    <w:rsid w:val="00755854"/>
    <w:rsid w:val="00757C03"/>
    <w:rsid w:val="0077587D"/>
    <w:rsid w:val="00782A2C"/>
    <w:rsid w:val="007A35BC"/>
    <w:rsid w:val="007A7834"/>
    <w:rsid w:val="007C429B"/>
    <w:rsid w:val="007D04F1"/>
    <w:rsid w:val="007E472C"/>
    <w:rsid w:val="007F4028"/>
    <w:rsid w:val="008024A5"/>
    <w:rsid w:val="00817731"/>
    <w:rsid w:val="00833F22"/>
    <w:rsid w:val="008345F5"/>
    <w:rsid w:val="00835C7D"/>
    <w:rsid w:val="00861E91"/>
    <w:rsid w:val="00870987"/>
    <w:rsid w:val="0089522C"/>
    <w:rsid w:val="008A4688"/>
    <w:rsid w:val="008B7E46"/>
    <w:rsid w:val="008C1AF5"/>
    <w:rsid w:val="008D60B1"/>
    <w:rsid w:val="008D70A0"/>
    <w:rsid w:val="008E3D63"/>
    <w:rsid w:val="008F7295"/>
    <w:rsid w:val="009123E0"/>
    <w:rsid w:val="009152C0"/>
    <w:rsid w:val="00922BB1"/>
    <w:rsid w:val="00934171"/>
    <w:rsid w:val="0095251E"/>
    <w:rsid w:val="00954A74"/>
    <w:rsid w:val="0097056A"/>
    <w:rsid w:val="00972C62"/>
    <w:rsid w:val="0098112E"/>
    <w:rsid w:val="00986764"/>
    <w:rsid w:val="00992C82"/>
    <w:rsid w:val="009C2ABD"/>
    <w:rsid w:val="009C3452"/>
    <w:rsid w:val="009C6BBE"/>
    <w:rsid w:val="009D037A"/>
    <w:rsid w:val="009D2D45"/>
    <w:rsid w:val="00A03501"/>
    <w:rsid w:val="00A126FD"/>
    <w:rsid w:val="00A12AD3"/>
    <w:rsid w:val="00A1321F"/>
    <w:rsid w:val="00A1756B"/>
    <w:rsid w:val="00A211C2"/>
    <w:rsid w:val="00A2218E"/>
    <w:rsid w:val="00A3230E"/>
    <w:rsid w:val="00A32A98"/>
    <w:rsid w:val="00A41470"/>
    <w:rsid w:val="00A42CF6"/>
    <w:rsid w:val="00A4407D"/>
    <w:rsid w:val="00A46669"/>
    <w:rsid w:val="00A701BD"/>
    <w:rsid w:val="00A75EBF"/>
    <w:rsid w:val="00A849C9"/>
    <w:rsid w:val="00A929FE"/>
    <w:rsid w:val="00A9472B"/>
    <w:rsid w:val="00A950D8"/>
    <w:rsid w:val="00AD40B4"/>
    <w:rsid w:val="00AE7AA0"/>
    <w:rsid w:val="00AE7EF9"/>
    <w:rsid w:val="00B35C3D"/>
    <w:rsid w:val="00B50E67"/>
    <w:rsid w:val="00B5228C"/>
    <w:rsid w:val="00B930E0"/>
    <w:rsid w:val="00BA2E96"/>
    <w:rsid w:val="00BB3C39"/>
    <w:rsid w:val="00BC022D"/>
    <w:rsid w:val="00BF1C68"/>
    <w:rsid w:val="00C04943"/>
    <w:rsid w:val="00C34919"/>
    <w:rsid w:val="00C50A1F"/>
    <w:rsid w:val="00C50C6A"/>
    <w:rsid w:val="00C63661"/>
    <w:rsid w:val="00C72CC1"/>
    <w:rsid w:val="00C809C2"/>
    <w:rsid w:val="00CC3DEC"/>
    <w:rsid w:val="00CF20CB"/>
    <w:rsid w:val="00D20978"/>
    <w:rsid w:val="00D43F4D"/>
    <w:rsid w:val="00D85950"/>
    <w:rsid w:val="00DB5E1E"/>
    <w:rsid w:val="00E04CE0"/>
    <w:rsid w:val="00E230A6"/>
    <w:rsid w:val="00E336CF"/>
    <w:rsid w:val="00E37278"/>
    <w:rsid w:val="00E40684"/>
    <w:rsid w:val="00E52EF5"/>
    <w:rsid w:val="00E60569"/>
    <w:rsid w:val="00E637B7"/>
    <w:rsid w:val="00E66DA1"/>
    <w:rsid w:val="00E82D77"/>
    <w:rsid w:val="00E87488"/>
    <w:rsid w:val="00E952A8"/>
    <w:rsid w:val="00E95A08"/>
    <w:rsid w:val="00EA53B2"/>
    <w:rsid w:val="00ED2A9C"/>
    <w:rsid w:val="00ED55B9"/>
    <w:rsid w:val="00EF4EE5"/>
    <w:rsid w:val="00F14191"/>
    <w:rsid w:val="00F17054"/>
    <w:rsid w:val="00F502B4"/>
    <w:rsid w:val="00F5596C"/>
    <w:rsid w:val="00F6785E"/>
    <w:rsid w:val="00F729DA"/>
    <w:rsid w:val="00F94C0E"/>
    <w:rsid w:val="00FA1D8E"/>
    <w:rsid w:val="00FB0EC0"/>
    <w:rsid w:val="00FB3B01"/>
    <w:rsid w:val="00FF13B1"/>
    <w:rsid w:val="00FF4B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2B39"/>
    <w:rPr>
      <w:sz w:val="24"/>
      <w:szCs w:val="24"/>
    </w:rPr>
  </w:style>
  <w:style w:type="paragraph" w:styleId="Heading1">
    <w:name w:val="heading 1"/>
    <w:basedOn w:val="CM15"/>
    <w:next w:val="Normal"/>
    <w:qFormat/>
    <w:rsid w:val="0007630F"/>
    <w:pPr>
      <w:widowControl/>
      <w:spacing w:after="0"/>
      <w:outlineLvl w:val="0"/>
    </w:pPr>
    <w:rPr>
      <w:b/>
      <w:bCs/>
    </w:rPr>
  </w:style>
  <w:style w:type="paragraph" w:styleId="Heading2">
    <w:name w:val="heading 2"/>
    <w:basedOn w:val="Normal"/>
    <w:next w:val="Normal"/>
    <w:link w:val="Heading2Char"/>
    <w:qFormat/>
    <w:rsid w:val="0007630F"/>
    <w:pPr>
      <w:keepNext/>
      <w:ind w:left="720" w:hanging="36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0C6A"/>
    <w:pPr>
      <w:widowControl w:val="0"/>
      <w:autoSpaceDE w:val="0"/>
      <w:autoSpaceDN w:val="0"/>
      <w:adjustRightInd w:val="0"/>
    </w:pPr>
    <w:rPr>
      <w:rFonts w:cs="Courier Std"/>
      <w:color w:val="000000"/>
      <w:sz w:val="24"/>
      <w:szCs w:val="24"/>
    </w:rPr>
  </w:style>
  <w:style w:type="paragraph" w:customStyle="1" w:styleId="CM1">
    <w:name w:val="CM1"/>
    <w:basedOn w:val="Default"/>
    <w:next w:val="Default"/>
    <w:rsid w:val="006F2B39"/>
    <w:rPr>
      <w:rFonts w:cs="Times New Roman"/>
      <w:color w:val="auto"/>
    </w:rPr>
  </w:style>
  <w:style w:type="paragraph" w:customStyle="1" w:styleId="CM15">
    <w:name w:val="CM15"/>
    <w:basedOn w:val="Default"/>
    <w:next w:val="Default"/>
    <w:rsid w:val="006F2B39"/>
    <w:pPr>
      <w:spacing w:after="250"/>
    </w:pPr>
    <w:rPr>
      <w:rFonts w:cs="Times New Roman"/>
      <w:color w:val="auto"/>
    </w:rPr>
  </w:style>
  <w:style w:type="paragraph" w:customStyle="1" w:styleId="CM2">
    <w:name w:val="CM2"/>
    <w:basedOn w:val="Default"/>
    <w:next w:val="Default"/>
    <w:rsid w:val="006F2B39"/>
    <w:pPr>
      <w:spacing w:line="260" w:lineRule="atLeast"/>
    </w:pPr>
    <w:rPr>
      <w:rFonts w:cs="Times New Roman"/>
      <w:color w:val="auto"/>
    </w:rPr>
  </w:style>
  <w:style w:type="paragraph" w:customStyle="1" w:styleId="CM16">
    <w:name w:val="CM16"/>
    <w:basedOn w:val="Default"/>
    <w:next w:val="Default"/>
    <w:rsid w:val="006F2B39"/>
    <w:pPr>
      <w:spacing w:after="505"/>
    </w:pPr>
    <w:rPr>
      <w:rFonts w:cs="Times New Roman"/>
      <w:color w:val="auto"/>
    </w:rPr>
  </w:style>
  <w:style w:type="paragraph" w:customStyle="1" w:styleId="CM17">
    <w:name w:val="CM17"/>
    <w:basedOn w:val="Default"/>
    <w:next w:val="Default"/>
    <w:rsid w:val="006F2B39"/>
    <w:pPr>
      <w:spacing w:after="758"/>
    </w:pPr>
    <w:rPr>
      <w:rFonts w:cs="Times New Roman"/>
      <w:color w:val="auto"/>
    </w:rPr>
  </w:style>
  <w:style w:type="paragraph" w:customStyle="1" w:styleId="CM18">
    <w:name w:val="CM18"/>
    <w:basedOn w:val="Default"/>
    <w:next w:val="Default"/>
    <w:rsid w:val="006F2B39"/>
    <w:pPr>
      <w:spacing w:after="1273"/>
    </w:pPr>
    <w:rPr>
      <w:rFonts w:cs="Times New Roman"/>
      <w:color w:val="auto"/>
    </w:rPr>
  </w:style>
  <w:style w:type="paragraph" w:customStyle="1" w:styleId="CM3">
    <w:name w:val="CM3"/>
    <w:basedOn w:val="Default"/>
    <w:next w:val="Default"/>
    <w:rsid w:val="006F2B39"/>
    <w:pPr>
      <w:spacing w:line="256" w:lineRule="atLeast"/>
    </w:pPr>
    <w:rPr>
      <w:rFonts w:cs="Times New Roman"/>
      <w:color w:val="auto"/>
    </w:rPr>
  </w:style>
  <w:style w:type="paragraph" w:customStyle="1" w:styleId="CM4">
    <w:name w:val="CM4"/>
    <w:basedOn w:val="Default"/>
    <w:next w:val="Default"/>
    <w:rsid w:val="006F2B39"/>
    <w:pPr>
      <w:spacing w:line="256" w:lineRule="atLeast"/>
    </w:pPr>
    <w:rPr>
      <w:rFonts w:cs="Times New Roman"/>
      <w:color w:val="auto"/>
    </w:rPr>
  </w:style>
  <w:style w:type="paragraph" w:customStyle="1" w:styleId="CM5">
    <w:name w:val="CM5"/>
    <w:basedOn w:val="Default"/>
    <w:next w:val="Default"/>
    <w:rsid w:val="006F2B39"/>
    <w:pPr>
      <w:spacing w:line="253" w:lineRule="atLeast"/>
    </w:pPr>
    <w:rPr>
      <w:rFonts w:cs="Times New Roman"/>
      <w:color w:val="auto"/>
    </w:rPr>
  </w:style>
  <w:style w:type="paragraph" w:customStyle="1" w:styleId="CM20">
    <w:name w:val="CM20"/>
    <w:basedOn w:val="Default"/>
    <w:next w:val="Default"/>
    <w:rsid w:val="006F2B39"/>
    <w:pPr>
      <w:spacing w:after="1023"/>
    </w:pPr>
    <w:rPr>
      <w:rFonts w:cs="Times New Roman"/>
      <w:color w:val="auto"/>
    </w:rPr>
  </w:style>
  <w:style w:type="paragraph" w:customStyle="1" w:styleId="CM6">
    <w:name w:val="CM6"/>
    <w:basedOn w:val="Default"/>
    <w:next w:val="Default"/>
    <w:rsid w:val="006F2B39"/>
    <w:pPr>
      <w:spacing w:line="253" w:lineRule="atLeast"/>
    </w:pPr>
    <w:rPr>
      <w:rFonts w:cs="Times New Roman"/>
      <w:color w:val="auto"/>
    </w:rPr>
  </w:style>
  <w:style w:type="paragraph" w:customStyle="1" w:styleId="CM21">
    <w:name w:val="CM21"/>
    <w:basedOn w:val="Default"/>
    <w:next w:val="Default"/>
    <w:rsid w:val="006F2B39"/>
    <w:pPr>
      <w:spacing w:after="358"/>
    </w:pPr>
    <w:rPr>
      <w:rFonts w:cs="Times New Roman"/>
      <w:color w:val="auto"/>
    </w:rPr>
  </w:style>
  <w:style w:type="paragraph" w:customStyle="1" w:styleId="CM7">
    <w:name w:val="CM7"/>
    <w:basedOn w:val="Default"/>
    <w:next w:val="Default"/>
    <w:rsid w:val="006F2B39"/>
    <w:pPr>
      <w:spacing w:line="251" w:lineRule="atLeast"/>
    </w:pPr>
    <w:rPr>
      <w:rFonts w:cs="Times New Roman"/>
      <w:color w:val="auto"/>
    </w:rPr>
  </w:style>
  <w:style w:type="paragraph" w:customStyle="1" w:styleId="CM8">
    <w:name w:val="CM8"/>
    <w:basedOn w:val="Default"/>
    <w:next w:val="Default"/>
    <w:rsid w:val="006F2B39"/>
    <w:pPr>
      <w:spacing w:line="256" w:lineRule="atLeast"/>
    </w:pPr>
    <w:rPr>
      <w:rFonts w:cs="Times New Roman"/>
      <w:color w:val="auto"/>
    </w:rPr>
  </w:style>
  <w:style w:type="paragraph" w:customStyle="1" w:styleId="CM9">
    <w:name w:val="CM9"/>
    <w:basedOn w:val="Default"/>
    <w:next w:val="Default"/>
    <w:rsid w:val="006F2B39"/>
    <w:pPr>
      <w:spacing w:line="251" w:lineRule="atLeast"/>
    </w:pPr>
    <w:rPr>
      <w:rFonts w:cs="Times New Roman"/>
      <w:color w:val="auto"/>
    </w:rPr>
  </w:style>
  <w:style w:type="paragraph" w:customStyle="1" w:styleId="CM11">
    <w:name w:val="CM11"/>
    <w:basedOn w:val="Default"/>
    <w:next w:val="Default"/>
    <w:rsid w:val="006F2B39"/>
    <w:pPr>
      <w:spacing w:line="251" w:lineRule="atLeast"/>
    </w:pPr>
    <w:rPr>
      <w:rFonts w:cs="Times New Roman"/>
      <w:color w:val="auto"/>
    </w:rPr>
  </w:style>
  <w:style w:type="paragraph" w:customStyle="1" w:styleId="CM22">
    <w:name w:val="CM22"/>
    <w:basedOn w:val="Default"/>
    <w:next w:val="Default"/>
    <w:rsid w:val="006F2B39"/>
    <w:pPr>
      <w:spacing w:after="625"/>
    </w:pPr>
    <w:rPr>
      <w:rFonts w:cs="Times New Roman"/>
      <w:color w:val="auto"/>
    </w:rPr>
  </w:style>
  <w:style w:type="paragraph" w:customStyle="1" w:styleId="CM12">
    <w:name w:val="CM12"/>
    <w:basedOn w:val="Default"/>
    <w:next w:val="Default"/>
    <w:rsid w:val="006F2B39"/>
    <w:rPr>
      <w:rFonts w:cs="Times New Roman"/>
      <w:color w:val="auto"/>
    </w:rPr>
  </w:style>
  <w:style w:type="paragraph" w:customStyle="1" w:styleId="CM10">
    <w:name w:val="CM10"/>
    <w:basedOn w:val="Default"/>
    <w:next w:val="Default"/>
    <w:rsid w:val="006F2B39"/>
    <w:pPr>
      <w:spacing w:line="253" w:lineRule="atLeast"/>
    </w:pPr>
    <w:rPr>
      <w:rFonts w:cs="Times New Roman"/>
      <w:color w:val="auto"/>
    </w:rPr>
  </w:style>
  <w:style w:type="character" w:customStyle="1" w:styleId="Heading2Char">
    <w:name w:val="Heading 2 Char"/>
    <w:basedOn w:val="DefaultParagraphFont"/>
    <w:link w:val="Heading2"/>
    <w:rsid w:val="0007630F"/>
    <w:rPr>
      <w:rFonts w:cs="Arial"/>
      <w:b/>
      <w:bCs/>
      <w:iCs/>
      <w:sz w:val="24"/>
      <w:szCs w:val="28"/>
      <w:lang w:val="en-US" w:eastAsia="en-US" w:bidi="ar-SA"/>
    </w:rPr>
  </w:style>
  <w:style w:type="paragraph" w:customStyle="1" w:styleId="Table">
    <w:name w:val="Table"/>
    <w:basedOn w:val="Caption"/>
    <w:rsid w:val="0007630F"/>
    <w:pPr>
      <w:jc w:val="center"/>
    </w:pPr>
    <w:rPr>
      <w:sz w:val="24"/>
    </w:rPr>
  </w:style>
  <w:style w:type="table" w:styleId="TableGrid">
    <w:name w:val="Table Grid"/>
    <w:basedOn w:val="TableNormal"/>
    <w:rsid w:val="00E40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7630F"/>
    <w:rPr>
      <w:b/>
      <w:bCs/>
      <w:sz w:val="20"/>
      <w:szCs w:val="20"/>
    </w:rPr>
  </w:style>
  <w:style w:type="character" w:styleId="Hyperlink">
    <w:name w:val="Hyperlink"/>
    <w:basedOn w:val="DefaultParagraphFont"/>
    <w:rsid w:val="000F00A9"/>
    <w:rPr>
      <w:color w:val="0000FF"/>
      <w:u w:val="single"/>
    </w:rPr>
  </w:style>
  <w:style w:type="character" w:styleId="CommentReference">
    <w:name w:val="annotation reference"/>
    <w:basedOn w:val="DefaultParagraphFont"/>
    <w:semiHidden/>
    <w:rsid w:val="0095251E"/>
    <w:rPr>
      <w:sz w:val="16"/>
      <w:szCs w:val="16"/>
    </w:rPr>
  </w:style>
  <w:style w:type="paragraph" w:styleId="CommentText">
    <w:name w:val="annotation text"/>
    <w:basedOn w:val="Normal"/>
    <w:semiHidden/>
    <w:rsid w:val="0095251E"/>
    <w:rPr>
      <w:sz w:val="20"/>
      <w:szCs w:val="20"/>
    </w:rPr>
  </w:style>
  <w:style w:type="paragraph" w:styleId="CommentSubject">
    <w:name w:val="annotation subject"/>
    <w:basedOn w:val="CommentText"/>
    <w:next w:val="CommentText"/>
    <w:semiHidden/>
    <w:rsid w:val="0095251E"/>
    <w:rPr>
      <w:b/>
      <w:bCs/>
    </w:rPr>
  </w:style>
  <w:style w:type="paragraph" w:styleId="BalloonText">
    <w:name w:val="Balloon Text"/>
    <w:basedOn w:val="Normal"/>
    <w:semiHidden/>
    <w:rsid w:val="0095251E"/>
    <w:rPr>
      <w:rFonts w:ascii="Tahoma" w:hAnsi="Tahoma" w:cs="Tahoma"/>
      <w:sz w:val="16"/>
      <w:szCs w:val="16"/>
    </w:rPr>
  </w:style>
  <w:style w:type="paragraph" w:styleId="EndnoteText">
    <w:name w:val="endnote text"/>
    <w:basedOn w:val="Normal"/>
    <w:link w:val="EndnoteTextChar"/>
    <w:rsid w:val="00140823"/>
    <w:rPr>
      <w:sz w:val="20"/>
      <w:szCs w:val="20"/>
    </w:rPr>
  </w:style>
  <w:style w:type="character" w:customStyle="1" w:styleId="EndnoteTextChar">
    <w:name w:val="Endnote Text Char"/>
    <w:basedOn w:val="DefaultParagraphFont"/>
    <w:link w:val="EndnoteText"/>
    <w:rsid w:val="00140823"/>
  </w:style>
  <w:style w:type="character" w:styleId="EndnoteReference">
    <w:name w:val="endnote reference"/>
    <w:basedOn w:val="DefaultParagraphFont"/>
    <w:rsid w:val="00140823"/>
    <w:rPr>
      <w:vertAlign w:val="superscript"/>
    </w:rPr>
  </w:style>
  <w:style w:type="paragraph" w:styleId="FootnoteText">
    <w:name w:val="footnote text"/>
    <w:basedOn w:val="Normal"/>
    <w:link w:val="FootnoteTextChar"/>
    <w:rsid w:val="00140823"/>
    <w:rPr>
      <w:sz w:val="20"/>
      <w:szCs w:val="20"/>
    </w:rPr>
  </w:style>
  <w:style w:type="character" w:customStyle="1" w:styleId="FootnoteTextChar">
    <w:name w:val="Footnote Text Char"/>
    <w:basedOn w:val="DefaultParagraphFont"/>
    <w:link w:val="FootnoteText"/>
    <w:rsid w:val="00140823"/>
  </w:style>
  <w:style w:type="character" w:styleId="FootnoteReference">
    <w:name w:val="footnote reference"/>
    <w:basedOn w:val="DefaultParagraphFont"/>
    <w:rsid w:val="00140823"/>
    <w:rPr>
      <w:vertAlign w:val="superscript"/>
    </w:rPr>
  </w:style>
  <w:style w:type="paragraph" w:styleId="NormalWeb">
    <w:name w:val="Normal (Web)"/>
    <w:basedOn w:val="Normal"/>
    <w:uiPriority w:val="99"/>
    <w:unhideWhenUsed/>
    <w:rsid w:val="0087098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51B22-AB7D-4C3F-81D0-96476F9FE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3741</Words>
  <Characters>21327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OAR-2004-0058-0003</vt:lpstr>
    </vt:vector>
  </TitlesOfParts>
  <Company/>
  <LinksUpToDate>false</LinksUpToDate>
  <CharactersWithSpaces>25018</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OAR-2004-0058-0003</dc:title>
  <dc:creator>kez</dc:creator>
  <cp:lastModifiedBy>rwestlund</cp:lastModifiedBy>
  <cp:revision>2</cp:revision>
  <cp:lastPrinted>2010-12-09T22:38:00Z</cp:lastPrinted>
  <dcterms:created xsi:type="dcterms:W3CDTF">2011-05-12T14:58:00Z</dcterms:created>
  <dcterms:modified xsi:type="dcterms:W3CDTF">2011-05-12T14:58:00Z</dcterms:modified>
</cp:coreProperties>
</file>