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4B2" w:rsidRPr="00F245EA" w:rsidRDefault="008254B2" w:rsidP="008254B2">
      <w:pPr>
        <w:pStyle w:val="Subtitle"/>
        <w:rPr>
          <w:rFonts w:ascii="Times New Roman" w:hAnsi="Times New Roman"/>
          <w:b/>
          <w:bCs/>
          <w:kern w:val="28"/>
          <w:szCs w:val="32"/>
        </w:rPr>
      </w:pPr>
      <w:r w:rsidRPr="00F245EA">
        <w:rPr>
          <w:rFonts w:ascii="Times New Roman" w:hAnsi="Times New Roman"/>
          <w:b/>
          <w:bCs/>
          <w:kern w:val="28"/>
          <w:szCs w:val="32"/>
        </w:rPr>
        <w:t>SUPPORTING STATEMENT</w:t>
      </w:r>
    </w:p>
    <w:p w:rsidR="008254B2" w:rsidRPr="00F245EA" w:rsidRDefault="008254B2" w:rsidP="008254B2">
      <w:pPr>
        <w:pStyle w:val="Subtitle"/>
        <w:rPr>
          <w:rFonts w:ascii="Times New Roman" w:hAnsi="Times New Roman"/>
          <w:b/>
          <w:bCs/>
          <w:kern w:val="28"/>
          <w:szCs w:val="32"/>
        </w:rPr>
      </w:pPr>
      <w:r w:rsidRPr="00F245EA">
        <w:rPr>
          <w:rFonts w:ascii="Times New Roman" w:hAnsi="Times New Roman"/>
          <w:b/>
          <w:bCs/>
          <w:kern w:val="28"/>
          <w:szCs w:val="32"/>
        </w:rPr>
        <w:t>ENVIRONMENTAL PROTECTION AGENCY</w:t>
      </w:r>
    </w:p>
    <w:p w:rsidR="008254B2" w:rsidRPr="00F245EA" w:rsidRDefault="008254B2" w:rsidP="008254B2">
      <w:pPr>
        <w:pStyle w:val="Subtitle"/>
        <w:rPr>
          <w:rFonts w:ascii="Times New Roman" w:hAnsi="Times New Roman"/>
          <w:b/>
          <w:bCs/>
          <w:kern w:val="28"/>
          <w:szCs w:val="32"/>
        </w:rPr>
      </w:pPr>
    </w:p>
    <w:p w:rsidR="008254B2" w:rsidRPr="00F245EA" w:rsidRDefault="008254B2" w:rsidP="008254B2">
      <w:pPr>
        <w:pStyle w:val="Subtitle"/>
        <w:rPr>
          <w:rFonts w:ascii="Times New Roman" w:hAnsi="Times New Roman"/>
          <w:b/>
          <w:bCs/>
          <w:kern w:val="28"/>
          <w:szCs w:val="32"/>
        </w:rPr>
      </w:pPr>
      <w:r w:rsidRPr="00F245EA">
        <w:rPr>
          <w:rFonts w:ascii="Times New Roman" w:hAnsi="Times New Roman"/>
          <w:b/>
          <w:bCs/>
          <w:kern w:val="28"/>
          <w:szCs w:val="32"/>
        </w:rPr>
        <w:t>National Emission Standards for Hazardous Air Pollutants from Coal- and Oil-fired Electric Utility Steam Generating Units and Standards of Performance for Fossil-Fuel-Fired Electric Utility, Industrial-Commercial-Institutional, and Small Industrial-Commercial-Institutional Steam Generating Units</w:t>
      </w:r>
    </w:p>
    <w:p w:rsidR="009B35B5" w:rsidRDefault="008254B2" w:rsidP="00500F7C">
      <w:pPr>
        <w:pStyle w:val="Subtitle"/>
        <w:rPr>
          <w:rFonts w:ascii="Times New Roman" w:hAnsi="Times New Roman"/>
          <w:b/>
          <w:bCs/>
          <w:kern w:val="28"/>
          <w:szCs w:val="32"/>
        </w:rPr>
      </w:pPr>
      <w:r w:rsidRPr="00F245EA">
        <w:rPr>
          <w:rFonts w:ascii="Times New Roman" w:hAnsi="Times New Roman"/>
          <w:b/>
          <w:bCs/>
          <w:kern w:val="28"/>
          <w:szCs w:val="32"/>
        </w:rPr>
        <w:t>(40 CFR part 63, subpart UUUUU</w:t>
      </w:r>
      <w:r w:rsidR="009B35B5">
        <w:rPr>
          <w:rFonts w:ascii="Times New Roman" w:hAnsi="Times New Roman"/>
          <w:b/>
          <w:bCs/>
          <w:kern w:val="28"/>
          <w:szCs w:val="32"/>
        </w:rPr>
        <w:t xml:space="preserve">) </w:t>
      </w:r>
    </w:p>
    <w:p w:rsidR="00290F20" w:rsidRPr="00F245EA" w:rsidRDefault="00290F20" w:rsidP="006305AC">
      <w:pPr>
        <w:pStyle w:val="Heading1"/>
      </w:pPr>
      <w:r w:rsidRPr="00F245EA">
        <w:t>Part A of the Supporting Statement</w:t>
      </w:r>
    </w:p>
    <w:p w:rsidR="00290F20" w:rsidRPr="00F245EA" w:rsidRDefault="00290F20" w:rsidP="006305AC">
      <w:pPr>
        <w:pStyle w:val="Heading1"/>
      </w:pPr>
      <w:r w:rsidRPr="00F245EA">
        <w:t>1.</w:t>
      </w:r>
      <w:r w:rsidRPr="00F245EA">
        <w:tab/>
        <w:t>Identification of the Information Collection</w:t>
      </w:r>
    </w:p>
    <w:p w:rsidR="00290F20" w:rsidRPr="0068644D" w:rsidRDefault="00290F20" w:rsidP="006305AC">
      <w:pPr>
        <w:pStyle w:val="Heading2"/>
        <w:rPr>
          <w:i/>
          <w:iCs w:val="0"/>
        </w:rPr>
      </w:pPr>
      <w:r w:rsidRPr="0068644D">
        <w:rPr>
          <w:i/>
          <w:iCs w:val="0"/>
        </w:rPr>
        <w:t>(a)</w:t>
      </w:r>
      <w:r w:rsidRPr="0068644D">
        <w:rPr>
          <w:i/>
          <w:iCs w:val="0"/>
        </w:rPr>
        <w:tab/>
        <w:t>Title and Number of the Information Collection</w:t>
      </w:r>
    </w:p>
    <w:p w:rsidR="00290F20" w:rsidRPr="00AD6E84" w:rsidRDefault="008254B2" w:rsidP="00916005">
      <w:pPr>
        <w:pStyle w:val="Para"/>
        <w:rPr>
          <w:rFonts w:ascii="Times New Roman" w:hAnsi="Times New Roman"/>
        </w:rPr>
      </w:pPr>
      <w:r w:rsidRPr="00F245EA">
        <w:rPr>
          <w:rFonts w:ascii="Times New Roman" w:hAnsi="Times New Roman"/>
        </w:rPr>
        <w:t xml:space="preserve">“Recordkeeping and Reporting Requirements for Coal- and Oil-fired Electric Utility Steam Generating Units (40 CFR </w:t>
      </w:r>
      <w:proofErr w:type="gramStart"/>
      <w:r w:rsidRPr="00F245EA">
        <w:rPr>
          <w:rFonts w:ascii="Times New Roman" w:hAnsi="Times New Roman"/>
        </w:rPr>
        <w:t>Part</w:t>
      </w:r>
      <w:proofErr w:type="gramEnd"/>
      <w:r w:rsidRPr="00F245EA">
        <w:rPr>
          <w:rFonts w:ascii="Times New Roman" w:hAnsi="Times New Roman"/>
        </w:rPr>
        <w:t xml:space="preserve"> 63, Subpart UUUUU).” </w:t>
      </w:r>
      <w:r w:rsidR="00AD6E84">
        <w:rPr>
          <w:rFonts w:ascii="Times New Roman" w:hAnsi="Times New Roman"/>
        </w:rPr>
        <w:t xml:space="preserve"> </w:t>
      </w:r>
      <w:r w:rsidR="00290F20" w:rsidRPr="00AD6E84">
        <w:rPr>
          <w:rFonts w:ascii="Times New Roman" w:hAnsi="Times New Roman"/>
        </w:rPr>
        <w:t xml:space="preserve">The </w:t>
      </w:r>
      <w:r w:rsidR="005229E5">
        <w:rPr>
          <w:rFonts w:ascii="Times New Roman" w:hAnsi="Times New Roman"/>
        </w:rPr>
        <w:t>Office of Management and Budget (</w:t>
      </w:r>
      <w:r w:rsidR="00290F20" w:rsidRPr="00AD6E84">
        <w:rPr>
          <w:rFonts w:ascii="Times New Roman" w:hAnsi="Times New Roman"/>
        </w:rPr>
        <w:t>OMB</w:t>
      </w:r>
      <w:r w:rsidR="005229E5">
        <w:rPr>
          <w:rFonts w:ascii="Times New Roman" w:hAnsi="Times New Roman"/>
        </w:rPr>
        <w:t>)</w:t>
      </w:r>
      <w:r w:rsidR="00290F20" w:rsidRPr="00AD6E84">
        <w:rPr>
          <w:rFonts w:ascii="Times New Roman" w:hAnsi="Times New Roman"/>
        </w:rPr>
        <w:t xml:space="preserve"> previously approved the information collection requirements for the </w:t>
      </w:r>
      <w:r w:rsidR="005229E5">
        <w:rPr>
          <w:rFonts w:ascii="Times New Roman" w:hAnsi="Times New Roman"/>
        </w:rPr>
        <w:t>Clean Air Mercury Rule (CAMR) in 2005</w:t>
      </w:r>
      <w:r w:rsidR="00290F20" w:rsidRPr="00AD6E84">
        <w:rPr>
          <w:rFonts w:ascii="Times New Roman" w:hAnsi="Times New Roman"/>
        </w:rPr>
        <w:t xml:space="preserve">. </w:t>
      </w:r>
      <w:r w:rsidR="004377DA">
        <w:rPr>
          <w:rFonts w:ascii="Times New Roman" w:hAnsi="Times New Roman"/>
        </w:rPr>
        <w:t xml:space="preserve"> </w:t>
      </w:r>
      <w:r w:rsidR="005229E5">
        <w:rPr>
          <w:rFonts w:ascii="Times New Roman" w:hAnsi="Times New Roman"/>
        </w:rPr>
        <w:t>However, the ICR was discontinued because CAMR was vacated by a three-judge panel of the U</w:t>
      </w:r>
      <w:r w:rsidR="00D95F33">
        <w:rPr>
          <w:rFonts w:ascii="Times New Roman" w:hAnsi="Times New Roman"/>
        </w:rPr>
        <w:t xml:space="preserve">nited </w:t>
      </w:r>
      <w:r w:rsidR="005229E5">
        <w:rPr>
          <w:rFonts w:ascii="Times New Roman" w:hAnsi="Times New Roman"/>
        </w:rPr>
        <w:t>S</w:t>
      </w:r>
      <w:r w:rsidR="00D95F33">
        <w:rPr>
          <w:rFonts w:ascii="Times New Roman" w:hAnsi="Times New Roman"/>
        </w:rPr>
        <w:t>tates (U.S.)</w:t>
      </w:r>
      <w:r w:rsidR="005229E5">
        <w:rPr>
          <w:rFonts w:ascii="Times New Roman" w:hAnsi="Times New Roman"/>
        </w:rPr>
        <w:t xml:space="preserve"> Court of Appeals for the District of Columbia Circuit </w:t>
      </w:r>
      <w:r w:rsidR="00D95F33">
        <w:rPr>
          <w:rFonts w:ascii="Times New Roman" w:hAnsi="Times New Roman"/>
        </w:rPr>
        <w:t xml:space="preserve">(D.C. Circuit Court) </w:t>
      </w:r>
      <w:r w:rsidR="005229E5">
        <w:rPr>
          <w:rFonts w:ascii="Times New Roman" w:hAnsi="Times New Roman"/>
        </w:rPr>
        <w:t xml:space="preserve">on February 8, 2008, and the mandate effectuating the decision was issued on March 14, 2008 (as a result of a motion by the plaintiffs for expedited issuance of the mandate).  </w:t>
      </w:r>
      <w:r w:rsidR="00D95F33">
        <w:rPr>
          <w:rFonts w:ascii="Times New Roman" w:hAnsi="Times New Roman"/>
        </w:rPr>
        <w:t xml:space="preserve">Because that information collection was developed explicitly to determine compliance with CAMR, it was no longer needed.  </w:t>
      </w:r>
      <w:r w:rsidR="007D6FDD" w:rsidRPr="00AD6E84">
        <w:rPr>
          <w:rFonts w:ascii="Times New Roman" w:hAnsi="Times New Roman"/>
        </w:rPr>
        <w:t xml:space="preserve">This is </w:t>
      </w:r>
      <w:r w:rsidR="00D95F33">
        <w:rPr>
          <w:rFonts w:ascii="Times New Roman" w:hAnsi="Times New Roman"/>
        </w:rPr>
        <w:t>considered a new information collection request (ICR).  The OMB</w:t>
      </w:r>
      <w:r w:rsidR="007D6FDD" w:rsidRPr="00AD6E84">
        <w:rPr>
          <w:rFonts w:ascii="Times New Roman" w:hAnsi="Times New Roman"/>
        </w:rPr>
        <w:t xml:space="preserve"> </w:t>
      </w:r>
      <w:r w:rsidR="00D95F33">
        <w:rPr>
          <w:rFonts w:ascii="Times New Roman" w:hAnsi="Times New Roman"/>
        </w:rPr>
        <w:t>control number is 2060-0567.  The EPA ICR tracking number is 2137.05</w:t>
      </w:r>
      <w:r w:rsidR="007D6FDD" w:rsidRPr="00916005">
        <w:rPr>
          <w:rFonts w:ascii="Times New Roman" w:hAnsi="Times New Roman"/>
        </w:rPr>
        <w:t>.</w:t>
      </w:r>
    </w:p>
    <w:p w:rsidR="00290F20" w:rsidRPr="0068644D" w:rsidRDefault="00290F20" w:rsidP="006305AC">
      <w:pPr>
        <w:pStyle w:val="Heading2"/>
        <w:rPr>
          <w:i/>
          <w:iCs w:val="0"/>
        </w:rPr>
      </w:pPr>
      <w:r w:rsidRPr="0068644D">
        <w:rPr>
          <w:i/>
          <w:iCs w:val="0"/>
        </w:rPr>
        <w:t>(b)</w:t>
      </w:r>
      <w:r w:rsidRPr="0068644D">
        <w:rPr>
          <w:i/>
          <w:iCs w:val="0"/>
        </w:rPr>
        <w:tab/>
        <w:t>Short Characterization</w:t>
      </w:r>
    </w:p>
    <w:p w:rsidR="008254B2" w:rsidRPr="00F245EA" w:rsidRDefault="008254B2" w:rsidP="006A66E1">
      <w:pPr>
        <w:pStyle w:val="Para"/>
        <w:rPr>
          <w:rFonts w:ascii="Times New Roman" w:hAnsi="Times New Roman"/>
        </w:rPr>
      </w:pPr>
      <w:r w:rsidRPr="00F245EA">
        <w:rPr>
          <w:rFonts w:ascii="Times New Roman" w:hAnsi="Times New Roman"/>
        </w:rPr>
        <w:t>The U.S. Environmental Protection Agency (EPA or Agency) is proposing national emission standards for hazardous air pollutants (NESHAP) from coal- and oil-fired electric utility steam generating units (EGUs or Utility Units) under Clean Air Act (CAA) section 112(d) and proposing revised new source performance standards (NSPS) for fossil fuel-fired EGUs under CAA section 111(b).</w:t>
      </w:r>
    </w:p>
    <w:p w:rsidR="008254B2" w:rsidRPr="00F245EA" w:rsidRDefault="008254B2" w:rsidP="008254B2">
      <w:pPr>
        <w:pStyle w:val="Para"/>
        <w:rPr>
          <w:rFonts w:ascii="Times New Roman" w:hAnsi="Times New Roman"/>
        </w:rPr>
      </w:pPr>
      <w:r w:rsidRPr="00F245EA">
        <w:rPr>
          <w:rFonts w:ascii="Times New Roman" w:hAnsi="Times New Roman"/>
        </w:rPr>
        <w:t>On December 20, 2000, EPA determined pursuant to CAA section 112(n)(1)(A) that it was appropriate and necessary to regulate coal- and oil-fired EGUs under CAA section 112 and added such units to the CAA section 112(c) list of sources that must be regulated under CAA section 112(d) (</w:t>
      </w:r>
      <w:r w:rsidR="00D95F33">
        <w:rPr>
          <w:rFonts w:ascii="Times New Roman" w:hAnsi="Times New Roman"/>
        </w:rPr>
        <w:t xml:space="preserve">see </w:t>
      </w:r>
      <w:r w:rsidRPr="00F245EA">
        <w:rPr>
          <w:rFonts w:ascii="Times New Roman" w:hAnsi="Times New Roman"/>
        </w:rPr>
        <w:t>65 FR 79825)</w:t>
      </w:r>
      <w:r w:rsidR="00D95F33">
        <w:rPr>
          <w:rFonts w:ascii="Times New Roman" w:hAnsi="Times New Roman"/>
        </w:rPr>
        <w:t>.</w:t>
      </w:r>
      <w:r w:rsidRPr="00F245EA">
        <w:rPr>
          <w:rFonts w:ascii="Times New Roman" w:hAnsi="Times New Roman"/>
        </w:rPr>
        <w:t xml:space="preserve">  On January 30, 2004, EPA proposed CAA section 112(d) standards for mercury (Hg) emissions from coal-fired EGUs and nickel (Ni) emissions from oil-fired EGUs, and, in the alternative, proposed to remove EGUs from the CAA section 112(c) list based on a finding that it was neither appropriate nor necessary to regulate EGUs pursuant to CAA section 112 (</w:t>
      </w:r>
      <w:r w:rsidR="00D95F33">
        <w:rPr>
          <w:rFonts w:ascii="Times New Roman" w:hAnsi="Times New Roman"/>
        </w:rPr>
        <w:t xml:space="preserve">see </w:t>
      </w:r>
      <w:r w:rsidRPr="00F245EA">
        <w:rPr>
          <w:rFonts w:ascii="Times New Roman" w:hAnsi="Times New Roman"/>
        </w:rPr>
        <w:t>69 FR 4652)</w:t>
      </w:r>
      <w:r w:rsidR="00D95F33">
        <w:rPr>
          <w:rFonts w:ascii="Times New Roman" w:hAnsi="Times New Roman"/>
        </w:rPr>
        <w:t>.</w:t>
      </w:r>
      <w:r w:rsidRPr="00F245EA">
        <w:rPr>
          <w:rFonts w:ascii="Times New Roman" w:hAnsi="Times New Roman"/>
        </w:rPr>
        <w:t xml:space="preserve">  On March 29, 2005, EPA issued a final revision of the appropriate and necessary finding for coal- and oil-fired EGUs and removed such units from the CAA section 112(c) list of sources (Section 112(n) Revision Rule (Revision Rule) </w:t>
      </w:r>
      <w:r w:rsidR="00D95F33">
        <w:rPr>
          <w:rFonts w:ascii="Times New Roman" w:hAnsi="Times New Roman"/>
        </w:rPr>
        <w:t>(see 70 FR 15994</w:t>
      </w:r>
      <w:r w:rsidRPr="00F245EA">
        <w:rPr>
          <w:rFonts w:ascii="Times New Roman" w:hAnsi="Times New Roman"/>
        </w:rPr>
        <w:t>)</w:t>
      </w:r>
      <w:r w:rsidR="00D95F33">
        <w:rPr>
          <w:rFonts w:ascii="Times New Roman" w:hAnsi="Times New Roman"/>
        </w:rPr>
        <w:t>.</w:t>
      </w:r>
      <w:r w:rsidRPr="00F245EA">
        <w:rPr>
          <w:rFonts w:ascii="Times New Roman" w:hAnsi="Times New Roman"/>
        </w:rPr>
        <w:t xml:space="preserve">  EPA never finalized the proposed CAA section 112(d) standard.  The removal of EGUs from the CAA section 112 list was challenged in the D.C. Circuit Court.  On February 8, 2008, the D.C. Circuit Court vacated the Revision Rule after determining that EPA violated the CAA </w:t>
      </w:r>
      <w:r w:rsidRPr="00F245EA">
        <w:rPr>
          <w:rFonts w:ascii="Times New Roman" w:hAnsi="Times New Roman"/>
        </w:rPr>
        <w:lastRenderedPageBreak/>
        <w:t>by removing EGUs from the CAA section 112(c) list of sources without complying with the delisting requirements set forth in CAA section 112(c</w:t>
      </w:r>
      <w:proofErr w:type="gramStart"/>
      <w:r w:rsidRPr="00F245EA">
        <w:rPr>
          <w:rFonts w:ascii="Times New Roman" w:hAnsi="Times New Roman"/>
        </w:rPr>
        <w:t>)(</w:t>
      </w:r>
      <w:proofErr w:type="gramEnd"/>
      <w:r w:rsidRPr="00F245EA">
        <w:rPr>
          <w:rFonts w:ascii="Times New Roman" w:hAnsi="Times New Roman"/>
        </w:rPr>
        <w:t xml:space="preserve">9).  State of New Jersey v. EPA, </w:t>
      </w:r>
      <w:proofErr w:type="gramStart"/>
      <w:r w:rsidRPr="00F245EA">
        <w:rPr>
          <w:rFonts w:ascii="Times New Roman" w:hAnsi="Times New Roman"/>
        </w:rPr>
        <w:t>517 F.3d 583</w:t>
      </w:r>
      <w:proofErr w:type="gramEnd"/>
      <w:r w:rsidRPr="00F245EA">
        <w:rPr>
          <w:rFonts w:ascii="Times New Roman" w:hAnsi="Times New Roman"/>
        </w:rPr>
        <w:t xml:space="preserve">.  </w:t>
      </w:r>
      <w:r w:rsidR="00D95F33">
        <w:rPr>
          <w:rFonts w:ascii="Times New Roman" w:hAnsi="Times New Roman"/>
        </w:rPr>
        <w:t xml:space="preserve">Thus, </w:t>
      </w:r>
      <w:r w:rsidRPr="00F245EA">
        <w:rPr>
          <w:rFonts w:ascii="Times New Roman" w:hAnsi="Times New Roman"/>
        </w:rPr>
        <w:t>EGUs remain a CAA section 112(c) listed source category.</w:t>
      </w:r>
    </w:p>
    <w:p w:rsidR="008254B2" w:rsidRPr="00F245EA" w:rsidRDefault="008254B2" w:rsidP="008254B2">
      <w:pPr>
        <w:pStyle w:val="Para"/>
        <w:rPr>
          <w:rFonts w:ascii="Times New Roman" w:hAnsi="Times New Roman"/>
        </w:rPr>
      </w:pPr>
      <w:r w:rsidRPr="00F245EA">
        <w:rPr>
          <w:rFonts w:ascii="Times New Roman" w:hAnsi="Times New Roman"/>
        </w:rPr>
        <w:t xml:space="preserve">In response to the D.C. Circuit Court’s </w:t>
      </w:r>
      <w:proofErr w:type="spellStart"/>
      <w:r w:rsidRPr="00F245EA">
        <w:rPr>
          <w:rFonts w:ascii="Times New Roman" w:hAnsi="Times New Roman"/>
        </w:rPr>
        <w:t>vacatur</w:t>
      </w:r>
      <w:proofErr w:type="spellEnd"/>
      <w:r w:rsidRPr="00F245EA">
        <w:rPr>
          <w:rFonts w:ascii="Times New Roman" w:hAnsi="Times New Roman"/>
        </w:rPr>
        <w:t xml:space="preserve">, </w:t>
      </w:r>
      <w:r w:rsidR="00D95F33">
        <w:rPr>
          <w:rFonts w:ascii="Times New Roman" w:hAnsi="Times New Roman"/>
        </w:rPr>
        <w:t>EPA is</w:t>
      </w:r>
      <w:r w:rsidRPr="00F245EA">
        <w:rPr>
          <w:rFonts w:ascii="Times New Roman" w:hAnsi="Times New Roman"/>
        </w:rPr>
        <w:t xml:space="preserve"> proposing CAA section 112(d) NESHAP for all coal- and oil-fired EGUs that reflect the application of the maximum achievable control technology (MACT) consistent with the requirements of CAA sections 112(d)(2) and (3).  Th</w:t>
      </w:r>
      <w:r w:rsidR="00D95F33">
        <w:rPr>
          <w:rFonts w:ascii="Times New Roman" w:hAnsi="Times New Roman"/>
        </w:rPr>
        <w:t>e</w:t>
      </w:r>
      <w:r w:rsidRPr="00F245EA">
        <w:rPr>
          <w:rFonts w:ascii="Times New Roman" w:hAnsi="Times New Roman"/>
        </w:rPr>
        <w:t xml:space="preserve"> proposed rule would protect air quality and promote public health by reducing emissions of the hazardous air pollutants (HAP) listed in CAA section 112(b).</w:t>
      </w:r>
    </w:p>
    <w:p w:rsidR="00290F20" w:rsidRPr="00F245EA" w:rsidRDefault="00290F20" w:rsidP="00290F20">
      <w:pPr>
        <w:pStyle w:val="Para"/>
        <w:rPr>
          <w:rFonts w:ascii="Times New Roman" w:hAnsi="Times New Roman"/>
        </w:rPr>
      </w:pPr>
      <w:r w:rsidRPr="00F245EA">
        <w:rPr>
          <w:rFonts w:ascii="Times New Roman" w:hAnsi="Times New Roman"/>
        </w:rPr>
        <w:t xml:space="preserve">In general, all NESHAP standards require initial notifications, performance tests, and periodic reports. </w:t>
      </w:r>
      <w:r w:rsidR="00886238">
        <w:rPr>
          <w:rFonts w:ascii="Times New Roman" w:hAnsi="Times New Roman"/>
        </w:rPr>
        <w:t xml:space="preserve"> </w:t>
      </w:r>
      <w:r w:rsidRPr="00F245EA">
        <w:rPr>
          <w:rFonts w:ascii="Times New Roman" w:hAnsi="Times New Roman"/>
        </w:rPr>
        <w:t>These notifications, reports, and records are essential in determining compliance, and are required of all sources subject to the NESHAP.</w:t>
      </w:r>
    </w:p>
    <w:p w:rsidR="00290F20" w:rsidRPr="00F245EA" w:rsidRDefault="00290F20" w:rsidP="00290F20">
      <w:pPr>
        <w:pStyle w:val="Para"/>
        <w:rPr>
          <w:rFonts w:ascii="Times New Roman" w:hAnsi="Times New Roman"/>
        </w:rPr>
      </w:pPr>
      <w:r w:rsidRPr="00F245EA">
        <w:rPr>
          <w:rFonts w:ascii="Times New Roman" w:hAnsi="Times New Roman"/>
        </w:rPr>
        <w:t xml:space="preserve">Any owner or operator subject to the provisions of this part shall maintain a file of these measurements, and retain the file for at least five years following the date of such measurements, maintenance reports, and records. </w:t>
      </w:r>
      <w:r w:rsidR="002559B1">
        <w:rPr>
          <w:rFonts w:ascii="Times New Roman" w:hAnsi="Times New Roman"/>
        </w:rPr>
        <w:t xml:space="preserve"> </w:t>
      </w:r>
      <w:r w:rsidRPr="00F245EA">
        <w:rPr>
          <w:rFonts w:ascii="Times New Roman" w:hAnsi="Times New Roman"/>
        </w:rPr>
        <w:t>All reports are sent to the delegated state or local authority. In the event that there is no such delegated authority, the reports are sent directly to the U</w:t>
      </w:r>
      <w:r w:rsidR="002838A6">
        <w:rPr>
          <w:rFonts w:ascii="Times New Roman" w:hAnsi="Times New Roman"/>
        </w:rPr>
        <w:t>.</w:t>
      </w:r>
      <w:r w:rsidRPr="00F245EA">
        <w:rPr>
          <w:rFonts w:ascii="Times New Roman" w:hAnsi="Times New Roman"/>
        </w:rPr>
        <w:t>S</w:t>
      </w:r>
      <w:r w:rsidR="002838A6">
        <w:rPr>
          <w:rFonts w:ascii="Times New Roman" w:hAnsi="Times New Roman"/>
        </w:rPr>
        <w:t>. EP</w:t>
      </w:r>
      <w:r w:rsidRPr="00F245EA">
        <w:rPr>
          <w:rFonts w:ascii="Times New Roman" w:hAnsi="Times New Roman"/>
        </w:rPr>
        <w:t>A regional office.</w:t>
      </w:r>
    </w:p>
    <w:p w:rsidR="00E47EF5" w:rsidRDefault="005332CE" w:rsidP="002838A6">
      <w:pPr>
        <w:pStyle w:val="Para"/>
        <w:rPr>
          <w:rFonts w:ascii="Times New Roman" w:hAnsi="Times New Roman"/>
        </w:rPr>
      </w:pPr>
      <w:r w:rsidRPr="0068644D">
        <w:rPr>
          <w:rFonts w:ascii="Times New Roman" w:hAnsi="Times New Roman"/>
        </w:rPr>
        <w:t xml:space="preserve">Potential respondents are owners or operators of </w:t>
      </w:r>
      <w:r w:rsidR="002838A6">
        <w:rPr>
          <w:rFonts w:ascii="Times New Roman" w:hAnsi="Times New Roman"/>
        </w:rPr>
        <w:t>EGUs</w:t>
      </w:r>
      <w:r w:rsidR="0068644D" w:rsidRPr="0068644D">
        <w:rPr>
          <w:rFonts w:ascii="Times New Roman" w:hAnsi="Times New Roman"/>
        </w:rPr>
        <w:t xml:space="preserve">.  </w:t>
      </w:r>
      <w:r w:rsidRPr="0068644D">
        <w:rPr>
          <w:rFonts w:ascii="Times New Roman" w:hAnsi="Times New Roman"/>
        </w:rPr>
        <w:t xml:space="preserve">The proposed </w:t>
      </w:r>
      <w:r w:rsidR="002838A6">
        <w:rPr>
          <w:rFonts w:ascii="Times New Roman" w:hAnsi="Times New Roman"/>
        </w:rPr>
        <w:t>NESHAP</w:t>
      </w:r>
      <w:r w:rsidRPr="0068644D">
        <w:rPr>
          <w:rFonts w:ascii="Times New Roman" w:hAnsi="Times New Roman"/>
        </w:rPr>
        <w:t xml:space="preserve"> would establish emission limits for total </w:t>
      </w:r>
      <w:r w:rsidR="0068644D" w:rsidRPr="0068644D">
        <w:rPr>
          <w:rFonts w:ascii="Times New Roman" w:hAnsi="Times New Roman"/>
        </w:rPr>
        <w:t>particulate matter (PM</w:t>
      </w:r>
      <w:r w:rsidR="00AA607B" w:rsidRPr="0068644D">
        <w:rPr>
          <w:rFonts w:ascii="Times New Roman" w:hAnsi="Times New Roman"/>
        </w:rPr>
        <w:t>)</w:t>
      </w:r>
      <w:r w:rsidRPr="0068644D">
        <w:rPr>
          <w:rFonts w:ascii="Times New Roman" w:hAnsi="Times New Roman"/>
        </w:rPr>
        <w:t xml:space="preserve">, </w:t>
      </w:r>
      <w:r w:rsidR="00AA607B" w:rsidRPr="0068644D">
        <w:rPr>
          <w:rFonts w:ascii="Times New Roman" w:hAnsi="Times New Roman"/>
        </w:rPr>
        <w:t>hydrogen chloride (</w:t>
      </w:r>
      <w:proofErr w:type="spellStart"/>
      <w:r w:rsidRPr="0068644D">
        <w:rPr>
          <w:rFonts w:ascii="Times New Roman" w:hAnsi="Times New Roman"/>
        </w:rPr>
        <w:t>HCl</w:t>
      </w:r>
      <w:proofErr w:type="spellEnd"/>
      <w:r w:rsidR="00AA607B" w:rsidRPr="0068644D">
        <w:rPr>
          <w:rFonts w:ascii="Times New Roman" w:hAnsi="Times New Roman"/>
        </w:rPr>
        <w:t>)</w:t>
      </w:r>
      <w:r w:rsidRPr="0068644D">
        <w:rPr>
          <w:rFonts w:ascii="Times New Roman" w:hAnsi="Times New Roman"/>
        </w:rPr>
        <w:t xml:space="preserve">, </w:t>
      </w:r>
      <w:r w:rsidR="0068644D" w:rsidRPr="0068644D">
        <w:rPr>
          <w:rFonts w:ascii="Times New Roman" w:hAnsi="Times New Roman"/>
        </w:rPr>
        <w:t>and mercury (Hg)</w:t>
      </w:r>
      <w:r w:rsidR="002838A6">
        <w:rPr>
          <w:rFonts w:ascii="Times New Roman" w:hAnsi="Times New Roman"/>
        </w:rPr>
        <w:t xml:space="preserve"> for coal-fired EGUs, and emission limits for Hg, total metal HAP, </w:t>
      </w:r>
      <w:proofErr w:type="spellStart"/>
      <w:r w:rsidR="002838A6">
        <w:rPr>
          <w:rFonts w:ascii="Times New Roman" w:hAnsi="Times New Roman"/>
        </w:rPr>
        <w:t>HCl</w:t>
      </w:r>
      <w:proofErr w:type="spellEnd"/>
      <w:r w:rsidR="002838A6">
        <w:rPr>
          <w:rFonts w:ascii="Times New Roman" w:hAnsi="Times New Roman"/>
        </w:rPr>
        <w:t>, and hydrogen fluoride (HF) for oil-fired EGUs</w:t>
      </w:r>
      <w:r w:rsidR="0068644D" w:rsidRPr="0068644D">
        <w:rPr>
          <w:rFonts w:ascii="Times New Roman" w:hAnsi="Times New Roman"/>
        </w:rPr>
        <w:t xml:space="preserve">.  </w:t>
      </w:r>
      <w:r w:rsidRPr="0068644D">
        <w:rPr>
          <w:rFonts w:ascii="Times New Roman" w:hAnsi="Times New Roman"/>
        </w:rPr>
        <w:t xml:space="preserve">To demonstrate compliance with these emission limits, owners or operators of </w:t>
      </w:r>
      <w:r w:rsidR="002838A6">
        <w:rPr>
          <w:rFonts w:ascii="Times New Roman" w:hAnsi="Times New Roman"/>
        </w:rPr>
        <w:t>EGUs</w:t>
      </w:r>
      <w:r w:rsidR="002559B1">
        <w:rPr>
          <w:rFonts w:ascii="Times New Roman" w:hAnsi="Times New Roman"/>
        </w:rPr>
        <w:t xml:space="preserve"> </w:t>
      </w:r>
      <w:r w:rsidRPr="0068644D">
        <w:rPr>
          <w:rFonts w:ascii="Times New Roman" w:hAnsi="Times New Roman"/>
        </w:rPr>
        <w:t xml:space="preserve">would be required to continuously monitor </w:t>
      </w:r>
      <w:r w:rsidR="0068644D" w:rsidRPr="0068644D">
        <w:rPr>
          <w:rFonts w:ascii="Times New Roman" w:hAnsi="Times New Roman"/>
        </w:rPr>
        <w:t>PM</w:t>
      </w:r>
      <w:r w:rsidRPr="0068644D">
        <w:rPr>
          <w:rFonts w:ascii="Times New Roman" w:hAnsi="Times New Roman"/>
        </w:rPr>
        <w:t xml:space="preserve">, Hg, </w:t>
      </w:r>
      <w:r w:rsidR="002559B1">
        <w:rPr>
          <w:rFonts w:ascii="Times New Roman" w:hAnsi="Times New Roman"/>
        </w:rPr>
        <w:t xml:space="preserve">HF, </w:t>
      </w:r>
      <w:r w:rsidR="00510D95" w:rsidRPr="0068644D">
        <w:rPr>
          <w:rFonts w:ascii="Times New Roman" w:hAnsi="Times New Roman"/>
        </w:rPr>
        <w:t xml:space="preserve">and </w:t>
      </w:r>
      <w:r w:rsidRPr="0068644D">
        <w:rPr>
          <w:rFonts w:ascii="Times New Roman" w:hAnsi="Times New Roman"/>
        </w:rPr>
        <w:t xml:space="preserve">HCl </w:t>
      </w:r>
      <w:r w:rsidR="00510D95" w:rsidRPr="0068644D">
        <w:rPr>
          <w:rFonts w:ascii="Times New Roman" w:hAnsi="Times New Roman"/>
        </w:rPr>
        <w:t>emissions</w:t>
      </w:r>
      <w:r w:rsidRPr="0068644D">
        <w:rPr>
          <w:rFonts w:ascii="Times New Roman" w:hAnsi="Times New Roman"/>
        </w:rPr>
        <w:t>.</w:t>
      </w:r>
      <w:r w:rsidR="0068644D" w:rsidRPr="0068644D">
        <w:rPr>
          <w:rFonts w:ascii="Times New Roman" w:hAnsi="Times New Roman"/>
        </w:rPr>
        <w:t xml:space="preserve">  </w:t>
      </w:r>
      <w:r w:rsidRPr="0068644D">
        <w:rPr>
          <w:rFonts w:ascii="Times New Roman" w:hAnsi="Times New Roman"/>
        </w:rPr>
        <w:t xml:space="preserve">Respondents would be required to maintain additional records to demonstrate compliance with Hg, </w:t>
      </w:r>
      <w:r w:rsidR="002559B1">
        <w:rPr>
          <w:rFonts w:ascii="Times New Roman" w:hAnsi="Times New Roman"/>
        </w:rPr>
        <w:t xml:space="preserve">HF, </w:t>
      </w:r>
      <w:proofErr w:type="spellStart"/>
      <w:r w:rsidRPr="0068644D">
        <w:rPr>
          <w:rFonts w:ascii="Times New Roman" w:hAnsi="Times New Roman"/>
        </w:rPr>
        <w:t>HCl</w:t>
      </w:r>
      <w:proofErr w:type="spellEnd"/>
      <w:r w:rsidRPr="0068644D">
        <w:rPr>
          <w:rFonts w:ascii="Times New Roman" w:hAnsi="Times New Roman"/>
        </w:rPr>
        <w:t xml:space="preserve">, </w:t>
      </w:r>
      <w:r w:rsidR="002838A6">
        <w:rPr>
          <w:rFonts w:ascii="Times New Roman" w:hAnsi="Times New Roman"/>
        </w:rPr>
        <w:t xml:space="preserve">metal HAP, </w:t>
      </w:r>
      <w:r w:rsidRPr="0068644D">
        <w:rPr>
          <w:rFonts w:ascii="Times New Roman" w:hAnsi="Times New Roman"/>
        </w:rPr>
        <w:t xml:space="preserve">and PM limits and notify EPA of performance tests. </w:t>
      </w:r>
      <w:r w:rsidR="007E09A5">
        <w:rPr>
          <w:rFonts w:ascii="Times New Roman" w:hAnsi="Times New Roman"/>
        </w:rPr>
        <w:t xml:space="preserve"> </w:t>
      </w:r>
      <w:r w:rsidRPr="0068644D">
        <w:rPr>
          <w:rFonts w:ascii="Times New Roman" w:hAnsi="Times New Roman"/>
        </w:rPr>
        <w:t>These requirements are listed in Exhibit 1.</w:t>
      </w:r>
    </w:p>
    <w:p w:rsidR="00820B20" w:rsidRPr="00157089" w:rsidRDefault="00D057B2" w:rsidP="00157089">
      <w:pPr>
        <w:pStyle w:val="Para"/>
        <w:ind w:firstLine="0"/>
        <w:rPr>
          <w:rFonts w:ascii="Times New Roman" w:hAnsi="Times New Roman"/>
          <w:b/>
        </w:rPr>
      </w:pPr>
      <w:proofErr w:type="gramStart"/>
      <w:r w:rsidRPr="00157089">
        <w:rPr>
          <w:rFonts w:ascii="Times New Roman" w:hAnsi="Times New Roman"/>
          <w:b/>
        </w:rPr>
        <w:t>Exhibit 1.</w:t>
      </w:r>
      <w:proofErr w:type="gramEnd"/>
      <w:r w:rsidR="007A4BBD" w:rsidRPr="00157089">
        <w:rPr>
          <w:rFonts w:ascii="Times New Roman" w:hAnsi="Times New Roman"/>
          <w:b/>
        </w:rPr>
        <w:tab/>
      </w:r>
      <w:r w:rsidRPr="00157089">
        <w:rPr>
          <w:rFonts w:ascii="Times New Roman" w:hAnsi="Times New Roman"/>
          <w:b/>
        </w:rPr>
        <w:t>Source Data and Information Requirements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2700"/>
      </w:tblGrid>
      <w:tr w:rsidR="00820B20" w:rsidRPr="009060A6" w:rsidTr="00820B20">
        <w:tc>
          <w:tcPr>
            <w:tcW w:w="4428" w:type="dxa"/>
            <w:vAlign w:val="bottom"/>
          </w:tcPr>
          <w:p w:rsidR="00820B20" w:rsidRPr="00820B20" w:rsidRDefault="00820B20" w:rsidP="009060A6">
            <w:pPr>
              <w:pStyle w:val="TableHeader"/>
              <w:rPr>
                <w:rFonts w:ascii="Times New Roman" w:hAnsi="Times New Roman"/>
                <w:sz w:val="20"/>
              </w:rPr>
            </w:pPr>
            <w:r w:rsidRPr="00820B20">
              <w:rPr>
                <w:rFonts w:ascii="Times New Roman" w:hAnsi="Times New Roman"/>
                <w:sz w:val="20"/>
              </w:rPr>
              <w:t>Requirement</w:t>
            </w:r>
          </w:p>
        </w:tc>
        <w:tc>
          <w:tcPr>
            <w:tcW w:w="2700" w:type="dxa"/>
            <w:vAlign w:val="bottom"/>
          </w:tcPr>
          <w:p w:rsidR="00820B20" w:rsidRPr="00820B20" w:rsidRDefault="00820B20" w:rsidP="009060A6">
            <w:pPr>
              <w:pStyle w:val="TableHeader"/>
              <w:rPr>
                <w:rFonts w:ascii="Times New Roman" w:hAnsi="Times New Roman"/>
                <w:sz w:val="20"/>
              </w:rPr>
            </w:pPr>
            <w:r w:rsidRPr="00820B20">
              <w:rPr>
                <w:rFonts w:ascii="Times New Roman" w:hAnsi="Times New Roman"/>
                <w:sz w:val="20"/>
              </w:rPr>
              <w:t>Regulation Citation</w:t>
            </w:r>
          </w:p>
        </w:tc>
      </w:tr>
      <w:tr w:rsidR="00820B20" w:rsidRPr="009060A6" w:rsidTr="00820B20">
        <w:tc>
          <w:tcPr>
            <w:tcW w:w="4428" w:type="dxa"/>
          </w:tcPr>
          <w:p w:rsidR="00820B20" w:rsidRPr="00820B20" w:rsidRDefault="00820B20" w:rsidP="009060A6">
            <w:pPr>
              <w:pStyle w:val="TableHeader"/>
              <w:rPr>
                <w:rFonts w:ascii="Times New Roman" w:hAnsi="Times New Roman"/>
                <w:sz w:val="20"/>
              </w:rPr>
            </w:pPr>
            <w:r w:rsidRPr="00820B20">
              <w:rPr>
                <w:rFonts w:ascii="Times New Roman" w:hAnsi="Times New Roman"/>
                <w:sz w:val="20"/>
              </w:rPr>
              <w:t>Notifications</w:t>
            </w:r>
          </w:p>
        </w:tc>
        <w:tc>
          <w:tcPr>
            <w:tcW w:w="2700" w:type="dxa"/>
          </w:tcPr>
          <w:p w:rsidR="00820B20" w:rsidRPr="00820B20" w:rsidRDefault="00820B20" w:rsidP="009060A6">
            <w:pPr>
              <w:pStyle w:val="TableRow"/>
              <w:rPr>
                <w:rFonts w:ascii="Times New Roman" w:hAnsi="Times New Roman"/>
                <w:sz w:val="20"/>
              </w:rPr>
            </w:pPr>
          </w:p>
        </w:tc>
      </w:tr>
      <w:tr w:rsidR="00820B20" w:rsidRPr="009060A6" w:rsidTr="00820B20">
        <w:tc>
          <w:tcPr>
            <w:tcW w:w="4428" w:type="dxa"/>
            <w:vAlign w:val="bottom"/>
          </w:tcPr>
          <w:p w:rsidR="00820B20" w:rsidRPr="00820B20" w:rsidRDefault="00820B20" w:rsidP="003D47E1">
            <w:pPr>
              <w:rPr>
                <w:rFonts w:ascii="Times New Roman" w:eastAsia="Times New Roman" w:hAnsi="Times New Roman"/>
                <w:color w:val="000000"/>
                <w:sz w:val="20"/>
              </w:rPr>
            </w:pPr>
            <w:r w:rsidRPr="00820B20">
              <w:rPr>
                <w:rFonts w:ascii="Times New Roman" w:eastAsia="Times New Roman" w:hAnsi="Times New Roman"/>
                <w:color w:val="000000"/>
                <w:sz w:val="20"/>
              </w:rPr>
              <w:t xml:space="preserve">Notification of Demonstration of </w:t>
            </w:r>
            <w:r w:rsidR="00234919">
              <w:rPr>
                <w:rFonts w:ascii="Times New Roman" w:eastAsia="Times New Roman" w:hAnsi="Times New Roman"/>
                <w:color w:val="000000"/>
                <w:sz w:val="20"/>
              </w:rPr>
              <w:t>continuous emissions monitoring system (</w:t>
            </w:r>
            <w:r w:rsidRPr="00820B20">
              <w:rPr>
                <w:rFonts w:ascii="Times New Roman" w:eastAsia="Times New Roman" w:hAnsi="Times New Roman"/>
                <w:color w:val="000000"/>
                <w:sz w:val="20"/>
              </w:rPr>
              <w:t>CEMS</w:t>
            </w:r>
            <w:r w:rsidR="00234919">
              <w:rPr>
                <w:rFonts w:ascii="Times New Roman" w:eastAsia="Times New Roman" w:hAnsi="Times New Roman"/>
                <w:color w:val="000000"/>
                <w:sz w:val="20"/>
              </w:rPr>
              <w:t>)</w:t>
            </w:r>
          </w:p>
        </w:tc>
        <w:tc>
          <w:tcPr>
            <w:tcW w:w="2700" w:type="dxa"/>
          </w:tcPr>
          <w:p w:rsidR="00820B20" w:rsidRPr="00820B20" w:rsidRDefault="00820B20" w:rsidP="009060A6">
            <w:pPr>
              <w:pStyle w:val="TableRow"/>
              <w:rPr>
                <w:rFonts w:ascii="Times New Roman" w:hAnsi="Times New Roman"/>
                <w:sz w:val="20"/>
              </w:rPr>
            </w:pPr>
            <w:r>
              <w:rPr>
                <w:rFonts w:ascii="Times New Roman" w:hAnsi="Times New Roman"/>
                <w:sz w:val="20"/>
              </w:rPr>
              <w:t>63.10030</w:t>
            </w:r>
          </w:p>
        </w:tc>
      </w:tr>
      <w:tr w:rsidR="00820B20" w:rsidRPr="009060A6" w:rsidTr="00820B20">
        <w:tc>
          <w:tcPr>
            <w:tcW w:w="4428" w:type="dxa"/>
            <w:vAlign w:val="bottom"/>
          </w:tcPr>
          <w:p w:rsidR="00820B20" w:rsidRPr="00820B20" w:rsidRDefault="00820B20" w:rsidP="003D47E1">
            <w:pPr>
              <w:rPr>
                <w:rFonts w:ascii="Times New Roman" w:eastAsia="Times New Roman" w:hAnsi="Times New Roman"/>
                <w:color w:val="000000"/>
                <w:sz w:val="20"/>
              </w:rPr>
            </w:pPr>
            <w:r w:rsidRPr="00820B20">
              <w:rPr>
                <w:rFonts w:ascii="Times New Roman" w:eastAsia="Times New Roman" w:hAnsi="Times New Roman"/>
                <w:color w:val="000000"/>
                <w:sz w:val="20"/>
              </w:rPr>
              <w:t>Notification of Initial Performance Test</w:t>
            </w:r>
          </w:p>
        </w:tc>
        <w:tc>
          <w:tcPr>
            <w:tcW w:w="2700" w:type="dxa"/>
          </w:tcPr>
          <w:p w:rsidR="00820B20" w:rsidRDefault="00820B20">
            <w:r w:rsidRPr="00D8171D">
              <w:rPr>
                <w:rFonts w:ascii="Times New Roman" w:hAnsi="Times New Roman"/>
                <w:sz w:val="20"/>
              </w:rPr>
              <w:t>63.10030</w:t>
            </w:r>
          </w:p>
        </w:tc>
      </w:tr>
      <w:tr w:rsidR="00820B20" w:rsidRPr="009060A6" w:rsidTr="00820B20">
        <w:tc>
          <w:tcPr>
            <w:tcW w:w="4428" w:type="dxa"/>
            <w:vAlign w:val="bottom"/>
          </w:tcPr>
          <w:p w:rsidR="00820B20" w:rsidRPr="00820B20" w:rsidRDefault="00820B20" w:rsidP="003D47E1">
            <w:pPr>
              <w:rPr>
                <w:rFonts w:ascii="Times New Roman" w:eastAsia="Times New Roman" w:hAnsi="Times New Roman"/>
                <w:color w:val="000000"/>
                <w:sz w:val="20"/>
              </w:rPr>
            </w:pPr>
            <w:r w:rsidRPr="00820B20">
              <w:rPr>
                <w:rFonts w:ascii="Times New Roman" w:eastAsia="Times New Roman" w:hAnsi="Times New Roman"/>
                <w:color w:val="000000"/>
                <w:sz w:val="20"/>
              </w:rPr>
              <w:t>Quality Assurance Program Notification</w:t>
            </w:r>
          </w:p>
        </w:tc>
        <w:tc>
          <w:tcPr>
            <w:tcW w:w="2700" w:type="dxa"/>
          </w:tcPr>
          <w:p w:rsidR="00820B20" w:rsidRDefault="00820B20">
            <w:r w:rsidRPr="00D8171D">
              <w:rPr>
                <w:rFonts w:ascii="Times New Roman" w:hAnsi="Times New Roman"/>
                <w:sz w:val="20"/>
              </w:rPr>
              <w:t>63.10030</w:t>
            </w:r>
          </w:p>
        </w:tc>
      </w:tr>
      <w:tr w:rsidR="00820B20" w:rsidRPr="009060A6" w:rsidTr="00820B20">
        <w:tc>
          <w:tcPr>
            <w:tcW w:w="4428" w:type="dxa"/>
            <w:vAlign w:val="bottom"/>
          </w:tcPr>
          <w:p w:rsidR="00820B20" w:rsidRPr="00820B20" w:rsidRDefault="00820B20" w:rsidP="003D47E1">
            <w:pPr>
              <w:rPr>
                <w:rFonts w:ascii="Times New Roman" w:eastAsia="Times New Roman" w:hAnsi="Times New Roman"/>
                <w:color w:val="000000"/>
                <w:sz w:val="20"/>
              </w:rPr>
            </w:pPr>
            <w:r w:rsidRPr="00820B20">
              <w:rPr>
                <w:rFonts w:ascii="Times New Roman" w:eastAsia="Times New Roman" w:hAnsi="Times New Roman"/>
                <w:color w:val="000000"/>
                <w:sz w:val="20"/>
              </w:rPr>
              <w:t xml:space="preserve"> Notification of Compliance Status</w:t>
            </w:r>
          </w:p>
        </w:tc>
        <w:tc>
          <w:tcPr>
            <w:tcW w:w="2700" w:type="dxa"/>
          </w:tcPr>
          <w:p w:rsidR="00820B20" w:rsidRDefault="00820B20">
            <w:r w:rsidRPr="00D8171D">
              <w:rPr>
                <w:rFonts w:ascii="Times New Roman" w:hAnsi="Times New Roman"/>
                <w:sz w:val="20"/>
              </w:rPr>
              <w:t>63.10030</w:t>
            </w:r>
          </w:p>
        </w:tc>
      </w:tr>
      <w:tr w:rsidR="00820B20" w:rsidRPr="009060A6" w:rsidTr="00820B20">
        <w:tc>
          <w:tcPr>
            <w:tcW w:w="4428" w:type="dxa"/>
            <w:vAlign w:val="bottom"/>
          </w:tcPr>
          <w:p w:rsidR="00820B20" w:rsidRPr="00820B20" w:rsidRDefault="00820B20" w:rsidP="00820B20">
            <w:pPr>
              <w:rPr>
                <w:rFonts w:ascii="Times New Roman" w:eastAsia="Times New Roman" w:hAnsi="Times New Roman"/>
                <w:color w:val="000000"/>
                <w:sz w:val="20"/>
              </w:rPr>
            </w:pPr>
            <w:r w:rsidRPr="00820B20">
              <w:rPr>
                <w:rFonts w:ascii="Times New Roman" w:eastAsia="Times New Roman" w:hAnsi="Times New Roman"/>
                <w:color w:val="000000"/>
                <w:sz w:val="20"/>
              </w:rPr>
              <w:t>Request to use alternative monitoring procedure</w:t>
            </w:r>
          </w:p>
        </w:tc>
        <w:tc>
          <w:tcPr>
            <w:tcW w:w="2700" w:type="dxa"/>
          </w:tcPr>
          <w:p w:rsidR="00820B20" w:rsidRDefault="00820B20">
            <w:r w:rsidRPr="00D8171D">
              <w:rPr>
                <w:rFonts w:ascii="Times New Roman" w:hAnsi="Times New Roman"/>
                <w:sz w:val="20"/>
              </w:rPr>
              <w:t>63.10030</w:t>
            </w:r>
          </w:p>
        </w:tc>
      </w:tr>
      <w:tr w:rsidR="00820B20" w:rsidRPr="009060A6" w:rsidTr="00820B20">
        <w:tc>
          <w:tcPr>
            <w:tcW w:w="4428" w:type="dxa"/>
            <w:vAlign w:val="bottom"/>
          </w:tcPr>
          <w:p w:rsidR="00820B20" w:rsidRPr="00820B20" w:rsidRDefault="00820B20" w:rsidP="003D47E1">
            <w:pPr>
              <w:rPr>
                <w:rFonts w:ascii="Times New Roman" w:eastAsia="Times New Roman" w:hAnsi="Times New Roman"/>
                <w:color w:val="000000"/>
                <w:sz w:val="20"/>
              </w:rPr>
            </w:pPr>
            <w:r w:rsidRPr="00820B20">
              <w:rPr>
                <w:rFonts w:ascii="Times New Roman" w:eastAsia="Times New Roman" w:hAnsi="Times New Roman"/>
                <w:color w:val="000000"/>
                <w:sz w:val="20"/>
              </w:rPr>
              <w:t xml:space="preserve"> Initial notification</w:t>
            </w:r>
          </w:p>
        </w:tc>
        <w:tc>
          <w:tcPr>
            <w:tcW w:w="2700" w:type="dxa"/>
          </w:tcPr>
          <w:p w:rsidR="00820B20" w:rsidRDefault="00820B20">
            <w:r w:rsidRPr="00D8171D">
              <w:rPr>
                <w:rFonts w:ascii="Times New Roman" w:hAnsi="Times New Roman"/>
                <w:sz w:val="20"/>
              </w:rPr>
              <w:t>63.10030</w:t>
            </w:r>
          </w:p>
        </w:tc>
      </w:tr>
      <w:tr w:rsidR="00820B20" w:rsidRPr="009060A6" w:rsidTr="00820B20">
        <w:tc>
          <w:tcPr>
            <w:tcW w:w="4428" w:type="dxa"/>
          </w:tcPr>
          <w:p w:rsidR="00820B20" w:rsidRPr="00820B20" w:rsidRDefault="00820B20" w:rsidP="009060A6">
            <w:pPr>
              <w:pStyle w:val="TableHeader"/>
              <w:rPr>
                <w:rFonts w:ascii="Times New Roman" w:hAnsi="Times New Roman"/>
                <w:sz w:val="20"/>
              </w:rPr>
            </w:pPr>
            <w:r w:rsidRPr="00820B20">
              <w:rPr>
                <w:rFonts w:ascii="Times New Roman" w:hAnsi="Times New Roman"/>
                <w:sz w:val="20"/>
              </w:rPr>
              <w:t>Reports</w:t>
            </w:r>
          </w:p>
        </w:tc>
        <w:tc>
          <w:tcPr>
            <w:tcW w:w="2700" w:type="dxa"/>
          </w:tcPr>
          <w:p w:rsidR="00820B20" w:rsidRPr="00820B20" w:rsidRDefault="00820B20" w:rsidP="009060A6">
            <w:pPr>
              <w:pStyle w:val="TableRow"/>
              <w:rPr>
                <w:rFonts w:ascii="Times New Roman" w:hAnsi="Times New Roman"/>
                <w:sz w:val="20"/>
              </w:rPr>
            </w:pPr>
          </w:p>
        </w:tc>
      </w:tr>
      <w:tr w:rsidR="00820B20" w:rsidRPr="009060A6" w:rsidTr="00820B20">
        <w:tc>
          <w:tcPr>
            <w:tcW w:w="4428" w:type="dxa"/>
            <w:vAlign w:val="bottom"/>
          </w:tcPr>
          <w:p w:rsidR="00820B20" w:rsidRPr="00820B20" w:rsidRDefault="00820B20" w:rsidP="00820B20">
            <w:pPr>
              <w:pStyle w:val="Para"/>
              <w:ind w:firstLine="0"/>
              <w:rPr>
                <w:rFonts w:ascii="Times New Roman" w:hAnsi="Times New Roman"/>
                <w:sz w:val="20"/>
              </w:rPr>
            </w:pPr>
            <w:r w:rsidRPr="00820B20">
              <w:rPr>
                <w:rFonts w:ascii="Times New Roman" w:hAnsi="Times New Roman"/>
                <w:sz w:val="20"/>
              </w:rPr>
              <w:t xml:space="preserve"> Report of Performance Test </w:t>
            </w:r>
          </w:p>
        </w:tc>
        <w:tc>
          <w:tcPr>
            <w:tcW w:w="2700" w:type="dxa"/>
          </w:tcPr>
          <w:p w:rsidR="00820B20" w:rsidRPr="00820B20" w:rsidRDefault="00820B20" w:rsidP="00820B20">
            <w:pPr>
              <w:pStyle w:val="TableRow"/>
              <w:rPr>
                <w:rFonts w:ascii="Times New Roman" w:hAnsi="Times New Roman"/>
                <w:sz w:val="20"/>
              </w:rPr>
            </w:pPr>
            <w:r w:rsidRPr="00820B20">
              <w:rPr>
                <w:rFonts w:ascii="Times New Roman" w:hAnsi="Times New Roman"/>
                <w:sz w:val="20"/>
              </w:rPr>
              <w:t>63.1003</w:t>
            </w:r>
            <w:r>
              <w:rPr>
                <w:rFonts w:ascii="Times New Roman" w:hAnsi="Times New Roman"/>
                <w:sz w:val="20"/>
              </w:rPr>
              <w:t>1</w:t>
            </w:r>
          </w:p>
        </w:tc>
      </w:tr>
      <w:tr w:rsidR="00820B20" w:rsidRPr="009060A6" w:rsidTr="00820B20">
        <w:tc>
          <w:tcPr>
            <w:tcW w:w="4428" w:type="dxa"/>
            <w:vAlign w:val="bottom"/>
          </w:tcPr>
          <w:p w:rsidR="00820B20" w:rsidRPr="00820B20" w:rsidRDefault="00820B20" w:rsidP="00820B20">
            <w:pPr>
              <w:pStyle w:val="Para"/>
              <w:ind w:firstLine="0"/>
              <w:rPr>
                <w:rFonts w:ascii="Times New Roman" w:hAnsi="Times New Roman"/>
                <w:sz w:val="20"/>
              </w:rPr>
            </w:pPr>
            <w:r w:rsidRPr="00820B20">
              <w:rPr>
                <w:rFonts w:ascii="Times New Roman" w:hAnsi="Times New Roman"/>
                <w:sz w:val="20"/>
              </w:rPr>
              <w:t xml:space="preserve">Startup, shutdown, and malfunction Report </w:t>
            </w:r>
          </w:p>
        </w:tc>
        <w:tc>
          <w:tcPr>
            <w:tcW w:w="2700" w:type="dxa"/>
          </w:tcPr>
          <w:p w:rsidR="00820B20" w:rsidRDefault="00820B20">
            <w:r w:rsidRPr="0057138C">
              <w:rPr>
                <w:rFonts w:ascii="Times New Roman" w:hAnsi="Times New Roman"/>
                <w:sz w:val="20"/>
              </w:rPr>
              <w:t>63.1003</w:t>
            </w:r>
            <w:r>
              <w:rPr>
                <w:rFonts w:ascii="Times New Roman" w:hAnsi="Times New Roman"/>
                <w:sz w:val="20"/>
              </w:rPr>
              <w:t>1</w:t>
            </w:r>
          </w:p>
        </w:tc>
      </w:tr>
      <w:tr w:rsidR="00820B20" w:rsidRPr="009060A6" w:rsidTr="00820B20">
        <w:tc>
          <w:tcPr>
            <w:tcW w:w="4428" w:type="dxa"/>
            <w:vAlign w:val="bottom"/>
          </w:tcPr>
          <w:p w:rsidR="00820B20" w:rsidRPr="00820B20" w:rsidRDefault="00820B20" w:rsidP="00820B20">
            <w:pPr>
              <w:pStyle w:val="Para"/>
              <w:ind w:firstLine="0"/>
              <w:rPr>
                <w:rFonts w:ascii="Times New Roman" w:hAnsi="Times New Roman"/>
                <w:sz w:val="20"/>
              </w:rPr>
            </w:pPr>
            <w:r w:rsidRPr="00820B20">
              <w:rPr>
                <w:rFonts w:ascii="Times New Roman" w:hAnsi="Times New Roman"/>
                <w:sz w:val="20"/>
              </w:rPr>
              <w:t>Semi-Annual Compliance Report</w:t>
            </w:r>
          </w:p>
        </w:tc>
        <w:tc>
          <w:tcPr>
            <w:tcW w:w="2700" w:type="dxa"/>
          </w:tcPr>
          <w:p w:rsidR="00820B20" w:rsidRDefault="00820B20">
            <w:r w:rsidRPr="0057138C">
              <w:rPr>
                <w:rFonts w:ascii="Times New Roman" w:hAnsi="Times New Roman"/>
                <w:sz w:val="20"/>
              </w:rPr>
              <w:t>63.1003</w:t>
            </w:r>
            <w:r>
              <w:rPr>
                <w:rFonts w:ascii="Times New Roman" w:hAnsi="Times New Roman"/>
                <w:sz w:val="20"/>
              </w:rPr>
              <w:t>1</w:t>
            </w:r>
          </w:p>
        </w:tc>
      </w:tr>
      <w:tr w:rsidR="00820B20" w:rsidRPr="009060A6" w:rsidTr="00820B20">
        <w:tc>
          <w:tcPr>
            <w:tcW w:w="4428" w:type="dxa"/>
            <w:vAlign w:val="bottom"/>
          </w:tcPr>
          <w:p w:rsidR="00820B20" w:rsidRPr="00820B20" w:rsidRDefault="00820B20" w:rsidP="00820B20">
            <w:pPr>
              <w:pStyle w:val="Para"/>
              <w:ind w:firstLine="0"/>
              <w:rPr>
                <w:rFonts w:ascii="Times New Roman" w:hAnsi="Times New Roman"/>
                <w:sz w:val="20"/>
              </w:rPr>
            </w:pPr>
            <w:r w:rsidRPr="00820B20">
              <w:rPr>
                <w:rFonts w:ascii="Times New Roman" w:hAnsi="Times New Roman"/>
                <w:sz w:val="20"/>
              </w:rPr>
              <w:t>Site-specific performance evaluation test plan</w:t>
            </w:r>
          </w:p>
        </w:tc>
        <w:tc>
          <w:tcPr>
            <w:tcW w:w="2700" w:type="dxa"/>
          </w:tcPr>
          <w:p w:rsidR="00820B20" w:rsidRDefault="00820B20">
            <w:r w:rsidRPr="0057138C">
              <w:rPr>
                <w:rFonts w:ascii="Times New Roman" w:hAnsi="Times New Roman"/>
                <w:sz w:val="20"/>
              </w:rPr>
              <w:t>63.1003</w:t>
            </w:r>
            <w:r>
              <w:rPr>
                <w:rFonts w:ascii="Times New Roman" w:hAnsi="Times New Roman"/>
                <w:sz w:val="20"/>
              </w:rPr>
              <w:t>1</w:t>
            </w:r>
          </w:p>
        </w:tc>
      </w:tr>
      <w:tr w:rsidR="00820B20" w:rsidRPr="009060A6" w:rsidTr="00820B20">
        <w:tc>
          <w:tcPr>
            <w:tcW w:w="4428" w:type="dxa"/>
          </w:tcPr>
          <w:p w:rsidR="00820B20" w:rsidRPr="00820B20" w:rsidRDefault="00820B20" w:rsidP="009060A6">
            <w:pPr>
              <w:pStyle w:val="TableHeader"/>
              <w:rPr>
                <w:rFonts w:ascii="Times New Roman" w:hAnsi="Times New Roman"/>
                <w:sz w:val="20"/>
              </w:rPr>
            </w:pPr>
            <w:r w:rsidRPr="00820B20">
              <w:rPr>
                <w:rFonts w:ascii="Times New Roman" w:hAnsi="Times New Roman"/>
                <w:sz w:val="20"/>
              </w:rPr>
              <w:t>Recordkeeping</w:t>
            </w:r>
          </w:p>
        </w:tc>
        <w:tc>
          <w:tcPr>
            <w:tcW w:w="2700" w:type="dxa"/>
          </w:tcPr>
          <w:p w:rsidR="00820B20" w:rsidRPr="00820B20" w:rsidRDefault="00820B20" w:rsidP="009060A6">
            <w:pPr>
              <w:pStyle w:val="TableRow"/>
              <w:rPr>
                <w:rFonts w:ascii="Times New Roman" w:hAnsi="Times New Roman"/>
                <w:sz w:val="20"/>
              </w:rPr>
            </w:pPr>
          </w:p>
        </w:tc>
      </w:tr>
      <w:tr w:rsidR="00820B20" w:rsidRPr="009060A6" w:rsidTr="00820B20">
        <w:tc>
          <w:tcPr>
            <w:tcW w:w="4428" w:type="dxa"/>
            <w:vAlign w:val="bottom"/>
          </w:tcPr>
          <w:p w:rsidR="00820B20" w:rsidRPr="00820B20" w:rsidRDefault="00820B20" w:rsidP="009060A6">
            <w:pPr>
              <w:rPr>
                <w:rFonts w:ascii="Times New Roman" w:eastAsia="Times New Roman" w:hAnsi="Times New Roman"/>
                <w:color w:val="000000"/>
                <w:sz w:val="20"/>
              </w:rPr>
            </w:pPr>
            <w:r w:rsidRPr="00820B20">
              <w:rPr>
                <w:rFonts w:ascii="Times New Roman" w:eastAsia="Times New Roman" w:hAnsi="Times New Roman"/>
                <w:color w:val="000000"/>
                <w:sz w:val="20"/>
              </w:rPr>
              <w:t>Existing Sources - Records of CEMS malfunctions</w:t>
            </w:r>
          </w:p>
        </w:tc>
        <w:tc>
          <w:tcPr>
            <w:tcW w:w="2700" w:type="dxa"/>
          </w:tcPr>
          <w:p w:rsidR="00820B20" w:rsidRDefault="00820B20">
            <w:r w:rsidRPr="005D22A7">
              <w:rPr>
                <w:rFonts w:ascii="Times New Roman" w:hAnsi="Times New Roman"/>
                <w:sz w:val="20"/>
              </w:rPr>
              <w:t>63.10032</w:t>
            </w:r>
          </w:p>
        </w:tc>
      </w:tr>
      <w:tr w:rsidR="00820B20" w:rsidRPr="009060A6" w:rsidTr="00820B20">
        <w:tc>
          <w:tcPr>
            <w:tcW w:w="4428" w:type="dxa"/>
            <w:vAlign w:val="bottom"/>
          </w:tcPr>
          <w:p w:rsidR="00820B20" w:rsidRPr="00820B20" w:rsidRDefault="00820B20" w:rsidP="009060A6">
            <w:pPr>
              <w:rPr>
                <w:rFonts w:ascii="Times New Roman" w:eastAsia="Times New Roman" w:hAnsi="Times New Roman"/>
                <w:color w:val="000000"/>
                <w:sz w:val="20"/>
              </w:rPr>
            </w:pPr>
            <w:r w:rsidRPr="00820B20">
              <w:rPr>
                <w:rFonts w:ascii="Times New Roman" w:eastAsia="Times New Roman" w:hAnsi="Times New Roman"/>
                <w:color w:val="000000"/>
                <w:sz w:val="20"/>
              </w:rPr>
              <w:t>Existing Sources - Records of Startups, Shutdowns, malfunctions, etc</w:t>
            </w:r>
          </w:p>
        </w:tc>
        <w:tc>
          <w:tcPr>
            <w:tcW w:w="2700" w:type="dxa"/>
          </w:tcPr>
          <w:p w:rsidR="00820B20" w:rsidRDefault="00820B20">
            <w:r w:rsidRPr="005D22A7">
              <w:rPr>
                <w:rFonts w:ascii="Times New Roman" w:hAnsi="Times New Roman"/>
                <w:sz w:val="20"/>
              </w:rPr>
              <w:t>63.10032</w:t>
            </w:r>
          </w:p>
        </w:tc>
      </w:tr>
      <w:tr w:rsidR="00820B20" w:rsidRPr="009060A6" w:rsidTr="00820B20">
        <w:tc>
          <w:tcPr>
            <w:tcW w:w="4428" w:type="dxa"/>
            <w:vAlign w:val="bottom"/>
          </w:tcPr>
          <w:p w:rsidR="00820B20" w:rsidRPr="00820B20" w:rsidRDefault="00820B20" w:rsidP="009060A6">
            <w:pPr>
              <w:rPr>
                <w:rFonts w:ascii="Times New Roman" w:eastAsia="Times New Roman" w:hAnsi="Times New Roman"/>
                <w:color w:val="000000"/>
                <w:sz w:val="20"/>
              </w:rPr>
            </w:pPr>
            <w:r w:rsidRPr="00820B20">
              <w:rPr>
                <w:rFonts w:ascii="Times New Roman" w:eastAsia="Times New Roman" w:hAnsi="Times New Roman"/>
                <w:color w:val="000000"/>
                <w:sz w:val="20"/>
              </w:rPr>
              <w:t>Existing Sources - Records of monthly fuel use</w:t>
            </w:r>
          </w:p>
        </w:tc>
        <w:tc>
          <w:tcPr>
            <w:tcW w:w="2700" w:type="dxa"/>
          </w:tcPr>
          <w:p w:rsidR="00820B20" w:rsidRDefault="00820B20">
            <w:r w:rsidRPr="005D22A7">
              <w:rPr>
                <w:rFonts w:ascii="Times New Roman" w:hAnsi="Times New Roman"/>
                <w:sz w:val="20"/>
              </w:rPr>
              <w:t>63.10032</w:t>
            </w:r>
          </w:p>
        </w:tc>
      </w:tr>
    </w:tbl>
    <w:p w:rsidR="009060A6" w:rsidRDefault="009060A6" w:rsidP="00290F20">
      <w:pPr>
        <w:pStyle w:val="Para"/>
        <w:rPr>
          <w:rFonts w:ascii="Times New Roman" w:hAnsi="Times New Roman"/>
          <w:highlight w:val="green"/>
        </w:rPr>
      </w:pPr>
    </w:p>
    <w:p w:rsidR="00290F20" w:rsidRDefault="002838A6" w:rsidP="007E09A5">
      <w:pPr>
        <w:pStyle w:val="Para"/>
        <w:rPr>
          <w:rFonts w:ascii="Times New Roman" w:hAnsi="Times New Roman"/>
        </w:rPr>
      </w:pPr>
      <w:r>
        <w:rPr>
          <w:rFonts w:ascii="Times New Roman" w:hAnsi="Times New Roman"/>
        </w:rPr>
        <w:lastRenderedPageBreak/>
        <w:t>EPA estimates that a</w:t>
      </w:r>
      <w:r w:rsidR="00290F20" w:rsidRPr="007E09A5">
        <w:rPr>
          <w:rFonts w:ascii="Times New Roman" w:hAnsi="Times New Roman"/>
        </w:rPr>
        <w:t xml:space="preserve">pproximately </w:t>
      </w:r>
      <w:r w:rsidR="007E09A5" w:rsidRPr="007E09A5">
        <w:rPr>
          <w:rFonts w:ascii="Times New Roman" w:hAnsi="Times New Roman"/>
        </w:rPr>
        <w:t xml:space="preserve">1,257 </w:t>
      </w:r>
      <w:r>
        <w:rPr>
          <w:rFonts w:ascii="Times New Roman" w:hAnsi="Times New Roman"/>
        </w:rPr>
        <w:t>existing EGUs</w:t>
      </w:r>
      <w:r w:rsidR="00290F20" w:rsidRPr="007E09A5">
        <w:rPr>
          <w:rFonts w:ascii="Times New Roman" w:hAnsi="Times New Roman"/>
        </w:rPr>
        <w:t xml:space="preserve"> </w:t>
      </w:r>
      <w:r>
        <w:rPr>
          <w:rFonts w:ascii="Times New Roman" w:hAnsi="Times New Roman"/>
        </w:rPr>
        <w:t>would be</w:t>
      </w:r>
      <w:r w:rsidR="00290F20" w:rsidRPr="007E09A5">
        <w:rPr>
          <w:rFonts w:ascii="Times New Roman" w:hAnsi="Times New Roman"/>
        </w:rPr>
        <w:t xml:space="preserve"> subject to the </w:t>
      </w:r>
      <w:r>
        <w:rPr>
          <w:rFonts w:ascii="Times New Roman" w:hAnsi="Times New Roman"/>
        </w:rPr>
        <w:t>proposed NESHAP</w:t>
      </w:r>
      <w:r w:rsidR="00290F20" w:rsidRPr="007E09A5">
        <w:rPr>
          <w:rFonts w:ascii="Times New Roman" w:hAnsi="Times New Roman"/>
        </w:rPr>
        <w:t xml:space="preserve">, and </w:t>
      </w:r>
      <w:r>
        <w:rPr>
          <w:rFonts w:ascii="Times New Roman" w:hAnsi="Times New Roman"/>
        </w:rPr>
        <w:t>that no new EGUs will be built during the period of this information collection</w:t>
      </w:r>
      <w:r w:rsidR="007E09A5" w:rsidRPr="007E09A5">
        <w:rPr>
          <w:rFonts w:ascii="Times New Roman" w:hAnsi="Times New Roman"/>
        </w:rPr>
        <w:t>.</w:t>
      </w:r>
    </w:p>
    <w:p w:rsidR="00E47EF5" w:rsidRPr="007E09A5" w:rsidRDefault="00E47EF5" w:rsidP="00E47EF5">
      <w:pPr>
        <w:pStyle w:val="Para"/>
        <w:rPr>
          <w:rFonts w:ascii="Times New Roman" w:hAnsi="Times New Roman"/>
        </w:rPr>
      </w:pPr>
      <w:r w:rsidRPr="0068644D">
        <w:rPr>
          <w:rFonts w:ascii="Times New Roman" w:hAnsi="Times New Roman"/>
        </w:rPr>
        <w:t xml:space="preserve">On February 27, 2006, EPA promulgated amendments to the </w:t>
      </w:r>
      <w:r>
        <w:rPr>
          <w:rFonts w:ascii="Times New Roman" w:hAnsi="Times New Roman"/>
        </w:rPr>
        <w:t>new source performance standards (</w:t>
      </w:r>
      <w:r w:rsidRPr="0068644D">
        <w:rPr>
          <w:rFonts w:ascii="Times New Roman" w:hAnsi="Times New Roman"/>
        </w:rPr>
        <w:t>NSPS</w:t>
      </w:r>
      <w:r>
        <w:rPr>
          <w:rFonts w:ascii="Times New Roman" w:hAnsi="Times New Roman"/>
        </w:rPr>
        <w:t>)</w:t>
      </w:r>
      <w:r w:rsidRPr="0068644D">
        <w:rPr>
          <w:rFonts w:ascii="Times New Roman" w:hAnsi="Times New Roman"/>
        </w:rPr>
        <w:t xml:space="preserve"> for particulate matter (PM), sulfur dioxide (SO</w:t>
      </w:r>
      <w:r w:rsidRPr="0068644D">
        <w:rPr>
          <w:rFonts w:ascii="Times New Roman" w:hAnsi="Times New Roman"/>
          <w:vertAlign w:val="subscript"/>
        </w:rPr>
        <w:t>2</w:t>
      </w:r>
      <w:r w:rsidRPr="0068644D">
        <w:rPr>
          <w:rFonts w:ascii="Times New Roman" w:hAnsi="Times New Roman"/>
        </w:rPr>
        <w:t>), and nitrogen oxides (NO</w:t>
      </w:r>
      <w:r w:rsidRPr="0068644D">
        <w:rPr>
          <w:rFonts w:ascii="Times New Roman" w:hAnsi="Times New Roman"/>
          <w:vertAlign w:val="subscript"/>
        </w:rPr>
        <w:t>X</w:t>
      </w:r>
      <w:r w:rsidRPr="0068644D">
        <w:rPr>
          <w:rFonts w:ascii="Times New Roman" w:hAnsi="Times New Roman"/>
        </w:rPr>
        <w:t xml:space="preserve">) contained in the standards of performance for EGUs (40 CFR part 60, subpart </w:t>
      </w:r>
      <w:proofErr w:type="spellStart"/>
      <w:r w:rsidRPr="0068644D">
        <w:rPr>
          <w:rFonts w:ascii="Times New Roman" w:hAnsi="Times New Roman"/>
        </w:rPr>
        <w:t>Da</w:t>
      </w:r>
      <w:proofErr w:type="spellEnd"/>
      <w:r w:rsidRPr="0068644D">
        <w:rPr>
          <w:rFonts w:ascii="Times New Roman" w:hAnsi="Times New Roman"/>
        </w:rPr>
        <w:t xml:space="preserve">, 71 FR 9866).  EPA was subsequently sued by the offices of multiple States Attorneys General and environmental organizations on the amendments.  On September 2, 2009, EPA was granted a voluntary remand without </w:t>
      </w:r>
      <w:proofErr w:type="spellStart"/>
      <w:r w:rsidRPr="0068644D">
        <w:rPr>
          <w:rFonts w:ascii="Times New Roman" w:hAnsi="Times New Roman"/>
        </w:rPr>
        <w:t>vacatur</w:t>
      </w:r>
      <w:proofErr w:type="spellEnd"/>
      <w:r w:rsidRPr="0068644D">
        <w:rPr>
          <w:rFonts w:ascii="Times New Roman" w:hAnsi="Times New Roman"/>
        </w:rPr>
        <w:t xml:space="preserve"> of the 2006 amendments.  These proposed amendments are in response to the voluntary remand.  We also are proposing several minor amendments, technical clarifications, and corrections to existing provisions of the fossil fuel-fired EGU and </w:t>
      </w:r>
      <w:proofErr w:type="gramStart"/>
      <w:r w:rsidRPr="0068644D">
        <w:rPr>
          <w:rFonts w:ascii="Times New Roman" w:hAnsi="Times New Roman"/>
        </w:rPr>
        <w:t>industrial-commercial-institutional,</w:t>
      </w:r>
      <w:proofErr w:type="gramEnd"/>
      <w:r w:rsidRPr="0068644D">
        <w:rPr>
          <w:rFonts w:ascii="Times New Roman" w:hAnsi="Times New Roman"/>
        </w:rPr>
        <w:t xml:space="preserve"> and small industrial-commercial-institutional steam generating units NSPS, subparts D, Db, and Dc</w:t>
      </w:r>
      <w:r>
        <w:rPr>
          <w:rFonts w:ascii="Times New Roman" w:hAnsi="Times New Roman"/>
        </w:rPr>
        <w:t xml:space="preserve"> of 40 CFR part 60</w:t>
      </w:r>
      <w:r w:rsidRPr="0068644D">
        <w:rPr>
          <w:rFonts w:ascii="Times New Roman" w:hAnsi="Times New Roman"/>
        </w:rPr>
        <w:t>.</w:t>
      </w:r>
      <w:r>
        <w:rPr>
          <w:rFonts w:ascii="Times New Roman" w:hAnsi="Times New Roman"/>
        </w:rPr>
        <w:t xml:space="preserve">  Because no new EGUs are projected to be built, there would be no recordkeeping and reporting burden associated with the proposed amendments.</w:t>
      </w:r>
    </w:p>
    <w:p w:rsidR="00806E75" w:rsidRPr="00F245EA" w:rsidRDefault="00806E75" w:rsidP="006305AC">
      <w:pPr>
        <w:pStyle w:val="Heading1"/>
      </w:pPr>
      <w:r w:rsidRPr="00F245EA">
        <w:t>2.</w:t>
      </w:r>
      <w:r w:rsidRPr="00F245EA">
        <w:tab/>
        <w:t>Need for and Use of the Collection</w:t>
      </w:r>
    </w:p>
    <w:p w:rsidR="00806E75" w:rsidRPr="0068644D" w:rsidRDefault="00806E75" w:rsidP="006305AC">
      <w:pPr>
        <w:pStyle w:val="Heading2"/>
        <w:rPr>
          <w:i/>
          <w:iCs w:val="0"/>
        </w:rPr>
      </w:pPr>
      <w:r w:rsidRPr="0068644D">
        <w:rPr>
          <w:i/>
          <w:iCs w:val="0"/>
        </w:rPr>
        <w:t>(a)</w:t>
      </w:r>
      <w:r w:rsidRPr="0068644D">
        <w:rPr>
          <w:i/>
          <w:iCs w:val="0"/>
        </w:rPr>
        <w:tab/>
        <w:t>Need/Authority for the Collection</w:t>
      </w:r>
    </w:p>
    <w:p w:rsidR="00A2750A" w:rsidRPr="00E47EF5" w:rsidRDefault="00A2750A" w:rsidP="00A2750A">
      <w:pPr>
        <w:pStyle w:val="Para"/>
        <w:rPr>
          <w:rFonts w:ascii="Times New Roman" w:hAnsi="Times New Roman"/>
        </w:rPr>
      </w:pPr>
      <w:r w:rsidRPr="00F245EA">
        <w:rPr>
          <w:rFonts w:ascii="Times New Roman" w:hAnsi="Times New Roman"/>
        </w:rPr>
        <w:t xml:space="preserve">Section 112 of the CAA requires that EPA establish MACT standards for new or existing major or area sources according to the requirements in section 112(d). Certain records and reports are necessary for the Administrator to: (1) confirm the compliance status of major sources, identify any non-major sources not subject to the standards, and identify new or reconstructed sources subject to the standards; and (2) ensure that the MACT standards are being </w:t>
      </w:r>
      <w:r w:rsidRPr="00E47EF5">
        <w:rPr>
          <w:rFonts w:ascii="Times New Roman" w:hAnsi="Times New Roman"/>
        </w:rPr>
        <w:t>achieved on a continuous basis. These recordkeeping and reporting requirements are specifically authorized by section 114 of the CAA (42 U.S.C. 7414) and set out in the General Provisions for NESHAP in 40 CFR part 63, subpart A.</w:t>
      </w:r>
    </w:p>
    <w:p w:rsidR="00A2750A" w:rsidRPr="00E47EF5" w:rsidRDefault="00A2750A" w:rsidP="006305AC">
      <w:pPr>
        <w:pStyle w:val="Heading2"/>
        <w:rPr>
          <w:i/>
          <w:iCs w:val="0"/>
        </w:rPr>
      </w:pPr>
      <w:r w:rsidRPr="00E47EF5">
        <w:rPr>
          <w:i/>
          <w:iCs w:val="0"/>
        </w:rPr>
        <w:t>(b)</w:t>
      </w:r>
      <w:r w:rsidRPr="00E47EF5">
        <w:rPr>
          <w:i/>
          <w:iCs w:val="0"/>
        </w:rPr>
        <w:tab/>
        <w:t>Use/Users of the Data</w:t>
      </w:r>
    </w:p>
    <w:p w:rsidR="00E47EF5" w:rsidRPr="00E47EF5" w:rsidRDefault="00A2750A" w:rsidP="00E47EF5">
      <w:pPr>
        <w:pStyle w:val="Para"/>
        <w:rPr>
          <w:rFonts w:ascii="Times New Roman" w:hAnsi="Times New Roman"/>
        </w:rPr>
      </w:pPr>
      <w:r w:rsidRPr="00E47EF5">
        <w:rPr>
          <w:rFonts w:ascii="Times New Roman" w:hAnsi="Times New Roman"/>
        </w:rPr>
        <w:t xml:space="preserve">The additional information will be used by Agency enforcement personnel to ensure that the emission limitations are being achieved. </w:t>
      </w:r>
      <w:r w:rsidR="00640B02" w:rsidRPr="00E47EF5">
        <w:rPr>
          <w:rFonts w:ascii="Times New Roman" w:hAnsi="Times New Roman"/>
        </w:rPr>
        <w:t xml:space="preserve"> </w:t>
      </w:r>
      <w:r w:rsidRPr="00E47EF5">
        <w:rPr>
          <w:rFonts w:ascii="Times New Roman" w:hAnsi="Times New Roman"/>
        </w:rPr>
        <w:t>Based on review of the recorded information at the site and the reported information, EPA can identify facilities that may not be in compliance and decide which plants, records, or processes should be inspected.</w:t>
      </w:r>
    </w:p>
    <w:p w:rsidR="00A2750A" w:rsidRPr="00E47EF5" w:rsidRDefault="00A2750A" w:rsidP="00E47EF5">
      <w:pPr>
        <w:pStyle w:val="Para"/>
        <w:ind w:firstLine="0"/>
        <w:rPr>
          <w:rFonts w:ascii="Times New Roman" w:hAnsi="Times New Roman"/>
          <w:b/>
        </w:rPr>
      </w:pPr>
      <w:r w:rsidRPr="00E47EF5">
        <w:rPr>
          <w:rFonts w:ascii="Times New Roman" w:hAnsi="Times New Roman"/>
          <w:b/>
        </w:rPr>
        <w:t>3.</w:t>
      </w:r>
      <w:r w:rsidRPr="00E47EF5">
        <w:rPr>
          <w:rFonts w:ascii="Times New Roman" w:hAnsi="Times New Roman"/>
          <w:b/>
        </w:rPr>
        <w:tab/>
      </w:r>
      <w:proofErr w:type="spellStart"/>
      <w:r w:rsidRPr="00E47EF5">
        <w:rPr>
          <w:rFonts w:ascii="Times New Roman" w:hAnsi="Times New Roman"/>
          <w:b/>
        </w:rPr>
        <w:t>Nonduplication</w:t>
      </w:r>
      <w:proofErr w:type="spellEnd"/>
      <w:r w:rsidRPr="00E47EF5">
        <w:rPr>
          <w:rFonts w:ascii="Times New Roman" w:hAnsi="Times New Roman"/>
          <w:b/>
        </w:rPr>
        <w:t>, Consultations, and Other Collection Criteria</w:t>
      </w:r>
    </w:p>
    <w:p w:rsidR="00A2750A" w:rsidRPr="00E47EF5" w:rsidRDefault="00A2750A" w:rsidP="006305AC">
      <w:pPr>
        <w:pStyle w:val="Heading2"/>
        <w:rPr>
          <w:i/>
          <w:iCs w:val="0"/>
        </w:rPr>
      </w:pPr>
      <w:r w:rsidRPr="00E47EF5">
        <w:rPr>
          <w:i/>
          <w:iCs w:val="0"/>
        </w:rPr>
        <w:t>(a)</w:t>
      </w:r>
      <w:r w:rsidRPr="00E47EF5">
        <w:rPr>
          <w:i/>
          <w:iCs w:val="0"/>
        </w:rPr>
        <w:tab/>
      </w:r>
      <w:proofErr w:type="spellStart"/>
      <w:r w:rsidRPr="00E47EF5">
        <w:rPr>
          <w:i/>
          <w:iCs w:val="0"/>
        </w:rPr>
        <w:t>Nonduplication</w:t>
      </w:r>
      <w:proofErr w:type="spellEnd"/>
    </w:p>
    <w:p w:rsidR="00510D95" w:rsidRPr="009B35B5" w:rsidRDefault="00A2750A" w:rsidP="00B45885">
      <w:pPr>
        <w:pStyle w:val="Para"/>
        <w:rPr>
          <w:rFonts w:ascii="Times New Roman" w:hAnsi="Times New Roman"/>
        </w:rPr>
      </w:pPr>
      <w:r w:rsidRPr="00E47EF5">
        <w:rPr>
          <w:rFonts w:ascii="Times New Roman" w:hAnsi="Times New Roman"/>
        </w:rPr>
        <w:t>No other regulation currently requires the same information requeste</w:t>
      </w:r>
      <w:r w:rsidR="009B35B5" w:rsidRPr="00E47EF5">
        <w:rPr>
          <w:rFonts w:ascii="Times New Roman" w:hAnsi="Times New Roman"/>
        </w:rPr>
        <w:t>d under this ICR from owners/</w:t>
      </w:r>
      <w:r w:rsidRPr="00E47EF5">
        <w:rPr>
          <w:rFonts w:ascii="Times New Roman" w:hAnsi="Times New Roman"/>
        </w:rPr>
        <w:t>operators of</w:t>
      </w:r>
      <w:r w:rsidR="009B35B5" w:rsidRPr="00E47EF5">
        <w:rPr>
          <w:rFonts w:ascii="Times New Roman" w:hAnsi="Times New Roman"/>
        </w:rPr>
        <w:t xml:space="preserve"> Coal- and Oil-fired </w:t>
      </w:r>
      <w:r w:rsidR="002838A6" w:rsidRPr="00E47EF5">
        <w:rPr>
          <w:rFonts w:ascii="Times New Roman" w:hAnsi="Times New Roman"/>
        </w:rPr>
        <w:t>EGUs</w:t>
      </w:r>
      <w:r w:rsidR="009B35B5" w:rsidRPr="00E47EF5">
        <w:rPr>
          <w:rFonts w:ascii="Times New Roman" w:hAnsi="Times New Roman"/>
        </w:rPr>
        <w:t xml:space="preserve"> or owners/operators of Fossil-Fuel-Fired Electric Utility, Industrial-Commercial-Institutional, and Small Industri</w:t>
      </w:r>
      <w:r w:rsidR="009B35B5" w:rsidRPr="009B35B5">
        <w:rPr>
          <w:rFonts w:ascii="Times New Roman" w:hAnsi="Times New Roman"/>
        </w:rPr>
        <w:t>al-Commercial-Institutional Steam Generating Units</w:t>
      </w:r>
      <w:r w:rsidRPr="009B35B5">
        <w:rPr>
          <w:rFonts w:ascii="Times New Roman" w:hAnsi="Times New Roman"/>
        </w:rPr>
        <w:t xml:space="preserve">. </w:t>
      </w:r>
      <w:r w:rsidR="009B35B5" w:rsidRPr="009B35B5">
        <w:rPr>
          <w:rFonts w:ascii="Times New Roman" w:hAnsi="Times New Roman"/>
        </w:rPr>
        <w:t xml:space="preserve"> </w:t>
      </w:r>
      <w:r w:rsidRPr="009B35B5">
        <w:rPr>
          <w:rFonts w:ascii="Times New Roman" w:hAnsi="Times New Roman"/>
        </w:rPr>
        <w:t xml:space="preserve">In the event that certain reports required by State or local agencies may duplicate information required by the proposed </w:t>
      </w:r>
      <w:r w:rsidR="00B45885">
        <w:rPr>
          <w:rFonts w:ascii="Times New Roman" w:hAnsi="Times New Roman"/>
        </w:rPr>
        <w:t>requirements</w:t>
      </w:r>
      <w:r w:rsidRPr="009B35B5">
        <w:rPr>
          <w:rFonts w:ascii="Times New Roman" w:hAnsi="Times New Roman"/>
        </w:rPr>
        <w:t>, a copy of the report submitted to the State or local agency can be provided to the Administrator in lieu of the information that would be required in the semi-annual compliance report. Therefore, no duplication exists.</w:t>
      </w:r>
      <w:r w:rsidR="004229BF" w:rsidRPr="009B35B5">
        <w:rPr>
          <w:rFonts w:ascii="Times New Roman" w:hAnsi="Times New Roman"/>
        </w:rPr>
        <w:t xml:space="preserve"> </w:t>
      </w:r>
    </w:p>
    <w:p w:rsidR="00A2750A" w:rsidRPr="0068644D" w:rsidRDefault="00A2750A" w:rsidP="00510D95">
      <w:pPr>
        <w:pStyle w:val="Heading2"/>
        <w:rPr>
          <w:i/>
          <w:iCs w:val="0"/>
        </w:rPr>
      </w:pPr>
      <w:r w:rsidRPr="0068644D">
        <w:rPr>
          <w:i/>
          <w:iCs w:val="0"/>
        </w:rPr>
        <w:lastRenderedPageBreak/>
        <w:t>(b)</w:t>
      </w:r>
      <w:r w:rsidRPr="0068644D">
        <w:rPr>
          <w:i/>
          <w:iCs w:val="0"/>
        </w:rPr>
        <w:tab/>
        <w:t>Public Notice Required Prior to ICR Submission to OMB</w:t>
      </w:r>
    </w:p>
    <w:p w:rsidR="00A2750A" w:rsidRPr="009B35B5" w:rsidRDefault="00DE2C36" w:rsidP="00A2750A">
      <w:pPr>
        <w:pStyle w:val="Para"/>
        <w:rPr>
          <w:rFonts w:ascii="Times New Roman" w:hAnsi="Times New Roman"/>
        </w:rPr>
      </w:pPr>
      <w:r>
        <w:rPr>
          <w:rFonts w:ascii="Times New Roman" w:hAnsi="Times New Roman"/>
        </w:rPr>
        <w:t>The preamble to the final rule will provide public notice.</w:t>
      </w:r>
    </w:p>
    <w:p w:rsidR="003363A0" w:rsidRPr="0068644D" w:rsidRDefault="003363A0" w:rsidP="006305AC">
      <w:pPr>
        <w:pStyle w:val="Heading2"/>
        <w:rPr>
          <w:i/>
          <w:iCs w:val="0"/>
          <w:highlight w:val="yellow"/>
        </w:rPr>
      </w:pPr>
      <w:r w:rsidRPr="0068644D">
        <w:rPr>
          <w:i/>
          <w:iCs w:val="0"/>
        </w:rPr>
        <w:t>(c)</w:t>
      </w:r>
      <w:r w:rsidRPr="0068644D">
        <w:rPr>
          <w:i/>
          <w:iCs w:val="0"/>
        </w:rPr>
        <w:tab/>
        <w:t>Consultations</w:t>
      </w:r>
    </w:p>
    <w:p w:rsidR="00886238" w:rsidRPr="009B35B5" w:rsidRDefault="00886238" w:rsidP="0068644D">
      <w:pPr>
        <w:pStyle w:val="Para"/>
        <w:rPr>
          <w:rFonts w:ascii="Times New Roman" w:hAnsi="Times New Roman"/>
        </w:rPr>
      </w:pPr>
      <w:r w:rsidRPr="0068644D">
        <w:rPr>
          <w:rFonts w:ascii="Times New Roman" w:hAnsi="Times New Roman"/>
        </w:rPr>
        <w:t>EPA met with 10 national organizations representing State and local elected officials to provide g</w:t>
      </w:r>
      <w:r w:rsidR="00E47EF5">
        <w:rPr>
          <w:rFonts w:ascii="Times New Roman" w:hAnsi="Times New Roman"/>
        </w:rPr>
        <w:t>eneral background on the proposed NESHAP</w:t>
      </w:r>
      <w:r w:rsidRPr="0068644D">
        <w:rPr>
          <w:rFonts w:ascii="Times New Roman" w:hAnsi="Times New Roman"/>
        </w:rPr>
        <w:t>, answer questions, and solicit input from State/local governments.  EPA also consulted with Tribal officials early in the process of developing th</w:t>
      </w:r>
      <w:r w:rsidR="00E47EF5">
        <w:rPr>
          <w:rFonts w:ascii="Times New Roman" w:hAnsi="Times New Roman"/>
        </w:rPr>
        <w:t>e</w:t>
      </w:r>
      <w:r w:rsidRPr="0068644D">
        <w:rPr>
          <w:rFonts w:ascii="Times New Roman" w:hAnsi="Times New Roman"/>
        </w:rPr>
        <w:t xml:space="preserve"> proposed </w:t>
      </w:r>
      <w:r w:rsidR="00E47EF5">
        <w:rPr>
          <w:rFonts w:ascii="Times New Roman" w:hAnsi="Times New Roman"/>
        </w:rPr>
        <w:t>NESHAP</w:t>
      </w:r>
      <w:r w:rsidRPr="0068644D">
        <w:rPr>
          <w:rFonts w:ascii="Times New Roman" w:hAnsi="Times New Roman"/>
        </w:rPr>
        <w:t xml:space="preserve"> to permit them to have meaningful and timely input into its development.  Consultation letters were sent to 584 Tribal leaders.  The letters provided information regarding EPA’s development of NESHAP for EGUs and offered consultation.  Three consultation meetings were requested and held.  </w:t>
      </w:r>
    </w:p>
    <w:p w:rsidR="00576D07" w:rsidRPr="0068644D" w:rsidRDefault="00576D07" w:rsidP="00510D95">
      <w:pPr>
        <w:pStyle w:val="Heading2"/>
        <w:rPr>
          <w:i/>
          <w:iCs w:val="0"/>
        </w:rPr>
      </w:pPr>
      <w:r w:rsidRPr="0068644D">
        <w:rPr>
          <w:i/>
          <w:iCs w:val="0"/>
        </w:rPr>
        <w:t>(d)</w:t>
      </w:r>
      <w:r w:rsidRPr="0068644D">
        <w:rPr>
          <w:i/>
          <w:iCs w:val="0"/>
        </w:rPr>
        <w:tab/>
        <w:t>Effects of Less Frequent Collection</w:t>
      </w:r>
    </w:p>
    <w:p w:rsidR="00576D07" w:rsidRPr="009B35B5" w:rsidRDefault="00576D07" w:rsidP="00576D07">
      <w:pPr>
        <w:pStyle w:val="Para"/>
        <w:rPr>
          <w:rFonts w:ascii="Times New Roman" w:hAnsi="Times New Roman"/>
        </w:rPr>
      </w:pPr>
      <w:r w:rsidRPr="009B35B5">
        <w:rPr>
          <w:rFonts w:ascii="Times New Roman" w:hAnsi="Times New Roman"/>
        </w:rPr>
        <w:t>If the relevant information were collected less frequently, EPA would not be reasonably assured that a plant is in compliance with the standards.</w:t>
      </w:r>
    </w:p>
    <w:p w:rsidR="00576D07" w:rsidRPr="0068644D" w:rsidRDefault="00576D07" w:rsidP="006305AC">
      <w:pPr>
        <w:pStyle w:val="Heading2"/>
        <w:rPr>
          <w:i/>
          <w:iCs w:val="0"/>
        </w:rPr>
      </w:pPr>
      <w:r w:rsidRPr="0068644D">
        <w:rPr>
          <w:i/>
          <w:iCs w:val="0"/>
        </w:rPr>
        <w:t>(e)</w:t>
      </w:r>
      <w:r w:rsidRPr="0068644D">
        <w:rPr>
          <w:i/>
          <w:iCs w:val="0"/>
        </w:rPr>
        <w:tab/>
        <w:t>General Guidelines</w:t>
      </w:r>
    </w:p>
    <w:p w:rsidR="00576D07" w:rsidRPr="009B35B5" w:rsidRDefault="00576D07" w:rsidP="00576D07">
      <w:pPr>
        <w:pStyle w:val="Para"/>
        <w:rPr>
          <w:rFonts w:ascii="Times New Roman" w:hAnsi="Times New Roman"/>
        </w:rPr>
      </w:pPr>
      <w:r w:rsidRPr="009B35B5">
        <w:rPr>
          <w:rFonts w:ascii="Times New Roman" w:hAnsi="Times New Roman"/>
        </w:rPr>
        <w:t>None of the guidelines in 5 CFR 1320.5 are being exceeded.</w:t>
      </w:r>
    </w:p>
    <w:p w:rsidR="00576D07" w:rsidRPr="0068644D" w:rsidRDefault="00576D07" w:rsidP="006305AC">
      <w:pPr>
        <w:pStyle w:val="Heading2"/>
        <w:rPr>
          <w:i/>
          <w:iCs w:val="0"/>
        </w:rPr>
      </w:pPr>
      <w:r w:rsidRPr="0068644D">
        <w:rPr>
          <w:i/>
          <w:iCs w:val="0"/>
        </w:rPr>
        <w:t>(f)</w:t>
      </w:r>
      <w:r w:rsidRPr="0068644D">
        <w:rPr>
          <w:i/>
          <w:iCs w:val="0"/>
        </w:rPr>
        <w:tab/>
        <w:t>Confidentiality</w:t>
      </w:r>
    </w:p>
    <w:p w:rsidR="00576D07" w:rsidRPr="009B35B5" w:rsidRDefault="00576D07" w:rsidP="00576D07">
      <w:pPr>
        <w:pStyle w:val="Para"/>
        <w:rPr>
          <w:rFonts w:ascii="Times New Roman" w:hAnsi="Times New Roman"/>
        </w:rPr>
      </w:pPr>
      <w:r w:rsidRPr="009B35B5">
        <w:rPr>
          <w:rFonts w:ascii="Times New Roman" w:hAnsi="Times New Roman"/>
        </w:rPr>
        <w:t>All information submitted to the Agency for which a claim of confidentiality is made will be safeguarded according to the Agency policies set forth in Title 40, Chapter 1, part 2, subpart B–Confidentiality of Business Information (see 40 CFR 2; 41 FR 36902, September 01, 1976; amended by 43 FR 39999, September 28, 1978; 43 FR 42251, September 28, 1978; 44 FR 17674, March 23, 1979).</w:t>
      </w:r>
    </w:p>
    <w:p w:rsidR="00576D07" w:rsidRPr="0068644D" w:rsidRDefault="00576D07" w:rsidP="006305AC">
      <w:pPr>
        <w:pStyle w:val="Heading2"/>
        <w:rPr>
          <w:i/>
          <w:iCs w:val="0"/>
        </w:rPr>
      </w:pPr>
      <w:r w:rsidRPr="0068644D">
        <w:rPr>
          <w:i/>
          <w:iCs w:val="0"/>
        </w:rPr>
        <w:t>(g)</w:t>
      </w:r>
      <w:r w:rsidRPr="0068644D">
        <w:rPr>
          <w:i/>
          <w:iCs w:val="0"/>
        </w:rPr>
        <w:tab/>
        <w:t>Sensitive Questions</w:t>
      </w:r>
    </w:p>
    <w:p w:rsidR="00576D07" w:rsidRPr="009B35B5" w:rsidRDefault="00576D07" w:rsidP="00576D07">
      <w:pPr>
        <w:pStyle w:val="Para"/>
        <w:rPr>
          <w:rFonts w:ascii="Times New Roman" w:hAnsi="Times New Roman"/>
        </w:rPr>
      </w:pPr>
      <w:r w:rsidRPr="009B35B5">
        <w:rPr>
          <w:rFonts w:ascii="Times New Roman" w:hAnsi="Times New Roman"/>
        </w:rPr>
        <w:t>This section is not applicable because this ICR does not involve matters of a sensitive nature.</w:t>
      </w:r>
    </w:p>
    <w:p w:rsidR="00576D07" w:rsidRPr="009B35B5" w:rsidRDefault="00576D07" w:rsidP="00BC6A4E">
      <w:pPr>
        <w:pStyle w:val="Heading1"/>
      </w:pPr>
      <w:r w:rsidRPr="009B35B5">
        <w:t>4.</w:t>
      </w:r>
      <w:r w:rsidRPr="009B35B5">
        <w:tab/>
        <w:t>The Respondents and the Information Requested</w:t>
      </w:r>
    </w:p>
    <w:p w:rsidR="00576D07" w:rsidRPr="007E09A5" w:rsidRDefault="00576D07" w:rsidP="006305AC">
      <w:pPr>
        <w:pStyle w:val="Heading2"/>
        <w:rPr>
          <w:i/>
          <w:iCs w:val="0"/>
        </w:rPr>
      </w:pPr>
      <w:r w:rsidRPr="0068644D">
        <w:rPr>
          <w:i/>
          <w:iCs w:val="0"/>
        </w:rPr>
        <w:t>(a)</w:t>
      </w:r>
      <w:r w:rsidRPr="0068644D">
        <w:rPr>
          <w:i/>
          <w:iCs w:val="0"/>
        </w:rPr>
        <w:tab/>
        <w:t>Respondents/NAICS C</w:t>
      </w:r>
      <w:r w:rsidRPr="007E09A5">
        <w:rPr>
          <w:i/>
          <w:iCs w:val="0"/>
        </w:rPr>
        <w:t>odes</w:t>
      </w:r>
    </w:p>
    <w:p w:rsidR="00576D07" w:rsidRPr="007E09A5" w:rsidRDefault="00E47EF5" w:rsidP="007E09A5">
      <w:pPr>
        <w:pStyle w:val="Para"/>
        <w:rPr>
          <w:rFonts w:ascii="Times New Roman" w:hAnsi="Times New Roman"/>
        </w:rPr>
      </w:pPr>
      <w:r>
        <w:rPr>
          <w:rFonts w:ascii="Times New Roman" w:hAnsi="Times New Roman"/>
        </w:rPr>
        <w:t>Under</w:t>
      </w:r>
      <w:r w:rsidR="00576D07" w:rsidRPr="007E09A5">
        <w:rPr>
          <w:rFonts w:ascii="Times New Roman" w:hAnsi="Times New Roman"/>
        </w:rPr>
        <w:t xml:space="preserve"> the proposed </w:t>
      </w:r>
      <w:r>
        <w:rPr>
          <w:rFonts w:ascii="Times New Roman" w:hAnsi="Times New Roman"/>
        </w:rPr>
        <w:t>NESHAP</w:t>
      </w:r>
      <w:r w:rsidR="00576D07" w:rsidRPr="007E09A5">
        <w:rPr>
          <w:rFonts w:ascii="Times New Roman" w:hAnsi="Times New Roman"/>
        </w:rPr>
        <w:t xml:space="preserve">, respondents are </w:t>
      </w:r>
      <w:r w:rsidR="007E09A5" w:rsidRPr="007E09A5">
        <w:rPr>
          <w:rFonts w:ascii="Times New Roman" w:hAnsi="Times New Roman"/>
        </w:rPr>
        <w:t xml:space="preserve">1,257 </w:t>
      </w:r>
      <w:r w:rsidR="00576D07" w:rsidRPr="007E09A5">
        <w:rPr>
          <w:rFonts w:ascii="Times New Roman" w:hAnsi="Times New Roman"/>
        </w:rPr>
        <w:t>owners or operators of existing</w:t>
      </w:r>
      <w:r w:rsidR="007E09A5" w:rsidRPr="007E09A5">
        <w:rPr>
          <w:rFonts w:ascii="Times New Roman" w:hAnsi="Times New Roman"/>
        </w:rPr>
        <w:t xml:space="preserve"> </w:t>
      </w:r>
      <w:r>
        <w:rPr>
          <w:rFonts w:ascii="Times New Roman" w:hAnsi="Times New Roman"/>
        </w:rPr>
        <w:t>EGUs</w:t>
      </w:r>
      <w:r w:rsidR="00576D07" w:rsidRPr="007E09A5">
        <w:rPr>
          <w:rFonts w:ascii="Times New Roman" w:hAnsi="Times New Roman"/>
        </w:rPr>
        <w:t>.</w:t>
      </w:r>
      <w:r w:rsidR="007E09A5" w:rsidRPr="007E09A5">
        <w:rPr>
          <w:rFonts w:ascii="Times New Roman" w:hAnsi="Times New Roman"/>
        </w:rPr>
        <w:t xml:space="preserve"> </w:t>
      </w:r>
      <w:r w:rsidR="00576D07" w:rsidRPr="007E09A5">
        <w:rPr>
          <w:rFonts w:ascii="Times New Roman" w:hAnsi="Times New Roman"/>
        </w:rPr>
        <w:t xml:space="preserve"> It is estimated that </w:t>
      </w:r>
      <w:r>
        <w:rPr>
          <w:rFonts w:ascii="Times New Roman" w:hAnsi="Times New Roman"/>
        </w:rPr>
        <w:t>no</w:t>
      </w:r>
      <w:r w:rsidR="007E09A5" w:rsidRPr="007E09A5">
        <w:rPr>
          <w:rFonts w:ascii="Times New Roman" w:hAnsi="Times New Roman"/>
        </w:rPr>
        <w:t xml:space="preserve"> n</w:t>
      </w:r>
      <w:r w:rsidR="00576D07" w:rsidRPr="007E09A5">
        <w:rPr>
          <w:rFonts w:ascii="Times New Roman" w:hAnsi="Times New Roman"/>
        </w:rPr>
        <w:t xml:space="preserve">ew </w:t>
      </w:r>
      <w:r>
        <w:rPr>
          <w:rFonts w:ascii="Times New Roman" w:hAnsi="Times New Roman"/>
        </w:rPr>
        <w:t>EGUs</w:t>
      </w:r>
      <w:r w:rsidR="007E09A5" w:rsidRPr="007E09A5">
        <w:rPr>
          <w:rFonts w:ascii="Times New Roman" w:hAnsi="Times New Roman"/>
        </w:rPr>
        <w:t xml:space="preserve"> will be built </w:t>
      </w:r>
      <w:r>
        <w:rPr>
          <w:rFonts w:ascii="Times New Roman" w:hAnsi="Times New Roman"/>
        </w:rPr>
        <w:t>during the period of this information collection</w:t>
      </w:r>
      <w:r w:rsidR="00576D07" w:rsidRPr="007E09A5">
        <w:rPr>
          <w:rFonts w:ascii="Times New Roman" w:hAnsi="Times New Roman"/>
        </w:rPr>
        <w:t>.</w:t>
      </w:r>
      <w:r w:rsidR="007E09A5" w:rsidRPr="007E09A5">
        <w:rPr>
          <w:rFonts w:ascii="Times New Roman" w:hAnsi="Times New Roman"/>
        </w:rPr>
        <w:t xml:space="preserve"> </w:t>
      </w:r>
      <w:r w:rsidR="00576D07" w:rsidRPr="007E09A5">
        <w:rPr>
          <w:rFonts w:ascii="Times New Roman" w:hAnsi="Times New Roman"/>
        </w:rPr>
        <w:t xml:space="preserve"> All respondents will be subject to the monitoring, recordkeeping, and reporting requirements.</w:t>
      </w:r>
      <w:r w:rsidR="007E09A5" w:rsidRPr="007E09A5">
        <w:rPr>
          <w:rFonts w:ascii="Times New Roman" w:hAnsi="Times New Roman"/>
        </w:rPr>
        <w:t xml:space="preserve"> </w:t>
      </w:r>
      <w:r w:rsidR="00576D07" w:rsidRPr="007E09A5">
        <w:rPr>
          <w:rFonts w:ascii="Times New Roman" w:hAnsi="Times New Roman"/>
        </w:rPr>
        <w:t xml:space="preserve"> The NAICS code for this industry is </w:t>
      </w:r>
      <w:r w:rsidR="007E09A5" w:rsidRPr="007E09A5">
        <w:rPr>
          <w:rFonts w:ascii="Times New Roman" w:hAnsi="Times New Roman"/>
        </w:rPr>
        <w:t>221100</w:t>
      </w:r>
      <w:r w:rsidR="00576D07" w:rsidRPr="007E09A5">
        <w:rPr>
          <w:rFonts w:ascii="Times New Roman" w:hAnsi="Times New Roman"/>
        </w:rPr>
        <w:t xml:space="preserve">, </w:t>
      </w:r>
      <w:r w:rsidR="007E09A5" w:rsidRPr="007E09A5">
        <w:rPr>
          <w:rFonts w:ascii="Times New Roman" w:hAnsi="Times New Roman"/>
        </w:rPr>
        <w:t>Electric Power Generation, Transmission and Distribution</w:t>
      </w:r>
      <w:r w:rsidR="00576D07" w:rsidRPr="007E09A5">
        <w:rPr>
          <w:rFonts w:ascii="Times New Roman" w:hAnsi="Times New Roman"/>
        </w:rPr>
        <w:t>.</w:t>
      </w:r>
      <w:r>
        <w:rPr>
          <w:rFonts w:ascii="Times New Roman" w:hAnsi="Times New Roman"/>
        </w:rPr>
        <w:t xml:space="preserve">  There are no respondents under the proposed NSPS amendments</w:t>
      </w:r>
      <w:r w:rsidR="00D51AC1">
        <w:rPr>
          <w:rFonts w:ascii="Times New Roman" w:hAnsi="Times New Roman"/>
        </w:rPr>
        <w:t xml:space="preserve"> because no new EGUs are projected to be built.</w:t>
      </w:r>
    </w:p>
    <w:p w:rsidR="00576D07" w:rsidRPr="0068644D" w:rsidRDefault="00576D07" w:rsidP="006305AC">
      <w:pPr>
        <w:pStyle w:val="Heading2"/>
        <w:rPr>
          <w:i/>
          <w:iCs w:val="0"/>
        </w:rPr>
      </w:pPr>
      <w:r w:rsidRPr="0068644D">
        <w:rPr>
          <w:i/>
          <w:iCs w:val="0"/>
        </w:rPr>
        <w:t>(b) Information Requested</w:t>
      </w:r>
    </w:p>
    <w:p w:rsidR="005332CE" w:rsidRPr="0068644D" w:rsidRDefault="00576D07" w:rsidP="005332CE">
      <w:pPr>
        <w:pStyle w:val="Heading2"/>
        <w:rPr>
          <w:i/>
          <w:iCs w:val="0"/>
        </w:rPr>
      </w:pPr>
      <w:r w:rsidRPr="0068644D">
        <w:rPr>
          <w:i/>
          <w:iCs w:val="0"/>
        </w:rPr>
        <w:t>(</w:t>
      </w:r>
      <w:proofErr w:type="spellStart"/>
      <w:r w:rsidRPr="0068644D">
        <w:rPr>
          <w:i/>
          <w:iCs w:val="0"/>
        </w:rPr>
        <w:t>i</w:t>
      </w:r>
      <w:proofErr w:type="spellEnd"/>
      <w:r w:rsidRPr="0068644D">
        <w:rPr>
          <w:i/>
          <w:iCs w:val="0"/>
        </w:rPr>
        <w:t xml:space="preserve">) Data Items, Including Recordkeeping Requirements. </w:t>
      </w:r>
    </w:p>
    <w:p w:rsidR="00576D07" w:rsidRPr="00500F7C" w:rsidRDefault="00576D07" w:rsidP="00576D07">
      <w:pPr>
        <w:pStyle w:val="Para"/>
        <w:rPr>
          <w:rFonts w:ascii="Times New Roman" w:hAnsi="Times New Roman"/>
        </w:rPr>
      </w:pPr>
      <w:r w:rsidRPr="00500F7C">
        <w:rPr>
          <w:rFonts w:ascii="Times New Roman" w:hAnsi="Times New Roman"/>
        </w:rPr>
        <w:t>Exhibit 1 (Source Data and Information Requirements) summarizes the final recordkeeping and reporting requirements.</w:t>
      </w:r>
    </w:p>
    <w:p w:rsidR="005332CE" w:rsidRPr="0068644D" w:rsidRDefault="00576D07" w:rsidP="005332CE">
      <w:pPr>
        <w:pStyle w:val="Heading2"/>
        <w:rPr>
          <w:i/>
          <w:iCs w:val="0"/>
        </w:rPr>
      </w:pPr>
      <w:r w:rsidRPr="0068644D">
        <w:rPr>
          <w:i/>
          <w:iCs w:val="0"/>
        </w:rPr>
        <w:lastRenderedPageBreak/>
        <w:t xml:space="preserve">(ii) Respondent Activities. </w:t>
      </w:r>
    </w:p>
    <w:p w:rsidR="00576D07" w:rsidRPr="00500F7C" w:rsidRDefault="00576D07" w:rsidP="00576D07">
      <w:pPr>
        <w:pStyle w:val="Para"/>
        <w:rPr>
          <w:rFonts w:ascii="Times New Roman" w:hAnsi="Times New Roman"/>
        </w:rPr>
      </w:pPr>
      <w:r w:rsidRPr="00500F7C">
        <w:rPr>
          <w:rFonts w:ascii="Times New Roman" w:hAnsi="Times New Roman"/>
        </w:rPr>
        <w:t xml:space="preserve">The respondent activities required by the </w:t>
      </w:r>
      <w:r w:rsidR="00D51AC1">
        <w:rPr>
          <w:rFonts w:ascii="Times New Roman" w:hAnsi="Times New Roman"/>
        </w:rPr>
        <w:t>proposed NESHAP</w:t>
      </w:r>
      <w:r w:rsidRPr="00500F7C">
        <w:rPr>
          <w:rFonts w:ascii="Times New Roman" w:hAnsi="Times New Roman"/>
        </w:rPr>
        <w:t xml:space="preserve"> are introduced in section 6(a).</w:t>
      </w:r>
    </w:p>
    <w:p w:rsidR="009B35B5" w:rsidRPr="009B35B5" w:rsidRDefault="009B35B5" w:rsidP="009B35B5">
      <w:pPr>
        <w:pStyle w:val="Para"/>
        <w:rPr>
          <w:rFonts w:ascii="Times New Roman" w:hAnsi="Times New Roman"/>
        </w:rPr>
      </w:pPr>
      <w:r w:rsidRPr="009B35B5">
        <w:rPr>
          <w:rFonts w:ascii="Times New Roman" w:hAnsi="Times New Roman"/>
        </w:rPr>
        <w:t>In setting the standards, the CAA requires us to consider alternative emission control approaches, taking into account the estimated costs and benefits, as well as the energy, solid waste and other effects.  EPA requests comment on whether it has identified the appropriate alternatives and whether the proposed standards adequately take into consideration the incremental effects in terms of emission reductions, energy</w:t>
      </w:r>
      <w:r w:rsidR="0068644D">
        <w:rPr>
          <w:rFonts w:ascii="Times New Roman" w:hAnsi="Times New Roman"/>
        </w:rPr>
        <w:t>,</w:t>
      </w:r>
      <w:r w:rsidRPr="009B35B5">
        <w:rPr>
          <w:rFonts w:ascii="Times New Roman" w:hAnsi="Times New Roman"/>
        </w:rPr>
        <w:t xml:space="preserve"> and other effects of these alternatives.  EPA will consider the available information in developing the final rule.</w:t>
      </w:r>
    </w:p>
    <w:p w:rsidR="009B35B5" w:rsidRPr="009B35B5" w:rsidRDefault="009B35B5" w:rsidP="00256CB3">
      <w:pPr>
        <w:pStyle w:val="Para"/>
        <w:rPr>
          <w:rFonts w:ascii="Times New Roman" w:hAnsi="Times New Roman"/>
        </w:rPr>
      </w:pPr>
      <w:r w:rsidRPr="009B35B5">
        <w:rPr>
          <w:rFonts w:ascii="Times New Roman" w:hAnsi="Times New Roman"/>
        </w:rPr>
        <w:t xml:space="preserve">The costs, environmental, energy, and economic impacts are typically expressed as incremental differences between the impacts of owners/operators of facilities complying with the proposed </w:t>
      </w:r>
      <w:r w:rsidR="00DF5084">
        <w:rPr>
          <w:rFonts w:ascii="Times New Roman" w:hAnsi="Times New Roman"/>
        </w:rPr>
        <w:t>NSPS amendments</w:t>
      </w:r>
      <w:r w:rsidRPr="009B35B5">
        <w:rPr>
          <w:rFonts w:ascii="Times New Roman" w:hAnsi="Times New Roman"/>
        </w:rPr>
        <w:t xml:space="preserve"> and the current NSPS emission standards (i.e., baseline).  However, for EGUs this would not accurately represent actual costs and benefits of the proposed amendments.  Requirements of the New Source Review (NSR) program often result in new utility units installing controls beyond what is required by the existing NSPS.  In addition, owners/operators of new EGUs subject to the requirements of the Clean Air Transport Rule will likely elect to minimize operating costs by operat</w:t>
      </w:r>
      <w:r w:rsidR="00256CB3">
        <w:rPr>
          <w:rFonts w:ascii="Times New Roman" w:hAnsi="Times New Roman"/>
        </w:rPr>
        <w:t>ing</w:t>
      </w:r>
      <w:r w:rsidRPr="009B35B5">
        <w:rPr>
          <w:rFonts w:ascii="Times New Roman" w:hAnsi="Times New Roman"/>
        </w:rPr>
        <w:t xml:space="preserve"> at SO</w:t>
      </w:r>
      <w:r w:rsidRPr="0068644D">
        <w:rPr>
          <w:rFonts w:ascii="Times New Roman" w:hAnsi="Times New Roman"/>
          <w:vertAlign w:val="subscript"/>
        </w:rPr>
        <w:t>2</w:t>
      </w:r>
      <w:r w:rsidRPr="009B35B5">
        <w:rPr>
          <w:rFonts w:ascii="Times New Roman" w:hAnsi="Times New Roman"/>
        </w:rPr>
        <w:t xml:space="preserve"> and NO</w:t>
      </w:r>
      <w:r w:rsidRPr="0068644D">
        <w:rPr>
          <w:rFonts w:ascii="Times New Roman" w:hAnsi="Times New Roman"/>
          <w:vertAlign w:val="subscript"/>
        </w:rPr>
        <w:t>X</w:t>
      </w:r>
      <w:r w:rsidRPr="009B35B5">
        <w:rPr>
          <w:rFonts w:ascii="Times New Roman" w:hAnsi="Times New Roman"/>
        </w:rPr>
        <w:t xml:space="preserve"> emission rates lower than what is required by the existing NSPS.  Finally, the EGU NESHAP PM and SO</w:t>
      </w:r>
      <w:r w:rsidRPr="0068644D">
        <w:rPr>
          <w:rFonts w:ascii="Times New Roman" w:hAnsi="Times New Roman"/>
          <w:vertAlign w:val="subscript"/>
        </w:rPr>
        <w:t>2</w:t>
      </w:r>
      <w:r w:rsidRPr="009B35B5">
        <w:rPr>
          <w:rFonts w:ascii="Times New Roman" w:hAnsi="Times New Roman"/>
        </w:rPr>
        <w:t xml:space="preserve"> standards for new facilities are as stringent or more stringent than the proposed NSPS </w:t>
      </w:r>
      <w:r w:rsidRPr="0068644D">
        <w:rPr>
          <w:rFonts w:ascii="Times New Roman" w:hAnsi="Times New Roman"/>
        </w:rPr>
        <w:t>amendments so we have concluded that there are no costs or benefits associated with th</w:t>
      </w:r>
      <w:r w:rsidR="00DF5084">
        <w:rPr>
          <w:rFonts w:ascii="Times New Roman" w:hAnsi="Times New Roman"/>
        </w:rPr>
        <w:t>o</w:t>
      </w:r>
      <w:r w:rsidRPr="0068644D">
        <w:rPr>
          <w:rFonts w:ascii="Times New Roman" w:hAnsi="Times New Roman"/>
        </w:rPr>
        <w:t xml:space="preserve">se amendments.  </w:t>
      </w:r>
      <w:r w:rsidR="00DF5084">
        <w:rPr>
          <w:rFonts w:ascii="Times New Roman" w:hAnsi="Times New Roman"/>
        </w:rPr>
        <w:t>In addition, no new EGUs are projected to be built during the period of the information collection</w:t>
      </w:r>
      <w:r w:rsidRPr="0068644D">
        <w:rPr>
          <w:rFonts w:ascii="Times New Roman" w:hAnsi="Times New Roman"/>
        </w:rPr>
        <w:t>.</w:t>
      </w:r>
      <w:r w:rsidRPr="009B35B5">
        <w:rPr>
          <w:rFonts w:ascii="Times New Roman" w:hAnsi="Times New Roman"/>
        </w:rPr>
        <w:t xml:space="preserve">  </w:t>
      </w:r>
    </w:p>
    <w:p w:rsidR="009B35B5" w:rsidRPr="009B35B5" w:rsidRDefault="009B35B5" w:rsidP="009B35B5">
      <w:pPr>
        <w:pStyle w:val="Para"/>
        <w:rPr>
          <w:rFonts w:ascii="Times New Roman" w:hAnsi="Times New Roman"/>
        </w:rPr>
      </w:pPr>
      <w:r w:rsidRPr="009B35B5">
        <w:rPr>
          <w:rFonts w:ascii="Times New Roman" w:hAnsi="Times New Roman"/>
        </w:rPr>
        <w:t xml:space="preserve">While multiple coal-fired EGUs have recently commenced operation and several are presently under construction, no new coal-fired power plants have commenced construction in either 2009 or 2010.  In addition, forecasts of new generation capacity from both the Energy Information Administration and the Edison Electric Institute do not project any new coal-fired power plants will be constructed in the short term.  This is an indication that in the near term </w:t>
      </w:r>
      <w:r w:rsidR="00DF5084">
        <w:rPr>
          <w:rFonts w:ascii="Times New Roman" w:hAnsi="Times New Roman"/>
        </w:rPr>
        <w:t>there will not be any</w:t>
      </w:r>
      <w:r w:rsidRPr="009B35B5">
        <w:rPr>
          <w:rFonts w:ascii="Times New Roman" w:hAnsi="Times New Roman"/>
        </w:rPr>
        <w:t xml:space="preserve"> new coal-fired EGUs </w:t>
      </w:r>
      <w:r w:rsidR="00DF5084">
        <w:rPr>
          <w:rFonts w:ascii="Times New Roman" w:hAnsi="Times New Roman"/>
        </w:rPr>
        <w:t>that would</w:t>
      </w:r>
      <w:r w:rsidRPr="009B35B5">
        <w:rPr>
          <w:rFonts w:ascii="Times New Roman" w:hAnsi="Times New Roman"/>
        </w:rPr>
        <w:t xml:space="preserve"> be subject to the NSPS amendments</w:t>
      </w:r>
      <w:r w:rsidR="00DF5084">
        <w:rPr>
          <w:rFonts w:ascii="Times New Roman" w:hAnsi="Times New Roman"/>
        </w:rPr>
        <w:t xml:space="preserve"> or the NESHAP requirements for new EGUs</w:t>
      </w:r>
      <w:r w:rsidRPr="009B35B5">
        <w:rPr>
          <w:rFonts w:ascii="Times New Roman" w:hAnsi="Times New Roman"/>
        </w:rPr>
        <w:t xml:space="preserve">.  </w:t>
      </w:r>
      <w:r w:rsidR="00DF5084">
        <w:rPr>
          <w:rFonts w:ascii="Times New Roman" w:hAnsi="Times New Roman"/>
        </w:rPr>
        <w:t>B</w:t>
      </w:r>
      <w:r w:rsidR="00DF5084" w:rsidRPr="009B35B5">
        <w:rPr>
          <w:rFonts w:ascii="Times New Roman" w:hAnsi="Times New Roman"/>
        </w:rPr>
        <w:t xml:space="preserve">ecause of fuel supply availability and cost considerations, </w:t>
      </w:r>
      <w:r w:rsidR="00DF5084">
        <w:rPr>
          <w:rFonts w:ascii="Times New Roman" w:hAnsi="Times New Roman"/>
        </w:rPr>
        <w:t>EPA</w:t>
      </w:r>
      <w:r w:rsidR="00DF5084" w:rsidRPr="009B35B5">
        <w:rPr>
          <w:rFonts w:ascii="Times New Roman" w:hAnsi="Times New Roman"/>
        </w:rPr>
        <w:t xml:space="preserve"> </w:t>
      </w:r>
      <w:r w:rsidR="00DF5084">
        <w:rPr>
          <w:rFonts w:ascii="Times New Roman" w:hAnsi="Times New Roman"/>
        </w:rPr>
        <w:t>projects</w:t>
      </w:r>
      <w:r w:rsidR="00DF5084" w:rsidRPr="007E09A5">
        <w:rPr>
          <w:rFonts w:ascii="Times New Roman" w:hAnsi="Times New Roman"/>
        </w:rPr>
        <w:t xml:space="preserve"> no new oil-fired </w:t>
      </w:r>
      <w:r w:rsidR="00DF5084">
        <w:rPr>
          <w:rFonts w:ascii="Times New Roman" w:hAnsi="Times New Roman"/>
        </w:rPr>
        <w:t>EGUs</w:t>
      </w:r>
      <w:r w:rsidR="00DF5084" w:rsidRPr="007E09A5">
        <w:rPr>
          <w:rFonts w:ascii="Times New Roman" w:hAnsi="Times New Roman"/>
        </w:rPr>
        <w:t xml:space="preserve"> will be built during the next 5 years</w:t>
      </w:r>
      <w:r w:rsidR="00DF5084">
        <w:rPr>
          <w:rFonts w:ascii="Times New Roman" w:hAnsi="Times New Roman"/>
        </w:rPr>
        <w:t xml:space="preserve">.  </w:t>
      </w:r>
      <w:r w:rsidR="00167C66">
        <w:rPr>
          <w:rFonts w:ascii="Times New Roman" w:hAnsi="Times New Roman"/>
        </w:rPr>
        <w:t>Thus, there would not be any new oil-fired EGUs that would</w:t>
      </w:r>
      <w:r w:rsidR="00167C66" w:rsidRPr="009B35B5">
        <w:rPr>
          <w:rFonts w:ascii="Times New Roman" w:hAnsi="Times New Roman"/>
        </w:rPr>
        <w:t xml:space="preserve"> be subject to the NSPS amendments</w:t>
      </w:r>
      <w:r w:rsidR="00167C66">
        <w:rPr>
          <w:rFonts w:ascii="Times New Roman" w:hAnsi="Times New Roman"/>
        </w:rPr>
        <w:t xml:space="preserve"> or the NESHAP requirements for new EGUs.</w:t>
      </w:r>
      <w:r w:rsidR="00167C66" w:rsidRPr="009B35B5">
        <w:rPr>
          <w:rFonts w:ascii="Times New Roman" w:hAnsi="Times New Roman"/>
        </w:rPr>
        <w:t xml:space="preserve"> </w:t>
      </w:r>
      <w:r w:rsidR="00167C66">
        <w:rPr>
          <w:rFonts w:ascii="Times New Roman" w:hAnsi="Times New Roman"/>
        </w:rPr>
        <w:t xml:space="preserve"> </w:t>
      </w:r>
      <w:r w:rsidRPr="009B35B5">
        <w:rPr>
          <w:rFonts w:ascii="Times New Roman" w:hAnsi="Times New Roman"/>
        </w:rPr>
        <w:t xml:space="preserve">All new natural gas-fired </w:t>
      </w:r>
      <w:r w:rsidR="00167C66">
        <w:rPr>
          <w:rFonts w:ascii="Times New Roman" w:hAnsi="Times New Roman"/>
        </w:rPr>
        <w:t xml:space="preserve">EGUs </w:t>
      </w:r>
      <w:r w:rsidRPr="009B35B5">
        <w:rPr>
          <w:rFonts w:ascii="Times New Roman" w:hAnsi="Times New Roman"/>
        </w:rPr>
        <w:t xml:space="preserve">built in the foreseeable future </w:t>
      </w:r>
      <w:r w:rsidR="00167C66">
        <w:rPr>
          <w:rFonts w:ascii="Times New Roman" w:hAnsi="Times New Roman"/>
        </w:rPr>
        <w:t>are</w:t>
      </w:r>
      <w:r w:rsidRPr="009B35B5">
        <w:rPr>
          <w:rFonts w:ascii="Times New Roman" w:hAnsi="Times New Roman"/>
        </w:rPr>
        <w:t xml:space="preserve"> likely </w:t>
      </w:r>
      <w:r w:rsidR="00167C66">
        <w:rPr>
          <w:rFonts w:ascii="Times New Roman" w:hAnsi="Times New Roman"/>
        </w:rPr>
        <w:t xml:space="preserve">to </w:t>
      </w:r>
      <w:r w:rsidRPr="009B35B5">
        <w:rPr>
          <w:rFonts w:ascii="Times New Roman" w:hAnsi="Times New Roman"/>
        </w:rPr>
        <w:t xml:space="preserve">be combined cycle units or combustion turbine peaking units and, thus not subject to subpart </w:t>
      </w:r>
      <w:proofErr w:type="spellStart"/>
      <w:r w:rsidRPr="009B35B5">
        <w:rPr>
          <w:rFonts w:ascii="Times New Roman" w:hAnsi="Times New Roman"/>
        </w:rPr>
        <w:t>Da</w:t>
      </w:r>
      <w:proofErr w:type="spellEnd"/>
      <w:r w:rsidR="00167C66">
        <w:rPr>
          <w:rFonts w:ascii="Times New Roman" w:hAnsi="Times New Roman"/>
        </w:rPr>
        <w:t xml:space="preserve"> of</w:t>
      </w:r>
      <w:r w:rsidRPr="009B35B5">
        <w:rPr>
          <w:rFonts w:ascii="Times New Roman" w:hAnsi="Times New Roman"/>
        </w:rPr>
        <w:t xml:space="preserve"> 40 CFR part 60, but instead subject to the NSPS for combustion turbines under subpart KKKK</w:t>
      </w:r>
      <w:r w:rsidR="00167C66">
        <w:rPr>
          <w:rFonts w:ascii="Times New Roman" w:hAnsi="Times New Roman"/>
        </w:rPr>
        <w:t xml:space="preserve"> of</w:t>
      </w:r>
      <w:r w:rsidRPr="009B35B5">
        <w:rPr>
          <w:rFonts w:ascii="Times New Roman" w:hAnsi="Times New Roman"/>
        </w:rPr>
        <w:t xml:space="preserve"> 40 CFR part 60. </w:t>
      </w:r>
    </w:p>
    <w:p w:rsidR="005332CE" w:rsidRPr="0068644D" w:rsidRDefault="008677D2" w:rsidP="005332CE">
      <w:pPr>
        <w:pStyle w:val="Heading2"/>
        <w:rPr>
          <w:i/>
          <w:iCs w:val="0"/>
        </w:rPr>
      </w:pPr>
      <w:r w:rsidRPr="0068644D">
        <w:rPr>
          <w:i/>
          <w:iCs w:val="0"/>
        </w:rPr>
        <w:t xml:space="preserve"> </w:t>
      </w:r>
      <w:r w:rsidR="00BC6A4E" w:rsidRPr="0068644D">
        <w:rPr>
          <w:i/>
          <w:iCs w:val="0"/>
        </w:rPr>
        <w:t xml:space="preserve">(iii) Electronic Reporting. </w:t>
      </w:r>
    </w:p>
    <w:p w:rsidR="00167C66" w:rsidRPr="00167C66" w:rsidRDefault="008A6188" w:rsidP="00167C66">
      <w:pPr>
        <w:pStyle w:val="Para"/>
        <w:rPr>
          <w:rFonts w:ascii="Times New Roman" w:hAnsi="Times New Roman"/>
          <w:szCs w:val="24"/>
        </w:rPr>
      </w:pPr>
      <w:r w:rsidRPr="00886238">
        <w:rPr>
          <w:rFonts w:ascii="Times New Roman" w:hAnsi="Times New Roman"/>
        </w:rPr>
        <w:t xml:space="preserve">EPA is proposing that </w:t>
      </w:r>
      <w:r w:rsidR="00886238" w:rsidRPr="00886238">
        <w:rPr>
          <w:rFonts w:ascii="Times New Roman" w:hAnsi="Times New Roman"/>
        </w:rPr>
        <w:t>utility units</w:t>
      </w:r>
      <w:r w:rsidR="006F2EE1" w:rsidRPr="00886238">
        <w:rPr>
          <w:rFonts w:ascii="Times New Roman" w:hAnsi="Times New Roman"/>
        </w:rPr>
        <w:t xml:space="preserve"> have the option of submitting to an EPA electronic database an electronic copy of their required stack test. </w:t>
      </w:r>
      <w:r w:rsidR="004D126B">
        <w:rPr>
          <w:rFonts w:ascii="Times New Roman" w:hAnsi="Times New Roman"/>
        </w:rPr>
        <w:t xml:space="preserve"> </w:t>
      </w:r>
      <w:r w:rsidR="006F2EE1" w:rsidRPr="00886238">
        <w:rPr>
          <w:rFonts w:ascii="Times New Roman" w:hAnsi="Times New Roman"/>
        </w:rPr>
        <w:t xml:space="preserve">This electronic database should become available as of December 31, 2011. </w:t>
      </w:r>
      <w:r w:rsidR="00886238" w:rsidRPr="00886238">
        <w:rPr>
          <w:rFonts w:ascii="Times New Roman" w:hAnsi="Times New Roman"/>
        </w:rPr>
        <w:t xml:space="preserve"> </w:t>
      </w:r>
      <w:r w:rsidR="00BC6A4E" w:rsidRPr="00886238">
        <w:rPr>
          <w:rFonts w:ascii="Times New Roman" w:hAnsi="Times New Roman"/>
        </w:rPr>
        <w:t xml:space="preserve">Currently, sources are using monitoring equipment that provides automated parameter data </w:t>
      </w:r>
      <w:r w:rsidR="00B632F8" w:rsidRPr="00886238">
        <w:rPr>
          <w:rFonts w:ascii="Times New Roman" w:hAnsi="Times New Roman"/>
        </w:rPr>
        <w:t>(</w:t>
      </w:r>
      <w:r w:rsidR="00BC6A4E" w:rsidRPr="00886238">
        <w:rPr>
          <w:rFonts w:ascii="Times New Roman" w:hAnsi="Times New Roman"/>
        </w:rPr>
        <w:t>e.g., continuous opacity monitoring</w:t>
      </w:r>
      <w:r w:rsidR="00B632F8" w:rsidRPr="00886238">
        <w:rPr>
          <w:rFonts w:ascii="Times New Roman" w:hAnsi="Times New Roman"/>
        </w:rPr>
        <w:t>)</w:t>
      </w:r>
      <w:r w:rsidR="00BC6A4E" w:rsidRPr="00886238">
        <w:rPr>
          <w:rFonts w:ascii="Times New Roman" w:hAnsi="Times New Roman"/>
        </w:rPr>
        <w:t xml:space="preserve">. </w:t>
      </w:r>
      <w:r w:rsidR="00886238" w:rsidRPr="00886238">
        <w:rPr>
          <w:rFonts w:ascii="Times New Roman" w:hAnsi="Times New Roman"/>
        </w:rPr>
        <w:t xml:space="preserve"> </w:t>
      </w:r>
      <w:r w:rsidR="00BC6A4E" w:rsidRPr="00886238">
        <w:rPr>
          <w:rFonts w:ascii="Times New Roman" w:hAnsi="Times New Roman"/>
        </w:rPr>
        <w:t>Although personnel at the affected facility must evaluate the</w:t>
      </w:r>
      <w:r w:rsidR="00961ECE" w:rsidRPr="00886238">
        <w:rPr>
          <w:rFonts w:ascii="Times New Roman" w:hAnsi="Times New Roman"/>
        </w:rPr>
        <w:t>se</w:t>
      </w:r>
      <w:r w:rsidR="00BC6A4E" w:rsidRPr="00886238">
        <w:rPr>
          <w:rFonts w:ascii="Times New Roman" w:hAnsi="Times New Roman"/>
        </w:rPr>
        <w:t xml:space="preserve"> data, this type of monitoring equipment has significantly reduced the burden associated with monitoring and recordkeeping. </w:t>
      </w:r>
      <w:r w:rsidR="004D126B">
        <w:rPr>
          <w:rFonts w:ascii="Times New Roman" w:hAnsi="Times New Roman"/>
        </w:rPr>
        <w:t xml:space="preserve"> </w:t>
      </w:r>
      <w:r w:rsidR="00BC6A4E" w:rsidRPr="00886238">
        <w:rPr>
          <w:rFonts w:ascii="Times New Roman" w:hAnsi="Times New Roman"/>
        </w:rPr>
        <w:t xml:space="preserve">In addition, some regulatory </w:t>
      </w:r>
      <w:r w:rsidR="00BC6A4E" w:rsidRPr="00167C66">
        <w:rPr>
          <w:rFonts w:ascii="Times New Roman" w:hAnsi="Times New Roman"/>
          <w:szCs w:val="24"/>
        </w:rPr>
        <w:t>agencies are setting up electronic reporting systems to allow sources to report</w:t>
      </w:r>
      <w:r w:rsidR="00961ECE" w:rsidRPr="00167C66">
        <w:rPr>
          <w:rFonts w:ascii="Times New Roman" w:hAnsi="Times New Roman"/>
          <w:szCs w:val="24"/>
        </w:rPr>
        <w:t xml:space="preserve"> such data</w:t>
      </w:r>
      <w:r w:rsidR="00BC6A4E" w:rsidRPr="00167C66">
        <w:rPr>
          <w:rFonts w:ascii="Times New Roman" w:hAnsi="Times New Roman"/>
          <w:szCs w:val="24"/>
        </w:rPr>
        <w:t xml:space="preserve"> electronically which </w:t>
      </w:r>
      <w:r w:rsidR="00961ECE" w:rsidRPr="00167C66">
        <w:rPr>
          <w:rFonts w:ascii="Times New Roman" w:hAnsi="Times New Roman"/>
          <w:szCs w:val="24"/>
        </w:rPr>
        <w:t>also</w:t>
      </w:r>
      <w:r w:rsidR="00BC6A4E" w:rsidRPr="00167C66">
        <w:rPr>
          <w:rFonts w:ascii="Times New Roman" w:hAnsi="Times New Roman"/>
          <w:szCs w:val="24"/>
        </w:rPr>
        <w:t xml:space="preserve"> reduc</w:t>
      </w:r>
      <w:r w:rsidR="00961ECE" w:rsidRPr="00167C66">
        <w:rPr>
          <w:rFonts w:ascii="Times New Roman" w:hAnsi="Times New Roman"/>
          <w:szCs w:val="24"/>
        </w:rPr>
        <w:t>es</w:t>
      </w:r>
      <w:r w:rsidR="00BC6A4E" w:rsidRPr="00167C66">
        <w:rPr>
          <w:rFonts w:ascii="Times New Roman" w:hAnsi="Times New Roman"/>
          <w:szCs w:val="24"/>
        </w:rPr>
        <w:t xml:space="preserve"> the reporting burden. </w:t>
      </w:r>
      <w:r w:rsidR="00886238" w:rsidRPr="00167C66">
        <w:rPr>
          <w:rFonts w:ascii="Times New Roman" w:hAnsi="Times New Roman"/>
          <w:szCs w:val="24"/>
        </w:rPr>
        <w:t xml:space="preserve"> </w:t>
      </w:r>
      <w:r w:rsidR="00BC6A4E" w:rsidRPr="00167C66">
        <w:rPr>
          <w:rFonts w:ascii="Times New Roman" w:hAnsi="Times New Roman"/>
          <w:szCs w:val="24"/>
        </w:rPr>
        <w:t xml:space="preserve">It is estimated that approximately 10 percent of the respondents </w:t>
      </w:r>
      <w:r w:rsidR="006F2EE1" w:rsidRPr="00167C66">
        <w:rPr>
          <w:rFonts w:ascii="Times New Roman" w:hAnsi="Times New Roman"/>
          <w:szCs w:val="24"/>
        </w:rPr>
        <w:t xml:space="preserve">currently </w:t>
      </w:r>
      <w:r w:rsidR="00BC6A4E" w:rsidRPr="00167C66">
        <w:rPr>
          <w:rFonts w:ascii="Times New Roman" w:hAnsi="Times New Roman"/>
          <w:szCs w:val="24"/>
        </w:rPr>
        <w:t>use electronic reporting.</w:t>
      </w:r>
    </w:p>
    <w:p w:rsidR="00576D07" w:rsidRPr="00167C66" w:rsidRDefault="00576D07" w:rsidP="00167C66">
      <w:pPr>
        <w:pStyle w:val="Para"/>
        <w:ind w:firstLine="0"/>
        <w:rPr>
          <w:rFonts w:ascii="Times New Roman" w:hAnsi="Times New Roman"/>
          <w:b/>
          <w:szCs w:val="24"/>
        </w:rPr>
      </w:pPr>
      <w:r w:rsidRPr="00167C66">
        <w:rPr>
          <w:rFonts w:ascii="Times New Roman" w:hAnsi="Times New Roman"/>
          <w:b/>
          <w:szCs w:val="24"/>
        </w:rPr>
        <w:lastRenderedPageBreak/>
        <w:t>5.</w:t>
      </w:r>
      <w:r w:rsidRPr="00167C66">
        <w:rPr>
          <w:rFonts w:ascii="Times New Roman" w:hAnsi="Times New Roman"/>
          <w:b/>
          <w:szCs w:val="24"/>
        </w:rPr>
        <w:tab/>
        <w:t xml:space="preserve">The Information </w:t>
      </w:r>
      <w:r w:rsidR="006305AC" w:rsidRPr="00167C66">
        <w:rPr>
          <w:rFonts w:ascii="Times New Roman" w:hAnsi="Times New Roman"/>
          <w:b/>
          <w:szCs w:val="24"/>
        </w:rPr>
        <w:t>Collected</w:t>
      </w:r>
      <w:r w:rsidR="006F2EE1" w:rsidRPr="00167C66">
        <w:rPr>
          <w:rFonts w:ascii="Times New Roman" w:hAnsi="Times New Roman"/>
          <w:b/>
          <w:szCs w:val="24"/>
        </w:rPr>
        <w:t>:</w:t>
      </w:r>
      <w:r w:rsidR="006305AC" w:rsidRPr="00167C66">
        <w:rPr>
          <w:rFonts w:ascii="Times New Roman" w:hAnsi="Times New Roman"/>
          <w:b/>
          <w:szCs w:val="24"/>
        </w:rPr>
        <w:t xml:space="preserve"> Agency</w:t>
      </w:r>
      <w:r w:rsidRPr="00167C66">
        <w:rPr>
          <w:rFonts w:ascii="Times New Roman" w:hAnsi="Times New Roman"/>
          <w:b/>
          <w:szCs w:val="24"/>
        </w:rPr>
        <w:t xml:space="preserve"> Activities, Collection Methodology, and Information Management</w:t>
      </w:r>
    </w:p>
    <w:p w:rsidR="00576D07" w:rsidRPr="00167C66" w:rsidRDefault="00576D07" w:rsidP="006305AC">
      <w:pPr>
        <w:pStyle w:val="Heading2"/>
        <w:rPr>
          <w:i/>
          <w:iCs w:val="0"/>
          <w:szCs w:val="24"/>
        </w:rPr>
      </w:pPr>
      <w:r w:rsidRPr="00167C66">
        <w:rPr>
          <w:i/>
          <w:iCs w:val="0"/>
          <w:szCs w:val="24"/>
        </w:rPr>
        <w:t>(a)</w:t>
      </w:r>
      <w:r w:rsidRPr="00167C66">
        <w:rPr>
          <w:i/>
          <w:iCs w:val="0"/>
          <w:szCs w:val="24"/>
        </w:rPr>
        <w:tab/>
        <w:t>Agency Activities</w:t>
      </w:r>
    </w:p>
    <w:p w:rsidR="00D53BA6" w:rsidRPr="00167C66" w:rsidRDefault="00D53BA6" w:rsidP="00D53BA6">
      <w:pPr>
        <w:pStyle w:val="Para"/>
        <w:rPr>
          <w:rFonts w:ascii="Times New Roman" w:hAnsi="Times New Roman"/>
          <w:szCs w:val="24"/>
        </w:rPr>
      </w:pPr>
      <w:r w:rsidRPr="00167C66">
        <w:rPr>
          <w:rFonts w:ascii="Times New Roman" w:hAnsi="Times New Roman"/>
          <w:szCs w:val="24"/>
        </w:rPr>
        <w:t>EPA conducts the following activities in connection with the acquisition, analysis, storage, and distribution of the required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D53BA6" w:rsidRPr="00167C66" w:rsidTr="003B6EA8">
        <w:tc>
          <w:tcPr>
            <w:tcW w:w="9360" w:type="dxa"/>
            <w:vAlign w:val="center"/>
          </w:tcPr>
          <w:p w:rsidR="00D53BA6" w:rsidRPr="00167C66" w:rsidRDefault="00D53BA6" w:rsidP="00D53BA6">
            <w:pPr>
              <w:pStyle w:val="TableHeader"/>
              <w:rPr>
                <w:rFonts w:ascii="Times New Roman" w:hAnsi="Times New Roman"/>
                <w:sz w:val="24"/>
                <w:szCs w:val="24"/>
                <w:highlight w:val="yellow"/>
              </w:rPr>
            </w:pPr>
            <w:r w:rsidRPr="00167C66">
              <w:rPr>
                <w:rFonts w:ascii="Times New Roman" w:hAnsi="Times New Roman"/>
                <w:sz w:val="24"/>
                <w:szCs w:val="24"/>
              </w:rPr>
              <w:t>Agency Activities</w:t>
            </w:r>
          </w:p>
        </w:tc>
      </w:tr>
      <w:tr w:rsidR="00D53BA6" w:rsidRPr="00167C66" w:rsidTr="003B6EA8">
        <w:tc>
          <w:tcPr>
            <w:tcW w:w="9360" w:type="dxa"/>
            <w:vAlign w:val="center"/>
          </w:tcPr>
          <w:p w:rsidR="00D53BA6" w:rsidRPr="00167C66" w:rsidRDefault="00D53BA6" w:rsidP="00D53BA6">
            <w:pPr>
              <w:pStyle w:val="TableRow"/>
              <w:rPr>
                <w:rFonts w:ascii="Times New Roman" w:hAnsi="Times New Roman"/>
                <w:sz w:val="24"/>
                <w:szCs w:val="24"/>
              </w:rPr>
            </w:pPr>
            <w:r w:rsidRPr="00167C66">
              <w:rPr>
                <w:rFonts w:ascii="Times New Roman" w:hAnsi="Times New Roman"/>
                <w:sz w:val="24"/>
                <w:szCs w:val="24"/>
              </w:rPr>
              <w:t>Observe initial performance tests and repeat performance tests, if necessary.</w:t>
            </w:r>
          </w:p>
        </w:tc>
      </w:tr>
      <w:tr w:rsidR="00D53BA6" w:rsidRPr="00167C66" w:rsidTr="003B6EA8">
        <w:trPr>
          <w:trHeight w:val="413"/>
        </w:trPr>
        <w:tc>
          <w:tcPr>
            <w:tcW w:w="9360" w:type="dxa"/>
            <w:vAlign w:val="center"/>
          </w:tcPr>
          <w:p w:rsidR="00D53BA6" w:rsidRPr="00167C66" w:rsidRDefault="00D53BA6" w:rsidP="00D53BA6">
            <w:pPr>
              <w:pStyle w:val="TableRow"/>
              <w:rPr>
                <w:rFonts w:ascii="Times New Roman" w:hAnsi="Times New Roman"/>
                <w:sz w:val="24"/>
                <w:szCs w:val="24"/>
              </w:rPr>
            </w:pPr>
            <w:r w:rsidRPr="00167C66">
              <w:rPr>
                <w:rFonts w:ascii="Times New Roman" w:hAnsi="Times New Roman"/>
                <w:sz w:val="24"/>
                <w:szCs w:val="24"/>
              </w:rPr>
              <w:t>Review notifications and reports, including performance test reports, and excess emissions reports, required to be submitted by industry.</w:t>
            </w:r>
          </w:p>
        </w:tc>
      </w:tr>
      <w:tr w:rsidR="00D53BA6" w:rsidRPr="00167C66" w:rsidTr="003B6EA8">
        <w:trPr>
          <w:trHeight w:val="413"/>
        </w:trPr>
        <w:tc>
          <w:tcPr>
            <w:tcW w:w="9360" w:type="dxa"/>
            <w:vAlign w:val="center"/>
          </w:tcPr>
          <w:p w:rsidR="00D53BA6" w:rsidRPr="00167C66" w:rsidRDefault="00D53BA6" w:rsidP="00D53BA6">
            <w:pPr>
              <w:pStyle w:val="TableRow"/>
              <w:rPr>
                <w:rFonts w:ascii="Times New Roman" w:hAnsi="Times New Roman"/>
                <w:sz w:val="24"/>
                <w:szCs w:val="24"/>
              </w:rPr>
            </w:pPr>
            <w:r w:rsidRPr="00167C66">
              <w:rPr>
                <w:rFonts w:ascii="Times New Roman" w:hAnsi="Times New Roman"/>
                <w:sz w:val="24"/>
                <w:szCs w:val="24"/>
              </w:rPr>
              <w:t>Audit plant records.</w:t>
            </w:r>
          </w:p>
        </w:tc>
      </w:tr>
      <w:tr w:rsidR="00D53BA6" w:rsidRPr="00167C66" w:rsidTr="003B6EA8">
        <w:tc>
          <w:tcPr>
            <w:tcW w:w="9360" w:type="dxa"/>
            <w:vAlign w:val="center"/>
          </w:tcPr>
          <w:p w:rsidR="00D53BA6" w:rsidRPr="00167C66" w:rsidRDefault="00D53BA6" w:rsidP="00D53BA6">
            <w:pPr>
              <w:pStyle w:val="TableRow"/>
              <w:rPr>
                <w:rFonts w:ascii="Times New Roman" w:hAnsi="Times New Roman"/>
                <w:b/>
                <w:bCs/>
                <w:sz w:val="24"/>
                <w:szCs w:val="24"/>
              </w:rPr>
            </w:pPr>
            <w:r w:rsidRPr="00167C66">
              <w:rPr>
                <w:rFonts w:ascii="Times New Roman" w:hAnsi="Times New Roman"/>
                <w:sz w:val="24"/>
                <w:szCs w:val="24"/>
              </w:rPr>
              <w:t>Input, analyze, and maintain data in the AIRS Facility Subsystem (AFS) database.</w:t>
            </w:r>
          </w:p>
        </w:tc>
      </w:tr>
    </w:tbl>
    <w:p w:rsidR="00576D07" w:rsidRPr="00167C66" w:rsidRDefault="00576D07" w:rsidP="007F5F0B">
      <w:pPr>
        <w:pStyle w:val="Heading2"/>
        <w:rPr>
          <w:i/>
          <w:iCs w:val="0"/>
          <w:szCs w:val="24"/>
        </w:rPr>
      </w:pPr>
      <w:r w:rsidRPr="00167C66">
        <w:rPr>
          <w:i/>
          <w:iCs w:val="0"/>
          <w:szCs w:val="24"/>
        </w:rPr>
        <w:t>(b)</w:t>
      </w:r>
      <w:r w:rsidRPr="00167C66">
        <w:rPr>
          <w:i/>
          <w:iCs w:val="0"/>
          <w:szCs w:val="24"/>
        </w:rPr>
        <w:tab/>
        <w:t>Collection Methodology and Management</w:t>
      </w:r>
    </w:p>
    <w:p w:rsidR="00D53BA6" w:rsidRPr="009B35B5" w:rsidRDefault="00D53BA6" w:rsidP="00D53BA6">
      <w:pPr>
        <w:pStyle w:val="Para"/>
        <w:rPr>
          <w:rFonts w:ascii="Times New Roman" w:hAnsi="Times New Roman"/>
        </w:rPr>
      </w:pPr>
      <w:r w:rsidRPr="00167C66">
        <w:rPr>
          <w:rFonts w:ascii="Times New Roman" w:hAnsi="Times New Roman"/>
          <w:szCs w:val="24"/>
        </w:rPr>
        <w:t xml:space="preserve">Following notification of startup, the reviewing authority might inspect the source to determine whether the pollution control devices are properly installed and operated. </w:t>
      </w:r>
      <w:r w:rsidR="009B35B5" w:rsidRPr="00167C66">
        <w:rPr>
          <w:rFonts w:ascii="Times New Roman" w:hAnsi="Times New Roman"/>
          <w:szCs w:val="24"/>
        </w:rPr>
        <w:t xml:space="preserve"> </w:t>
      </w:r>
      <w:r w:rsidRPr="00167C66">
        <w:rPr>
          <w:rFonts w:ascii="Times New Roman" w:hAnsi="Times New Roman"/>
          <w:szCs w:val="24"/>
        </w:rPr>
        <w:t>Performance test reports are used by the Agency to discern a source’s</w:t>
      </w:r>
      <w:r w:rsidRPr="009B35B5">
        <w:rPr>
          <w:rFonts w:ascii="Times New Roman" w:hAnsi="Times New Roman"/>
        </w:rPr>
        <w:t xml:space="preserve">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D53BA6" w:rsidRPr="00265BC5" w:rsidRDefault="00D53BA6" w:rsidP="00D53BA6">
      <w:pPr>
        <w:pStyle w:val="Para"/>
        <w:rPr>
          <w:rFonts w:ascii="Times New Roman" w:hAnsi="Times New Roman"/>
        </w:rPr>
      </w:pPr>
      <w:r w:rsidRPr="009B35B5">
        <w:rPr>
          <w:rFonts w:ascii="Times New Roman" w:hAnsi="Times New Roman"/>
        </w:rPr>
        <w:t xml:space="preserve">Information contained in the reports is entered into the AIRS Facility Subsystem (AFS) which is operated and maintained by EPA’s Office of Compliance. </w:t>
      </w:r>
      <w:r w:rsidR="009B35B5" w:rsidRPr="009B35B5">
        <w:rPr>
          <w:rFonts w:ascii="Times New Roman" w:hAnsi="Times New Roman"/>
        </w:rPr>
        <w:t xml:space="preserve"> </w:t>
      </w:r>
      <w:r w:rsidRPr="009B35B5">
        <w:rPr>
          <w:rFonts w:ascii="Times New Roman" w:hAnsi="Times New Roman"/>
        </w:rPr>
        <w:t xml:space="preserve">AFS is EPA’s database for the collection, maintenance, and retrieval of compliance and annual emission inventory data for over 125,000 industrial and </w:t>
      </w:r>
      <w:r w:rsidR="009B35B5" w:rsidRPr="009B35B5">
        <w:rPr>
          <w:rFonts w:ascii="Times New Roman" w:hAnsi="Times New Roman"/>
        </w:rPr>
        <w:t>government owned</w:t>
      </w:r>
      <w:r w:rsidRPr="009B35B5">
        <w:rPr>
          <w:rFonts w:ascii="Times New Roman" w:hAnsi="Times New Roman"/>
        </w:rPr>
        <w:t xml:space="preserve"> facilities. </w:t>
      </w:r>
      <w:r w:rsidR="009B35B5" w:rsidRPr="009B35B5">
        <w:rPr>
          <w:rFonts w:ascii="Times New Roman" w:hAnsi="Times New Roman"/>
        </w:rPr>
        <w:t xml:space="preserve"> </w:t>
      </w:r>
      <w:r w:rsidRPr="009B35B5">
        <w:rPr>
          <w:rFonts w:ascii="Times New Roman" w:hAnsi="Times New Roman"/>
        </w:rPr>
        <w:t xml:space="preserve">EPA uses the AFS for tracking air pollution </w:t>
      </w:r>
      <w:r w:rsidRPr="00265BC5">
        <w:rPr>
          <w:rFonts w:ascii="Times New Roman" w:hAnsi="Times New Roman"/>
        </w:rPr>
        <w:t xml:space="preserve">compliance and enforcement by local and state regulatory agencies, EPA regional offices and EPA headquarters. </w:t>
      </w:r>
      <w:r w:rsidR="009B35B5" w:rsidRPr="00265BC5">
        <w:rPr>
          <w:rFonts w:ascii="Times New Roman" w:hAnsi="Times New Roman"/>
        </w:rPr>
        <w:t xml:space="preserve"> </w:t>
      </w:r>
      <w:r w:rsidRPr="00265BC5">
        <w:rPr>
          <w:rFonts w:ascii="Times New Roman" w:hAnsi="Times New Roman"/>
        </w:rPr>
        <w:t xml:space="preserve">EPA and its delegated Authorities can edit, store, </w:t>
      </w:r>
      <w:r w:rsidR="009B35B5" w:rsidRPr="00265BC5">
        <w:rPr>
          <w:rFonts w:ascii="Times New Roman" w:hAnsi="Times New Roman"/>
        </w:rPr>
        <w:t>retrieve,</w:t>
      </w:r>
      <w:r w:rsidRPr="00265BC5">
        <w:rPr>
          <w:rFonts w:ascii="Times New Roman" w:hAnsi="Times New Roman"/>
        </w:rPr>
        <w:t xml:space="preserve"> and analyze the data.</w:t>
      </w:r>
    </w:p>
    <w:p w:rsidR="00265BC5" w:rsidRPr="00265BC5" w:rsidRDefault="00D53BA6" w:rsidP="00265BC5">
      <w:pPr>
        <w:pStyle w:val="Para"/>
        <w:rPr>
          <w:rFonts w:ascii="Times New Roman" w:hAnsi="Times New Roman"/>
        </w:rPr>
      </w:pPr>
      <w:r w:rsidRPr="00265BC5">
        <w:rPr>
          <w:rFonts w:ascii="Times New Roman" w:hAnsi="Times New Roman"/>
        </w:rPr>
        <w:t>The records required by this regulation must be retained by the owner or operator for five years.</w:t>
      </w:r>
    </w:p>
    <w:p w:rsidR="00576D07" w:rsidRPr="00265BC5" w:rsidRDefault="00576D07" w:rsidP="00265BC5">
      <w:pPr>
        <w:pStyle w:val="Para"/>
        <w:ind w:firstLine="0"/>
        <w:rPr>
          <w:rFonts w:ascii="Times New Roman" w:hAnsi="Times New Roman"/>
          <w:i/>
          <w:iCs/>
        </w:rPr>
      </w:pPr>
      <w:r w:rsidRPr="00265BC5">
        <w:rPr>
          <w:rFonts w:ascii="Times New Roman" w:hAnsi="Times New Roman"/>
          <w:i/>
          <w:iCs/>
        </w:rPr>
        <w:t>(c)</w:t>
      </w:r>
      <w:r w:rsidRPr="00265BC5">
        <w:rPr>
          <w:rFonts w:ascii="Times New Roman" w:hAnsi="Times New Roman"/>
          <w:i/>
          <w:iCs/>
        </w:rPr>
        <w:tab/>
        <w:t>Small Entity Flexibility</w:t>
      </w:r>
    </w:p>
    <w:p w:rsidR="00886238" w:rsidRPr="007E09A5" w:rsidRDefault="00886238" w:rsidP="00886238">
      <w:pPr>
        <w:pStyle w:val="Para"/>
        <w:rPr>
          <w:rFonts w:ascii="Times New Roman" w:hAnsi="Times New Roman"/>
        </w:rPr>
      </w:pPr>
      <w:r w:rsidRPr="00265BC5">
        <w:rPr>
          <w:rFonts w:ascii="Times New Roman" w:hAnsi="Times New Roman"/>
        </w:rPr>
        <w:t xml:space="preserve">During this rulemaking, </w:t>
      </w:r>
      <w:r w:rsidR="00265BC5">
        <w:rPr>
          <w:rFonts w:ascii="Times New Roman" w:hAnsi="Times New Roman"/>
        </w:rPr>
        <w:t>the Agency</w:t>
      </w:r>
      <w:r w:rsidRPr="00265BC5">
        <w:rPr>
          <w:rFonts w:ascii="Times New Roman" w:hAnsi="Times New Roman"/>
        </w:rPr>
        <w:t xml:space="preserve"> conducted outreach to small entities and convened a Small Business Advocacy Review (SBAR) Panel to obtain advice and recommendation</w:t>
      </w:r>
      <w:r w:rsidR="00265BC5">
        <w:rPr>
          <w:rFonts w:ascii="Times New Roman" w:hAnsi="Times New Roman"/>
        </w:rPr>
        <w:t>s</w:t>
      </w:r>
      <w:r w:rsidRPr="00265BC5">
        <w:rPr>
          <w:rFonts w:ascii="Times New Roman" w:hAnsi="Times New Roman"/>
        </w:rPr>
        <w:t xml:space="preserve"> of representatives of the small entities that potentially would be subject to the requirements of th</w:t>
      </w:r>
      <w:r w:rsidR="00265BC5">
        <w:rPr>
          <w:rFonts w:ascii="Times New Roman" w:hAnsi="Times New Roman"/>
        </w:rPr>
        <w:t>e</w:t>
      </w:r>
      <w:r w:rsidRPr="00265BC5">
        <w:rPr>
          <w:rFonts w:ascii="Times New Roman" w:hAnsi="Times New Roman"/>
        </w:rPr>
        <w:t xml:space="preserve"> proposed </w:t>
      </w:r>
      <w:r w:rsidR="00265BC5">
        <w:rPr>
          <w:rFonts w:ascii="Times New Roman" w:hAnsi="Times New Roman"/>
        </w:rPr>
        <w:t>NESHAP</w:t>
      </w:r>
      <w:r w:rsidRPr="00265BC5">
        <w:rPr>
          <w:rFonts w:ascii="Times New Roman" w:hAnsi="Times New Roman"/>
        </w:rPr>
        <w:t xml:space="preserve">.  </w:t>
      </w:r>
      <w:r w:rsidR="00265BC5">
        <w:rPr>
          <w:rFonts w:ascii="Times New Roman" w:hAnsi="Times New Roman"/>
        </w:rPr>
        <w:t>EPA</w:t>
      </w:r>
      <w:r w:rsidRPr="00265BC5">
        <w:rPr>
          <w:rFonts w:ascii="Times New Roman" w:hAnsi="Times New Roman"/>
        </w:rPr>
        <w:t xml:space="preserve"> met with these small entity representatives (SERs) to discuss the potential</w:t>
      </w:r>
      <w:r w:rsidRPr="007E09A5">
        <w:rPr>
          <w:rFonts w:ascii="Times New Roman" w:hAnsi="Times New Roman"/>
        </w:rPr>
        <w:t xml:space="preserve"> rulemaking approaches and potential options to decrease the impact of the rulemaking on their </w:t>
      </w:r>
      <w:r w:rsidR="00265BC5">
        <w:rPr>
          <w:rFonts w:ascii="Times New Roman" w:hAnsi="Times New Roman"/>
        </w:rPr>
        <w:t>EGUs</w:t>
      </w:r>
      <w:r w:rsidRPr="007E09A5">
        <w:rPr>
          <w:rFonts w:ascii="Times New Roman" w:hAnsi="Times New Roman"/>
        </w:rPr>
        <w:t xml:space="preserve">.  </w:t>
      </w:r>
      <w:r w:rsidR="00265BC5">
        <w:rPr>
          <w:rFonts w:ascii="Times New Roman" w:hAnsi="Times New Roman"/>
        </w:rPr>
        <w:t>Outreach materials were</w:t>
      </w:r>
      <w:r w:rsidRPr="007E09A5">
        <w:rPr>
          <w:rFonts w:ascii="Times New Roman" w:hAnsi="Times New Roman"/>
        </w:rPr>
        <w:t xml:space="preserve"> distributed to the SERs; these materials included background, project history, CAA section 112 overview, constraints on rulemaking, affected facilities, data, rulemaking options under consideration, potential control technologies and estimated costs, applicable small entity definitions, small entities potentially subject to regulation, and questions for SERs.  </w:t>
      </w:r>
      <w:r w:rsidR="00265BC5">
        <w:rPr>
          <w:rFonts w:ascii="Times New Roman" w:hAnsi="Times New Roman"/>
        </w:rPr>
        <w:t>EPA</w:t>
      </w:r>
      <w:r w:rsidRPr="007E09A5">
        <w:rPr>
          <w:rFonts w:ascii="Times New Roman" w:hAnsi="Times New Roman"/>
        </w:rPr>
        <w:t xml:space="preserve"> met with SERs that w</w:t>
      </w:r>
      <w:r w:rsidR="00265BC5">
        <w:rPr>
          <w:rFonts w:ascii="Times New Roman" w:hAnsi="Times New Roman"/>
        </w:rPr>
        <w:t>ould</w:t>
      </w:r>
      <w:r w:rsidRPr="007E09A5">
        <w:rPr>
          <w:rFonts w:ascii="Times New Roman" w:hAnsi="Times New Roman"/>
        </w:rPr>
        <w:t xml:space="preserve"> be impacted directly by th</w:t>
      </w:r>
      <w:r w:rsidR="00265BC5">
        <w:rPr>
          <w:rFonts w:ascii="Times New Roman" w:hAnsi="Times New Roman"/>
        </w:rPr>
        <w:t>e</w:t>
      </w:r>
      <w:r w:rsidRPr="007E09A5">
        <w:rPr>
          <w:rFonts w:ascii="Times New Roman" w:hAnsi="Times New Roman"/>
        </w:rPr>
        <w:t xml:space="preserve"> proposed rule to discuss the outreach materials and receive feedback on the approaches and alternatives detailed in the outreach </w:t>
      </w:r>
      <w:r w:rsidR="00265BC5">
        <w:rPr>
          <w:rFonts w:ascii="Times New Roman" w:hAnsi="Times New Roman"/>
        </w:rPr>
        <w:t>materials</w:t>
      </w:r>
      <w:r w:rsidRPr="007E09A5">
        <w:rPr>
          <w:rFonts w:ascii="Times New Roman" w:hAnsi="Times New Roman"/>
        </w:rPr>
        <w:t xml:space="preserve">.  The Panel received written comments from the </w:t>
      </w:r>
      <w:r w:rsidRPr="007E09A5">
        <w:rPr>
          <w:rFonts w:ascii="Times New Roman" w:hAnsi="Times New Roman"/>
        </w:rPr>
        <w:lastRenderedPageBreak/>
        <w:t>SERs following the meeting in response to discussions at the meeting and the questions posed to the SERs by the Agency.  The SERs were specifically asked to provide comment</w:t>
      </w:r>
      <w:r w:rsidR="00265BC5">
        <w:rPr>
          <w:rFonts w:ascii="Times New Roman" w:hAnsi="Times New Roman"/>
        </w:rPr>
        <w:t>s</w:t>
      </w:r>
      <w:r w:rsidRPr="007E09A5">
        <w:rPr>
          <w:rFonts w:ascii="Times New Roman" w:hAnsi="Times New Roman"/>
        </w:rPr>
        <w:t xml:space="preserve"> on regulatory alternatives that could help to minimize the rule’s impact on small businesses.</w:t>
      </w:r>
    </w:p>
    <w:p w:rsidR="00576D07" w:rsidRPr="0068644D" w:rsidRDefault="00576D07" w:rsidP="0052403B">
      <w:pPr>
        <w:pStyle w:val="Heading2"/>
        <w:rPr>
          <w:i/>
          <w:iCs w:val="0"/>
        </w:rPr>
      </w:pPr>
      <w:r w:rsidRPr="0068644D">
        <w:rPr>
          <w:i/>
          <w:iCs w:val="0"/>
        </w:rPr>
        <w:t>(d)</w:t>
      </w:r>
      <w:r w:rsidR="008D1F9D" w:rsidRPr="0068644D">
        <w:rPr>
          <w:i/>
          <w:iCs w:val="0"/>
        </w:rPr>
        <w:tab/>
      </w:r>
      <w:r w:rsidRPr="0068644D">
        <w:rPr>
          <w:i/>
          <w:iCs w:val="0"/>
        </w:rPr>
        <w:t>Collection Schedule</w:t>
      </w:r>
    </w:p>
    <w:p w:rsidR="00180971" w:rsidRPr="009B35B5" w:rsidRDefault="00180971" w:rsidP="007C7E34">
      <w:pPr>
        <w:pStyle w:val="Para"/>
        <w:rPr>
          <w:rFonts w:ascii="Times New Roman" w:hAnsi="Times New Roman"/>
          <w:b/>
          <w:bCs/>
        </w:rPr>
      </w:pPr>
      <w:r w:rsidRPr="009B35B5">
        <w:rPr>
          <w:rFonts w:ascii="Times New Roman" w:hAnsi="Times New Roman"/>
        </w:rPr>
        <w:t>The specific frequency for each information collection activity within this request is shown in Tables 1a-</w:t>
      </w:r>
      <w:r w:rsidR="006F2EE1" w:rsidRPr="009B35B5">
        <w:rPr>
          <w:rFonts w:ascii="Times New Roman" w:hAnsi="Times New Roman"/>
        </w:rPr>
        <w:t>c and Exhibit 2</w:t>
      </w:r>
      <w:r w:rsidRPr="009B35B5">
        <w:rPr>
          <w:rFonts w:ascii="Times New Roman" w:hAnsi="Times New Roman"/>
        </w:rPr>
        <w:t>: Respondent Burden of Reporting and Recordkeeping Requirements, N</w:t>
      </w:r>
      <w:r w:rsidR="00110F58" w:rsidRPr="009B35B5">
        <w:rPr>
          <w:rFonts w:ascii="Times New Roman" w:hAnsi="Times New Roman"/>
        </w:rPr>
        <w:t>ESHAP</w:t>
      </w:r>
      <w:r w:rsidRPr="009B35B5">
        <w:rPr>
          <w:rFonts w:ascii="Times New Roman" w:hAnsi="Times New Roman"/>
        </w:rPr>
        <w:t xml:space="preserve"> for </w:t>
      </w:r>
      <w:r w:rsidR="007C7E34" w:rsidRPr="007C7E34">
        <w:rPr>
          <w:rFonts w:ascii="Times New Roman" w:hAnsi="Times New Roman"/>
        </w:rPr>
        <w:t xml:space="preserve">Coal- and Oil-fired Electric Utility Steam Generating Units </w:t>
      </w:r>
      <w:r w:rsidRPr="007C7E34">
        <w:rPr>
          <w:rFonts w:ascii="Times New Roman" w:hAnsi="Times New Roman"/>
        </w:rPr>
        <w:t xml:space="preserve">(40 CFR Part 63, Subpart </w:t>
      </w:r>
      <w:r w:rsidR="007C7E34" w:rsidRPr="007C7E34">
        <w:rPr>
          <w:rFonts w:ascii="Times New Roman" w:hAnsi="Times New Roman"/>
        </w:rPr>
        <w:t>UUUUU</w:t>
      </w:r>
      <w:r w:rsidRPr="007C7E34">
        <w:rPr>
          <w:rFonts w:ascii="Times New Roman" w:hAnsi="Times New Roman"/>
        </w:rPr>
        <w:t>).</w:t>
      </w:r>
    </w:p>
    <w:p w:rsidR="00D772CE" w:rsidRPr="007C7E34" w:rsidRDefault="00D772CE" w:rsidP="00265BC5">
      <w:pPr>
        <w:pStyle w:val="Heading1"/>
        <w:ind w:left="0" w:firstLine="0"/>
      </w:pPr>
      <w:r w:rsidRPr="007C7E34">
        <w:t>6.</w:t>
      </w:r>
      <w:r w:rsidRPr="007C7E34">
        <w:tab/>
        <w:t>Estimating the Burden and Cost of the Collection</w:t>
      </w:r>
    </w:p>
    <w:p w:rsidR="00C70366" w:rsidRPr="007C7E34" w:rsidRDefault="00C70366" w:rsidP="00C70366">
      <w:pPr>
        <w:pStyle w:val="Para"/>
        <w:rPr>
          <w:rFonts w:ascii="Times New Roman" w:hAnsi="Times New Roman"/>
        </w:rPr>
      </w:pPr>
      <w:r w:rsidRPr="007C7E34">
        <w:rPr>
          <w:rFonts w:ascii="Times New Roman" w:hAnsi="Times New Roman"/>
        </w:rPr>
        <w:t xml:space="preserve">Tables 1a, 1b, and 1c document the computation of individual burdens for the recordkeeping and reporting requirements </w:t>
      </w:r>
      <w:r w:rsidR="00265BC5">
        <w:rPr>
          <w:rFonts w:ascii="Times New Roman" w:hAnsi="Times New Roman"/>
        </w:rPr>
        <w:t xml:space="preserve">of the proposed NESHAP applicable to the industry over the period of </w:t>
      </w:r>
      <w:r w:rsidRPr="007C7E34">
        <w:rPr>
          <w:rFonts w:ascii="Times New Roman" w:hAnsi="Times New Roman"/>
        </w:rPr>
        <w:t xml:space="preserve">this </w:t>
      </w:r>
      <w:r w:rsidR="00265BC5">
        <w:rPr>
          <w:rFonts w:ascii="Times New Roman" w:hAnsi="Times New Roman"/>
        </w:rPr>
        <w:t xml:space="preserve">information collection (i.e., </w:t>
      </w:r>
      <w:r w:rsidRPr="007C7E34">
        <w:rPr>
          <w:rFonts w:ascii="Times New Roman" w:hAnsi="Times New Roman"/>
        </w:rPr>
        <w:t>for each of the first 3 years</w:t>
      </w:r>
      <w:r w:rsidR="00265BC5">
        <w:rPr>
          <w:rFonts w:ascii="Times New Roman" w:hAnsi="Times New Roman"/>
        </w:rPr>
        <w:t>)</w:t>
      </w:r>
      <w:r w:rsidRPr="007C7E34">
        <w:rPr>
          <w:rFonts w:ascii="Times New Roman" w:hAnsi="Times New Roman"/>
        </w:rPr>
        <w:t xml:space="preserve">. </w:t>
      </w:r>
      <w:r w:rsidR="007C7E34" w:rsidRPr="007C7E34">
        <w:rPr>
          <w:rFonts w:ascii="Times New Roman" w:hAnsi="Times New Roman"/>
        </w:rPr>
        <w:t xml:space="preserve"> </w:t>
      </w:r>
      <w:r w:rsidR="00B616E2" w:rsidRPr="007C7E34">
        <w:rPr>
          <w:rFonts w:ascii="Times New Roman" w:hAnsi="Times New Roman"/>
        </w:rPr>
        <w:t>Exhibit 2</w:t>
      </w:r>
      <w:r w:rsidRPr="007C7E34">
        <w:rPr>
          <w:rFonts w:ascii="Times New Roman" w:hAnsi="Times New Roman"/>
        </w:rPr>
        <w:t xml:space="preserve"> contains a summary of the respondent burden </w:t>
      </w:r>
      <w:r w:rsidR="00A747CF" w:rsidRPr="007C7E34">
        <w:rPr>
          <w:rFonts w:ascii="Times New Roman" w:hAnsi="Times New Roman"/>
        </w:rPr>
        <w:t xml:space="preserve">hours and </w:t>
      </w:r>
      <w:r w:rsidRPr="007C7E34">
        <w:rPr>
          <w:rFonts w:ascii="Times New Roman" w:hAnsi="Times New Roman"/>
        </w:rPr>
        <w:t>costs detailed in Tables 1a, 1b, and 1c.</w:t>
      </w:r>
    </w:p>
    <w:p w:rsidR="00B616E2" w:rsidRPr="001F421B" w:rsidRDefault="00B616E2" w:rsidP="00B616E2">
      <w:pPr>
        <w:pStyle w:val="ExhibitTitle"/>
        <w:rPr>
          <w:rFonts w:ascii="Times New Roman" w:hAnsi="Times New Roman"/>
        </w:rPr>
      </w:pPr>
      <w:proofErr w:type="gramStart"/>
      <w:r w:rsidRPr="001F421B">
        <w:rPr>
          <w:rFonts w:ascii="Times New Roman" w:hAnsi="Times New Roman"/>
        </w:rPr>
        <w:t>Exhibit 2</w:t>
      </w:r>
      <w:r w:rsidR="001F41F7" w:rsidRPr="001F421B">
        <w:rPr>
          <w:rFonts w:ascii="Times New Roman" w:hAnsi="Times New Roman"/>
        </w:rPr>
        <w:t>.</w:t>
      </w:r>
      <w:proofErr w:type="gramEnd"/>
      <w:r w:rsidRPr="001F421B">
        <w:rPr>
          <w:rFonts w:ascii="Times New Roman" w:hAnsi="Times New Roman"/>
        </w:rPr>
        <w:tab/>
        <w:t>Summary of Respondent Burden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7"/>
        <w:gridCol w:w="3961"/>
        <w:gridCol w:w="3258"/>
      </w:tblGrid>
      <w:tr w:rsidR="00A747CF" w:rsidRPr="001F421B" w:rsidTr="00C514E3">
        <w:trPr>
          <w:trHeight w:val="278"/>
        </w:trPr>
        <w:tc>
          <w:tcPr>
            <w:tcW w:w="1231" w:type="pct"/>
            <w:hideMark/>
          </w:tcPr>
          <w:p w:rsidR="00A747CF" w:rsidRPr="001F421B" w:rsidRDefault="00A747CF" w:rsidP="00A747CF">
            <w:pPr>
              <w:pStyle w:val="TableHeader"/>
              <w:rPr>
                <w:rFonts w:ascii="Times New Roman" w:hAnsi="Times New Roman"/>
              </w:rPr>
            </w:pPr>
            <w:r w:rsidRPr="001F421B">
              <w:rPr>
                <w:rFonts w:ascii="Times New Roman" w:hAnsi="Times New Roman"/>
              </w:rPr>
              <w:t>Year</w:t>
            </w:r>
          </w:p>
        </w:tc>
        <w:tc>
          <w:tcPr>
            <w:tcW w:w="2068" w:type="pct"/>
            <w:hideMark/>
          </w:tcPr>
          <w:p w:rsidR="00A747CF" w:rsidRPr="001F421B" w:rsidRDefault="00A747CF" w:rsidP="00A747CF">
            <w:pPr>
              <w:pStyle w:val="TableHeader"/>
              <w:rPr>
                <w:rFonts w:ascii="Times New Roman" w:hAnsi="Times New Roman"/>
              </w:rPr>
            </w:pPr>
            <w:r w:rsidRPr="001F421B">
              <w:rPr>
                <w:rFonts w:ascii="Times New Roman" w:hAnsi="Times New Roman"/>
              </w:rPr>
              <w:t>Total Annual Labor Burden (hours)</w:t>
            </w:r>
          </w:p>
        </w:tc>
        <w:tc>
          <w:tcPr>
            <w:tcW w:w="1701" w:type="pct"/>
            <w:hideMark/>
          </w:tcPr>
          <w:p w:rsidR="00A747CF" w:rsidRPr="001F421B" w:rsidRDefault="00A747CF" w:rsidP="00C514E3">
            <w:pPr>
              <w:pStyle w:val="TableHeader"/>
              <w:rPr>
                <w:rFonts w:ascii="Times New Roman" w:hAnsi="Times New Roman"/>
              </w:rPr>
            </w:pPr>
            <w:r w:rsidRPr="001F421B">
              <w:rPr>
                <w:rFonts w:ascii="Times New Roman" w:hAnsi="Times New Roman"/>
              </w:rPr>
              <w:t>Total Annual</w:t>
            </w:r>
            <w:r w:rsidR="00C514E3" w:rsidRPr="001F421B">
              <w:rPr>
                <w:rFonts w:ascii="Times New Roman" w:hAnsi="Times New Roman"/>
              </w:rPr>
              <w:t xml:space="preserve"> Labor</w:t>
            </w:r>
            <w:r w:rsidRPr="001F421B">
              <w:rPr>
                <w:rFonts w:ascii="Times New Roman" w:hAnsi="Times New Roman"/>
              </w:rPr>
              <w:t xml:space="preserve"> Costs ($)</w:t>
            </w:r>
          </w:p>
        </w:tc>
      </w:tr>
      <w:tr w:rsidR="00A747CF" w:rsidRPr="001F421B" w:rsidTr="00C514E3">
        <w:trPr>
          <w:trHeight w:val="255"/>
        </w:trPr>
        <w:tc>
          <w:tcPr>
            <w:tcW w:w="1231" w:type="pct"/>
            <w:hideMark/>
          </w:tcPr>
          <w:p w:rsidR="00A747CF" w:rsidRPr="001F421B" w:rsidRDefault="00A747CF" w:rsidP="00E67CCD">
            <w:pPr>
              <w:pStyle w:val="TableRow"/>
              <w:jc w:val="center"/>
              <w:rPr>
                <w:rFonts w:ascii="Times New Roman" w:hAnsi="Times New Roman"/>
              </w:rPr>
            </w:pPr>
            <w:r w:rsidRPr="001F421B">
              <w:rPr>
                <w:rFonts w:ascii="Times New Roman" w:hAnsi="Times New Roman"/>
              </w:rPr>
              <w:t>1</w:t>
            </w:r>
          </w:p>
        </w:tc>
        <w:tc>
          <w:tcPr>
            <w:tcW w:w="2068" w:type="pct"/>
            <w:hideMark/>
          </w:tcPr>
          <w:p w:rsidR="00A747CF" w:rsidRPr="001F421B" w:rsidRDefault="001F421B" w:rsidP="001F421B">
            <w:pPr>
              <w:pStyle w:val="TableRow"/>
              <w:jc w:val="center"/>
              <w:rPr>
                <w:rFonts w:ascii="Times New Roman" w:hAnsi="Times New Roman"/>
              </w:rPr>
            </w:pPr>
            <w:r w:rsidRPr="001F421B">
              <w:rPr>
                <w:rFonts w:ascii="Times New Roman" w:hAnsi="Times New Roman"/>
              </w:rPr>
              <w:t>317,122</w:t>
            </w:r>
          </w:p>
        </w:tc>
        <w:tc>
          <w:tcPr>
            <w:tcW w:w="1701" w:type="pct"/>
            <w:hideMark/>
          </w:tcPr>
          <w:p w:rsidR="00A747CF" w:rsidRPr="001F421B" w:rsidRDefault="001F421B" w:rsidP="001F421B">
            <w:pPr>
              <w:pStyle w:val="TableRow"/>
              <w:jc w:val="center"/>
              <w:rPr>
                <w:rFonts w:ascii="Times New Roman" w:hAnsi="Times New Roman"/>
              </w:rPr>
            </w:pPr>
            <w:r>
              <w:rPr>
                <w:rFonts w:ascii="Times New Roman" w:hAnsi="Times New Roman"/>
              </w:rPr>
              <w:t>2</w:t>
            </w:r>
            <w:r w:rsidRPr="001F421B">
              <w:rPr>
                <w:rFonts w:ascii="Times New Roman" w:hAnsi="Times New Roman"/>
              </w:rPr>
              <w:t>5,977,769</w:t>
            </w:r>
          </w:p>
        </w:tc>
      </w:tr>
      <w:tr w:rsidR="00A747CF" w:rsidRPr="001F421B" w:rsidTr="00C514E3">
        <w:trPr>
          <w:trHeight w:val="255"/>
        </w:trPr>
        <w:tc>
          <w:tcPr>
            <w:tcW w:w="1231" w:type="pct"/>
            <w:hideMark/>
          </w:tcPr>
          <w:p w:rsidR="00A747CF" w:rsidRPr="001F421B" w:rsidRDefault="00A747CF" w:rsidP="00E67CCD">
            <w:pPr>
              <w:pStyle w:val="TableRow"/>
              <w:jc w:val="center"/>
              <w:rPr>
                <w:rFonts w:ascii="Times New Roman" w:hAnsi="Times New Roman"/>
              </w:rPr>
            </w:pPr>
            <w:r w:rsidRPr="001F421B">
              <w:rPr>
                <w:rFonts w:ascii="Times New Roman" w:hAnsi="Times New Roman"/>
              </w:rPr>
              <w:t>2</w:t>
            </w:r>
          </w:p>
        </w:tc>
        <w:tc>
          <w:tcPr>
            <w:tcW w:w="2068" w:type="pct"/>
            <w:hideMark/>
          </w:tcPr>
          <w:p w:rsidR="00A747CF" w:rsidRPr="001F421B" w:rsidRDefault="001F421B" w:rsidP="001F421B">
            <w:pPr>
              <w:pStyle w:val="TableRow"/>
              <w:jc w:val="center"/>
              <w:rPr>
                <w:rFonts w:ascii="Times New Roman" w:hAnsi="Times New Roman"/>
              </w:rPr>
            </w:pPr>
            <w:r w:rsidRPr="001F421B">
              <w:rPr>
                <w:rFonts w:ascii="Times New Roman" w:hAnsi="Times New Roman"/>
              </w:rPr>
              <w:t>318,267</w:t>
            </w:r>
          </w:p>
        </w:tc>
        <w:tc>
          <w:tcPr>
            <w:tcW w:w="1701" w:type="pct"/>
            <w:hideMark/>
          </w:tcPr>
          <w:p w:rsidR="00A747CF" w:rsidRPr="001F421B" w:rsidRDefault="001F421B" w:rsidP="001F421B">
            <w:pPr>
              <w:pStyle w:val="TableRow"/>
              <w:jc w:val="center"/>
              <w:rPr>
                <w:rFonts w:ascii="Times New Roman" w:hAnsi="Times New Roman"/>
              </w:rPr>
            </w:pPr>
            <w:r>
              <w:rPr>
                <w:rFonts w:ascii="Times New Roman" w:hAnsi="Times New Roman"/>
              </w:rPr>
              <w:t>2</w:t>
            </w:r>
            <w:r w:rsidRPr="001F421B">
              <w:rPr>
                <w:rFonts w:ascii="Times New Roman" w:hAnsi="Times New Roman"/>
              </w:rPr>
              <w:t>6,071,597</w:t>
            </w:r>
          </w:p>
        </w:tc>
      </w:tr>
      <w:tr w:rsidR="00A747CF" w:rsidRPr="001F421B" w:rsidTr="00C514E3">
        <w:trPr>
          <w:trHeight w:val="255"/>
        </w:trPr>
        <w:tc>
          <w:tcPr>
            <w:tcW w:w="1231" w:type="pct"/>
            <w:hideMark/>
          </w:tcPr>
          <w:p w:rsidR="00A747CF" w:rsidRPr="001F421B" w:rsidRDefault="00A747CF" w:rsidP="00E67CCD">
            <w:pPr>
              <w:pStyle w:val="TableRow"/>
              <w:jc w:val="center"/>
              <w:rPr>
                <w:rFonts w:ascii="Times New Roman" w:hAnsi="Times New Roman"/>
              </w:rPr>
            </w:pPr>
            <w:r w:rsidRPr="001F421B">
              <w:rPr>
                <w:rFonts w:ascii="Times New Roman" w:hAnsi="Times New Roman"/>
              </w:rPr>
              <w:t>3</w:t>
            </w:r>
          </w:p>
        </w:tc>
        <w:tc>
          <w:tcPr>
            <w:tcW w:w="2068" w:type="pct"/>
            <w:hideMark/>
          </w:tcPr>
          <w:p w:rsidR="00A747CF" w:rsidRPr="001F421B" w:rsidRDefault="001F421B" w:rsidP="001F421B">
            <w:pPr>
              <w:pStyle w:val="TableRow"/>
              <w:jc w:val="center"/>
              <w:rPr>
                <w:rFonts w:ascii="Times New Roman" w:hAnsi="Times New Roman"/>
              </w:rPr>
            </w:pPr>
            <w:r w:rsidRPr="001F421B">
              <w:rPr>
                <w:rFonts w:ascii="Times New Roman" w:hAnsi="Times New Roman"/>
              </w:rPr>
              <w:t>353,425</w:t>
            </w:r>
          </w:p>
        </w:tc>
        <w:tc>
          <w:tcPr>
            <w:tcW w:w="1701" w:type="pct"/>
            <w:hideMark/>
          </w:tcPr>
          <w:p w:rsidR="00A747CF" w:rsidRPr="001F421B" w:rsidRDefault="001F421B" w:rsidP="001F421B">
            <w:pPr>
              <w:pStyle w:val="TableRow"/>
              <w:jc w:val="center"/>
              <w:rPr>
                <w:rFonts w:ascii="Times New Roman" w:hAnsi="Times New Roman"/>
              </w:rPr>
            </w:pPr>
            <w:r>
              <w:rPr>
                <w:rFonts w:ascii="Times New Roman" w:hAnsi="Times New Roman"/>
              </w:rPr>
              <w:t>2</w:t>
            </w:r>
            <w:r w:rsidRPr="001F421B">
              <w:rPr>
                <w:rFonts w:ascii="Times New Roman" w:hAnsi="Times New Roman"/>
              </w:rPr>
              <w:t>8,951,630</w:t>
            </w:r>
          </w:p>
        </w:tc>
      </w:tr>
      <w:tr w:rsidR="00A747CF" w:rsidRPr="001F421B" w:rsidTr="00C514E3">
        <w:trPr>
          <w:trHeight w:val="255"/>
        </w:trPr>
        <w:tc>
          <w:tcPr>
            <w:tcW w:w="1231" w:type="pct"/>
            <w:hideMark/>
          </w:tcPr>
          <w:p w:rsidR="00A747CF" w:rsidRPr="001F421B" w:rsidRDefault="00A747CF" w:rsidP="00E67CCD">
            <w:pPr>
              <w:pStyle w:val="TableRow"/>
              <w:jc w:val="center"/>
              <w:rPr>
                <w:rFonts w:ascii="Times New Roman" w:hAnsi="Times New Roman"/>
              </w:rPr>
            </w:pPr>
            <w:r w:rsidRPr="001F421B">
              <w:rPr>
                <w:rFonts w:ascii="Times New Roman" w:hAnsi="Times New Roman"/>
              </w:rPr>
              <w:t>Total</w:t>
            </w:r>
          </w:p>
        </w:tc>
        <w:tc>
          <w:tcPr>
            <w:tcW w:w="2068" w:type="pct"/>
            <w:hideMark/>
          </w:tcPr>
          <w:p w:rsidR="00A747CF" w:rsidRPr="001F421B" w:rsidRDefault="001F421B" w:rsidP="001F421B">
            <w:pPr>
              <w:pStyle w:val="TableRow"/>
              <w:jc w:val="center"/>
              <w:rPr>
                <w:rFonts w:ascii="Times New Roman" w:hAnsi="Times New Roman"/>
              </w:rPr>
            </w:pPr>
            <w:r w:rsidRPr="001F421B">
              <w:rPr>
                <w:rFonts w:ascii="Times New Roman" w:hAnsi="Times New Roman"/>
              </w:rPr>
              <w:t>988,814</w:t>
            </w:r>
          </w:p>
        </w:tc>
        <w:tc>
          <w:tcPr>
            <w:tcW w:w="1701" w:type="pct"/>
            <w:hideMark/>
          </w:tcPr>
          <w:p w:rsidR="00A747CF" w:rsidRPr="001F421B" w:rsidRDefault="001F421B" w:rsidP="001F421B">
            <w:pPr>
              <w:pStyle w:val="TableRow"/>
              <w:jc w:val="center"/>
              <w:rPr>
                <w:rFonts w:ascii="Times New Roman" w:hAnsi="Times New Roman"/>
              </w:rPr>
            </w:pPr>
            <w:r>
              <w:rPr>
                <w:rFonts w:ascii="Times New Roman" w:hAnsi="Times New Roman"/>
              </w:rPr>
              <w:t>8</w:t>
            </w:r>
            <w:r w:rsidRPr="001F421B">
              <w:rPr>
                <w:rFonts w:ascii="Times New Roman" w:hAnsi="Times New Roman"/>
              </w:rPr>
              <w:t>1,000,996</w:t>
            </w:r>
          </w:p>
        </w:tc>
      </w:tr>
      <w:tr w:rsidR="00A747CF" w:rsidRPr="001F421B" w:rsidTr="00C514E3">
        <w:trPr>
          <w:trHeight w:val="255"/>
        </w:trPr>
        <w:tc>
          <w:tcPr>
            <w:tcW w:w="1231" w:type="pct"/>
            <w:hideMark/>
          </w:tcPr>
          <w:p w:rsidR="00A747CF" w:rsidRPr="001F421B" w:rsidRDefault="00A747CF" w:rsidP="00E67CCD">
            <w:pPr>
              <w:pStyle w:val="TableRow"/>
              <w:jc w:val="center"/>
              <w:rPr>
                <w:rFonts w:ascii="Times New Roman" w:hAnsi="Times New Roman"/>
              </w:rPr>
            </w:pPr>
            <w:r w:rsidRPr="001F421B">
              <w:rPr>
                <w:rFonts w:ascii="Times New Roman" w:hAnsi="Times New Roman"/>
              </w:rPr>
              <w:t>3-Year Average</w:t>
            </w:r>
          </w:p>
        </w:tc>
        <w:tc>
          <w:tcPr>
            <w:tcW w:w="2068" w:type="pct"/>
            <w:hideMark/>
          </w:tcPr>
          <w:p w:rsidR="00A747CF" w:rsidRPr="001F421B" w:rsidRDefault="001F421B" w:rsidP="001F421B">
            <w:pPr>
              <w:pStyle w:val="TableRow"/>
              <w:jc w:val="center"/>
              <w:rPr>
                <w:rFonts w:ascii="Times New Roman" w:hAnsi="Times New Roman"/>
              </w:rPr>
            </w:pPr>
            <w:r w:rsidRPr="001F421B">
              <w:rPr>
                <w:rFonts w:ascii="Times New Roman" w:hAnsi="Times New Roman"/>
              </w:rPr>
              <w:t>329,605</w:t>
            </w:r>
          </w:p>
        </w:tc>
        <w:tc>
          <w:tcPr>
            <w:tcW w:w="1701" w:type="pct"/>
            <w:hideMark/>
          </w:tcPr>
          <w:p w:rsidR="00A747CF" w:rsidRPr="001F421B" w:rsidRDefault="001F421B" w:rsidP="001F421B">
            <w:pPr>
              <w:pStyle w:val="TableRow"/>
              <w:jc w:val="center"/>
              <w:rPr>
                <w:rFonts w:ascii="Times New Roman" w:hAnsi="Times New Roman"/>
              </w:rPr>
            </w:pPr>
            <w:r>
              <w:rPr>
                <w:rFonts w:ascii="Times New Roman" w:hAnsi="Times New Roman"/>
              </w:rPr>
              <w:t>27,000,332</w:t>
            </w:r>
          </w:p>
        </w:tc>
      </w:tr>
    </w:tbl>
    <w:p w:rsidR="001F421B" w:rsidRDefault="001F421B" w:rsidP="00C70366">
      <w:pPr>
        <w:pStyle w:val="Para"/>
        <w:rPr>
          <w:rFonts w:ascii="Times New Roman" w:hAnsi="Times New Roman"/>
        </w:rPr>
      </w:pPr>
    </w:p>
    <w:p w:rsidR="00C70366" w:rsidRPr="009B35B5" w:rsidRDefault="00C70366" w:rsidP="00C70366">
      <w:pPr>
        <w:pStyle w:val="Para"/>
        <w:rPr>
          <w:rFonts w:ascii="Times New Roman" w:hAnsi="Times New Roman"/>
        </w:rPr>
      </w:pPr>
      <w:r w:rsidRPr="009B35B5">
        <w:rPr>
          <w:rFonts w:ascii="Times New Roman" w:hAnsi="Times New Roman"/>
        </w:rPr>
        <w:t xml:space="preserve">The individual burdens are expressed under standardized headings believed to be consistent with the concept of burden under the Paperwork Reduction Act. </w:t>
      </w:r>
      <w:r w:rsidR="00234919">
        <w:rPr>
          <w:rFonts w:ascii="Times New Roman" w:hAnsi="Times New Roman"/>
        </w:rPr>
        <w:t xml:space="preserve"> </w:t>
      </w:r>
      <w:r w:rsidRPr="009B35B5">
        <w:rPr>
          <w:rFonts w:ascii="Times New Roman" w:hAnsi="Times New Roman"/>
        </w:rPr>
        <w:t>Where appropriate, specific tasks and major assumptions have been identified</w:t>
      </w:r>
      <w:r w:rsidR="00B616E2" w:rsidRPr="009B35B5">
        <w:rPr>
          <w:rFonts w:ascii="Times New Roman" w:hAnsi="Times New Roman"/>
        </w:rPr>
        <w:t>;</w:t>
      </w:r>
      <w:r w:rsidRPr="009B35B5">
        <w:rPr>
          <w:rFonts w:ascii="Times New Roman" w:hAnsi="Times New Roman"/>
        </w:rPr>
        <w:t xml:space="preserve"> responses to this information collection are mandatory.</w:t>
      </w:r>
    </w:p>
    <w:p w:rsidR="00C70366" w:rsidRPr="009B35B5" w:rsidRDefault="00C70366" w:rsidP="00C70366">
      <w:pPr>
        <w:pStyle w:val="Para"/>
        <w:rPr>
          <w:rFonts w:ascii="Times New Roman" w:hAnsi="Times New Roman"/>
        </w:rPr>
      </w:pPr>
      <w:r w:rsidRPr="009B35B5">
        <w:rPr>
          <w:rFonts w:ascii="Times New Roman" w:hAnsi="Times New Roman"/>
        </w:rPr>
        <w:t>The Agency may not conduct or sponsor, and a person is not required to respond to, a collection of information unless it displays a currently valid OMB Control Number.</w:t>
      </w:r>
    </w:p>
    <w:p w:rsidR="00C70366" w:rsidRPr="0068644D" w:rsidRDefault="00C70366" w:rsidP="00C70366">
      <w:pPr>
        <w:pStyle w:val="Heading2"/>
        <w:rPr>
          <w:i/>
          <w:iCs w:val="0"/>
        </w:rPr>
      </w:pPr>
      <w:r w:rsidRPr="0068644D">
        <w:rPr>
          <w:i/>
          <w:iCs w:val="0"/>
        </w:rPr>
        <w:t>(a)</w:t>
      </w:r>
      <w:r w:rsidRPr="0068644D">
        <w:rPr>
          <w:i/>
          <w:iCs w:val="0"/>
        </w:rPr>
        <w:tab/>
        <w:t>Estimating Respondent Burden</w:t>
      </w:r>
    </w:p>
    <w:p w:rsidR="00C70366" w:rsidRPr="007C7E34" w:rsidRDefault="00C70366" w:rsidP="001F421B">
      <w:pPr>
        <w:pStyle w:val="Para"/>
        <w:rPr>
          <w:rFonts w:ascii="Times New Roman" w:hAnsi="Times New Roman"/>
        </w:rPr>
      </w:pPr>
      <w:r w:rsidRPr="007C7E34">
        <w:rPr>
          <w:rFonts w:ascii="Times New Roman" w:hAnsi="Times New Roman"/>
        </w:rPr>
        <w:t xml:space="preserve">The average annual burden to industry over the next three years from these recordkeeping and reporting requirements is estimated to be </w:t>
      </w:r>
      <w:r w:rsidR="001F421B">
        <w:rPr>
          <w:rFonts w:ascii="Times New Roman" w:hAnsi="Times New Roman"/>
        </w:rPr>
        <w:t>329,605</w:t>
      </w:r>
      <w:r w:rsidRPr="001F421B">
        <w:rPr>
          <w:rFonts w:ascii="Times New Roman" w:hAnsi="Times New Roman"/>
        </w:rPr>
        <w:t xml:space="preserve"> hours per year</w:t>
      </w:r>
      <w:r w:rsidRPr="007C7E34">
        <w:rPr>
          <w:rFonts w:ascii="Times New Roman" w:hAnsi="Times New Roman"/>
        </w:rPr>
        <w:t xml:space="preserve"> (Total Labor Hours from Tables 1a, 1b, and 1c). These hours are based on Agency studies and background documents from the development of the regulation, Agency knowledge, and experience with the </w:t>
      </w:r>
      <w:r w:rsidR="00110F58" w:rsidRPr="007C7E34">
        <w:rPr>
          <w:rFonts w:ascii="Times New Roman" w:hAnsi="Times New Roman"/>
        </w:rPr>
        <w:t>NESHAP</w:t>
      </w:r>
      <w:r w:rsidRPr="007C7E34">
        <w:rPr>
          <w:rFonts w:ascii="Times New Roman" w:hAnsi="Times New Roman"/>
        </w:rPr>
        <w:t xml:space="preserve"> program, the previously approved ICR, and any comments received.</w:t>
      </w:r>
    </w:p>
    <w:p w:rsidR="00C70366" w:rsidRPr="0068644D" w:rsidRDefault="00C70366" w:rsidP="00C70366">
      <w:pPr>
        <w:pStyle w:val="Heading2"/>
        <w:rPr>
          <w:i/>
          <w:iCs w:val="0"/>
        </w:rPr>
      </w:pPr>
      <w:r w:rsidRPr="0068644D">
        <w:rPr>
          <w:i/>
          <w:iCs w:val="0"/>
        </w:rPr>
        <w:t>(b)</w:t>
      </w:r>
      <w:r w:rsidRPr="0068644D">
        <w:rPr>
          <w:i/>
          <w:iCs w:val="0"/>
        </w:rPr>
        <w:tab/>
        <w:t>Estimating Respondent Costs</w:t>
      </w:r>
    </w:p>
    <w:p w:rsidR="00B47C5E" w:rsidRPr="007C7E34" w:rsidRDefault="005170B7" w:rsidP="00234919">
      <w:pPr>
        <w:pStyle w:val="Para"/>
        <w:rPr>
          <w:rFonts w:ascii="Times New Roman" w:hAnsi="Times New Roman"/>
        </w:rPr>
      </w:pPr>
      <w:r w:rsidRPr="00B70F1C">
        <w:rPr>
          <w:rFonts w:ascii="Times New Roman" w:hAnsi="Times New Roman"/>
        </w:rPr>
        <w:t>Respondent costs are div</w:t>
      </w:r>
      <w:r w:rsidR="00F04795" w:rsidRPr="00B70F1C">
        <w:rPr>
          <w:rFonts w:ascii="Times New Roman" w:hAnsi="Times New Roman"/>
        </w:rPr>
        <w:t>i</w:t>
      </w:r>
      <w:r w:rsidRPr="00B70F1C">
        <w:rPr>
          <w:rFonts w:ascii="Times New Roman" w:hAnsi="Times New Roman"/>
        </w:rPr>
        <w:t xml:space="preserve">ded into </w:t>
      </w:r>
      <w:r w:rsidR="00F04795" w:rsidRPr="00B70F1C">
        <w:rPr>
          <w:rFonts w:ascii="Times New Roman" w:hAnsi="Times New Roman"/>
        </w:rPr>
        <w:t>four categories. These categories include labor costs</w:t>
      </w:r>
      <w:r w:rsidR="001D2AB7" w:rsidRPr="00B70F1C">
        <w:rPr>
          <w:rFonts w:ascii="Times New Roman" w:hAnsi="Times New Roman"/>
        </w:rPr>
        <w:t>,</w:t>
      </w:r>
      <w:r w:rsidR="00FB4847" w:rsidRPr="00B70F1C">
        <w:rPr>
          <w:rFonts w:ascii="Times New Roman" w:hAnsi="Times New Roman"/>
        </w:rPr>
        <w:t xml:space="preserve"> </w:t>
      </w:r>
      <w:r w:rsidR="00F04795" w:rsidRPr="00B70F1C">
        <w:rPr>
          <w:rFonts w:ascii="Times New Roman" w:hAnsi="Times New Roman"/>
        </w:rPr>
        <w:t>capital costs</w:t>
      </w:r>
      <w:r w:rsidR="00315242" w:rsidRPr="00B70F1C">
        <w:rPr>
          <w:rFonts w:ascii="Times New Roman" w:hAnsi="Times New Roman"/>
        </w:rPr>
        <w:t xml:space="preserve"> (includes startup costs)</w:t>
      </w:r>
      <w:r w:rsidR="00F04795" w:rsidRPr="00B70F1C">
        <w:rPr>
          <w:rFonts w:ascii="Times New Roman" w:hAnsi="Times New Roman"/>
        </w:rPr>
        <w:t xml:space="preserve">, operations and maintenance costs, and </w:t>
      </w:r>
      <w:r w:rsidR="000E0122" w:rsidRPr="00B70F1C">
        <w:rPr>
          <w:rFonts w:ascii="Times New Roman" w:hAnsi="Times New Roman"/>
        </w:rPr>
        <w:t xml:space="preserve">annualized </w:t>
      </w:r>
      <w:r w:rsidR="00F04795" w:rsidRPr="00B70F1C">
        <w:rPr>
          <w:rFonts w:ascii="Times New Roman" w:hAnsi="Times New Roman"/>
        </w:rPr>
        <w:t>capital costs.</w:t>
      </w:r>
      <w:r w:rsidR="00B47C5E" w:rsidRPr="00B70F1C">
        <w:rPr>
          <w:rFonts w:ascii="Times New Roman" w:hAnsi="Times New Roman"/>
        </w:rPr>
        <w:t xml:space="preserve"> </w:t>
      </w:r>
      <w:r w:rsidR="00F04795" w:rsidRPr="00B70F1C">
        <w:rPr>
          <w:rFonts w:ascii="Times New Roman" w:hAnsi="Times New Roman"/>
        </w:rPr>
        <w:t xml:space="preserve"> The </w:t>
      </w:r>
      <w:r w:rsidR="00FE6118" w:rsidRPr="00B70F1C">
        <w:rPr>
          <w:rFonts w:ascii="Times New Roman" w:hAnsi="Times New Roman"/>
        </w:rPr>
        <w:t>total respondent costs</w:t>
      </w:r>
      <w:r w:rsidR="004264BA" w:rsidRPr="00B70F1C">
        <w:rPr>
          <w:rFonts w:ascii="Times New Roman" w:hAnsi="Times New Roman"/>
        </w:rPr>
        <w:t xml:space="preserve"> </w:t>
      </w:r>
      <w:r w:rsidR="00BA2057" w:rsidRPr="00B70F1C">
        <w:rPr>
          <w:rFonts w:ascii="Times New Roman" w:hAnsi="Times New Roman"/>
        </w:rPr>
        <w:t>($</w:t>
      </w:r>
      <w:r w:rsidR="00E02688" w:rsidRPr="00B70F1C">
        <w:rPr>
          <w:rFonts w:ascii="Times New Roman" w:hAnsi="Times New Roman"/>
        </w:rPr>
        <w:t>49,445,556</w:t>
      </w:r>
      <w:r w:rsidR="00BA2057" w:rsidRPr="00B70F1C">
        <w:rPr>
          <w:rFonts w:ascii="Times New Roman" w:hAnsi="Times New Roman"/>
        </w:rPr>
        <w:t xml:space="preserve">) </w:t>
      </w:r>
      <w:r w:rsidR="00FE6118" w:rsidRPr="00B70F1C">
        <w:rPr>
          <w:rFonts w:ascii="Times New Roman" w:hAnsi="Times New Roman"/>
        </w:rPr>
        <w:t xml:space="preserve">have been calculated as the </w:t>
      </w:r>
      <w:r w:rsidR="00F34910" w:rsidRPr="00B70F1C">
        <w:rPr>
          <w:rFonts w:ascii="Times New Roman" w:hAnsi="Times New Roman"/>
        </w:rPr>
        <w:t>sum</w:t>
      </w:r>
      <w:r w:rsidR="00FE6118" w:rsidRPr="00B70F1C">
        <w:rPr>
          <w:rFonts w:ascii="Times New Roman" w:hAnsi="Times New Roman"/>
        </w:rPr>
        <w:t xml:space="preserve"> of the </w:t>
      </w:r>
      <w:r w:rsidR="001D2AB7" w:rsidRPr="00B70F1C">
        <w:rPr>
          <w:rFonts w:ascii="Times New Roman" w:hAnsi="Times New Roman"/>
        </w:rPr>
        <w:t xml:space="preserve">annualized </w:t>
      </w:r>
      <w:r w:rsidR="00FE6118" w:rsidRPr="00B70F1C">
        <w:rPr>
          <w:rFonts w:ascii="Times New Roman" w:hAnsi="Times New Roman"/>
        </w:rPr>
        <w:t xml:space="preserve">capital costs </w:t>
      </w:r>
      <w:r w:rsidR="00F34910" w:rsidRPr="00B70F1C">
        <w:rPr>
          <w:rFonts w:ascii="Times New Roman" w:hAnsi="Times New Roman"/>
        </w:rPr>
        <w:t>(including startup</w:t>
      </w:r>
      <w:r w:rsidR="00FB4847" w:rsidRPr="00B70F1C">
        <w:rPr>
          <w:rFonts w:ascii="Times New Roman" w:hAnsi="Times New Roman"/>
        </w:rPr>
        <w:t xml:space="preserve"> and the capitol recovery factor costs</w:t>
      </w:r>
      <w:r w:rsidR="00F34910" w:rsidRPr="00B70F1C">
        <w:rPr>
          <w:rFonts w:ascii="Times New Roman" w:hAnsi="Times New Roman"/>
        </w:rPr>
        <w:t>) ($</w:t>
      </w:r>
      <w:r w:rsidR="00E02688" w:rsidRPr="00B70F1C">
        <w:rPr>
          <w:rFonts w:ascii="Times New Roman" w:hAnsi="Times New Roman"/>
        </w:rPr>
        <w:t>49,148,878</w:t>
      </w:r>
      <w:r w:rsidR="00F34910" w:rsidRPr="00B70F1C">
        <w:rPr>
          <w:rFonts w:ascii="Times New Roman" w:hAnsi="Times New Roman"/>
        </w:rPr>
        <w:t xml:space="preserve">) </w:t>
      </w:r>
      <w:r w:rsidR="00FE6118" w:rsidRPr="00B70F1C">
        <w:rPr>
          <w:rFonts w:ascii="Times New Roman" w:hAnsi="Times New Roman"/>
        </w:rPr>
        <w:t>and the annual operation and maintenance costs</w:t>
      </w:r>
      <w:r w:rsidR="00D207AF" w:rsidRPr="00B70F1C">
        <w:rPr>
          <w:rFonts w:ascii="Times New Roman" w:hAnsi="Times New Roman"/>
        </w:rPr>
        <w:t xml:space="preserve"> ($</w:t>
      </w:r>
      <w:r w:rsidR="00B47C5E" w:rsidRPr="00B70F1C">
        <w:rPr>
          <w:rFonts w:ascii="Times New Roman" w:hAnsi="Times New Roman"/>
        </w:rPr>
        <w:t>296</w:t>
      </w:r>
      <w:r w:rsidR="00D207AF" w:rsidRPr="00B70F1C">
        <w:rPr>
          <w:rFonts w:ascii="Times New Roman" w:hAnsi="Times New Roman"/>
        </w:rPr>
        <w:t>,</w:t>
      </w:r>
      <w:r w:rsidR="00B47C5E" w:rsidRPr="00B70F1C">
        <w:rPr>
          <w:rFonts w:ascii="Times New Roman" w:hAnsi="Times New Roman"/>
        </w:rPr>
        <w:t>679</w:t>
      </w:r>
      <w:r w:rsidR="00D207AF" w:rsidRPr="00B70F1C">
        <w:rPr>
          <w:rFonts w:ascii="Times New Roman" w:hAnsi="Times New Roman"/>
        </w:rPr>
        <w:t>)</w:t>
      </w:r>
      <w:r w:rsidR="00FE6118" w:rsidRPr="00B70F1C">
        <w:rPr>
          <w:rFonts w:ascii="Times New Roman" w:hAnsi="Times New Roman"/>
        </w:rPr>
        <w:t>.</w:t>
      </w:r>
    </w:p>
    <w:p w:rsidR="00B462D4" w:rsidRPr="0068644D" w:rsidRDefault="00C70366" w:rsidP="00234919">
      <w:pPr>
        <w:pStyle w:val="Heading2"/>
        <w:ind w:left="0" w:firstLine="0"/>
        <w:rPr>
          <w:i/>
          <w:iCs w:val="0"/>
        </w:rPr>
      </w:pPr>
      <w:r w:rsidRPr="0068644D">
        <w:rPr>
          <w:i/>
          <w:iCs w:val="0"/>
        </w:rPr>
        <w:lastRenderedPageBreak/>
        <w:t>(</w:t>
      </w:r>
      <w:proofErr w:type="spellStart"/>
      <w:r w:rsidRPr="0068644D">
        <w:rPr>
          <w:i/>
          <w:iCs w:val="0"/>
        </w:rPr>
        <w:t>i</w:t>
      </w:r>
      <w:proofErr w:type="spellEnd"/>
      <w:r w:rsidRPr="0068644D">
        <w:rPr>
          <w:i/>
          <w:iCs w:val="0"/>
        </w:rPr>
        <w:t>)</w:t>
      </w:r>
      <w:r w:rsidR="005922C3" w:rsidRPr="0068644D">
        <w:rPr>
          <w:i/>
          <w:iCs w:val="0"/>
        </w:rPr>
        <w:tab/>
      </w:r>
      <w:r w:rsidRPr="0068644D">
        <w:rPr>
          <w:i/>
          <w:iCs w:val="0"/>
        </w:rPr>
        <w:t>Estimating Labor Costs</w:t>
      </w:r>
    </w:p>
    <w:p w:rsidR="00452F1F" w:rsidRPr="00F245EA" w:rsidRDefault="00452F1F" w:rsidP="00E87EC5">
      <w:pPr>
        <w:pStyle w:val="Para"/>
        <w:rPr>
          <w:rFonts w:ascii="Times New Roman" w:hAnsi="Times New Roman"/>
          <w:highlight w:val="yellow"/>
        </w:rPr>
      </w:pPr>
      <w:r w:rsidRPr="00E87EC5">
        <w:rPr>
          <w:rFonts w:ascii="Times New Roman" w:hAnsi="Times New Roman"/>
        </w:rPr>
        <w:t xml:space="preserve">Labor rates and associated costs are based on Bureau of Labor Statistics (BLS) data.  Technical, management, and clerical average hourly rates for private industry workers were taken from United States Department of Labor, Bureau of Labor Statistics for NAICS </w:t>
      </w:r>
      <w:r w:rsidR="00E87EC5" w:rsidRPr="00E87EC5">
        <w:rPr>
          <w:rFonts w:ascii="Times New Roman" w:hAnsi="Times New Roman"/>
        </w:rPr>
        <w:t>221100</w:t>
      </w:r>
      <w:r w:rsidRPr="00E87EC5">
        <w:rPr>
          <w:rFonts w:ascii="Times New Roman" w:hAnsi="Times New Roman"/>
        </w:rPr>
        <w:t xml:space="preserve">, May 2009 information, available at </w:t>
      </w:r>
      <w:hyperlink r:id="rId8" w:history="1">
        <w:r w:rsidR="00E87EC5" w:rsidRPr="00E87EC5">
          <w:rPr>
            <w:rStyle w:val="Hyperlink"/>
            <w:rFonts w:ascii="Times New Roman" w:hAnsi="Times New Roman"/>
          </w:rPr>
          <w:t>http://www.bls.gov/oes/current/naics4_221100.htm</w:t>
        </w:r>
      </w:hyperlink>
      <w:r w:rsidR="00E87EC5" w:rsidRPr="00E87EC5">
        <w:rPr>
          <w:rFonts w:ascii="Times New Roman" w:hAnsi="Times New Roman"/>
        </w:rPr>
        <w:t xml:space="preserve">.  </w:t>
      </w:r>
      <w:r w:rsidRPr="00E87EC5">
        <w:rPr>
          <w:rFonts w:ascii="Times New Roman" w:hAnsi="Times New Roman"/>
        </w:rPr>
        <w:t>Wages for technical labor are based on "</w:t>
      </w:r>
      <w:r w:rsidR="00E87EC5" w:rsidRPr="00E87EC5">
        <w:rPr>
          <w:rFonts w:ascii="Times New Roman" w:hAnsi="Times New Roman"/>
        </w:rPr>
        <w:t>Architecture and Engineering Occupations</w:t>
      </w:r>
      <w:r w:rsidRPr="00E87EC5">
        <w:rPr>
          <w:rFonts w:ascii="Times New Roman" w:hAnsi="Times New Roman"/>
        </w:rPr>
        <w:t xml:space="preserve">: </w:t>
      </w:r>
      <w:r w:rsidR="00E87EC5" w:rsidRPr="00E87EC5">
        <w:rPr>
          <w:rFonts w:ascii="Times New Roman" w:hAnsi="Times New Roman"/>
        </w:rPr>
        <w:t>Environmental Engineers</w:t>
      </w:r>
      <w:r w:rsidRPr="00E87EC5">
        <w:rPr>
          <w:rFonts w:ascii="Times New Roman" w:hAnsi="Times New Roman"/>
        </w:rPr>
        <w:t>" with a total compensation of $</w:t>
      </w:r>
      <w:r w:rsidR="00E87EC5" w:rsidRPr="00E87EC5">
        <w:rPr>
          <w:rFonts w:ascii="Times New Roman" w:hAnsi="Times New Roman"/>
        </w:rPr>
        <w:t>40.04</w:t>
      </w:r>
      <w:r w:rsidRPr="00E87EC5">
        <w:rPr>
          <w:rFonts w:ascii="Times New Roman" w:hAnsi="Times New Roman"/>
        </w:rPr>
        <w:t>/hour.  Wages for management labor are taken from "</w:t>
      </w:r>
      <w:r w:rsidR="00E87EC5" w:rsidRPr="00E87EC5">
        <w:rPr>
          <w:rFonts w:ascii="Times New Roman" w:hAnsi="Times New Roman"/>
        </w:rPr>
        <w:t>Management</w:t>
      </w:r>
      <w:r w:rsidRPr="00E87EC5">
        <w:rPr>
          <w:rFonts w:ascii="Times New Roman" w:hAnsi="Times New Roman"/>
        </w:rPr>
        <w:t xml:space="preserve"> occupations:  </w:t>
      </w:r>
      <w:r w:rsidR="00E87EC5" w:rsidRPr="00E87EC5">
        <w:rPr>
          <w:rFonts w:ascii="Times New Roman" w:hAnsi="Times New Roman"/>
        </w:rPr>
        <w:t>Engineering Managers</w:t>
      </w:r>
      <w:r w:rsidRPr="00E87EC5">
        <w:rPr>
          <w:rFonts w:ascii="Times New Roman" w:hAnsi="Times New Roman"/>
        </w:rPr>
        <w:t>" with a total compensation of $</w:t>
      </w:r>
      <w:r w:rsidR="00E87EC5" w:rsidRPr="00E87EC5">
        <w:rPr>
          <w:rFonts w:ascii="Times New Roman" w:hAnsi="Times New Roman"/>
        </w:rPr>
        <w:t>56.31</w:t>
      </w:r>
      <w:r w:rsidRPr="00E87EC5">
        <w:rPr>
          <w:rFonts w:ascii="Times New Roman" w:hAnsi="Times New Roman"/>
        </w:rPr>
        <w:t>/hour.  Wages for clerical labor are based on "Office and administrative support occupations</w:t>
      </w:r>
      <w:r w:rsidR="00E87EC5" w:rsidRPr="00E87EC5">
        <w:rPr>
          <w:rFonts w:ascii="Times New Roman" w:hAnsi="Times New Roman"/>
        </w:rPr>
        <w:t>”</w:t>
      </w:r>
      <w:r w:rsidRPr="00E87EC5">
        <w:rPr>
          <w:rFonts w:ascii="Times New Roman" w:hAnsi="Times New Roman"/>
        </w:rPr>
        <w:t xml:space="preserve"> with a total compensation of $</w:t>
      </w:r>
      <w:r w:rsidR="00E87EC5" w:rsidRPr="00E87EC5">
        <w:rPr>
          <w:rFonts w:ascii="Times New Roman" w:hAnsi="Times New Roman"/>
        </w:rPr>
        <w:t>20.04</w:t>
      </w:r>
      <w:r w:rsidRPr="00E87EC5">
        <w:rPr>
          <w:rFonts w:ascii="Times New Roman" w:hAnsi="Times New Roman"/>
        </w:rPr>
        <w:t>/hour.  These rates represent salaries plus fringe benefits and do not include the cost of overhead.  An overhead rate of 110 percent is used to account for these costs.  The fully-burdened hourly wage rates used to represent respondent labor costs are:  technical at $</w:t>
      </w:r>
      <w:r w:rsidR="00E87EC5" w:rsidRPr="00E87EC5">
        <w:rPr>
          <w:rFonts w:ascii="Times New Roman" w:hAnsi="Times New Roman"/>
        </w:rPr>
        <w:t>84.08</w:t>
      </w:r>
      <w:r w:rsidRPr="00E87EC5">
        <w:rPr>
          <w:rFonts w:ascii="Times New Roman" w:hAnsi="Times New Roman"/>
        </w:rPr>
        <w:t>, management at $</w:t>
      </w:r>
      <w:r w:rsidR="00E87EC5" w:rsidRPr="00E87EC5">
        <w:rPr>
          <w:rFonts w:ascii="Times New Roman" w:hAnsi="Times New Roman"/>
        </w:rPr>
        <w:t>118.25</w:t>
      </w:r>
      <w:r w:rsidRPr="00E87EC5">
        <w:rPr>
          <w:rFonts w:ascii="Times New Roman" w:hAnsi="Times New Roman"/>
        </w:rPr>
        <w:t>, and clerical at $</w:t>
      </w:r>
      <w:r w:rsidR="00E87EC5" w:rsidRPr="00E87EC5">
        <w:rPr>
          <w:rFonts w:ascii="Times New Roman" w:hAnsi="Times New Roman"/>
        </w:rPr>
        <w:t>4</w:t>
      </w:r>
      <w:r w:rsidRPr="00E87EC5">
        <w:rPr>
          <w:rFonts w:ascii="Times New Roman" w:hAnsi="Times New Roman"/>
        </w:rPr>
        <w:t>2.</w:t>
      </w:r>
      <w:r w:rsidR="00E87EC5" w:rsidRPr="00E87EC5">
        <w:rPr>
          <w:rFonts w:ascii="Times New Roman" w:hAnsi="Times New Roman"/>
        </w:rPr>
        <w:t>08</w:t>
      </w:r>
      <w:r w:rsidRPr="00E87EC5">
        <w:rPr>
          <w:rFonts w:ascii="Times New Roman" w:hAnsi="Times New Roman"/>
        </w:rPr>
        <w:t xml:space="preserve">.  </w:t>
      </w:r>
    </w:p>
    <w:p w:rsidR="00B462D4" w:rsidRPr="0068644D" w:rsidRDefault="00C70366" w:rsidP="00B462D4">
      <w:pPr>
        <w:pStyle w:val="Heading2"/>
        <w:rPr>
          <w:i/>
          <w:iCs w:val="0"/>
        </w:rPr>
      </w:pPr>
      <w:r w:rsidRPr="0068644D">
        <w:rPr>
          <w:i/>
          <w:iCs w:val="0"/>
        </w:rPr>
        <w:t>(ii)</w:t>
      </w:r>
      <w:r w:rsidR="005170B7" w:rsidRPr="0068644D">
        <w:rPr>
          <w:i/>
          <w:iCs w:val="0"/>
        </w:rPr>
        <w:tab/>
      </w:r>
      <w:r w:rsidRPr="0068644D">
        <w:rPr>
          <w:i/>
          <w:iCs w:val="0"/>
        </w:rPr>
        <w:t xml:space="preserve">Estimating </w:t>
      </w:r>
      <w:r w:rsidR="00BF45D5">
        <w:rPr>
          <w:i/>
          <w:iCs w:val="0"/>
        </w:rPr>
        <w:t xml:space="preserve">Annualized </w:t>
      </w:r>
      <w:r w:rsidRPr="0068644D">
        <w:rPr>
          <w:i/>
          <w:iCs w:val="0"/>
        </w:rPr>
        <w:t>Capital Costs</w:t>
      </w:r>
    </w:p>
    <w:p w:rsidR="00576D5C" w:rsidRDefault="00C70366" w:rsidP="00234919">
      <w:pPr>
        <w:pStyle w:val="Para"/>
        <w:rPr>
          <w:rFonts w:ascii="Times New Roman" w:hAnsi="Times New Roman"/>
        </w:rPr>
      </w:pPr>
      <w:r w:rsidRPr="007E09A5">
        <w:rPr>
          <w:rFonts w:ascii="Times New Roman" w:hAnsi="Times New Roman"/>
        </w:rPr>
        <w:t xml:space="preserve">The </w:t>
      </w:r>
      <w:r w:rsidR="00BF45D5">
        <w:rPr>
          <w:rFonts w:ascii="Times New Roman" w:hAnsi="Times New Roman"/>
        </w:rPr>
        <w:t xml:space="preserve">annualized </w:t>
      </w:r>
      <w:r w:rsidRPr="007E09A5">
        <w:rPr>
          <w:rFonts w:ascii="Times New Roman" w:hAnsi="Times New Roman"/>
        </w:rPr>
        <w:t>capital costs associated with the information collection requirements will include the costs to conduct performan</w:t>
      </w:r>
      <w:r w:rsidR="007E09A5" w:rsidRPr="007E09A5">
        <w:rPr>
          <w:rFonts w:ascii="Times New Roman" w:hAnsi="Times New Roman"/>
        </w:rPr>
        <w:t>ce tests</w:t>
      </w:r>
      <w:r w:rsidRPr="007E09A5">
        <w:rPr>
          <w:rFonts w:ascii="Times New Roman" w:hAnsi="Times New Roman"/>
        </w:rPr>
        <w:t xml:space="preserve"> </w:t>
      </w:r>
      <w:r w:rsidR="007E09A5" w:rsidRPr="007E09A5">
        <w:rPr>
          <w:rFonts w:ascii="Times New Roman" w:hAnsi="Times New Roman"/>
        </w:rPr>
        <w:t xml:space="preserve">and </w:t>
      </w:r>
      <w:r w:rsidRPr="007E09A5">
        <w:rPr>
          <w:rFonts w:ascii="Times New Roman" w:hAnsi="Times New Roman"/>
        </w:rPr>
        <w:t xml:space="preserve">startup costs for </w:t>
      </w:r>
      <w:r w:rsidR="00234919">
        <w:rPr>
          <w:rFonts w:ascii="Times New Roman" w:hAnsi="Times New Roman"/>
        </w:rPr>
        <w:t>continuous emissions monitoring systems (</w:t>
      </w:r>
      <w:r w:rsidRPr="007E09A5">
        <w:rPr>
          <w:rFonts w:ascii="Times New Roman" w:hAnsi="Times New Roman"/>
        </w:rPr>
        <w:t>CEMS</w:t>
      </w:r>
      <w:r w:rsidR="00234919">
        <w:rPr>
          <w:rFonts w:ascii="Times New Roman" w:hAnsi="Times New Roman"/>
        </w:rPr>
        <w:t>)</w:t>
      </w:r>
      <w:r w:rsidRPr="007E09A5">
        <w:rPr>
          <w:rFonts w:ascii="Times New Roman" w:hAnsi="Times New Roman"/>
        </w:rPr>
        <w:t>.</w:t>
      </w:r>
      <w:r w:rsidR="007E09A5" w:rsidRPr="007E09A5">
        <w:rPr>
          <w:rFonts w:ascii="Times New Roman" w:hAnsi="Times New Roman"/>
        </w:rPr>
        <w:t xml:space="preserve"> </w:t>
      </w:r>
      <w:r w:rsidRPr="007E09A5">
        <w:rPr>
          <w:rFonts w:ascii="Times New Roman" w:hAnsi="Times New Roman"/>
        </w:rPr>
        <w:t xml:space="preserve"> The rule will require an initial performance test for each </w:t>
      </w:r>
      <w:r w:rsidR="00234919">
        <w:rPr>
          <w:rFonts w:ascii="Times New Roman" w:hAnsi="Times New Roman"/>
        </w:rPr>
        <w:t>EGU</w:t>
      </w:r>
      <w:r w:rsidRPr="007E09A5">
        <w:rPr>
          <w:rFonts w:ascii="Times New Roman" w:hAnsi="Times New Roman"/>
        </w:rPr>
        <w:t>.</w:t>
      </w:r>
      <w:r w:rsidR="00E22D87">
        <w:rPr>
          <w:rFonts w:ascii="Times New Roman" w:hAnsi="Times New Roman"/>
        </w:rPr>
        <w:t xml:space="preserve">  Exhibit 3 shows the methods used for performance tests and the CEMS that are expected to be installed.</w:t>
      </w:r>
    </w:p>
    <w:p w:rsidR="00234919" w:rsidRPr="00234919" w:rsidRDefault="00234919" w:rsidP="00234919">
      <w:pPr>
        <w:pStyle w:val="Para"/>
        <w:rPr>
          <w:rFonts w:ascii="Times New Roman" w:hAnsi="Times New Roman"/>
        </w:rPr>
      </w:pPr>
    </w:p>
    <w:p w:rsidR="00E22D87" w:rsidRPr="00E22D87" w:rsidRDefault="00E22D87" w:rsidP="00576D5C">
      <w:pPr>
        <w:pStyle w:val="Para"/>
        <w:ind w:firstLine="0"/>
        <w:rPr>
          <w:rFonts w:ascii="Times New Roman" w:hAnsi="Times New Roman"/>
          <w:b/>
          <w:bCs/>
        </w:rPr>
      </w:pPr>
      <w:proofErr w:type="gramStart"/>
      <w:r w:rsidRPr="00E22D87">
        <w:rPr>
          <w:rFonts w:ascii="Times New Roman" w:hAnsi="Times New Roman"/>
          <w:b/>
          <w:bCs/>
        </w:rPr>
        <w:t>Exhibit 3.</w:t>
      </w:r>
      <w:proofErr w:type="gramEnd"/>
      <w:r>
        <w:rPr>
          <w:rFonts w:ascii="Times New Roman" w:hAnsi="Times New Roman"/>
          <w:b/>
          <w:bCs/>
        </w:rPr>
        <w:t xml:space="preserve"> Performance Test Methods and CEMS Equipment by Pollutant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2340"/>
        <w:gridCol w:w="3690"/>
      </w:tblGrid>
      <w:tr w:rsidR="00E22D87" w:rsidRPr="00E22D87" w:rsidTr="00576D5C">
        <w:trPr>
          <w:trHeight w:val="278"/>
        </w:trPr>
        <w:tc>
          <w:tcPr>
            <w:tcW w:w="1728" w:type="dxa"/>
            <w:hideMark/>
          </w:tcPr>
          <w:p w:rsidR="00E22D87" w:rsidRPr="00576D5C" w:rsidRDefault="00E22D87" w:rsidP="00576D5C">
            <w:pPr>
              <w:pStyle w:val="Para"/>
              <w:ind w:firstLine="0"/>
              <w:jc w:val="center"/>
              <w:rPr>
                <w:rFonts w:ascii="Times New Roman" w:hAnsi="Times New Roman"/>
                <w:b/>
                <w:sz w:val="20"/>
              </w:rPr>
            </w:pPr>
            <w:r w:rsidRPr="00576D5C">
              <w:rPr>
                <w:rFonts w:ascii="Times New Roman" w:hAnsi="Times New Roman"/>
                <w:b/>
                <w:sz w:val="20"/>
              </w:rPr>
              <w:t>Pollutant</w:t>
            </w:r>
          </w:p>
        </w:tc>
        <w:tc>
          <w:tcPr>
            <w:tcW w:w="2340" w:type="dxa"/>
            <w:hideMark/>
          </w:tcPr>
          <w:p w:rsidR="00E22D87" w:rsidRPr="00576D5C" w:rsidRDefault="00E22D87" w:rsidP="00576D5C">
            <w:pPr>
              <w:pStyle w:val="Para"/>
              <w:ind w:firstLine="0"/>
              <w:jc w:val="center"/>
              <w:rPr>
                <w:rFonts w:ascii="Times New Roman" w:hAnsi="Times New Roman"/>
                <w:b/>
                <w:sz w:val="20"/>
              </w:rPr>
            </w:pPr>
            <w:r w:rsidRPr="00576D5C">
              <w:rPr>
                <w:rFonts w:ascii="Times New Roman" w:hAnsi="Times New Roman"/>
                <w:b/>
                <w:sz w:val="20"/>
              </w:rPr>
              <w:t>Performance Test Method</w:t>
            </w:r>
          </w:p>
        </w:tc>
        <w:tc>
          <w:tcPr>
            <w:tcW w:w="3690" w:type="dxa"/>
            <w:hideMark/>
          </w:tcPr>
          <w:p w:rsidR="00E22D87" w:rsidRPr="00576D5C" w:rsidRDefault="00E22D87" w:rsidP="00576D5C">
            <w:pPr>
              <w:pStyle w:val="Para"/>
              <w:ind w:firstLine="0"/>
              <w:jc w:val="center"/>
              <w:rPr>
                <w:rFonts w:ascii="Times New Roman" w:hAnsi="Times New Roman"/>
                <w:b/>
                <w:sz w:val="20"/>
              </w:rPr>
            </w:pPr>
            <w:r w:rsidRPr="00576D5C">
              <w:rPr>
                <w:rFonts w:ascii="Times New Roman" w:hAnsi="Times New Roman"/>
                <w:b/>
                <w:sz w:val="20"/>
              </w:rPr>
              <w:t>CEMS</w:t>
            </w:r>
          </w:p>
        </w:tc>
      </w:tr>
      <w:tr w:rsidR="00576D5C" w:rsidRPr="00E22D87" w:rsidTr="00576D5C">
        <w:trPr>
          <w:trHeight w:val="255"/>
        </w:trPr>
        <w:tc>
          <w:tcPr>
            <w:tcW w:w="1728" w:type="dxa"/>
            <w:hideMark/>
          </w:tcPr>
          <w:p w:rsidR="00576D5C" w:rsidRPr="00576D5C" w:rsidRDefault="00576D5C" w:rsidP="00C71A62">
            <w:pPr>
              <w:pStyle w:val="Para"/>
              <w:tabs>
                <w:tab w:val="center" w:pos="1430"/>
              </w:tabs>
              <w:ind w:firstLine="0"/>
              <w:jc w:val="center"/>
              <w:rPr>
                <w:rFonts w:ascii="Times New Roman" w:hAnsi="Times New Roman"/>
                <w:sz w:val="20"/>
              </w:rPr>
            </w:pPr>
            <w:r w:rsidRPr="00576D5C">
              <w:rPr>
                <w:rFonts w:ascii="Times New Roman" w:hAnsi="Times New Roman"/>
                <w:sz w:val="20"/>
              </w:rPr>
              <w:t>PM</w:t>
            </w:r>
          </w:p>
        </w:tc>
        <w:tc>
          <w:tcPr>
            <w:tcW w:w="2340" w:type="dxa"/>
            <w:hideMark/>
          </w:tcPr>
          <w:p w:rsidR="00576D5C" w:rsidRDefault="00576D5C" w:rsidP="00C71A62">
            <w:pPr>
              <w:pStyle w:val="Para"/>
              <w:ind w:firstLine="0"/>
              <w:jc w:val="center"/>
              <w:rPr>
                <w:rFonts w:ascii="Times New Roman" w:hAnsi="Times New Roman"/>
                <w:sz w:val="20"/>
              </w:rPr>
            </w:pPr>
            <w:r>
              <w:rPr>
                <w:rFonts w:ascii="Times New Roman" w:hAnsi="Times New Roman"/>
                <w:sz w:val="20"/>
              </w:rPr>
              <w:t>EPA Method 5</w:t>
            </w:r>
          </w:p>
          <w:p w:rsidR="00576D5C" w:rsidRDefault="00576D5C" w:rsidP="00C71A62">
            <w:pPr>
              <w:pStyle w:val="Para"/>
              <w:ind w:firstLine="0"/>
              <w:jc w:val="center"/>
              <w:rPr>
                <w:rFonts w:ascii="Times New Roman" w:hAnsi="Times New Roman"/>
                <w:sz w:val="20"/>
              </w:rPr>
            </w:pPr>
            <w:r>
              <w:rPr>
                <w:rFonts w:ascii="Times New Roman" w:hAnsi="Times New Roman"/>
                <w:sz w:val="20"/>
              </w:rPr>
              <w:t>EPA Method 202</w:t>
            </w:r>
          </w:p>
          <w:p w:rsidR="00576D5C" w:rsidRPr="00576D5C" w:rsidRDefault="00576D5C" w:rsidP="00C71A62">
            <w:pPr>
              <w:pStyle w:val="Para"/>
              <w:ind w:firstLine="0"/>
              <w:jc w:val="center"/>
              <w:rPr>
                <w:rFonts w:ascii="Times New Roman" w:hAnsi="Times New Roman"/>
                <w:sz w:val="20"/>
              </w:rPr>
            </w:pPr>
            <w:r>
              <w:rPr>
                <w:rFonts w:ascii="Times New Roman" w:hAnsi="Times New Roman"/>
                <w:sz w:val="20"/>
              </w:rPr>
              <w:t>Method 29 (liquid oil fired EGUs only)</w:t>
            </w:r>
          </w:p>
        </w:tc>
        <w:tc>
          <w:tcPr>
            <w:tcW w:w="3690" w:type="dxa"/>
            <w:vAlign w:val="bottom"/>
            <w:hideMark/>
          </w:tcPr>
          <w:p w:rsidR="00576D5C" w:rsidRPr="00576D5C" w:rsidRDefault="00576D5C" w:rsidP="00C71A62">
            <w:pPr>
              <w:spacing w:after="120"/>
              <w:jc w:val="center"/>
              <w:rPr>
                <w:rFonts w:ascii="Times New Roman" w:eastAsia="Times New Roman" w:hAnsi="Times New Roman"/>
                <w:color w:val="000000"/>
                <w:sz w:val="20"/>
              </w:rPr>
            </w:pPr>
            <w:r>
              <w:rPr>
                <w:rFonts w:ascii="Times New Roman" w:eastAsia="Times New Roman" w:hAnsi="Times New Roman"/>
                <w:color w:val="000000"/>
                <w:sz w:val="20"/>
              </w:rPr>
              <w:t>N</w:t>
            </w:r>
            <w:r w:rsidRPr="00576D5C">
              <w:rPr>
                <w:rFonts w:ascii="Times New Roman" w:eastAsia="Times New Roman" w:hAnsi="Times New Roman"/>
                <w:color w:val="000000"/>
                <w:sz w:val="20"/>
              </w:rPr>
              <w:t>ew beta gauge PM CEMS</w:t>
            </w:r>
          </w:p>
        </w:tc>
      </w:tr>
      <w:tr w:rsidR="00576D5C" w:rsidRPr="00E22D87" w:rsidTr="00576D5C">
        <w:trPr>
          <w:trHeight w:val="255"/>
        </w:trPr>
        <w:tc>
          <w:tcPr>
            <w:tcW w:w="1728" w:type="dxa"/>
            <w:hideMark/>
          </w:tcPr>
          <w:p w:rsidR="00576D5C" w:rsidRPr="00576D5C" w:rsidRDefault="00576D5C" w:rsidP="00C71A62">
            <w:pPr>
              <w:pStyle w:val="Para"/>
              <w:ind w:firstLine="0"/>
              <w:jc w:val="center"/>
              <w:rPr>
                <w:rFonts w:ascii="Times New Roman" w:hAnsi="Times New Roman"/>
                <w:sz w:val="20"/>
              </w:rPr>
            </w:pPr>
            <w:r w:rsidRPr="00576D5C">
              <w:rPr>
                <w:rFonts w:ascii="Times New Roman" w:hAnsi="Times New Roman"/>
                <w:sz w:val="20"/>
              </w:rPr>
              <w:t>HCl</w:t>
            </w:r>
          </w:p>
        </w:tc>
        <w:tc>
          <w:tcPr>
            <w:tcW w:w="2340" w:type="dxa"/>
            <w:hideMark/>
          </w:tcPr>
          <w:p w:rsidR="00576D5C" w:rsidRPr="00576D5C" w:rsidRDefault="00576D5C" w:rsidP="00C71A62">
            <w:pPr>
              <w:pStyle w:val="Para"/>
              <w:ind w:firstLine="0"/>
              <w:jc w:val="center"/>
              <w:rPr>
                <w:rFonts w:ascii="Times New Roman" w:hAnsi="Times New Roman"/>
                <w:sz w:val="20"/>
              </w:rPr>
            </w:pPr>
            <w:r>
              <w:rPr>
                <w:rFonts w:ascii="Times New Roman" w:hAnsi="Times New Roman"/>
                <w:sz w:val="20"/>
              </w:rPr>
              <w:t>Method 320</w:t>
            </w:r>
          </w:p>
        </w:tc>
        <w:tc>
          <w:tcPr>
            <w:tcW w:w="3690" w:type="dxa"/>
            <w:vAlign w:val="bottom"/>
            <w:hideMark/>
          </w:tcPr>
          <w:p w:rsidR="00576D5C" w:rsidRPr="00576D5C" w:rsidRDefault="00576D5C" w:rsidP="00C71A62">
            <w:pPr>
              <w:spacing w:after="120"/>
              <w:jc w:val="center"/>
              <w:rPr>
                <w:rFonts w:ascii="Times New Roman" w:eastAsia="Times New Roman" w:hAnsi="Times New Roman"/>
                <w:color w:val="000000"/>
                <w:sz w:val="20"/>
              </w:rPr>
            </w:pPr>
            <w:r>
              <w:rPr>
                <w:rFonts w:ascii="Times New Roman" w:eastAsia="Times New Roman" w:hAnsi="Times New Roman"/>
                <w:color w:val="000000"/>
                <w:sz w:val="20"/>
              </w:rPr>
              <w:t>N</w:t>
            </w:r>
            <w:r w:rsidRPr="00576D5C">
              <w:rPr>
                <w:rFonts w:ascii="Times New Roman" w:eastAsia="Times New Roman" w:hAnsi="Times New Roman"/>
                <w:color w:val="000000"/>
                <w:sz w:val="20"/>
              </w:rPr>
              <w:t>ew FTIR CEMS</w:t>
            </w:r>
          </w:p>
        </w:tc>
      </w:tr>
      <w:tr w:rsidR="00576D5C" w:rsidRPr="00E22D87" w:rsidTr="00576D5C">
        <w:trPr>
          <w:trHeight w:val="395"/>
        </w:trPr>
        <w:tc>
          <w:tcPr>
            <w:tcW w:w="1728" w:type="dxa"/>
            <w:hideMark/>
          </w:tcPr>
          <w:p w:rsidR="00576D5C" w:rsidRPr="00576D5C" w:rsidRDefault="00576D5C" w:rsidP="00C71A62">
            <w:pPr>
              <w:pStyle w:val="Para"/>
              <w:ind w:firstLine="0"/>
              <w:jc w:val="center"/>
              <w:rPr>
                <w:rFonts w:ascii="Times New Roman" w:hAnsi="Times New Roman"/>
                <w:sz w:val="20"/>
              </w:rPr>
            </w:pPr>
            <w:r w:rsidRPr="00576D5C">
              <w:rPr>
                <w:rFonts w:ascii="Times New Roman" w:hAnsi="Times New Roman"/>
                <w:sz w:val="20"/>
              </w:rPr>
              <w:t>Hg</w:t>
            </w:r>
          </w:p>
        </w:tc>
        <w:tc>
          <w:tcPr>
            <w:tcW w:w="2340" w:type="dxa"/>
            <w:hideMark/>
          </w:tcPr>
          <w:p w:rsidR="00576D5C" w:rsidRPr="00576D5C" w:rsidRDefault="00576D5C" w:rsidP="00C71A62">
            <w:pPr>
              <w:pStyle w:val="Para"/>
              <w:ind w:firstLine="0"/>
              <w:jc w:val="center"/>
              <w:rPr>
                <w:rFonts w:ascii="Times New Roman" w:hAnsi="Times New Roman"/>
                <w:sz w:val="20"/>
              </w:rPr>
            </w:pPr>
            <w:r>
              <w:rPr>
                <w:rFonts w:ascii="Times New Roman" w:hAnsi="Times New Roman"/>
                <w:sz w:val="20"/>
              </w:rPr>
              <w:t>Method 29</w:t>
            </w:r>
          </w:p>
        </w:tc>
        <w:tc>
          <w:tcPr>
            <w:tcW w:w="3690" w:type="dxa"/>
            <w:vAlign w:val="bottom"/>
            <w:hideMark/>
          </w:tcPr>
          <w:p w:rsidR="00576D5C" w:rsidRPr="00576D5C" w:rsidRDefault="00576D5C" w:rsidP="00C71A62">
            <w:pPr>
              <w:spacing w:after="120"/>
              <w:jc w:val="center"/>
              <w:rPr>
                <w:rFonts w:ascii="Times New Roman" w:eastAsia="Times New Roman" w:hAnsi="Times New Roman"/>
                <w:color w:val="000000"/>
                <w:sz w:val="20"/>
              </w:rPr>
            </w:pPr>
            <w:r>
              <w:rPr>
                <w:rFonts w:ascii="Times New Roman" w:eastAsia="Times New Roman" w:hAnsi="Times New Roman"/>
                <w:color w:val="000000"/>
                <w:sz w:val="20"/>
              </w:rPr>
              <w:t>N</w:t>
            </w:r>
            <w:r w:rsidRPr="00576D5C">
              <w:rPr>
                <w:rFonts w:ascii="Times New Roman" w:eastAsia="Times New Roman" w:hAnsi="Times New Roman"/>
                <w:color w:val="000000"/>
                <w:sz w:val="20"/>
              </w:rPr>
              <w:t>ew Hg CEMS</w:t>
            </w:r>
          </w:p>
        </w:tc>
      </w:tr>
      <w:tr w:rsidR="00576D5C" w:rsidRPr="00E22D87" w:rsidTr="00576D5C">
        <w:trPr>
          <w:trHeight w:val="255"/>
        </w:trPr>
        <w:tc>
          <w:tcPr>
            <w:tcW w:w="1728" w:type="dxa"/>
            <w:hideMark/>
          </w:tcPr>
          <w:p w:rsidR="00576D5C" w:rsidRPr="00576D5C" w:rsidRDefault="00576D5C" w:rsidP="00C71A62">
            <w:pPr>
              <w:pStyle w:val="Para"/>
              <w:ind w:firstLine="0"/>
              <w:jc w:val="center"/>
              <w:rPr>
                <w:rFonts w:ascii="Times New Roman" w:hAnsi="Times New Roman"/>
                <w:sz w:val="20"/>
              </w:rPr>
            </w:pPr>
            <w:r w:rsidRPr="00576D5C">
              <w:rPr>
                <w:rFonts w:ascii="Times New Roman" w:hAnsi="Times New Roman"/>
                <w:sz w:val="20"/>
              </w:rPr>
              <w:t>HF</w:t>
            </w:r>
          </w:p>
        </w:tc>
        <w:tc>
          <w:tcPr>
            <w:tcW w:w="2340" w:type="dxa"/>
            <w:hideMark/>
          </w:tcPr>
          <w:p w:rsidR="00576D5C" w:rsidRPr="00576D5C" w:rsidRDefault="00576D5C" w:rsidP="00C71A62">
            <w:pPr>
              <w:pStyle w:val="Para"/>
              <w:ind w:firstLine="0"/>
              <w:jc w:val="center"/>
              <w:rPr>
                <w:rFonts w:ascii="Times New Roman" w:hAnsi="Times New Roman"/>
                <w:sz w:val="20"/>
              </w:rPr>
            </w:pPr>
            <w:r>
              <w:rPr>
                <w:rFonts w:ascii="Times New Roman" w:hAnsi="Times New Roman"/>
                <w:sz w:val="20"/>
              </w:rPr>
              <w:t>Method 320 (liquid oil fired EGUs only)</w:t>
            </w:r>
          </w:p>
        </w:tc>
        <w:tc>
          <w:tcPr>
            <w:tcW w:w="3690" w:type="dxa"/>
            <w:vAlign w:val="bottom"/>
            <w:hideMark/>
          </w:tcPr>
          <w:p w:rsidR="00576D5C" w:rsidRPr="00576D5C" w:rsidRDefault="00576D5C" w:rsidP="00C71A62">
            <w:pPr>
              <w:spacing w:after="120"/>
              <w:jc w:val="center"/>
              <w:rPr>
                <w:rFonts w:ascii="Times New Roman" w:eastAsia="Times New Roman" w:hAnsi="Times New Roman"/>
                <w:color w:val="000000"/>
                <w:sz w:val="20"/>
              </w:rPr>
            </w:pPr>
            <w:r>
              <w:rPr>
                <w:rFonts w:ascii="Times New Roman" w:eastAsia="Times New Roman" w:hAnsi="Times New Roman"/>
                <w:color w:val="000000"/>
                <w:sz w:val="20"/>
              </w:rPr>
              <w:t>N</w:t>
            </w:r>
            <w:r w:rsidRPr="00576D5C">
              <w:rPr>
                <w:rFonts w:ascii="Times New Roman" w:eastAsia="Times New Roman" w:hAnsi="Times New Roman"/>
                <w:color w:val="000000"/>
                <w:sz w:val="20"/>
              </w:rPr>
              <w:t>ew FTIR CEMS</w:t>
            </w:r>
          </w:p>
        </w:tc>
      </w:tr>
    </w:tbl>
    <w:p w:rsidR="00E22D87" w:rsidRDefault="00E22D87" w:rsidP="00C71A62">
      <w:pPr>
        <w:pStyle w:val="Para"/>
        <w:rPr>
          <w:rFonts w:ascii="Times New Roman" w:hAnsi="Times New Roman"/>
        </w:rPr>
      </w:pPr>
    </w:p>
    <w:p w:rsidR="00C70366" w:rsidRDefault="00E0215D" w:rsidP="00234919">
      <w:pPr>
        <w:ind w:firstLine="720"/>
        <w:rPr>
          <w:rFonts w:ascii="Times New Roman" w:hAnsi="Times New Roman"/>
        </w:rPr>
      </w:pPr>
      <w:r>
        <w:rPr>
          <w:rFonts w:ascii="Times New Roman" w:hAnsi="Times New Roman"/>
        </w:rPr>
        <w:br w:type="page"/>
      </w:r>
      <w:r w:rsidR="00C70366" w:rsidRPr="00B70F1C">
        <w:rPr>
          <w:rFonts w:ascii="Times New Roman" w:hAnsi="Times New Roman"/>
        </w:rPr>
        <w:lastRenderedPageBreak/>
        <w:t>The</w:t>
      </w:r>
      <w:r w:rsidR="00421DF7" w:rsidRPr="00B70F1C">
        <w:rPr>
          <w:rFonts w:ascii="Times New Roman" w:hAnsi="Times New Roman"/>
        </w:rPr>
        <w:t xml:space="preserve"> annual</w:t>
      </w:r>
      <w:r w:rsidR="00C70366" w:rsidRPr="00B70F1C">
        <w:rPr>
          <w:rFonts w:ascii="Times New Roman" w:hAnsi="Times New Roman"/>
        </w:rPr>
        <w:t xml:space="preserve"> total capital</w:t>
      </w:r>
      <w:r w:rsidR="00421DF7" w:rsidRPr="00B70F1C">
        <w:rPr>
          <w:rFonts w:ascii="Times New Roman" w:hAnsi="Times New Roman"/>
        </w:rPr>
        <w:t xml:space="preserve"> (including star</w:t>
      </w:r>
      <w:r w:rsidR="00C70366" w:rsidRPr="00B70F1C">
        <w:rPr>
          <w:rFonts w:ascii="Times New Roman" w:hAnsi="Times New Roman"/>
        </w:rPr>
        <w:t>tup</w:t>
      </w:r>
      <w:r w:rsidR="00421DF7" w:rsidRPr="00B70F1C">
        <w:rPr>
          <w:rFonts w:ascii="Times New Roman" w:hAnsi="Times New Roman"/>
        </w:rPr>
        <w:t>)</w:t>
      </w:r>
      <w:r w:rsidR="00C70366" w:rsidRPr="00B70F1C">
        <w:rPr>
          <w:rFonts w:ascii="Times New Roman" w:hAnsi="Times New Roman"/>
        </w:rPr>
        <w:t xml:space="preserve"> costs for CEMS that will be used to </w:t>
      </w:r>
      <w:r w:rsidR="004229BF" w:rsidRPr="00B70F1C">
        <w:rPr>
          <w:rFonts w:ascii="Times New Roman" w:hAnsi="Times New Roman"/>
        </w:rPr>
        <w:t>monitor</w:t>
      </w:r>
      <w:r w:rsidR="00C70366" w:rsidRPr="00B70F1C">
        <w:rPr>
          <w:rFonts w:ascii="Times New Roman" w:hAnsi="Times New Roman"/>
        </w:rPr>
        <w:t xml:space="preserve"> </w:t>
      </w:r>
      <w:r w:rsidR="004D126B" w:rsidRPr="00B70F1C">
        <w:rPr>
          <w:rFonts w:ascii="Times New Roman" w:hAnsi="Times New Roman"/>
        </w:rPr>
        <w:t>PM</w:t>
      </w:r>
      <w:r w:rsidR="00961ECE" w:rsidRPr="00B70F1C">
        <w:rPr>
          <w:rFonts w:ascii="Times New Roman" w:hAnsi="Times New Roman"/>
        </w:rPr>
        <w:t xml:space="preserve">, Hg, </w:t>
      </w:r>
      <w:r w:rsidR="004D126B" w:rsidRPr="00B70F1C">
        <w:rPr>
          <w:rFonts w:ascii="Times New Roman" w:hAnsi="Times New Roman"/>
        </w:rPr>
        <w:t xml:space="preserve">HF </w:t>
      </w:r>
      <w:r w:rsidR="00E41201" w:rsidRPr="00B70F1C">
        <w:rPr>
          <w:rFonts w:ascii="Times New Roman" w:hAnsi="Times New Roman"/>
        </w:rPr>
        <w:t xml:space="preserve">and </w:t>
      </w:r>
      <w:r w:rsidR="00961ECE" w:rsidRPr="00B70F1C">
        <w:rPr>
          <w:rFonts w:ascii="Times New Roman" w:hAnsi="Times New Roman"/>
        </w:rPr>
        <w:t>HCl</w:t>
      </w:r>
      <w:r w:rsidR="00E41201" w:rsidRPr="00B70F1C">
        <w:rPr>
          <w:rFonts w:ascii="Times New Roman" w:hAnsi="Times New Roman"/>
        </w:rPr>
        <w:t xml:space="preserve"> </w:t>
      </w:r>
      <w:r w:rsidR="00C70366" w:rsidRPr="00B70F1C">
        <w:rPr>
          <w:rFonts w:ascii="Times New Roman" w:hAnsi="Times New Roman"/>
        </w:rPr>
        <w:t>is $</w:t>
      </w:r>
      <w:r w:rsidR="00B47C5E" w:rsidRPr="00B70F1C">
        <w:rPr>
          <w:rFonts w:ascii="Times New Roman" w:hAnsi="Times New Roman"/>
        </w:rPr>
        <w:t>49,148,878</w:t>
      </w:r>
      <w:r w:rsidR="00C70366" w:rsidRPr="00B70F1C">
        <w:rPr>
          <w:rFonts w:ascii="Times New Roman" w:hAnsi="Times New Roman"/>
        </w:rPr>
        <w:t xml:space="preserve"> </w:t>
      </w:r>
      <w:r w:rsidR="00E41201" w:rsidRPr="00B70F1C">
        <w:rPr>
          <w:rFonts w:ascii="Times New Roman" w:hAnsi="Times New Roman"/>
        </w:rPr>
        <w:t xml:space="preserve">per </w:t>
      </w:r>
      <w:r w:rsidR="005D59D8" w:rsidRPr="00B70F1C">
        <w:rPr>
          <w:rFonts w:ascii="Times New Roman" w:hAnsi="Times New Roman"/>
        </w:rPr>
        <w:t>year</w:t>
      </w:r>
      <w:r w:rsidR="00C70366" w:rsidRPr="00B70F1C">
        <w:rPr>
          <w:rFonts w:ascii="Times New Roman" w:hAnsi="Times New Roman"/>
        </w:rPr>
        <w:t>.</w:t>
      </w:r>
      <w:r w:rsidR="00332DD0" w:rsidRPr="00B70F1C">
        <w:rPr>
          <w:rFonts w:ascii="Times New Roman" w:hAnsi="Times New Roman"/>
        </w:rPr>
        <w:t xml:space="preserve"> </w:t>
      </w:r>
      <w:r w:rsidR="00E41201" w:rsidRPr="00B70F1C">
        <w:rPr>
          <w:rFonts w:ascii="Times New Roman" w:hAnsi="Times New Roman"/>
        </w:rPr>
        <w:t xml:space="preserve"> The costs will be incurred for each year of the three-year period.</w:t>
      </w:r>
      <w:r w:rsidR="00BF45D5" w:rsidRPr="00B70F1C">
        <w:rPr>
          <w:rFonts w:ascii="Times New Roman" w:hAnsi="Times New Roman"/>
        </w:rPr>
        <w:t xml:space="preserve"> </w:t>
      </w:r>
      <w:r w:rsidR="00234919">
        <w:rPr>
          <w:rFonts w:ascii="Times New Roman" w:hAnsi="Times New Roman"/>
        </w:rPr>
        <w:t xml:space="preserve"> </w:t>
      </w:r>
      <w:r w:rsidR="00BF45D5" w:rsidRPr="00B70F1C">
        <w:rPr>
          <w:rFonts w:ascii="Times New Roman" w:hAnsi="Times New Roman"/>
        </w:rPr>
        <w:t xml:space="preserve">Note that these costs are considered “annualized” as they include the cost recovery factor </w:t>
      </w:r>
      <w:r w:rsidR="00071EC8">
        <w:rPr>
          <w:rFonts w:ascii="Times New Roman" w:hAnsi="Times New Roman"/>
        </w:rPr>
        <w:t xml:space="preserve">costs </w:t>
      </w:r>
      <w:r w:rsidR="00BF45D5" w:rsidRPr="00B70F1C">
        <w:rPr>
          <w:rFonts w:ascii="Times New Roman" w:hAnsi="Times New Roman"/>
        </w:rPr>
        <w:t>in their individual CEMs costs.</w:t>
      </w:r>
    </w:p>
    <w:p w:rsidR="00234919" w:rsidRPr="004D126B" w:rsidRDefault="00234919" w:rsidP="00BF45D5">
      <w:pPr>
        <w:rPr>
          <w:rFonts w:ascii="Times New Roman" w:hAnsi="Times New Roman"/>
        </w:rPr>
      </w:pPr>
    </w:p>
    <w:p w:rsidR="00C70366" w:rsidRPr="004D126B" w:rsidRDefault="00C70366" w:rsidP="00A0220C">
      <w:pPr>
        <w:pStyle w:val="Para"/>
        <w:rPr>
          <w:rFonts w:ascii="Times New Roman" w:hAnsi="Times New Roman"/>
        </w:rPr>
      </w:pPr>
      <w:r w:rsidRPr="004D126B">
        <w:rPr>
          <w:rFonts w:ascii="Times New Roman" w:hAnsi="Times New Roman"/>
        </w:rPr>
        <w:t xml:space="preserve">The continuous monitoring costs that are included in this section consist only of those capital costs that a source incurs as a result of the standard. </w:t>
      </w:r>
      <w:r w:rsidR="00B47C5E">
        <w:rPr>
          <w:rFonts w:ascii="Times New Roman" w:hAnsi="Times New Roman"/>
        </w:rPr>
        <w:t xml:space="preserve"> </w:t>
      </w:r>
      <w:r w:rsidRPr="004D126B">
        <w:rPr>
          <w:rFonts w:ascii="Times New Roman" w:hAnsi="Times New Roman"/>
        </w:rPr>
        <w:t>Some continuous monitoring costs may not be included in this section. For instance, if a particular industry typically utilizes a control device that must have a continuous monitor (e.g., temperature, pressure drop, etc.) to function properly, and the recordation of additional measurements beyond the minimum are required by the standard, then there is no capital cost</w:t>
      </w:r>
      <w:r w:rsidR="00BA2057" w:rsidRPr="004D126B">
        <w:rPr>
          <w:rFonts w:ascii="Times New Roman" w:hAnsi="Times New Roman"/>
        </w:rPr>
        <w:t>;</w:t>
      </w:r>
      <w:r w:rsidRPr="004D126B">
        <w:rPr>
          <w:rFonts w:ascii="Times New Roman" w:hAnsi="Times New Roman"/>
        </w:rPr>
        <w:t xml:space="preserve"> but</w:t>
      </w:r>
      <w:r w:rsidR="00BA2057" w:rsidRPr="004D126B">
        <w:rPr>
          <w:rFonts w:ascii="Times New Roman" w:hAnsi="Times New Roman"/>
        </w:rPr>
        <w:t>,</w:t>
      </w:r>
      <w:r w:rsidRPr="004D126B">
        <w:rPr>
          <w:rFonts w:ascii="Times New Roman" w:hAnsi="Times New Roman"/>
        </w:rPr>
        <w:t xml:space="preserve"> there is a labor cost to record the additional readings. </w:t>
      </w:r>
      <w:r w:rsidR="00234919">
        <w:rPr>
          <w:rFonts w:ascii="Times New Roman" w:hAnsi="Times New Roman"/>
        </w:rPr>
        <w:t xml:space="preserve"> </w:t>
      </w:r>
      <w:r w:rsidRPr="004D126B">
        <w:rPr>
          <w:rFonts w:ascii="Times New Roman" w:hAnsi="Times New Roman"/>
        </w:rPr>
        <w:t>Such a cost would not appear in this section, but in the industry burden Section 6(d) below.</w:t>
      </w:r>
    </w:p>
    <w:p w:rsidR="00BF4E90" w:rsidRPr="00157089" w:rsidRDefault="004D126B" w:rsidP="00157089">
      <w:pPr>
        <w:ind w:firstLine="720"/>
        <w:rPr>
          <w:rFonts w:ascii="Times New Roman" w:hAnsi="Times New Roman"/>
        </w:rPr>
      </w:pPr>
      <w:r>
        <w:rPr>
          <w:rFonts w:ascii="Times New Roman" w:hAnsi="Times New Roman"/>
        </w:rPr>
        <w:t>Performance</w:t>
      </w:r>
      <w:r w:rsidR="00C70366" w:rsidRPr="004D126B">
        <w:rPr>
          <w:rFonts w:ascii="Times New Roman" w:hAnsi="Times New Roman"/>
        </w:rPr>
        <w:t xml:space="preserve"> testing is usually conducted by a contractor such that the cost of the emissions testing is a capital cost. </w:t>
      </w:r>
      <w:r>
        <w:rPr>
          <w:rFonts w:ascii="Times New Roman" w:hAnsi="Times New Roman"/>
        </w:rPr>
        <w:t xml:space="preserve"> </w:t>
      </w:r>
      <w:r w:rsidR="00C70366" w:rsidRPr="004D126B">
        <w:rPr>
          <w:rFonts w:ascii="Times New Roman" w:hAnsi="Times New Roman"/>
        </w:rPr>
        <w:t xml:space="preserve">It is anticipated that </w:t>
      </w:r>
      <w:r>
        <w:rPr>
          <w:rFonts w:ascii="Times New Roman" w:hAnsi="Times New Roman"/>
        </w:rPr>
        <w:t xml:space="preserve">existing </w:t>
      </w:r>
      <w:r w:rsidR="00234919">
        <w:rPr>
          <w:rFonts w:ascii="Times New Roman" w:hAnsi="Times New Roman"/>
        </w:rPr>
        <w:t>EGUs</w:t>
      </w:r>
      <w:r>
        <w:rPr>
          <w:rFonts w:ascii="Times New Roman" w:hAnsi="Times New Roman"/>
        </w:rPr>
        <w:t xml:space="preserve"> </w:t>
      </w:r>
      <w:r w:rsidR="00C70366" w:rsidRPr="004D126B">
        <w:rPr>
          <w:rFonts w:ascii="Times New Roman" w:hAnsi="Times New Roman"/>
        </w:rPr>
        <w:t xml:space="preserve">will use CEMS for compliance with the proposed </w:t>
      </w:r>
      <w:r>
        <w:rPr>
          <w:rFonts w:ascii="Times New Roman" w:hAnsi="Times New Roman"/>
        </w:rPr>
        <w:t xml:space="preserve">PM, HF, </w:t>
      </w:r>
      <w:r w:rsidR="00961ECE" w:rsidRPr="004D126B">
        <w:rPr>
          <w:rFonts w:ascii="Times New Roman" w:hAnsi="Times New Roman"/>
        </w:rPr>
        <w:t>Hg,</w:t>
      </w:r>
      <w:r>
        <w:rPr>
          <w:rFonts w:ascii="Times New Roman" w:hAnsi="Times New Roman"/>
        </w:rPr>
        <w:t xml:space="preserve"> and</w:t>
      </w:r>
      <w:r w:rsidR="00961ECE" w:rsidRPr="004D126B">
        <w:rPr>
          <w:rFonts w:ascii="Times New Roman" w:hAnsi="Times New Roman"/>
        </w:rPr>
        <w:t xml:space="preserve"> HCl </w:t>
      </w:r>
      <w:r w:rsidR="00C70366" w:rsidRPr="004D126B">
        <w:rPr>
          <w:rFonts w:ascii="Times New Roman" w:hAnsi="Times New Roman"/>
        </w:rPr>
        <w:t xml:space="preserve">emission limits. </w:t>
      </w:r>
      <w:r>
        <w:rPr>
          <w:rFonts w:ascii="Times New Roman" w:hAnsi="Times New Roman"/>
        </w:rPr>
        <w:t xml:space="preserve"> </w:t>
      </w:r>
      <w:r w:rsidR="00C70366" w:rsidRPr="004D126B">
        <w:rPr>
          <w:rFonts w:ascii="Times New Roman" w:hAnsi="Times New Roman"/>
        </w:rPr>
        <w:t xml:space="preserve">Initial CEMS testing is usually conducted by an installation contractor such that the cost of the emissions testing is a capital cost. </w:t>
      </w:r>
      <w:r>
        <w:rPr>
          <w:rFonts w:ascii="Times New Roman" w:hAnsi="Times New Roman"/>
        </w:rPr>
        <w:t xml:space="preserve"> </w:t>
      </w:r>
      <w:r w:rsidR="00C70366" w:rsidRPr="004D126B">
        <w:rPr>
          <w:rFonts w:ascii="Times New Roman" w:hAnsi="Times New Roman"/>
        </w:rPr>
        <w:t xml:space="preserve">The total costs for performance testing were calculated for this industry sector. </w:t>
      </w:r>
      <w:r>
        <w:rPr>
          <w:rFonts w:ascii="Times New Roman" w:hAnsi="Times New Roman"/>
        </w:rPr>
        <w:t xml:space="preserve">  </w:t>
      </w:r>
      <w:r w:rsidR="00C70366" w:rsidRPr="004D126B">
        <w:rPr>
          <w:rFonts w:ascii="Times New Roman" w:hAnsi="Times New Roman"/>
        </w:rPr>
        <w:t xml:space="preserve">The number of </w:t>
      </w:r>
      <w:r>
        <w:rPr>
          <w:rFonts w:ascii="Times New Roman" w:hAnsi="Times New Roman"/>
        </w:rPr>
        <w:t xml:space="preserve">existing and </w:t>
      </w:r>
      <w:r w:rsidR="00C70366" w:rsidRPr="004D126B">
        <w:rPr>
          <w:rFonts w:ascii="Times New Roman" w:hAnsi="Times New Roman"/>
        </w:rPr>
        <w:t xml:space="preserve">new sources in this sector combined with the number of tests required for each type of model plant resulted in a total </w:t>
      </w:r>
      <w:r w:rsidR="00BF45D5">
        <w:rPr>
          <w:rFonts w:ascii="Times New Roman" w:hAnsi="Times New Roman"/>
        </w:rPr>
        <w:t xml:space="preserve">annualized </w:t>
      </w:r>
      <w:r w:rsidR="00C70366" w:rsidRPr="004D126B">
        <w:rPr>
          <w:rFonts w:ascii="Times New Roman" w:hAnsi="Times New Roman"/>
        </w:rPr>
        <w:t xml:space="preserve">capital cost of approximately </w:t>
      </w:r>
      <w:r w:rsidR="00C70366" w:rsidRPr="005D59D8">
        <w:rPr>
          <w:rFonts w:ascii="Times New Roman" w:hAnsi="Times New Roman"/>
        </w:rPr>
        <w:t>$</w:t>
      </w:r>
      <w:r w:rsidR="005D59D8">
        <w:rPr>
          <w:rFonts w:ascii="Times New Roman" w:hAnsi="Times New Roman"/>
        </w:rPr>
        <w:t>49,148,878</w:t>
      </w:r>
      <w:r w:rsidR="005D59D8" w:rsidRPr="005D59D8">
        <w:rPr>
          <w:rFonts w:ascii="Calibri" w:eastAsia="Times New Roman" w:hAnsi="Calibri"/>
          <w:sz w:val="20"/>
        </w:rPr>
        <w:t xml:space="preserve"> </w:t>
      </w:r>
      <w:r w:rsidR="00BF45D5">
        <w:rPr>
          <w:rFonts w:ascii="Times New Roman" w:hAnsi="Times New Roman"/>
        </w:rPr>
        <w:t>per year f</w:t>
      </w:r>
      <w:r w:rsidR="00C70366" w:rsidRPr="004D126B">
        <w:rPr>
          <w:rFonts w:ascii="Times New Roman" w:hAnsi="Times New Roman"/>
        </w:rPr>
        <w:t>or CEMS testing over the next three years</w:t>
      </w:r>
      <w:r w:rsidR="005D59D8">
        <w:rPr>
          <w:rFonts w:ascii="Times New Roman" w:hAnsi="Times New Roman"/>
        </w:rPr>
        <w:t>.</w:t>
      </w:r>
    </w:p>
    <w:p w:rsidR="005922C3" w:rsidRPr="00640B02" w:rsidRDefault="005922C3" w:rsidP="00E0215D">
      <w:pPr>
        <w:pStyle w:val="Heading2"/>
        <w:ind w:left="0" w:firstLine="0"/>
        <w:rPr>
          <w:i/>
          <w:iCs w:val="0"/>
        </w:rPr>
      </w:pPr>
      <w:r w:rsidRPr="0068644D">
        <w:rPr>
          <w:i/>
          <w:iCs w:val="0"/>
        </w:rPr>
        <w:t>(iii)</w:t>
      </w:r>
      <w:r w:rsidRPr="0068644D">
        <w:rPr>
          <w:i/>
          <w:iCs w:val="0"/>
        </w:rPr>
        <w:tab/>
      </w:r>
      <w:r w:rsidRPr="00640B02">
        <w:rPr>
          <w:i/>
          <w:iCs w:val="0"/>
        </w:rPr>
        <w:t>Estimating Operations and Maintenance (O&amp;M) Costs</w:t>
      </w:r>
    </w:p>
    <w:p w:rsidR="004A1FC4" w:rsidRDefault="00315242" w:rsidP="005D59D8">
      <w:pPr>
        <w:ind w:firstLine="720"/>
        <w:rPr>
          <w:rFonts w:ascii="Calibri" w:eastAsia="Times New Roman" w:hAnsi="Calibri"/>
          <w:sz w:val="20"/>
        </w:rPr>
      </w:pPr>
      <w:r w:rsidRPr="00640B02">
        <w:rPr>
          <w:rFonts w:ascii="Times New Roman" w:hAnsi="Times New Roman"/>
        </w:rPr>
        <w:t>The annual operation and maintenance costs are the ongoing costs to maintain the monitors and other costs such as photocopying and postage.</w:t>
      </w:r>
      <w:r w:rsidR="00640B02" w:rsidRPr="00640B02">
        <w:rPr>
          <w:rFonts w:ascii="Times New Roman" w:hAnsi="Times New Roman"/>
        </w:rPr>
        <w:t xml:space="preserve"> </w:t>
      </w:r>
      <w:r w:rsidRPr="00640B02">
        <w:rPr>
          <w:rFonts w:ascii="Times New Roman" w:hAnsi="Times New Roman"/>
        </w:rPr>
        <w:t xml:space="preserve"> The total </w:t>
      </w:r>
      <w:r w:rsidR="00FE6118" w:rsidRPr="00640B02">
        <w:rPr>
          <w:rFonts w:ascii="Times New Roman" w:hAnsi="Times New Roman"/>
        </w:rPr>
        <w:t xml:space="preserve">annual operations and </w:t>
      </w:r>
      <w:r w:rsidR="00FE6118" w:rsidRPr="005D59D8">
        <w:rPr>
          <w:rFonts w:ascii="Times New Roman" w:hAnsi="Times New Roman"/>
        </w:rPr>
        <w:t xml:space="preserve">maintenance costs </w:t>
      </w:r>
      <w:r w:rsidRPr="005D59D8">
        <w:rPr>
          <w:rFonts w:ascii="Times New Roman" w:hAnsi="Times New Roman"/>
        </w:rPr>
        <w:t xml:space="preserve">for CEMS that will be used to monitor </w:t>
      </w:r>
      <w:r w:rsidR="00640B02" w:rsidRPr="005D59D8">
        <w:rPr>
          <w:rFonts w:ascii="Times New Roman" w:hAnsi="Times New Roman"/>
        </w:rPr>
        <w:t>PM, HF,</w:t>
      </w:r>
      <w:r w:rsidRPr="005D59D8">
        <w:rPr>
          <w:rFonts w:ascii="Times New Roman" w:hAnsi="Times New Roman"/>
        </w:rPr>
        <w:t xml:space="preserve"> Hg,</w:t>
      </w:r>
      <w:r w:rsidR="00640B02" w:rsidRPr="005D59D8">
        <w:rPr>
          <w:rFonts w:ascii="Times New Roman" w:hAnsi="Times New Roman"/>
        </w:rPr>
        <w:t xml:space="preserve"> and</w:t>
      </w:r>
      <w:r w:rsidRPr="005D59D8">
        <w:rPr>
          <w:rFonts w:ascii="Times New Roman" w:hAnsi="Times New Roman"/>
        </w:rPr>
        <w:t xml:space="preserve"> HCl is </w:t>
      </w:r>
      <w:r w:rsidR="005D59D8" w:rsidRPr="005D59D8">
        <w:rPr>
          <w:rFonts w:ascii="Times New Roman" w:hAnsi="Times New Roman"/>
        </w:rPr>
        <w:t>$296,679</w:t>
      </w:r>
      <w:r w:rsidR="00FE6118" w:rsidRPr="00640B02">
        <w:rPr>
          <w:rFonts w:ascii="Times New Roman" w:hAnsi="Times New Roman"/>
        </w:rPr>
        <w:t xml:space="preserve"> </w:t>
      </w:r>
      <w:r w:rsidR="00D207AF" w:rsidRPr="00640B02">
        <w:rPr>
          <w:rFonts w:ascii="Times New Roman" w:hAnsi="Times New Roman"/>
        </w:rPr>
        <w:t>per year</w:t>
      </w:r>
      <w:r w:rsidRPr="00640B02">
        <w:rPr>
          <w:rFonts w:ascii="Times New Roman" w:hAnsi="Times New Roman"/>
        </w:rPr>
        <w:t>.</w:t>
      </w:r>
      <w:r w:rsidR="004A1FC4" w:rsidRPr="004A1FC4">
        <w:rPr>
          <w:rFonts w:ascii="Calibri" w:eastAsia="Times New Roman" w:hAnsi="Calibri"/>
          <w:sz w:val="20"/>
        </w:rPr>
        <w:t xml:space="preserve"> </w:t>
      </w:r>
    </w:p>
    <w:p w:rsidR="005D59D8" w:rsidRPr="004A1FC4" w:rsidRDefault="005D59D8" w:rsidP="005D59D8">
      <w:pPr>
        <w:ind w:firstLine="720"/>
        <w:rPr>
          <w:rFonts w:ascii="Calibri" w:eastAsia="Times New Roman" w:hAnsi="Calibri"/>
          <w:sz w:val="20"/>
        </w:rPr>
      </w:pPr>
    </w:p>
    <w:p w:rsidR="00BA2057" w:rsidRPr="00640B02" w:rsidRDefault="00BA2057" w:rsidP="005D59D8">
      <w:pPr>
        <w:pStyle w:val="Para"/>
        <w:rPr>
          <w:rFonts w:ascii="Times New Roman" w:hAnsi="Times New Roman"/>
        </w:rPr>
      </w:pPr>
      <w:r w:rsidRPr="00640B02">
        <w:rPr>
          <w:rFonts w:ascii="Times New Roman" w:hAnsi="Times New Roman"/>
        </w:rPr>
        <w:t xml:space="preserve">The continuous monitoring costs that are included in this section consist only of those O&amp;M costs that a source incurs as a result of the standard. </w:t>
      </w:r>
      <w:r w:rsidR="00640B02">
        <w:rPr>
          <w:rFonts w:ascii="Times New Roman" w:hAnsi="Times New Roman"/>
        </w:rPr>
        <w:t xml:space="preserve"> </w:t>
      </w:r>
      <w:r w:rsidRPr="00640B02">
        <w:rPr>
          <w:rFonts w:ascii="Times New Roman" w:hAnsi="Times New Roman"/>
        </w:rPr>
        <w:t xml:space="preserve">Some continuous monitoring costs may not be included in this section. </w:t>
      </w:r>
      <w:r w:rsidR="00640B02">
        <w:rPr>
          <w:rFonts w:ascii="Times New Roman" w:hAnsi="Times New Roman"/>
        </w:rPr>
        <w:t xml:space="preserve"> </w:t>
      </w:r>
      <w:r w:rsidRPr="00640B02">
        <w:rPr>
          <w:rFonts w:ascii="Times New Roman" w:hAnsi="Times New Roman"/>
        </w:rPr>
        <w:t xml:space="preserve">For instance, if a particular industry typically utilizes a control device that must have a continuous monitor (e.g., temperature, pressure drop, etc.) to function properly, and the recordation of additional measurements beyond the minimum are required by the standard, then there is </w:t>
      </w:r>
      <w:r w:rsidR="00157089">
        <w:rPr>
          <w:rFonts w:ascii="Times New Roman" w:hAnsi="Times New Roman"/>
        </w:rPr>
        <w:t xml:space="preserve">no </w:t>
      </w:r>
      <w:r w:rsidRPr="00640B02">
        <w:rPr>
          <w:rFonts w:ascii="Times New Roman" w:hAnsi="Times New Roman"/>
        </w:rPr>
        <w:t xml:space="preserve">O&amp;M cost, but there is a labor cost to record the additional readings. </w:t>
      </w:r>
      <w:r w:rsidR="00640B02">
        <w:rPr>
          <w:rFonts w:ascii="Times New Roman" w:hAnsi="Times New Roman"/>
        </w:rPr>
        <w:t xml:space="preserve"> </w:t>
      </w:r>
      <w:r w:rsidRPr="00640B02">
        <w:rPr>
          <w:rFonts w:ascii="Times New Roman" w:hAnsi="Times New Roman"/>
        </w:rPr>
        <w:t>Such a cost would not appear in this section, but in the industry burden Section 6(d) below.</w:t>
      </w:r>
    </w:p>
    <w:p w:rsidR="00B462D4" w:rsidRPr="00972D5B" w:rsidRDefault="00C70366" w:rsidP="00B462D4">
      <w:pPr>
        <w:pStyle w:val="Heading2"/>
        <w:rPr>
          <w:i/>
          <w:iCs w:val="0"/>
          <w:highlight w:val="yellow"/>
        </w:rPr>
      </w:pPr>
      <w:proofErr w:type="gramStart"/>
      <w:r w:rsidRPr="00640B02">
        <w:rPr>
          <w:i/>
          <w:iCs w:val="0"/>
        </w:rPr>
        <w:t>(i</w:t>
      </w:r>
      <w:r w:rsidR="005922C3" w:rsidRPr="00640B02">
        <w:rPr>
          <w:i/>
          <w:iCs w:val="0"/>
        </w:rPr>
        <w:t>v</w:t>
      </w:r>
      <w:r w:rsidRPr="00640B02">
        <w:rPr>
          <w:i/>
          <w:iCs w:val="0"/>
        </w:rPr>
        <w:t>)</w:t>
      </w:r>
      <w:r w:rsidR="005922C3" w:rsidRPr="00640B02">
        <w:rPr>
          <w:i/>
          <w:iCs w:val="0"/>
        </w:rPr>
        <w:tab/>
      </w:r>
      <w:r w:rsidRPr="000E0122">
        <w:rPr>
          <w:i/>
          <w:iCs w:val="0"/>
        </w:rPr>
        <w:t>Annualizing</w:t>
      </w:r>
      <w:proofErr w:type="gramEnd"/>
      <w:r w:rsidRPr="000E0122">
        <w:rPr>
          <w:i/>
          <w:iCs w:val="0"/>
        </w:rPr>
        <w:t xml:space="preserve"> Capital Costs</w:t>
      </w:r>
    </w:p>
    <w:p w:rsidR="00C70366" w:rsidRDefault="000E0122" w:rsidP="00B70F1C">
      <w:pPr>
        <w:pStyle w:val="Para"/>
        <w:rPr>
          <w:rFonts w:ascii="Times New Roman" w:hAnsi="Times New Roman"/>
        </w:rPr>
      </w:pPr>
      <w:r>
        <w:rPr>
          <w:rFonts w:ascii="Times New Roman" w:hAnsi="Times New Roman"/>
        </w:rPr>
        <w:t>Under this memo, the annualized capital costs are included in the costs of the performance tests and CEMS (see explanation in Section 6(b</w:t>
      </w:r>
      <w:proofErr w:type="gramStart"/>
      <w:r>
        <w:rPr>
          <w:rFonts w:ascii="Times New Roman" w:hAnsi="Times New Roman"/>
        </w:rPr>
        <w:t>)(</w:t>
      </w:r>
      <w:proofErr w:type="gramEnd"/>
      <w:r w:rsidRPr="000E0122">
        <w:rPr>
          <w:rFonts w:ascii="Times New Roman" w:hAnsi="Times New Roman"/>
          <w:i/>
          <w:iCs/>
        </w:rPr>
        <w:t>ii</w:t>
      </w:r>
      <w:r>
        <w:rPr>
          <w:rFonts w:ascii="Times New Roman" w:hAnsi="Times New Roman"/>
        </w:rPr>
        <w:t>))</w:t>
      </w:r>
      <w:r w:rsidRPr="000E0122">
        <w:rPr>
          <w:rFonts w:ascii="Times New Roman" w:hAnsi="Times New Roman"/>
        </w:rPr>
        <w:t>.  The annualized capital costs total $49,148,878.</w:t>
      </w:r>
      <w:r>
        <w:rPr>
          <w:rFonts w:ascii="Times New Roman" w:hAnsi="Times New Roman"/>
        </w:rPr>
        <w:t xml:space="preserve"> </w:t>
      </w:r>
    </w:p>
    <w:p w:rsidR="00D772CE" w:rsidRPr="0068644D" w:rsidRDefault="00D772CE" w:rsidP="00157089">
      <w:pPr>
        <w:pStyle w:val="Heading2"/>
        <w:ind w:left="0" w:firstLine="0"/>
        <w:rPr>
          <w:i/>
          <w:iCs w:val="0"/>
        </w:rPr>
      </w:pPr>
      <w:r w:rsidRPr="0068644D">
        <w:rPr>
          <w:i/>
          <w:iCs w:val="0"/>
        </w:rPr>
        <w:t>(c)</w:t>
      </w:r>
      <w:r w:rsidR="008C5BF2" w:rsidRPr="0068644D">
        <w:rPr>
          <w:i/>
          <w:iCs w:val="0"/>
        </w:rPr>
        <w:tab/>
      </w:r>
      <w:r w:rsidRPr="0068644D">
        <w:rPr>
          <w:i/>
          <w:iCs w:val="0"/>
        </w:rPr>
        <w:t>Estimating Agency Burden and Cost</w:t>
      </w:r>
    </w:p>
    <w:p w:rsidR="00D772CE" w:rsidRPr="007C7E34" w:rsidRDefault="00D772CE" w:rsidP="00921989">
      <w:pPr>
        <w:pStyle w:val="Para"/>
        <w:rPr>
          <w:rFonts w:ascii="Times New Roman" w:hAnsi="Times New Roman"/>
          <w:highlight w:val="green"/>
        </w:rPr>
      </w:pPr>
      <w:r w:rsidRPr="007C7E34">
        <w:rPr>
          <w:rFonts w:ascii="Times New Roman" w:hAnsi="Times New Roman"/>
        </w:rPr>
        <w:t xml:space="preserve">Because the information collection requirements were developed as an incidental part of standards development, no costs can be attributed to the development of the information collection requirements. </w:t>
      </w:r>
      <w:r w:rsidR="007C7E34" w:rsidRPr="007C7E34">
        <w:rPr>
          <w:rFonts w:ascii="Times New Roman" w:hAnsi="Times New Roman"/>
        </w:rPr>
        <w:t xml:space="preserve"> </w:t>
      </w:r>
      <w:r w:rsidRPr="007C7E34">
        <w:rPr>
          <w:rFonts w:ascii="Times New Roman" w:hAnsi="Times New Roman"/>
        </w:rPr>
        <w:t xml:space="preserve">Because reporting and recordkeeping requirements on the part of the </w:t>
      </w:r>
      <w:r w:rsidRPr="007C7E34">
        <w:rPr>
          <w:rFonts w:ascii="Times New Roman" w:hAnsi="Times New Roman"/>
        </w:rPr>
        <w:lastRenderedPageBreak/>
        <w:t xml:space="preserve">respondents are required under the NESHAP General Provisions, no operational costs will be incurred by the Federal Government. </w:t>
      </w:r>
      <w:r w:rsidR="007C7E34">
        <w:rPr>
          <w:rFonts w:ascii="Times New Roman" w:hAnsi="Times New Roman"/>
        </w:rPr>
        <w:t xml:space="preserve"> </w:t>
      </w:r>
      <w:r w:rsidRPr="007C7E34">
        <w:rPr>
          <w:rFonts w:ascii="Times New Roman" w:hAnsi="Times New Roman"/>
        </w:rPr>
        <w:t xml:space="preserve">Publication and distribution of the information are part of the Compliance Data System, with the result that no Federal costs can be directly attributed to the ICR. </w:t>
      </w:r>
      <w:r w:rsidR="007C7E34" w:rsidRPr="007C7E34">
        <w:rPr>
          <w:rFonts w:ascii="Times New Roman" w:hAnsi="Times New Roman"/>
        </w:rPr>
        <w:t xml:space="preserve"> </w:t>
      </w:r>
      <w:r w:rsidRPr="007C7E34">
        <w:rPr>
          <w:rFonts w:ascii="Times New Roman" w:hAnsi="Times New Roman"/>
        </w:rPr>
        <w:t xml:space="preserve">Examination of records to be maintained by the respondents will occur incidentally as part of the periodic inspection of sources that is part of EPA's overall compliance and enforcement program, and, therefore, is not attributable to the ICR. The only costs that the Federal government will incur are user costs associated with the analysis of the reported information, as presented in </w:t>
      </w:r>
      <w:r w:rsidR="00EE5AC5" w:rsidRPr="007C7E34">
        <w:rPr>
          <w:rFonts w:ascii="Times New Roman" w:hAnsi="Times New Roman"/>
        </w:rPr>
        <w:t>Tables 2a</w:t>
      </w:r>
      <w:r w:rsidR="00593F37" w:rsidRPr="007C7E34">
        <w:rPr>
          <w:rFonts w:ascii="Times New Roman" w:hAnsi="Times New Roman"/>
        </w:rPr>
        <w:t xml:space="preserve">, 2b, and </w:t>
      </w:r>
      <w:r w:rsidR="00EE5AC5" w:rsidRPr="007C7E34">
        <w:rPr>
          <w:rFonts w:ascii="Times New Roman" w:hAnsi="Times New Roman"/>
        </w:rPr>
        <w:t>2c</w:t>
      </w:r>
      <w:r w:rsidRPr="007C7E34">
        <w:rPr>
          <w:rFonts w:ascii="Times New Roman" w:hAnsi="Times New Roman"/>
        </w:rPr>
        <w:t>.</w:t>
      </w:r>
      <w:r w:rsidR="00EE5AC5" w:rsidRPr="007C7E34">
        <w:rPr>
          <w:rFonts w:ascii="Times New Roman" w:hAnsi="Times New Roman"/>
        </w:rPr>
        <w:t xml:space="preserve"> </w:t>
      </w:r>
      <w:r w:rsidR="007C7E34" w:rsidRPr="007C7E34">
        <w:rPr>
          <w:rFonts w:ascii="Times New Roman" w:hAnsi="Times New Roman"/>
        </w:rPr>
        <w:t xml:space="preserve"> </w:t>
      </w:r>
      <w:r w:rsidR="007445B5" w:rsidRPr="007C7E34">
        <w:rPr>
          <w:rFonts w:ascii="Times New Roman" w:hAnsi="Times New Roman"/>
        </w:rPr>
        <w:t>Exhibit</w:t>
      </w:r>
      <w:r w:rsidR="00EE5AC5" w:rsidRPr="007C7E34">
        <w:rPr>
          <w:rFonts w:ascii="Times New Roman" w:hAnsi="Times New Roman"/>
        </w:rPr>
        <w:t> </w:t>
      </w:r>
      <w:r w:rsidR="007445B5" w:rsidRPr="007C7E34">
        <w:rPr>
          <w:rFonts w:ascii="Times New Roman" w:hAnsi="Times New Roman"/>
        </w:rPr>
        <w:t>4</w:t>
      </w:r>
      <w:r w:rsidR="00EE5AC5" w:rsidRPr="007C7E34">
        <w:rPr>
          <w:rFonts w:ascii="Times New Roman" w:hAnsi="Times New Roman"/>
        </w:rPr>
        <w:t xml:space="preserve"> contains a summary of the agency burden costs and hou</w:t>
      </w:r>
      <w:r w:rsidR="003C3042">
        <w:rPr>
          <w:rFonts w:ascii="Times New Roman" w:hAnsi="Times New Roman"/>
        </w:rPr>
        <w:t>r</w:t>
      </w:r>
      <w:r w:rsidR="00EE5AC5" w:rsidRPr="007C7E34">
        <w:rPr>
          <w:rFonts w:ascii="Times New Roman" w:hAnsi="Times New Roman"/>
        </w:rPr>
        <w:t>s detailed in Tables 2a</w:t>
      </w:r>
      <w:r w:rsidR="00593F37" w:rsidRPr="007C7E34">
        <w:rPr>
          <w:rFonts w:ascii="Times New Roman" w:hAnsi="Times New Roman"/>
        </w:rPr>
        <w:t xml:space="preserve">, 2b, </w:t>
      </w:r>
      <w:r w:rsidR="00593F37" w:rsidRPr="00921989">
        <w:rPr>
          <w:rFonts w:ascii="Times New Roman" w:hAnsi="Times New Roman"/>
        </w:rPr>
        <w:t xml:space="preserve">and </w:t>
      </w:r>
      <w:r w:rsidR="00EE5AC5" w:rsidRPr="00921989">
        <w:rPr>
          <w:rFonts w:ascii="Times New Roman" w:hAnsi="Times New Roman"/>
        </w:rPr>
        <w:t xml:space="preserve">2c. </w:t>
      </w:r>
      <w:r w:rsidR="007C7E34" w:rsidRPr="00921989">
        <w:rPr>
          <w:rFonts w:ascii="Times New Roman" w:hAnsi="Times New Roman"/>
        </w:rPr>
        <w:t xml:space="preserve"> </w:t>
      </w:r>
      <w:r w:rsidR="00EE5AC5" w:rsidRPr="00921989">
        <w:rPr>
          <w:rFonts w:ascii="Times New Roman" w:hAnsi="Times New Roman"/>
        </w:rPr>
        <w:t>The average annual Agency costs during the three years of the ICR is estimated to be $</w:t>
      </w:r>
      <w:r w:rsidR="00921989" w:rsidRPr="00921989">
        <w:rPr>
          <w:rFonts w:ascii="Times New Roman" w:hAnsi="Times New Roman"/>
        </w:rPr>
        <w:t>877</w:t>
      </w:r>
      <w:r w:rsidR="00EE5AC5" w:rsidRPr="00921989">
        <w:rPr>
          <w:rFonts w:ascii="Times New Roman" w:hAnsi="Times New Roman"/>
        </w:rPr>
        <w:t>,</w:t>
      </w:r>
      <w:r w:rsidR="00921989" w:rsidRPr="00921989">
        <w:rPr>
          <w:rFonts w:ascii="Times New Roman" w:hAnsi="Times New Roman"/>
        </w:rPr>
        <w:t>188</w:t>
      </w:r>
      <w:r w:rsidR="00EE5AC5" w:rsidRPr="00921989">
        <w:rPr>
          <w:rFonts w:ascii="Times New Roman" w:hAnsi="Times New Roman"/>
        </w:rPr>
        <w:t>.</w:t>
      </w:r>
    </w:p>
    <w:p w:rsidR="007445B5" w:rsidRPr="00921989" w:rsidRDefault="00E22D87" w:rsidP="005D59D8">
      <w:pPr>
        <w:pStyle w:val="ExhibitTitle"/>
        <w:keepNext/>
        <w:keepLines/>
        <w:rPr>
          <w:rFonts w:ascii="Times New Roman" w:hAnsi="Times New Roman"/>
        </w:rPr>
      </w:pPr>
      <w:proofErr w:type="gramStart"/>
      <w:r w:rsidRPr="00921989">
        <w:rPr>
          <w:rFonts w:ascii="Times New Roman" w:hAnsi="Times New Roman"/>
        </w:rPr>
        <w:t xml:space="preserve">Exhibit </w:t>
      </w:r>
      <w:r w:rsidR="005D59D8">
        <w:rPr>
          <w:rFonts w:ascii="Times New Roman" w:hAnsi="Times New Roman"/>
        </w:rPr>
        <w:t>4</w:t>
      </w:r>
      <w:r w:rsidR="001F41F7" w:rsidRPr="00921989">
        <w:rPr>
          <w:rFonts w:ascii="Times New Roman" w:hAnsi="Times New Roman"/>
        </w:rPr>
        <w:t>.</w:t>
      </w:r>
      <w:proofErr w:type="gramEnd"/>
      <w:r w:rsidR="007445B5" w:rsidRPr="00921989">
        <w:rPr>
          <w:rFonts w:ascii="Times New Roman" w:hAnsi="Times New Roman"/>
        </w:rPr>
        <w:tab/>
        <w:t>Summary of the Agency Burden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7"/>
        <w:gridCol w:w="4166"/>
        <w:gridCol w:w="3233"/>
      </w:tblGrid>
      <w:tr w:rsidR="007445B5" w:rsidRPr="00B47C5E" w:rsidTr="00E67CCD">
        <w:trPr>
          <w:trHeight w:val="296"/>
        </w:trPr>
        <w:tc>
          <w:tcPr>
            <w:tcW w:w="1137" w:type="pct"/>
            <w:noWrap/>
            <w:hideMark/>
          </w:tcPr>
          <w:p w:rsidR="007445B5" w:rsidRPr="00B47C5E" w:rsidRDefault="007445B5" w:rsidP="00E67CCD">
            <w:pPr>
              <w:pStyle w:val="TableHeader"/>
              <w:keepNext/>
              <w:keepLines/>
              <w:rPr>
                <w:rFonts w:ascii="Times New Roman" w:hAnsi="Times New Roman"/>
              </w:rPr>
            </w:pPr>
            <w:bookmarkStart w:id="0" w:name="RANGE!A1:C6"/>
            <w:r w:rsidRPr="00B47C5E">
              <w:rPr>
                <w:rFonts w:ascii="Times New Roman" w:hAnsi="Times New Roman"/>
              </w:rPr>
              <w:t>Year</w:t>
            </w:r>
            <w:bookmarkEnd w:id="0"/>
          </w:p>
        </w:tc>
        <w:tc>
          <w:tcPr>
            <w:tcW w:w="2175" w:type="pct"/>
            <w:hideMark/>
          </w:tcPr>
          <w:p w:rsidR="007445B5" w:rsidRPr="00B47C5E" w:rsidRDefault="007445B5" w:rsidP="00E67CCD">
            <w:pPr>
              <w:pStyle w:val="TableHeader"/>
              <w:keepNext/>
              <w:keepLines/>
              <w:rPr>
                <w:rFonts w:ascii="Times New Roman" w:hAnsi="Times New Roman"/>
              </w:rPr>
            </w:pPr>
            <w:r w:rsidRPr="00B47C5E">
              <w:rPr>
                <w:rFonts w:ascii="Times New Roman" w:hAnsi="Times New Roman"/>
              </w:rPr>
              <w:t>Total Annual Labor Burden (Hours)</w:t>
            </w:r>
          </w:p>
        </w:tc>
        <w:tc>
          <w:tcPr>
            <w:tcW w:w="1688" w:type="pct"/>
            <w:hideMark/>
          </w:tcPr>
          <w:p w:rsidR="007445B5" w:rsidRPr="00B47C5E" w:rsidRDefault="007445B5" w:rsidP="00E67CCD">
            <w:pPr>
              <w:pStyle w:val="TableHeader"/>
              <w:keepNext/>
              <w:keepLines/>
              <w:rPr>
                <w:rFonts w:ascii="Times New Roman" w:hAnsi="Times New Roman"/>
              </w:rPr>
            </w:pPr>
            <w:r w:rsidRPr="00B47C5E">
              <w:rPr>
                <w:rFonts w:ascii="Times New Roman" w:hAnsi="Times New Roman"/>
              </w:rPr>
              <w:t>Total Annual Costs ($)</w:t>
            </w:r>
          </w:p>
        </w:tc>
      </w:tr>
      <w:tr w:rsidR="00921989" w:rsidRPr="00B47C5E" w:rsidTr="004A1FC4">
        <w:trPr>
          <w:trHeight w:val="300"/>
        </w:trPr>
        <w:tc>
          <w:tcPr>
            <w:tcW w:w="1137" w:type="pct"/>
            <w:noWrap/>
            <w:hideMark/>
          </w:tcPr>
          <w:p w:rsidR="00921989" w:rsidRPr="00B47C5E" w:rsidRDefault="00921989" w:rsidP="00E67CCD">
            <w:pPr>
              <w:pStyle w:val="TableRow"/>
              <w:keepNext/>
              <w:keepLines/>
              <w:jc w:val="center"/>
              <w:rPr>
                <w:rFonts w:ascii="Times New Roman" w:hAnsi="Times New Roman"/>
              </w:rPr>
            </w:pPr>
            <w:r w:rsidRPr="00B47C5E">
              <w:rPr>
                <w:rFonts w:ascii="Times New Roman" w:hAnsi="Times New Roman"/>
              </w:rPr>
              <w:t>1</w:t>
            </w:r>
          </w:p>
        </w:tc>
        <w:tc>
          <w:tcPr>
            <w:tcW w:w="2175" w:type="pct"/>
            <w:noWrap/>
            <w:vAlign w:val="bottom"/>
            <w:hideMark/>
          </w:tcPr>
          <w:p w:rsidR="00921989" w:rsidRPr="00B47C5E" w:rsidRDefault="00921989" w:rsidP="004A1FC4">
            <w:pPr>
              <w:rPr>
                <w:rFonts w:ascii="Times New Roman" w:eastAsia="Times New Roman" w:hAnsi="Times New Roman"/>
                <w:color w:val="000000"/>
                <w:sz w:val="22"/>
                <w:szCs w:val="22"/>
              </w:rPr>
            </w:pPr>
            <w:r w:rsidRPr="00B47C5E">
              <w:rPr>
                <w:rFonts w:ascii="Times New Roman" w:eastAsia="Times New Roman" w:hAnsi="Times New Roman"/>
                <w:color w:val="000000"/>
                <w:sz w:val="22"/>
                <w:szCs w:val="22"/>
              </w:rPr>
              <w:t xml:space="preserve">                                17,965 </w:t>
            </w:r>
          </w:p>
        </w:tc>
        <w:tc>
          <w:tcPr>
            <w:tcW w:w="1688" w:type="pct"/>
            <w:noWrap/>
            <w:vAlign w:val="bottom"/>
            <w:hideMark/>
          </w:tcPr>
          <w:p w:rsidR="00921989" w:rsidRPr="00B47C5E" w:rsidRDefault="00921989" w:rsidP="004A1FC4">
            <w:pPr>
              <w:rPr>
                <w:rFonts w:ascii="Times New Roman" w:eastAsia="Times New Roman" w:hAnsi="Times New Roman"/>
                <w:color w:val="000000"/>
                <w:sz w:val="22"/>
                <w:szCs w:val="22"/>
              </w:rPr>
            </w:pPr>
            <w:r w:rsidRPr="00B47C5E">
              <w:rPr>
                <w:rFonts w:ascii="Times New Roman" w:eastAsia="Times New Roman" w:hAnsi="Times New Roman"/>
                <w:color w:val="000000"/>
                <w:sz w:val="22"/>
                <w:szCs w:val="22"/>
              </w:rPr>
              <w:t xml:space="preserve"> $                      873,768 </w:t>
            </w:r>
          </w:p>
        </w:tc>
      </w:tr>
      <w:tr w:rsidR="00921989" w:rsidRPr="00B47C5E" w:rsidTr="004A1FC4">
        <w:trPr>
          <w:trHeight w:val="300"/>
        </w:trPr>
        <w:tc>
          <w:tcPr>
            <w:tcW w:w="1137" w:type="pct"/>
            <w:noWrap/>
            <w:hideMark/>
          </w:tcPr>
          <w:p w:rsidR="00921989" w:rsidRPr="00B47C5E" w:rsidRDefault="00921989" w:rsidP="00E67CCD">
            <w:pPr>
              <w:pStyle w:val="TableRow"/>
              <w:keepNext/>
              <w:keepLines/>
              <w:jc w:val="center"/>
              <w:rPr>
                <w:rFonts w:ascii="Times New Roman" w:hAnsi="Times New Roman"/>
              </w:rPr>
            </w:pPr>
            <w:r w:rsidRPr="00B47C5E">
              <w:rPr>
                <w:rFonts w:ascii="Times New Roman" w:hAnsi="Times New Roman"/>
              </w:rPr>
              <w:t>2</w:t>
            </w:r>
          </w:p>
        </w:tc>
        <w:tc>
          <w:tcPr>
            <w:tcW w:w="2175" w:type="pct"/>
            <w:noWrap/>
            <w:vAlign w:val="bottom"/>
            <w:hideMark/>
          </w:tcPr>
          <w:p w:rsidR="00921989" w:rsidRPr="00B47C5E" w:rsidRDefault="00921989" w:rsidP="004A1FC4">
            <w:pPr>
              <w:rPr>
                <w:rFonts w:ascii="Times New Roman" w:eastAsia="Times New Roman" w:hAnsi="Times New Roman"/>
                <w:color w:val="000000"/>
                <w:sz w:val="22"/>
                <w:szCs w:val="22"/>
              </w:rPr>
            </w:pPr>
            <w:r w:rsidRPr="00B47C5E">
              <w:rPr>
                <w:rFonts w:ascii="Times New Roman" w:eastAsia="Times New Roman" w:hAnsi="Times New Roman"/>
                <w:color w:val="000000"/>
                <w:sz w:val="22"/>
                <w:szCs w:val="22"/>
              </w:rPr>
              <w:t xml:space="preserve">                                18,039 </w:t>
            </w:r>
          </w:p>
        </w:tc>
        <w:tc>
          <w:tcPr>
            <w:tcW w:w="1688" w:type="pct"/>
            <w:noWrap/>
            <w:vAlign w:val="bottom"/>
            <w:hideMark/>
          </w:tcPr>
          <w:p w:rsidR="00921989" w:rsidRPr="00B47C5E" w:rsidRDefault="00921989" w:rsidP="004A1FC4">
            <w:pPr>
              <w:rPr>
                <w:rFonts w:ascii="Times New Roman" w:eastAsia="Times New Roman" w:hAnsi="Times New Roman"/>
                <w:color w:val="000000"/>
                <w:sz w:val="22"/>
                <w:szCs w:val="22"/>
              </w:rPr>
            </w:pPr>
            <w:r w:rsidRPr="00B47C5E">
              <w:rPr>
                <w:rFonts w:ascii="Times New Roman" w:eastAsia="Times New Roman" w:hAnsi="Times New Roman"/>
                <w:color w:val="000000"/>
                <w:sz w:val="22"/>
                <w:szCs w:val="22"/>
              </w:rPr>
              <w:t xml:space="preserve"> $                      877,188 </w:t>
            </w:r>
          </w:p>
        </w:tc>
      </w:tr>
      <w:tr w:rsidR="00921989" w:rsidRPr="00B47C5E" w:rsidTr="004A1FC4">
        <w:trPr>
          <w:trHeight w:val="300"/>
        </w:trPr>
        <w:tc>
          <w:tcPr>
            <w:tcW w:w="1137" w:type="pct"/>
            <w:noWrap/>
            <w:hideMark/>
          </w:tcPr>
          <w:p w:rsidR="00921989" w:rsidRPr="00B47C5E" w:rsidRDefault="00921989" w:rsidP="00E67CCD">
            <w:pPr>
              <w:pStyle w:val="TableRow"/>
              <w:keepNext/>
              <w:keepLines/>
              <w:jc w:val="center"/>
              <w:rPr>
                <w:rFonts w:ascii="Times New Roman" w:hAnsi="Times New Roman"/>
              </w:rPr>
            </w:pPr>
            <w:r w:rsidRPr="00B47C5E">
              <w:rPr>
                <w:rFonts w:ascii="Times New Roman" w:hAnsi="Times New Roman"/>
              </w:rPr>
              <w:t>3</w:t>
            </w:r>
          </w:p>
        </w:tc>
        <w:tc>
          <w:tcPr>
            <w:tcW w:w="2175" w:type="pct"/>
            <w:noWrap/>
            <w:vAlign w:val="bottom"/>
            <w:hideMark/>
          </w:tcPr>
          <w:p w:rsidR="00921989" w:rsidRPr="00B47C5E" w:rsidRDefault="00921989" w:rsidP="004A1FC4">
            <w:pPr>
              <w:rPr>
                <w:rFonts w:ascii="Times New Roman" w:eastAsia="Times New Roman" w:hAnsi="Times New Roman"/>
                <w:color w:val="000000"/>
                <w:sz w:val="22"/>
                <w:szCs w:val="22"/>
              </w:rPr>
            </w:pPr>
            <w:r w:rsidRPr="00B47C5E">
              <w:rPr>
                <w:rFonts w:ascii="Times New Roman" w:eastAsia="Times New Roman" w:hAnsi="Times New Roman"/>
                <w:color w:val="000000"/>
                <w:sz w:val="22"/>
                <w:szCs w:val="22"/>
              </w:rPr>
              <w:t xml:space="preserve">                                18,112 </w:t>
            </w:r>
          </w:p>
        </w:tc>
        <w:tc>
          <w:tcPr>
            <w:tcW w:w="1688" w:type="pct"/>
            <w:noWrap/>
            <w:vAlign w:val="bottom"/>
            <w:hideMark/>
          </w:tcPr>
          <w:p w:rsidR="00921989" w:rsidRPr="00B47C5E" w:rsidRDefault="00921989" w:rsidP="004A1FC4">
            <w:pPr>
              <w:rPr>
                <w:rFonts w:ascii="Times New Roman" w:eastAsia="Times New Roman" w:hAnsi="Times New Roman"/>
                <w:color w:val="000000"/>
                <w:sz w:val="22"/>
                <w:szCs w:val="22"/>
              </w:rPr>
            </w:pPr>
            <w:r w:rsidRPr="00B47C5E">
              <w:rPr>
                <w:rFonts w:ascii="Times New Roman" w:eastAsia="Times New Roman" w:hAnsi="Times New Roman"/>
                <w:color w:val="000000"/>
                <w:sz w:val="22"/>
                <w:szCs w:val="22"/>
              </w:rPr>
              <w:t xml:space="preserve"> $                      880,608 </w:t>
            </w:r>
          </w:p>
        </w:tc>
      </w:tr>
      <w:tr w:rsidR="00921989" w:rsidRPr="00B47C5E" w:rsidTr="004A1FC4">
        <w:trPr>
          <w:trHeight w:val="300"/>
        </w:trPr>
        <w:tc>
          <w:tcPr>
            <w:tcW w:w="1137" w:type="pct"/>
            <w:noWrap/>
            <w:hideMark/>
          </w:tcPr>
          <w:p w:rsidR="00921989" w:rsidRPr="00B47C5E" w:rsidRDefault="00921989" w:rsidP="00E67CCD">
            <w:pPr>
              <w:pStyle w:val="TableRow"/>
              <w:keepNext/>
              <w:keepLines/>
              <w:jc w:val="center"/>
              <w:rPr>
                <w:rFonts w:ascii="Times New Roman" w:hAnsi="Times New Roman"/>
              </w:rPr>
            </w:pPr>
            <w:r w:rsidRPr="00B47C5E">
              <w:rPr>
                <w:rFonts w:ascii="Times New Roman" w:hAnsi="Times New Roman"/>
              </w:rPr>
              <w:t>Total</w:t>
            </w:r>
          </w:p>
        </w:tc>
        <w:tc>
          <w:tcPr>
            <w:tcW w:w="2175" w:type="pct"/>
            <w:noWrap/>
            <w:vAlign w:val="bottom"/>
            <w:hideMark/>
          </w:tcPr>
          <w:p w:rsidR="00921989" w:rsidRPr="00B47C5E" w:rsidRDefault="00921989" w:rsidP="004A1FC4">
            <w:pPr>
              <w:rPr>
                <w:rFonts w:ascii="Times New Roman" w:eastAsia="Times New Roman" w:hAnsi="Times New Roman"/>
                <w:color w:val="000000"/>
                <w:sz w:val="22"/>
                <w:szCs w:val="22"/>
              </w:rPr>
            </w:pPr>
            <w:r w:rsidRPr="00B47C5E">
              <w:rPr>
                <w:rFonts w:ascii="Times New Roman" w:eastAsia="Times New Roman" w:hAnsi="Times New Roman"/>
                <w:color w:val="000000"/>
                <w:sz w:val="22"/>
                <w:szCs w:val="22"/>
              </w:rPr>
              <w:t xml:space="preserve">                                54,116 </w:t>
            </w:r>
          </w:p>
        </w:tc>
        <w:tc>
          <w:tcPr>
            <w:tcW w:w="1688" w:type="pct"/>
            <w:noWrap/>
            <w:vAlign w:val="bottom"/>
            <w:hideMark/>
          </w:tcPr>
          <w:p w:rsidR="00921989" w:rsidRPr="00B47C5E" w:rsidRDefault="00921989" w:rsidP="004A1FC4">
            <w:pPr>
              <w:rPr>
                <w:rFonts w:ascii="Times New Roman" w:eastAsia="Times New Roman" w:hAnsi="Times New Roman"/>
                <w:color w:val="000000"/>
                <w:sz w:val="22"/>
                <w:szCs w:val="22"/>
              </w:rPr>
            </w:pPr>
            <w:r w:rsidRPr="00B47C5E">
              <w:rPr>
                <w:rFonts w:ascii="Times New Roman" w:eastAsia="Times New Roman" w:hAnsi="Times New Roman"/>
                <w:color w:val="000000"/>
                <w:sz w:val="22"/>
                <w:szCs w:val="22"/>
              </w:rPr>
              <w:t xml:space="preserve"> $                   2,631,564</w:t>
            </w:r>
          </w:p>
        </w:tc>
      </w:tr>
      <w:tr w:rsidR="00921989" w:rsidRPr="00B47C5E" w:rsidTr="004A1FC4">
        <w:trPr>
          <w:trHeight w:val="300"/>
        </w:trPr>
        <w:tc>
          <w:tcPr>
            <w:tcW w:w="1137" w:type="pct"/>
            <w:noWrap/>
            <w:hideMark/>
          </w:tcPr>
          <w:p w:rsidR="00921989" w:rsidRPr="00B47C5E" w:rsidRDefault="00921989" w:rsidP="00E67CCD">
            <w:pPr>
              <w:pStyle w:val="TableRow"/>
              <w:keepNext/>
              <w:keepLines/>
              <w:jc w:val="center"/>
              <w:rPr>
                <w:rFonts w:ascii="Times New Roman" w:hAnsi="Times New Roman"/>
              </w:rPr>
            </w:pPr>
            <w:r w:rsidRPr="00B47C5E">
              <w:rPr>
                <w:rFonts w:ascii="Times New Roman" w:hAnsi="Times New Roman"/>
              </w:rPr>
              <w:t>3-Year Average</w:t>
            </w:r>
          </w:p>
        </w:tc>
        <w:tc>
          <w:tcPr>
            <w:tcW w:w="2175" w:type="pct"/>
            <w:noWrap/>
            <w:vAlign w:val="bottom"/>
            <w:hideMark/>
          </w:tcPr>
          <w:p w:rsidR="00921989" w:rsidRPr="00B47C5E" w:rsidRDefault="00921989" w:rsidP="004A1FC4">
            <w:pPr>
              <w:rPr>
                <w:rFonts w:ascii="Times New Roman" w:eastAsia="Times New Roman" w:hAnsi="Times New Roman"/>
                <w:color w:val="000000"/>
                <w:sz w:val="22"/>
                <w:szCs w:val="22"/>
              </w:rPr>
            </w:pPr>
            <w:r w:rsidRPr="00B47C5E">
              <w:rPr>
                <w:rFonts w:ascii="Times New Roman" w:eastAsia="Times New Roman" w:hAnsi="Times New Roman"/>
                <w:color w:val="000000"/>
                <w:sz w:val="22"/>
                <w:szCs w:val="22"/>
              </w:rPr>
              <w:t xml:space="preserve">                                18,039 </w:t>
            </w:r>
          </w:p>
        </w:tc>
        <w:tc>
          <w:tcPr>
            <w:tcW w:w="1688" w:type="pct"/>
            <w:noWrap/>
            <w:vAlign w:val="bottom"/>
            <w:hideMark/>
          </w:tcPr>
          <w:p w:rsidR="00921989" w:rsidRPr="00B47C5E" w:rsidRDefault="00921989" w:rsidP="004A1FC4">
            <w:pPr>
              <w:rPr>
                <w:rFonts w:ascii="Times New Roman" w:eastAsia="Times New Roman" w:hAnsi="Times New Roman"/>
                <w:color w:val="000000"/>
                <w:sz w:val="22"/>
                <w:szCs w:val="22"/>
              </w:rPr>
            </w:pPr>
            <w:r w:rsidRPr="00B47C5E">
              <w:rPr>
                <w:rFonts w:ascii="Times New Roman" w:eastAsia="Times New Roman" w:hAnsi="Times New Roman"/>
                <w:color w:val="000000"/>
                <w:sz w:val="22"/>
                <w:szCs w:val="22"/>
              </w:rPr>
              <w:t xml:space="preserve"> $                      877,188 </w:t>
            </w:r>
          </w:p>
        </w:tc>
      </w:tr>
    </w:tbl>
    <w:p w:rsidR="009A61D7" w:rsidRDefault="009A61D7" w:rsidP="00E87EC5">
      <w:pPr>
        <w:pStyle w:val="Para"/>
        <w:rPr>
          <w:rFonts w:ascii="Times New Roman" w:hAnsi="Times New Roman"/>
        </w:rPr>
      </w:pPr>
    </w:p>
    <w:p w:rsidR="00D772CE" w:rsidRPr="00E87EC5" w:rsidRDefault="00D772CE" w:rsidP="00E87EC5">
      <w:pPr>
        <w:pStyle w:val="Para"/>
        <w:rPr>
          <w:rFonts w:ascii="Times New Roman" w:hAnsi="Times New Roman"/>
        </w:rPr>
      </w:pPr>
      <w:r w:rsidRPr="007C7E34">
        <w:rPr>
          <w:rFonts w:ascii="Times New Roman" w:hAnsi="Times New Roman"/>
        </w:rPr>
        <w:t>The Agency labor rates are from the Office of Personnel Management (OPM) 2003 General Schedule which excludes locality rates of pay.</w:t>
      </w:r>
      <w:r w:rsidR="00D32EA2">
        <w:rPr>
          <w:rFonts w:ascii="Times New Roman" w:hAnsi="Times New Roman"/>
        </w:rPr>
        <w:t xml:space="preserve"> </w:t>
      </w:r>
      <w:r w:rsidRPr="007C7E34">
        <w:rPr>
          <w:rFonts w:ascii="Times New Roman" w:hAnsi="Times New Roman"/>
        </w:rPr>
        <w:t xml:space="preserve"> These rates can be obtained from Salary Table 20</w:t>
      </w:r>
      <w:r w:rsidR="007C7E34" w:rsidRPr="007C7E34">
        <w:rPr>
          <w:rFonts w:ascii="Times New Roman" w:hAnsi="Times New Roman"/>
        </w:rPr>
        <w:t>11</w:t>
      </w:r>
      <w:r w:rsidRPr="007C7E34">
        <w:rPr>
          <w:rFonts w:ascii="Times New Roman" w:hAnsi="Times New Roman"/>
        </w:rPr>
        <w:t>-GS available on the OPM website</w:t>
      </w:r>
      <w:r w:rsidR="00372DBB" w:rsidRPr="007C7E34">
        <w:rPr>
          <w:rFonts w:ascii="Times New Roman" w:hAnsi="Times New Roman"/>
        </w:rPr>
        <w:t xml:space="preserve"> (</w:t>
      </w:r>
      <w:hyperlink r:id="rId9" w:history="1">
        <w:r w:rsidR="00D95EBA" w:rsidRPr="00731B66">
          <w:rPr>
            <w:rStyle w:val="Hyperlink"/>
            <w:rFonts w:ascii="Times New Roman" w:hAnsi="Times New Roman"/>
          </w:rPr>
          <w:t>http://www.opm.gov/oca/11tables/html/gs_h.asp</w:t>
        </w:r>
      </w:hyperlink>
      <w:r w:rsidR="00372DBB" w:rsidRPr="007C7E34">
        <w:rPr>
          <w:rFonts w:ascii="Times New Roman" w:hAnsi="Times New Roman"/>
        </w:rPr>
        <w:t>)</w:t>
      </w:r>
      <w:r w:rsidRPr="007C7E34">
        <w:rPr>
          <w:rFonts w:ascii="Times New Roman" w:hAnsi="Times New Roman"/>
        </w:rPr>
        <w:t xml:space="preserve">. </w:t>
      </w:r>
      <w:r w:rsidR="00D32EA2">
        <w:rPr>
          <w:rFonts w:ascii="Times New Roman" w:hAnsi="Times New Roman"/>
        </w:rPr>
        <w:t xml:space="preserve"> </w:t>
      </w:r>
      <w:r w:rsidRPr="00D32EA2">
        <w:rPr>
          <w:rFonts w:ascii="Times New Roman" w:hAnsi="Times New Roman"/>
        </w:rPr>
        <w:t>The government employee labor rates are $</w:t>
      </w:r>
      <w:r w:rsidR="00417DA0" w:rsidRPr="00D32EA2">
        <w:rPr>
          <w:rFonts w:ascii="Times New Roman" w:hAnsi="Times New Roman"/>
        </w:rPr>
        <w:t>1</w:t>
      </w:r>
      <w:r w:rsidR="00E87EC5">
        <w:rPr>
          <w:rFonts w:ascii="Times New Roman" w:hAnsi="Times New Roman"/>
        </w:rPr>
        <w:t>5.63</w:t>
      </w:r>
      <w:r w:rsidRPr="00D32EA2">
        <w:rPr>
          <w:rFonts w:ascii="Times New Roman" w:hAnsi="Times New Roman"/>
        </w:rPr>
        <w:t>/hour for clerical (GS-</w:t>
      </w:r>
      <w:r w:rsidR="00E87EC5">
        <w:rPr>
          <w:rFonts w:ascii="Times New Roman" w:hAnsi="Times New Roman"/>
        </w:rPr>
        <w:t>6</w:t>
      </w:r>
      <w:r w:rsidRPr="00D32EA2">
        <w:rPr>
          <w:rFonts w:ascii="Times New Roman" w:hAnsi="Times New Roman"/>
        </w:rPr>
        <w:t xml:space="preserve">, Step </w:t>
      </w:r>
      <w:r w:rsidR="00E87EC5">
        <w:rPr>
          <w:rFonts w:ascii="Times New Roman" w:hAnsi="Times New Roman"/>
        </w:rPr>
        <w:t>3</w:t>
      </w:r>
      <w:r w:rsidRPr="00D32EA2">
        <w:rPr>
          <w:rFonts w:ascii="Times New Roman" w:hAnsi="Times New Roman"/>
        </w:rPr>
        <w:t>), $</w:t>
      </w:r>
      <w:r w:rsidR="00E87EC5">
        <w:rPr>
          <w:rFonts w:ascii="Times New Roman" w:hAnsi="Times New Roman"/>
        </w:rPr>
        <w:t>28.88</w:t>
      </w:r>
      <w:r w:rsidRPr="00D32EA2">
        <w:rPr>
          <w:rFonts w:ascii="Times New Roman" w:hAnsi="Times New Roman"/>
        </w:rPr>
        <w:t xml:space="preserve"> for technical (GS-1</w:t>
      </w:r>
      <w:r w:rsidR="00E87EC5">
        <w:rPr>
          <w:rFonts w:ascii="Times New Roman" w:hAnsi="Times New Roman"/>
        </w:rPr>
        <w:t>2</w:t>
      </w:r>
      <w:r w:rsidRPr="00D32EA2">
        <w:rPr>
          <w:rFonts w:ascii="Times New Roman" w:hAnsi="Times New Roman"/>
        </w:rPr>
        <w:t>, Step 1), and $</w:t>
      </w:r>
      <w:r w:rsidR="00E87EC5">
        <w:rPr>
          <w:rFonts w:ascii="Times New Roman" w:hAnsi="Times New Roman"/>
        </w:rPr>
        <w:t>38.92</w:t>
      </w:r>
      <w:r w:rsidRPr="00D32EA2">
        <w:rPr>
          <w:rFonts w:ascii="Times New Roman" w:hAnsi="Times New Roman"/>
        </w:rPr>
        <w:t>/hr for management (GS-1</w:t>
      </w:r>
      <w:r w:rsidR="00E87EC5">
        <w:rPr>
          <w:rFonts w:ascii="Times New Roman" w:hAnsi="Times New Roman"/>
        </w:rPr>
        <w:t>3</w:t>
      </w:r>
      <w:r w:rsidRPr="00D32EA2">
        <w:rPr>
          <w:rFonts w:ascii="Times New Roman" w:hAnsi="Times New Roman"/>
        </w:rPr>
        <w:t xml:space="preserve">, Step </w:t>
      </w:r>
      <w:r w:rsidR="00E87EC5">
        <w:rPr>
          <w:rFonts w:ascii="Times New Roman" w:hAnsi="Times New Roman"/>
        </w:rPr>
        <w:t>5</w:t>
      </w:r>
      <w:r w:rsidRPr="00D32EA2">
        <w:rPr>
          <w:rFonts w:ascii="Times New Roman" w:hAnsi="Times New Roman"/>
        </w:rPr>
        <w:t xml:space="preserve">). </w:t>
      </w:r>
      <w:r w:rsidR="00D32EA2">
        <w:rPr>
          <w:rFonts w:ascii="Times New Roman" w:hAnsi="Times New Roman"/>
        </w:rPr>
        <w:t xml:space="preserve"> </w:t>
      </w:r>
      <w:r w:rsidRPr="00D32EA2">
        <w:rPr>
          <w:rFonts w:ascii="Times New Roman" w:hAnsi="Times New Roman"/>
        </w:rPr>
        <w:t>These rates represent salaries plus fringe benefits and do not include the cost of overhead</w:t>
      </w:r>
      <w:r w:rsidRPr="00E87EC5">
        <w:rPr>
          <w:rFonts w:ascii="Times New Roman" w:hAnsi="Times New Roman"/>
        </w:rPr>
        <w:t xml:space="preserve">. </w:t>
      </w:r>
      <w:r w:rsidR="00D32EA2" w:rsidRPr="00E87EC5">
        <w:rPr>
          <w:rFonts w:ascii="Times New Roman" w:hAnsi="Times New Roman"/>
        </w:rPr>
        <w:t xml:space="preserve"> </w:t>
      </w:r>
      <w:r w:rsidRPr="00E87EC5">
        <w:rPr>
          <w:rFonts w:ascii="Times New Roman" w:hAnsi="Times New Roman"/>
        </w:rPr>
        <w:t xml:space="preserve">An overhead rate of </w:t>
      </w:r>
      <w:r w:rsidR="00D95EBA" w:rsidRPr="00E87EC5">
        <w:rPr>
          <w:rFonts w:ascii="Times New Roman" w:hAnsi="Times New Roman"/>
        </w:rPr>
        <w:t>60</w:t>
      </w:r>
      <w:r w:rsidRPr="00E87EC5">
        <w:rPr>
          <w:rFonts w:ascii="Times New Roman" w:hAnsi="Times New Roman"/>
        </w:rPr>
        <w:t xml:space="preserve"> percent is used to account for these costs. The fully-burdened wage rates used to represent Agency labor costs are: clerical at $</w:t>
      </w:r>
      <w:r w:rsidR="00417DA0" w:rsidRPr="00E87EC5">
        <w:rPr>
          <w:rFonts w:ascii="Times New Roman" w:hAnsi="Times New Roman"/>
        </w:rPr>
        <w:t>2</w:t>
      </w:r>
      <w:r w:rsidR="00E87EC5" w:rsidRPr="00E87EC5">
        <w:rPr>
          <w:rFonts w:ascii="Times New Roman" w:hAnsi="Times New Roman"/>
        </w:rPr>
        <w:t>5.01</w:t>
      </w:r>
      <w:r w:rsidRPr="00E87EC5">
        <w:rPr>
          <w:rFonts w:ascii="Times New Roman" w:hAnsi="Times New Roman"/>
        </w:rPr>
        <w:t>; technical at $</w:t>
      </w:r>
      <w:r w:rsidR="00417DA0" w:rsidRPr="00E87EC5">
        <w:rPr>
          <w:rFonts w:ascii="Times New Roman" w:hAnsi="Times New Roman"/>
        </w:rPr>
        <w:t>4</w:t>
      </w:r>
      <w:r w:rsidR="00E87EC5" w:rsidRPr="00E87EC5">
        <w:rPr>
          <w:rFonts w:ascii="Times New Roman" w:hAnsi="Times New Roman"/>
        </w:rPr>
        <w:t>6.21</w:t>
      </w:r>
      <w:r w:rsidRPr="00E87EC5">
        <w:rPr>
          <w:rFonts w:ascii="Times New Roman" w:hAnsi="Times New Roman"/>
        </w:rPr>
        <w:t>, and management at $</w:t>
      </w:r>
      <w:r w:rsidR="00E87EC5" w:rsidRPr="00E87EC5">
        <w:rPr>
          <w:rFonts w:ascii="Times New Roman" w:hAnsi="Times New Roman"/>
        </w:rPr>
        <w:t>62.27</w:t>
      </w:r>
      <w:r w:rsidRPr="00E87EC5">
        <w:rPr>
          <w:rFonts w:ascii="Times New Roman" w:hAnsi="Times New Roman"/>
        </w:rPr>
        <w:t>.</w:t>
      </w:r>
    </w:p>
    <w:p w:rsidR="00EE5AC5" w:rsidRPr="0068644D" w:rsidRDefault="00D772CE" w:rsidP="00157089">
      <w:pPr>
        <w:pStyle w:val="Heading2"/>
        <w:ind w:left="0" w:firstLine="0"/>
        <w:rPr>
          <w:i/>
          <w:iCs w:val="0"/>
        </w:rPr>
      </w:pPr>
      <w:r w:rsidRPr="0068644D">
        <w:rPr>
          <w:i/>
          <w:iCs w:val="0"/>
        </w:rPr>
        <w:t>(d)</w:t>
      </w:r>
      <w:r w:rsidR="00640B02">
        <w:rPr>
          <w:i/>
          <w:iCs w:val="0"/>
        </w:rPr>
        <w:tab/>
      </w:r>
      <w:r w:rsidRPr="0068644D">
        <w:rPr>
          <w:i/>
          <w:iCs w:val="0"/>
        </w:rPr>
        <w:t xml:space="preserve"> Estimating the Respondent Universe and Total Burden and Costs.</w:t>
      </w:r>
    </w:p>
    <w:p w:rsidR="00640B02" w:rsidRDefault="00EB46DF" w:rsidP="00640B02">
      <w:pPr>
        <w:pStyle w:val="Para"/>
        <w:rPr>
          <w:rFonts w:ascii="Times New Roman" w:hAnsi="Times New Roman"/>
        </w:rPr>
      </w:pPr>
      <w:r w:rsidRPr="00640B02">
        <w:rPr>
          <w:rFonts w:ascii="Times New Roman" w:hAnsi="Times New Roman"/>
        </w:rPr>
        <w:t xml:space="preserve">Approximately </w:t>
      </w:r>
      <w:r w:rsidR="00640B02">
        <w:rPr>
          <w:rFonts w:ascii="Times New Roman" w:hAnsi="Times New Roman"/>
        </w:rPr>
        <w:t xml:space="preserve">1,257 existing </w:t>
      </w:r>
      <w:r w:rsidR="00157089">
        <w:rPr>
          <w:rFonts w:ascii="Times New Roman" w:hAnsi="Times New Roman"/>
        </w:rPr>
        <w:t>EGUs</w:t>
      </w:r>
      <w:r w:rsidRPr="00640B02">
        <w:rPr>
          <w:rFonts w:ascii="Times New Roman" w:hAnsi="Times New Roman"/>
        </w:rPr>
        <w:t xml:space="preserve"> </w:t>
      </w:r>
      <w:r w:rsidR="00157089">
        <w:rPr>
          <w:rFonts w:ascii="Times New Roman" w:hAnsi="Times New Roman"/>
        </w:rPr>
        <w:t>would be</w:t>
      </w:r>
      <w:r w:rsidRPr="00640B02">
        <w:rPr>
          <w:rFonts w:ascii="Times New Roman" w:hAnsi="Times New Roman"/>
        </w:rPr>
        <w:t xml:space="preserve"> subject to the </w:t>
      </w:r>
      <w:r w:rsidR="00157089">
        <w:rPr>
          <w:rFonts w:ascii="Times New Roman" w:hAnsi="Times New Roman"/>
        </w:rPr>
        <w:t>proposed NESHAP</w:t>
      </w:r>
      <w:r w:rsidRPr="00640B02">
        <w:rPr>
          <w:rFonts w:ascii="Times New Roman" w:hAnsi="Times New Roman"/>
        </w:rPr>
        <w:t xml:space="preserve">. </w:t>
      </w:r>
      <w:r w:rsidR="00640B02">
        <w:rPr>
          <w:rFonts w:ascii="Times New Roman" w:hAnsi="Times New Roman"/>
        </w:rPr>
        <w:t xml:space="preserve"> It</w:t>
      </w:r>
      <w:r w:rsidRPr="00640B02">
        <w:rPr>
          <w:rFonts w:ascii="Times New Roman" w:hAnsi="Times New Roman"/>
        </w:rPr>
        <w:t xml:space="preserve"> is estimated that </w:t>
      </w:r>
      <w:r w:rsidR="00157089">
        <w:rPr>
          <w:rFonts w:ascii="Times New Roman" w:hAnsi="Times New Roman"/>
        </w:rPr>
        <w:t>no</w:t>
      </w:r>
      <w:r w:rsidRPr="00640B02">
        <w:rPr>
          <w:rFonts w:ascii="Times New Roman" w:hAnsi="Times New Roman"/>
        </w:rPr>
        <w:t xml:space="preserve"> new </w:t>
      </w:r>
      <w:r w:rsidR="00157089">
        <w:rPr>
          <w:rFonts w:ascii="Times New Roman" w:hAnsi="Times New Roman"/>
        </w:rPr>
        <w:t>EGUs</w:t>
      </w:r>
      <w:r w:rsidRPr="00640B02">
        <w:rPr>
          <w:rFonts w:ascii="Times New Roman" w:hAnsi="Times New Roman"/>
        </w:rPr>
        <w:t xml:space="preserve"> will become subject to th</w:t>
      </w:r>
      <w:r w:rsidR="00110F58" w:rsidRPr="00640B02">
        <w:rPr>
          <w:rFonts w:ascii="Times New Roman" w:hAnsi="Times New Roman"/>
        </w:rPr>
        <w:t>e regulation</w:t>
      </w:r>
      <w:r w:rsidR="00157089">
        <w:rPr>
          <w:rFonts w:ascii="Times New Roman" w:hAnsi="Times New Roman"/>
        </w:rPr>
        <w:t xml:space="preserve"> during the period of this information collection</w:t>
      </w:r>
      <w:r w:rsidRPr="00640B02">
        <w:rPr>
          <w:rFonts w:ascii="Times New Roman" w:hAnsi="Times New Roman"/>
        </w:rPr>
        <w:t>.</w:t>
      </w:r>
    </w:p>
    <w:p w:rsidR="00EB46DF" w:rsidRPr="00640B02" w:rsidRDefault="00640B02" w:rsidP="009060A6">
      <w:pPr>
        <w:pStyle w:val="Para"/>
        <w:rPr>
          <w:rFonts w:ascii="Times New Roman" w:hAnsi="Times New Roman"/>
        </w:rPr>
      </w:pPr>
      <w:r w:rsidRPr="00640B02">
        <w:rPr>
          <w:rFonts w:ascii="Times New Roman" w:hAnsi="Times New Roman"/>
        </w:rPr>
        <w:t xml:space="preserve"> </w:t>
      </w:r>
      <w:r w:rsidR="00EB46DF" w:rsidRPr="00640B02">
        <w:rPr>
          <w:rFonts w:ascii="Times New Roman" w:hAnsi="Times New Roman"/>
        </w:rPr>
        <w:t xml:space="preserve">The total annual number of responses for the monitoring, recordkeeping, and reporting requirements in </w:t>
      </w:r>
      <w:r w:rsidR="00157089">
        <w:rPr>
          <w:rFonts w:ascii="Times New Roman" w:hAnsi="Times New Roman"/>
        </w:rPr>
        <w:t xml:space="preserve">40 CFR part 63 </w:t>
      </w:r>
      <w:r w:rsidR="00EB46DF" w:rsidRPr="00640B02">
        <w:rPr>
          <w:rFonts w:ascii="Times New Roman" w:hAnsi="Times New Roman"/>
        </w:rPr>
        <w:t xml:space="preserve">subpart </w:t>
      </w:r>
      <w:r>
        <w:rPr>
          <w:rFonts w:ascii="Times New Roman" w:hAnsi="Times New Roman"/>
        </w:rPr>
        <w:t>UUUUU</w:t>
      </w:r>
      <w:r w:rsidR="00EB46DF" w:rsidRPr="00640B02">
        <w:rPr>
          <w:rFonts w:ascii="Times New Roman" w:hAnsi="Times New Roman"/>
        </w:rPr>
        <w:t xml:space="preserve"> is </w:t>
      </w:r>
      <w:r w:rsidR="009060A6">
        <w:rPr>
          <w:rFonts w:ascii="Times New Roman" w:hAnsi="Times New Roman"/>
        </w:rPr>
        <w:t>3,807</w:t>
      </w:r>
      <w:r w:rsidR="00EB46DF" w:rsidRPr="00640B02">
        <w:rPr>
          <w:rFonts w:ascii="Times New Roman" w:hAnsi="Times New Roman"/>
        </w:rPr>
        <w:t xml:space="preserve"> for the existing </w:t>
      </w:r>
      <w:r>
        <w:rPr>
          <w:rFonts w:ascii="Times New Roman" w:hAnsi="Times New Roman"/>
        </w:rPr>
        <w:t xml:space="preserve">1,257 </w:t>
      </w:r>
      <w:r w:rsidR="00157089">
        <w:rPr>
          <w:rFonts w:ascii="Times New Roman" w:hAnsi="Times New Roman"/>
        </w:rPr>
        <w:t>EGUs</w:t>
      </w:r>
      <w:r w:rsidR="00EB46DF" w:rsidRPr="00640B02">
        <w:rPr>
          <w:rFonts w:ascii="Times New Roman" w:hAnsi="Times New Roman"/>
        </w:rPr>
        <w:t xml:space="preserve"> that will follow the proposed </w:t>
      </w:r>
      <w:r w:rsidR="00157089">
        <w:rPr>
          <w:rFonts w:ascii="Times New Roman" w:hAnsi="Times New Roman"/>
        </w:rPr>
        <w:t>NESHAP requirements</w:t>
      </w:r>
      <w:r w:rsidR="00EB46DF" w:rsidRPr="00640B02">
        <w:rPr>
          <w:rFonts w:ascii="Times New Roman" w:hAnsi="Times New Roman"/>
        </w:rPr>
        <w:t>.</w:t>
      </w:r>
    </w:p>
    <w:p w:rsidR="00D772CE" w:rsidRPr="00640B02" w:rsidRDefault="00EB46DF" w:rsidP="00807DF8">
      <w:pPr>
        <w:pStyle w:val="Para"/>
        <w:rPr>
          <w:rFonts w:ascii="Times New Roman" w:hAnsi="Times New Roman"/>
        </w:rPr>
      </w:pPr>
      <w:r w:rsidRPr="00807DF8">
        <w:rPr>
          <w:rFonts w:ascii="Times New Roman" w:hAnsi="Times New Roman"/>
        </w:rPr>
        <w:t>The total annual labor costs are $</w:t>
      </w:r>
      <w:r w:rsidR="00807DF8" w:rsidRPr="00807DF8">
        <w:rPr>
          <w:rFonts w:ascii="Times New Roman" w:hAnsi="Times New Roman"/>
        </w:rPr>
        <w:t>27</w:t>
      </w:r>
      <w:r w:rsidRPr="00807DF8">
        <w:rPr>
          <w:rFonts w:ascii="Times New Roman" w:hAnsi="Times New Roman"/>
        </w:rPr>
        <w:t>,</w:t>
      </w:r>
      <w:r w:rsidR="00807DF8" w:rsidRPr="00807DF8">
        <w:rPr>
          <w:rFonts w:ascii="Times New Roman" w:hAnsi="Times New Roman"/>
        </w:rPr>
        <w:t>000</w:t>
      </w:r>
      <w:r w:rsidRPr="00807DF8">
        <w:rPr>
          <w:rFonts w:ascii="Times New Roman" w:hAnsi="Times New Roman"/>
        </w:rPr>
        <w:t>,</w:t>
      </w:r>
      <w:r w:rsidR="00807DF8" w:rsidRPr="00807DF8">
        <w:rPr>
          <w:rFonts w:ascii="Times New Roman" w:hAnsi="Times New Roman"/>
        </w:rPr>
        <w:t>332</w:t>
      </w:r>
      <w:r w:rsidRPr="00807DF8">
        <w:rPr>
          <w:rFonts w:ascii="Times New Roman" w:hAnsi="Times New Roman"/>
        </w:rPr>
        <w:t>.</w:t>
      </w:r>
      <w:r w:rsidR="00807DF8">
        <w:rPr>
          <w:rFonts w:ascii="Times New Roman" w:hAnsi="Times New Roman"/>
        </w:rPr>
        <w:t xml:space="preserve"> </w:t>
      </w:r>
      <w:r w:rsidRPr="00807DF8">
        <w:rPr>
          <w:rFonts w:ascii="Times New Roman" w:hAnsi="Times New Roman"/>
        </w:rPr>
        <w:t xml:space="preserve"> Details upon which this estimate is based appear in Tables 1a, 1b, and 1c.</w:t>
      </w:r>
    </w:p>
    <w:p w:rsidR="00D772CE" w:rsidRPr="0068644D" w:rsidRDefault="00D772CE" w:rsidP="00B76529">
      <w:pPr>
        <w:pStyle w:val="Heading2"/>
        <w:rPr>
          <w:i/>
          <w:iCs w:val="0"/>
        </w:rPr>
      </w:pPr>
      <w:r w:rsidRPr="0068644D">
        <w:rPr>
          <w:i/>
          <w:iCs w:val="0"/>
        </w:rPr>
        <w:t>(e)</w:t>
      </w:r>
      <w:r w:rsidRPr="0068644D">
        <w:rPr>
          <w:i/>
          <w:iCs w:val="0"/>
        </w:rPr>
        <w:tab/>
        <w:t>Bottom Line Burden Hours and Cost Tables</w:t>
      </w:r>
    </w:p>
    <w:p w:rsidR="00D772CE" w:rsidRPr="00640B02" w:rsidRDefault="00EB46DF" w:rsidP="009060A6">
      <w:pPr>
        <w:pStyle w:val="Para"/>
        <w:rPr>
          <w:rFonts w:ascii="Times New Roman" w:hAnsi="Times New Roman"/>
        </w:rPr>
      </w:pPr>
      <w:r w:rsidRPr="00640B02">
        <w:rPr>
          <w:rFonts w:ascii="Times New Roman" w:hAnsi="Times New Roman"/>
        </w:rPr>
        <w:t xml:space="preserve">The bottom line burden hours and cost tables for both the Agency and the respondents are attached. </w:t>
      </w:r>
      <w:r w:rsidR="00157089">
        <w:rPr>
          <w:rFonts w:ascii="Times New Roman" w:hAnsi="Times New Roman"/>
        </w:rPr>
        <w:t xml:space="preserve"> </w:t>
      </w:r>
      <w:r w:rsidRPr="00640B02">
        <w:rPr>
          <w:rFonts w:ascii="Times New Roman" w:hAnsi="Times New Roman"/>
        </w:rPr>
        <w:t xml:space="preserve">The annual public reporting and recordkeeping burden for this collection of information is estimated to average </w:t>
      </w:r>
      <w:r w:rsidR="009060A6">
        <w:rPr>
          <w:rFonts w:ascii="Times New Roman" w:hAnsi="Times New Roman"/>
        </w:rPr>
        <w:t>87</w:t>
      </w:r>
      <w:r w:rsidRPr="00640B02">
        <w:rPr>
          <w:rFonts w:ascii="Times New Roman" w:hAnsi="Times New Roman"/>
        </w:rPr>
        <w:t xml:space="preserve"> hours per response.</w:t>
      </w:r>
      <w:r w:rsidR="002D1915" w:rsidRPr="00640B02">
        <w:rPr>
          <w:rFonts w:ascii="Times New Roman" w:hAnsi="Times New Roman"/>
        </w:rPr>
        <w:t xml:space="preserve"> </w:t>
      </w:r>
      <w:r w:rsidR="009A61D7">
        <w:rPr>
          <w:rFonts w:ascii="Times New Roman" w:hAnsi="Times New Roman"/>
        </w:rPr>
        <w:t xml:space="preserve"> </w:t>
      </w:r>
      <w:r w:rsidR="002D1915" w:rsidRPr="009A61D7">
        <w:rPr>
          <w:rFonts w:ascii="Times New Roman" w:hAnsi="Times New Roman"/>
        </w:rPr>
        <w:t xml:space="preserve">The total annual average burden for the rule will be </w:t>
      </w:r>
      <w:r w:rsidR="009A61D7" w:rsidRPr="009A61D7">
        <w:rPr>
          <w:rFonts w:ascii="Times New Roman" w:hAnsi="Times New Roman"/>
        </w:rPr>
        <w:t>329,605</w:t>
      </w:r>
      <w:r w:rsidR="002D1915" w:rsidRPr="009A61D7">
        <w:rPr>
          <w:rFonts w:ascii="Times New Roman" w:hAnsi="Times New Roman"/>
        </w:rPr>
        <w:t xml:space="preserve"> </w:t>
      </w:r>
      <w:r w:rsidR="0063222D">
        <w:rPr>
          <w:rFonts w:ascii="Times New Roman" w:hAnsi="Times New Roman"/>
        </w:rPr>
        <w:t>person hours with a total annua</w:t>
      </w:r>
      <w:r w:rsidR="00BF45D5">
        <w:rPr>
          <w:rFonts w:ascii="Times New Roman" w:hAnsi="Times New Roman"/>
        </w:rPr>
        <w:t>lized</w:t>
      </w:r>
      <w:r w:rsidR="002D1915" w:rsidRPr="009A61D7">
        <w:rPr>
          <w:rFonts w:ascii="Times New Roman" w:hAnsi="Times New Roman"/>
        </w:rPr>
        <w:t xml:space="preserve"> capi</w:t>
      </w:r>
      <w:r w:rsidR="00807DF8" w:rsidRPr="009A61D7">
        <w:rPr>
          <w:rFonts w:ascii="Times New Roman" w:hAnsi="Times New Roman"/>
        </w:rPr>
        <w:t>tal/startup cost of $</w:t>
      </w:r>
      <w:r w:rsidR="009A61D7" w:rsidRPr="009A61D7">
        <w:rPr>
          <w:rFonts w:ascii="Times New Roman" w:hAnsi="Times New Roman"/>
        </w:rPr>
        <w:t>49</w:t>
      </w:r>
      <w:r w:rsidR="00807DF8" w:rsidRPr="009A61D7">
        <w:rPr>
          <w:rFonts w:ascii="Times New Roman" w:hAnsi="Times New Roman"/>
        </w:rPr>
        <w:t>,</w:t>
      </w:r>
      <w:r w:rsidR="009A61D7" w:rsidRPr="009A61D7">
        <w:rPr>
          <w:rFonts w:ascii="Times New Roman" w:hAnsi="Times New Roman"/>
        </w:rPr>
        <w:t>148</w:t>
      </w:r>
      <w:r w:rsidR="00807DF8" w:rsidRPr="009A61D7">
        <w:rPr>
          <w:rFonts w:ascii="Times New Roman" w:hAnsi="Times New Roman"/>
        </w:rPr>
        <w:t>,</w:t>
      </w:r>
      <w:r w:rsidR="009A61D7" w:rsidRPr="009A61D7">
        <w:rPr>
          <w:rFonts w:ascii="Times New Roman" w:hAnsi="Times New Roman"/>
        </w:rPr>
        <w:t>878</w:t>
      </w:r>
      <w:r w:rsidR="002D1915" w:rsidRPr="009A61D7">
        <w:rPr>
          <w:rFonts w:ascii="Times New Roman" w:hAnsi="Times New Roman"/>
        </w:rPr>
        <w:t>.</w:t>
      </w:r>
    </w:p>
    <w:p w:rsidR="00D772CE" w:rsidRPr="0068644D" w:rsidRDefault="00D772CE" w:rsidP="00B76529">
      <w:pPr>
        <w:pStyle w:val="Heading2"/>
        <w:rPr>
          <w:i/>
          <w:iCs w:val="0"/>
        </w:rPr>
      </w:pPr>
      <w:r w:rsidRPr="0068644D">
        <w:rPr>
          <w:i/>
          <w:iCs w:val="0"/>
        </w:rPr>
        <w:lastRenderedPageBreak/>
        <w:t>(f)</w:t>
      </w:r>
      <w:r w:rsidRPr="0068644D">
        <w:rPr>
          <w:i/>
          <w:iCs w:val="0"/>
        </w:rPr>
        <w:tab/>
        <w:t>Reasons for Change in Burden.</w:t>
      </w:r>
    </w:p>
    <w:p w:rsidR="00D772CE" w:rsidRPr="00332DD0" w:rsidRDefault="00D772CE" w:rsidP="00B76529">
      <w:pPr>
        <w:pStyle w:val="Para"/>
        <w:rPr>
          <w:rFonts w:ascii="Times New Roman" w:hAnsi="Times New Roman"/>
        </w:rPr>
      </w:pPr>
      <w:r w:rsidRPr="00332DD0">
        <w:rPr>
          <w:rFonts w:ascii="Times New Roman" w:hAnsi="Times New Roman"/>
        </w:rPr>
        <w:t xml:space="preserve">The increase in burden is </w:t>
      </w:r>
      <w:r w:rsidR="005E7A9E" w:rsidRPr="005E7A9E">
        <w:rPr>
          <w:rFonts w:ascii="Times New Roman" w:hAnsi="Times New Roman"/>
        </w:rPr>
        <w:t xml:space="preserve">due to information collection activities that would be imposed by the </w:t>
      </w:r>
      <w:r w:rsidR="005E7A9E">
        <w:rPr>
          <w:rFonts w:ascii="Times New Roman" w:hAnsi="Times New Roman"/>
        </w:rPr>
        <w:t>NESHAP</w:t>
      </w:r>
      <w:r w:rsidR="005E7A9E" w:rsidRPr="005E7A9E">
        <w:rPr>
          <w:rFonts w:ascii="Times New Roman" w:hAnsi="Times New Roman"/>
        </w:rPr>
        <w:t xml:space="preserve"> for Coal- and Oil-fired EGUs</w:t>
      </w:r>
      <w:r w:rsidR="005E7A9E">
        <w:rPr>
          <w:rFonts w:ascii="Times New Roman" w:hAnsi="Times New Roman"/>
        </w:rPr>
        <w:t>.</w:t>
      </w:r>
    </w:p>
    <w:p w:rsidR="00D772CE" w:rsidRPr="0068644D" w:rsidRDefault="00D772CE" w:rsidP="005E7A9E">
      <w:pPr>
        <w:pStyle w:val="Heading2"/>
        <w:ind w:left="0" w:firstLine="0"/>
        <w:rPr>
          <w:i/>
          <w:iCs w:val="0"/>
        </w:rPr>
      </w:pPr>
      <w:r w:rsidRPr="0068644D">
        <w:rPr>
          <w:i/>
          <w:iCs w:val="0"/>
        </w:rPr>
        <w:t>(g)</w:t>
      </w:r>
      <w:r w:rsidR="00B76529" w:rsidRPr="0068644D">
        <w:rPr>
          <w:i/>
          <w:iCs w:val="0"/>
        </w:rPr>
        <w:tab/>
      </w:r>
      <w:r w:rsidRPr="0068644D">
        <w:rPr>
          <w:i/>
          <w:iCs w:val="0"/>
        </w:rPr>
        <w:t>Burden Statement</w:t>
      </w:r>
    </w:p>
    <w:p w:rsidR="00D772CE" w:rsidRPr="007C7E34" w:rsidRDefault="00EB46DF" w:rsidP="009060A6">
      <w:pPr>
        <w:pStyle w:val="Para"/>
        <w:rPr>
          <w:rFonts w:ascii="Times New Roman" w:hAnsi="Times New Roman"/>
        </w:rPr>
      </w:pPr>
      <w:r w:rsidRPr="007C7E34">
        <w:rPr>
          <w:rFonts w:ascii="Times New Roman" w:hAnsi="Times New Roman"/>
        </w:rPr>
        <w:t xml:space="preserve">The annual public reporting and recordkeeping burden for this collection of information is estimated to </w:t>
      </w:r>
      <w:r w:rsidRPr="009060A6">
        <w:rPr>
          <w:rFonts w:ascii="Times New Roman" w:hAnsi="Times New Roman"/>
        </w:rPr>
        <w:t xml:space="preserve">average </w:t>
      </w:r>
      <w:r w:rsidR="009060A6" w:rsidRPr="009060A6">
        <w:rPr>
          <w:rFonts w:ascii="Times New Roman" w:hAnsi="Times New Roman"/>
        </w:rPr>
        <w:t>87</w:t>
      </w:r>
      <w:r w:rsidRPr="009060A6">
        <w:rPr>
          <w:rFonts w:ascii="Times New Roman" w:hAnsi="Times New Roman"/>
        </w:rPr>
        <w:t xml:space="preserve"> hours per </w:t>
      </w:r>
      <w:r w:rsidR="00B462D4" w:rsidRPr="009060A6">
        <w:rPr>
          <w:rFonts w:ascii="Times New Roman" w:hAnsi="Times New Roman"/>
        </w:rPr>
        <w:t>response</w:t>
      </w:r>
      <w:r w:rsidRPr="009060A6">
        <w:rPr>
          <w:rFonts w:ascii="Times New Roman" w:hAnsi="Times New Roman"/>
        </w:rPr>
        <w:t>.</w:t>
      </w:r>
      <w:r w:rsidR="00D772CE" w:rsidRPr="009060A6">
        <w:rPr>
          <w:rFonts w:ascii="Times New Roman" w:hAnsi="Times New Roman"/>
        </w:rPr>
        <w:t xml:space="preserve"> </w:t>
      </w:r>
      <w:r w:rsidR="009A61D7" w:rsidRPr="009060A6">
        <w:rPr>
          <w:rFonts w:ascii="Times New Roman" w:hAnsi="Times New Roman"/>
        </w:rPr>
        <w:t xml:space="preserve"> </w:t>
      </w:r>
      <w:r w:rsidR="00D772CE" w:rsidRPr="009060A6">
        <w:rPr>
          <w:rFonts w:ascii="Times New Roman" w:hAnsi="Times New Roman"/>
        </w:rPr>
        <w:t>Burden means the total time, effort, or financial resources expended by persons</w:t>
      </w:r>
      <w:r w:rsidR="00D772CE" w:rsidRPr="007C7E34">
        <w:rPr>
          <w:rFonts w:ascii="Times New Roman" w:hAnsi="Times New Roman"/>
        </w:rPr>
        <w:t xml:space="preserve"> to generate, maintain, retain, or disclose or provide information to or for a Federal agency</w:t>
      </w:r>
      <w:r w:rsidR="00D772CE" w:rsidRPr="00332DD0">
        <w:rPr>
          <w:rFonts w:ascii="Times New Roman" w:hAnsi="Times New Roman"/>
        </w:rPr>
        <w:t xml:space="preserve">. </w:t>
      </w:r>
      <w:r w:rsidR="007C7E34" w:rsidRPr="00332DD0">
        <w:rPr>
          <w:rFonts w:ascii="Times New Roman" w:hAnsi="Times New Roman"/>
        </w:rPr>
        <w:t xml:space="preserve"> </w:t>
      </w:r>
      <w:r w:rsidR="00D772CE" w:rsidRPr="00332DD0">
        <w:rPr>
          <w:rFonts w:ascii="Times New Roman" w:hAnsi="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D772CE" w:rsidRPr="007C7E34" w:rsidRDefault="00D772CE" w:rsidP="00B76529">
      <w:pPr>
        <w:pStyle w:val="Para"/>
        <w:rPr>
          <w:rFonts w:ascii="Times New Roman" w:hAnsi="Times New Roman"/>
        </w:rPr>
      </w:pPr>
      <w:r w:rsidRPr="007C7E34">
        <w:rPr>
          <w:rFonts w:ascii="Times New Roman" w:hAnsi="Times New Roman"/>
        </w:rPr>
        <w:t xml:space="preserve">An agency may not conduct or sponsor, and a person is not required to respond to a collection of information unless it displays a currently valid OMB control number. </w:t>
      </w:r>
      <w:r w:rsidR="007C7E34">
        <w:rPr>
          <w:rFonts w:ascii="Times New Roman" w:hAnsi="Times New Roman"/>
        </w:rPr>
        <w:t xml:space="preserve"> </w:t>
      </w:r>
      <w:r w:rsidRPr="007C7E34">
        <w:rPr>
          <w:rFonts w:ascii="Times New Roman" w:hAnsi="Times New Roman"/>
        </w:rPr>
        <w:t>The OMB control numbers for EPA</w:t>
      </w:r>
      <w:r w:rsidR="0034549F" w:rsidRPr="007C7E34">
        <w:rPr>
          <w:rFonts w:ascii="Times New Roman" w:hAnsi="Times New Roman"/>
        </w:rPr>
        <w:t>’</w:t>
      </w:r>
      <w:r w:rsidRPr="007C7E34">
        <w:rPr>
          <w:rFonts w:ascii="Times New Roman" w:hAnsi="Times New Roman"/>
        </w:rPr>
        <w:t xml:space="preserve">s regulations in 40 CFR </w:t>
      </w:r>
      <w:proofErr w:type="gramStart"/>
      <w:r w:rsidRPr="007C7E34">
        <w:rPr>
          <w:rFonts w:ascii="Times New Roman" w:hAnsi="Times New Roman"/>
        </w:rPr>
        <w:t>part</w:t>
      </w:r>
      <w:proofErr w:type="gramEnd"/>
      <w:r w:rsidRPr="007C7E34">
        <w:rPr>
          <w:rFonts w:ascii="Times New Roman" w:hAnsi="Times New Roman"/>
        </w:rPr>
        <w:t xml:space="preserve"> 63 are listed in 40 CFR part 9.</w:t>
      </w:r>
    </w:p>
    <w:p w:rsidR="00D772CE" w:rsidRPr="007C7E34" w:rsidRDefault="00D772CE" w:rsidP="003C3042">
      <w:pPr>
        <w:pStyle w:val="Para"/>
        <w:rPr>
          <w:rFonts w:ascii="Times New Roman" w:hAnsi="Times New Roman"/>
        </w:rPr>
      </w:pPr>
      <w:r w:rsidRPr="007C7E34">
        <w:rPr>
          <w:rFonts w:ascii="Times New Roman" w:hAnsi="Times New Roman"/>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0F3B39">
        <w:rPr>
          <w:rFonts w:ascii="Times New Roman" w:hAnsi="Times New Roman"/>
        </w:rPr>
        <w:t xml:space="preserve">Docket ID Number </w:t>
      </w:r>
      <w:r w:rsidR="000F3B39" w:rsidRPr="000F3B39">
        <w:rPr>
          <w:rFonts w:ascii="Times New Roman" w:hAnsi="Times New Roman"/>
        </w:rPr>
        <w:t>EPA-HQ-OAR-2009-0234</w:t>
      </w:r>
      <w:r w:rsidRPr="007C7E34">
        <w:rPr>
          <w:rFonts w:ascii="Times New Roman" w:hAnsi="Times New Roman"/>
        </w:rPr>
        <w:t>, which is available for online viewing at www.regulations.gov, or in person viewing at the Air and Radiation Docket and Information Center in the EPA Docket Cent</w:t>
      </w:r>
      <w:r w:rsidR="00DE2C36">
        <w:rPr>
          <w:rFonts w:ascii="Times New Roman" w:hAnsi="Times New Roman"/>
        </w:rPr>
        <w:t>er (EPA/DC), EPA West, Room 3334</w:t>
      </w:r>
      <w:r w:rsidRPr="007C7E34">
        <w:rPr>
          <w:rFonts w:ascii="Times New Roman" w:hAnsi="Times New Roman"/>
        </w:rPr>
        <w:t xml:space="preserve">, 1301 Constitution Avenue, NW, Washington, D.C. The EPA Docket Center Public Reading Room is open from 8:30 a.m. to 4:30 p.m., Monday through Friday, excluding legal holidays. </w:t>
      </w:r>
      <w:r w:rsidR="007C7E34">
        <w:rPr>
          <w:rFonts w:ascii="Times New Roman" w:hAnsi="Times New Roman"/>
        </w:rPr>
        <w:t xml:space="preserve"> </w:t>
      </w:r>
      <w:r w:rsidRPr="007C7E34">
        <w:rPr>
          <w:rFonts w:ascii="Times New Roman" w:hAnsi="Times New Roman"/>
        </w:rPr>
        <w:t xml:space="preserve">The telephone number for the Reading Room is (202) 566-1744, and the telephone number for the Air and Radiation Docket and Information Center is (202) 566-1742. </w:t>
      </w:r>
      <w:r w:rsidR="007C7E34">
        <w:rPr>
          <w:rFonts w:ascii="Times New Roman" w:hAnsi="Times New Roman"/>
        </w:rPr>
        <w:t xml:space="preserve"> </w:t>
      </w:r>
      <w:r w:rsidRPr="007C7E34">
        <w:rPr>
          <w:rFonts w:ascii="Times New Roman" w:hAnsi="Times New Roman"/>
        </w:rPr>
        <w:t xml:space="preserve">An electronic version of the public docket is available at www.regulations.gov. </w:t>
      </w:r>
      <w:r w:rsidR="007C7E34">
        <w:rPr>
          <w:rFonts w:ascii="Times New Roman" w:hAnsi="Times New Roman"/>
        </w:rPr>
        <w:t xml:space="preserve"> </w:t>
      </w:r>
      <w:r w:rsidRPr="007C7E34">
        <w:rPr>
          <w:rFonts w:ascii="Times New Roman" w:hAnsi="Times New Roman"/>
        </w:rPr>
        <w:t xml:space="preserve">This site can be used to submit or view public comments, access the index listing of the contents of the public docket, and to access those documents in the public docket that are available electronically. </w:t>
      </w:r>
      <w:r w:rsidR="007C7E34">
        <w:rPr>
          <w:rFonts w:ascii="Times New Roman" w:hAnsi="Times New Roman"/>
        </w:rPr>
        <w:t xml:space="preserve"> </w:t>
      </w:r>
      <w:r w:rsidRPr="007C7E34">
        <w:rPr>
          <w:rFonts w:ascii="Times New Roman" w:hAnsi="Times New Roman"/>
        </w:rPr>
        <w:t xml:space="preserve">When in the system, select “search,” then key in the Docket ID Number identified above. </w:t>
      </w:r>
      <w:r w:rsidR="007C7E34">
        <w:rPr>
          <w:rFonts w:ascii="Times New Roman" w:hAnsi="Times New Roman"/>
        </w:rPr>
        <w:t xml:space="preserve"> </w:t>
      </w:r>
      <w:r w:rsidRPr="007C7E34">
        <w:rPr>
          <w:rFonts w:ascii="Times New Roman" w:hAnsi="Times New Roman"/>
        </w:rPr>
        <w:t xml:space="preserve">Also, you can send comments to the Office of Information and Regulatory Affairs, Office of Management and Budget, 725 17th Street, NW, Washington, D.C. 20503, Attention: Desk Officer for EPA. </w:t>
      </w:r>
      <w:r w:rsidR="007C7E34">
        <w:rPr>
          <w:rFonts w:ascii="Times New Roman" w:hAnsi="Times New Roman"/>
        </w:rPr>
        <w:t xml:space="preserve"> </w:t>
      </w:r>
      <w:r w:rsidRPr="007C7E34">
        <w:rPr>
          <w:rFonts w:ascii="Times New Roman" w:hAnsi="Times New Roman"/>
        </w:rPr>
        <w:t>Please include the EPA Docket ID Number EPA-HQ-OAR-200</w:t>
      </w:r>
      <w:r w:rsidR="003C3042">
        <w:rPr>
          <w:rFonts w:ascii="Times New Roman" w:hAnsi="Times New Roman"/>
        </w:rPr>
        <w:t>9</w:t>
      </w:r>
      <w:r w:rsidRPr="007C7E34">
        <w:rPr>
          <w:rFonts w:ascii="Times New Roman" w:hAnsi="Times New Roman"/>
        </w:rPr>
        <w:t>-0</w:t>
      </w:r>
      <w:r w:rsidR="003C3042">
        <w:rPr>
          <w:rFonts w:ascii="Times New Roman" w:hAnsi="Times New Roman"/>
        </w:rPr>
        <w:t>234</w:t>
      </w:r>
      <w:r w:rsidR="00DE2C36">
        <w:rPr>
          <w:rFonts w:ascii="Times New Roman" w:hAnsi="Times New Roman"/>
        </w:rPr>
        <w:t xml:space="preserve"> and OMB Control Number 2060-0567</w:t>
      </w:r>
      <w:r w:rsidR="00332DD0">
        <w:rPr>
          <w:rFonts w:ascii="Times New Roman" w:hAnsi="Times New Roman"/>
        </w:rPr>
        <w:t xml:space="preserve"> </w:t>
      </w:r>
      <w:r w:rsidRPr="007C7E34">
        <w:rPr>
          <w:rFonts w:ascii="Times New Roman" w:hAnsi="Times New Roman"/>
        </w:rPr>
        <w:t>in any correspondence.</w:t>
      </w:r>
    </w:p>
    <w:p w:rsidR="00D772CE" w:rsidRPr="007C7E34" w:rsidRDefault="00D772CE" w:rsidP="00B76529">
      <w:pPr>
        <w:pStyle w:val="Heading1"/>
      </w:pPr>
      <w:r w:rsidRPr="007C7E34">
        <w:t>P</w:t>
      </w:r>
      <w:r w:rsidR="005E7A9E">
        <w:t>art</w:t>
      </w:r>
      <w:r w:rsidRPr="007C7E34">
        <w:t xml:space="preserve"> B</w:t>
      </w:r>
      <w:r w:rsidR="005E7A9E">
        <w:t xml:space="preserve"> of the Supporting Statement</w:t>
      </w:r>
    </w:p>
    <w:p w:rsidR="00593F37" w:rsidRPr="007C7E34" w:rsidRDefault="00D772CE" w:rsidP="00BF4E90">
      <w:pPr>
        <w:pStyle w:val="Para"/>
        <w:rPr>
          <w:rFonts w:ascii="Times New Roman" w:hAnsi="Times New Roman"/>
        </w:rPr>
      </w:pPr>
      <w:r w:rsidRPr="007C7E34">
        <w:rPr>
          <w:rFonts w:ascii="Times New Roman" w:hAnsi="Times New Roman"/>
        </w:rPr>
        <w:t>This section is not applicable because statistical methods are not used in data collection associated with the final amendments.</w:t>
      </w:r>
    </w:p>
    <w:p w:rsidR="00593F37" w:rsidRPr="00640B02" w:rsidRDefault="00593F37" w:rsidP="00593F37">
      <w:pPr>
        <w:rPr>
          <w:rFonts w:ascii="Times New Roman" w:hAnsi="Times New Roman"/>
        </w:rPr>
        <w:sectPr w:rsidR="00593F37" w:rsidRPr="00640B02" w:rsidSect="00F773E1">
          <w:footerReference w:type="default" r:id="rId10"/>
          <w:pgSz w:w="12240" w:h="15840"/>
          <w:pgMar w:top="1440" w:right="1440" w:bottom="1440" w:left="1440" w:header="720" w:footer="720" w:gutter="0"/>
          <w:cols w:space="720"/>
          <w:docGrid w:linePitch="360"/>
        </w:sectPr>
      </w:pPr>
    </w:p>
    <w:p w:rsidR="00F11CCB" w:rsidRPr="00640B02" w:rsidRDefault="00F11CCB" w:rsidP="00640B02">
      <w:pPr>
        <w:pStyle w:val="ExhibitTitle"/>
        <w:rPr>
          <w:rFonts w:ascii="Times New Roman" w:hAnsi="Times New Roman"/>
        </w:rPr>
      </w:pPr>
      <w:proofErr w:type="gramStart"/>
      <w:r w:rsidRPr="00640B02">
        <w:rPr>
          <w:rFonts w:ascii="Times New Roman" w:hAnsi="Times New Roman"/>
        </w:rPr>
        <w:lastRenderedPageBreak/>
        <w:t>Table 1a</w:t>
      </w:r>
      <w:r w:rsidR="005E7A9E">
        <w:rPr>
          <w:rFonts w:ascii="Times New Roman" w:hAnsi="Times New Roman"/>
        </w:rPr>
        <w:t>.</w:t>
      </w:r>
      <w:proofErr w:type="gramEnd"/>
      <w:r w:rsidRPr="00640B02">
        <w:rPr>
          <w:rFonts w:ascii="Times New Roman" w:hAnsi="Times New Roman"/>
        </w:rPr>
        <w:tab/>
      </w:r>
      <w:r w:rsidR="00180971" w:rsidRPr="00640B02">
        <w:rPr>
          <w:rFonts w:ascii="Times New Roman" w:hAnsi="Times New Roman"/>
        </w:rPr>
        <w:t xml:space="preserve">Year 1 Respondent Burden of Reporting and Recordkeeping Requirements, NESHAP for </w:t>
      </w:r>
      <w:r w:rsidR="00640B02" w:rsidRPr="00640B02">
        <w:rPr>
          <w:rFonts w:ascii="Times New Roman" w:hAnsi="Times New Roman"/>
        </w:rPr>
        <w:t>Electric Generating Units</w:t>
      </w:r>
      <w:r w:rsidR="00180971" w:rsidRPr="00640B02">
        <w:rPr>
          <w:rFonts w:ascii="Times New Roman" w:hAnsi="Times New Roman"/>
        </w:rPr>
        <w:t xml:space="preserve"> (40 CFR part 63, subpart </w:t>
      </w:r>
      <w:r w:rsidR="00640B02" w:rsidRPr="00640B02">
        <w:rPr>
          <w:rFonts w:ascii="Times New Roman" w:hAnsi="Times New Roman"/>
        </w:rPr>
        <w:t>UUUUU)</w:t>
      </w:r>
    </w:p>
    <w:p w:rsidR="00F11CCB" w:rsidRDefault="00F11CCB" w:rsidP="00593F37">
      <w:pPr>
        <w:rPr>
          <w:rFonts w:ascii="Times New Roman" w:hAnsi="Times New Roman"/>
          <w:highlight w:val="yellow"/>
        </w:rPr>
      </w:pPr>
    </w:p>
    <w:tbl>
      <w:tblPr>
        <w:tblW w:w="5000" w:type="pct"/>
        <w:tblLayout w:type="fixed"/>
        <w:tblLook w:val="04A0"/>
      </w:tblPr>
      <w:tblGrid>
        <w:gridCol w:w="256"/>
        <w:gridCol w:w="256"/>
        <w:gridCol w:w="3558"/>
        <w:gridCol w:w="988"/>
        <w:gridCol w:w="1352"/>
        <w:gridCol w:w="1262"/>
        <w:gridCol w:w="1080"/>
        <w:gridCol w:w="1080"/>
        <w:gridCol w:w="1170"/>
        <w:gridCol w:w="1083"/>
        <w:gridCol w:w="1091"/>
      </w:tblGrid>
      <w:tr w:rsidR="00332DD0" w:rsidRPr="00332DD0" w:rsidTr="001F421B">
        <w:trPr>
          <w:cantSplit/>
          <w:trHeight w:val="780"/>
          <w:tblHeader/>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32DD0" w:rsidRPr="00332DD0" w:rsidRDefault="00332DD0" w:rsidP="00332DD0">
            <w:pPr>
              <w:jc w:val="center"/>
              <w:rPr>
                <w:rFonts w:ascii="Times New Roman" w:eastAsia="Times New Roman" w:hAnsi="Times New Roman"/>
                <w:b/>
                <w:bCs/>
                <w:color w:val="000000"/>
                <w:sz w:val="16"/>
                <w:szCs w:val="16"/>
              </w:rPr>
            </w:pPr>
            <w:bookmarkStart w:id="1" w:name="RANGE!A1:K81"/>
            <w:r w:rsidRPr="00332DD0">
              <w:rPr>
                <w:rFonts w:ascii="Times New Roman" w:eastAsia="Times New Roman" w:hAnsi="Times New Roman"/>
                <w:b/>
                <w:bCs/>
                <w:color w:val="000000"/>
                <w:sz w:val="16"/>
                <w:szCs w:val="16"/>
              </w:rPr>
              <w:t>Year 1</w:t>
            </w:r>
            <w:bookmarkEnd w:id="1"/>
          </w:p>
        </w:tc>
        <w:tc>
          <w:tcPr>
            <w:tcW w:w="375"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  Hours per Occurrence</w:t>
            </w:r>
          </w:p>
        </w:tc>
        <w:tc>
          <w:tcPr>
            <w:tcW w:w="513"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(B)  Occurrences/ Respondent/Year</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(C)  Hours/ Respondent/ </w:t>
            </w:r>
            <w:r w:rsidRPr="00332DD0">
              <w:rPr>
                <w:rFonts w:ascii="Times New Roman" w:eastAsia="Times New Roman" w:hAnsi="Times New Roman"/>
                <w:color w:val="000000"/>
                <w:sz w:val="16"/>
                <w:szCs w:val="16"/>
              </w:rPr>
              <w:br/>
              <w:t>Year (A x B)</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Respondents/ 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Technical Hours/Year (C x D)</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(F) Managerial Hours/Year (E x 0.05)</w:t>
            </w:r>
          </w:p>
        </w:tc>
        <w:tc>
          <w:tcPr>
            <w:tcW w:w="411"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(G) Clerical Hours/Year (E x 0.10)</w:t>
            </w:r>
          </w:p>
        </w:tc>
        <w:tc>
          <w:tcPr>
            <w:tcW w:w="414"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sz w:val="16"/>
                <w:szCs w:val="16"/>
              </w:rPr>
            </w:pPr>
            <w:r w:rsidRPr="00332DD0">
              <w:rPr>
                <w:rFonts w:ascii="Times New Roman" w:eastAsia="Times New Roman" w:hAnsi="Times New Roman"/>
                <w:sz w:val="16"/>
                <w:szCs w:val="16"/>
              </w:rPr>
              <w:t>(H)  Cost/ Year</w:t>
            </w:r>
          </w:p>
        </w:tc>
      </w:tr>
      <w:tr w:rsidR="00332DD0" w:rsidRPr="00332DD0" w:rsidTr="00332DD0">
        <w:trPr>
          <w:trHeight w:val="300"/>
        </w:trPr>
        <w:tc>
          <w:tcPr>
            <w:tcW w:w="154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 APPLICATIONS (Not Applicable)</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332DD0" w:rsidRPr="00332DD0" w:rsidTr="00332DD0">
        <w:trPr>
          <w:trHeight w:val="300"/>
        </w:trPr>
        <w:tc>
          <w:tcPr>
            <w:tcW w:w="154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 SURVEY AND STUDIES (Not Applicable)</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332DD0" w:rsidRPr="00332DD0" w:rsidTr="00332DD0">
        <w:trPr>
          <w:trHeight w:val="525"/>
        </w:trPr>
        <w:tc>
          <w:tcPr>
            <w:tcW w:w="154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  ACQUISITION, INSTALLATION, AND UTILIZATION OF TECHNOLOGY AND SYSTEMS</w:t>
            </w:r>
            <w:r w:rsidR="00B47C5E">
              <w:rPr>
                <w:rFonts w:ascii="Times New Roman" w:eastAsia="Times New Roman" w:hAnsi="Times New Roman"/>
                <w:color w:val="000000"/>
                <w:sz w:val="16"/>
                <w:szCs w:val="16"/>
              </w:rPr>
              <w:t xml:space="preserve"> </w:t>
            </w:r>
            <w:r w:rsidR="00B47C5E" w:rsidRPr="00B47C5E">
              <w:rPr>
                <w:rFonts w:ascii="Times New Roman" w:eastAsia="Times New Roman" w:hAnsi="Times New Roman"/>
                <w:color w:val="000000"/>
                <w:sz w:val="16"/>
                <w:szCs w:val="16"/>
                <w:vertAlign w:val="superscript"/>
              </w:rPr>
              <w:t>a</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16</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16</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6,704.0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335.2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670.4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$631,550</w:t>
            </w:r>
          </w:p>
        </w:tc>
      </w:tr>
      <w:tr w:rsidR="00332DD0" w:rsidRPr="00332DD0" w:rsidTr="00332DD0">
        <w:trPr>
          <w:trHeight w:val="255"/>
        </w:trPr>
        <w:tc>
          <w:tcPr>
            <w:tcW w:w="154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 REPORT REQUIREMENTS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332DD0" w:rsidRPr="00332DD0" w:rsidTr="00332DD0">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 Read Instructions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332DD0" w:rsidRPr="00332DD0" w:rsidTr="00332DD0">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419.0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21.0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41.9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$39,472</w:t>
            </w:r>
          </w:p>
        </w:tc>
      </w:tr>
      <w:tr w:rsidR="00332DD0" w:rsidRPr="00332DD0" w:rsidTr="00332DD0">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0.2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$188</w:t>
            </w:r>
          </w:p>
        </w:tc>
      </w:tr>
      <w:tr w:rsidR="00332DD0" w:rsidRPr="00332DD0" w:rsidTr="00332DD0">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B47C5E" w:rsidP="00332DD0">
            <w:pPr>
              <w:rPr>
                <w:rFonts w:ascii="Times New Roman" w:eastAsia="Times New Roman" w:hAnsi="Times New Roman"/>
                <w:color w:val="000000"/>
                <w:sz w:val="16"/>
                <w:szCs w:val="16"/>
              </w:rPr>
            </w:pPr>
            <w:r>
              <w:rPr>
                <w:rFonts w:ascii="Times New Roman" w:eastAsia="Times New Roman" w:hAnsi="Times New Roman"/>
                <w:color w:val="000000"/>
                <w:sz w:val="16"/>
                <w:szCs w:val="16"/>
              </w:rPr>
              <w:t>B. Required Activities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Initial Performance Test using M5 and M202</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368</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8,824.0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441.2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882.4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$831,264</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Initial Performance Test  using M29</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10,056.0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502.8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1,005.6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$947,325</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Initial Performance Test using M320</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10,056.0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502.8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1,005.6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$947,325</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Initial Performance Test using M6A</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52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Repeat M5 and 202 performance test every 2 years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Repeat M29 performance test every 2 years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Repeat M320 Performance Test every 2 years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Repeat M6A Performance Test every 2 years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w:t>
            </w:r>
            <w:r w:rsidR="00B47C5E">
              <w:rPr>
                <w:rFonts w:ascii="Times New Roman" w:eastAsia="Times New Roman" w:hAnsi="Times New Roman"/>
                <w:color w:val="000000"/>
                <w:sz w:val="16"/>
                <w:szCs w:val="16"/>
              </w:rPr>
              <w:t>sting Sources - CEMS Monitoring</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0.5</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0.5</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209.5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10.5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21.0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$19,736</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w:t>
            </w:r>
            <w:r w:rsidR="00B47C5E">
              <w:rPr>
                <w:rFonts w:ascii="Times New Roman" w:eastAsia="Times New Roman" w:hAnsi="Times New Roman"/>
                <w:color w:val="000000"/>
                <w:sz w:val="16"/>
                <w:szCs w:val="16"/>
              </w:rPr>
              <w:t>es - CEMS Quarterly Inspections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8</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3,352.0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167.6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335.2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$315,775</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CEM</w:t>
            </w:r>
            <w:r w:rsidR="00B47C5E">
              <w:rPr>
                <w:rFonts w:ascii="Times New Roman" w:eastAsia="Times New Roman" w:hAnsi="Times New Roman"/>
                <w:color w:val="000000"/>
                <w:sz w:val="16"/>
                <w:szCs w:val="16"/>
              </w:rPr>
              <w:t>S Daily Calibration Drift Tests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0.3</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330</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99</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41,481.0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2,074.1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4,148.1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$3,907,716</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Daily monitoring (CEMS)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0.3</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330</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99</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41,481.0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2,074.1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4,148.1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$3,907,716</w:t>
            </w:r>
          </w:p>
        </w:tc>
      </w:tr>
      <w:tr w:rsidR="00332DD0" w:rsidRPr="00332DD0" w:rsidTr="00332DD0">
        <w:trPr>
          <w:trHeight w:val="52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All CEMS must follow appropr</w:t>
            </w:r>
            <w:r w:rsidR="00B47C5E">
              <w:rPr>
                <w:rFonts w:ascii="Times New Roman" w:eastAsia="Times New Roman" w:hAnsi="Times New Roman"/>
                <w:color w:val="000000"/>
                <w:sz w:val="16"/>
                <w:szCs w:val="16"/>
              </w:rPr>
              <w:t>iate performance specifications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0.3</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330</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99</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41,481.0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2,074.1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4,148.1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$3,907,716</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Initial Performance Test using M5 and M202</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48.0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2.4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4.8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$4,522</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Initial Performance Test  using M29</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48.0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2.4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4.8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$4,522</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Initial Performance Test using M320</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48.0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2.4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4.8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$4,522</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Initial Performance Test using M6A</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Repeat M5 and 202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Repeat M29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Repeat M320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Repeat M6A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CEMS Monitoring</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0.5</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0.5</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$94</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CEMS Quarterly Inspections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8</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16.0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0.8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1.6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$1,507</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CEMS Daily Calibration Drift Tests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0.3</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330</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99</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198.0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9.9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19.8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$18,653</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Daily monitoring (CEMS</w:t>
            </w:r>
            <w:r w:rsidRPr="00332DD0">
              <w:rPr>
                <w:rFonts w:ascii="Times New Roman" w:eastAsia="Times New Roman" w:hAnsi="Times New Roman"/>
                <w:sz w:val="16"/>
                <w:szCs w:val="16"/>
              </w:rPr>
              <w:t>)</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0.3</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330</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99</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198.0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9.9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19.8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$18,653</w:t>
            </w:r>
          </w:p>
        </w:tc>
      </w:tr>
      <w:tr w:rsidR="00332DD0" w:rsidRPr="00332DD0" w:rsidTr="00332DD0">
        <w:trPr>
          <w:trHeight w:val="54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All CEMS must follow appropriate performance specifications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0.3</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330</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99</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198.0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9.9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19.8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$18,653</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 Create Information (Included in 4B)</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Gather Existing Information (Included in 4E)</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Write Report</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Notification of Demonstration of</w:t>
            </w:r>
            <w:r w:rsidR="00B47C5E">
              <w:rPr>
                <w:rFonts w:ascii="Times New Roman" w:eastAsia="Times New Roman" w:hAnsi="Times New Roman"/>
                <w:color w:val="000000"/>
                <w:sz w:val="16"/>
                <w:szCs w:val="16"/>
              </w:rPr>
              <w:t xml:space="preserve"> CEMS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838.0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41.9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83.8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$78,944</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Report of Performance Test (included in 4B)</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Notificat</w:t>
            </w:r>
            <w:r w:rsidR="00B47C5E">
              <w:rPr>
                <w:rFonts w:ascii="Times New Roman" w:eastAsia="Times New Roman" w:hAnsi="Times New Roman"/>
                <w:color w:val="000000"/>
                <w:sz w:val="16"/>
                <w:szCs w:val="16"/>
              </w:rPr>
              <w:t>ion of Initial Performance Test</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838.0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41.9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83.8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$78,944</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Quality Assurance Program Notification</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838.0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41.9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83.8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$78,944</w:t>
            </w:r>
          </w:p>
        </w:tc>
      </w:tr>
      <w:tr w:rsidR="00332DD0" w:rsidRPr="00332DD0" w:rsidTr="00332DD0">
        <w:trPr>
          <w:trHeight w:val="52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B47C5E">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Existing Sources - Startup, shutdown, and malfunction Report </w:t>
            </w:r>
            <w:r w:rsidR="00B47C5E" w:rsidRPr="00B47C5E">
              <w:rPr>
                <w:rFonts w:ascii="Times New Roman" w:eastAsia="Times New Roman" w:hAnsi="Times New Roman"/>
                <w:color w:val="000000"/>
                <w:sz w:val="16"/>
                <w:szCs w:val="16"/>
                <w:vertAlign w:val="superscript"/>
              </w:rPr>
              <w:t>b</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209.5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10.5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21.0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$19,736</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Semi-Annual Compliance Report</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48</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20,112.0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1,005.6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2,011.2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$1,894,650</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Notification of Compliance Status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1,676.0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83.8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167.6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$157,887</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site-specific performance evaluation test plan</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40</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40</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16,760.0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838.0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1,676.0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$1,578,875</w:t>
            </w:r>
          </w:p>
        </w:tc>
      </w:tr>
      <w:tr w:rsidR="00332DD0" w:rsidRPr="00332DD0" w:rsidTr="00332DD0">
        <w:trPr>
          <w:trHeight w:val="52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request to use alternative monitoring procedure</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209.5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10.5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21.0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$19,736</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Initial notification</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0.2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0.4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$377</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Notification of Demonstration of CEMS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0.2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0.4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$377</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Quality Assurance Program Notification</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0.2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0.4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$377</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Notification of Initial Performance Test</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0.2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0.4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$377</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Report of Performance Test (included in 4B)</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Startup, shutdo</w:t>
            </w:r>
            <w:r w:rsidR="00B47C5E">
              <w:rPr>
                <w:rFonts w:ascii="Times New Roman" w:eastAsia="Times New Roman" w:hAnsi="Times New Roman"/>
                <w:color w:val="000000"/>
                <w:sz w:val="16"/>
                <w:szCs w:val="16"/>
              </w:rPr>
              <w:t xml:space="preserve">wn, and malfunction </w:t>
            </w:r>
            <w:proofErr w:type="spellStart"/>
            <w:r w:rsidR="00B47C5E">
              <w:rPr>
                <w:rFonts w:ascii="Times New Roman" w:eastAsia="Times New Roman" w:hAnsi="Times New Roman"/>
                <w:color w:val="000000"/>
                <w:sz w:val="16"/>
                <w:szCs w:val="16"/>
              </w:rPr>
              <w:t>Report</w:t>
            </w:r>
            <w:r w:rsidR="00B47C5E" w:rsidRPr="00B47C5E">
              <w:rPr>
                <w:rFonts w:ascii="Times New Roman" w:eastAsia="Times New Roman" w:hAnsi="Times New Roman"/>
                <w:color w:val="000000"/>
                <w:sz w:val="16"/>
                <w:szCs w:val="16"/>
                <w:vertAlign w:val="superscript"/>
              </w:rPr>
              <w:t>b</w:t>
            </w:r>
            <w:proofErr w:type="spellEnd"/>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$94</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Semi-Annual Compliance Report</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48</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96.0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4.8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9.6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$9,044</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Notification of Compliance Status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8.0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0.4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0.8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$754</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site-specific performance evaluation test plan</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40</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40</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80.0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4.0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8.0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$7,536</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request to use alternative monitoring procedure</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$94</w:t>
            </w:r>
          </w:p>
        </w:tc>
      </w:tr>
      <w:tr w:rsidR="00332DD0" w:rsidRPr="00332DD0" w:rsidTr="00332DD0">
        <w:trPr>
          <w:trHeight w:val="255"/>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 RECORDKEEPING REQUIREMENTS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 Read Instructions (Included in 4A)</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B. Plan Activities (Included in 4B)</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 Implement Activities (Included in 4B)</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Record Data ( Not Applicable)</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332DD0">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Time to Transmit or Disclose Information</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1F421B">
        <w:trPr>
          <w:cantSplit/>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Records of CEMS malfunctions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1.5</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1.5</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628.5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31.4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62.9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$59,208</w:t>
            </w:r>
          </w:p>
        </w:tc>
      </w:tr>
      <w:tr w:rsidR="00332DD0" w:rsidRPr="00332DD0" w:rsidTr="00332DD0">
        <w:trPr>
          <w:trHeight w:val="51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Records of Startups, Shutdowns, malfunctions, etc</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1.5</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1.5</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628.5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31.4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62.9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$59,208</w:t>
            </w:r>
          </w:p>
        </w:tc>
      </w:tr>
      <w:tr w:rsidR="00332DD0" w:rsidRPr="00332DD0" w:rsidTr="00332DD0">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Records of monthly fuel use</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1.5</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1.5</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419</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628.5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31.4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62.9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$59,208</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Records of CEMS malfunctions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1.5</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1.5</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3.0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0.2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0.3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$283</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Records of Startups</w:t>
            </w:r>
            <w:r w:rsidR="00B47C5E">
              <w:rPr>
                <w:rFonts w:ascii="Times New Roman" w:eastAsia="Times New Roman" w:hAnsi="Times New Roman"/>
                <w:color w:val="000000"/>
                <w:sz w:val="16"/>
                <w:szCs w:val="16"/>
              </w:rPr>
              <w:t>, Shutdowns, malfunctions, etc</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1.5</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1.5</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3.0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0.2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0.3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$283</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Records of monthly fuel use</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1.5</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1.5</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3.0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0.2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0.3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$283</w:t>
            </w:r>
          </w:p>
        </w:tc>
      </w:tr>
      <w:tr w:rsidR="00332DD0" w:rsidRPr="00332DD0" w:rsidTr="00332DD0">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B47C5E" w:rsidP="00332DD0">
            <w:pPr>
              <w:rPr>
                <w:rFonts w:ascii="Times New Roman" w:eastAsia="Times New Roman" w:hAnsi="Times New Roman"/>
                <w:color w:val="000000"/>
                <w:sz w:val="16"/>
                <w:szCs w:val="16"/>
              </w:rPr>
            </w:pPr>
            <w:r>
              <w:rPr>
                <w:rFonts w:ascii="Times New Roman" w:eastAsia="Times New Roman" w:hAnsi="Times New Roman"/>
                <w:color w:val="000000"/>
                <w:sz w:val="16"/>
                <w:szCs w:val="16"/>
              </w:rPr>
              <w:t>F. Time to Train Personnel</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80</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160</w:t>
            </w:r>
          </w:p>
        </w:tc>
        <w:tc>
          <w:tcPr>
            <w:tcW w:w="41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421</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67,360.0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3,368.0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6,736.0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sz w:val="16"/>
                <w:szCs w:val="16"/>
              </w:rPr>
            </w:pPr>
            <w:r w:rsidRPr="00332DD0">
              <w:rPr>
                <w:rFonts w:ascii="Times New Roman" w:eastAsia="Times New Roman" w:hAnsi="Times New Roman"/>
                <w:sz w:val="16"/>
                <w:szCs w:val="16"/>
              </w:rPr>
              <w:t>$6,345,645</w:t>
            </w:r>
          </w:p>
        </w:tc>
      </w:tr>
      <w:tr w:rsidR="00332DD0" w:rsidRPr="00332DD0" w:rsidTr="00332DD0">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G. Time for Audits (Not Applicable)</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332DD0" w:rsidRPr="00332DD0" w:rsidTr="00332DD0">
        <w:trPr>
          <w:trHeight w:val="255"/>
        </w:trPr>
        <w:tc>
          <w:tcPr>
            <w:tcW w:w="1544"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LABOR BURDEN AND COST</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2035</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8,453</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275,758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13,788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27,576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640B02" w:rsidP="00640B02">
            <w:pPr>
              <w:rPr>
                <w:rFonts w:ascii="Times New Roman" w:eastAsia="Times New Roman" w:hAnsi="Times New Roman"/>
                <w:sz w:val="16"/>
                <w:szCs w:val="16"/>
              </w:rPr>
            </w:pPr>
            <w:r>
              <w:rPr>
                <w:rFonts w:ascii="Times New Roman" w:eastAsia="Times New Roman" w:hAnsi="Times New Roman"/>
                <w:sz w:val="16"/>
                <w:szCs w:val="16"/>
              </w:rPr>
              <w:t xml:space="preserve"> $</w:t>
            </w:r>
            <w:r w:rsidR="00332DD0" w:rsidRPr="00332DD0">
              <w:rPr>
                <w:rFonts w:ascii="Times New Roman" w:eastAsia="Times New Roman" w:hAnsi="Times New Roman"/>
                <w:sz w:val="16"/>
                <w:szCs w:val="16"/>
              </w:rPr>
              <w:t>25,977,769</w:t>
            </w:r>
          </w:p>
        </w:tc>
      </w:tr>
      <w:tr w:rsidR="00332DD0" w:rsidRPr="00332DD0" w:rsidTr="00332DD0">
        <w:trPr>
          <w:trHeight w:val="255"/>
        </w:trPr>
        <w:tc>
          <w:tcPr>
            <w:tcW w:w="1544" w:type="pct"/>
            <w:gridSpan w:val="3"/>
            <w:vMerge/>
            <w:tcBorders>
              <w:top w:val="single" w:sz="4" w:space="0" w:color="auto"/>
              <w:left w:val="single" w:sz="4" w:space="0" w:color="auto"/>
              <w:bottom w:val="single" w:sz="4" w:space="0" w:color="000000"/>
              <w:right w:val="single" w:sz="4" w:space="0" w:color="000000"/>
            </w:tcBorders>
            <w:vAlign w:val="center"/>
            <w:hideMark/>
          </w:tcPr>
          <w:p w:rsidR="00332DD0" w:rsidRPr="00332DD0" w:rsidRDefault="00332DD0" w:rsidP="00332DD0">
            <w:pPr>
              <w:rPr>
                <w:rFonts w:ascii="Times New Roman" w:eastAsia="Times New Roman" w:hAnsi="Times New Roman"/>
                <w:color w:val="000000"/>
                <w:sz w:val="16"/>
                <w:szCs w:val="16"/>
              </w:rPr>
            </w:pP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000000" w:fill="CCC0DA"/>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317,122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Hours</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332DD0" w:rsidRPr="00332DD0" w:rsidTr="00332DD0">
        <w:trPr>
          <w:trHeight w:val="255"/>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ANNUAL</w:t>
            </w:r>
            <w:r w:rsidR="00777DB4">
              <w:rPr>
                <w:rFonts w:ascii="Times New Roman" w:eastAsia="Times New Roman" w:hAnsi="Times New Roman"/>
                <w:color w:val="000000"/>
                <w:sz w:val="16"/>
                <w:szCs w:val="16"/>
              </w:rPr>
              <w:t>IZED</w:t>
            </w:r>
            <w:r w:rsidRPr="00332DD0">
              <w:rPr>
                <w:rFonts w:ascii="Times New Roman" w:eastAsia="Times New Roman" w:hAnsi="Times New Roman"/>
                <w:color w:val="000000"/>
                <w:sz w:val="16"/>
                <w:szCs w:val="16"/>
              </w:rPr>
              <w:t xml:space="preserve"> CAPITAL COSTS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332DD0" w:rsidRPr="00332DD0" w:rsidTr="00332DD0">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000000"/>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Performance tests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4" w:type="pct"/>
            <w:tcBorders>
              <w:top w:val="nil"/>
              <w:left w:val="nil"/>
              <w:bottom w:val="single" w:sz="4" w:space="0" w:color="auto"/>
              <w:right w:val="single" w:sz="4" w:space="0" w:color="auto"/>
            </w:tcBorders>
            <w:shd w:val="clear" w:color="auto" w:fill="auto"/>
            <w:vAlign w:val="bottom"/>
            <w:hideMark/>
          </w:tcPr>
          <w:p w:rsidR="00332DD0" w:rsidRPr="00E02688" w:rsidRDefault="00332DD0" w:rsidP="00640B02">
            <w:pPr>
              <w:rPr>
                <w:rFonts w:ascii="Times New Roman" w:eastAsia="Times New Roman" w:hAnsi="Times New Roman"/>
                <w:sz w:val="16"/>
                <w:szCs w:val="16"/>
              </w:rPr>
            </w:pPr>
            <w:r w:rsidRPr="00E02688">
              <w:rPr>
                <w:rFonts w:ascii="Times New Roman" w:eastAsia="Times New Roman" w:hAnsi="Times New Roman"/>
                <w:sz w:val="16"/>
                <w:szCs w:val="16"/>
              </w:rPr>
              <w:t xml:space="preserve">$ 19,500,300 </w:t>
            </w:r>
          </w:p>
        </w:tc>
      </w:tr>
      <w:tr w:rsidR="00332DD0" w:rsidRPr="00332DD0" w:rsidTr="00332DD0">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000000"/>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Other Capital Costs of Installation (ODC and Labor)</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4" w:type="pct"/>
            <w:tcBorders>
              <w:top w:val="nil"/>
              <w:left w:val="nil"/>
              <w:bottom w:val="single" w:sz="4" w:space="0" w:color="auto"/>
              <w:right w:val="single" w:sz="4" w:space="0" w:color="auto"/>
            </w:tcBorders>
            <w:shd w:val="clear" w:color="auto" w:fill="auto"/>
            <w:vAlign w:val="bottom"/>
            <w:hideMark/>
          </w:tcPr>
          <w:p w:rsidR="00332DD0" w:rsidRPr="00E02688" w:rsidRDefault="00332DD0" w:rsidP="00640B02">
            <w:pPr>
              <w:rPr>
                <w:rFonts w:ascii="Times New Roman" w:eastAsia="Times New Roman" w:hAnsi="Times New Roman"/>
                <w:sz w:val="16"/>
                <w:szCs w:val="16"/>
              </w:rPr>
            </w:pPr>
            <w:r w:rsidRPr="00E02688">
              <w:rPr>
                <w:rFonts w:ascii="Times New Roman" w:eastAsia="Times New Roman" w:hAnsi="Times New Roman"/>
                <w:sz w:val="16"/>
                <w:szCs w:val="16"/>
              </w:rPr>
              <w:t xml:space="preserve">$29,648,578 </w:t>
            </w:r>
          </w:p>
        </w:tc>
      </w:tr>
      <w:tr w:rsidR="00332DD0" w:rsidRPr="00332DD0" w:rsidTr="00E14996">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000000"/>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capital</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4" w:type="pct"/>
            <w:tcBorders>
              <w:top w:val="nil"/>
              <w:left w:val="nil"/>
              <w:bottom w:val="single" w:sz="4" w:space="0" w:color="auto"/>
              <w:right w:val="single" w:sz="4" w:space="0" w:color="auto"/>
            </w:tcBorders>
            <w:shd w:val="clear" w:color="auto" w:fill="auto"/>
            <w:vAlign w:val="bottom"/>
            <w:hideMark/>
          </w:tcPr>
          <w:p w:rsidR="00332DD0" w:rsidRPr="00E02688" w:rsidRDefault="00332DD0" w:rsidP="00640B02">
            <w:pPr>
              <w:rPr>
                <w:rFonts w:ascii="Times New Roman" w:eastAsia="Times New Roman" w:hAnsi="Times New Roman"/>
                <w:sz w:val="16"/>
                <w:szCs w:val="16"/>
              </w:rPr>
            </w:pPr>
            <w:r w:rsidRPr="00E02688">
              <w:rPr>
                <w:rFonts w:ascii="Times New Roman" w:eastAsia="Times New Roman" w:hAnsi="Times New Roman"/>
                <w:sz w:val="16"/>
                <w:szCs w:val="16"/>
              </w:rPr>
              <w:t xml:space="preserve"> $49,148,878 </w:t>
            </w:r>
          </w:p>
        </w:tc>
      </w:tr>
      <w:tr w:rsidR="00332DD0" w:rsidRPr="00332DD0" w:rsidTr="00E14996">
        <w:trPr>
          <w:trHeight w:val="255"/>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COSTS (O&amp;M)</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4" w:type="pct"/>
            <w:tcBorders>
              <w:top w:val="nil"/>
              <w:left w:val="nil"/>
              <w:bottom w:val="single" w:sz="4" w:space="0" w:color="auto"/>
              <w:right w:val="single" w:sz="4" w:space="0" w:color="auto"/>
            </w:tcBorders>
            <w:shd w:val="clear" w:color="auto" w:fill="auto"/>
            <w:vAlign w:val="bottom"/>
            <w:hideMark/>
          </w:tcPr>
          <w:p w:rsidR="00332DD0" w:rsidRPr="00E02688" w:rsidRDefault="00332DD0" w:rsidP="00332DD0">
            <w:pPr>
              <w:jc w:val="right"/>
              <w:rPr>
                <w:rFonts w:ascii="Times New Roman" w:eastAsia="Times New Roman" w:hAnsi="Times New Roman"/>
                <w:sz w:val="16"/>
                <w:szCs w:val="16"/>
              </w:rPr>
            </w:pPr>
            <w:r w:rsidRPr="00E02688">
              <w:rPr>
                <w:rFonts w:ascii="Times New Roman" w:eastAsia="Times New Roman" w:hAnsi="Times New Roman"/>
                <w:sz w:val="16"/>
                <w:szCs w:val="16"/>
              </w:rPr>
              <w:t xml:space="preserve">$296,679 </w:t>
            </w:r>
          </w:p>
        </w:tc>
      </w:tr>
      <w:tr w:rsidR="00332DD0" w:rsidRPr="00332DD0" w:rsidTr="00E14996">
        <w:trPr>
          <w:trHeight w:val="255"/>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ANNUALIZED COSTS (Annualized capital + O&amp;M costs)</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4" w:type="pct"/>
            <w:tcBorders>
              <w:top w:val="nil"/>
              <w:left w:val="nil"/>
              <w:bottom w:val="single" w:sz="4" w:space="0" w:color="auto"/>
              <w:right w:val="single" w:sz="4" w:space="0" w:color="auto"/>
            </w:tcBorders>
            <w:shd w:val="clear" w:color="auto" w:fill="auto"/>
            <w:vAlign w:val="bottom"/>
            <w:hideMark/>
          </w:tcPr>
          <w:p w:rsidR="00332DD0" w:rsidRPr="00777DB4" w:rsidRDefault="00E02688" w:rsidP="00640B02">
            <w:pPr>
              <w:rPr>
                <w:rFonts w:ascii="Times New Roman" w:eastAsia="Times New Roman" w:hAnsi="Times New Roman"/>
                <w:sz w:val="16"/>
                <w:szCs w:val="16"/>
                <w:highlight w:val="yellow"/>
              </w:rPr>
            </w:pPr>
            <w:r w:rsidRPr="00E02688">
              <w:rPr>
                <w:rFonts w:ascii="Times New Roman" w:eastAsia="Times New Roman" w:hAnsi="Times New Roman"/>
                <w:sz w:val="16"/>
                <w:szCs w:val="16"/>
              </w:rPr>
              <w:t xml:space="preserve"> $49,445,556</w:t>
            </w:r>
          </w:p>
        </w:tc>
      </w:tr>
    </w:tbl>
    <w:p w:rsidR="00332DD0" w:rsidRPr="00600970" w:rsidRDefault="00B47C5E" w:rsidP="00B47C5E">
      <w:pPr>
        <w:rPr>
          <w:rFonts w:ascii="Times New Roman" w:hAnsi="Times New Roman"/>
          <w:sz w:val="20"/>
          <w:szCs w:val="16"/>
        </w:rPr>
      </w:pPr>
      <w:proofErr w:type="gramStart"/>
      <w:r w:rsidRPr="00600970">
        <w:rPr>
          <w:rFonts w:ascii="Times New Roman" w:hAnsi="Times New Roman"/>
          <w:sz w:val="20"/>
          <w:szCs w:val="16"/>
          <w:vertAlign w:val="superscript"/>
        </w:rPr>
        <w:t>a</w:t>
      </w:r>
      <w:proofErr w:type="gramEnd"/>
      <w:r w:rsidRPr="00600970">
        <w:rPr>
          <w:rFonts w:ascii="Times New Roman" w:hAnsi="Times New Roman"/>
          <w:sz w:val="20"/>
          <w:szCs w:val="16"/>
        </w:rPr>
        <w:t xml:space="preserve"> There are 1,257 existing electric generating units.  One third of those are assumed to be tested each year.</w:t>
      </w:r>
    </w:p>
    <w:p w:rsidR="00B47C5E" w:rsidRPr="00600970" w:rsidRDefault="00B47C5E" w:rsidP="00B47C5E">
      <w:pPr>
        <w:rPr>
          <w:rFonts w:ascii="Times New Roman" w:hAnsi="Times New Roman"/>
          <w:sz w:val="20"/>
          <w:szCs w:val="16"/>
        </w:rPr>
        <w:sectPr w:rsidR="00B47C5E" w:rsidRPr="00600970" w:rsidSect="00593F37">
          <w:pgSz w:w="15840" w:h="12240" w:orient="landscape"/>
          <w:pgMar w:top="1440" w:right="1440" w:bottom="1440" w:left="1440" w:header="720" w:footer="720" w:gutter="0"/>
          <w:cols w:space="720"/>
          <w:docGrid w:linePitch="360"/>
        </w:sectPr>
      </w:pPr>
      <w:proofErr w:type="gramStart"/>
      <w:r w:rsidRPr="00600970">
        <w:rPr>
          <w:rFonts w:ascii="Times New Roman" w:hAnsi="Times New Roman"/>
          <w:sz w:val="20"/>
          <w:szCs w:val="16"/>
          <w:vertAlign w:val="superscript"/>
        </w:rPr>
        <w:t>b</w:t>
      </w:r>
      <w:proofErr w:type="gramEnd"/>
      <w:r w:rsidRPr="00600970">
        <w:rPr>
          <w:rFonts w:ascii="Times New Roman" w:hAnsi="Times New Roman"/>
          <w:sz w:val="20"/>
          <w:szCs w:val="16"/>
        </w:rPr>
        <w:t xml:space="preserve"> 10% of sources are assumed to submit SSM report each year.</w:t>
      </w:r>
    </w:p>
    <w:p w:rsidR="00F11CCB" w:rsidRPr="00E14996" w:rsidRDefault="00F11CCB" w:rsidP="00E14996">
      <w:pPr>
        <w:pStyle w:val="ExhibitTitle"/>
        <w:rPr>
          <w:rFonts w:ascii="Times New Roman" w:hAnsi="Times New Roman"/>
        </w:rPr>
      </w:pPr>
      <w:proofErr w:type="gramStart"/>
      <w:r w:rsidRPr="00E14996">
        <w:rPr>
          <w:rFonts w:ascii="Times New Roman" w:hAnsi="Times New Roman"/>
        </w:rPr>
        <w:lastRenderedPageBreak/>
        <w:t>Table 1b</w:t>
      </w:r>
      <w:r w:rsidR="005E7A9E">
        <w:rPr>
          <w:rFonts w:ascii="Times New Roman" w:hAnsi="Times New Roman"/>
        </w:rPr>
        <w:t>.</w:t>
      </w:r>
      <w:proofErr w:type="gramEnd"/>
      <w:r w:rsidRPr="00E14996">
        <w:rPr>
          <w:rFonts w:ascii="Times New Roman" w:hAnsi="Times New Roman"/>
        </w:rPr>
        <w:tab/>
      </w:r>
      <w:r w:rsidR="00180971" w:rsidRPr="00E14996">
        <w:rPr>
          <w:rFonts w:ascii="Times New Roman" w:hAnsi="Times New Roman"/>
        </w:rPr>
        <w:t xml:space="preserve">Year 2 Respondent Burden of Reporting and Recordkeeping Requirements, NESHAP for </w:t>
      </w:r>
      <w:r w:rsidR="00E14996" w:rsidRPr="00E14996">
        <w:rPr>
          <w:rFonts w:ascii="Times New Roman" w:hAnsi="Times New Roman"/>
        </w:rPr>
        <w:t>Electric Generating Units</w:t>
      </w:r>
      <w:r w:rsidR="00180971" w:rsidRPr="00E14996">
        <w:rPr>
          <w:rFonts w:ascii="Times New Roman" w:hAnsi="Times New Roman"/>
        </w:rPr>
        <w:t xml:space="preserve"> (40 CFR part 63, subpart </w:t>
      </w:r>
      <w:r w:rsidR="00E14996" w:rsidRPr="00E14996">
        <w:rPr>
          <w:rFonts w:ascii="Times New Roman" w:hAnsi="Times New Roman"/>
        </w:rPr>
        <w:t>UUUUU)</w:t>
      </w:r>
    </w:p>
    <w:p w:rsidR="00E14996" w:rsidRDefault="00E14996" w:rsidP="00593F37">
      <w:pPr>
        <w:rPr>
          <w:rFonts w:ascii="Times New Roman" w:hAnsi="Times New Roman"/>
          <w:sz w:val="16"/>
          <w:szCs w:val="16"/>
          <w:highlight w:val="yellow"/>
        </w:rPr>
      </w:pPr>
    </w:p>
    <w:tbl>
      <w:tblPr>
        <w:tblW w:w="5000" w:type="pct"/>
        <w:tblLayout w:type="fixed"/>
        <w:tblLook w:val="04A0"/>
      </w:tblPr>
      <w:tblGrid>
        <w:gridCol w:w="253"/>
        <w:gridCol w:w="256"/>
        <w:gridCol w:w="4459"/>
        <w:gridCol w:w="993"/>
        <w:gridCol w:w="1307"/>
        <w:gridCol w:w="1001"/>
        <w:gridCol w:w="1062"/>
        <w:gridCol w:w="949"/>
        <w:gridCol w:w="949"/>
        <w:gridCol w:w="851"/>
        <w:gridCol w:w="1096"/>
      </w:tblGrid>
      <w:tr w:rsidR="00E14996" w:rsidRPr="00E14996" w:rsidTr="001F421B">
        <w:trPr>
          <w:cantSplit/>
          <w:trHeight w:val="780"/>
          <w:tblHeader/>
        </w:trPr>
        <w:tc>
          <w:tcPr>
            <w:tcW w:w="1885"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14996" w:rsidRPr="00E14996" w:rsidRDefault="00E14996" w:rsidP="00E14996">
            <w:pPr>
              <w:jc w:val="center"/>
              <w:rPr>
                <w:rFonts w:ascii="Times New Roman" w:eastAsia="Times New Roman" w:hAnsi="Times New Roman"/>
                <w:b/>
                <w:bCs/>
                <w:color w:val="000000"/>
                <w:sz w:val="16"/>
                <w:szCs w:val="16"/>
              </w:rPr>
            </w:pPr>
            <w:r w:rsidRPr="00E14996">
              <w:rPr>
                <w:rFonts w:ascii="Times New Roman" w:eastAsia="Times New Roman" w:hAnsi="Times New Roman"/>
                <w:b/>
                <w:bCs/>
                <w:color w:val="000000"/>
                <w:sz w:val="16"/>
                <w:szCs w:val="16"/>
              </w:rPr>
              <w:t>Year 2</w:t>
            </w:r>
          </w:p>
        </w:tc>
        <w:tc>
          <w:tcPr>
            <w:tcW w:w="377" w:type="pct"/>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jc w:val="cente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(A)  Hours per Occurrence</w:t>
            </w:r>
          </w:p>
        </w:tc>
        <w:tc>
          <w:tcPr>
            <w:tcW w:w="496" w:type="pct"/>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jc w:val="cente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(B)  Occurrences/ Respondent/Year</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jc w:val="cente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(C)  Hours/ Respondent/ </w:t>
            </w:r>
            <w:r w:rsidRPr="00E14996">
              <w:rPr>
                <w:rFonts w:ascii="Times New Roman" w:eastAsia="Times New Roman" w:hAnsi="Times New Roman"/>
                <w:color w:val="000000"/>
                <w:sz w:val="16"/>
                <w:szCs w:val="16"/>
              </w:rPr>
              <w:br/>
              <w:t>Year (A x B)</w:t>
            </w:r>
          </w:p>
        </w:tc>
        <w:tc>
          <w:tcPr>
            <w:tcW w:w="403" w:type="pct"/>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jc w:val="cente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(D)  Respondents/ Year</w:t>
            </w:r>
          </w:p>
        </w:tc>
        <w:tc>
          <w:tcPr>
            <w:tcW w:w="360" w:type="pct"/>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jc w:val="cente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  Technical Hours/Year (C x D)</w:t>
            </w:r>
          </w:p>
        </w:tc>
        <w:tc>
          <w:tcPr>
            <w:tcW w:w="360" w:type="pct"/>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jc w:val="cente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(F) Managerial Hours/Year (E x 0.05)</w:t>
            </w:r>
          </w:p>
        </w:tc>
        <w:tc>
          <w:tcPr>
            <w:tcW w:w="323" w:type="pct"/>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jc w:val="cente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(G) Clerical Hours/Year (E x 0.10)</w:t>
            </w:r>
          </w:p>
        </w:tc>
        <w:tc>
          <w:tcPr>
            <w:tcW w:w="416" w:type="pct"/>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jc w:val="center"/>
              <w:rPr>
                <w:rFonts w:ascii="Times New Roman" w:eastAsia="Times New Roman" w:hAnsi="Times New Roman"/>
                <w:sz w:val="16"/>
                <w:szCs w:val="16"/>
              </w:rPr>
            </w:pPr>
            <w:r w:rsidRPr="00E14996">
              <w:rPr>
                <w:rFonts w:ascii="Times New Roman" w:eastAsia="Times New Roman" w:hAnsi="Times New Roman"/>
                <w:sz w:val="16"/>
                <w:szCs w:val="16"/>
              </w:rPr>
              <w:t>(H)  Cost/ Year</w:t>
            </w:r>
          </w:p>
        </w:tc>
      </w:tr>
      <w:tr w:rsidR="00E14996" w:rsidRPr="00E14996" w:rsidTr="00D97CA2">
        <w:trPr>
          <w:trHeight w:val="300"/>
        </w:trPr>
        <w:tc>
          <w:tcPr>
            <w:tcW w:w="1885"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 APPLICATIONS (Not Applicable)</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sz w:val="16"/>
                <w:szCs w:val="16"/>
              </w:rPr>
            </w:pPr>
            <w:r w:rsidRPr="00E14996">
              <w:rPr>
                <w:rFonts w:ascii="Times New Roman" w:eastAsia="Times New Roman" w:hAnsi="Times New Roman"/>
                <w:sz w:val="16"/>
                <w:szCs w:val="16"/>
              </w:rPr>
              <w:t> </w:t>
            </w:r>
          </w:p>
        </w:tc>
      </w:tr>
      <w:tr w:rsidR="00E14996" w:rsidRPr="00E14996" w:rsidTr="00D97CA2">
        <w:trPr>
          <w:trHeight w:val="300"/>
        </w:trPr>
        <w:tc>
          <w:tcPr>
            <w:tcW w:w="1885"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 SURVEY AND STUDIES (Not Applicable)</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sz w:val="16"/>
                <w:szCs w:val="16"/>
              </w:rPr>
            </w:pPr>
            <w:r w:rsidRPr="00E14996">
              <w:rPr>
                <w:rFonts w:ascii="Times New Roman" w:eastAsia="Times New Roman" w:hAnsi="Times New Roman"/>
                <w:sz w:val="16"/>
                <w:szCs w:val="16"/>
              </w:rPr>
              <w:t> </w:t>
            </w:r>
          </w:p>
        </w:tc>
      </w:tr>
      <w:tr w:rsidR="00E14996" w:rsidRPr="00E14996" w:rsidTr="00D97CA2">
        <w:trPr>
          <w:trHeight w:val="525"/>
        </w:trPr>
        <w:tc>
          <w:tcPr>
            <w:tcW w:w="1885"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3.  ACQUISITION, INSTALLATION, AND UTILIZATION OF TECHNOLOGY AND SYSTEMS </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16</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16</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6,736.0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336.8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673.6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$634,565</w:t>
            </w:r>
          </w:p>
        </w:tc>
      </w:tr>
      <w:tr w:rsidR="00E14996" w:rsidRPr="00E14996" w:rsidTr="00D97CA2">
        <w:trPr>
          <w:trHeight w:val="255"/>
        </w:trPr>
        <w:tc>
          <w:tcPr>
            <w:tcW w:w="1885"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 REPORT REQUIREMENTS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sz w:val="16"/>
                <w:szCs w:val="16"/>
              </w:rPr>
            </w:pPr>
            <w:r w:rsidRPr="00E14996">
              <w:rPr>
                <w:rFonts w:ascii="Times New Roman" w:eastAsia="Times New Roman" w:hAnsi="Times New Roman"/>
                <w:sz w:val="16"/>
                <w:szCs w:val="16"/>
              </w:rPr>
              <w:t> </w:t>
            </w:r>
          </w:p>
        </w:tc>
      </w:tr>
      <w:tr w:rsidR="00E14996" w:rsidRPr="00E14996" w:rsidTr="00D97CA2">
        <w:trPr>
          <w:trHeight w:val="25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89"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A. Read Instructions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sz w:val="16"/>
                <w:szCs w:val="16"/>
              </w:rPr>
            </w:pPr>
            <w:r w:rsidRPr="00E14996">
              <w:rPr>
                <w:rFonts w:ascii="Times New Roman" w:eastAsia="Times New Roman" w:hAnsi="Times New Roman"/>
                <w:sz w:val="16"/>
                <w:szCs w:val="16"/>
              </w:rPr>
              <w:t> </w:t>
            </w:r>
          </w:p>
        </w:tc>
      </w:tr>
      <w:tr w:rsidR="00E14996" w:rsidRPr="00E14996" w:rsidTr="00D97CA2">
        <w:trPr>
          <w:trHeight w:val="25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421.0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21.1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42.1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$39,660</w:t>
            </w:r>
          </w:p>
        </w:tc>
      </w:tr>
      <w:tr w:rsidR="00E14996" w:rsidRPr="00E14996" w:rsidTr="00D97CA2">
        <w:trPr>
          <w:trHeight w:val="25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0.1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0.2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$188</w:t>
            </w:r>
          </w:p>
        </w:tc>
      </w:tr>
      <w:tr w:rsidR="00E14996" w:rsidRPr="00E14996" w:rsidTr="00D97CA2">
        <w:trPr>
          <w:trHeight w:val="25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89"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600970" w:rsidP="00E14996">
            <w:pPr>
              <w:rPr>
                <w:rFonts w:ascii="Times New Roman" w:eastAsia="Times New Roman" w:hAnsi="Times New Roman"/>
                <w:color w:val="000000"/>
                <w:sz w:val="16"/>
                <w:szCs w:val="16"/>
              </w:rPr>
            </w:pPr>
            <w:r>
              <w:rPr>
                <w:rFonts w:ascii="Times New Roman" w:eastAsia="Times New Roman" w:hAnsi="Times New Roman"/>
                <w:color w:val="000000"/>
                <w:sz w:val="16"/>
                <w:szCs w:val="16"/>
              </w:rPr>
              <w:t>B. Required Activities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sz w:val="16"/>
                <w:szCs w:val="16"/>
              </w:rPr>
            </w:pPr>
            <w:r w:rsidRPr="00E14996">
              <w:rPr>
                <w:rFonts w:ascii="Times New Roman" w:eastAsia="Times New Roman" w:hAnsi="Times New Roman"/>
                <w:sz w:val="16"/>
                <w:szCs w:val="16"/>
              </w:rPr>
              <w:t> </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Initial Performance Test using M5 and M202</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368</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8,824.0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441.2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882.4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$831,264</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Initial Performance Test  using M29</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419</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10,056.0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502.8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1,005.6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$947,325</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Initial Performance Test using M320</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419</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10,056.0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502.8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1,005.6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$947,325</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Initial Performance Test using M6A</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52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Repeat M5 and 202 performance test every 2 years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Repeat M29 performance test every 2 years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Repeat M320 Performance Test every 2 years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Repeat M6A Performance Test every 2 years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w:t>
            </w:r>
            <w:r w:rsidR="00600970">
              <w:rPr>
                <w:rFonts w:ascii="Times New Roman" w:eastAsia="Times New Roman" w:hAnsi="Times New Roman"/>
                <w:color w:val="000000"/>
                <w:sz w:val="16"/>
                <w:szCs w:val="16"/>
              </w:rPr>
              <w:t>sting Sources - CEMS Monitoring</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0.5</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0.5</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210.5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10.5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21.1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$19,830</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w:t>
            </w:r>
            <w:r w:rsidR="00600970">
              <w:rPr>
                <w:rFonts w:ascii="Times New Roman" w:eastAsia="Times New Roman" w:hAnsi="Times New Roman"/>
                <w:color w:val="000000"/>
                <w:sz w:val="16"/>
                <w:szCs w:val="16"/>
              </w:rPr>
              <w:t>es - CEMS Quarterly Inspections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8</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3,368.0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168.4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336.8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$317,282</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CEM</w:t>
            </w:r>
            <w:r w:rsidR="00600970">
              <w:rPr>
                <w:rFonts w:ascii="Times New Roman" w:eastAsia="Times New Roman" w:hAnsi="Times New Roman"/>
                <w:color w:val="000000"/>
                <w:sz w:val="16"/>
                <w:szCs w:val="16"/>
              </w:rPr>
              <w:t>S Daily Calibration Drift Tests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0.3</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330</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99</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41,679.0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2,084.0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4,167.9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$3,926,368</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Daily monitoring (CEMS)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0.3</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330</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99</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41,679.0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2,084.0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4,167.9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$3,926,368</w:t>
            </w:r>
          </w:p>
        </w:tc>
      </w:tr>
      <w:tr w:rsidR="00E14996" w:rsidRPr="00E14996" w:rsidTr="00D97CA2">
        <w:trPr>
          <w:trHeight w:val="52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All CEMS must follow appropr</w:t>
            </w:r>
            <w:r w:rsidR="00600970">
              <w:rPr>
                <w:rFonts w:ascii="Times New Roman" w:eastAsia="Times New Roman" w:hAnsi="Times New Roman"/>
                <w:color w:val="000000"/>
                <w:sz w:val="16"/>
                <w:szCs w:val="16"/>
              </w:rPr>
              <w:t>iate performance specifications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0.3</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330</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99</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41,679.0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2,084.0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4,167.9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$3,926,368</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Initial Performance Test using M5 and M202</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2.4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$4,522</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Initial Performance Test  using M29</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2.4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$4,522</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Initial Performance Test using M320</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2.4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$4,522</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Initial Performance Test using M6A</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Repeat M5 and 202 performance test every year</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2.4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$4,522</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Repeat M29 performance test every year</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2.4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$4,522</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Repeat M320 Performance Test every year</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2.4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$4,522</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Repeat M6A Performance Test every year</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CEMS Monitoring</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0.5</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0.5</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0.1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0.1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$94</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CEMS Quarterly Inspections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8</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16.0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0.8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1.6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$1,507</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CEMS Daily Calibration Drift Tests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0.3</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330</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99</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198.0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9.9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19.8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$18,653</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Daily monitoring (CEMS</w:t>
            </w:r>
            <w:r w:rsidRPr="00E14996">
              <w:rPr>
                <w:rFonts w:ascii="Times New Roman" w:eastAsia="Times New Roman" w:hAnsi="Times New Roman"/>
                <w:sz w:val="16"/>
                <w:szCs w:val="16"/>
              </w:rPr>
              <w:t>)</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0.3</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330</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99</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198.0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9.9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19.8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$18,653</w:t>
            </w:r>
          </w:p>
        </w:tc>
      </w:tr>
      <w:tr w:rsidR="00E14996" w:rsidRPr="00E14996" w:rsidTr="00D97CA2">
        <w:trPr>
          <w:trHeight w:val="52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All CEMS must follow appropriate performance specifications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0.3</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330</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99</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198.0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9.9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19.8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$18,653</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89"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C. Create Information (Included in 4B)</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89"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D. Gather Existing Information (Included in 4E)</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89"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 Write Report</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Notifi</w:t>
            </w:r>
            <w:r w:rsidR="00600970">
              <w:rPr>
                <w:rFonts w:ascii="Times New Roman" w:eastAsia="Times New Roman" w:hAnsi="Times New Roman"/>
                <w:color w:val="000000"/>
                <w:sz w:val="16"/>
                <w:szCs w:val="16"/>
              </w:rPr>
              <w:t>cation of Demonstration of CEMS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842.0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42.1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84.2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$79,321</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Report of Performance Test (included in 4B)</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Notificat</w:t>
            </w:r>
            <w:r w:rsidR="00600970">
              <w:rPr>
                <w:rFonts w:ascii="Times New Roman" w:eastAsia="Times New Roman" w:hAnsi="Times New Roman"/>
                <w:color w:val="000000"/>
                <w:sz w:val="16"/>
                <w:szCs w:val="16"/>
              </w:rPr>
              <w:t>ion of Initial Performance Test</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842.0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42.1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84.2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$79,321</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Quality Assurance Program Notification</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842.0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42.1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84.2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$79,321</w:t>
            </w:r>
          </w:p>
        </w:tc>
      </w:tr>
      <w:tr w:rsidR="00E14996" w:rsidRPr="00E14996" w:rsidTr="00D97CA2">
        <w:trPr>
          <w:trHeight w:val="52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Startup, shutdo</w:t>
            </w:r>
            <w:r w:rsidR="00600970">
              <w:rPr>
                <w:rFonts w:ascii="Times New Roman" w:eastAsia="Times New Roman" w:hAnsi="Times New Roman"/>
                <w:color w:val="000000"/>
                <w:sz w:val="16"/>
                <w:szCs w:val="16"/>
              </w:rPr>
              <w:t xml:space="preserve">wn, and malfunction Report </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210.5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10.5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21.1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$19,830</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Semi-Annual Compliance Report</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48</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20,208.0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1,010.4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2,020.8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$1,903,694</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Notification of Compliance Status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1,684.0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84.2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168.4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$158,641</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site-specific performance evaluation test plan</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40</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40</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16,840.0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842.0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1,684.0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$1,586,411</w:t>
            </w:r>
          </w:p>
        </w:tc>
      </w:tr>
      <w:tr w:rsidR="00E14996" w:rsidRPr="00E14996" w:rsidTr="00D97CA2">
        <w:trPr>
          <w:trHeight w:val="52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request to use alternative monitoring procedure</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210.5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10.5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21.1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$19,830</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Initial notification</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0.2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0.4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$377</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Notification of Demonstration of CEMS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0.2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0.4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$377</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Quality Assurance Program Notification</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0.2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0.4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$377</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Notification of Initial Performance Test</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0.2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0.4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$377</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Report of Performance Test (included in 4B)</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Startup, shutdo</w:t>
            </w:r>
            <w:r w:rsidR="00600970">
              <w:rPr>
                <w:rFonts w:ascii="Times New Roman" w:eastAsia="Times New Roman" w:hAnsi="Times New Roman"/>
                <w:color w:val="000000"/>
                <w:sz w:val="16"/>
                <w:szCs w:val="16"/>
              </w:rPr>
              <w:t xml:space="preserve">wn, and malfunction Report </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0.1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0.1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$94</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Semi-Annual Compliance Report</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48</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96.0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9.6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$9,044</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Notification of Compliance Status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0.4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0.8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$754</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site-specific performance evaluation test plan</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40</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40</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80.0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4.0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8.0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$7,536</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request to use alternative monitoring procedure</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0.1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0.1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$94</w:t>
            </w:r>
          </w:p>
        </w:tc>
      </w:tr>
      <w:tr w:rsidR="00E14996" w:rsidRPr="00E14996" w:rsidTr="00D97CA2">
        <w:trPr>
          <w:trHeight w:val="255"/>
        </w:trPr>
        <w:tc>
          <w:tcPr>
            <w:tcW w:w="1885"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 RECORDKEEPING REQUIREMENTS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25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89"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A. Read Instructions (Included in 4A)</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25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89"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B. Plan Activities (Included in 4B)</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25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89"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C. Implement Activities (Included in 4B)</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25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89"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D. Record Data ( Not Applicable)</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25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89"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 Time to Transmit or Disclose Information</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25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Records of CEMS malfunctions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631.5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31.6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63.2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$59,490</w:t>
            </w:r>
          </w:p>
        </w:tc>
      </w:tr>
      <w:tr w:rsidR="00E14996" w:rsidRPr="00E14996" w:rsidTr="00D97CA2">
        <w:trPr>
          <w:trHeight w:val="25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Records of Startups, Shutdowns, malfunctions, etc</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631.5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31.6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63.2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$59,490</w:t>
            </w:r>
          </w:p>
        </w:tc>
      </w:tr>
      <w:tr w:rsidR="00E14996" w:rsidRPr="00E14996" w:rsidTr="00D97CA2">
        <w:trPr>
          <w:trHeight w:val="25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Records of monthly fuel use</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631.5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31.6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63.2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$59,490</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Records of CEMS malfunctions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0.2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0.3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$283</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Records of Startups</w:t>
            </w:r>
            <w:r w:rsidR="00600970">
              <w:rPr>
                <w:rFonts w:ascii="Times New Roman" w:eastAsia="Times New Roman" w:hAnsi="Times New Roman"/>
                <w:color w:val="000000"/>
                <w:sz w:val="16"/>
                <w:szCs w:val="16"/>
              </w:rPr>
              <w:t>, Shutdowns, malfunctions, etc</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0.2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0.3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$283</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69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Records of monthly fuel use</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0.2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0.3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$283</w:t>
            </w:r>
          </w:p>
        </w:tc>
      </w:tr>
      <w:tr w:rsidR="00E14996" w:rsidRPr="00E14996" w:rsidTr="00D97CA2">
        <w:trPr>
          <w:trHeight w:val="300"/>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89"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600970" w:rsidP="00E14996">
            <w:pPr>
              <w:rPr>
                <w:rFonts w:ascii="Times New Roman" w:eastAsia="Times New Roman" w:hAnsi="Times New Roman"/>
                <w:color w:val="000000"/>
                <w:sz w:val="16"/>
                <w:szCs w:val="16"/>
              </w:rPr>
            </w:pPr>
            <w:r>
              <w:rPr>
                <w:rFonts w:ascii="Times New Roman" w:eastAsia="Times New Roman" w:hAnsi="Times New Roman"/>
                <w:color w:val="000000"/>
                <w:sz w:val="16"/>
                <w:szCs w:val="16"/>
              </w:rPr>
              <w:t>F. Time to Train Personnel</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80</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160</w:t>
            </w:r>
          </w:p>
        </w:tc>
        <w:tc>
          <w:tcPr>
            <w:tcW w:w="403"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67,360.0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3,368.0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6,736.0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$6,345,645</w:t>
            </w:r>
          </w:p>
        </w:tc>
      </w:tr>
      <w:tr w:rsidR="00E14996" w:rsidRPr="00E14996" w:rsidTr="00D97CA2">
        <w:trPr>
          <w:trHeight w:val="25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89"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G. Time for Audits (Not Applicable)</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sz w:val="16"/>
                <w:szCs w:val="16"/>
              </w:rPr>
            </w:pPr>
            <w:r w:rsidRPr="00E14996">
              <w:rPr>
                <w:rFonts w:ascii="Times New Roman" w:eastAsia="Times New Roman" w:hAnsi="Times New Roman"/>
                <w:sz w:val="16"/>
                <w:szCs w:val="16"/>
              </w:rPr>
              <w:t> </w:t>
            </w:r>
          </w:p>
        </w:tc>
      </w:tr>
      <w:tr w:rsidR="00E14996" w:rsidRPr="00E14996" w:rsidTr="00D97CA2">
        <w:trPr>
          <w:trHeight w:val="255"/>
        </w:trPr>
        <w:tc>
          <w:tcPr>
            <w:tcW w:w="1885"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TOTAL ANNUAL LABOR BURDEN AND COST</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2035</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8,491</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276,754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13,838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27,675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D97CA2">
            <w:pPr>
              <w:rPr>
                <w:rFonts w:ascii="Times New Roman" w:eastAsia="Times New Roman" w:hAnsi="Times New Roman"/>
                <w:sz w:val="16"/>
                <w:szCs w:val="16"/>
              </w:rPr>
            </w:pPr>
            <w:r w:rsidRPr="00E14996">
              <w:rPr>
                <w:rFonts w:ascii="Times New Roman" w:eastAsia="Times New Roman" w:hAnsi="Times New Roman"/>
                <w:sz w:val="16"/>
                <w:szCs w:val="16"/>
              </w:rPr>
              <w:t xml:space="preserve"> $ 26,071,597 </w:t>
            </w:r>
          </w:p>
        </w:tc>
      </w:tr>
      <w:tr w:rsidR="00E14996" w:rsidRPr="00E14996" w:rsidTr="00D97CA2">
        <w:trPr>
          <w:trHeight w:val="255"/>
        </w:trPr>
        <w:tc>
          <w:tcPr>
            <w:tcW w:w="1885" w:type="pct"/>
            <w:gridSpan w:val="3"/>
            <w:vMerge/>
            <w:tcBorders>
              <w:top w:val="single" w:sz="4" w:space="0" w:color="auto"/>
              <w:left w:val="single" w:sz="4" w:space="0" w:color="auto"/>
              <w:bottom w:val="single" w:sz="4" w:space="0" w:color="000000"/>
              <w:right w:val="single" w:sz="4" w:space="0" w:color="000000"/>
            </w:tcBorders>
            <w:vAlign w:val="center"/>
            <w:hideMark/>
          </w:tcPr>
          <w:p w:rsidR="00E14996" w:rsidRPr="00E14996" w:rsidRDefault="00E14996" w:rsidP="00E14996">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000000" w:fill="CCC0DA"/>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318,267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Hours</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sz w:val="16"/>
                <w:szCs w:val="16"/>
              </w:rPr>
            </w:pPr>
            <w:r w:rsidRPr="00E14996">
              <w:rPr>
                <w:rFonts w:ascii="Times New Roman" w:eastAsia="Times New Roman" w:hAnsi="Times New Roman"/>
                <w:sz w:val="16"/>
                <w:szCs w:val="16"/>
              </w:rPr>
              <w:t> </w:t>
            </w:r>
          </w:p>
        </w:tc>
      </w:tr>
      <w:tr w:rsidR="00E14996" w:rsidRPr="00E14996" w:rsidTr="00D97CA2">
        <w:trPr>
          <w:trHeight w:val="255"/>
        </w:trPr>
        <w:tc>
          <w:tcPr>
            <w:tcW w:w="1885"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14996" w:rsidRPr="00E14996" w:rsidRDefault="00E02688" w:rsidP="00E14996">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ANNUAL</w:t>
            </w:r>
            <w:r>
              <w:rPr>
                <w:rFonts w:ascii="Times New Roman" w:eastAsia="Times New Roman" w:hAnsi="Times New Roman"/>
                <w:color w:val="000000"/>
                <w:sz w:val="16"/>
                <w:szCs w:val="16"/>
              </w:rPr>
              <w:t>IZED</w:t>
            </w:r>
            <w:r w:rsidRPr="00332DD0">
              <w:rPr>
                <w:rFonts w:ascii="Times New Roman" w:eastAsia="Times New Roman" w:hAnsi="Times New Roman"/>
                <w:color w:val="000000"/>
                <w:sz w:val="16"/>
                <w:szCs w:val="16"/>
              </w:rPr>
              <w:t xml:space="preserve"> </w:t>
            </w:r>
            <w:r w:rsidR="00E14996" w:rsidRPr="00E14996">
              <w:rPr>
                <w:rFonts w:ascii="Times New Roman" w:eastAsia="Times New Roman" w:hAnsi="Times New Roman"/>
                <w:color w:val="000000"/>
                <w:sz w:val="16"/>
                <w:szCs w:val="16"/>
              </w:rPr>
              <w:t>CAPITAL COSTS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sz w:val="16"/>
                <w:szCs w:val="16"/>
              </w:rPr>
            </w:pPr>
            <w:r w:rsidRPr="00E14996">
              <w:rPr>
                <w:rFonts w:ascii="Times New Roman" w:eastAsia="Times New Roman" w:hAnsi="Times New Roman"/>
                <w:sz w:val="16"/>
                <w:szCs w:val="16"/>
              </w:rPr>
              <w:t> </w:t>
            </w:r>
          </w:p>
        </w:tc>
      </w:tr>
      <w:tr w:rsidR="00E14996" w:rsidRPr="00E14996" w:rsidTr="00D97CA2">
        <w:trPr>
          <w:trHeight w:val="25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89" w:type="pct"/>
            <w:gridSpan w:val="2"/>
            <w:tcBorders>
              <w:top w:val="single" w:sz="4" w:space="0" w:color="auto"/>
              <w:left w:val="nil"/>
              <w:bottom w:val="single" w:sz="4" w:space="0" w:color="auto"/>
              <w:right w:val="single" w:sz="4" w:space="0" w:color="000000"/>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Performance tests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D97CA2">
            <w:pPr>
              <w:rPr>
                <w:rFonts w:ascii="Times New Roman" w:eastAsia="Times New Roman" w:hAnsi="Times New Roman"/>
                <w:sz w:val="16"/>
                <w:szCs w:val="16"/>
              </w:rPr>
            </w:pPr>
            <w:r w:rsidRPr="00E14996">
              <w:rPr>
                <w:rFonts w:ascii="Times New Roman" w:eastAsia="Times New Roman" w:hAnsi="Times New Roman"/>
                <w:sz w:val="16"/>
                <w:szCs w:val="16"/>
              </w:rPr>
              <w:t xml:space="preserve">$19,500,300 </w:t>
            </w:r>
          </w:p>
        </w:tc>
      </w:tr>
      <w:tr w:rsidR="00E14996" w:rsidRPr="00E14996" w:rsidTr="00D97CA2">
        <w:trPr>
          <w:trHeight w:val="25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89" w:type="pct"/>
            <w:gridSpan w:val="2"/>
            <w:tcBorders>
              <w:top w:val="single" w:sz="4" w:space="0" w:color="auto"/>
              <w:left w:val="nil"/>
              <w:bottom w:val="single" w:sz="4" w:space="0" w:color="auto"/>
              <w:right w:val="single" w:sz="4" w:space="0" w:color="000000"/>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Other Capital Costs of Installation (ODC and Labor)</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D97CA2">
            <w:pPr>
              <w:rPr>
                <w:rFonts w:ascii="Times New Roman" w:eastAsia="Times New Roman" w:hAnsi="Times New Roman"/>
                <w:sz w:val="16"/>
                <w:szCs w:val="16"/>
              </w:rPr>
            </w:pPr>
            <w:r w:rsidRPr="00E14996">
              <w:rPr>
                <w:rFonts w:ascii="Times New Roman" w:eastAsia="Times New Roman" w:hAnsi="Times New Roman"/>
                <w:sz w:val="16"/>
                <w:szCs w:val="16"/>
              </w:rPr>
              <w:t xml:space="preserve"> $ 29,648,578 </w:t>
            </w:r>
          </w:p>
        </w:tc>
      </w:tr>
      <w:tr w:rsidR="00E14996" w:rsidRPr="00E14996" w:rsidTr="00D97CA2">
        <w:trPr>
          <w:trHeight w:val="255"/>
        </w:trPr>
        <w:tc>
          <w:tcPr>
            <w:tcW w:w="96"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89" w:type="pct"/>
            <w:gridSpan w:val="2"/>
            <w:tcBorders>
              <w:top w:val="single" w:sz="4" w:space="0" w:color="auto"/>
              <w:left w:val="nil"/>
              <w:bottom w:val="single" w:sz="4" w:space="0" w:color="auto"/>
              <w:right w:val="single" w:sz="4" w:space="0" w:color="000000"/>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Total annual capital</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D97CA2">
            <w:pPr>
              <w:rPr>
                <w:rFonts w:ascii="Times New Roman" w:eastAsia="Times New Roman" w:hAnsi="Times New Roman"/>
                <w:sz w:val="16"/>
                <w:szCs w:val="16"/>
              </w:rPr>
            </w:pPr>
            <w:r w:rsidRPr="00E14996">
              <w:rPr>
                <w:rFonts w:ascii="Times New Roman" w:eastAsia="Times New Roman" w:hAnsi="Times New Roman"/>
                <w:sz w:val="16"/>
                <w:szCs w:val="16"/>
              </w:rPr>
              <w:t xml:space="preserve"> $ 49,148,878 </w:t>
            </w:r>
          </w:p>
        </w:tc>
      </w:tr>
      <w:tr w:rsidR="00E14996" w:rsidRPr="00E14996" w:rsidTr="00D97CA2">
        <w:trPr>
          <w:trHeight w:val="255"/>
        </w:trPr>
        <w:tc>
          <w:tcPr>
            <w:tcW w:w="1885"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TOTAL ANNUAL COSTS (O&amp;M)</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 xml:space="preserve">$296,679 </w:t>
            </w:r>
          </w:p>
        </w:tc>
      </w:tr>
      <w:tr w:rsidR="00E14996" w:rsidRPr="00E14996" w:rsidTr="00D97CA2">
        <w:trPr>
          <w:trHeight w:val="255"/>
        </w:trPr>
        <w:tc>
          <w:tcPr>
            <w:tcW w:w="1885"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14996" w:rsidRPr="00E14996" w:rsidRDefault="00E02688" w:rsidP="00E14996">
            <w:pPr>
              <w:rPr>
                <w:rFonts w:ascii="Times New Roman" w:eastAsia="Times New Roman" w:hAnsi="Times New Roman"/>
                <w:color w:val="000000"/>
                <w:sz w:val="16"/>
                <w:szCs w:val="16"/>
              </w:rPr>
            </w:pPr>
            <w:r w:rsidRPr="00E02688">
              <w:rPr>
                <w:rFonts w:ascii="Times New Roman" w:eastAsia="Times New Roman" w:hAnsi="Times New Roman"/>
                <w:color w:val="000000"/>
                <w:sz w:val="16"/>
                <w:szCs w:val="16"/>
              </w:rPr>
              <w:t>TOTAL ANNUALIZED COSTS (Annualized capital + O&amp;M costs)</w:t>
            </w:r>
          </w:p>
        </w:tc>
        <w:tc>
          <w:tcPr>
            <w:tcW w:w="37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0"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23"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6" w:type="pct"/>
            <w:tcBorders>
              <w:top w:val="nil"/>
              <w:left w:val="nil"/>
              <w:bottom w:val="single" w:sz="4" w:space="0" w:color="auto"/>
              <w:right w:val="single" w:sz="4" w:space="0" w:color="auto"/>
            </w:tcBorders>
            <w:shd w:val="clear" w:color="auto" w:fill="auto"/>
            <w:vAlign w:val="bottom"/>
            <w:hideMark/>
          </w:tcPr>
          <w:p w:rsidR="00E14996" w:rsidRPr="00E14996" w:rsidRDefault="00E02688" w:rsidP="00D97CA2">
            <w:pPr>
              <w:rPr>
                <w:rFonts w:ascii="Times New Roman" w:eastAsia="Times New Roman" w:hAnsi="Times New Roman"/>
                <w:sz w:val="16"/>
                <w:szCs w:val="16"/>
              </w:rPr>
            </w:pPr>
            <w:r w:rsidRPr="00E02688">
              <w:rPr>
                <w:rFonts w:ascii="Times New Roman" w:eastAsia="Times New Roman" w:hAnsi="Times New Roman"/>
                <w:sz w:val="16"/>
                <w:szCs w:val="16"/>
              </w:rPr>
              <w:t>$49,445,556</w:t>
            </w:r>
          </w:p>
        </w:tc>
      </w:tr>
    </w:tbl>
    <w:p w:rsidR="00B47C5E" w:rsidRPr="00600970" w:rsidRDefault="00B47C5E" w:rsidP="00B47C5E">
      <w:pPr>
        <w:rPr>
          <w:rFonts w:ascii="Times New Roman" w:hAnsi="Times New Roman"/>
          <w:sz w:val="20"/>
          <w:szCs w:val="16"/>
        </w:rPr>
      </w:pPr>
      <w:proofErr w:type="gramStart"/>
      <w:r w:rsidRPr="00600970">
        <w:rPr>
          <w:rFonts w:ascii="Times New Roman" w:hAnsi="Times New Roman"/>
          <w:sz w:val="20"/>
          <w:szCs w:val="16"/>
          <w:vertAlign w:val="superscript"/>
        </w:rPr>
        <w:t>a</w:t>
      </w:r>
      <w:proofErr w:type="gramEnd"/>
      <w:r w:rsidRPr="00600970">
        <w:rPr>
          <w:rFonts w:ascii="Times New Roman" w:hAnsi="Times New Roman"/>
          <w:sz w:val="20"/>
          <w:szCs w:val="16"/>
        </w:rPr>
        <w:t xml:space="preserve"> There are 1,257 existing electric generating units.  One third of those are assumed to be tested each year.</w:t>
      </w:r>
    </w:p>
    <w:p w:rsidR="00B47C5E" w:rsidRPr="00600970" w:rsidRDefault="00B47C5E" w:rsidP="00B47C5E">
      <w:pPr>
        <w:rPr>
          <w:rFonts w:ascii="Times New Roman" w:hAnsi="Times New Roman"/>
          <w:sz w:val="20"/>
          <w:szCs w:val="16"/>
        </w:rPr>
        <w:sectPr w:rsidR="00B47C5E" w:rsidRPr="00600970" w:rsidSect="00593F37">
          <w:pgSz w:w="15840" w:h="12240" w:orient="landscape"/>
          <w:pgMar w:top="1440" w:right="1440" w:bottom="1440" w:left="1440" w:header="720" w:footer="720" w:gutter="0"/>
          <w:cols w:space="720"/>
          <w:docGrid w:linePitch="360"/>
        </w:sectPr>
      </w:pPr>
      <w:proofErr w:type="gramStart"/>
      <w:r w:rsidRPr="00600970">
        <w:rPr>
          <w:rFonts w:ascii="Times New Roman" w:hAnsi="Times New Roman"/>
          <w:sz w:val="20"/>
          <w:szCs w:val="16"/>
          <w:vertAlign w:val="superscript"/>
        </w:rPr>
        <w:t>b</w:t>
      </w:r>
      <w:proofErr w:type="gramEnd"/>
      <w:r w:rsidRPr="00600970">
        <w:rPr>
          <w:rFonts w:ascii="Times New Roman" w:hAnsi="Times New Roman"/>
          <w:sz w:val="20"/>
          <w:szCs w:val="16"/>
        </w:rPr>
        <w:t xml:space="preserve"> 10% of sources are assumed to submit SSM report each year.</w:t>
      </w:r>
    </w:p>
    <w:p w:rsidR="00593F37" w:rsidRPr="00E14996" w:rsidRDefault="00F11CCB" w:rsidP="00E14996">
      <w:pPr>
        <w:pStyle w:val="ExhibitTitle"/>
        <w:rPr>
          <w:rFonts w:ascii="Times New Roman" w:hAnsi="Times New Roman"/>
        </w:rPr>
      </w:pPr>
      <w:proofErr w:type="gramStart"/>
      <w:r w:rsidRPr="00E14996">
        <w:rPr>
          <w:rFonts w:ascii="Times New Roman" w:hAnsi="Times New Roman"/>
        </w:rPr>
        <w:lastRenderedPageBreak/>
        <w:t>Table 1c</w:t>
      </w:r>
      <w:r w:rsidR="005E7A9E">
        <w:rPr>
          <w:rFonts w:ascii="Times New Roman" w:hAnsi="Times New Roman"/>
        </w:rPr>
        <w:t>.</w:t>
      </w:r>
      <w:proofErr w:type="gramEnd"/>
      <w:r w:rsidRPr="00E14996">
        <w:rPr>
          <w:rFonts w:ascii="Times New Roman" w:hAnsi="Times New Roman"/>
        </w:rPr>
        <w:tab/>
      </w:r>
      <w:r w:rsidR="00180971" w:rsidRPr="00E14996">
        <w:rPr>
          <w:rFonts w:ascii="Times New Roman" w:hAnsi="Times New Roman"/>
        </w:rPr>
        <w:t xml:space="preserve">Year 3 Respondent Burden of Reporting and Recordkeeping Requirements, NESHAP for </w:t>
      </w:r>
      <w:r w:rsidR="00E14996">
        <w:rPr>
          <w:rFonts w:ascii="Times New Roman" w:hAnsi="Times New Roman"/>
        </w:rPr>
        <w:t>Electric Generating Units</w:t>
      </w:r>
      <w:r w:rsidR="00180971" w:rsidRPr="00E14996">
        <w:rPr>
          <w:rFonts w:ascii="Times New Roman" w:hAnsi="Times New Roman"/>
        </w:rPr>
        <w:t xml:space="preserve"> (40 CFR part 63, subpart </w:t>
      </w:r>
      <w:r w:rsidR="00E14996">
        <w:rPr>
          <w:rFonts w:ascii="Times New Roman" w:hAnsi="Times New Roman"/>
        </w:rPr>
        <w:t>UUUUU</w:t>
      </w:r>
      <w:r w:rsidR="00180971" w:rsidRPr="00E14996">
        <w:rPr>
          <w:rFonts w:ascii="Times New Roman" w:hAnsi="Times New Roman"/>
        </w:rPr>
        <w:t>)</w:t>
      </w:r>
    </w:p>
    <w:tbl>
      <w:tblPr>
        <w:tblW w:w="5000" w:type="pct"/>
        <w:tblLayout w:type="fixed"/>
        <w:tblLook w:val="04A0"/>
      </w:tblPr>
      <w:tblGrid>
        <w:gridCol w:w="255"/>
        <w:gridCol w:w="256"/>
        <w:gridCol w:w="4543"/>
        <w:gridCol w:w="946"/>
        <w:gridCol w:w="1315"/>
        <w:gridCol w:w="1007"/>
        <w:gridCol w:w="1070"/>
        <w:gridCol w:w="954"/>
        <w:gridCol w:w="954"/>
        <w:gridCol w:w="777"/>
        <w:gridCol w:w="1099"/>
      </w:tblGrid>
      <w:tr w:rsidR="00E14996" w:rsidRPr="00E14996" w:rsidTr="001F421B">
        <w:trPr>
          <w:cantSplit/>
          <w:trHeight w:val="780"/>
          <w:tblHeader/>
        </w:trPr>
        <w:tc>
          <w:tcPr>
            <w:tcW w:w="191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14996" w:rsidRPr="00E14996" w:rsidRDefault="00E14996" w:rsidP="00E14996">
            <w:pPr>
              <w:jc w:val="center"/>
              <w:rPr>
                <w:rFonts w:ascii="Times New Roman" w:eastAsia="Times New Roman" w:hAnsi="Times New Roman"/>
                <w:b/>
                <w:bCs/>
                <w:color w:val="000000"/>
                <w:sz w:val="16"/>
                <w:szCs w:val="16"/>
              </w:rPr>
            </w:pPr>
            <w:r w:rsidRPr="00E14996">
              <w:rPr>
                <w:rFonts w:ascii="Times New Roman" w:eastAsia="Times New Roman" w:hAnsi="Times New Roman"/>
                <w:b/>
                <w:bCs/>
                <w:color w:val="000000"/>
                <w:sz w:val="16"/>
                <w:szCs w:val="16"/>
              </w:rPr>
              <w:t>Year 3</w:t>
            </w:r>
          </w:p>
        </w:tc>
        <w:tc>
          <w:tcPr>
            <w:tcW w:w="359" w:type="pct"/>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jc w:val="cente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(A)  Hours per Occurrence</w:t>
            </w:r>
          </w:p>
        </w:tc>
        <w:tc>
          <w:tcPr>
            <w:tcW w:w="499" w:type="pct"/>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jc w:val="cente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(B)  Occurrences/ Respondent/Year</w:t>
            </w:r>
          </w:p>
        </w:tc>
        <w:tc>
          <w:tcPr>
            <w:tcW w:w="382" w:type="pct"/>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jc w:val="cente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(C)  Hours/ Respondent/ </w:t>
            </w:r>
            <w:r w:rsidRPr="00E14996">
              <w:rPr>
                <w:rFonts w:ascii="Times New Roman" w:eastAsia="Times New Roman" w:hAnsi="Times New Roman"/>
                <w:color w:val="000000"/>
                <w:sz w:val="16"/>
                <w:szCs w:val="16"/>
              </w:rPr>
              <w:br/>
              <w:t>Year (A x B)</w:t>
            </w:r>
          </w:p>
        </w:tc>
        <w:tc>
          <w:tcPr>
            <w:tcW w:w="406" w:type="pct"/>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jc w:val="cente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(D)  Respondents/ Year</w:t>
            </w:r>
          </w:p>
        </w:tc>
        <w:tc>
          <w:tcPr>
            <w:tcW w:w="362" w:type="pct"/>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jc w:val="cente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  Technical Hours/Year (C x D)</w:t>
            </w:r>
          </w:p>
        </w:tc>
        <w:tc>
          <w:tcPr>
            <w:tcW w:w="362" w:type="pct"/>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jc w:val="cente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(F) Managerial Hours/Year (E x 0.05)</w:t>
            </w:r>
          </w:p>
        </w:tc>
        <w:tc>
          <w:tcPr>
            <w:tcW w:w="295" w:type="pct"/>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jc w:val="cente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(G) Clerical Hours/Year (E x 0.10)</w:t>
            </w:r>
          </w:p>
        </w:tc>
        <w:tc>
          <w:tcPr>
            <w:tcW w:w="417" w:type="pct"/>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jc w:val="center"/>
              <w:rPr>
                <w:rFonts w:ascii="Times New Roman" w:eastAsia="Times New Roman" w:hAnsi="Times New Roman"/>
                <w:sz w:val="16"/>
                <w:szCs w:val="16"/>
              </w:rPr>
            </w:pPr>
            <w:r w:rsidRPr="00E14996">
              <w:rPr>
                <w:rFonts w:ascii="Times New Roman" w:eastAsia="Times New Roman" w:hAnsi="Times New Roman"/>
                <w:sz w:val="16"/>
                <w:szCs w:val="16"/>
              </w:rPr>
              <w:t>(H)  Cost/ Year</w:t>
            </w:r>
          </w:p>
        </w:tc>
      </w:tr>
      <w:tr w:rsidR="00E14996" w:rsidRPr="00E14996" w:rsidTr="00D97CA2">
        <w:trPr>
          <w:trHeight w:val="300"/>
        </w:trPr>
        <w:tc>
          <w:tcPr>
            <w:tcW w:w="191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 APPLICATIONS (Not Applicable)</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sz w:val="16"/>
                <w:szCs w:val="16"/>
              </w:rPr>
            </w:pPr>
            <w:r w:rsidRPr="00E14996">
              <w:rPr>
                <w:rFonts w:ascii="Times New Roman" w:eastAsia="Times New Roman" w:hAnsi="Times New Roman"/>
                <w:sz w:val="16"/>
                <w:szCs w:val="16"/>
              </w:rPr>
              <w:t> </w:t>
            </w:r>
          </w:p>
        </w:tc>
      </w:tr>
      <w:tr w:rsidR="00E14996" w:rsidRPr="00E14996" w:rsidTr="00D97CA2">
        <w:trPr>
          <w:trHeight w:val="300"/>
        </w:trPr>
        <w:tc>
          <w:tcPr>
            <w:tcW w:w="191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 SURVEY AND STUDIES (Not Applicable)</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sz w:val="16"/>
                <w:szCs w:val="16"/>
              </w:rPr>
            </w:pPr>
            <w:r w:rsidRPr="00E14996">
              <w:rPr>
                <w:rFonts w:ascii="Times New Roman" w:eastAsia="Times New Roman" w:hAnsi="Times New Roman"/>
                <w:sz w:val="16"/>
                <w:szCs w:val="16"/>
              </w:rPr>
              <w:t> </w:t>
            </w:r>
          </w:p>
        </w:tc>
      </w:tr>
      <w:tr w:rsidR="00E14996" w:rsidRPr="00E14996" w:rsidTr="00D97CA2">
        <w:trPr>
          <w:trHeight w:val="525"/>
        </w:trPr>
        <w:tc>
          <w:tcPr>
            <w:tcW w:w="191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14996" w:rsidRPr="00E14996" w:rsidRDefault="00E14996" w:rsidP="00600970">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3.  ACQUISITION, INSTALLATION, AND UTILIZATION OF TECHNOLOGY AND SYSTEMS </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16</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16</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6,768.0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338.4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676.8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$637,579</w:t>
            </w:r>
          </w:p>
        </w:tc>
      </w:tr>
      <w:tr w:rsidR="00E14996" w:rsidRPr="00E14996" w:rsidTr="00D97CA2">
        <w:trPr>
          <w:trHeight w:val="255"/>
        </w:trPr>
        <w:tc>
          <w:tcPr>
            <w:tcW w:w="191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 REPORT REQUIREMENTS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sz w:val="16"/>
                <w:szCs w:val="16"/>
              </w:rPr>
            </w:pPr>
            <w:r w:rsidRPr="00E14996">
              <w:rPr>
                <w:rFonts w:ascii="Times New Roman" w:eastAsia="Times New Roman" w:hAnsi="Times New Roman"/>
                <w:sz w:val="16"/>
                <w:szCs w:val="16"/>
              </w:rPr>
              <w:t> </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821"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A. Read Instructions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sz w:val="16"/>
                <w:szCs w:val="16"/>
              </w:rPr>
            </w:pPr>
            <w:r w:rsidRPr="00E14996">
              <w:rPr>
                <w:rFonts w:ascii="Times New Roman" w:eastAsia="Times New Roman" w:hAnsi="Times New Roman"/>
                <w:sz w:val="16"/>
                <w:szCs w:val="16"/>
              </w:rPr>
              <w:t> </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423.0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21.2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42.3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$39,849</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0.1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0.2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$188</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821"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600970" w:rsidP="00E14996">
            <w:pPr>
              <w:rPr>
                <w:rFonts w:ascii="Times New Roman" w:eastAsia="Times New Roman" w:hAnsi="Times New Roman"/>
                <w:color w:val="000000"/>
                <w:sz w:val="16"/>
                <w:szCs w:val="16"/>
              </w:rPr>
            </w:pPr>
            <w:r>
              <w:rPr>
                <w:rFonts w:ascii="Times New Roman" w:eastAsia="Times New Roman" w:hAnsi="Times New Roman"/>
                <w:color w:val="000000"/>
                <w:sz w:val="16"/>
                <w:szCs w:val="16"/>
              </w:rPr>
              <w:t>B. Required Activities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sz w:val="16"/>
                <w:szCs w:val="16"/>
              </w:rPr>
            </w:pPr>
            <w:r w:rsidRPr="00E14996">
              <w:rPr>
                <w:rFonts w:ascii="Times New Roman" w:eastAsia="Times New Roman" w:hAnsi="Times New Roman"/>
                <w:sz w:val="16"/>
                <w:szCs w:val="16"/>
              </w:rPr>
              <w:t> </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Initial Performance Test using M5 and M202</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368</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8,824.0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441.2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882.4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$831,264</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Initial Performance Test  using M29</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419</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10,056.0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502.8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1,005.6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$947,325</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Initial Performance Test using M320</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419</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10,056.0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502.8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1,005.6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$947,325</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Initial Performance Test using M6A</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52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Repeat M5 and 202 performance test every 2 years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368</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8,824.0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441.2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882.4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$831,264</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Repeat M29 performance test every 2 years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419</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10,056.0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502.8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1,005.6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$947,325</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Repeat M320 Performance Test every 2 years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419</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10,056.0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502.8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1,005.6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$947,325</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Repeat M6A Performance Test every 2 years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w:t>
            </w:r>
            <w:r w:rsidR="00600970">
              <w:rPr>
                <w:rFonts w:ascii="Times New Roman" w:eastAsia="Times New Roman" w:hAnsi="Times New Roman"/>
                <w:color w:val="000000"/>
                <w:sz w:val="16"/>
                <w:szCs w:val="16"/>
              </w:rPr>
              <w:t>sting Sources - CEMS Monitoring</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0.5</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0.5</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211.5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10.6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21.2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$19,924</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w:t>
            </w:r>
            <w:r w:rsidR="00600970">
              <w:rPr>
                <w:rFonts w:ascii="Times New Roman" w:eastAsia="Times New Roman" w:hAnsi="Times New Roman"/>
                <w:color w:val="000000"/>
                <w:sz w:val="16"/>
                <w:szCs w:val="16"/>
              </w:rPr>
              <w:t>es - CEMS Quarterly Inspections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8</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3,384.0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169.2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338.4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$318,790</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CEM</w:t>
            </w:r>
            <w:r w:rsidR="00600970">
              <w:rPr>
                <w:rFonts w:ascii="Times New Roman" w:eastAsia="Times New Roman" w:hAnsi="Times New Roman"/>
                <w:color w:val="000000"/>
                <w:sz w:val="16"/>
                <w:szCs w:val="16"/>
              </w:rPr>
              <w:t>S Daily Calibration Drift Tests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0.3</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330</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99</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41,877.0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2,093.9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4,187.7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$3,945,021</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Daily monitoring (CEMS)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0.3</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330</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99</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41,877.0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2,093.9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4,187.7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$3,945,021</w:t>
            </w:r>
          </w:p>
        </w:tc>
      </w:tr>
      <w:tr w:rsidR="00E14996" w:rsidRPr="00E14996" w:rsidTr="00D97CA2">
        <w:trPr>
          <w:trHeight w:val="52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All CEMS must follow appropr</w:t>
            </w:r>
            <w:r w:rsidR="00600970">
              <w:rPr>
                <w:rFonts w:ascii="Times New Roman" w:eastAsia="Times New Roman" w:hAnsi="Times New Roman"/>
                <w:color w:val="000000"/>
                <w:sz w:val="16"/>
                <w:szCs w:val="16"/>
              </w:rPr>
              <w:t>iate performance specifications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0.3</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330</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99</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41,877.0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2,093.9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4,187.7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$3,945,021</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Initial Performance Test using M5 and M202</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2.4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$4,522</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Initial Performance Test  using M29</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2.4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$4,522</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Initial Performance Test using M320</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2.4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$4,522</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Initial Performance Test using M6A</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Repeat M5 and 202 performance test every year</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96.0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9.6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$9,044</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Repeat M29 performance test every year</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96.0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9.6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$9,044</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Repeat M320 Performance Test every year</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96.0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9.6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$9,044</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Repeat M6A Performance Test every year</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CEMS Monitoring</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0.5</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0.5</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0.1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0.1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$94</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CEMS Quarterly Inspections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8</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16.0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0.8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1.6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$1,507</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CEMS Daily Calibration Drift Tests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0.3</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330</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99</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198.0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9.9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19.8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$18,653</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Daily monitoring (CEMS</w:t>
            </w:r>
            <w:r w:rsidRPr="00E14996">
              <w:rPr>
                <w:rFonts w:ascii="Times New Roman" w:eastAsia="Times New Roman" w:hAnsi="Times New Roman"/>
                <w:sz w:val="16"/>
                <w:szCs w:val="16"/>
              </w:rPr>
              <w:t>)</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0.3</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330</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99</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198.0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9.9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19.8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$18,653</w:t>
            </w:r>
          </w:p>
        </w:tc>
      </w:tr>
      <w:tr w:rsidR="00E14996" w:rsidRPr="00E14996" w:rsidTr="00D97CA2">
        <w:trPr>
          <w:trHeight w:val="52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All CEMS must follow appropriate performance specifications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0.3</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330</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99</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198.0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9.9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19.8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$18,653</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821"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C. Create Information (Included in 4B)</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821"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D. Gather Existing Information (Included in 4E)</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821"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 Write Report</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Notifi</w:t>
            </w:r>
            <w:r w:rsidR="00600970">
              <w:rPr>
                <w:rFonts w:ascii="Times New Roman" w:eastAsia="Times New Roman" w:hAnsi="Times New Roman"/>
                <w:color w:val="000000"/>
                <w:sz w:val="16"/>
                <w:szCs w:val="16"/>
              </w:rPr>
              <w:t>cation of Demonstration of CEMS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846.0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42.3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84.6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$79,697</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Report of Performance Test (included in 4B)</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Notificat</w:t>
            </w:r>
            <w:r w:rsidR="00600970">
              <w:rPr>
                <w:rFonts w:ascii="Times New Roman" w:eastAsia="Times New Roman" w:hAnsi="Times New Roman"/>
                <w:color w:val="000000"/>
                <w:sz w:val="16"/>
                <w:szCs w:val="16"/>
              </w:rPr>
              <w:t>ion of Initial Performance Test</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846.0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42.3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84.6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$79,697</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Quality Assurance Program Notification</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846.0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42.3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84.6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$79,697</w:t>
            </w:r>
          </w:p>
        </w:tc>
      </w:tr>
      <w:tr w:rsidR="00E14996" w:rsidRPr="00E14996" w:rsidTr="00D97CA2">
        <w:trPr>
          <w:trHeight w:val="52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Startup, shutdo</w:t>
            </w:r>
            <w:r w:rsidR="00600970">
              <w:rPr>
                <w:rFonts w:ascii="Times New Roman" w:eastAsia="Times New Roman" w:hAnsi="Times New Roman"/>
                <w:color w:val="000000"/>
                <w:sz w:val="16"/>
                <w:szCs w:val="16"/>
              </w:rPr>
              <w:t xml:space="preserve">wn, and malfunction Report </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211.5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10.6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21.2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$19,924</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Semi-Annual Compliance Report</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48</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20,304.0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1,015.2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2,030.4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$1,912,737</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Notification of Compliance Status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1,692.0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84.6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169.2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$159,395</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site-specific performance evaluation test plan</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40</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40</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16,920.0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846.0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1,692.0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$1,593,948</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request to use alternative monitoring procedure</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211.5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10.6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21.2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$19,924</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Initial notification</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0.2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0.4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$377</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Notification of Demonstration of CEMS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0.2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0.4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$377</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Quality Assurance Program Notification</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0.2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0.4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$377</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Notification of Initial Performance Test</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0.2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0.4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$377</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Report of Performance Test (included in 4B)</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Startup, shutdo</w:t>
            </w:r>
            <w:r w:rsidR="00600970">
              <w:rPr>
                <w:rFonts w:ascii="Times New Roman" w:eastAsia="Times New Roman" w:hAnsi="Times New Roman"/>
                <w:color w:val="000000"/>
                <w:sz w:val="16"/>
                <w:szCs w:val="16"/>
              </w:rPr>
              <w:t xml:space="preserve">wn, and malfunction Report </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0.1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0.1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$94</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Semi-Annual Compliance Report</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48</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96.0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4.8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9.6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$9,044</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Notification of Compliance Status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0.4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0.8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$754</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site-specific performance evaluation test plan</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40</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40</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80.0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4.0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8.0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$7,536</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request to use alternative monitoring procedure</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0.2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0.1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0.1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$94</w:t>
            </w:r>
          </w:p>
        </w:tc>
      </w:tr>
      <w:tr w:rsidR="00E14996" w:rsidRPr="00E14996" w:rsidTr="00D97CA2">
        <w:trPr>
          <w:trHeight w:val="255"/>
        </w:trPr>
        <w:tc>
          <w:tcPr>
            <w:tcW w:w="191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5. RECORDKEEPING REQUIREMENTS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821"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A. Read Instructions (Included in 4A)</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821"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B. Plan Activities (Included in 4B)</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821"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C. Implement Activities (Included in 4B)</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821"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D. Record Data ( Not Applicable)</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821"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 Time to Transmit or Disclose Information</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$0</w:t>
            </w:r>
          </w:p>
        </w:tc>
      </w:tr>
      <w:tr w:rsidR="00E14996" w:rsidRPr="00E14996" w:rsidTr="001F421B">
        <w:trPr>
          <w:cantSplit/>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Records of CEMS malfunctions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634.5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31.7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63.5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$59,773</w:t>
            </w:r>
          </w:p>
        </w:tc>
      </w:tr>
      <w:tr w:rsidR="00E14996" w:rsidRPr="00E14996" w:rsidTr="00D97CA2">
        <w:trPr>
          <w:trHeight w:val="51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Records of Startups, Shutdowns, malfunctions, etc</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634.5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31.7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63.5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$59,773</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Existing Sources - Records of monthly fuel use</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423</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634.5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31.7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63.5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$59,773</w:t>
            </w:r>
          </w:p>
        </w:tc>
      </w:tr>
      <w:tr w:rsidR="00E14996" w:rsidRPr="00E14996" w:rsidTr="00D97CA2">
        <w:trPr>
          <w:trHeight w:val="300"/>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Records of CEMS malfunctions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0.2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0.3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$283</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Records of Startups</w:t>
            </w:r>
            <w:r w:rsidR="00B47C5E">
              <w:rPr>
                <w:rFonts w:ascii="Times New Roman" w:eastAsia="Times New Roman" w:hAnsi="Times New Roman"/>
                <w:color w:val="000000"/>
                <w:sz w:val="16"/>
                <w:szCs w:val="16"/>
              </w:rPr>
              <w:t>, Shutdowns, malfunctions, etc</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0.2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0.3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$283</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724"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New Sources - Records of monthly fuel use</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1.5</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0.2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0.3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$283</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821"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B47C5E" w:rsidP="00E14996">
            <w:pPr>
              <w:rPr>
                <w:rFonts w:ascii="Times New Roman" w:eastAsia="Times New Roman" w:hAnsi="Times New Roman"/>
                <w:color w:val="000000"/>
                <w:sz w:val="16"/>
                <w:szCs w:val="16"/>
              </w:rPr>
            </w:pPr>
            <w:r>
              <w:rPr>
                <w:rFonts w:ascii="Times New Roman" w:eastAsia="Times New Roman" w:hAnsi="Times New Roman"/>
                <w:color w:val="000000"/>
                <w:sz w:val="16"/>
                <w:szCs w:val="16"/>
              </w:rPr>
              <w:t>F. Time to Train Personnel</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80</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160</w:t>
            </w:r>
          </w:p>
        </w:tc>
        <w:tc>
          <w:tcPr>
            <w:tcW w:w="406" w:type="pct"/>
            <w:tcBorders>
              <w:top w:val="nil"/>
              <w:left w:val="nil"/>
              <w:bottom w:val="single" w:sz="4" w:space="0" w:color="auto"/>
              <w:right w:val="single" w:sz="4" w:space="0" w:color="auto"/>
            </w:tcBorders>
            <w:shd w:val="clear" w:color="auto" w:fill="auto"/>
            <w:noWrap/>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425</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68,000.0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3,400.0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6,800.0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$6,405,937</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821" w:type="pct"/>
            <w:gridSpan w:val="2"/>
            <w:tcBorders>
              <w:top w:val="single" w:sz="4" w:space="0" w:color="auto"/>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G. Time for Audits (Not Applicable)</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sz w:val="16"/>
                <w:szCs w:val="16"/>
              </w:rPr>
            </w:pPr>
            <w:r w:rsidRPr="00E14996">
              <w:rPr>
                <w:rFonts w:ascii="Times New Roman" w:eastAsia="Times New Roman" w:hAnsi="Times New Roman"/>
                <w:sz w:val="16"/>
                <w:szCs w:val="16"/>
              </w:rPr>
              <w:t> </w:t>
            </w:r>
          </w:p>
        </w:tc>
      </w:tr>
      <w:tr w:rsidR="00E14996" w:rsidRPr="00E14996" w:rsidTr="00D97CA2">
        <w:trPr>
          <w:trHeight w:val="255"/>
        </w:trPr>
        <w:tc>
          <w:tcPr>
            <w:tcW w:w="191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TOTAL ANNUAL LABOR BURDEN AND COST</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2035</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9,739</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307,326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15,366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30,733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D97CA2">
            <w:pPr>
              <w:rPr>
                <w:rFonts w:ascii="Times New Roman" w:eastAsia="Times New Roman" w:hAnsi="Times New Roman"/>
                <w:sz w:val="16"/>
                <w:szCs w:val="16"/>
              </w:rPr>
            </w:pPr>
            <w:r w:rsidRPr="00E14996">
              <w:rPr>
                <w:rFonts w:ascii="Times New Roman" w:eastAsia="Times New Roman" w:hAnsi="Times New Roman"/>
                <w:sz w:val="16"/>
                <w:szCs w:val="16"/>
              </w:rPr>
              <w:t xml:space="preserve">$28,951,630 </w:t>
            </w:r>
          </w:p>
        </w:tc>
      </w:tr>
      <w:tr w:rsidR="00E14996" w:rsidRPr="00E14996" w:rsidTr="00D97CA2">
        <w:trPr>
          <w:trHeight w:val="255"/>
        </w:trPr>
        <w:tc>
          <w:tcPr>
            <w:tcW w:w="1918" w:type="pct"/>
            <w:gridSpan w:val="3"/>
            <w:vMerge/>
            <w:tcBorders>
              <w:top w:val="single" w:sz="4" w:space="0" w:color="auto"/>
              <w:left w:val="single" w:sz="4" w:space="0" w:color="auto"/>
              <w:bottom w:val="single" w:sz="4" w:space="0" w:color="000000"/>
              <w:right w:val="single" w:sz="4" w:space="0" w:color="000000"/>
            </w:tcBorders>
            <w:vAlign w:val="center"/>
            <w:hideMark/>
          </w:tcPr>
          <w:p w:rsidR="00E14996" w:rsidRPr="00E14996" w:rsidRDefault="00E14996" w:rsidP="00E14996">
            <w:pPr>
              <w:rPr>
                <w:rFonts w:ascii="Times New Roman" w:eastAsia="Times New Roman" w:hAnsi="Times New Roman"/>
                <w:color w:val="000000"/>
                <w:sz w:val="16"/>
                <w:szCs w:val="16"/>
              </w:rPr>
            </w:pP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000000" w:fill="CCC0DA"/>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xml:space="preserve">                         353,425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Hours</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sz w:val="16"/>
                <w:szCs w:val="16"/>
              </w:rPr>
            </w:pPr>
            <w:r w:rsidRPr="00E14996">
              <w:rPr>
                <w:rFonts w:ascii="Times New Roman" w:eastAsia="Times New Roman" w:hAnsi="Times New Roman"/>
                <w:sz w:val="16"/>
                <w:szCs w:val="16"/>
              </w:rPr>
              <w:t> </w:t>
            </w:r>
          </w:p>
        </w:tc>
      </w:tr>
      <w:tr w:rsidR="00E14996" w:rsidRPr="00E14996" w:rsidTr="00D97CA2">
        <w:trPr>
          <w:trHeight w:val="255"/>
        </w:trPr>
        <w:tc>
          <w:tcPr>
            <w:tcW w:w="191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14996" w:rsidRPr="00E14996" w:rsidRDefault="00E02688" w:rsidP="00E14996">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ANNUAL</w:t>
            </w:r>
            <w:r>
              <w:rPr>
                <w:rFonts w:ascii="Times New Roman" w:eastAsia="Times New Roman" w:hAnsi="Times New Roman"/>
                <w:color w:val="000000"/>
                <w:sz w:val="16"/>
                <w:szCs w:val="16"/>
              </w:rPr>
              <w:t>IZED</w:t>
            </w:r>
            <w:r w:rsidRPr="00332DD0">
              <w:rPr>
                <w:rFonts w:ascii="Times New Roman" w:eastAsia="Times New Roman" w:hAnsi="Times New Roman"/>
                <w:color w:val="000000"/>
                <w:sz w:val="16"/>
                <w:szCs w:val="16"/>
              </w:rPr>
              <w:t xml:space="preserve"> </w:t>
            </w:r>
            <w:r w:rsidR="00E14996" w:rsidRPr="00E14996">
              <w:rPr>
                <w:rFonts w:ascii="Times New Roman" w:eastAsia="Times New Roman" w:hAnsi="Times New Roman"/>
                <w:color w:val="000000"/>
                <w:sz w:val="16"/>
                <w:szCs w:val="16"/>
              </w:rPr>
              <w:t>CAPITAL COSTS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sz w:val="16"/>
                <w:szCs w:val="16"/>
              </w:rPr>
            </w:pPr>
            <w:r w:rsidRPr="00E14996">
              <w:rPr>
                <w:rFonts w:ascii="Times New Roman" w:eastAsia="Times New Roman" w:hAnsi="Times New Roman"/>
                <w:sz w:val="16"/>
                <w:szCs w:val="16"/>
              </w:rPr>
              <w:t> </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821" w:type="pct"/>
            <w:gridSpan w:val="2"/>
            <w:tcBorders>
              <w:top w:val="single" w:sz="4" w:space="0" w:color="auto"/>
              <w:left w:val="nil"/>
              <w:bottom w:val="single" w:sz="4" w:space="0" w:color="auto"/>
              <w:right w:val="single" w:sz="4" w:space="0" w:color="000000"/>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Performance tests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D97CA2">
            <w:pPr>
              <w:rPr>
                <w:rFonts w:ascii="Times New Roman" w:eastAsia="Times New Roman" w:hAnsi="Times New Roman"/>
                <w:sz w:val="16"/>
                <w:szCs w:val="16"/>
              </w:rPr>
            </w:pPr>
            <w:r w:rsidRPr="00E14996">
              <w:rPr>
                <w:rFonts w:ascii="Times New Roman" w:eastAsia="Times New Roman" w:hAnsi="Times New Roman"/>
                <w:sz w:val="16"/>
                <w:szCs w:val="16"/>
              </w:rPr>
              <w:t xml:space="preserve"> $ 19,500,300 </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821" w:type="pct"/>
            <w:gridSpan w:val="2"/>
            <w:tcBorders>
              <w:top w:val="single" w:sz="4" w:space="0" w:color="auto"/>
              <w:left w:val="nil"/>
              <w:bottom w:val="single" w:sz="4" w:space="0" w:color="auto"/>
              <w:right w:val="single" w:sz="4" w:space="0" w:color="000000"/>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Other Capital Costs of Installation (ODC and Labor)</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D97CA2">
            <w:pPr>
              <w:rPr>
                <w:rFonts w:ascii="Times New Roman" w:eastAsia="Times New Roman" w:hAnsi="Times New Roman"/>
                <w:sz w:val="16"/>
                <w:szCs w:val="16"/>
              </w:rPr>
            </w:pPr>
            <w:r w:rsidRPr="00E14996">
              <w:rPr>
                <w:rFonts w:ascii="Times New Roman" w:eastAsia="Times New Roman" w:hAnsi="Times New Roman"/>
                <w:sz w:val="16"/>
                <w:szCs w:val="16"/>
              </w:rPr>
              <w:t xml:space="preserve"> $ 29,648,578 </w:t>
            </w:r>
          </w:p>
        </w:tc>
      </w:tr>
      <w:tr w:rsidR="00E14996" w:rsidRPr="00E14996" w:rsidTr="00D97CA2">
        <w:trPr>
          <w:trHeight w:val="255"/>
        </w:trPr>
        <w:tc>
          <w:tcPr>
            <w:tcW w:w="97" w:type="pct"/>
            <w:tcBorders>
              <w:top w:val="nil"/>
              <w:left w:val="single" w:sz="4" w:space="0" w:color="auto"/>
              <w:bottom w:val="single" w:sz="4" w:space="0" w:color="auto"/>
              <w:right w:val="nil"/>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1821" w:type="pct"/>
            <w:gridSpan w:val="2"/>
            <w:tcBorders>
              <w:top w:val="single" w:sz="4" w:space="0" w:color="auto"/>
              <w:left w:val="nil"/>
              <w:bottom w:val="single" w:sz="4" w:space="0" w:color="auto"/>
              <w:right w:val="single" w:sz="4" w:space="0" w:color="000000"/>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Total annual capital</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D97CA2">
            <w:pPr>
              <w:rPr>
                <w:rFonts w:ascii="Times New Roman" w:eastAsia="Times New Roman" w:hAnsi="Times New Roman"/>
                <w:sz w:val="16"/>
                <w:szCs w:val="16"/>
              </w:rPr>
            </w:pPr>
            <w:r w:rsidRPr="00E14996">
              <w:rPr>
                <w:rFonts w:ascii="Times New Roman" w:eastAsia="Times New Roman" w:hAnsi="Times New Roman"/>
                <w:sz w:val="16"/>
                <w:szCs w:val="16"/>
              </w:rPr>
              <w:t xml:space="preserve"> $ 49,148,878 </w:t>
            </w:r>
          </w:p>
        </w:tc>
      </w:tr>
      <w:tr w:rsidR="00E14996" w:rsidRPr="00E14996" w:rsidTr="00D97CA2">
        <w:trPr>
          <w:trHeight w:val="255"/>
        </w:trPr>
        <w:tc>
          <w:tcPr>
            <w:tcW w:w="191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TOTAL ANNUAL COSTS (O&amp;M)</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jc w:val="right"/>
              <w:rPr>
                <w:rFonts w:ascii="Times New Roman" w:eastAsia="Times New Roman" w:hAnsi="Times New Roman"/>
                <w:sz w:val="16"/>
                <w:szCs w:val="16"/>
              </w:rPr>
            </w:pPr>
            <w:r w:rsidRPr="00E14996">
              <w:rPr>
                <w:rFonts w:ascii="Times New Roman" w:eastAsia="Times New Roman" w:hAnsi="Times New Roman"/>
                <w:sz w:val="16"/>
                <w:szCs w:val="16"/>
              </w:rPr>
              <w:t xml:space="preserve">$296,679 </w:t>
            </w:r>
          </w:p>
        </w:tc>
      </w:tr>
      <w:tr w:rsidR="00E14996" w:rsidRPr="00E14996" w:rsidTr="00D97CA2">
        <w:trPr>
          <w:trHeight w:val="255"/>
        </w:trPr>
        <w:tc>
          <w:tcPr>
            <w:tcW w:w="1918"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TOTAL ANNUALIZED COSTS (Annualized capital + O&amp;M costs)</w:t>
            </w:r>
          </w:p>
        </w:tc>
        <w:tc>
          <w:tcPr>
            <w:tcW w:w="35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99"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8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06"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362"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295" w:type="pct"/>
            <w:tcBorders>
              <w:top w:val="nil"/>
              <w:left w:val="nil"/>
              <w:bottom w:val="single" w:sz="4" w:space="0" w:color="auto"/>
              <w:right w:val="single" w:sz="4" w:space="0" w:color="auto"/>
            </w:tcBorders>
            <w:shd w:val="clear" w:color="auto" w:fill="auto"/>
            <w:vAlign w:val="bottom"/>
            <w:hideMark/>
          </w:tcPr>
          <w:p w:rsidR="00E14996" w:rsidRPr="00E14996" w:rsidRDefault="00E14996" w:rsidP="00E14996">
            <w:pPr>
              <w:rPr>
                <w:rFonts w:ascii="Times New Roman" w:eastAsia="Times New Roman" w:hAnsi="Times New Roman"/>
                <w:color w:val="000000"/>
                <w:sz w:val="16"/>
                <w:szCs w:val="16"/>
              </w:rPr>
            </w:pPr>
            <w:r w:rsidRPr="00E14996">
              <w:rPr>
                <w:rFonts w:ascii="Times New Roman" w:eastAsia="Times New Roman" w:hAnsi="Times New Roman"/>
                <w:color w:val="000000"/>
                <w:sz w:val="16"/>
                <w:szCs w:val="16"/>
              </w:rPr>
              <w:t> </w:t>
            </w:r>
          </w:p>
        </w:tc>
        <w:tc>
          <w:tcPr>
            <w:tcW w:w="417" w:type="pct"/>
            <w:tcBorders>
              <w:top w:val="nil"/>
              <w:left w:val="nil"/>
              <w:bottom w:val="single" w:sz="4" w:space="0" w:color="auto"/>
              <w:right w:val="single" w:sz="4" w:space="0" w:color="auto"/>
            </w:tcBorders>
            <w:shd w:val="clear" w:color="auto" w:fill="auto"/>
            <w:vAlign w:val="bottom"/>
            <w:hideMark/>
          </w:tcPr>
          <w:p w:rsidR="00E14996" w:rsidRPr="00E14996" w:rsidRDefault="00E02688" w:rsidP="00D97CA2">
            <w:pPr>
              <w:rPr>
                <w:rFonts w:ascii="Times New Roman" w:eastAsia="Times New Roman" w:hAnsi="Times New Roman"/>
                <w:sz w:val="16"/>
                <w:szCs w:val="16"/>
              </w:rPr>
            </w:pPr>
            <w:r w:rsidRPr="00E02688">
              <w:rPr>
                <w:rFonts w:ascii="Times New Roman" w:eastAsia="Times New Roman" w:hAnsi="Times New Roman"/>
                <w:sz w:val="16"/>
                <w:szCs w:val="16"/>
              </w:rPr>
              <w:t>$49,445,556</w:t>
            </w:r>
          </w:p>
        </w:tc>
      </w:tr>
    </w:tbl>
    <w:p w:rsidR="00B47C5E" w:rsidRPr="00600970" w:rsidRDefault="00B47C5E" w:rsidP="00B47C5E">
      <w:pPr>
        <w:rPr>
          <w:rFonts w:ascii="Times New Roman" w:hAnsi="Times New Roman"/>
          <w:sz w:val="20"/>
          <w:szCs w:val="16"/>
        </w:rPr>
      </w:pPr>
      <w:proofErr w:type="gramStart"/>
      <w:r w:rsidRPr="00600970">
        <w:rPr>
          <w:rFonts w:ascii="Times New Roman" w:hAnsi="Times New Roman"/>
          <w:sz w:val="20"/>
          <w:szCs w:val="16"/>
          <w:vertAlign w:val="superscript"/>
        </w:rPr>
        <w:t>a</w:t>
      </w:r>
      <w:proofErr w:type="gramEnd"/>
      <w:r w:rsidRPr="00600970">
        <w:rPr>
          <w:rFonts w:ascii="Times New Roman" w:hAnsi="Times New Roman"/>
          <w:sz w:val="20"/>
          <w:szCs w:val="16"/>
        </w:rPr>
        <w:t xml:space="preserve"> There are 1,257 existing electric generating units.  One third of those are assumed to be tested each year.</w:t>
      </w:r>
    </w:p>
    <w:p w:rsidR="00B47C5E" w:rsidRPr="00600970" w:rsidRDefault="00B47C5E" w:rsidP="00B47C5E">
      <w:pPr>
        <w:rPr>
          <w:rFonts w:ascii="Times New Roman" w:hAnsi="Times New Roman"/>
          <w:sz w:val="20"/>
          <w:szCs w:val="16"/>
        </w:rPr>
        <w:sectPr w:rsidR="00B47C5E" w:rsidRPr="00600970" w:rsidSect="00593F37">
          <w:pgSz w:w="15840" w:h="12240" w:orient="landscape"/>
          <w:pgMar w:top="1440" w:right="1440" w:bottom="1440" w:left="1440" w:header="720" w:footer="720" w:gutter="0"/>
          <w:cols w:space="720"/>
          <w:docGrid w:linePitch="360"/>
        </w:sectPr>
      </w:pPr>
      <w:proofErr w:type="gramStart"/>
      <w:r w:rsidRPr="00600970">
        <w:rPr>
          <w:rFonts w:ascii="Times New Roman" w:hAnsi="Times New Roman"/>
          <w:sz w:val="20"/>
          <w:szCs w:val="16"/>
          <w:vertAlign w:val="superscript"/>
        </w:rPr>
        <w:t>b</w:t>
      </w:r>
      <w:proofErr w:type="gramEnd"/>
      <w:r w:rsidRPr="00600970">
        <w:rPr>
          <w:rFonts w:ascii="Times New Roman" w:hAnsi="Times New Roman"/>
          <w:sz w:val="20"/>
          <w:szCs w:val="16"/>
        </w:rPr>
        <w:t xml:space="preserve"> 10% of sources are assumed to submit SSM report each year.</w:t>
      </w:r>
    </w:p>
    <w:p w:rsidR="008A2083" w:rsidRPr="00E14996" w:rsidRDefault="008A2083" w:rsidP="00E14996">
      <w:pPr>
        <w:pStyle w:val="ExhibitTitle"/>
        <w:rPr>
          <w:rFonts w:ascii="Times New Roman" w:hAnsi="Times New Roman"/>
        </w:rPr>
      </w:pPr>
      <w:proofErr w:type="gramStart"/>
      <w:r w:rsidRPr="00E14996">
        <w:rPr>
          <w:rFonts w:ascii="Times New Roman" w:hAnsi="Times New Roman"/>
        </w:rPr>
        <w:lastRenderedPageBreak/>
        <w:t>Table 2a</w:t>
      </w:r>
      <w:r w:rsidR="005E7A9E">
        <w:rPr>
          <w:rFonts w:ascii="Times New Roman" w:hAnsi="Times New Roman"/>
        </w:rPr>
        <w:t>.</w:t>
      </w:r>
      <w:proofErr w:type="gramEnd"/>
      <w:r w:rsidRPr="00E14996">
        <w:rPr>
          <w:rFonts w:ascii="Times New Roman" w:hAnsi="Times New Roman"/>
        </w:rPr>
        <w:tab/>
        <w:t xml:space="preserve">Year 1 Agency Burden and Cost, NESHAP for </w:t>
      </w:r>
      <w:r w:rsidR="00E14996" w:rsidRPr="00E14996">
        <w:rPr>
          <w:rFonts w:ascii="Times New Roman" w:hAnsi="Times New Roman"/>
        </w:rPr>
        <w:t>Electric Generating Units</w:t>
      </w:r>
      <w:r w:rsidRPr="00E14996">
        <w:rPr>
          <w:rFonts w:ascii="Times New Roman" w:hAnsi="Times New Roman"/>
        </w:rPr>
        <w:t xml:space="preserve"> (40 CFR part 63, subpart </w:t>
      </w:r>
      <w:r w:rsidR="00E14996" w:rsidRPr="00E14996">
        <w:rPr>
          <w:rFonts w:ascii="Times New Roman" w:hAnsi="Times New Roman"/>
        </w:rPr>
        <w:t>UUUUU</w:t>
      </w:r>
      <w:r w:rsidRPr="00E14996">
        <w:rPr>
          <w:rFonts w:ascii="Times New Roman" w:hAnsi="Times New Roman"/>
        </w:rPr>
        <w:t>)</w:t>
      </w:r>
    </w:p>
    <w:tbl>
      <w:tblPr>
        <w:tblW w:w="5000" w:type="pct"/>
        <w:tblLook w:val="04A0"/>
      </w:tblPr>
      <w:tblGrid>
        <w:gridCol w:w="4220"/>
        <w:gridCol w:w="1016"/>
        <w:gridCol w:w="1123"/>
        <w:gridCol w:w="963"/>
        <w:gridCol w:w="701"/>
        <w:gridCol w:w="1176"/>
        <w:gridCol w:w="1336"/>
        <w:gridCol w:w="1025"/>
        <w:gridCol w:w="1616"/>
      </w:tblGrid>
      <w:tr w:rsidR="009114F8" w:rsidRPr="009114F8" w:rsidTr="00D97CA2">
        <w:trPr>
          <w:trHeight w:val="1050"/>
        </w:trPr>
        <w:tc>
          <w:tcPr>
            <w:tcW w:w="1607" w:type="pct"/>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Activity -- Year 1</w:t>
            </w:r>
          </w:p>
        </w:tc>
        <w:tc>
          <w:tcPr>
            <w:tcW w:w="423"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(A) EPA Hours/ Occurrence</w:t>
            </w:r>
          </w:p>
        </w:tc>
        <w:tc>
          <w:tcPr>
            <w:tcW w:w="512"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(B) Occurrences/ Plant/Year</w:t>
            </w:r>
          </w:p>
        </w:tc>
        <w:tc>
          <w:tcPr>
            <w:tcW w:w="375"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(C) EPA Hours/ Plant/Year (A x B)</w:t>
            </w:r>
          </w:p>
        </w:tc>
        <w:tc>
          <w:tcPr>
            <w:tcW w:w="345"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(D) Plants/ Year</w:t>
            </w:r>
          </w:p>
        </w:tc>
        <w:tc>
          <w:tcPr>
            <w:tcW w:w="381"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(E) EPA Technical Hours/ Year (C x D)</w:t>
            </w:r>
          </w:p>
        </w:tc>
        <w:tc>
          <w:tcPr>
            <w:tcW w:w="452"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(F) EPA Managerial Hours/Year</w:t>
            </w:r>
          </w:p>
        </w:tc>
        <w:tc>
          <w:tcPr>
            <w:tcW w:w="375"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(G) EPA Clerical Hours/Year</w:t>
            </w:r>
          </w:p>
        </w:tc>
        <w:tc>
          <w:tcPr>
            <w:tcW w:w="530"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(H) Cost, $</w:t>
            </w:r>
          </w:p>
        </w:tc>
      </w:tr>
      <w:tr w:rsidR="009114F8" w:rsidRPr="009114F8" w:rsidTr="00430CBF">
        <w:trPr>
          <w:trHeight w:val="315"/>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600970">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Observe Initial Performance Tests </w:t>
            </w:r>
          </w:p>
        </w:tc>
        <w:tc>
          <w:tcPr>
            <w:tcW w:w="42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24</w:t>
            </w:r>
          </w:p>
        </w:tc>
        <w:tc>
          <w:tcPr>
            <w:tcW w:w="51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24</w:t>
            </w:r>
          </w:p>
        </w:tc>
        <w:tc>
          <w:tcPr>
            <w:tcW w:w="34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84.13</w:t>
            </w:r>
          </w:p>
        </w:tc>
        <w:tc>
          <w:tcPr>
            <w:tcW w:w="38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2019.2</w:t>
            </w:r>
          </w:p>
        </w:tc>
        <w:tc>
          <w:tcPr>
            <w:tcW w:w="45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100.96</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20.192</w:t>
            </w:r>
          </w:p>
        </w:tc>
        <w:tc>
          <w:tcPr>
            <w:tcW w:w="53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100,095 </w:t>
            </w:r>
          </w:p>
        </w:tc>
      </w:tr>
      <w:tr w:rsidR="009114F8" w:rsidRPr="009114F8" w:rsidTr="00430CBF">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Observe</w:t>
            </w:r>
            <w:r w:rsidR="00600970">
              <w:rPr>
                <w:rFonts w:ascii="Times New Roman" w:eastAsia="Times New Roman" w:hAnsi="Times New Roman"/>
                <w:color w:val="000000"/>
                <w:sz w:val="16"/>
                <w:szCs w:val="16"/>
              </w:rPr>
              <w:t xml:space="preserve"> Repeat Performance Tests </w:t>
            </w:r>
          </w:p>
        </w:tc>
        <w:tc>
          <w:tcPr>
            <w:tcW w:w="42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24</w:t>
            </w:r>
          </w:p>
        </w:tc>
        <w:tc>
          <w:tcPr>
            <w:tcW w:w="51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0.2</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4.8</w:t>
            </w:r>
          </w:p>
        </w:tc>
        <w:tc>
          <w:tcPr>
            <w:tcW w:w="34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84.13</w:t>
            </w:r>
          </w:p>
        </w:tc>
        <w:tc>
          <w:tcPr>
            <w:tcW w:w="38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403.84</w:t>
            </w:r>
          </w:p>
        </w:tc>
        <w:tc>
          <w:tcPr>
            <w:tcW w:w="45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20.192</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4.0384</w:t>
            </w:r>
          </w:p>
        </w:tc>
        <w:tc>
          <w:tcPr>
            <w:tcW w:w="53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20,019 </w:t>
            </w:r>
          </w:p>
        </w:tc>
      </w:tr>
      <w:tr w:rsidR="009114F8" w:rsidRPr="009114F8" w:rsidTr="00430CBF">
        <w:trPr>
          <w:trHeight w:val="300"/>
        </w:trPr>
        <w:tc>
          <w:tcPr>
            <w:tcW w:w="1607" w:type="pct"/>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Notifi</w:t>
            </w:r>
            <w:r w:rsidR="00600970">
              <w:rPr>
                <w:rFonts w:ascii="Times New Roman" w:eastAsia="Times New Roman" w:hAnsi="Times New Roman"/>
                <w:color w:val="000000"/>
                <w:sz w:val="16"/>
                <w:szCs w:val="16"/>
              </w:rPr>
              <w:t>cation of Demonstration of CEMS</w:t>
            </w:r>
          </w:p>
        </w:tc>
        <w:tc>
          <w:tcPr>
            <w:tcW w:w="42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51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34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421.00</w:t>
            </w:r>
          </w:p>
        </w:tc>
        <w:tc>
          <w:tcPr>
            <w:tcW w:w="38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210.5</w:t>
            </w:r>
          </w:p>
        </w:tc>
        <w:tc>
          <w:tcPr>
            <w:tcW w:w="45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10.525</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2.105</w:t>
            </w:r>
          </w:p>
        </w:tc>
        <w:tc>
          <w:tcPr>
            <w:tcW w:w="53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10,435 </w:t>
            </w:r>
          </w:p>
        </w:tc>
      </w:tr>
      <w:tr w:rsidR="009114F8" w:rsidRPr="009114F8" w:rsidTr="00430CBF">
        <w:trPr>
          <w:trHeight w:val="300"/>
        </w:trPr>
        <w:tc>
          <w:tcPr>
            <w:tcW w:w="1607" w:type="pct"/>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Quality Assurance Program Notification</w:t>
            </w:r>
          </w:p>
        </w:tc>
        <w:tc>
          <w:tcPr>
            <w:tcW w:w="42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51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34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421.00</w:t>
            </w:r>
          </w:p>
        </w:tc>
        <w:tc>
          <w:tcPr>
            <w:tcW w:w="38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210.5</w:t>
            </w:r>
          </w:p>
        </w:tc>
        <w:tc>
          <w:tcPr>
            <w:tcW w:w="45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10.525</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2.105</w:t>
            </w:r>
          </w:p>
        </w:tc>
        <w:tc>
          <w:tcPr>
            <w:tcW w:w="53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10,435 </w:t>
            </w:r>
          </w:p>
        </w:tc>
      </w:tr>
      <w:tr w:rsidR="009114F8" w:rsidRPr="009114F8" w:rsidTr="00430CBF">
        <w:trPr>
          <w:trHeight w:val="300"/>
        </w:trPr>
        <w:tc>
          <w:tcPr>
            <w:tcW w:w="1607" w:type="pct"/>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Startup, shutdo</w:t>
            </w:r>
            <w:r w:rsidR="00600970">
              <w:rPr>
                <w:rFonts w:ascii="Times New Roman" w:eastAsia="Times New Roman" w:hAnsi="Times New Roman"/>
                <w:color w:val="000000"/>
                <w:sz w:val="16"/>
                <w:szCs w:val="16"/>
              </w:rPr>
              <w:t xml:space="preserve">wn, and malfunction Report </w:t>
            </w:r>
          </w:p>
        </w:tc>
        <w:tc>
          <w:tcPr>
            <w:tcW w:w="42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51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34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421.00</w:t>
            </w:r>
          </w:p>
        </w:tc>
        <w:tc>
          <w:tcPr>
            <w:tcW w:w="38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3368</w:t>
            </w:r>
          </w:p>
        </w:tc>
        <w:tc>
          <w:tcPr>
            <w:tcW w:w="45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168.4</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33.68</w:t>
            </w:r>
          </w:p>
        </w:tc>
        <w:tc>
          <w:tcPr>
            <w:tcW w:w="53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166,957 </w:t>
            </w:r>
          </w:p>
        </w:tc>
      </w:tr>
      <w:tr w:rsidR="009114F8" w:rsidRPr="009114F8" w:rsidTr="00430CBF">
        <w:trPr>
          <w:trHeight w:val="300"/>
        </w:trPr>
        <w:tc>
          <w:tcPr>
            <w:tcW w:w="1607" w:type="pct"/>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Notification of Compliance Status</w:t>
            </w:r>
          </w:p>
        </w:tc>
        <w:tc>
          <w:tcPr>
            <w:tcW w:w="42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51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34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421.00</w:t>
            </w:r>
          </w:p>
        </w:tc>
        <w:tc>
          <w:tcPr>
            <w:tcW w:w="38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210.5</w:t>
            </w:r>
          </w:p>
        </w:tc>
        <w:tc>
          <w:tcPr>
            <w:tcW w:w="45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10.525</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2.105</w:t>
            </w:r>
          </w:p>
        </w:tc>
        <w:tc>
          <w:tcPr>
            <w:tcW w:w="53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10,435 </w:t>
            </w:r>
          </w:p>
        </w:tc>
      </w:tr>
      <w:tr w:rsidR="009114F8" w:rsidRPr="009114F8" w:rsidTr="00430CBF">
        <w:trPr>
          <w:trHeight w:val="300"/>
        </w:trPr>
        <w:tc>
          <w:tcPr>
            <w:tcW w:w="1607" w:type="pct"/>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requests to use alternative monitoring procedure</w:t>
            </w:r>
          </w:p>
        </w:tc>
        <w:tc>
          <w:tcPr>
            <w:tcW w:w="42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51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34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421.00</w:t>
            </w:r>
          </w:p>
        </w:tc>
        <w:tc>
          <w:tcPr>
            <w:tcW w:w="38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210.5</w:t>
            </w:r>
          </w:p>
        </w:tc>
        <w:tc>
          <w:tcPr>
            <w:tcW w:w="45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10.525</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2.105</w:t>
            </w:r>
          </w:p>
        </w:tc>
        <w:tc>
          <w:tcPr>
            <w:tcW w:w="53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10,435 </w:t>
            </w:r>
          </w:p>
        </w:tc>
      </w:tr>
      <w:tr w:rsidR="009114F8" w:rsidRPr="009114F8" w:rsidTr="00430CBF">
        <w:trPr>
          <w:trHeight w:val="300"/>
        </w:trPr>
        <w:tc>
          <w:tcPr>
            <w:tcW w:w="1607" w:type="pct"/>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Initial Notifications</w:t>
            </w:r>
          </w:p>
        </w:tc>
        <w:tc>
          <w:tcPr>
            <w:tcW w:w="42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51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34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2.00</w:t>
            </w:r>
          </w:p>
        </w:tc>
        <w:tc>
          <w:tcPr>
            <w:tcW w:w="38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45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0.05</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0.01</w:t>
            </w:r>
          </w:p>
        </w:tc>
        <w:tc>
          <w:tcPr>
            <w:tcW w:w="53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50 </w:t>
            </w:r>
          </w:p>
        </w:tc>
      </w:tr>
      <w:tr w:rsidR="009114F8" w:rsidRPr="009114F8" w:rsidTr="00430CBF">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Notification of performance test</w:t>
            </w:r>
          </w:p>
        </w:tc>
        <w:tc>
          <w:tcPr>
            <w:tcW w:w="42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51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34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421.00</w:t>
            </w:r>
          </w:p>
        </w:tc>
        <w:tc>
          <w:tcPr>
            <w:tcW w:w="38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210.5</w:t>
            </w:r>
          </w:p>
        </w:tc>
        <w:tc>
          <w:tcPr>
            <w:tcW w:w="45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10.525</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2.105</w:t>
            </w:r>
          </w:p>
        </w:tc>
        <w:tc>
          <w:tcPr>
            <w:tcW w:w="53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10,435 </w:t>
            </w:r>
          </w:p>
        </w:tc>
      </w:tr>
      <w:tr w:rsidR="009114F8" w:rsidRPr="009114F8" w:rsidTr="00430CBF">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Test/CEMS Results</w:t>
            </w:r>
          </w:p>
        </w:tc>
        <w:tc>
          <w:tcPr>
            <w:tcW w:w="42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51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34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421.00</w:t>
            </w:r>
          </w:p>
        </w:tc>
        <w:tc>
          <w:tcPr>
            <w:tcW w:w="38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3368</w:t>
            </w:r>
          </w:p>
        </w:tc>
        <w:tc>
          <w:tcPr>
            <w:tcW w:w="45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168.4</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33.68</w:t>
            </w:r>
          </w:p>
        </w:tc>
        <w:tc>
          <w:tcPr>
            <w:tcW w:w="53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166,957 </w:t>
            </w:r>
          </w:p>
        </w:tc>
      </w:tr>
      <w:tr w:rsidR="009114F8" w:rsidRPr="009114F8" w:rsidTr="00430CBF">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site specific performance evaluation test plan</w:t>
            </w:r>
          </w:p>
        </w:tc>
        <w:tc>
          <w:tcPr>
            <w:tcW w:w="42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51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34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421.00</w:t>
            </w:r>
          </w:p>
        </w:tc>
        <w:tc>
          <w:tcPr>
            <w:tcW w:w="38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3368</w:t>
            </w:r>
          </w:p>
        </w:tc>
        <w:tc>
          <w:tcPr>
            <w:tcW w:w="45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168.4</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33.68</w:t>
            </w:r>
          </w:p>
        </w:tc>
        <w:tc>
          <w:tcPr>
            <w:tcW w:w="53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166,957 </w:t>
            </w:r>
          </w:p>
        </w:tc>
      </w:tr>
      <w:tr w:rsidR="009114F8" w:rsidRPr="009114F8" w:rsidTr="00430CBF">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Semi-Annual reports</w:t>
            </w:r>
          </w:p>
        </w:tc>
        <w:tc>
          <w:tcPr>
            <w:tcW w:w="42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51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34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421.00</w:t>
            </w:r>
          </w:p>
        </w:tc>
        <w:tc>
          <w:tcPr>
            <w:tcW w:w="38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3368</w:t>
            </w:r>
          </w:p>
        </w:tc>
        <w:tc>
          <w:tcPr>
            <w:tcW w:w="45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168.4</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33.68</w:t>
            </w:r>
          </w:p>
        </w:tc>
        <w:tc>
          <w:tcPr>
            <w:tcW w:w="53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166,957 </w:t>
            </w:r>
          </w:p>
        </w:tc>
      </w:tr>
      <w:tr w:rsidR="009114F8" w:rsidRPr="009114F8" w:rsidTr="00430CBF">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Total Annual Hours</w:t>
            </w:r>
          </w:p>
        </w:tc>
        <w:tc>
          <w:tcPr>
            <w:tcW w:w="42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4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8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16,949 </w:t>
            </w:r>
          </w:p>
        </w:tc>
        <w:tc>
          <w:tcPr>
            <w:tcW w:w="45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847.427</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169.4854</w:t>
            </w:r>
          </w:p>
        </w:tc>
        <w:tc>
          <w:tcPr>
            <w:tcW w:w="53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840,168 </w:t>
            </w:r>
          </w:p>
        </w:tc>
      </w:tr>
      <w:tr w:rsidR="009114F8" w:rsidRPr="009114F8" w:rsidTr="00430CBF">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2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4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8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5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17,965.45 </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hours</w:t>
            </w:r>
          </w:p>
        </w:tc>
        <w:tc>
          <w:tcPr>
            <w:tcW w:w="53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r>
      <w:tr w:rsidR="009114F8" w:rsidRPr="009114F8" w:rsidTr="00430CBF">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Travel Expenses</w:t>
            </w:r>
          </w:p>
        </w:tc>
        <w:tc>
          <w:tcPr>
            <w:tcW w:w="42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4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8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5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53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33,600 </w:t>
            </w:r>
          </w:p>
        </w:tc>
      </w:tr>
      <w:tr w:rsidR="009114F8" w:rsidRPr="009114F8" w:rsidTr="00430CBF">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2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4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8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5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7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53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873,768 </w:t>
            </w:r>
          </w:p>
        </w:tc>
      </w:tr>
      <w:tr w:rsidR="009114F8" w:rsidRPr="009114F8" w:rsidTr="00D97CA2">
        <w:trPr>
          <w:trHeight w:val="300"/>
        </w:trPr>
        <w:tc>
          <w:tcPr>
            <w:tcW w:w="1607" w:type="pct"/>
            <w:tcBorders>
              <w:top w:val="nil"/>
              <w:left w:val="nil"/>
              <w:bottom w:val="nil"/>
              <w:right w:val="nil"/>
            </w:tcBorders>
            <w:shd w:val="clear" w:color="auto" w:fill="auto"/>
            <w:noWrap/>
            <w:vAlign w:val="bottom"/>
            <w:hideMark/>
          </w:tcPr>
          <w:p w:rsidR="009114F8" w:rsidRPr="009114F8" w:rsidRDefault="00600970" w:rsidP="009114F8">
            <w:pPr>
              <w:rPr>
                <w:rFonts w:ascii="Times New Roman" w:eastAsia="Times New Roman" w:hAnsi="Times New Roman"/>
                <w:color w:val="000000"/>
                <w:sz w:val="16"/>
                <w:szCs w:val="16"/>
              </w:rPr>
            </w:pPr>
            <w:r>
              <w:rPr>
                <w:rFonts w:ascii="Times New Roman" w:eastAsia="Times New Roman" w:hAnsi="Times New Roman"/>
                <w:color w:val="000000"/>
                <w:sz w:val="16"/>
                <w:szCs w:val="16"/>
              </w:rPr>
              <w:t>EPA Officials are assumed to attend 20% of performance tests</w:t>
            </w:r>
          </w:p>
        </w:tc>
        <w:tc>
          <w:tcPr>
            <w:tcW w:w="423"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512"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375"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345"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381"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452"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375"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530"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r>
      <w:tr w:rsidR="009114F8" w:rsidRPr="009114F8" w:rsidTr="00D97CA2">
        <w:trPr>
          <w:trHeight w:val="300"/>
        </w:trPr>
        <w:tc>
          <w:tcPr>
            <w:tcW w:w="3643" w:type="pct"/>
            <w:gridSpan w:val="6"/>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Travel Expenses = (1 person x 84 plants/year x 3 days/plant x $50 per diem) + ($250 round trip/plant x 84 plants/year) = $33,600/year</w:t>
            </w:r>
          </w:p>
        </w:tc>
        <w:tc>
          <w:tcPr>
            <w:tcW w:w="452"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375"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530"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r>
      <w:tr w:rsidR="009114F8" w:rsidRPr="009114F8" w:rsidTr="00D97CA2">
        <w:trPr>
          <w:trHeight w:val="300"/>
        </w:trPr>
        <w:tc>
          <w:tcPr>
            <w:tcW w:w="1607"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Assume visit 84 plants per year</w:t>
            </w:r>
          </w:p>
        </w:tc>
        <w:tc>
          <w:tcPr>
            <w:tcW w:w="423"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512"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375"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345"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381"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452"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375"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530"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r>
    </w:tbl>
    <w:p w:rsidR="008A2083" w:rsidRPr="00F245EA" w:rsidRDefault="008A2083" w:rsidP="002D550B">
      <w:pPr>
        <w:rPr>
          <w:rFonts w:ascii="Times New Roman" w:hAnsi="Times New Roman"/>
          <w:highlight w:val="yellow"/>
        </w:rPr>
      </w:pPr>
    </w:p>
    <w:p w:rsidR="008A2083" w:rsidRPr="00F245EA" w:rsidRDefault="008A2083" w:rsidP="002D550B">
      <w:pPr>
        <w:rPr>
          <w:rFonts w:ascii="Times New Roman" w:hAnsi="Times New Roman"/>
          <w:highlight w:val="yellow"/>
        </w:rPr>
        <w:sectPr w:rsidR="008A2083" w:rsidRPr="00F245EA" w:rsidSect="00593F37">
          <w:pgSz w:w="15840" w:h="12240" w:orient="landscape"/>
          <w:pgMar w:top="1440" w:right="1440" w:bottom="1440" w:left="1440" w:header="720" w:footer="720" w:gutter="0"/>
          <w:cols w:space="720"/>
          <w:docGrid w:linePitch="360"/>
        </w:sectPr>
      </w:pPr>
    </w:p>
    <w:p w:rsidR="008A2083" w:rsidRPr="00E14996" w:rsidRDefault="008A2083" w:rsidP="00E14996">
      <w:pPr>
        <w:pStyle w:val="ExhibitTitle"/>
        <w:rPr>
          <w:rFonts w:ascii="Times New Roman" w:hAnsi="Times New Roman"/>
        </w:rPr>
      </w:pPr>
      <w:proofErr w:type="gramStart"/>
      <w:r w:rsidRPr="00E14996">
        <w:rPr>
          <w:rFonts w:ascii="Times New Roman" w:hAnsi="Times New Roman"/>
        </w:rPr>
        <w:lastRenderedPageBreak/>
        <w:t>Table 2b</w:t>
      </w:r>
      <w:r w:rsidR="005E7A9E">
        <w:rPr>
          <w:rFonts w:ascii="Times New Roman" w:hAnsi="Times New Roman"/>
        </w:rPr>
        <w:t>.</w:t>
      </w:r>
      <w:proofErr w:type="gramEnd"/>
      <w:r w:rsidRPr="00E14996">
        <w:rPr>
          <w:rFonts w:ascii="Times New Roman" w:hAnsi="Times New Roman"/>
        </w:rPr>
        <w:tab/>
        <w:t xml:space="preserve">Year 2 Agency Burden and Cost, NESHAP for </w:t>
      </w:r>
      <w:r w:rsidR="00E14996" w:rsidRPr="00E14996">
        <w:rPr>
          <w:rFonts w:ascii="Times New Roman" w:hAnsi="Times New Roman"/>
        </w:rPr>
        <w:t>Electric Generating Units</w:t>
      </w:r>
      <w:r w:rsidRPr="00E14996">
        <w:rPr>
          <w:rFonts w:ascii="Times New Roman" w:hAnsi="Times New Roman"/>
        </w:rPr>
        <w:t xml:space="preserve"> (40 CFR part 63, subpart </w:t>
      </w:r>
      <w:r w:rsidR="00E14996" w:rsidRPr="00E14996">
        <w:rPr>
          <w:rFonts w:ascii="Times New Roman" w:hAnsi="Times New Roman"/>
        </w:rPr>
        <w:t>UUUUU</w:t>
      </w:r>
      <w:r w:rsidRPr="00E14996">
        <w:rPr>
          <w:rFonts w:ascii="Times New Roman" w:hAnsi="Times New Roman"/>
        </w:rPr>
        <w:t>)</w:t>
      </w:r>
    </w:p>
    <w:p w:rsidR="00E01358" w:rsidRPr="00F245EA" w:rsidRDefault="00E01358" w:rsidP="002D550B">
      <w:pPr>
        <w:rPr>
          <w:rFonts w:ascii="Times New Roman" w:hAnsi="Times New Roman"/>
          <w:sz w:val="16"/>
          <w:szCs w:val="16"/>
          <w:highlight w:val="yellow"/>
        </w:rPr>
      </w:pPr>
    </w:p>
    <w:tbl>
      <w:tblPr>
        <w:tblW w:w="5000" w:type="pct"/>
        <w:tblLook w:val="04A0"/>
      </w:tblPr>
      <w:tblGrid>
        <w:gridCol w:w="4220"/>
        <w:gridCol w:w="1016"/>
        <w:gridCol w:w="1123"/>
        <w:gridCol w:w="963"/>
        <w:gridCol w:w="701"/>
        <w:gridCol w:w="1176"/>
        <w:gridCol w:w="1336"/>
        <w:gridCol w:w="1025"/>
        <w:gridCol w:w="1616"/>
      </w:tblGrid>
      <w:tr w:rsidR="009114F8" w:rsidRPr="009114F8" w:rsidTr="00600970">
        <w:trPr>
          <w:trHeight w:val="1050"/>
        </w:trPr>
        <w:tc>
          <w:tcPr>
            <w:tcW w:w="1504" w:type="pct"/>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Activity -- Year 2</w:t>
            </w:r>
          </w:p>
        </w:tc>
        <w:tc>
          <w:tcPr>
            <w:tcW w:w="388"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(A) EPA Hours/ Occurrence</w:t>
            </w:r>
          </w:p>
        </w:tc>
        <w:tc>
          <w:tcPr>
            <w:tcW w:w="470"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(B) Occurrences/ Plant/Year</w:t>
            </w:r>
          </w:p>
        </w:tc>
        <w:tc>
          <w:tcPr>
            <w:tcW w:w="365"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(C) EPA Hours/ Plant/Year (A x B)</w:t>
            </w:r>
          </w:p>
        </w:tc>
        <w:tc>
          <w:tcPr>
            <w:tcW w:w="317"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(D) Plants/ Year</w:t>
            </w:r>
          </w:p>
        </w:tc>
        <w:tc>
          <w:tcPr>
            <w:tcW w:w="446"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(E) EPA Technical Hours/ Year (C x D)</w:t>
            </w:r>
          </w:p>
        </w:tc>
        <w:tc>
          <w:tcPr>
            <w:tcW w:w="507"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(F) EPA Managerial Hours/Year</w:t>
            </w:r>
          </w:p>
        </w:tc>
        <w:tc>
          <w:tcPr>
            <w:tcW w:w="389"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(G) EPA Clerical Hours/Year</w:t>
            </w:r>
          </w:p>
        </w:tc>
        <w:tc>
          <w:tcPr>
            <w:tcW w:w="613"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(H) Cost, $</w:t>
            </w:r>
          </w:p>
        </w:tc>
      </w:tr>
      <w:tr w:rsidR="009114F8" w:rsidRPr="009114F8" w:rsidTr="00430CBF">
        <w:trPr>
          <w:trHeight w:val="315"/>
        </w:trPr>
        <w:tc>
          <w:tcPr>
            <w:tcW w:w="1504"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Observe Initial Perf</w:t>
            </w:r>
            <w:r w:rsidR="00600970">
              <w:rPr>
                <w:rFonts w:ascii="Times New Roman" w:eastAsia="Times New Roman" w:hAnsi="Times New Roman"/>
                <w:color w:val="000000"/>
                <w:sz w:val="16"/>
                <w:szCs w:val="16"/>
              </w:rPr>
              <w:t>ormance Tests</w:t>
            </w:r>
          </w:p>
        </w:tc>
        <w:tc>
          <w:tcPr>
            <w:tcW w:w="388"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24</w:t>
            </w:r>
          </w:p>
        </w:tc>
        <w:tc>
          <w:tcPr>
            <w:tcW w:w="47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6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24</w:t>
            </w:r>
          </w:p>
        </w:tc>
        <w:tc>
          <w:tcPr>
            <w:tcW w:w="31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84.13</w:t>
            </w:r>
          </w:p>
        </w:tc>
        <w:tc>
          <w:tcPr>
            <w:tcW w:w="44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2019.2</w:t>
            </w:r>
          </w:p>
        </w:tc>
        <w:tc>
          <w:tcPr>
            <w:tcW w:w="50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100.96</w:t>
            </w:r>
          </w:p>
        </w:tc>
        <w:tc>
          <w:tcPr>
            <w:tcW w:w="38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20.192</w:t>
            </w:r>
          </w:p>
        </w:tc>
        <w:tc>
          <w:tcPr>
            <w:tcW w:w="61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100,095 </w:t>
            </w:r>
          </w:p>
        </w:tc>
      </w:tr>
      <w:tr w:rsidR="009114F8" w:rsidRPr="009114F8" w:rsidTr="00430CBF">
        <w:trPr>
          <w:trHeight w:val="300"/>
        </w:trPr>
        <w:tc>
          <w:tcPr>
            <w:tcW w:w="1504"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Observe</w:t>
            </w:r>
            <w:r w:rsidR="00600970">
              <w:rPr>
                <w:rFonts w:ascii="Times New Roman" w:eastAsia="Times New Roman" w:hAnsi="Times New Roman"/>
                <w:color w:val="000000"/>
                <w:sz w:val="16"/>
                <w:szCs w:val="16"/>
              </w:rPr>
              <w:t xml:space="preserve"> Repeat Performance Tests</w:t>
            </w:r>
          </w:p>
        </w:tc>
        <w:tc>
          <w:tcPr>
            <w:tcW w:w="388"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24</w:t>
            </w:r>
          </w:p>
        </w:tc>
        <w:tc>
          <w:tcPr>
            <w:tcW w:w="47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0.2</w:t>
            </w:r>
          </w:p>
        </w:tc>
        <w:tc>
          <w:tcPr>
            <w:tcW w:w="36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4.8</w:t>
            </w:r>
          </w:p>
        </w:tc>
        <w:tc>
          <w:tcPr>
            <w:tcW w:w="31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84.13</w:t>
            </w:r>
          </w:p>
        </w:tc>
        <w:tc>
          <w:tcPr>
            <w:tcW w:w="44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403.84</w:t>
            </w:r>
          </w:p>
        </w:tc>
        <w:tc>
          <w:tcPr>
            <w:tcW w:w="50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20.192</w:t>
            </w:r>
          </w:p>
        </w:tc>
        <w:tc>
          <w:tcPr>
            <w:tcW w:w="38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4.0384</w:t>
            </w:r>
          </w:p>
        </w:tc>
        <w:tc>
          <w:tcPr>
            <w:tcW w:w="61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20,019 </w:t>
            </w:r>
          </w:p>
        </w:tc>
      </w:tr>
      <w:tr w:rsidR="009114F8" w:rsidRPr="009114F8" w:rsidTr="00430CBF">
        <w:trPr>
          <w:trHeight w:val="300"/>
        </w:trPr>
        <w:tc>
          <w:tcPr>
            <w:tcW w:w="1504" w:type="pct"/>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Notifi</w:t>
            </w:r>
            <w:r w:rsidR="00600970">
              <w:rPr>
                <w:rFonts w:ascii="Times New Roman" w:eastAsia="Times New Roman" w:hAnsi="Times New Roman"/>
                <w:color w:val="000000"/>
                <w:sz w:val="16"/>
                <w:szCs w:val="16"/>
              </w:rPr>
              <w:t>cation of Demonstration of CEMS</w:t>
            </w:r>
          </w:p>
        </w:tc>
        <w:tc>
          <w:tcPr>
            <w:tcW w:w="388"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47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6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31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423.00</w:t>
            </w:r>
          </w:p>
        </w:tc>
        <w:tc>
          <w:tcPr>
            <w:tcW w:w="44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211.5</w:t>
            </w:r>
          </w:p>
        </w:tc>
        <w:tc>
          <w:tcPr>
            <w:tcW w:w="50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10.575</w:t>
            </w:r>
          </w:p>
        </w:tc>
        <w:tc>
          <w:tcPr>
            <w:tcW w:w="38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2.115</w:t>
            </w:r>
          </w:p>
        </w:tc>
        <w:tc>
          <w:tcPr>
            <w:tcW w:w="61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10,484 </w:t>
            </w:r>
          </w:p>
        </w:tc>
      </w:tr>
      <w:tr w:rsidR="009114F8" w:rsidRPr="009114F8" w:rsidTr="00430CBF">
        <w:trPr>
          <w:trHeight w:val="300"/>
        </w:trPr>
        <w:tc>
          <w:tcPr>
            <w:tcW w:w="1504" w:type="pct"/>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Quality Assurance Program Notification</w:t>
            </w:r>
          </w:p>
        </w:tc>
        <w:tc>
          <w:tcPr>
            <w:tcW w:w="388"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47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6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31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423.00</w:t>
            </w:r>
          </w:p>
        </w:tc>
        <w:tc>
          <w:tcPr>
            <w:tcW w:w="44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211.5</w:t>
            </w:r>
          </w:p>
        </w:tc>
        <w:tc>
          <w:tcPr>
            <w:tcW w:w="50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10.575</w:t>
            </w:r>
          </w:p>
        </w:tc>
        <w:tc>
          <w:tcPr>
            <w:tcW w:w="38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2.115</w:t>
            </w:r>
          </w:p>
        </w:tc>
        <w:tc>
          <w:tcPr>
            <w:tcW w:w="61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10,484 </w:t>
            </w:r>
          </w:p>
        </w:tc>
      </w:tr>
      <w:tr w:rsidR="009114F8" w:rsidRPr="009114F8" w:rsidTr="00430CBF">
        <w:trPr>
          <w:trHeight w:val="300"/>
        </w:trPr>
        <w:tc>
          <w:tcPr>
            <w:tcW w:w="1504" w:type="pct"/>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Startup, shutdo</w:t>
            </w:r>
            <w:r w:rsidR="00600970">
              <w:rPr>
                <w:rFonts w:ascii="Times New Roman" w:eastAsia="Times New Roman" w:hAnsi="Times New Roman"/>
                <w:color w:val="000000"/>
                <w:sz w:val="16"/>
                <w:szCs w:val="16"/>
              </w:rPr>
              <w:t xml:space="preserve">wn, and malfunction Report </w:t>
            </w:r>
          </w:p>
        </w:tc>
        <w:tc>
          <w:tcPr>
            <w:tcW w:w="388"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47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6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31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423.00</w:t>
            </w:r>
          </w:p>
        </w:tc>
        <w:tc>
          <w:tcPr>
            <w:tcW w:w="44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3384</w:t>
            </w:r>
          </w:p>
        </w:tc>
        <w:tc>
          <w:tcPr>
            <w:tcW w:w="50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169.2</w:t>
            </w:r>
          </w:p>
        </w:tc>
        <w:tc>
          <w:tcPr>
            <w:tcW w:w="38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33.84</w:t>
            </w:r>
          </w:p>
        </w:tc>
        <w:tc>
          <w:tcPr>
            <w:tcW w:w="61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167,751 </w:t>
            </w:r>
          </w:p>
        </w:tc>
      </w:tr>
      <w:tr w:rsidR="009114F8" w:rsidRPr="009114F8" w:rsidTr="00430CBF">
        <w:trPr>
          <w:trHeight w:val="300"/>
        </w:trPr>
        <w:tc>
          <w:tcPr>
            <w:tcW w:w="1504" w:type="pct"/>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Notification of Compliance Status</w:t>
            </w:r>
          </w:p>
        </w:tc>
        <w:tc>
          <w:tcPr>
            <w:tcW w:w="388"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47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6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31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423.00</w:t>
            </w:r>
          </w:p>
        </w:tc>
        <w:tc>
          <w:tcPr>
            <w:tcW w:w="44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211.5</w:t>
            </w:r>
          </w:p>
        </w:tc>
        <w:tc>
          <w:tcPr>
            <w:tcW w:w="50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10.575</w:t>
            </w:r>
          </w:p>
        </w:tc>
        <w:tc>
          <w:tcPr>
            <w:tcW w:w="38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2.115</w:t>
            </w:r>
          </w:p>
        </w:tc>
        <w:tc>
          <w:tcPr>
            <w:tcW w:w="61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10,484 </w:t>
            </w:r>
          </w:p>
        </w:tc>
      </w:tr>
      <w:tr w:rsidR="009114F8" w:rsidRPr="009114F8" w:rsidTr="00430CBF">
        <w:trPr>
          <w:trHeight w:val="300"/>
        </w:trPr>
        <w:tc>
          <w:tcPr>
            <w:tcW w:w="1504" w:type="pct"/>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requests to use alternative monitoring procedure</w:t>
            </w:r>
          </w:p>
        </w:tc>
        <w:tc>
          <w:tcPr>
            <w:tcW w:w="388"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47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6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31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423.00</w:t>
            </w:r>
          </w:p>
        </w:tc>
        <w:tc>
          <w:tcPr>
            <w:tcW w:w="44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211.5</w:t>
            </w:r>
          </w:p>
        </w:tc>
        <w:tc>
          <w:tcPr>
            <w:tcW w:w="50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10.575</w:t>
            </w:r>
          </w:p>
        </w:tc>
        <w:tc>
          <w:tcPr>
            <w:tcW w:w="38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2.115</w:t>
            </w:r>
          </w:p>
        </w:tc>
        <w:tc>
          <w:tcPr>
            <w:tcW w:w="61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10,484 </w:t>
            </w:r>
          </w:p>
        </w:tc>
      </w:tr>
      <w:tr w:rsidR="009114F8" w:rsidRPr="009114F8" w:rsidTr="00430CBF">
        <w:trPr>
          <w:trHeight w:val="300"/>
        </w:trPr>
        <w:tc>
          <w:tcPr>
            <w:tcW w:w="1504" w:type="pct"/>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Initial Notifications</w:t>
            </w:r>
          </w:p>
        </w:tc>
        <w:tc>
          <w:tcPr>
            <w:tcW w:w="388"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47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6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31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2.00</w:t>
            </w:r>
          </w:p>
        </w:tc>
        <w:tc>
          <w:tcPr>
            <w:tcW w:w="44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50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0.05</w:t>
            </w:r>
          </w:p>
        </w:tc>
        <w:tc>
          <w:tcPr>
            <w:tcW w:w="38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0.01</w:t>
            </w:r>
          </w:p>
        </w:tc>
        <w:tc>
          <w:tcPr>
            <w:tcW w:w="61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50 </w:t>
            </w:r>
          </w:p>
        </w:tc>
      </w:tr>
      <w:tr w:rsidR="009114F8" w:rsidRPr="009114F8" w:rsidTr="00430CBF">
        <w:trPr>
          <w:trHeight w:val="300"/>
        </w:trPr>
        <w:tc>
          <w:tcPr>
            <w:tcW w:w="1504"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Notification of performance test</w:t>
            </w:r>
          </w:p>
        </w:tc>
        <w:tc>
          <w:tcPr>
            <w:tcW w:w="388"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47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6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31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423.00</w:t>
            </w:r>
          </w:p>
        </w:tc>
        <w:tc>
          <w:tcPr>
            <w:tcW w:w="44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211.5</w:t>
            </w:r>
          </w:p>
        </w:tc>
        <w:tc>
          <w:tcPr>
            <w:tcW w:w="50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10.575</w:t>
            </w:r>
          </w:p>
        </w:tc>
        <w:tc>
          <w:tcPr>
            <w:tcW w:w="38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2.115</w:t>
            </w:r>
          </w:p>
        </w:tc>
        <w:tc>
          <w:tcPr>
            <w:tcW w:w="61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10,484 </w:t>
            </w:r>
          </w:p>
        </w:tc>
      </w:tr>
      <w:tr w:rsidR="009114F8" w:rsidRPr="009114F8" w:rsidTr="00430CBF">
        <w:trPr>
          <w:trHeight w:val="300"/>
        </w:trPr>
        <w:tc>
          <w:tcPr>
            <w:tcW w:w="1504"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Test/CEMS Results</w:t>
            </w:r>
          </w:p>
        </w:tc>
        <w:tc>
          <w:tcPr>
            <w:tcW w:w="388"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47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6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31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423.00</w:t>
            </w:r>
          </w:p>
        </w:tc>
        <w:tc>
          <w:tcPr>
            <w:tcW w:w="44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3384</w:t>
            </w:r>
          </w:p>
        </w:tc>
        <w:tc>
          <w:tcPr>
            <w:tcW w:w="50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169.2</w:t>
            </w:r>
          </w:p>
        </w:tc>
        <w:tc>
          <w:tcPr>
            <w:tcW w:w="38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33.84</w:t>
            </w:r>
          </w:p>
        </w:tc>
        <w:tc>
          <w:tcPr>
            <w:tcW w:w="61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167,751 </w:t>
            </w:r>
          </w:p>
        </w:tc>
      </w:tr>
      <w:tr w:rsidR="009114F8" w:rsidRPr="009114F8" w:rsidTr="00430CBF">
        <w:trPr>
          <w:trHeight w:val="300"/>
        </w:trPr>
        <w:tc>
          <w:tcPr>
            <w:tcW w:w="1504"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site specific performance evaluation test plan</w:t>
            </w:r>
          </w:p>
        </w:tc>
        <w:tc>
          <w:tcPr>
            <w:tcW w:w="388"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47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6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31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423.00</w:t>
            </w:r>
          </w:p>
        </w:tc>
        <w:tc>
          <w:tcPr>
            <w:tcW w:w="44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3384</w:t>
            </w:r>
          </w:p>
        </w:tc>
        <w:tc>
          <w:tcPr>
            <w:tcW w:w="50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169.2</w:t>
            </w:r>
          </w:p>
        </w:tc>
        <w:tc>
          <w:tcPr>
            <w:tcW w:w="38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33.84</w:t>
            </w:r>
          </w:p>
        </w:tc>
        <w:tc>
          <w:tcPr>
            <w:tcW w:w="61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167,751 </w:t>
            </w:r>
          </w:p>
        </w:tc>
      </w:tr>
      <w:tr w:rsidR="009114F8" w:rsidRPr="009114F8" w:rsidTr="00430CBF">
        <w:trPr>
          <w:trHeight w:val="300"/>
        </w:trPr>
        <w:tc>
          <w:tcPr>
            <w:tcW w:w="1504"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Semi-Annual reports</w:t>
            </w:r>
          </w:p>
        </w:tc>
        <w:tc>
          <w:tcPr>
            <w:tcW w:w="388"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47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6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31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423.00</w:t>
            </w:r>
          </w:p>
        </w:tc>
        <w:tc>
          <w:tcPr>
            <w:tcW w:w="44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3384</w:t>
            </w:r>
          </w:p>
        </w:tc>
        <w:tc>
          <w:tcPr>
            <w:tcW w:w="50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169.2</w:t>
            </w:r>
          </w:p>
        </w:tc>
        <w:tc>
          <w:tcPr>
            <w:tcW w:w="38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33.84</w:t>
            </w:r>
          </w:p>
        </w:tc>
        <w:tc>
          <w:tcPr>
            <w:tcW w:w="61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167,751 </w:t>
            </w:r>
          </w:p>
        </w:tc>
      </w:tr>
      <w:tr w:rsidR="009114F8" w:rsidRPr="009114F8" w:rsidTr="00430CBF">
        <w:trPr>
          <w:trHeight w:val="300"/>
        </w:trPr>
        <w:tc>
          <w:tcPr>
            <w:tcW w:w="1504"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Total Annual Hours</w:t>
            </w:r>
          </w:p>
        </w:tc>
        <w:tc>
          <w:tcPr>
            <w:tcW w:w="388"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7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6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1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4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17,018 </w:t>
            </w:r>
          </w:p>
        </w:tc>
        <w:tc>
          <w:tcPr>
            <w:tcW w:w="50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850.877</w:t>
            </w:r>
          </w:p>
        </w:tc>
        <w:tc>
          <w:tcPr>
            <w:tcW w:w="38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170.1754</w:t>
            </w:r>
          </w:p>
        </w:tc>
        <w:tc>
          <w:tcPr>
            <w:tcW w:w="61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843,588 </w:t>
            </w:r>
          </w:p>
        </w:tc>
      </w:tr>
      <w:tr w:rsidR="009114F8" w:rsidRPr="009114F8" w:rsidTr="00430CBF">
        <w:trPr>
          <w:trHeight w:val="300"/>
        </w:trPr>
        <w:tc>
          <w:tcPr>
            <w:tcW w:w="1504"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88"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7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6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1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4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50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18,038.59 </w:t>
            </w:r>
          </w:p>
        </w:tc>
        <w:tc>
          <w:tcPr>
            <w:tcW w:w="38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hours</w:t>
            </w:r>
          </w:p>
        </w:tc>
        <w:tc>
          <w:tcPr>
            <w:tcW w:w="61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r>
      <w:tr w:rsidR="009114F8" w:rsidRPr="009114F8" w:rsidTr="00430CBF">
        <w:trPr>
          <w:trHeight w:val="300"/>
        </w:trPr>
        <w:tc>
          <w:tcPr>
            <w:tcW w:w="1504"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Travel Expenses</w:t>
            </w:r>
          </w:p>
        </w:tc>
        <w:tc>
          <w:tcPr>
            <w:tcW w:w="388"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7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6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1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4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50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8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33,600 </w:t>
            </w:r>
          </w:p>
        </w:tc>
      </w:tr>
      <w:tr w:rsidR="009114F8" w:rsidRPr="009114F8" w:rsidTr="00430CBF">
        <w:trPr>
          <w:trHeight w:val="300"/>
        </w:trPr>
        <w:tc>
          <w:tcPr>
            <w:tcW w:w="1504"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88"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70"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6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1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4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507"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8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877,188 </w:t>
            </w:r>
          </w:p>
        </w:tc>
      </w:tr>
      <w:tr w:rsidR="00600970" w:rsidRPr="009114F8" w:rsidTr="00600970">
        <w:trPr>
          <w:trHeight w:val="300"/>
        </w:trPr>
        <w:tc>
          <w:tcPr>
            <w:tcW w:w="1504" w:type="pct"/>
            <w:tcBorders>
              <w:top w:val="nil"/>
              <w:left w:val="nil"/>
              <w:bottom w:val="nil"/>
              <w:right w:val="nil"/>
            </w:tcBorders>
            <w:shd w:val="clear" w:color="auto" w:fill="auto"/>
            <w:noWrap/>
            <w:vAlign w:val="bottom"/>
            <w:hideMark/>
          </w:tcPr>
          <w:p w:rsidR="00600970" w:rsidRPr="009114F8" w:rsidRDefault="00600970" w:rsidP="00600970">
            <w:pPr>
              <w:rPr>
                <w:rFonts w:ascii="Times New Roman" w:eastAsia="Times New Roman" w:hAnsi="Times New Roman"/>
                <w:color w:val="000000"/>
                <w:sz w:val="16"/>
                <w:szCs w:val="16"/>
              </w:rPr>
            </w:pPr>
            <w:r>
              <w:rPr>
                <w:rFonts w:ascii="Times New Roman" w:eastAsia="Times New Roman" w:hAnsi="Times New Roman"/>
                <w:color w:val="000000"/>
                <w:sz w:val="16"/>
                <w:szCs w:val="16"/>
              </w:rPr>
              <w:t>EPA Officials are assumed to attend 20% of performance tests</w:t>
            </w:r>
          </w:p>
        </w:tc>
        <w:tc>
          <w:tcPr>
            <w:tcW w:w="388"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470"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365"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317"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446"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507"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389"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613"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r>
      <w:tr w:rsidR="00600970" w:rsidRPr="009114F8" w:rsidTr="00600970">
        <w:trPr>
          <w:trHeight w:val="300"/>
        </w:trPr>
        <w:tc>
          <w:tcPr>
            <w:tcW w:w="3491" w:type="pct"/>
            <w:gridSpan w:val="6"/>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Travel Expenses = (1 person x 84 plants/year x 3 days/plant x $50 per diem) + ($250 round trip/plant x 84 plants/year) = $33,600/year</w:t>
            </w:r>
          </w:p>
        </w:tc>
        <w:tc>
          <w:tcPr>
            <w:tcW w:w="507"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389"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613"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r>
      <w:tr w:rsidR="00600970" w:rsidRPr="009114F8" w:rsidTr="00600970">
        <w:trPr>
          <w:trHeight w:val="300"/>
        </w:trPr>
        <w:tc>
          <w:tcPr>
            <w:tcW w:w="1504"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Assume visit 84 plants per year</w:t>
            </w:r>
          </w:p>
        </w:tc>
        <w:tc>
          <w:tcPr>
            <w:tcW w:w="388"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470"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365"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317"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446"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507"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389"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613" w:type="pct"/>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r>
    </w:tbl>
    <w:p w:rsidR="00E01358" w:rsidRPr="00F245EA" w:rsidRDefault="00E01358" w:rsidP="002D550B">
      <w:pPr>
        <w:rPr>
          <w:rFonts w:ascii="Times New Roman" w:hAnsi="Times New Roman"/>
          <w:highlight w:val="yellow"/>
        </w:rPr>
      </w:pPr>
    </w:p>
    <w:p w:rsidR="008A2083" w:rsidRPr="00F245EA" w:rsidRDefault="008A2083" w:rsidP="002D550B">
      <w:pPr>
        <w:rPr>
          <w:rFonts w:ascii="Times New Roman" w:hAnsi="Times New Roman"/>
          <w:highlight w:val="yellow"/>
        </w:rPr>
        <w:sectPr w:rsidR="008A2083" w:rsidRPr="00F245EA" w:rsidSect="00593F37">
          <w:pgSz w:w="15840" w:h="12240" w:orient="landscape"/>
          <w:pgMar w:top="1440" w:right="1440" w:bottom="1440" w:left="1440" w:header="720" w:footer="720" w:gutter="0"/>
          <w:cols w:space="720"/>
          <w:docGrid w:linePitch="360"/>
        </w:sectPr>
      </w:pPr>
    </w:p>
    <w:p w:rsidR="008A2083" w:rsidRPr="00E14996" w:rsidRDefault="008A2083" w:rsidP="00E14996">
      <w:pPr>
        <w:pStyle w:val="ExhibitTitle"/>
        <w:rPr>
          <w:rFonts w:ascii="Times New Roman" w:hAnsi="Times New Roman"/>
        </w:rPr>
      </w:pPr>
      <w:proofErr w:type="gramStart"/>
      <w:r w:rsidRPr="00E14996">
        <w:rPr>
          <w:rFonts w:ascii="Times New Roman" w:hAnsi="Times New Roman"/>
        </w:rPr>
        <w:lastRenderedPageBreak/>
        <w:t>Table 2c</w:t>
      </w:r>
      <w:r w:rsidR="005E7A9E">
        <w:rPr>
          <w:rFonts w:ascii="Times New Roman" w:hAnsi="Times New Roman"/>
        </w:rPr>
        <w:t>.</w:t>
      </w:r>
      <w:proofErr w:type="gramEnd"/>
      <w:r w:rsidRPr="00E14996">
        <w:rPr>
          <w:rFonts w:ascii="Times New Roman" w:hAnsi="Times New Roman"/>
        </w:rPr>
        <w:tab/>
        <w:t>Year</w:t>
      </w:r>
      <w:r w:rsidR="00656C55" w:rsidRPr="00E14996">
        <w:rPr>
          <w:rFonts w:ascii="Times New Roman" w:hAnsi="Times New Roman"/>
        </w:rPr>
        <w:t xml:space="preserve"> 3</w:t>
      </w:r>
      <w:r w:rsidRPr="00E14996">
        <w:rPr>
          <w:rFonts w:ascii="Times New Roman" w:hAnsi="Times New Roman"/>
        </w:rPr>
        <w:t xml:space="preserve"> Agency Burden and Cost, NESHAP for </w:t>
      </w:r>
      <w:r w:rsidR="00E14996" w:rsidRPr="00E14996">
        <w:rPr>
          <w:rFonts w:ascii="Times New Roman" w:hAnsi="Times New Roman"/>
        </w:rPr>
        <w:t>Electric Generating Units</w:t>
      </w:r>
      <w:r w:rsidRPr="00E14996">
        <w:rPr>
          <w:rFonts w:ascii="Times New Roman" w:hAnsi="Times New Roman"/>
        </w:rPr>
        <w:t xml:space="preserve"> (40 CFR part 63, subpart </w:t>
      </w:r>
      <w:r w:rsidR="00E14996" w:rsidRPr="00E14996">
        <w:rPr>
          <w:rFonts w:ascii="Times New Roman" w:hAnsi="Times New Roman"/>
        </w:rPr>
        <w:t>UUUUU</w:t>
      </w:r>
      <w:r w:rsidRPr="00E14996">
        <w:rPr>
          <w:rFonts w:ascii="Times New Roman" w:hAnsi="Times New Roman"/>
        </w:rPr>
        <w:t>)</w:t>
      </w:r>
    </w:p>
    <w:p w:rsidR="00B44B13" w:rsidRDefault="00B44B13" w:rsidP="002D1915">
      <w:pPr>
        <w:rPr>
          <w:rFonts w:ascii="Times New Roman" w:hAnsi="Times New Roman"/>
        </w:rPr>
      </w:pPr>
    </w:p>
    <w:tbl>
      <w:tblPr>
        <w:tblW w:w="0" w:type="auto"/>
        <w:tblInd w:w="97" w:type="dxa"/>
        <w:tblLook w:val="04A0"/>
      </w:tblPr>
      <w:tblGrid>
        <w:gridCol w:w="4190"/>
        <w:gridCol w:w="1010"/>
        <w:gridCol w:w="1116"/>
        <w:gridCol w:w="957"/>
        <w:gridCol w:w="684"/>
        <w:gridCol w:w="1169"/>
        <w:gridCol w:w="1328"/>
        <w:gridCol w:w="1019"/>
        <w:gridCol w:w="1606"/>
      </w:tblGrid>
      <w:tr w:rsidR="009114F8" w:rsidRPr="009114F8" w:rsidTr="00D97CA2">
        <w:trPr>
          <w:trHeight w:val="1050"/>
        </w:trPr>
        <w:tc>
          <w:tcPr>
            <w:tcW w:w="0" w:type="auto"/>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Activity -- Year 3</w:t>
            </w:r>
          </w:p>
        </w:tc>
        <w:tc>
          <w:tcPr>
            <w:tcW w:w="0" w:type="auto"/>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(A) EPA Hours/ Occurrence</w:t>
            </w:r>
          </w:p>
        </w:tc>
        <w:tc>
          <w:tcPr>
            <w:tcW w:w="0" w:type="auto"/>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(B) Occurrences/ Plant/Year</w:t>
            </w:r>
          </w:p>
        </w:tc>
        <w:tc>
          <w:tcPr>
            <w:tcW w:w="0" w:type="auto"/>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(C) EPA Hours/ Plant/Year (A x B)</w:t>
            </w:r>
          </w:p>
        </w:tc>
        <w:tc>
          <w:tcPr>
            <w:tcW w:w="0" w:type="auto"/>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(D) Plants/ Year</w:t>
            </w:r>
          </w:p>
        </w:tc>
        <w:tc>
          <w:tcPr>
            <w:tcW w:w="0" w:type="auto"/>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(E) EPA Technical Hours/ Year (C x D)</w:t>
            </w:r>
          </w:p>
        </w:tc>
        <w:tc>
          <w:tcPr>
            <w:tcW w:w="0" w:type="auto"/>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(F) EPA Managerial Hours/Year</w:t>
            </w:r>
          </w:p>
        </w:tc>
        <w:tc>
          <w:tcPr>
            <w:tcW w:w="0" w:type="auto"/>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(G) EPA Clerical Hours/Year</w:t>
            </w:r>
          </w:p>
        </w:tc>
        <w:tc>
          <w:tcPr>
            <w:tcW w:w="0" w:type="auto"/>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(H) Cost, $</w:t>
            </w:r>
          </w:p>
        </w:tc>
      </w:tr>
      <w:tr w:rsidR="009114F8" w:rsidRPr="009114F8" w:rsidTr="00430CBF">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Observe Initial Pe</w:t>
            </w:r>
            <w:r w:rsidR="00600970">
              <w:rPr>
                <w:rFonts w:ascii="Times New Roman" w:eastAsia="Times New Roman" w:hAnsi="Times New Roman"/>
                <w:color w:val="000000"/>
                <w:sz w:val="16"/>
                <w:szCs w:val="16"/>
              </w:rPr>
              <w:t xml:space="preserve">rformance Tests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84.13</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2019.2</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100.96</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20.192</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430CBF" w:rsidRDefault="009114F8" w:rsidP="009114F8">
            <w:pPr>
              <w:rPr>
                <w:rFonts w:ascii="Times New Roman" w:eastAsia="Times New Roman" w:hAnsi="Times New Roman"/>
                <w:color w:val="000000"/>
                <w:sz w:val="16"/>
                <w:szCs w:val="16"/>
              </w:rPr>
            </w:pPr>
            <w:r w:rsidRPr="00430CBF">
              <w:rPr>
                <w:rFonts w:ascii="Times New Roman" w:eastAsia="Times New Roman" w:hAnsi="Times New Roman"/>
                <w:color w:val="000000"/>
                <w:sz w:val="16"/>
                <w:szCs w:val="16"/>
              </w:rPr>
              <w:t xml:space="preserve"> $                  100,095 </w:t>
            </w:r>
          </w:p>
        </w:tc>
      </w:tr>
      <w:tr w:rsidR="009114F8" w:rsidRPr="009114F8" w:rsidTr="00430CB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Observe</w:t>
            </w:r>
            <w:r w:rsidR="00600970">
              <w:rPr>
                <w:rFonts w:ascii="Times New Roman" w:eastAsia="Times New Roman" w:hAnsi="Times New Roman"/>
                <w:color w:val="000000"/>
                <w:sz w:val="16"/>
                <w:szCs w:val="16"/>
              </w:rPr>
              <w:t xml:space="preserve"> Repeat Performance Tests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0.2</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4.8</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84.13</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403.84</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20.192</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4.0384</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430CBF" w:rsidRDefault="009114F8" w:rsidP="009114F8">
            <w:pPr>
              <w:rPr>
                <w:rFonts w:ascii="Times New Roman" w:eastAsia="Times New Roman" w:hAnsi="Times New Roman"/>
                <w:color w:val="000000"/>
                <w:sz w:val="16"/>
                <w:szCs w:val="16"/>
              </w:rPr>
            </w:pPr>
            <w:r w:rsidRPr="00430CBF">
              <w:rPr>
                <w:rFonts w:ascii="Times New Roman" w:eastAsia="Times New Roman" w:hAnsi="Times New Roman"/>
                <w:color w:val="000000"/>
                <w:sz w:val="16"/>
                <w:szCs w:val="16"/>
              </w:rPr>
              <w:t xml:space="preserve"> $                    20,019 </w:t>
            </w:r>
          </w:p>
        </w:tc>
      </w:tr>
      <w:tr w:rsidR="009114F8" w:rsidRPr="009114F8" w:rsidTr="00430CBF">
        <w:trPr>
          <w:trHeight w:val="300"/>
        </w:trPr>
        <w:tc>
          <w:tcPr>
            <w:tcW w:w="0" w:type="auto"/>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Notifi</w:t>
            </w:r>
            <w:r w:rsidR="00600970">
              <w:rPr>
                <w:rFonts w:ascii="Times New Roman" w:eastAsia="Times New Roman" w:hAnsi="Times New Roman"/>
                <w:color w:val="000000"/>
                <w:sz w:val="16"/>
                <w:szCs w:val="16"/>
              </w:rPr>
              <w:t>cation of Demonstration of CEMS</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425.00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212.5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10.625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2.125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430CBF" w:rsidRDefault="009114F8" w:rsidP="009114F8">
            <w:pPr>
              <w:rPr>
                <w:rFonts w:ascii="Times New Roman" w:eastAsia="Times New Roman" w:hAnsi="Times New Roman"/>
                <w:color w:val="000000"/>
                <w:sz w:val="16"/>
                <w:szCs w:val="16"/>
              </w:rPr>
            </w:pPr>
            <w:r w:rsidRPr="00430CBF">
              <w:rPr>
                <w:rFonts w:ascii="Times New Roman" w:eastAsia="Times New Roman" w:hAnsi="Times New Roman"/>
                <w:color w:val="000000"/>
                <w:sz w:val="16"/>
                <w:szCs w:val="16"/>
              </w:rPr>
              <w:t xml:space="preserve"> $                    10,534 </w:t>
            </w:r>
          </w:p>
        </w:tc>
      </w:tr>
      <w:tr w:rsidR="009114F8" w:rsidRPr="009114F8" w:rsidTr="00430CBF">
        <w:trPr>
          <w:trHeight w:val="300"/>
        </w:trPr>
        <w:tc>
          <w:tcPr>
            <w:tcW w:w="0" w:type="auto"/>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Quality Assurance Program Notification</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425.00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212.5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10.625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2.125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430CBF" w:rsidRDefault="009114F8" w:rsidP="009114F8">
            <w:pPr>
              <w:rPr>
                <w:rFonts w:ascii="Times New Roman" w:eastAsia="Times New Roman" w:hAnsi="Times New Roman"/>
                <w:color w:val="000000"/>
                <w:sz w:val="16"/>
                <w:szCs w:val="16"/>
              </w:rPr>
            </w:pPr>
            <w:r w:rsidRPr="00430CBF">
              <w:rPr>
                <w:rFonts w:ascii="Times New Roman" w:eastAsia="Times New Roman" w:hAnsi="Times New Roman"/>
                <w:color w:val="000000"/>
                <w:sz w:val="16"/>
                <w:szCs w:val="16"/>
              </w:rPr>
              <w:t xml:space="preserve"> $                    10,534 </w:t>
            </w:r>
          </w:p>
        </w:tc>
      </w:tr>
      <w:tr w:rsidR="009114F8" w:rsidRPr="009114F8" w:rsidTr="00430CBF">
        <w:trPr>
          <w:trHeight w:val="300"/>
        </w:trPr>
        <w:tc>
          <w:tcPr>
            <w:tcW w:w="0" w:type="auto"/>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Startup, shutdo</w:t>
            </w:r>
            <w:r w:rsidR="00600970">
              <w:rPr>
                <w:rFonts w:ascii="Times New Roman" w:eastAsia="Times New Roman" w:hAnsi="Times New Roman"/>
                <w:color w:val="000000"/>
                <w:sz w:val="16"/>
                <w:szCs w:val="16"/>
              </w:rPr>
              <w:t>wn, and malfunction Report</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425.00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3400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170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430CBF" w:rsidRDefault="009114F8" w:rsidP="009114F8">
            <w:pPr>
              <w:rPr>
                <w:rFonts w:ascii="Times New Roman" w:eastAsia="Times New Roman" w:hAnsi="Times New Roman"/>
                <w:color w:val="000000"/>
                <w:sz w:val="16"/>
                <w:szCs w:val="16"/>
              </w:rPr>
            </w:pPr>
            <w:r w:rsidRPr="00430CBF">
              <w:rPr>
                <w:rFonts w:ascii="Times New Roman" w:eastAsia="Times New Roman" w:hAnsi="Times New Roman"/>
                <w:color w:val="000000"/>
                <w:sz w:val="16"/>
                <w:szCs w:val="16"/>
              </w:rPr>
              <w:t xml:space="preserve"> $                  168,544 </w:t>
            </w:r>
          </w:p>
        </w:tc>
      </w:tr>
      <w:tr w:rsidR="009114F8" w:rsidRPr="009114F8" w:rsidTr="00430CBF">
        <w:trPr>
          <w:trHeight w:val="300"/>
        </w:trPr>
        <w:tc>
          <w:tcPr>
            <w:tcW w:w="0" w:type="auto"/>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Notification of Compliance Status</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425.00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212.5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10.625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2.125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430CBF" w:rsidRDefault="009114F8" w:rsidP="009114F8">
            <w:pPr>
              <w:rPr>
                <w:rFonts w:ascii="Times New Roman" w:eastAsia="Times New Roman" w:hAnsi="Times New Roman"/>
                <w:color w:val="000000"/>
                <w:sz w:val="16"/>
                <w:szCs w:val="16"/>
              </w:rPr>
            </w:pPr>
            <w:r w:rsidRPr="00430CBF">
              <w:rPr>
                <w:rFonts w:ascii="Times New Roman" w:eastAsia="Times New Roman" w:hAnsi="Times New Roman"/>
                <w:color w:val="000000"/>
                <w:sz w:val="16"/>
                <w:szCs w:val="16"/>
              </w:rPr>
              <w:t xml:space="preserve"> $                    10,534 </w:t>
            </w:r>
          </w:p>
        </w:tc>
      </w:tr>
      <w:tr w:rsidR="009114F8" w:rsidRPr="009114F8" w:rsidTr="00430CBF">
        <w:trPr>
          <w:trHeight w:val="300"/>
        </w:trPr>
        <w:tc>
          <w:tcPr>
            <w:tcW w:w="0" w:type="auto"/>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requests to use alternative monitoring procedure</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425.00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212.5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10.625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2.125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430CBF" w:rsidRDefault="009114F8" w:rsidP="009114F8">
            <w:pPr>
              <w:rPr>
                <w:rFonts w:ascii="Times New Roman" w:eastAsia="Times New Roman" w:hAnsi="Times New Roman"/>
                <w:color w:val="000000"/>
                <w:sz w:val="16"/>
                <w:szCs w:val="16"/>
              </w:rPr>
            </w:pPr>
            <w:r w:rsidRPr="00430CBF">
              <w:rPr>
                <w:rFonts w:ascii="Times New Roman" w:eastAsia="Times New Roman" w:hAnsi="Times New Roman"/>
                <w:color w:val="000000"/>
                <w:sz w:val="16"/>
                <w:szCs w:val="16"/>
              </w:rPr>
              <w:t xml:space="preserve"> $                    10,534 </w:t>
            </w:r>
          </w:p>
        </w:tc>
      </w:tr>
      <w:tr w:rsidR="009114F8" w:rsidRPr="009114F8" w:rsidTr="00430CBF">
        <w:trPr>
          <w:trHeight w:val="300"/>
        </w:trPr>
        <w:tc>
          <w:tcPr>
            <w:tcW w:w="0" w:type="auto"/>
            <w:tcBorders>
              <w:top w:val="nil"/>
              <w:left w:val="nil"/>
              <w:bottom w:val="single" w:sz="4" w:space="0" w:color="auto"/>
              <w:right w:val="single" w:sz="4" w:space="0" w:color="auto"/>
            </w:tcBorders>
            <w:shd w:val="clear" w:color="auto" w:fill="auto"/>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Initial Notifications</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2.00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0.05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0.01</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430CBF" w:rsidRDefault="009114F8" w:rsidP="009114F8">
            <w:pPr>
              <w:rPr>
                <w:rFonts w:ascii="Times New Roman" w:eastAsia="Times New Roman" w:hAnsi="Times New Roman"/>
                <w:color w:val="000000"/>
                <w:sz w:val="16"/>
                <w:szCs w:val="16"/>
              </w:rPr>
            </w:pPr>
            <w:r w:rsidRPr="00430CBF">
              <w:rPr>
                <w:rFonts w:ascii="Times New Roman" w:eastAsia="Times New Roman" w:hAnsi="Times New Roman"/>
                <w:color w:val="000000"/>
                <w:sz w:val="16"/>
                <w:szCs w:val="16"/>
              </w:rPr>
              <w:t xml:space="preserve"> $                            50 </w:t>
            </w:r>
          </w:p>
        </w:tc>
      </w:tr>
      <w:tr w:rsidR="009114F8" w:rsidRPr="009114F8" w:rsidTr="00430CB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Notification of performance test</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425.00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212.5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10.625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2.125</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430CBF" w:rsidRDefault="009114F8" w:rsidP="009114F8">
            <w:pPr>
              <w:rPr>
                <w:rFonts w:ascii="Times New Roman" w:eastAsia="Times New Roman" w:hAnsi="Times New Roman"/>
                <w:color w:val="000000"/>
                <w:sz w:val="16"/>
                <w:szCs w:val="16"/>
              </w:rPr>
            </w:pPr>
            <w:r w:rsidRPr="00430CBF">
              <w:rPr>
                <w:rFonts w:ascii="Times New Roman" w:eastAsia="Times New Roman" w:hAnsi="Times New Roman"/>
                <w:color w:val="000000"/>
                <w:sz w:val="16"/>
                <w:szCs w:val="16"/>
              </w:rPr>
              <w:t xml:space="preserve"> $                    10,534 </w:t>
            </w:r>
          </w:p>
        </w:tc>
      </w:tr>
      <w:tr w:rsidR="009114F8" w:rsidRPr="009114F8" w:rsidTr="00430CB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Test/CEMS Results</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425.00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3400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170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430CBF" w:rsidRDefault="009114F8" w:rsidP="009114F8">
            <w:pPr>
              <w:rPr>
                <w:rFonts w:ascii="Times New Roman" w:eastAsia="Times New Roman" w:hAnsi="Times New Roman"/>
                <w:color w:val="000000"/>
                <w:sz w:val="16"/>
                <w:szCs w:val="16"/>
              </w:rPr>
            </w:pPr>
            <w:r w:rsidRPr="00430CBF">
              <w:rPr>
                <w:rFonts w:ascii="Times New Roman" w:eastAsia="Times New Roman" w:hAnsi="Times New Roman"/>
                <w:color w:val="000000"/>
                <w:sz w:val="16"/>
                <w:szCs w:val="16"/>
              </w:rPr>
              <w:t xml:space="preserve"> $                  168,544 </w:t>
            </w:r>
          </w:p>
        </w:tc>
      </w:tr>
      <w:tr w:rsidR="009114F8" w:rsidRPr="009114F8" w:rsidTr="00430CB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site specific performance evaluation test plan</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425.00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3400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170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430CBF" w:rsidRDefault="009114F8" w:rsidP="009114F8">
            <w:pPr>
              <w:rPr>
                <w:rFonts w:ascii="Times New Roman" w:eastAsia="Times New Roman" w:hAnsi="Times New Roman"/>
                <w:color w:val="000000"/>
                <w:sz w:val="16"/>
                <w:szCs w:val="16"/>
              </w:rPr>
            </w:pPr>
            <w:r w:rsidRPr="00430CBF">
              <w:rPr>
                <w:rFonts w:ascii="Times New Roman" w:eastAsia="Times New Roman" w:hAnsi="Times New Roman"/>
                <w:color w:val="000000"/>
                <w:sz w:val="16"/>
                <w:szCs w:val="16"/>
              </w:rPr>
              <w:t xml:space="preserve"> $                  168,544 </w:t>
            </w:r>
          </w:p>
        </w:tc>
      </w:tr>
      <w:tr w:rsidR="009114F8" w:rsidRPr="009114F8" w:rsidTr="00430CB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Semi-Annual reports</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425.00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3400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170</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430CBF" w:rsidRDefault="009114F8" w:rsidP="009114F8">
            <w:pPr>
              <w:rPr>
                <w:rFonts w:ascii="Times New Roman" w:eastAsia="Times New Roman" w:hAnsi="Times New Roman"/>
                <w:color w:val="000000"/>
                <w:sz w:val="16"/>
                <w:szCs w:val="16"/>
              </w:rPr>
            </w:pPr>
            <w:r w:rsidRPr="00430CBF">
              <w:rPr>
                <w:rFonts w:ascii="Times New Roman" w:eastAsia="Times New Roman" w:hAnsi="Times New Roman"/>
                <w:color w:val="000000"/>
                <w:sz w:val="16"/>
                <w:szCs w:val="16"/>
              </w:rPr>
              <w:t xml:space="preserve"> $                  168,544 </w:t>
            </w:r>
          </w:p>
        </w:tc>
      </w:tr>
      <w:tr w:rsidR="009114F8" w:rsidRPr="009114F8" w:rsidTr="00430CB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Total Annual Hours</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17,087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854.327</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170.8654</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430CBF" w:rsidRDefault="009114F8" w:rsidP="009114F8">
            <w:pPr>
              <w:rPr>
                <w:rFonts w:ascii="Times New Roman" w:eastAsia="Times New Roman" w:hAnsi="Times New Roman"/>
                <w:color w:val="000000"/>
                <w:sz w:val="16"/>
                <w:szCs w:val="16"/>
              </w:rPr>
            </w:pPr>
            <w:r w:rsidRPr="00430CBF">
              <w:rPr>
                <w:rFonts w:ascii="Times New Roman" w:eastAsia="Times New Roman" w:hAnsi="Times New Roman"/>
                <w:color w:val="000000"/>
                <w:sz w:val="16"/>
                <w:szCs w:val="16"/>
              </w:rPr>
              <w:t xml:space="preserve"> $                  847,008 </w:t>
            </w:r>
          </w:p>
        </w:tc>
      </w:tr>
      <w:tr w:rsidR="009114F8" w:rsidRPr="009114F8" w:rsidTr="00430CB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18,111.73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hours</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430CBF" w:rsidRDefault="009114F8" w:rsidP="009114F8">
            <w:pPr>
              <w:rPr>
                <w:rFonts w:ascii="Times New Roman" w:eastAsia="Times New Roman" w:hAnsi="Times New Roman"/>
                <w:color w:val="000000"/>
                <w:sz w:val="16"/>
                <w:szCs w:val="16"/>
              </w:rPr>
            </w:pPr>
            <w:r w:rsidRPr="00430CBF">
              <w:rPr>
                <w:rFonts w:ascii="Times New Roman" w:eastAsia="Times New Roman" w:hAnsi="Times New Roman"/>
                <w:color w:val="000000"/>
                <w:sz w:val="16"/>
                <w:szCs w:val="16"/>
              </w:rPr>
              <w:t> </w:t>
            </w:r>
          </w:p>
        </w:tc>
      </w:tr>
      <w:tr w:rsidR="009114F8" w:rsidRPr="009114F8" w:rsidTr="00430CB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Travel Expenses</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430CBF" w:rsidRDefault="009114F8" w:rsidP="009114F8">
            <w:pPr>
              <w:rPr>
                <w:rFonts w:ascii="Times New Roman" w:eastAsia="Times New Roman" w:hAnsi="Times New Roman"/>
                <w:color w:val="000000"/>
                <w:sz w:val="16"/>
                <w:szCs w:val="16"/>
              </w:rPr>
            </w:pPr>
            <w:r w:rsidRPr="00430CBF">
              <w:rPr>
                <w:rFonts w:ascii="Times New Roman" w:eastAsia="Times New Roman" w:hAnsi="Times New Roman"/>
                <w:color w:val="000000"/>
                <w:sz w:val="16"/>
                <w:szCs w:val="16"/>
              </w:rPr>
              <w:t xml:space="preserve"> $                    33,600 </w:t>
            </w:r>
          </w:p>
        </w:tc>
      </w:tr>
      <w:tr w:rsidR="009114F8" w:rsidRPr="009114F8" w:rsidTr="00430CB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114F8" w:rsidRPr="00430CBF" w:rsidRDefault="009114F8" w:rsidP="009114F8">
            <w:pPr>
              <w:rPr>
                <w:rFonts w:ascii="Times New Roman" w:eastAsia="Times New Roman" w:hAnsi="Times New Roman"/>
                <w:color w:val="000000"/>
                <w:sz w:val="16"/>
                <w:szCs w:val="16"/>
              </w:rPr>
            </w:pPr>
            <w:r w:rsidRPr="00430CBF">
              <w:rPr>
                <w:rFonts w:ascii="Times New Roman" w:eastAsia="Times New Roman" w:hAnsi="Times New Roman"/>
                <w:color w:val="000000"/>
                <w:sz w:val="16"/>
                <w:szCs w:val="16"/>
              </w:rPr>
              <w:t xml:space="preserve"> $                  880,608 </w:t>
            </w:r>
          </w:p>
        </w:tc>
      </w:tr>
      <w:tr w:rsidR="00600970" w:rsidRPr="009114F8" w:rsidTr="00D97CA2">
        <w:trPr>
          <w:trHeight w:val="300"/>
        </w:trPr>
        <w:tc>
          <w:tcPr>
            <w:tcW w:w="0" w:type="auto"/>
            <w:tcBorders>
              <w:top w:val="nil"/>
              <w:left w:val="nil"/>
              <w:bottom w:val="nil"/>
              <w:right w:val="nil"/>
            </w:tcBorders>
            <w:shd w:val="clear" w:color="auto" w:fill="auto"/>
            <w:noWrap/>
            <w:vAlign w:val="bottom"/>
            <w:hideMark/>
          </w:tcPr>
          <w:p w:rsidR="00600970" w:rsidRPr="009114F8" w:rsidRDefault="00600970" w:rsidP="00600970">
            <w:pPr>
              <w:rPr>
                <w:rFonts w:ascii="Times New Roman" w:eastAsia="Times New Roman" w:hAnsi="Times New Roman"/>
                <w:color w:val="000000"/>
                <w:sz w:val="16"/>
                <w:szCs w:val="16"/>
              </w:rPr>
            </w:pPr>
            <w:r>
              <w:rPr>
                <w:rFonts w:ascii="Times New Roman" w:eastAsia="Times New Roman" w:hAnsi="Times New Roman"/>
                <w:color w:val="000000"/>
                <w:sz w:val="16"/>
                <w:szCs w:val="16"/>
              </w:rPr>
              <w:t>EPA Officials are assumed to attend 20% of performance tests</w:t>
            </w: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r>
      <w:tr w:rsidR="00600970" w:rsidRPr="009114F8" w:rsidTr="00D97CA2">
        <w:trPr>
          <w:trHeight w:val="300"/>
        </w:trPr>
        <w:tc>
          <w:tcPr>
            <w:tcW w:w="0" w:type="auto"/>
            <w:gridSpan w:val="6"/>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Travel Expenses = (1 person x 84 plants/year x 3 days/plant x $50 per diem) + ($250 round trip/plant x 84 plants/year) = $33,600/year</w:t>
            </w: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r>
      <w:tr w:rsidR="00600970" w:rsidRPr="009114F8" w:rsidTr="00D97CA2">
        <w:trPr>
          <w:trHeight w:val="300"/>
        </w:trPr>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Assume visit 84 plants per year</w:t>
            </w: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c>
          <w:tcPr>
            <w:tcW w:w="0" w:type="auto"/>
            <w:tcBorders>
              <w:top w:val="nil"/>
              <w:left w:val="nil"/>
              <w:bottom w:val="nil"/>
              <w:right w:val="nil"/>
            </w:tcBorders>
            <w:shd w:val="clear" w:color="auto" w:fill="auto"/>
            <w:noWrap/>
            <w:vAlign w:val="bottom"/>
            <w:hideMark/>
          </w:tcPr>
          <w:p w:rsidR="00600970" w:rsidRPr="009114F8" w:rsidRDefault="00600970" w:rsidP="009114F8">
            <w:pPr>
              <w:rPr>
                <w:rFonts w:ascii="Times New Roman" w:eastAsia="Times New Roman" w:hAnsi="Times New Roman"/>
                <w:color w:val="000000"/>
                <w:sz w:val="16"/>
                <w:szCs w:val="16"/>
              </w:rPr>
            </w:pPr>
          </w:p>
        </w:tc>
      </w:tr>
    </w:tbl>
    <w:p w:rsidR="009114F8" w:rsidRDefault="009114F8" w:rsidP="002D1915">
      <w:pPr>
        <w:rPr>
          <w:rFonts w:ascii="Times New Roman" w:hAnsi="Times New Roman"/>
        </w:rPr>
      </w:pPr>
    </w:p>
    <w:p w:rsidR="009114F8" w:rsidRPr="00F245EA" w:rsidRDefault="009114F8" w:rsidP="002D1915">
      <w:pPr>
        <w:rPr>
          <w:rFonts w:ascii="Times New Roman" w:hAnsi="Times New Roman"/>
        </w:rPr>
      </w:pPr>
    </w:p>
    <w:sectPr w:rsidR="009114F8" w:rsidRPr="00F245EA" w:rsidSect="00593F3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FE3" w:rsidRDefault="00D13FE3" w:rsidP="004A3758">
      <w:r>
        <w:separator/>
      </w:r>
    </w:p>
  </w:endnote>
  <w:endnote w:type="continuationSeparator" w:id="0">
    <w:p w:rsidR="00D13FE3" w:rsidRDefault="00D13FE3" w:rsidP="004A37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ZapfEllipt BT">
    <w:altName w:val="Cambria Math"/>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089" w:rsidRDefault="00157089">
    <w:pPr>
      <w:pStyle w:val="Footer"/>
      <w:jc w:val="center"/>
    </w:pPr>
    <w:fldSimple w:instr=" PAGE   \* MERGEFORMAT ">
      <w:r w:rsidR="00DE2C36">
        <w:rPr>
          <w:noProof/>
        </w:rPr>
        <w:t>1</w:t>
      </w:r>
    </w:fldSimple>
  </w:p>
  <w:p w:rsidR="00157089" w:rsidRDefault="001570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FE3" w:rsidRDefault="00D13FE3" w:rsidP="004A3758">
      <w:r>
        <w:separator/>
      </w:r>
    </w:p>
  </w:footnote>
  <w:footnote w:type="continuationSeparator" w:id="0">
    <w:p w:rsidR="00D13FE3" w:rsidRDefault="00D13FE3" w:rsidP="004A37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3268C0A"/>
    <w:lvl w:ilvl="0">
      <w:start w:val="1"/>
      <w:numFmt w:val="decimal"/>
      <w:lvlText w:val="%1."/>
      <w:lvlJc w:val="left"/>
      <w:pPr>
        <w:tabs>
          <w:tab w:val="num" w:pos="1800"/>
        </w:tabs>
        <w:ind w:left="1800" w:hanging="360"/>
      </w:pPr>
    </w:lvl>
  </w:abstractNum>
  <w:abstractNum w:abstractNumId="1">
    <w:nsid w:val="FFFFFF7D"/>
    <w:multiLevelType w:val="singleLevel"/>
    <w:tmpl w:val="5EA8DFE6"/>
    <w:lvl w:ilvl="0">
      <w:start w:val="1"/>
      <w:numFmt w:val="decimal"/>
      <w:lvlText w:val="%1."/>
      <w:lvlJc w:val="left"/>
      <w:pPr>
        <w:tabs>
          <w:tab w:val="num" w:pos="1440"/>
        </w:tabs>
        <w:ind w:left="1440" w:hanging="360"/>
      </w:pPr>
    </w:lvl>
  </w:abstractNum>
  <w:abstractNum w:abstractNumId="2">
    <w:nsid w:val="FFFFFF7E"/>
    <w:multiLevelType w:val="singleLevel"/>
    <w:tmpl w:val="5B16F8DE"/>
    <w:lvl w:ilvl="0">
      <w:start w:val="1"/>
      <w:numFmt w:val="decimal"/>
      <w:lvlText w:val="%1."/>
      <w:lvlJc w:val="left"/>
      <w:pPr>
        <w:tabs>
          <w:tab w:val="num" w:pos="1080"/>
        </w:tabs>
        <w:ind w:left="1080" w:hanging="360"/>
      </w:pPr>
    </w:lvl>
  </w:abstractNum>
  <w:abstractNum w:abstractNumId="3">
    <w:nsid w:val="FFFFFF7F"/>
    <w:multiLevelType w:val="singleLevel"/>
    <w:tmpl w:val="1700CFD4"/>
    <w:lvl w:ilvl="0">
      <w:start w:val="1"/>
      <w:numFmt w:val="decimal"/>
      <w:lvlText w:val="%1."/>
      <w:lvlJc w:val="left"/>
      <w:pPr>
        <w:tabs>
          <w:tab w:val="num" w:pos="720"/>
        </w:tabs>
        <w:ind w:left="720" w:hanging="360"/>
      </w:pPr>
    </w:lvl>
  </w:abstractNum>
  <w:abstractNum w:abstractNumId="4">
    <w:nsid w:val="FFFFFF80"/>
    <w:multiLevelType w:val="singleLevel"/>
    <w:tmpl w:val="B1FCBE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B2F4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DABB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3A05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4EB384"/>
    <w:lvl w:ilvl="0">
      <w:start w:val="1"/>
      <w:numFmt w:val="decimal"/>
      <w:lvlText w:val="%1."/>
      <w:lvlJc w:val="left"/>
      <w:pPr>
        <w:tabs>
          <w:tab w:val="num" w:pos="360"/>
        </w:tabs>
        <w:ind w:left="360" w:hanging="360"/>
      </w:pPr>
    </w:lvl>
  </w:abstractNum>
  <w:abstractNum w:abstractNumId="9">
    <w:nsid w:val="FFFFFF89"/>
    <w:multiLevelType w:val="singleLevel"/>
    <w:tmpl w:val="11E03B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8"/>
  <w:stylePaneSortMethod w:val="000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0F20"/>
    <w:rsid w:val="000011F8"/>
    <w:rsid w:val="00017F30"/>
    <w:rsid w:val="0002271B"/>
    <w:rsid w:val="00026E9D"/>
    <w:rsid w:val="00071EC8"/>
    <w:rsid w:val="000A7801"/>
    <w:rsid w:val="000E0122"/>
    <w:rsid w:val="000E0E67"/>
    <w:rsid w:val="000F01A4"/>
    <w:rsid w:val="000F3B39"/>
    <w:rsid w:val="00110F58"/>
    <w:rsid w:val="001111D2"/>
    <w:rsid w:val="00113ABD"/>
    <w:rsid w:val="00114096"/>
    <w:rsid w:val="00124A0B"/>
    <w:rsid w:val="001300E8"/>
    <w:rsid w:val="00145C70"/>
    <w:rsid w:val="00157089"/>
    <w:rsid w:val="00167C66"/>
    <w:rsid w:val="00180971"/>
    <w:rsid w:val="001B3DC2"/>
    <w:rsid w:val="001C04AD"/>
    <w:rsid w:val="001D2AB7"/>
    <w:rsid w:val="001D3852"/>
    <w:rsid w:val="001D5E17"/>
    <w:rsid w:val="001F3386"/>
    <w:rsid w:val="001F41F7"/>
    <w:rsid w:val="001F421B"/>
    <w:rsid w:val="0022013D"/>
    <w:rsid w:val="00230BD1"/>
    <w:rsid w:val="00234919"/>
    <w:rsid w:val="002559B1"/>
    <w:rsid w:val="00256CB3"/>
    <w:rsid w:val="00265BC5"/>
    <w:rsid w:val="002663B9"/>
    <w:rsid w:val="002777CB"/>
    <w:rsid w:val="002838A6"/>
    <w:rsid w:val="00290F20"/>
    <w:rsid w:val="002977E9"/>
    <w:rsid w:val="002B3CAB"/>
    <w:rsid w:val="002B5782"/>
    <w:rsid w:val="002B6E5F"/>
    <w:rsid w:val="002D1915"/>
    <w:rsid w:val="002D550B"/>
    <w:rsid w:val="002E495C"/>
    <w:rsid w:val="002F436C"/>
    <w:rsid w:val="003024CD"/>
    <w:rsid w:val="003069C0"/>
    <w:rsid w:val="00315242"/>
    <w:rsid w:val="00332DD0"/>
    <w:rsid w:val="003363A0"/>
    <w:rsid w:val="00337CF4"/>
    <w:rsid w:val="00341A80"/>
    <w:rsid w:val="003453CC"/>
    <w:rsid w:val="0034549F"/>
    <w:rsid w:val="0035244C"/>
    <w:rsid w:val="00372DBB"/>
    <w:rsid w:val="003A3FE2"/>
    <w:rsid w:val="003B1201"/>
    <w:rsid w:val="003B4EAE"/>
    <w:rsid w:val="003B6B97"/>
    <w:rsid w:val="003B6EA8"/>
    <w:rsid w:val="003C3042"/>
    <w:rsid w:val="003D47E1"/>
    <w:rsid w:val="004025BF"/>
    <w:rsid w:val="00417DA0"/>
    <w:rsid w:val="00421DF7"/>
    <w:rsid w:val="004229BF"/>
    <w:rsid w:val="004264BA"/>
    <w:rsid w:val="00430CBF"/>
    <w:rsid w:val="004377DA"/>
    <w:rsid w:val="00452C08"/>
    <w:rsid w:val="00452F1F"/>
    <w:rsid w:val="00462D22"/>
    <w:rsid w:val="00466BEB"/>
    <w:rsid w:val="004A02B6"/>
    <w:rsid w:val="004A1FC4"/>
    <w:rsid w:val="004A3758"/>
    <w:rsid w:val="004B1208"/>
    <w:rsid w:val="004D126B"/>
    <w:rsid w:val="004D7275"/>
    <w:rsid w:val="00500F7C"/>
    <w:rsid w:val="00510D95"/>
    <w:rsid w:val="00511438"/>
    <w:rsid w:val="005170B7"/>
    <w:rsid w:val="005229E5"/>
    <w:rsid w:val="0052403B"/>
    <w:rsid w:val="005332CE"/>
    <w:rsid w:val="00553CA4"/>
    <w:rsid w:val="005615C5"/>
    <w:rsid w:val="005720EA"/>
    <w:rsid w:val="00576D07"/>
    <w:rsid w:val="00576D5C"/>
    <w:rsid w:val="00580463"/>
    <w:rsid w:val="005922C3"/>
    <w:rsid w:val="00593F37"/>
    <w:rsid w:val="005C543F"/>
    <w:rsid w:val="005D59D8"/>
    <w:rsid w:val="005E7A9E"/>
    <w:rsid w:val="005F3BAC"/>
    <w:rsid w:val="005F6931"/>
    <w:rsid w:val="00600970"/>
    <w:rsid w:val="00610899"/>
    <w:rsid w:val="006305AC"/>
    <w:rsid w:val="006308D0"/>
    <w:rsid w:val="0063222D"/>
    <w:rsid w:val="00640B02"/>
    <w:rsid w:val="00656C55"/>
    <w:rsid w:val="0066152B"/>
    <w:rsid w:val="006773F1"/>
    <w:rsid w:val="0068644D"/>
    <w:rsid w:val="006A66E1"/>
    <w:rsid w:val="006C067F"/>
    <w:rsid w:val="006F2EE1"/>
    <w:rsid w:val="00716EF5"/>
    <w:rsid w:val="007445B5"/>
    <w:rsid w:val="0075508C"/>
    <w:rsid w:val="00762252"/>
    <w:rsid w:val="007627E8"/>
    <w:rsid w:val="00764E0D"/>
    <w:rsid w:val="007706AA"/>
    <w:rsid w:val="00777DB4"/>
    <w:rsid w:val="0079404A"/>
    <w:rsid w:val="007A4BBD"/>
    <w:rsid w:val="007C7E34"/>
    <w:rsid w:val="007D6FDD"/>
    <w:rsid w:val="007E086D"/>
    <w:rsid w:val="007E09A5"/>
    <w:rsid w:val="007E2D1E"/>
    <w:rsid w:val="007F5F0B"/>
    <w:rsid w:val="00806E75"/>
    <w:rsid w:val="00807DF8"/>
    <w:rsid w:val="0081279C"/>
    <w:rsid w:val="00817EED"/>
    <w:rsid w:val="00820B20"/>
    <w:rsid w:val="0082491A"/>
    <w:rsid w:val="008254B2"/>
    <w:rsid w:val="00841C33"/>
    <w:rsid w:val="008677D2"/>
    <w:rsid w:val="00886238"/>
    <w:rsid w:val="008A19ED"/>
    <w:rsid w:val="008A2083"/>
    <w:rsid w:val="008A6188"/>
    <w:rsid w:val="008C5BF2"/>
    <w:rsid w:val="008C7349"/>
    <w:rsid w:val="008C76D8"/>
    <w:rsid w:val="008D1F9D"/>
    <w:rsid w:val="008D5D05"/>
    <w:rsid w:val="009060A6"/>
    <w:rsid w:val="009114F8"/>
    <w:rsid w:val="00916005"/>
    <w:rsid w:val="009213CA"/>
    <w:rsid w:val="00921989"/>
    <w:rsid w:val="009303F3"/>
    <w:rsid w:val="00950A3A"/>
    <w:rsid w:val="00961ECE"/>
    <w:rsid w:val="00972D5B"/>
    <w:rsid w:val="00997A88"/>
    <w:rsid w:val="009A404D"/>
    <w:rsid w:val="009A61D7"/>
    <w:rsid w:val="009B35B5"/>
    <w:rsid w:val="009B4F7B"/>
    <w:rsid w:val="009C4B44"/>
    <w:rsid w:val="009D3674"/>
    <w:rsid w:val="009F2F28"/>
    <w:rsid w:val="00A0220C"/>
    <w:rsid w:val="00A2750A"/>
    <w:rsid w:val="00A44C2C"/>
    <w:rsid w:val="00A57A0A"/>
    <w:rsid w:val="00A66F83"/>
    <w:rsid w:val="00A747CF"/>
    <w:rsid w:val="00A845AD"/>
    <w:rsid w:val="00A90269"/>
    <w:rsid w:val="00AA607B"/>
    <w:rsid w:val="00AB48C3"/>
    <w:rsid w:val="00AD6E84"/>
    <w:rsid w:val="00B11341"/>
    <w:rsid w:val="00B17E82"/>
    <w:rsid w:val="00B44B13"/>
    <w:rsid w:val="00B45885"/>
    <w:rsid w:val="00B462D4"/>
    <w:rsid w:val="00B47C5E"/>
    <w:rsid w:val="00B55C28"/>
    <w:rsid w:val="00B616E2"/>
    <w:rsid w:val="00B632F8"/>
    <w:rsid w:val="00B70F1C"/>
    <w:rsid w:val="00B76529"/>
    <w:rsid w:val="00B925B5"/>
    <w:rsid w:val="00BA07F4"/>
    <w:rsid w:val="00BA2057"/>
    <w:rsid w:val="00BB4F2B"/>
    <w:rsid w:val="00BC6A4E"/>
    <w:rsid w:val="00BF45D5"/>
    <w:rsid w:val="00BF4E90"/>
    <w:rsid w:val="00C24630"/>
    <w:rsid w:val="00C35481"/>
    <w:rsid w:val="00C37EB9"/>
    <w:rsid w:val="00C45CE2"/>
    <w:rsid w:val="00C514E3"/>
    <w:rsid w:val="00C52459"/>
    <w:rsid w:val="00C532E5"/>
    <w:rsid w:val="00C70366"/>
    <w:rsid w:val="00C71A62"/>
    <w:rsid w:val="00C77FD4"/>
    <w:rsid w:val="00C90758"/>
    <w:rsid w:val="00CC41F0"/>
    <w:rsid w:val="00D057B2"/>
    <w:rsid w:val="00D13FE3"/>
    <w:rsid w:val="00D17CAD"/>
    <w:rsid w:val="00D17F70"/>
    <w:rsid w:val="00D207AF"/>
    <w:rsid w:val="00D2425B"/>
    <w:rsid w:val="00D32EA2"/>
    <w:rsid w:val="00D35AD8"/>
    <w:rsid w:val="00D51AC1"/>
    <w:rsid w:val="00D53BA6"/>
    <w:rsid w:val="00D64476"/>
    <w:rsid w:val="00D772CE"/>
    <w:rsid w:val="00D820B1"/>
    <w:rsid w:val="00D914F0"/>
    <w:rsid w:val="00D95EBA"/>
    <w:rsid w:val="00D95F33"/>
    <w:rsid w:val="00D97CA2"/>
    <w:rsid w:val="00DD1A85"/>
    <w:rsid w:val="00DE2C36"/>
    <w:rsid w:val="00DF5084"/>
    <w:rsid w:val="00DF7695"/>
    <w:rsid w:val="00E01358"/>
    <w:rsid w:val="00E0215D"/>
    <w:rsid w:val="00E02688"/>
    <w:rsid w:val="00E14996"/>
    <w:rsid w:val="00E22D87"/>
    <w:rsid w:val="00E26C1D"/>
    <w:rsid w:val="00E41201"/>
    <w:rsid w:val="00E43B32"/>
    <w:rsid w:val="00E47EF5"/>
    <w:rsid w:val="00E500C9"/>
    <w:rsid w:val="00E60BB2"/>
    <w:rsid w:val="00E67CCD"/>
    <w:rsid w:val="00E73E63"/>
    <w:rsid w:val="00E80931"/>
    <w:rsid w:val="00E86A21"/>
    <w:rsid w:val="00E86E80"/>
    <w:rsid w:val="00E87EC5"/>
    <w:rsid w:val="00E9177B"/>
    <w:rsid w:val="00EB46DF"/>
    <w:rsid w:val="00EE5AC5"/>
    <w:rsid w:val="00EF7A55"/>
    <w:rsid w:val="00F013C0"/>
    <w:rsid w:val="00F04795"/>
    <w:rsid w:val="00F11CCB"/>
    <w:rsid w:val="00F13BBC"/>
    <w:rsid w:val="00F245EA"/>
    <w:rsid w:val="00F319A1"/>
    <w:rsid w:val="00F34910"/>
    <w:rsid w:val="00F37C0F"/>
    <w:rsid w:val="00F4215B"/>
    <w:rsid w:val="00F47FCF"/>
    <w:rsid w:val="00F773E1"/>
    <w:rsid w:val="00F92DC7"/>
    <w:rsid w:val="00FA1796"/>
    <w:rsid w:val="00FB09E2"/>
    <w:rsid w:val="00FB4847"/>
    <w:rsid w:val="00FD1612"/>
    <w:rsid w:val="00FD4199"/>
    <w:rsid w:val="00FE61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0A"/>
    <w:rPr>
      <w:rFonts w:ascii="ZapfEllipt BT" w:hAnsi="ZapfEllipt BT"/>
      <w:sz w:val="24"/>
    </w:rPr>
  </w:style>
  <w:style w:type="paragraph" w:styleId="Heading1">
    <w:name w:val="heading 1"/>
    <w:basedOn w:val="Normal"/>
    <w:next w:val="Normal"/>
    <w:link w:val="Heading1Char"/>
    <w:uiPriority w:val="9"/>
    <w:qFormat/>
    <w:rsid w:val="006305AC"/>
    <w:pPr>
      <w:keepNext/>
      <w:spacing w:before="240" w:after="60"/>
      <w:ind w:left="720" w:hanging="720"/>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unhideWhenUsed/>
    <w:qFormat/>
    <w:rsid w:val="006305AC"/>
    <w:pPr>
      <w:keepNext/>
      <w:spacing w:before="240" w:after="60"/>
      <w:ind w:left="720" w:hanging="720"/>
      <w:outlineLvl w:val="1"/>
    </w:pPr>
    <w:rPr>
      <w:rFonts w:ascii="Times New Roman" w:eastAsia="Times New Roman" w:hAnsi="Times New Roman"/>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5AC"/>
    <w:rPr>
      <w:rFonts w:eastAsia="Times New Roman" w:cs="Times New Roman"/>
      <w:b/>
      <w:bCs/>
      <w:kern w:val="32"/>
      <w:sz w:val="24"/>
      <w:szCs w:val="32"/>
    </w:rPr>
  </w:style>
  <w:style w:type="character" w:customStyle="1" w:styleId="Heading2Char">
    <w:name w:val="Heading 2 Char"/>
    <w:basedOn w:val="DefaultParagraphFont"/>
    <w:link w:val="Heading2"/>
    <w:uiPriority w:val="9"/>
    <w:rsid w:val="006305AC"/>
    <w:rPr>
      <w:rFonts w:eastAsia="Times New Roman" w:cs="Times New Roman"/>
      <w:bCs/>
      <w:iCs/>
      <w:sz w:val="24"/>
      <w:szCs w:val="28"/>
    </w:rPr>
  </w:style>
  <w:style w:type="paragraph" w:styleId="Title">
    <w:name w:val="Title"/>
    <w:basedOn w:val="Normal"/>
    <w:next w:val="Normal"/>
    <w:link w:val="TitleChar"/>
    <w:uiPriority w:val="10"/>
    <w:qFormat/>
    <w:rsid w:val="00BF4E90"/>
    <w:pPr>
      <w:spacing w:before="180" w:after="60"/>
      <w:jc w:val="center"/>
      <w:outlineLvl w:val="0"/>
    </w:pPr>
    <w:rPr>
      <w:rFonts w:eastAsia="Times New Roman"/>
      <w:b/>
      <w:bCs/>
      <w:kern w:val="28"/>
      <w:szCs w:val="32"/>
    </w:rPr>
  </w:style>
  <w:style w:type="character" w:customStyle="1" w:styleId="TitleChar">
    <w:name w:val="Title Char"/>
    <w:basedOn w:val="DefaultParagraphFont"/>
    <w:link w:val="Title"/>
    <w:uiPriority w:val="10"/>
    <w:rsid w:val="00BF4E90"/>
    <w:rPr>
      <w:rFonts w:ascii="ZapfEllipt BT" w:eastAsia="Times New Roman" w:hAnsi="ZapfEllipt BT"/>
      <w:b/>
      <w:bCs/>
      <w:kern w:val="28"/>
      <w:sz w:val="24"/>
      <w:szCs w:val="32"/>
    </w:rPr>
  </w:style>
  <w:style w:type="paragraph" w:styleId="Subtitle">
    <w:name w:val="Subtitle"/>
    <w:basedOn w:val="Normal"/>
    <w:next w:val="Normal"/>
    <w:link w:val="SubtitleChar"/>
    <w:uiPriority w:val="11"/>
    <w:qFormat/>
    <w:rsid w:val="00290F20"/>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11"/>
    <w:rsid w:val="00290F20"/>
    <w:rPr>
      <w:rFonts w:ascii="Cambria" w:eastAsia="Times New Roman" w:hAnsi="Cambria" w:cs="Times New Roman"/>
      <w:sz w:val="24"/>
      <w:szCs w:val="24"/>
    </w:rPr>
  </w:style>
  <w:style w:type="paragraph" w:customStyle="1" w:styleId="Para">
    <w:name w:val="Para"/>
    <w:basedOn w:val="Normal"/>
    <w:qFormat/>
    <w:rsid w:val="00290F20"/>
    <w:pPr>
      <w:spacing w:after="120"/>
      <w:ind w:firstLine="720"/>
    </w:pPr>
  </w:style>
  <w:style w:type="table" w:styleId="TableGrid">
    <w:name w:val="Table Grid"/>
    <w:basedOn w:val="TableNormal"/>
    <w:uiPriority w:val="59"/>
    <w:rsid w:val="00EF7A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Row">
    <w:name w:val="Table_Row"/>
    <w:basedOn w:val="Normal"/>
    <w:qFormat/>
    <w:rsid w:val="00EF7A55"/>
    <w:rPr>
      <w:sz w:val="22"/>
    </w:rPr>
  </w:style>
  <w:style w:type="paragraph" w:customStyle="1" w:styleId="TableHeader">
    <w:name w:val="Table_Header"/>
    <w:basedOn w:val="TableRow"/>
    <w:qFormat/>
    <w:rsid w:val="00EF7A55"/>
    <w:pPr>
      <w:jc w:val="center"/>
    </w:pPr>
    <w:rPr>
      <w:b/>
    </w:rPr>
  </w:style>
  <w:style w:type="paragraph" w:customStyle="1" w:styleId="ExhibitTitle">
    <w:name w:val="Exhibit_Title"/>
    <w:basedOn w:val="Normal"/>
    <w:qFormat/>
    <w:rsid w:val="007A4BBD"/>
    <w:pPr>
      <w:spacing w:after="60"/>
      <w:ind w:left="1170" w:hanging="1170"/>
    </w:pPr>
    <w:rPr>
      <w:b/>
    </w:rPr>
  </w:style>
  <w:style w:type="paragraph" w:styleId="Quote">
    <w:name w:val="Quote"/>
    <w:basedOn w:val="Normal"/>
    <w:next w:val="Normal"/>
    <w:link w:val="QuoteChar"/>
    <w:uiPriority w:val="29"/>
    <w:rsid w:val="00806E75"/>
    <w:rPr>
      <w:i/>
      <w:iCs/>
      <w:color w:val="000000"/>
    </w:rPr>
  </w:style>
  <w:style w:type="character" w:customStyle="1" w:styleId="QuoteChar">
    <w:name w:val="Quote Char"/>
    <w:basedOn w:val="DefaultParagraphFont"/>
    <w:link w:val="Quote"/>
    <w:uiPriority w:val="29"/>
    <w:rsid w:val="00806E75"/>
    <w:rPr>
      <w:rFonts w:ascii="ZapfEllipt BT" w:hAnsi="ZapfEllipt BT"/>
      <w:i/>
      <w:iCs/>
      <w:color w:val="000000"/>
      <w:sz w:val="24"/>
    </w:rPr>
  </w:style>
  <w:style w:type="character" w:styleId="Strong">
    <w:name w:val="Strong"/>
    <w:basedOn w:val="DefaultParagraphFont"/>
    <w:uiPriority w:val="22"/>
    <w:rsid w:val="00806E75"/>
    <w:rPr>
      <w:b/>
      <w:bCs/>
    </w:rPr>
  </w:style>
  <w:style w:type="paragraph" w:customStyle="1" w:styleId="Quotation">
    <w:name w:val="Quotation"/>
    <w:basedOn w:val="Quote"/>
    <w:qFormat/>
    <w:rsid w:val="00A2750A"/>
    <w:pPr>
      <w:spacing w:after="120"/>
      <w:ind w:left="1440" w:right="1440"/>
    </w:pPr>
    <w:rPr>
      <w:i w:val="0"/>
    </w:rPr>
  </w:style>
  <w:style w:type="character" w:styleId="Hyperlink">
    <w:name w:val="Hyperlink"/>
    <w:basedOn w:val="DefaultParagraphFont"/>
    <w:uiPriority w:val="99"/>
    <w:rsid w:val="00C70366"/>
    <w:rPr>
      <w:color w:val="0000FF"/>
      <w:u w:val="single"/>
    </w:rPr>
  </w:style>
  <w:style w:type="character" w:styleId="FollowedHyperlink">
    <w:name w:val="FollowedHyperlink"/>
    <w:basedOn w:val="DefaultParagraphFont"/>
    <w:uiPriority w:val="99"/>
    <w:semiHidden/>
    <w:unhideWhenUsed/>
    <w:rsid w:val="00C70366"/>
    <w:rPr>
      <w:color w:val="800080"/>
      <w:u w:val="single"/>
    </w:rPr>
  </w:style>
  <w:style w:type="paragraph" w:styleId="Header">
    <w:name w:val="header"/>
    <w:basedOn w:val="Normal"/>
    <w:link w:val="HeaderChar"/>
    <w:uiPriority w:val="99"/>
    <w:semiHidden/>
    <w:unhideWhenUsed/>
    <w:rsid w:val="004A3758"/>
    <w:pPr>
      <w:tabs>
        <w:tab w:val="center" w:pos="4680"/>
        <w:tab w:val="right" w:pos="9360"/>
      </w:tabs>
    </w:pPr>
  </w:style>
  <w:style w:type="character" w:customStyle="1" w:styleId="HeaderChar">
    <w:name w:val="Header Char"/>
    <w:basedOn w:val="DefaultParagraphFont"/>
    <w:link w:val="Header"/>
    <w:uiPriority w:val="99"/>
    <w:semiHidden/>
    <w:rsid w:val="004A3758"/>
    <w:rPr>
      <w:rFonts w:ascii="ZapfEllipt BT" w:hAnsi="ZapfEllipt BT"/>
      <w:sz w:val="24"/>
    </w:rPr>
  </w:style>
  <w:style w:type="paragraph" w:styleId="Footer">
    <w:name w:val="footer"/>
    <w:basedOn w:val="Normal"/>
    <w:link w:val="FooterChar"/>
    <w:uiPriority w:val="99"/>
    <w:unhideWhenUsed/>
    <w:rsid w:val="004A3758"/>
    <w:pPr>
      <w:tabs>
        <w:tab w:val="center" w:pos="4680"/>
        <w:tab w:val="right" w:pos="9360"/>
      </w:tabs>
    </w:pPr>
  </w:style>
  <w:style w:type="character" w:customStyle="1" w:styleId="FooterChar">
    <w:name w:val="Footer Char"/>
    <w:basedOn w:val="DefaultParagraphFont"/>
    <w:link w:val="Footer"/>
    <w:uiPriority w:val="99"/>
    <w:rsid w:val="004A3758"/>
    <w:rPr>
      <w:rFonts w:ascii="ZapfEllipt BT" w:hAnsi="ZapfEllipt BT"/>
      <w:sz w:val="24"/>
    </w:rPr>
  </w:style>
  <w:style w:type="character" w:styleId="CommentReference">
    <w:name w:val="annotation reference"/>
    <w:basedOn w:val="DefaultParagraphFont"/>
    <w:uiPriority w:val="99"/>
    <w:semiHidden/>
    <w:unhideWhenUsed/>
    <w:rsid w:val="000F3B39"/>
    <w:rPr>
      <w:sz w:val="16"/>
      <w:szCs w:val="16"/>
    </w:rPr>
  </w:style>
  <w:style w:type="paragraph" w:styleId="CommentText">
    <w:name w:val="annotation text"/>
    <w:basedOn w:val="Normal"/>
    <w:link w:val="CommentTextChar"/>
    <w:uiPriority w:val="99"/>
    <w:semiHidden/>
    <w:unhideWhenUsed/>
    <w:rsid w:val="000F3B39"/>
    <w:rPr>
      <w:sz w:val="20"/>
    </w:rPr>
  </w:style>
  <w:style w:type="character" w:customStyle="1" w:styleId="CommentTextChar">
    <w:name w:val="Comment Text Char"/>
    <w:basedOn w:val="DefaultParagraphFont"/>
    <w:link w:val="CommentText"/>
    <w:uiPriority w:val="99"/>
    <w:semiHidden/>
    <w:rsid w:val="000F3B39"/>
    <w:rPr>
      <w:rFonts w:ascii="ZapfEllipt BT" w:hAnsi="ZapfEllipt BT"/>
    </w:rPr>
  </w:style>
  <w:style w:type="paragraph" w:styleId="CommentSubject">
    <w:name w:val="annotation subject"/>
    <w:basedOn w:val="CommentText"/>
    <w:next w:val="CommentText"/>
    <w:link w:val="CommentSubjectChar"/>
    <w:uiPriority w:val="99"/>
    <w:semiHidden/>
    <w:unhideWhenUsed/>
    <w:rsid w:val="000F3B39"/>
    <w:rPr>
      <w:b/>
      <w:bCs/>
    </w:rPr>
  </w:style>
  <w:style w:type="character" w:customStyle="1" w:styleId="CommentSubjectChar">
    <w:name w:val="Comment Subject Char"/>
    <w:basedOn w:val="CommentTextChar"/>
    <w:link w:val="CommentSubject"/>
    <w:uiPriority w:val="99"/>
    <w:semiHidden/>
    <w:rsid w:val="000F3B39"/>
    <w:rPr>
      <w:b/>
      <w:bCs/>
    </w:rPr>
  </w:style>
  <w:style w:type="paragraph" w:styleId="BalloonText">
    <w:name w:val="Balloon Text"/>
    <w:basedOn w:val="Normal"/>
    <w:link w:val="BalloonTextChar"/>
    <w:uiPriority w:val="99"/>
    <w:semiHidden/>
    <w:unhideWhenUsed/>
    <w:rsid w:val="000F3B39"/>
    <w:rPr>
      <w:rFonts w:ascii="Tahoma" w:hAnsi="Tahoma" w:cs="Tahoma"/>
      <w:sz w:val="16"/>
      <w:szCs w:val="16"/>
    </w:rPr>
  </w:style>
  <w:style w:type="character" w:customStyle="1" w:styleId="BalloonTextChar">
    <w:name w:val="Balloon Text Char"/>
    <w:basedOn w:val="DefaultParagraphFont"/>
    <w:link w:val="BalloonText"/>
    <w:uiPriority w:val="99"/>
    <w:semiHidden/>
    <w:rsid w:val="000F3B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25226">
      <w:bodyDiv w:val="1"/>
      <w:marLeft w:val="0"/>
      <w:marRight w:val="0"/>
      <w:marTop w:val="0"/>
      <w:marBottom w:val="0"/>
      <w:divBdr>
        <w:top w:val="none" w:sz="0" w:space="0" w:color="auto"/>
        <w:left w:val="none" w:sz="0" w:space="0" w:color="auto"/>
        <w:bottom w:val="none" w:sz="0" w:space="0" w:color="auto"/>
        <w:right w:val="none" w:sz="0" w:space="0" w:color="auto"/>
      </w:divBdr>
    </w:div>
    <w:div w:id="63114028">
      <w:bodyDiv w:val="1"/>
      <w:marLeft w:val="0"/>
      <w:marRight w:val="0"/>
      <w:marTop w:val="0"/>
      <w:marBottom w:val="0"/>
      <w:divBdr>
        <w:top w:val="none" w:sz="0" w:space="0" w:color="auto"/>
        <w:left w:val="none" w:sz="0" w:space="0" w:color="auto"/>
        <w:bottom w:val="none" w:sz="0" w:space="0" w:color="auto"/>
        <w:right w:val="none" w:sz="0" w:space="0" w:color="auto"/>
      </w:divBdr>
    </w:div>
    <w:div w:id="86385938">
      <w:bodyDiv w:val="1"/>
      <w:marLeft w:val="0"/>
      <w:marRight w:val="0"/>
      <w:marTop w:val="0"/>
      <w:marBottom w:val="0"/>
      <w:divBdr>
        <w:top w:val="none" w:sz="0" w:space="0" w:color="auto"/>
        <w:left w:val="none" w:sz="0" w:space="0" w:color="auto"/>
        <w:bottom w:val="none" w:sz="0" w:space="0" w:color="auto"/>
        <w:right w:val="none" w:sz="0" w:space="0" w:color="auto"/>
      </w:divBdr>
    </w:div>
    <w:div w:id="107821598">
      <w:bodyDiv w:val="1"/>
      <w:marLeft w:val="0"/>
      <w:marRight w:val="0"/>
      <w:marTop w:val="0"/>
      <w:marBottom w:val="0"/>
      <w:divBdr>
        <w:top w:val="none" w:sz="0" w:space="0" w:color="auto"/>
        <w:left w:val="none" w:sz="0" w:space="0" w:color="auto"/>
        <w:bottom w:val="none" w:sz="0" w:space="0" w:color="auto"/>
        <w:right w:val="none" w:sz="0" w:space="0" w:color="auto"/>
      </w:divBdr>
    </w:div>
    <w:div w:id="110248473">
      <w:bodyDiv w:val="1"/>
      <w:marLeft w:val="0"/>
      <w:marRight w:val="0"/>
      <w:marTop w:val="0"/>
      <w:marBottom w:val="0"/>
      <w:divBdr>
        <w:top w:val="none" w:sz="0" w:space="0" w:color="auto"/>
        <w:left w:val="none" w:sz="0" w:space="0" w:color="auto"/>
        <w:bottom w:val="none" w:sz="0" w:space="0" w:color="auto"/>
        <w:right w:val="none" w:sz="0" w:space="0" w:color="auto"/>
      </w:divBdr>
    </w:div>
    <w:div w:id="155607968">
      <w:bodyDiv w:val="1"/>
      <w:marLeft w:val="0"/>
      <w:marRight w:val="0"/>
      <w:marTop w:val="0"/>
      <w:marBottom w:val="0"/>
      <w:divBdr>
        <w:top w:val="none" w:sz="0" w:space="0" w:color="auto"/>
        <w:left w:val="none" w:sz="0" w:space="0" w:color="auto"/>
        <w:bottom w:val="none" w:sz="0" w:space="0" w:color="auto"/>
        <w:right w:val="none" w:sz="0" w:space="0" w:color="auto"/>
      </w:divBdr>
    </w:div>
    <w:div w:id="188034542">
      <w:bodyDiv w:val="1"/>
      <w:marLeft w:val="0"/>
      <w:marRight w:val="0"/>
      <w:marTop w:val="0"/>
      <w:marBottom w:val="0"/>
      <w:divBdr>
        <w:top w:val="none" w:sz="0" w:space="0" w:color="auto"/>
        <w:left w:val="none" w:sz="0" w:space="0" w:color="auto"/>
        <w:bottom w:val="none" w:sz="0" w:space="0" w:color="auto"/>
        <w:right w:val="none" w:sz="0" w:space="0" w:color="auto"/>
      </w:divBdr>
    </w:div>
    <w:div w:id="195193044">
      <w:bodyDiv w:val="1"/>
      <w:marLeft w:val="0"/>
      <w:marRight w:val="0"/>
      <w:marTop w:val="0"/>
      <w:marBottom w:val="0"/>
      <w:divBdr>
        <w:top w:val="none" w:sz="0" w:space="0" w:color="auto"/>
        <w:left w:val="none" w:sz="0" w:space="0" w:color="auto"/>
        <w:bottom w:val="none" w:sz="0" w:space="0" w:color="auto"/>
        <w:right w:val="none" w:sz="0" w:space="0" w:color="auto"/>
      </w:divBdr>
    </w:div>
    <w:div w:id="210850029">
      <w:bodyDiv w:val="1"/>
      <w:marLeft w:val="0"/>
      <w:marRight w:val="0"/>
      <w:marTop w:val="0"/>
      <w:marBottom w:val="0"/>
      <w:divBdr>
        <w:top w:val="none" w:sz="0" w:space="0" w:color="auto"/>
        <w:left w:val="none" w:sz="0" w:space="0" w:color="auto"/>
        <w:bottom w:val="none" w:sz="0" w:space="0" w:color="auto"/>
        <w:right w:val="none" w:sz="0" w:space="0" w:color="auto"/>
      </w:divBdr>
    </w:div>
    <w:div w:id="212275141">
      <w:bodyDiv w:val="1"/>
      <w:marLeft w:val="0"/>
      <w:marRight w:val="0"/>
      <w:marTop w:val="0"/>
      <w:marBottom w:val="0"/>
      <w:divBdr>
        <w:top w:val="none" w:sz="0" w:space="0" w:color="auto"/>
        <w:left w:val="none" w:sz="0" w:space="0" w:color="auto"/>
        <w:bottom w:val="none" w:sz="0" w:space="0" w:color="auto"/>
        <w:right w:val="none" w:sz="0" w:space="0" w:color="auto"/>
      </w:divBdr>
    </w:div>
    <w:div w:id="236089465">
      <w:bodyDiv w:val="1"/>
      <w:marLeft w:val="0"/>
      <w:marRight w:val="0"/>
      <w:marTop w:val="0"/>
      <w:marBottom w:val="0"/>
      <w:divBdr>
        <w:top w:val="none" w:sz="0" w:space="0" w:color="auto"/>
        <w:left w:val="none" w:sz="0" w:space="0" w:color="auto"/>
        <w:bottom w:val="none" w:sz="0" w:space="0" w:color="auto"/>
        <w:right w:val="none" w:sz="0" w:space="0" w:color="auto"/>
      </w:divBdr>
    </w:div>
    <w:div w:id="316036795">
      <w:bodyDiv w:val="1"/>
      <w:marLeft w:val="0"/>
      <w:marRight w:val="0"/>
      <w:marTop w:val="0"/>
      <w:marBottom w:val="0"/>
      <w:divBdr>
        <w:top w:val="none" w:sz="0" w:space="0" w:color="auto"/>
        <w:left w:val="none" w:sz="0" w:space="0" w:color="auto"/>
        <w:bottom w:val="none" w:sz="0" w:space="0" w:color="auto"/>
        <w:right w:val="none" w:sz="0" w:space="0" w:color="auto"/>
      </w:divBdr>
    </w:div>
    <w:div w:id="318925408">
      <w:bodyDiv w:val="1"/>
      <w:marLeft w:val="0"/>
      <w:marRight w:val="0"/>
      <w:marTop w:val="0"/>
      <w:marBottom w:val="0"/>
      <w:divBdr>
        <w:top w:val="none" w:sz="0" w:space="0" w:color="auto"/>
        <w:left w:val="none" w:sz="0" w:space="0" w:color="auto"/>
        <w:bottom w:val="none" w:sz="0" w:space="0" w:color="auto"/>
        <w:right w:val="none" w:sz="0" w:space="0" w:color="auto"/>
      </w:divBdr>
    </w:div>
    <w:div w:id="386954633">
      <w:bodyDiv w:val="1"/>
      <w:marLeft w:val="0"/>
      <w:marRight w:val="0"/>
      <w:marTop w:val="0"/>
      <w:marBottom w:val="0"/>
      <w:divBdr>
        <w:top w:val="none" w:sz="0" w:space="0" w:color="auto"/>
        <w:left w:val="none" w:sz="0" w:space="0" w:color="auto"/>
        <w:bottom w:val="none" w:sz="0" w:space="0" w:color="auto"/>
        <w:right w:val="none" w:sz="0" w:space="0" w:color="auto"/>
      </w:divBdr>
    </w:div>
    <w:div w:id="414521922">
      <w:bodyDiv w:val="1"/>
      <w:marLeft w:val="0"/>
      <w:marRight w:val="0"/>
      <w:marTop w:val="0"/>
      <w:marBottom w:val="0"/>
      <w:divBdr>
        <w:top w:val="none" w:sz="0" w:space="0" w:color="auto"/>
        <w:left w:val="none" w:sz="0" w:space="0" w:color="auto"/>
        <w:bottom w:val="none" w:sz="0" w:space="0" w:color="auto"/>
        <w:right w:val="none" w:sz="0" w:space="0" w:color="auto"/>
      </w:divBdr>
    </w:div>
    <w:div w:id="477570456">
      <w:bodyDiv w:val="1"/>
      <w:marLeft w:val="0"/>
      <w:marRight w:val="0"/>
      <w:marTop w:val="0"/>
      <w:marBottom w:val="0"/>
      <w:divBdr>
        <w:top w:val="none" w:sz="0" w:space="0" w:color="auto"/>
        <w:left w:val="none" w:sz="0" w:space="0" w:color="auto"/>
        <w:bottom w:val="none" w:sz="0" w:space="0" w:color="auto"/>
        <w:right w:val="none" w:sz="0" w:space="0" w:color="auto"/>
      </w:divBdr>
    </w:div>
    <w:div w:id="556821634">
      <w:bodyDiv w:val="1"/>
      <w:marLeft w:val="0"/>
      <w:marRight w:val="0"/>
      <w:marTop w:val="0"/>
      <w:marBottom w:val="0"/>
      <w:divBdr>
        <w:top w:val="none" w:sz="0" w:space="0" w:color="auto"/>
        <w:left w:val="none" w:sz="0" w:space="0" w:color="auto"/>
        <w:bottom w:val="none" w:sz="0" w:space="0" w:color="auto"/>
        <w:right w:val="none" w:sz="0" w:space="0" w:color="auto"/>
      </w:divBdr>
    </w:div>
    <w:div w:id="602692419">
      <w:bodyDiv w:val="1"/>
      <w:marLeft w:val="0"/>
      <w:marRight w:val="0"/>
      <w:marTop w:val="0"/>
      <w:marBottom w:val="0"/>
      <w:divBdr>
        <w:top w:val="none" w:sz="0" w:space="0" w:color="auto"/>
        <w:left w:val="none" w:sz="0" w:space="0" w:color="auto"/>
        <w:bottom w:val="none" w:sz="0" w:space="0" w:color="auto"/>
        <w:right w:val="none" w:sz="0" w:space="0" w:color="auto"/>
      </w:divBdr>
    </w:div>
    <w:div w:id="605115587">
      <w:bodyDiv w:val="1"/>
      <w:marLeft w:val="0"/>
      <w:marRight w:val="0"/>
      <w:marTop w:val="0"/>
      <w:marBottom w:val="0"/>
      <w:divBdr>
        <w:top w:val="none" w:sz="0" w:space="0" w:color="auto"/>
        <w:left w:val="none" w:sz="0" w:space="0" w:color="auto"/>
        <w:bottom w:val="none" w:sz="0" w:space="0" w:color="auto"/>
        <w:right w:val="none" w:sz="0" w:space="0" w:color="auto"/>
      </w:divBdr>
    </w:div>
    <w:div w:id="637959678">
      <w:bodyDiv w:val="1"/>
      <w:marLeft w:val="0"/>
      <w:marRight w:val="0"/>
      <w:marTop w:val="0"/>
      <w:marBottom w:val="0"/>
      <w:divBdr>
        <w:top w:val="none" w:sz="0" w:space="0" w:color="auto"/>
        <w:left w:val="none" w:sz="0" w:space="0" w:color="auto"/>
        <w:bottom w:val="none" w:sz="0" w:space="0" w:color="auto"/>
        <w:right w:val="none" w:sz="0" w:space="0" w:color="auto"/>
      </w:divBdr>
    </w:div>
    <w:div w:id="646325618">
      <w:bodyDiv w:val="1"/>
      <w:marLeft w:val="0"/>
      <w:marRight w:val="0"/>
      <w:marTop w:val="0"/>
      <w:marBottom w:val="0"/>
      <w:divBdr>
        <w:top w:val="none" w:sz="0" w:space="0" w:color="auto"/>
        <w:left w:val="none" w:sz="0" w:space="0" w:color="auto"/>
        <w:bottom w:val="none" w:sz="0" w:space="0" w:color="auto"/>
        <w:right w:val="none" w:sz="0" w:space="0" w:color="auto"/>
      </w:divBdr>
    </w:div>
    <w:div w:id="940184182">
      <w:bodyDiv w:val="1"/>
      <w:marLeft w:val="0"/>
      <w:marRight w:val="0"/>
      <w:marTop w:val="0"/>
      <w:marBottom w:val="0"/>
      <w:divBdr>
        <w:top w:val="none" w:sz="0" w:space="0" w:color="auto"/>
        <w:left w:val="none" w:sz="0" w:space="0" w:color="auto"/>
        <w:bottom w:val="none" w:sz="0" w:space="0" w:color="auto"/>
        <w:right w:val="none" w:sz="0" w:space="0" w:color="auto"/>
      </w:divBdr>
    </w:div>
    <w:div w:id="969751336">
      <w:bodyDiv w:val="1"/>
      <w:marLeft w:val="0"/>
      <w:marRight w:val="0"/>
      <w:marTop w:val="0"/>
      <w:marBottom w:val="0"/>
      <w:divBdr>
        <w:top w:val="none" w:sz="0" w:space="0" w:color="auto"/>
        <w:left w:val="none" w:sz="0" w:space="0" w:color="auto"/>
        <w:bottom w:val="none" w:sz="0" w:space="0" w:color="auto"/>
        <w:right w:val="none" w:sz="0" w:space="0" w:color="auto"/>
      </w:divBdr>
    </w:div>
    <w:div w:id="1030760777">
      <w:bodyDiv w:val="1"/>
      <w:marLeft w:val="0"/>
      <w:marRight w:val="0"/>
      <w:marTop w:val="0"/>
      <w:marBottom w:val="0"/>
      <w:divBdr>
        <w:top w:val="none" w:sz="0" w:space="0" w:color="auto"/>
        <w:left w:val="none" w:sz="0" w:space="0" w:color="auto"/>
        <w:bottom w:val="none" w:sz="0" w:space="0" w:color="auto"/>
        <w:right w:val="none" w:sz="0" w:space="0" w:color="auto"/>
      </w:divBdr>
    </w:div>
    <w:div w:id="1049186385">
      <w:bodyDiv w:val="1"/>
      <w:marLeft w:val="0"/>
      <w:marRight w:val="0"/>
      <w:marTop w:val="0"/>
      <w:marBottom w:val="0"/>
      <w:divBdr>
        <w:top w:val="none" w:sz="0" w:space="0" w:color="auto"/>
        <w:left w:val="none" w:sz="0" w:space="0" w:color="auto"/>
        <w:bottom w:val="none" w:sz="0" w:space="0" w:color="auto"/>
        <w:right w:val="none" w:sz="0" w:space="0" w:color="auto"/>
      </w:divBdr>
    </w:div>
    <w:div w:id="1180857243">
      <w:bodyDiv w:val="1"/>
      <w:marLeft w:val="0"/>
      <w:marRight w:val="0"/>
      <w:marTop w:val="0"/>
      <w:marBottom w:val="0"/>
      <w:divBdr>
        <w:top w:val="none" w:sz="0" w:space="0" w:color="auto"/>
        <w:left w:val="none" w:sz="0" w:space="0" w:color="auto"/>
        <w:bottom w:val="none" w:sz="0" w:space="0" w:color="auto"/>
        <w:right w:val="none" w:sz="0" w:space="0" w:color="auto"/>
      </w:divBdr>
    </w:div>
    <w:div w:id="1270430670">
      <w:bodyDiv w:val="1"/>
      <w:marLeft w:val="0"/>
      <w:marRight w:val="0"/>
      <w:marTop w:val="0"/>
      <w:marBottom w:val="0"/>
      <w:divBdr>
        <w:top w:val="none" w:sz="0" w:space="0" w:color="auto"/>
        <w:left w:val="none" w:sz="0" w:space="0" w:color="auto"/>
        <w:bottom w:val="none" w:sz="0" w:space="0" w:color="auto"/>
        <w:right w:val="none" w:sz="0" w:space="0" w:color="auto"/>
      </w:divBdr>
    </w:div>
    <w:div w:id="1284265855">
      <w:bodyDiv w:val="1"/>
      <w:marLeft w:val="0"/>
      <w:marRight w:val="0"/>
      <w:marTop w:val="0"/>
      <w:marBottom w:val="0"/>
      <w:divBdr>
        <w:top w:val="none" w:sz="0" w:space="0" w:color="auto"/>
        <w:left w:val="none" w:sz="0" w:space="0" w:color="auto"/>
        <w:bottom w:val="none" w:sz="0" w:space="0" w:color="auto"/>
        <w:right w:val="none" w:sz="0" w:space="0" w:color="auto"/>
      </w:divBdr>
    </w:div>
    <w:div w:id="1308852188">
      <w:bodyDiv w:val="1"/>
      <w:marLeft w:val="0"/>
      <w:marRight w:val="0"/>
      <w:marTop w:val="0"/>
      <w:marBottom w:val="0"/>
      <w:divBdr>
        <w:top w:val="none" w:sz="0" w:space="0" w:color="auto"/>
        <w:left w:val="none" w:sz="0" w:space="0" w:color="auto"/>
        <w:bottom w:val="none" w:sz="0" w:space="0" w:color="auto"/>
        <w:right w:val="none" w:sz="0" w:space="0" w:color="auto"/>
      </w:divBdr>
    </w:div>
    <w:div w:id="1424184512">
      <w:bodyDiv w:val="1"/>
      <w:marLeft w:val="0"/>
      <w:marRight w:val="0"/>
      <w:marTop w:val="0"/>
      <w:marBottom w:val="0"/>
      <w:divBdr>
        <w:top w:val="none" w:sz="0" w:space="0" w:color="auto"/>
        <w:left w:val="none" w:sz="0" w:space="0" w:color="auto"/>
        <w:bottom w:val="none" w:sz="0" w:space="0" w:color="auto"/>
        <w:right w:val="none" w:sz="0" w:space="0" w:color="auto"/>
      </w:divBdr>
    </w:div>
    <w:div w:id="1431463809">
      <w:bodyDiv w:val="1"/>
      <w:marLeft w:val="0"/>
      <w:marRight w:val="0"/>
      <w:marTop w:val="0"/>
      <w:marBottom w:val="0"/>
      <w:divBdr>
        <w:top w:val="none" w:sz="0" w:space="0" w:color="auto"/>
        <w:left w:val="none" w:sz="0" w:space="0" w:color="auto"/>
        <w:bottom w:val="none" w:sz="0" w:space="0" w:color="auto"/>
        <w:right w:val="none" w:sz="0" w:space="0" w:color="auto"/>
      </w:divBdr>
    </w:div>
    <w:div w:id="1444039021">
      <w:bodyDiv w:val="1"/>
      <w:marLeft w:val="0"/>
      <w:marRight w:val="0"/>
      <w:marTop w:val="0"/>
      <w:marBottom w:val="0"/>
      <w:divBdr>
        <w:top w:val="none" w:sz="0" w:space="0" w:color="auto"/>
        <w:left w:val="none" w:sz="0" w:space="0" w:color="auto"/>
        <w:bottom w:val="none" w:sz="0" w:space="0" w:color="auto"/>
        <w:right w:val="none" w:sz="0" w:space="0" w:color="auto"/>
      </w:divBdr>
    </w:div>
    <w:div w:id="1602297805">
      <w:bodyDiv w:val="1"/>
      <w:marLeft w:val="0"/>
      <w:marRight w:val="0"/>
      <w:marTop w:val="0"/>
      <w:marBottom w:val="0"/>
      <w:divBdr>
        <w:top w:val="none" w:sz="0" w:space="0" w:color="auto"/>
        <w:left w:val="none" w:sz="0" w:space="0" w:color="auto"/>
        <w:bottom w:val="none" w:sz="0" w:space="0" w:color="auto"/>
        <w:right w:val="none" w:sz="0" w:space="0" w:color="auto"/>
      </w:divBdr>
    </w:div>
    <w:div w:id="1642928079">
      <w:bodyDiv w:val="1"/>
      <w:marLeft w:val="0"/>
      <w:marRight w:val="0"/>
      <w:marTop w:val="0"/>
      <w:marBottom w:val="0"/>
      <w:divBdr>
        <w:top w:val="none" w:sz="0" w:space="0" w:color="auto"/>
        <w:left w:val="none" w:sz="0" w:space="0" w:color="auto"/>
        <w:bottom w:val="none" w:sz="0" w:space="0" w:color="auto"/>
        <w:right w:val="none" w:sz="0" w:space="0" w:color="auto"/>
      </w:divBdr>
    </w:div>
    <w:div w:id="1753232511">
      <w:bodyDiv w:val="1"/>
      <w:marLeft w:val="0"/>
      <w:marRight w:val="0"/>
      <w:marTop w:val="0"/>
      <w:marBottom w:val="0"/>
      <w:divBdr>
        <w:top w:val="none" w:sz="0" w:space="0" w:color="auto"/>
        <w:left w:val="none" w:sz="0" w:space="0" w:color="auto"/>
        <w:bottom w:val="none" w:sz="0" w:space="0" w:color="auto"/>
        <w:right w:val="none" w:sz="0" w:space="0" w:color="auto"/>
      </w:divBdr>
    </w:div>
    <w:div w:id="1809014233">
      <w:bodyDiv w:val="1"/>
      <w:marLeft w:val="0"/>
      <w:marRight w:val="0"/>
      <w:marTop w:val="0"/>
      <w:marBottom w:val="0"/>
      <w:divBdr>
        <w:top w:val="none" w:sz="0" w:space="0" w:color="auto"/>
        <w:left w:val="none" w:sz="0" w:space="0" w:color="auto"/>
        <w:bottom w:val="none" w:sz="0" w:space="0" w:color="auto"/>
        <w:right w:val="none" w:sz="0" w:space="0" w:color="auto"/>
      </w:divBdr>
    </w:div>
    <w:div w:id="1855530391">
      <w:bodyDiv w:val="1"/>
      <w:marLeft w:val="0"/>
      <w:marRight w:val="0"/>
      <w:marTop w:val="0"/>
      <w:marBottom w:val="0"/>
      <w:divBdr>
        <w:top w:val="none" w:sz="0" w:space="0" w:color="auto"/>
        <w:left w:val="none" w:sz="0" w:space="0" w:color="auto"/>
        <w:bottom w:val="none" w:sz="0" w:space="0" w:color="auto"/>
        <w:right w:val="none" w:sz="0" w:space="0" w:color="auto"/>
      </w:divBdr>
    </w:div>
    <w:div w:id="1915357574">
      <w:bodyDiv w:val="1"/>
      <w:marLeft w:val="0"/>
      <w:marRight w:val="0"/>
      <w:marTop w:val="0"/>
      <w:marBottom w:val="0"/>
      <w:divBdr>
        <w:top w:val="none" w:sz="0" w:space="0" w:color="auto"/>
        <w:left w:val="none" w:sz="0" w:space="0" w:color="auto"/>
        <w:bottom w:val="none" w:sz="0" w:space="0" w:color="auto"/>
        <w:right w:val="none" w:sz="0" w:space="0" w:color="auto"/>
      </w:divBdr>
    </w:div>
    <w:div w:id="204525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2211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pm.gov/oca/11tables/html/gs_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C19591C-FB76-4DD3-9F0E-11F428FD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11741</Words>
  <Characters>66927</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78511</CharactersWithSpaces>
  <SharedDoc>false</SharedDoc>
  <HLinks>
    <vt:vector size="12" baseType="variant">
      <vt:variant>
        <vt:i4>2490397</vt:i4>
      </vt:variant>
      <vt:variant>
        <vt:i4>3</vt:i4>
      </vt:variant>
      <vt:variant>
        <vt:i4>0</vt:i4>
      </vt:variant>
      <vt:variant>
        <vt:i4>5</vt:i4>
      </vt:variant>
      <vt:variant>
        <vt:lpwstr>http://www.opm.gov/oca/11tables/html/gs_h.asp</vt:lpwstr>
      </vt:variant>
      <vt:variant>
        <vt:lpwstr/>
      </vt:variant>
      <vt:variant>
        <vt:i4>2752513</vt:i4>
      </vt:variant>
      <vt:variant>
        <vt:i4>0</vt:i4>
      </vt:variant>
      <vt:variant>
        <vt:i4>0</vt:i4>
      </vt:variant>
      <vt:variant>
        <vt:i4>5</vt:i4>
      </vt:variant>
      <vt:variant>
        <vt:lpwstr>http://www.bls.gov/oes/current/naics4_221100.htm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 Colville-Taylor</dc:creator>
  <cp:keywords/>
  <dc:description/>
  <cp:lastModifiedBy>ckerwin</cp:lastModifiedBy>
  <cp:revision>3</cp:revision>
  <cp:lastPrinted>2011-03-10T15:12:00Z</cp:lastPrinted>
  <dcterms:created xsi:type="dcterms:W3CDTF">2011-04-28T17:50:00Z</dcterms:created>
  <dcterms:modified xsi:type="dcterms:W3CDTF">2011-04-28T17:50:00Z</dcterms:modified>
</cp:coreProperties>
</file>