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960AE8" w:rsidRDefault="005D684C" w:rsidP="001A69A7">
      <w:pPr>
        <w:pStyle w:val="Title"/>
        <w:ind w:firstLine="720"/>
        <w:jc w:val="right"/>
        <w:rPr>
          <w:sz w:val="24"/>
          <w:szCs w:val="24"/>
        </w:rPr>
      </w:pPr>
      <w:r>
        <w:rPr>
          <w:sz w:val="24"/>
          <w:szCs w:val="24"/>
        </w:rPr>
        <w:t>June 8</w:t>
      </w:r>
      <w:r w:rsidR="00990B77" w:rsidRPr="00960AE8">
        <w:rPr>
          <w:sz w:val="24"/>
          <w:szCs w:val="24"/>
        </w:rPr>
        <w:t>, 2011</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990B77">
        <w:rPr>
          <w:b/>
          <w:sz w:val="28"/>
        </w:rPr>
        <w:t>104</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990B77">
        <w:rPr>
          <w:b/>
          <w:sz w:val="28"/>
        </w:rPr>
        <w:t>Severe Repetitive Loss (SRL) Appeals</w:t>
      </w:r>
    </w:p>
    <w:p w:rsidR="00842E74" w:rsidRDefault="00842E74">
      <w:pPr>
        <w:tabs>
          <w:tab w:val="left" w:pos="-720"/>
        </w:tabs>
        <w:suppressAutoHyphens/>
        <w:rPr>
          <w:b/>
          <w:sz w:val="28"/>
        </w:rPr>
      </w:pPr>
    </w:p>
    <w:p w:rsidR="00842E74" w:rsidRDefault="00842E74">
      <w:pPr>
        <w:tabs>
          <w:tab w:val="left" w:pos="-720"/>
        </w:tabs>
        <w:suppressAutoHyphens/>
        <w:rPr>
          <w:sz w:val="28"/>
        </w:rPr>
      </w:pPr>
      <w:r>
        <w:rPr>
          <w:b/>
          <w:sz w:val="28"/>
        </w:rPr>
        <w:t xml:space="preserve">Form Number(s):  </w:t>
      </w:r>
      <w:r w:rsidR="00C94212">
        <w:rPr>
          <w:b/>
          <w:sz w:val="28"/>
        </w:rPr>
        <w:t>None</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5669A7"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990B77" w:rsidRDefault="00990B77" w:rsidP="00232C69">
      <w:pPr>
        <w:rPr>
          <w:b/>
          <w:bCs/>
          <w:color w:val="000000"/>
        </w:rPr>
      </w:pPr>
    </w:p>
    <w:p w:rsidR="00990B77" w:rsidRDefault="00373BBE" w:rsidP="00232C69">
      <w:pPr>
        <w:rPr>
          <w:b/>
          <w:bCs/>
          <w:color w:val="000000"/>
        </w:rPr>
      </w:pPr>
      <w:r>
        <w:rPr>
          <w:spacing w:val="-3"/>
        </w:rPr>
        <w:t>To implement the Flood Insurance Act of 1968, 42 US</w:t>
      </w:r>
      <w:r w:rsidR="006B795D">
        <w:rPr>
          <w:spacing w:val="-3"/>
        </w:rPr>
        <w:t xml:space="preserve">C </w:t>
      </w:r>
      <w:r>
        <w:rPr>
          <w:spacing w:val="-3"/>
        </w:rPr>
        <w:t xml:space="preserve">4102a, as amended, </w:t>
      </w:r>
      <w:proofErr w:type="gramStart"/>
      <w:r w:rsidR="00990B77">
        <w:rPr>
          <w:spacing w:val="-3"/>
        </w:rPr>
        <w:t>FEMA</w:t>
      </w:r>
      <w:proofErr w:type="gramEnd"/>
      <w:r w:rsidR="00990B77">
        <w:rPr>
          <w:spacing w:val="-3"/>
        </w:rPr>
        <w:t xml:space="preserve"> published a Final Rule for the 44 CFR Part 79.7(d)</w:t>
      </w:r>
      <w:r w:rsidR="00132710">
        <w:rPr>
          <w:spacing w:val="-3"/>
        </w:rPr>
        <w:t>,</w:t>
      </w:r>
      <w:r w:rsidR="00990B77">
        <w:rPr>
          <w:spacing w:val="-3"/>
        </w:rPr>
        <w:t xml:space="preserve"> Flood Mitigation Grants and Hazard Mitigation Planning</w:t>
      </w:r>
      <w:r w:rsidR="00132710">
        <w:rPr>
          <w:spacing w:val="-3"/>
        </w:rPr>
        <w:t>,</w:t>
      </w:r>
      <w:r w:rsidR="00990B77">
        <w:rPr>
          <w:spacing w:val="-3"/>
        </w:rPr>
        <w:t xml:space="preserve"> that implements the SRL program appeals process.  This Final Rule outlines the process by which, any owner of a severe repetitive loss property, may appeal FEMA decision that would increase the chargeable insurance premium rate on the property.  This Final Rule was made effective on October 16, 2009. </w:t>
      </w:r>
    </w:p>
    <w:p w:rsidR="00842E74" w:rsidRDefault="00842E74">
      <w:pPr>
        <w:rPr>
          <w:spacing w:val="-3"/>
          <w:u w:val="single"/>
        </w:rPr>
      </w:pPr>
    </w:p>
    <w:p w:rsidR="00842E74" w:rsidRDefault="005669A7">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990B77" w:rsidRDefault="00990B77" w:rsidP="00990B77">
      <w:r>
        <w:lastRenderedPageBreak/>
        <w:t xml:space="preserve">This process requires the owner to submit a written appeal, including any supporting documentation for an appeal to FEMA within 90 days of the notice of the insurance increase.  Much of the supporting documentation for SRL applications is covered under a separate collection, OMB No. 1660-0072, Mitigation Grant Programs (e-Grants).  Although much of the supporting documentation has already been submitted in the original application for SRL grant funds, the property owner may submit any additional documentation that supports their appeal.  The regulation provides six (6) bases for appeal, each with its own requirements for information shown </w:t>
      </w:r>
      <w:r w:rsidR="00960AE8">
        <w:t>below</w:t>
      </w:r>
      <w:r>
        <w:t>:</w:t>
      </w:r>
    </w:p>
    <w:p w:rsidR="00990B77" w:rsidRDefault="00990B77" w:rsidP="00990B77"/>
    <w:p w:rsidR="00990B77" w:rsidRDefault="00990B77" w:rsidP="00990B77">
      <w:pPr>
        <w:ind w:left="720"/>
      </w:pPr>
      <w:r>
        <w:t>(a) The offered mitigation activity is an acquisition and the property owner would be unable to purchase a replacement of the primary residence that is of comparable value and that is functionally equivalent.  The property owner must document the actions taken to locate such replacement dwelling and demonstrate that no such dwelling is available.</w:t>
      </w:r>
    </w:p>
    <w:p w:rsidR="00990B77" w:rsidRDefault="00990B77" w:rsidP="00990B77"/>
    <w:p w:rsidR="00990B77" w:rsidRDefault="00990B77" w:rsidP="00990B77">
      <w:pPr>
        <w:ind w:left="720"/>
      </w:pPr>
      <w:r>
        <w:t xml:space="preserve">(b) The amount of Federal funds offered for a mitigation activity, when combined with funds from the required non-Federal source, would not cover the actual eligible costs of the mitigation activity.  The property owner must submit at </w:t>
      </w:r>
      <w:r w:rsidR="000D754C">
        <w:t>least</w:t>
      </w:r>
      <w:r>
        <w:t xml:space="preserve"> two independent estimates from professional engineers or registered architects to support this claim.  For an acquisition, the price offered for purchasing the property is not an accurate estimation of the market value of the property.  The property owner must submit two independent appraisals from qualified appraisers demonstrating that the purchase offer is not an accurate estimation of the market value of the property.</w:t>
      </w:r>
    </w:p>
    <w:p w:rsidR="00990B77" w:rsidRDefault="00990B77" w:rsidP="00990B77">
      <w:pPr>
        <w:ind w:left="720"/>
      </w:pPr>
    </w:p>
    <w:p w:rsidR="00990B77" w:rsidRDefault="00990B77" w:rsidP="00990B77">
      <w:pPr>
        <w:ind w:left="720"/>
      </w:pPr>
      <w:r>
        <w:t>(c) The offered mitigation activity would diminish the integrity of a historic district, site, building, or object’s significant historic characteristics to the extent where the historic resource would lose its status as listed or eligible for inclusion on the National Register of Historic Places.  The property owner must submit appropriate documentation from the State Historic Preservation Officer/Tribal Historic Preservation Officer to support this claim.</w:t>
      </w:r>
    </w:p>
    <w:p w:rsidR="00990B77" w:rsidRDefault="00990B77" w:rsidP="00990B77">
      <w:pPr>
        <w:ind w:left="720"/>
      </w:pPr>
    </w:p>
    <w:p w:rsidR="00990B77" w:rsidRDefault="00990B77" w:rsidP="00990B77">
      <w:pPr>
        <w:ind w:left="720"/>
      </w:pPr>
      <w:r>
        <w:t>(d) For a multifamily property: each of the flood insurance claims payments that served as the basis for its designation as a severe repetitive loss property must have resulted directly from the actions of a third party in violation of Federal, State, or local law, ordinance, or regulation.  The property owner(s) must submit appropriate evidence, documentation, or data to support this claim.</w:t>
      </w:r>
    </w:p>
    <w:p w:rsidR="00990B77" w:rsidRDefault="00990B77" w:rsidP="00990B77"/>
    <w:p w:rsidR="00990B77" w:rsidRDefault="00990B77" w:rsidP="00990B77">
      <w:pPr>
        <w:ind w:left="720"/>
      </w:pPr>
      <w:r>
        <w:t>(e)</w:t>
      </w:r>
      <w:r w:rsidR="00960AE8">
        <w:t xml:space="preserve"> </w:t>
      </w:r>
      <w:r>
        <w:t>The property owner relied upon FEMA Flood Insurance Rate Maps (FIRMs) that were current at the time the property was purchased, and the effective FIRM and associated flood insurance study (FIS) did not indicate that the property was located in an area having special flood hazards.  The property owner must produce the dated FIRM and FIS in effect at the time the property was purchased to support this claim.</w:t>
      </w:r>
    </w:p>
    <w:p w:rsidR="00990B77" w:rsidRDefault="00990B77" w:rsidP="00990B77"/>
    <w:p w:rsidR="00990B77" w:rsidRDefault="00990B77" w:rsidP="00990B77">
      <w:pPr>
        <w:ind w:left="720"/>
      </w:pPr>
      <w:r>
        <w:lastRenderedPageBreak/>
        <w:t>(f)</w:t>
      </w:r>
      <w:r w:rsidR="00960AE8">
        <w:t xml:space="preserve"> </w:t>
      </w:r>
      <w:r>
        <w:t>An alternative mitigation activity would be at least as cost effective as the offered mitigation activity.  The property owner must submit documentation of the costs for a technically feasible and eligible alternative mitigation activity based on estimates from qualified appraisers, professional engineers, or registered architects, and information and documentation demonstrating the cost effectiveness using a FEMA approved methodology to support this claim.</w:t>
      </w:r>
    </w:p>
    <w:p w:rsidR="00990B77" w:rsidRDefault="00990B77" w:rsidP="00990B77"/>
    <w:p w:rsidR="00990B77" w:rsidRDefault="00990B77" w:rsidP="00990B77">
      <w:r>
        <w:t xml:space="preserve">FEMA will use this information to conduct an initial review of each appeal.  FEMA can reject an appeal if it is made on an illegitimate basis or approve it without further evaluation, or assign it to an independent third party or to </w:t>
      </w:r>
      <w:r w:rsidR="003C1A1F">
        <w:t xml:space="preserve">the </w:t>
      </w:r>
      <w:r>
        <w:t xml:space="preserve">FEMA </w:t>
      </w:r>
      <w:r w:rsidR="003C1A1F">
        <w:t>Alternative Dispute Resolution (</w:t>
      </w:r>
      <w:r>
        <w:t>ADR</w:t>
      </w:r>
      <w:r w:rsidR="003C1A1F">
        <w:t>)</w:t>
      </w:r>
      <w:r>
        <w:t xml:space="preserve"> </w:t>
      </w:r>
      <w:r w:rsidR="003C1A1F">
        <w:t>O</w:t>
      </w:r>
      <w:r>
        <w:t>ffice for review and final determination.</w:t>
      </w:r>
    </w:p>
    <w:p w:rsidR="00842E74" w:rsidRDefault="00842E74"/>
    <w:p w:rsidR="00842E74" w:rsidRDefault="005669A7">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84F02" w:rsidRDefault="00884F02">
      <w:pPr>
        <w:rPr>
          <w:b/>
          <w:bCs/>
        </w:rPr>
      </w:pPr>
    </w:p>
    <w:p w:rsidR="00884F02" w:rsidRDefault="00884F02" w:rsidP="00884F02">
      <w:pPr>
        <w:rPr>
          <w:bCs/>
        </w:rPr>
      </w:pPr>
      <w:r>
        <w:rPr>
          <w:bCs/>
        </w:rPr>
        <w:t xml:space="preserve">FEMA has not mandated a requirement for property owners to use information technology to submit appeals. </w:t>
      </w:r>
      <w:r w:rsidR="00BA0E34">
        <w:rPr>
          <w:bCs/>
        </w:rPr>
        <w:t xml:space="preserve">However, electronic submission is used for emails (50%), mail (25%), and fax (25%). </w:t>
      </w:r>
      <w:r>
        <w:rPr>
          <w:bCs/>
        </w:rPr>
        <w:t>Property owners are required to submit a written appeal, including supporting documentation, postmarked or delivered to FEMA within 90 days of the date of the notice of the insurance increase.</w:t>
      </w:r>
    </w:p>
    <w:p w:rsidR="00884F02" w:rsidRDefault="00884F02" w:rsidP="00884F02">
      <w:pPr>
        <w:rPr>
          <w:bCs/>
        </w:rPr>
      </w:pPr>
    </w:p>
    <w:p w:rsidR="00990B77" w:rsidRDefault="00884F02">
      <w:pPr>
        <w:rPr>
          <w:b/>
          <w:bCs/>
        </w:rPr>
      </w:pPr>
      <w:r>
        <w:rPr>
          <w:bCs/>
        </w:rPr>
        <w:t>Due to the number of consultations and the collection of voluntary participation statements during the application process, FEMA anticipates very few responses to the appeal process; therefore the creation of an automated system exclusively for this collection is cost-prohibitive.  FEMA may accept email submittals, if arrangements between FEMA and the property owner are made in advance.</w:t>
      </w:r>
    </w:p>
    <w:p w:rsidR="00842E74" w:rsidRDefault="00842E74">
      <w:pPr>
        <w:rPr>
          <w:color w:val="000000"/>
        </w:rPr>
      </w:pPr>
    </w:p>
    <w:p w:rsidR="00842E74" w:rsidRDefault="005669A7">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842E74" w:rsidRDefault="005669A7">
      <w:r>
        <w:fldChar w:fldCharType="begin"/>
      </w:r>
      <w:r w:rsidR="00842E74">
        <w:instrText>ADVANCE \R 0.95</w:instrText>
      </w:r>
      <w:r>
        <w:fldChar w:fldCharType="end"/>
      </w:r>
    </w:p>
    <w:p w:rsidR="00884F02" w:rsidRDefault="00884F02">
      <w:r>
        <w:t>Property owners who submit appeals may request a copy of the original application submitted during the SRL application process.  Property owners may request copies of documents, and may submit the application information as supporting documentation.</w:t>
      </w:r>
    </w:p>
    <w:p w:rsidR="00884F02" w:rsidRDefault="00884F02"/>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84F02" w:rsidRDefault="00884F02">
      <w:pPr>
        <w:tabs>
          <w:tab w:val="left" w:pos="360"/>
        </w:tabs>
        <w:rPr>
          <w:b/>
          <w:bCs/>
        </w:rPr>
      </w:pPr>
    </w:p>
    <w:p w:rsidR="00884F02" w:rsidRDefault="006B795D">
      <w:pPr>
        <w:tabs>
          <w:tab w:val="left" w:pos="360"/>
        </w:tabs>
        <w:rPr>
          <w:b/>
          <w:bCs/>
        </w:rPr>
      </w:pPr>
      <w:r w:rsidRPr="006B795D">
        <w:rPr>
          <w:spacing w:val="-3"/>
        </w:rPr>
        <w:t>This information collection does not have an impact on small businesses or other small entities</w:t>
      </w:r>
      <w:r>
        <w:rPr>
          <w:spacing w:val="-3"/>
        </w:rPr>
        <w:t>.</w:t>
      </w:r>
    </w:p>
    <w:p w:rsidR="00842E74" w:rsidRDefault="00842E74">
      <w:pPr>
        <w:rPr>
          <w:spacing w:val="-3"/>
        </w:rPr>
      </w:pPr>
    </w:p>
    <w:p w:rsidR="00842E74" w:rsidRDefault="005669A7">
      <w:pPr>
        <w:rPr>
          <w:b/>
          <w:bCs/>
        </w:rPr>
      </w:pPr>
      <w:r>
        <w:rPr>
          <w:b/>
          <w:bCs/>
        </w:rPr>
        <w:lastRenderedPageBreak/>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any technical or legal obstacles to reducing burden.  </w:t>
      </w:r>
    </w:p>
    <w:p w:rsidR="00884F02" w:rsidRDefault="00884F02">
      <w:pPr>
        <w:rPr>
          <w:b/>
          <w:bCs/>
        </w:rPr>
      </w:pPr>
    </w:p>
    <w:p w:rsidR="00884F02" w:rsidRDefault="00884F02">
      <w:pPr>
        <w:rPr>
          <w:b/>
          <w:bCs/>
        </w:rPr>
      </w:pPr>
      <w:r>
        <w:rPr>
          <w:spacing w:val="-3"/>
        </w:rPr>
        <w:t>FEMA will be unable to implement the appeals process for the SRL programs, and will be in violation of the requirements under the Flood Insurance Act of 1968, 42 U.S.C. 4102a without this collection of information.</w:t>
      </w:r>
    </w:p>
    <w:p w:rsidR="00842E74" w:rsidRDefault="00842E74">
      <w:pPr>
        <w:rPr>
          <w:spacing w:val="-3"/>
        </w:rPr>
      </w:pPr>
    </w:p>
    <w:p w:rsidR="00842E74" w:rsidRDefault="005669A7">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84F02" w:rsidRDefault="00884F02">
      <w:pPr>
        <w:rPr>
          <w:b/>
          <w:bCs/>
        </w:rPr>
      </w:pPr>
    </w:p>
    <w:p w:rsidR="00884F02" w:rsidRDefault="00884F02" w:rsidP="00884F02">
      <w:pPr>
        <w:numPr>
          <w:ilvl w:val="0"/>
          <w:numId w:val="11"/>
        </w:numPr>
        <w:rPr>
          <w:b/>
          <w:bCs/>
        </w:rPr>
      </w:pPr>
      <w:r>
        <w:rPr>
          <w:b/>
          <w:bCs/>
        </w:rPr>
        <w:t>Requiring respondents to report information to the agency more</w:t>
      </w:r>
    </w:p>
    <w:p w:rsidR="00884F02" w:rsidRDefault="00884F02" w:rsidP="00884F02">
      <w:pPr>
        <w:rPr>
          <w:b/>
          <w:bCs/>
        </w:rPr>
      </w:pPr>
      <w:proofErr w:type="gramStart"/>
      <w:r>
        <w:rPr>
          <w:b/>
          <w:bCs/>
        </w:rPr>
        <w:t>often</w:t>
      </w:r>
      <w:proofErr w:type="gramEnd"/>
      <w:r>
        <w:rPr>
          <w:b/>
          <w:bCs/>
        </w:rPr>
        <w:t xml:space="preserve"> than quarterly.</w:t>
      </w:r>
    </w:p>
    <w:p w:rsidR="00884F02" w:rsidRDefault="005669A7" w:rsidP="00884F02">
      <w:r>
        <w:fldChar w:fldCharType="begin"/>
      </w:r>
      <w:r w:rsidR="00884F02">
        <w:instrText>ADVANCE \R 0.95</w:instrText>
      </w:r>
      <w:r>
        <w:fldChar w:fldCharType="end"/>
      </w:r>
    </w:p>
    <w:p w:rsidR="00884F02" w:rsidRDefault="005669A7" w:rsidP="00884F02">
      <w:pPr>
        <w:rPr>
          <w:b/>
          <w:bCs/>
        </w:rPr>
      </w:pPr>
      <w:r>
        <w:fldChar w:fldCharType="begin"/>
      </w:r>
      <w:r w:rsidR="00884F02">
        <w:instrText>ADVANCE \R 0.95</w:instrText>
      </w:r>
      <w:r>
        <w:fldChar w:fldCharType="end"/>
      </w:r>
      <w:r w:rsidR="00884F02">
        <w:tab/>
      </w:r>
      <w:r w:rsidR="00884F02">
        <w:rPr>
          <w:b/>
          <w:bCs/>
        </w:rPr>
        <w:t>(b) Requiring respondents to prepare a written response to a collection of information in fewer than 30 days after receipt of it.</w:t>
      </w:r>
    </w:p>
    <w:p w:rsidR="00884F02" w:rsidRDefault="005669A7" w:rsidP="00884F02">
      <w:r>
        <w:fldChar w:fldCharType="begin"/>
      </w:r>
      <w:r w:rsidR="00884F02">
        <w:instrText>ADVANCE \R 0.95</w:instrText>
      </w:r>
      <w:r>
        <w:fldChar w:fldCharType="end"/>
      </w:r>
    </w:p>
    <w:p w:rsidR="00884F02" w:rsidRDefault="00884F02" w:rsidP="00884F02">
      <w:pPr>
        <w:ind w:left="720"/>
        <w:rPr>
          <w:b/>
          <w:bCs/>
        </w:rPr>
      </w:pPr>
      <w:r w:rsidRPr="00D27B91">
        <w:rPr>
          <w:b/>
        </w:rPr>
        <w:t>(</w:t>
      </w:r>
      <w:proofErr w:type="gramStart"/>
      <w:r w:rsidRPr="00D27B91">
        <w:rPr>
          <w:b/>
        </w:rPr>
        <w:t>c )</w:t>
      </w:r>
      <w:proofErr w:type="gramEnd"/>
      <w:r>
        <w:t xml:space="preserve"> </w:t>
      </w:r>
      <w:r>
        <w:rPr>
          <w:b/>
          <w:bCs/>
        </w:rPr>
        <w:t>Requiring respondents to submit more than an original and two copies of any document.</w:t>
      </w:r>
    </w:p>
    <w:p w:rsidR="00884F02" w:rsidRDefault="005669A7" w:rsidP="00884F02">
      <w:pPr>
        <w:rPr>
          <w:b/>
          <w:bCs/>
        </w:rPr>
      </w:pPr>
      <w:r>
        <w:rPr>
          <w:b/>
          <w:bCs/>
        </w:rPr>
        <w:fldChar w:fldCharType="begin"/>
      </w:r>
      <w:r w:rsidR="00884F02">
        <w:rPr>
          <w:b/>
          <w:bCs/>
        </w:rPr>
        <w:instrText>ADVANCE \R 0.95</w:instrText>
      </w:r>
      <w:r>
        <w:rPr>
          <w:b/>
          <w:bCs/>
        </w:rPr>
        <w:fldChar w:fldCharType="end"/>
      </w:r>
    </w:p>
    <w:p w:rsidR="00884F02" w:rsidRDefault="005669A7" w:rsidP="00884F02">
      <w:pPr>
        <w:numPr>
          <w:ilvl w:val="0"/>
          <w:numId w:val="15"/>
        </w:numPr>
        <w:rPr>
          <w:b/>
          <w:bCs/>
        </w:rPr>
      </w:pPr>
      <w:r>
        <w:fldChar w:fldCharType="begin"/>
      </w:r>
      <w:r w:rsidR="00884F02">
        <w:instrText>ADVANCE \R 0.95</w:instrText>
      </w:r>
      <w:r>
        <w:fldChar w:fldCharType="end"/>
      </w:r>
      <w:r w:rsidR="00884F02">
        <w:rPr>
          <w:b/>
          <w:bCs/>
        </w:rPr>
        <w:t>Requiring respondents to retain records, other than health,</w:t>
      </w:r>
    </w:p>
    <w:p w:rsidR="00884F02" w:rsidRDefault="00884F02" w:rsidP="00884F02">
      <w:proofErr w:type="gramStart"/>
      <w:r>
        <w:rPr>
          <w:b/>
          <w:bCs/>
        </w:rPr>
        <w:t>medical</w:t>
      </w:r>
      <w:proofErr w:type="gramEnd"/>
      <w:r>
        <w:rPr>
          <w:b/>
          <w:bCs/>
        </w:rPr>
        <w:t>, government contract, grant-in-aid, or tax records for more than three years</w:t>
      </w:r>
      <w:r>
        <w:t>.</w:t>
      </w:r>
    </w:p>
    <w:p w:rsidR="00884F02" w:rsidRDefault="005669A7" w:rsidP="00884F02">
      <w:r>
        <w:fldChar w:fldCharType="begin"/>
      </w:r>
      <w:r w:rsidR="00884F02">
        <w:instrText>ADVANCE \R 0.95</w:instrText>
      </w:r>
      <w:r>
        <w:fldChar w:fldCharType="end"/>
      </w:r>
    </w:p>
    <w:p w:rsidR="00884F02" w:rsidRDefault="005669A7" w:rsidP="00884F02">
      <w:pPr>
        <w:numPr>
          <w:ilvl w:val="0"/>
          <w:numId w:val="15"/>
        </w:numPr>
        <w:rPr>
          <w:b/>
          <w:bCs/>
        </w:rPr>
      </w:pPr>
      <w:r>
        <w:fldChar w:fldCharType="begin"/>
      </w:r>
      <w:r w:rsidR="00884F02">
        <w:instrText>ADVANCE \R 0.95</w:instrText>
      </w:r>
      <w:r>
        <w:fldChar w:fldCharType="end"/>
      </w:r>
      <w:r w:rsidR="00884F02">
        <w:rPr>
          <w:b/>
          <w:bCs/>
        </w:rPr>
        <w:t>In connection with a statistical survey, that is not designed to</w:t>
      </w:r>
    </w:p>
    <w:p w:rsidR="00884F02" w:rsidRDefault="00884F02" w:rsidP="00884F02">
      <w:proofErr w:type="gramStart"/>
      <w:r>
        <w:rPr>
          <w:b/>
          <w:bCs/>
        </w:rPr>
        <w:t>produce</w:t>
      </w:r>
      <w:proofErr w:type="gramEnd"/>
      <w:r>
        <w:rPr>
          <w:b/>
          <w:bCs/>
        </w:rPr>
        <w:t xml:space="preserve"> valid and reliable results that can be generalized to the universe of study</w:t>
      </w:r>
      <w:r>
        <w:t>.</w:t>
      </w:r>
    </w:p>
    <w:p w:rsidR="00884F02" w:rsidRDefault="00884F02" w:rsidP="00884F02"/>
    <w:p w:rsidR="00884F02" w:rsidRDefault="005669A7" w:rsidP="00884F02">
      <w:pPr>
        <w:rPr>
          <w:b/>
          <w:bCs/>
        </w:rPr>
      </w:pPr>
      <w:r>
        <w:fldChar w:fldCharType="begin"/>
      </w:r>
      <w:r w:rsidR="00884F02">
        <w:instrText>ADVANCE \R 0.95</w:instrText>
      </w:r>
      <w:r>
        <w:fldChar w:fldCharType="end"/>
      </w:r>
      <w:r w:rsidR="00884F02">
        <w:tab/>
      </w:r>
      <w:r w:rsidR="00884F02">
        <w:rPr>
          <w:b/>
          <w:bCs/>
        </w:rPr>
        <w:t xml:space="preserve">(f) Requiring the use of a statistical data classification that has not </w:t>
      </w:r>
    </w:p>
    <w:p w:rsidR="00884F02" w:rsidRDefault="00884F02" w:rsidP="00884F02">
      <w:proofErr w:type="gramStart"/>
      <w:r>
        <w:rPr>
          <w:b/>
          <w:bCs/>
        </w:rPr>
        <w:t>been</w:t>
      </w:r>
      <w:proofErr w:type="gramEnd"/>
      <w:r>
        <w:rPr>
          <w:b/>
          <w:bCs/>
        </w:rPr>
        <w:t xml:space="preserve"> reviewed and approved by OMB.</w:t>
      </w:r>
    </w:p>
    <w:p w:rsidR="00884F02" w:rsidRDefault="00884F02" w:rsidP="00884F02"/>
    <w:p w:rsidR="00884F02" w:rsidRDefault="005669A7" w:rsidP="00884F02">
      <w:pPr>
        <w:rPr>
          <w:b/>
          <w:bCs/>
        </w:rPr>
      </w:pPr>
      <w:r>
        <w:fldChar w:fldCharType="begin"/>
      </w:r>
      <w:r w:rsidR="00884F02">
        <w:instrText>ADVANCE \R 0.95</w:instrText>
      </w:r>
      <w:r>
        <w:fldChar w:fldCharType="end"/>
      </w:r>
      <w:r w:rsidR="00884F02">
        <w:tab/>
      </w:r>
      <w:r w:rsidR="00884F02">
        <w:rPr>
          <w:b/>
          <w:bCs/>
        </w:rPr>
        <w:t>(g) That includes a pledge of confidentiality that is not supported by</w:t>
      </w:r>
    </w:p>
    <w:p w:rsidR="00884F02" w:rsidRDefault="00884F02" w:rsidP="00884F02">
      <w:pPr>
        <w:rPr>
          <w:b/>
          <w:bCs/>
        </w:rPr>
      </w:pPr>
      <w:proofErr w:type="gramStart"/>
      <w:r>
        <w:rPr>
          <w:b/>
          <w:bCs/>
        </w:rPr>
        <w:t>authority</w:t>
      </w:r>
      <w:proofErr w:type="gramEnd"/>
      <w:r>
        <w:rPr>
          <w:b/>
          <w:bCs/>
        </w:rPr>
        <w:t xml:space="preserve">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884F02" w:rsidRDefault="005669A7" w:rsidP="00884F02">
      <w:r>
        <w:fldChar w:fldCharType="begin"/>
      </w:r>
      <w:r w:rsidR="00884F02">
        <w:instrText>ADVANCE \R 0.95</w:instrText>
      </w:r>
      <w:r>
        <w:fldChar w:fldCharType="end"/>
      </w:r>
    </w:p>
    <w:p w:rsidR="00884F02" w:rsidRDefault="005669A7" w:rsidP="00884F02">
      <w:pPr>
        <w:rPr>
          <w:b/>
          <w:bCs/>
        </w:rPr>
      </w:pPr>
      <w:r>
        <w:fldChar w:fldCharType="begin"/>
      </w:r>
      <w:r w:rsidR="00884F02">
        <w:instrText>ADVANCE \R 0.95</w:instrText>
      </w:r>
      <w:r>
        <w:fldChar w:fldCharType="end"/>
      </w:r>
      <w:r w:rsidR="00884F02">
        <w:tab/>
      </w:r>
      <w:r w:rsidR="00884F02">
        <w:rPr>
          <w:b/>
          <w:bCs/>
        </w:rPr>
        <w:t>(h) Requiring respondents to submit proprietary trade secret, or other confidential information unless the agency can demonstrate that it has instituted procedures to protect the information’s confidentiality to the extent permitted by law.</w:t>
      </w:r>
    </w:p>
    <w:p w:rsidR="00884F02" w:rsidRDefault="005669A7" w:rsidP="00884F02">
      <w:r>
        <w:fldChar w:fldCharType="begin"/>
      </w:r>
      <w:r w:rsidR="00884F02">
        <w:instrText>ADVANCE \R 0.95</w:instrText>
      </w:r>
      <w:r>
        <w:fldChar w:fldCharType="end"/>
      </w:r>
    </w:p>
    <w:p w:rsidR="00132710" w:rsidRDefault="00132710">
      <w:r>
        <w:t>T</w:t>
      </w:r>
      <w:r w:rsidRPr="00132710">
        <w:t>he special circumstances contained in item 7 of the supporting statement are not applicable to this information collection</w:t>
      </w:r>
      <w:r>
        <w:t>.</w:t>
      </w:r>
    </w:p>
    <w:p w:rsidR="00132710" w:rsidRDefault="00132710"/>
    <w:p w:rsidR="00132710" w:rsidRDefault="00132710"/>
    <w:p w:rsidR="00132710" w:rsidRDefault="00132710"/>
    <w:p w:rsidR="00842E74" w:rsidRDefault="00132710">
      <w:r>
        <w:t xml:space="preserve"> </w:t>
      </w:r>
      <w:r w:rsidR="005669A7">
        <w:fldChar w:fldCharType="begin"/>
      </w:r>
      <w:r w:rsidR="00842E74">
        <w:instrText>ADVANCE \R 0.95</w:instrText>
      </w:r>
      <w:r w:rsidR="005669A7">
        <w:fldChar w:fldCharType="end"/>
      </w:r>
    </w:p>
    <w:p w:rsidR="00842E74" w:rsidRDefault="005669A7">
      <w:pPr>
        <w:rPr>
          <w:b/>
          <w:bCs/>
        </w:rPr>
      </w:pPr>
      <w:r>
        <w:rPr>
          <w:b/>
          <w:bCs/>
        </w:rPr>
        <w:lastRenderedPageBreak/>
        <w:fldChar w:fldCharType="begin"/>
      </w:r>
      <w:r w:rsidR="00842E74">
        <w:rPr>
          <w:b/>
          <w:bCs/>
        </w:rPr>
        <w:instrText>ADVANCE \R 0.95</w:instrText>
      </w:r>
      <w:r>
        <w:rPr>
          <w:b/>
          <w:bCs/>
        </w:rPr>
        <w:fldChar w:fldCharType="end"/>
      </w:r>
      <w:r w:rsidR="00842E74">
        <w:rPr>
          <w:b/>
          <w:bCs/>
        </w:rPr>
        <w:t xml:space="preserve">8.  Federal Register Notice: </w:t>
      </w:r>
    </w:p>
    <w:p w:rsidR="00842E74" w:rsidRDefault="005669A7">
      <w:pPr>
        <w:rPr>
          <w:b/>
          <w:bCs/>
        </w:rPr>
      </w:pPr>
      <w:r>
        <w:rPr>
          <w:b/>
          <w:bCs/>
        </w:rPr>
        <w:fldChar w:fldCharType="begin"/>
      </w:r>
      <w:r w:rsidR="00842E74">
        <w:rPr>
          <w:b/>
          <w:bCs/>
        </w:rPr>
        <w:instrText>ADVANCE \R 0.95</w:instrText>
      </w:r>
      <w:r>
        <w:rPr>
          <w:b/>
          <w:bCs/>
        </w:rPr>
        <w:fldChar w:fldCharType="end"/>
      </w:r>
    </w:p>
    <w:p w:rsidR="00842E74" w:rsidRDefault="005669A7">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5669A7">
      <w:r>
        <w:fldChar w:fldCharType="begin"/>
      </w:r>
      <w:r w:rsidR="00842E74">
        <w:instrText>ADVANCE \R 0.95</w:instrText>
      </w:r>
      <w:r>
        <w:fldChar w:fldCharType="end"/>
      </w:r>
    </w:p>
    <w:p w:rsidR="00842E74" w:rsidRDefault="00842E74">
      <w:pPr>
        <w:rPr>
          <w:b/>
          <w:bCs/>
          <w:color w:val="FF0000"/>
        </w:rPr>
      </w:pPr>
      <w:r>
        <w:rPr>
          <w:color w:val="000000"/>
        </w:rPr>
        <w:t>A 60-day Federal Register Notice inviting public comments was published on</w:t>
      </w:r>
      <w:r w:rsidR="0035661D">
        <w:rPr>
          <w:color w:val="000000"/>
        </w:rPr>
        <w:t xml:space="preserve"> </w:t>
      </w:r>
      <w:r w:rsidR="0035661D">
        <w:t xml:space="preserve">March 14, 2011, Volume 76 FR 13652.  </w:t>
      </w:r>
      <w:r w:rsidR="0035661D">
        <w:rPr>
          <w:b/>
          <w:bCs/>
        </w:rPr>
        <w:t>No comments were received.</w:t>
      </w:r>
      <w:r>
        <w:rPr>
          <w:b/>
          <w:bCs/>
          <w:color w:val="FF0000"/>
        </w:rPr>
        <w:t xml:space="preserve"> </w:t>
      </w:r>
      <w:r w:rsidR="00303E9D" w:rsidRPr="00303E9D">
        <w:rPr>
          <w:bCs/>
        </w:rPr>
        <w:t>S</w:t>
      </w:r>
      <w:r>
        <w:rPr>
          <w:color w:val="000000"/>
        </w:rPr>
        <w:t>ee attached copy of the published notice included in this</w:t>
      </w:r>
      <w:r w:rsidR="00232C69">
        <w:rPr>
          <w:color w:val="000000"/>
        </w:rPr>
        <w:t xml:space="preserve"> </w:t>
      </w:r>
      <w:r>
        <w:rPr>
          <w:color w:val="000000"/>
        </w:rPr>
        <w:t>package.</w:t>
      </w:r>
    </w:p>
    <w:p w:rsidR="00842E74" w:rsidRDefault="00842E74">
      <w:pPr>
        <w:pStyle w:val="Footer"/>
        <w:tabs>
          <w:tab w:val="clear" w:pos="4320"/>
          <w:tab w:val="clear" w:pos="8640"/>
        </w:tabs>
      </w:pPr>
    </w:p>
    <w:p w:rsidR="00740F51" w:rsidRDefault="00CE6582" w:rsidP="00740F51">
      <w:pPr>
        <w:rPr>
          <w:b/>
          <w:bCs/>
          <w:color w:val="FF0000"/>
        </w:rPr>
      </w:pPr>
      <w:r>
        <w:rPr>
          <w:color w:val="000000"/>
        </w:rPr>
        <w:t>A 30-day Federal Register Notice inviting public comments was published on</w:t>
      </w:r>
      <w:r>
        <w:rPr>
          <w:color w:val="FF0000"/>
        </w:rPr>
        <w:t xml:space="preserve"> </w:t>
      </w:r>
      <w:r>
        <w:t xml:space="preserve">June 8, 2011, Volume 76 FR 33326.  </w:t>
      </w:r>
      <w:r>
        <w:rPr>
          <w:b/>
          <w:bCs/>
        </w:rPr>
        <w:t xml:space="preserve">No comments were received.  </w:t>
      </w:r>
      <w:r>
        <w:rPr>
          <w:bCs/>
        </w:rPr>
        <w:t>S</w:t>
      </w:r>
      <w:r>
        <w:t>ee attached copy of the published notice included in this package</w:t>
      </w:r>
      <w:r w:rsidR="00740F51">
        <w:rPr>
          <w:color w:val="000000"/>
        </w:rPr>
        <w:t>.</w:t>
      </w:r>
    </w:p>
    <w:p w:rsidR="00740F51" w:rsidRDefault="00740F51">
      <w:pPr>
        <w:pStyle w:val="Footer"/>
        <w:tabs>
          <w:tab w:val="clear" w:pos="4320"/>
          <w:tab w:val="clear" w:pos="8640"/>
        </w:tabs>
      </w:pPr>
    </w:p>
    <w:p w:rsidR="00884F02" w:rsidRDefault="005669A7" w:rsidP="00884F02">
      <w:pPr>
        <w:tabs>
          <w:tab w:val="left" w:pos="360"/>
        </w:tabs>
        <w:rPr>
          <w:b/>
          <w:bCs/>
        </w:rPr>
      </w:pPr>
      <w:r>
        <w:fldChar w:fldCharType="begin"/>
      </w:r>
      <w:r w:rsidR="00842E74">
        <w:instrText>ADVANCE \R 0.95</w:instrText>
      </w:r>
      <w:r>
        <w:fldChar w:fldCharType="end"/>
      </w:r>
      <w:r w:rsidR="00884F02" w:rsidRPr="00884F02">
        <w:rPr>
          <w:b/>
          <w:bCs/>
        </w:rPr>
        <w:t xml:space="preserve"> </w:t>
      </w:r>
      <w:r w:rsidR="00884F02">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4F02" w:rsidRDefault="00884F02" w:rsidP="00884F02">
      <w:pPr>
        <w:tabs>
          <w:tab w:val="left" w:pos="360"/>
        </w:tabs>
        <w:rPr>
          <w:b/>
          <w:bCs/>
        </w:rPr>
      </w:pPr>
    </w:p>
    <w:p w:rsidR="00884F02" w:rsidRPr="005956B0" w:rsidRDefault="00884F02" w:rsidP="00884F02">
      <w:pPr>
        <w:tabs>
          <w:tab w:val="left" w:pos="360"/>
        </w:tabs>
        <w:rPr>
          <w:bCs/>
        </w:rPr>
      </w:pPr>
      <w:r w:rsidRPr="005956B0">
        <w:rPr>
          <w:bCs/>
        </w:rPr>
        <w:t>There is no effort necessary to consult with persons outside the agency.</w:t>
      </w:r>
    </w:p>
    <w:p w:rsidR="00884F02" w:rsidRDefault="00884F02" w:rsidP="00884F02">
      <w:pPr>
        <w:tabs>
          <w:tab w:val="left" w:pos="360"/>
        </w:tabs>
        <w:rPr>
          <w:b/>
          <w:bCs/>
        </w:rPr>
      </w:pPr>
    </w:p>
    <w:p w:rsidR="00884F02" w:rsidRDefault="00884F02" w:rsidP="00884F02">
      <w:pPr>
        <w:tabs>
          <w:tab w:val="left" w:pos="360"/>
        </w:tabs>
        <w:rPr>
          <w:b/>
          <w:bCs/>
        </w:rPr>
      </w:pP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884F02" w:rsidRDefault="00884F02" w:rsidP="00884F02"/>
    <w:p w:rsidR="00884F02" w:rsidRDefault="00884F02" w:rsidP="00884F02">
      <w:r>
        <w:t>States and communities shall consult, to the extent practicable, and in accordance with criteria determined by the Administrator, with owners of the severe repetitive loss properties to select the most appropriate eligible mitigation activity.  These consultations shall be initiated in the early stages of the project development, and shall continue throughout the process.  After FEMA awards the project grant, the sub-grantee shall continue to consult with the property owners to determine the specific conditions of the offer.</w:t>
      </w:r>
    </w:p>
    <w:p w:rsidR="00842E74" w:rsidRDefault="00842E74">
      <w:r>
        <w:t xml:space="preserve">          </w:t>
      </w:r>
    </w:p>
    <w:p w:rsidR="00842E74" w:rsidRDefault="005669A7"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84F02" w:rsidRDefault="00884F02" w:rsidP="00C313FA">
      <w:pPr>
        <w:rPr>
          <w:b/>
          <w:bCs/>
        </w:rPr>
      </w:pPr>
    </w:p>
    <w:p w:rsidR="00884F02" w:rsidRDefault="00884F02" w:rsidP="00C313FA">
      <w:pPr>
        <w:rPr>
          <w:b/>
          <w:bCs/>
        </w:rPr>
      </w:pPr>
      <w:r>
        <w:t xml:space="preserve">This collection does not provide payment to respondents.  Property owner who brings an appeal will be responsible for paying his/her attorney’s fees and costs to gather the necessary documentation and data to demonstrate the ground(s) for the appeal.  Attorneys’ fees and costs cannot be awarded by the independent third party.  If the property owner prevails on the appeal, FEMA will adjust the chargeable risk premium to the amount in effect prior to the mitigation offer.  If the property owner losses the appeal, </w:t>
      </w:r>
      <w:r>
        <w:lastRenderedPageBreak/>
        <w:t>the property owner’s insurance rates will be increased, and the owner will also bear the costs of compensation for the independent third party hearing the appeal, if any.</w:t>
      </w:r>
    </w:p>
    <w:p w:rsidR="00842E74" w:rsidRDefault="00842E74"/>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9736B8" w:rsidRDefault="009736B8">
      <w:pPr>
        <w:tabs>
          <w:tab w:val="left" w:pos="360"/>
        </w:tabs>
        <w:rPr>
          <w:b/>
          <w:bCs/>
        </w:rPr>
      </w:pPr>
    </w:p>
    <w:p w:rsidR="006B795D" w:rsidRPr="006B795D" w:rsidRDefault="006B795D" w:rsidP="006B795D">
      <w:pPr>
        <w:tabs>
          <w:tab w:val="left" w:pos="360"/>
        </w:tabs>
        <w:rPr>
          <w:bCs/>
        </w:rPr>
      </w:pPr>
      <w:r w:rsidRPr="006B795D">
        <w:rPr>
          <w:bCs/>
        </w:rPr>
        <w:t xml:space="preserve">A Privacy Threshold Analysis (PTA) was completed for this collection and forwarded to the FEMA Privacy Office for review. The PTA is still currently being reviewed. The status of this information remains the same as of </w:t>
      </w:r>
      <w:r w:rsidR="00CE6582">
        <w:rPr>
          <w:bCs/>
        </w:rPr>
        <w:t>June</w:t>
      </w:r>
      <w:r w:rsidRPr="006B795D">
        <w:rPr>
          <w:bCs/>
        </w:rPr>
        <w:t xml:space="preserve"> 2011.</w:t>
      </w:r>
    </w:p>
    <w:p w:rsidR="00C313FA" w:rsidRDefault="006B795D" w:rsidP="006B795D">
      <w:pPr>
        <w:tabs>
          <w:tab w:val="left" w:pos="360"/>
        </w:tabs>
      </w:pPr>
      <w:r w:rsidRPr="006B795D">
        <w:rPr>
          <w:bCs/>
        </w:rPr>
        <w:t xml:space="preserve"> </w:t>
      </w:r>
      <w:r w:rsidR="005669A7">
        <w:fldChar w:fldCharType="begin"/>
      </w:r>
      <w:r w:rsidR="00842E74">
        <w:instrText>ADVANCE \R 0.95</w:instrText>
      </w:r>
      <w:r w:rsidR="005669A7">
        <w:fldChar w:fldCharType="end"/>
      </w: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84F02" w:rsidRDefault="00884F02" w:rsidP="00884F02"/>
    <w:p w:rsidR="0018260D" w:rsidRDefault="0018260D">
      <w:pPr>
        <w:rPr>
          <w:b/>
          <w:bCs/>
        </w:rPr>
      </w:pPr>
      <w:r w:rsidRPr="0018260D">
        <w:t>There are no questions of sensitive nature</w:t>
      </w:r>
      <w:r>
        <w:rPr>
          <w:b/>
          <w:bCs/>
        </w:rPr>
        <w:t>.</w:t>
      </w:r>
    </w:p>
    <w:p w:rsidR="0018260D" w:rsidRDefault="0018260D">
      <w:pPr>
        <w:rPr>
          <w:b/>
          <w:bCs/>
        </w:rPr>
      </w:pPr>
    </w:p>
    <w:p w:rsidR="00842E74" w:rsidRDefault="005669A7">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5669A7">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5669A7">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233D68" w:rsidRDefault="00233D68">
      <w:pPr>
        <w:rPr>
          <w:b/>
          <w:bCs/>
        </w:rPr>
      </w:pPr>
    </w:p>
    <w:p w:rsidR="00884F02" w:rsidRDefault="00884F02" w:rsidP="00884F02">
      <w:pPr>
        <w:pStyle w:val="Footer"/>
        <w:tabs>
          <w:tab w:val="clear" w:pos="4320"/>
          <w:tab w:val="clear" w:pos="8640"/>
        </w:tabs>
      </w:pPr>
      <w:r w:rsidRPr="00E7425F">
        <w:t>Section 79.7(d)</w:t>
      </w:r>
      <w:r>
        <w:t xml:space="preserve"> codifies an appeals process for those property owners who have been offered mitigation assistance, but have declined the offer.  The process requires policyholders to submit a written appeal to FEMA in the form of a signed letter explaining the nature of their claim appeal and documentation supporting their basis for the appeal.  It is anticipated that the owner’s appeal will rely mostly on existing information, although there is a requirement for individual property owners to compile information and write a formal letter requesting the appeal.</w:t>
      </w:r>
    </w:p>
    <w:p w:rsidR="00884F02" w:rsidRDefault="00884F02" w:rsidP="00884F02">
      <w:pPr>
        <w:pStyle w:val="Footer"/>
        <w:tabs>
          <w:tab w:val="clear" w:pos="4320"/>
          <w:tab w:val="clear" w:pos="8640"/>
        </w:tabs>
      </w:pPr>
    </w:p>
    <w:p w:rsidR="0018260D" w:rsidRPr="00C761FE" w:rsidRDefault="00884F02" w:rsidP="0018260D">
      <w:pPr>
        <w:pStyle w:val="Footer"/>
        <w:rPr>
          <w:u w:val="single"/>
        </w:rPr>
      </w:pPr>
      <w:r>
        <w:t xml:space="preserve">FEMA estimates approximately 500 property owners will be made an offer of mitigation annually under the SRL program.  FEMA estimates 3 percent of the property owners might decline the offer of mitigation assistance, and subsequently have their insurance premium increased.  It is anticipated that not all of these property owners will appeal the premium increase particularly if they cannot support a claim based on the six (6) bases </w:t>
      </w:r>
      <w:r>
        <w:lastRenderedPageBreak/>
        <w:t>for an appeal.  It is expected that only two-third</w:t>
      </w:r>
      <w:r w:rsidR="00132710">
        <w:t>s</w:t>
      </w:r>
      <w:r>
        <w:t xml:space="preserve"> of the total number of property owners will declined mitigation offers and submit a formal request for an appeal for insurance increase.  Therefore, an estimated 500 properties offered mitigation assistance, it is expected that only 10 property owners will submit requests for any appeal.</w:t>
      </w:r>
      <w:r w:rsidR="0018260D">
        <w:t xml:space="preserve"> </w:t>
      </w:r>
      <w:r w:rsidR="0018260D" w:rsidRPr="00C761FE">
        <w:rPr>
          <w:bCs/>
          <w:u w:val="single"/>
        </w:rPr>
        <w:t>The total annual burden is estimated to be 10 responses x 10 hours per response = 100 burden hours.</w:t>
      </w:r>
    </w:p>
    <w:p w:rsidR="00884F02" w:rsidRDefault="00884F02">
      <w:pPr>
        <w:rPr>
          <w:b/>
          <w:bCs/>
        </w:rPr>
      </w:pPr>
    </w:p>
    <w:p w:rsidR="00842E74" w:rsidRDefault="005669A7">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0F0E33" w:rsidRDefault="000F0E33" w:rsidP="00883BF5">
      <w:pPr>
        <w:rPr>
          <w:b/>
          <w:bCs/>
        </w:rPr>
      </w:pPr>
    </w:p>
    <w:tbl>
      <w:tblPr>
        <w:tblW w:w="9405" w:type="dxa"/>
        <w:jc w:val="center"/>
        <w:tblInd w:w="93" w:type="dxa"/>
        <w:tblLook w:val="04A0"/>
      </w:tblPr>
      <w:tblGrid>
        <w:gridCol w:w="1257"/>
        <w:gridCol w:w="1326"/>
        <w:gridCol w:w="936"/>
        <w:gridCol w:w="936"/>
        <w:gridCol w:w="1177"/>
        <w:gridCol w:w="1077"/>
        <w:gridCol w:w="846"/>
        <w:gridCol w:w="787"/>
        <w:gridCol w:w="1257"/>
      </w:tblGrid>
      <w:tr w:rsidR="000F0E33" w:rsidRPr="000F0E33" w:rsidTr="00BC1778">
        <w:trPr>
          <w:trHeight w:val="315"/>
          <w:jc w:val="center"/>
        </w:trPr>
        <w:tc>
          <w:tcPr>
            <w:tcW w:w="9405"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F0E33" w:rsidRPr="000F0E33" w:rsidRDefault="000F0E33" w:rsidP="000F0E33">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0F0E33" w:rsidRPr="000F0E33" w:rsidTr="00BC1778">
        <w:trPr>
          <w:trHeight w:val="1230"/>
          <w:jc w:val="center"/>
        </w:trPr>
        <w:tc>
          <w:tcPr>
            <w:tcW w:w="1326" w:type="dxa"/>
            <w:tcBorders>
              <w:top w:val="nil"/>
              <w:left w:val="single" w:sz="8" w:space="0" w:color="auto"/>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924"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60"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57"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99"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62"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43"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000000" w:fill="C0C0C0"/>
            <w:vAlign w:val="bottom"/>
            <w:hideMark/>
          </w:tcPr>
          <w:p w:rsidR="000F0E33" w:rsidRPr="000F0E33" w:rsidRDefault="000F0E33" w:rsidP="000F0E33">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0F0E33" w:rsidRPr="000F0E33" w:rsidTr="00BC1778">
        <w:trPr>
          <w:trHeight w:val="315"/>
          <w:jc w:val="center"/>
        </w:trPr>
        <w:tc>
          <w:tcPr>
            <w:tcW w:w="1326" w:type="dxa"/>
            <w:tcBorders>
              <w:top w:val="nil"/>
              <w:left w:val="single" w:sz="8" w:space="0" w:color="auto"/>
              <w:bottom w:val="single" w:sz="8" w:space="0" w:color="auto"/>
              <w:right w:val="single" w:sz="8" w:space="0" w:color="auto"/>
            </w:tcBorders>
            <w:shd w:val="clear" w:color="auto" w:fill="auto"/>
            <w:vAlign w:val="bottom"/>
            <w:hideMark/>
          </w:tcPr>
          <w:p w:rsidR="000F0E33" w:rsidRPr="00BC1778" w:rsidRDefault="00BC1778" w:rsidP="000F0E33">
            <w:pPr>
              <w:rPr>
                <w:color w:val="000000"/>
                <w:sz w:val="18"/>
                <w:szCs w:val="18"/>
              </w:rPr>
            </w:pPr>
            <w:r w:rsidRPr="00BC1778">
              <w:rPr>
                <w:color w:val="000000"/>
                <w:sz w:val="18"/>
                <w:szCs w:val="18"/>
              </w:rPr>
              <w:t>Individuals or Households</w:t>
            </w:r>
          </w:p>
        </w:tc>
        <w:tc>
          <w:tcPr>
            <w:tcW w:w="924" w:type="dxa"/>
            <w:tcBorders>
              <w:top w:val="nil"/>
              <w:left w:val="nil"/>
              <w:bottom w:val="single" w:sz="8" w:space="0" w:color="auto"/>
              <w:right w:val="single" w:sz="8" w:space="0" w:color="auto"/>
            </w:tcBorders>
            <w:shd w:val="clear" w:color="auto" w:fill="auto"/>
            <w:vAlign w:val="bottom"/>
            <w:hideMark/>
          </w:tcPr>
          <w:p w:rsidR="000F0E33" w:rsidRPr="00BC1778" w:rsidRDefault="00BC1778" w:rsidP="00117A86">
            <w:pPr>
              <w:rPr>
                <w:color w:val="000000"/>
                <w:sz w:val="18"/>
                <w:szCs w:val="18"/>
              </w:rPr>
            </w:pPr>
            <w:r w:rsidRPr="00BC1778">
              <w:rPr>
                <w:rFonts w:eastAsia="Arial Unicode MS"/>
                <w:sz w:val="18"/>
                <w:szCs w:val="18"/>
              </w:rPr>
              <w:t>Appeals Written Request and Supporting Documentation / No Form</w:t>
            </w:r>
          </w:p>
        </w:tc>
        <w:tc>
          <w:tcPr>
            <w:tcW w:w="960" w:type="dxa"/>
            <w:tcBorders>
              <w:top w:val="nil"/>
              <w:left w:val="nil"/>
              <w:bottom w:val="single" w:sz="8" w:space="0" w:color="auto"/>
              <w:right w:val="single" w:sz="8" w:space="0" w:color="auto"/>
            </w:tcBorders>
            <w:shd w:val="clear" w:color="auto" w:fill="auto"/>
            <w:vAlign w:val="bottom"/>
            <w:hideMark/>
          </w:tcPr>
          <w:p w:rsidR="00884F02" w:rsidRPr="00BC1778" w:rsidRDefault="00884F02" w:rsidP="00884F02">
            <w:pPr>
              <w:jc w:val="center"/>
              <w:rPr>
                <w:color w:val="000000"/>
                <w:sz w:val="18"/>
                <w:szCs w:val="18"/>
              </w:rPr>
            </w:pPr>
          </w:p>
          <w:p w:rsidR="000F0E33" w:rsidRPr="00BC1778" w:rsidRDefault="00BC1778" w:rsidP="00BC1778">
            <w:pPr>
              <w:rPr>
                <w:color w:val="000000"/>
                <w:sz w:val="18"/>
                <w:szCs w:val="18"/>
              </w:rPr>
            </w:pPr>
            <w:r>
              <w:rPr>
                <w:color w:val="000000"/>
                <w:sz w:val="18"/>
                <w:szCs w:val="18"/>
              </w:rPr>
              <w:t xml:space="preserve">     </w:t>
            </w:r>
            <w:r w:rsidR="00884F02" w:rsidRPr="00BC1778">
              <w:rPr>
                <w:color w:val="000000"/>
                <w:sz w:val="18"/>
                <w:szCs w:val="18"/>
              </w:rPr>
              <w:t>10</w:t>
            </w:r>
          </w:p>
        </w:tc>
        <w:tc>
          <w:tcPr>
            <w:tcW w:w="957" w:type="dxa"/>
            <w:tcBorders>
              <w:top w:val="nil"/>
              <w:left w:val="nil"/>
              <w:bottom w:val="single" w:sz="8" w:space="0" w:color="auto"/>
              <w:right w:val="single" w:sz="8" w:space="0" w:color="auto"/>
            </w:tcBorders>
            <w:shd w:val="clear" w:color="auto" w:fill="auto"/>
            <w:vAlign w:val="bottom"/>
            <w:hideMark/>
          </w:tcPr>
          <w:p w:rsidR="000F0E33" w:rsidRPr="00BC1778" w:rsidRDefault="00884F02" w:rsidP="00884F02">
            <w:pPr>
              <w:jc w:val="center"/>
              <w:rPr>
                <w:color w:val="000000"/>
                <w:sz w:val="18"/>
                <w:szCs w:val="18"/>
              </w:rPr>
            </w:pPr>
            <w:r w:rsidRPr="00BC1778">
              <w:rPr>
                <w:color w:val="000000"/>
                <w:sz w:val="18"/>
                <w:szCs w:val="18"/>
              </w:rPr>
              <w:t>1</w:t>
            </w:r>
          </w:p>
        </w:tc>
        <w:tc>
          <w:tcPr>
            <w:tcW w:w="1199" w:type="dxa"/>
            <w:tcBorders>
              <w:top w:val="nil"/>
              <w:left w:val="nil"/>
              <w:bottom w:val="single" w:sz="8" w:space="0" w:color="auto"/>
              <w:right w:val="single" w:sz="8" w:space="0" w:color="auto"/>
            </w:tcBorders>
            <w:shd w:val="clear" w:color="auto" w:fill="auto"/>
            <w:vAlign w:val="bottom"/>
            <w:hideMark/>
          </w:tcPr>
          <w:p w:rsidR="000F0E33" w:rsidRPr="00BC1778" w:rsidRDefault="00884F02" w:rsidP="00884F02">
            <w:pPr>
              <w:jc w:val="center"/>
              <w:rPr>
                <w:color w:val="000000"/>
                <w:sz w:val="18"/>
                <w:szCs w:val="18"/>
              </w:rPr>
            </w:pPr>
            <w:r w:rsidRPr="00BC1778">
              <w:rPr>
                <w:color w:val="000000"/>
                <w:sz w:val="18"/>
                <w:szCs w:val="18"/>
              </w:rPr>
              <w:t>10</w:t>
            </w:r>
          </w:p>
        </w:tc>
        <w:tc>
          <w:tcPr>
            <w:tcW w:w="1077" w:type="dxa"/>
            <w:tcBorders>
              <w:top w:val="nil"/>
              <w:left w:val="nil"/>
              <w:bottom w:val="single" w:sz="8" w:space="0" w:color="auto"/>
              <w:right w:val="single" w:sz="8" w:space="0" w:color="auto"/>
            </w:tcBorders>
            <w:shd w:val="clear" w:color="auto" w:fill="auto"/>
            <w:vAlign w:val="bottom"/>
            <w:hideMark/>
          </w:tcPr>
          <w:p w:rsidR="000F0E33" w:rsidRPr="00BC1778" w:rsidRDefault="00884F02" w:rsidP="00884F02">
            <w:pPr>
              <w:jc w:val="center"/>
              <w:rPr>
                <w:color w:val="000000"/>
                <w:sz w:val="18"/>
                <w:szCs w:val="18"/>
              </w:rPr>
            </w:pPr>
            <w:r w:rsidRPr="00BC1778">
              <w:rPr>
                <w:color w:val="000000"/>
                <w:sz w:val="18"/>
                <w:szCs w:val="18"/>
              </w:rPr>
              <w:t>1</w:t>
            </w:r>
            <w:r w:rsidR="009A1A6D" w:rsidRPr="00BC1778">
              <w:rPr>
                <w:color w:val="000000"/>
                <w:sz w:val="18"/>
                <w:szCs w:val="18"/>
              </w:rPr>
              <w:t>0</w:t>
            </w:r>
          </w:p>
        </w:tc>
        <w:tc>
          <w:tcPr>
            <w:tcW w:w="862" w:type="dxa"/>
            <w:tcBorders>
              <w:top w:val="nil"/>
              <w:left w:val="nil"/>
              <w:bottom w:val="single" w:sz="8" w:space="0" w:color="auto"/>
              <w:right w:val="single" w:sz="8" w:space="0" w:color="auto"/>
            </w:tcBorders>
            <w:shd w:val="clear" w:color="auto" w:fill="auto"/>
            <w:vAlign w:val="bottom"/>
            <w:hideMark/>
          </w:tcPr>
          <w:p w:rsidR="000F0E33" w:rsidRPr="00BC1778" w:rsidRDefault="00BC1778" w:rsidP="00BC1778">
            <w:pPr>
              <w:rPr>
                <w:color w:val="000000"/>
                <w:sz w:val="18"/>
                <w:szCs w:val="18"/>
              </w:rPr>
            </w:pPr>
            <w:r>
              <w:rPr>
                <w:color w:val="000000"/>
                <w:sz w:val="18"/>
                <w:szCs w:val="18"/>
              </w:rPr>
              <w:t xml:space="preserve">   </w:t>
            </w:r>
            <w:r w:rsidR="009A1A6D" w:rsidRPr="00BC1778">
              <w:rPr>
                <w:color w:val="000000"/>
                <w:sz w:val="18"/>
                <w:szCs w:val="18"/>
              </w:rPr>
              <w:t>100</w:t>
            </w:r>
          </w:p>
        </w:tc>
        <w:tc>
          <w:tcPr>
            <w:tcW w:w="843" w:type="dxa"/>
            <w:tcBorders>
              <w:top w:val="nil"/>
              <w:left w:val="nil"/>
              <w:bottom w:val="single" w:sz="8" w:space="0" w:color="auto"/>
              <w:right w:val="single" w:sz="8" w:space="0" w:color="auto"/>
            </w:tcBorders>
            <w:shd w:val="clear" w:color="auto" w:fill="auto"/>
            <w:vAlign w:val="bottom"/>
            <w:hideMark/>
          </w:tcPr>
          <w:p w:rsidR="000F0E33" w:rsidRPr="00BC1778" w:rsidRDefault="009A1A6D" w:rsidP="00884F02">
            <w:pPr>
              <w:jc w:val="center"/>
              <w:rPr>
                <w:color w:val="000000"/>
                <w:sz w:val="18"/>
                <w:szCs w:val="18"/>
              </w:rPr>
            </w:pPr>
            <w:r w:rsidRPr="00BC1778">
              <w:rPr>
                <w:rFonts w:eastAsia="Arial Unicode MS"/>
                <w:bCs/>
                <w:sz w:val="18"/>
                <w:szCs w:val="18"/>
              </w:rPr>
              <w:t>$23.94</w:t>
            </w:r>
          </w:p>
        </w:tc>
        <w:tc>
          <w:tcPr>
            <w:tcW w:w="1257" w:type="dxa"/>
            <w:tcBorders>
              <w:top w:val="nil"/>
              <w:left w:val="nil"/>
              <w:bottom w:val="single" w:sz="8" w:space="0" w:color="auto"/>
              <w:right w:val="single" w:sz="8" w:space="0" w:color="auto"/>
            </w:tcBorders>
            <w:shd w:val="clear" w:color="auto" w:fill="auto"/>
            <w:vAlign w:val="bottom"/>
            <w:hideMark/>
          </w:tcPr>
          <w:p w:rsidR="000F0E33" w:rsidRPr="00BC1778" w:rsidRDefault="00BC1778" w:rsidP="00BC1778">
            <w:pPr>
              <w:rPr>
                <w:color w:val="000000"/>
                <w:sz w:val="18"/>
                <w:szCs w:val="18"/>
              </w:rPr>
            </w:pPr>
            <w:r>
              <w:rPr>
                <w:color w:val="000000"/>
                <w:sz w:val="18"/>
                <w:szCs w:val="18"/>
              </w:rPr>
              <w:t xml:space="preserve">     </w:t>
            </w:r>
            <w:r w:rsidR="009A1A6D" w:rsidRPr="00BC1778">
              <w:rPr>
                <w:color w:val="000000"/>
                <w:sz w:val="18"/>
                <w:szCs w:val="18"/>
              </w:rPr>
              <w:t>$2,394</w:t>
            </w:r>
          </w:p>
        </w:tc>
      </w:tr>
      <w:tr w:rsidR="000F0E33" w:rsidRPr="000F0E33" w:rsidTr="00BC1778">
        <w:trPr>
          <w:trHeight w:val="315"/>
          <w:jc w:val="center"/>
        </w:trPr>
        <w:tc>
          <w:tcPr>
            <w:tcW w:w="1326" w:type="dxa"/>
            <w:tcBorders>
              <w:top w:val="nil"/>
              <w:left w:val="single" w:sz="8" w:space="0" w:color="auto"/>
              <w:bottom w:val="single" w:sz="8" w:space="0" w:color="auto"/>
              <w:right w:val="single" w:sz="8" w:space="0" w:color="auto"/>
            </w:tcBorders>
            <w:shd w:val="clear" w:color="auto" w:fill="auto"/>
            <w:vAlign w:val="bottom"/>
            <w:hideMark/>
          </w:tcPr>
          <w:p w:rsidR="000F0E33" w:rsidRPr="00BC1778" w:rsidRDefault="000F0E33" w:rsidP="000F0E33">
            <w:pPr>
              <w:jc w:val="center"/>
              <w:rPr>
                <w:b/>
                <w:bCs/>
                <w:color w:val="000000"/>
                <w:sz w:val="18"/>
                <w:szCs w:val="18"/>
              </w:rPr>
            </w:pPr>
            <w:r w:rsidRPr="00BC1778">
              <w:rPr>
                <w:b/>
                <w:bCs/>
                <w:color w:val="000000"/>
                <w:sz w:val="18"/>
                <w:szCs w:val="18"/>
              </w:rPr>
              <w:t>Total</w:t>
            </w:r>
          </w:p>
        </w:tc>
        <w:tc>
          <w:tcPr>
            <w:tcW w:w="924" w:type="dxa"/>
            <w:tcBorders>
              <w:top w:val="nil"/>
              <w:left w:val="nil"/>
              <w:bottom w:val="single" w:sz="8" w:space="0" w:color="auto"/>
              <w:right w:val="single" w:sz="8" w:space="0" w:color="auto"/>
            </w:tcBorders>
            <w:shd w:val="clear" w:color="000000" w:fill="000000"/>
            <w:vAlign w:val="bottom"/>
            <w:hideMark/>
          </w:tcPr>
          <w:p w:rsidR="000F0E33" w:rsidRPr="00BC1778" w:rsidRDefault="000F0E33" w:rsidP="000F0E33">
            <w:pPr>
              <w:jc w:val="center"/>
              <w:rPr>
                <w:b/>
                <w:color w:val="000000"/>
                <w:sz w:val="18"/>
                <w:szCs w:val="18"/>
              </w:rPr>
            </w:pPr>
            <w:r w:rsidRPr="00BC1778">
              <w:rPr>
                <w:b/>
                <w:color w:val="000000"/>
                <w:sz w:val="18"/>
                <w:szCs w:val="18"/>
              </w:rPr>
              <w:t> </w:t>
            </w:r>
          </w:p>
        </w:tc>
        <w:tc>
          <w:tcPr>
            <w:tcW w:w="960" w:type="dxa"/>
            <w:tcBorders>
              <w:top w:val="nil"/>
              <w:left w:val="nil"/>
              <w:bottom w:val="single" w:sz="8" w:space="0" w:color="auto"/>
              <w:right w:val="single" w:sz="8" w:space="0" w:color="auto"/>
            </w:tcBorders>
            <w:shd w:val="clear" w:color="auto" w:fill="auto"/>
            <w:vAlign w:val="bottom"/>
            <w:hideMark/>
          </w:tcPr>
          <w:p w:rsidR="000F0E33" w:rsidRPr="00BC1778" w:rsidRDefault="00BC1778" w:rsidP="000F0E33">
            <w:pPr>
              <w:jc w:val="center"/>
              <w:rPr>
                <w:b/>
                <w:bCs/>
                <w:color w:val="000000"/>
                <w:sz w:val="18"/>
                <w:szCs w:val="18"/>
              </w:rPr>
            </w:pPr>
            <w:r w:rsidRPr="00BC1778">
              <w:rPr>
                <w:b/>
                <w:bCs/>
                <w:color w:val="000000"/>
                <w:sz w:val="18"/>
                <w:szCs w:val="18"/>
              </w:rPr>
              <w:t>10</w:t>
            </w:r>
            <w:r w:rsidR="000F0E33" w:rsidRPr="00BC1778">
              <w:rPr>
                <w:b/>
                <w:bCs/>
                <w:color w:val="000000"/>
                <w:sz w:val="18"/>
                <w:szCs w:val="18"/>
              </w:rPr>
              <w:t> </w:t>
            </w:r>
          </w:p>
        </w:tc>
        <w:tc>
          <w:tcPr>
            <w:tcW w:w="957" w:type="dxa"/>
            <w:tcBorders>
              <w:top w:val="nil"/>
              <w:left w:val="nil"/>
              <w:bottom w:val="single" w:sz="8" w:space="0" w:color="auto"/>
              <w:right w:val="single" w:sz="8" w:space="0" w:color="auto"/>
            </w:tcBorders>
            <w:shd w:val="clear" w:color="000000" w:fill="000000"/>
            <w:vAlign w:val="bottom"/>
            <w:hideMark/>
          </w:tcPr>
          <w:p w:rsidR="000F0E33" w:rsidRPr="00BC1778" w:rsidRDefault="000F0E33" w:rsidP="000F0E33">
            <w:pPr>
              <w:jc w:val="center"/>
              <w:rPr>
                <w:b/>
                <w:color w:val="000000"/>
                <w:sz w:val="18"/>
                <w:szCs w:val="18"/>
              </w:rPr>
            </w:pPr>
            <w:r w:rsidRPr="00BC1778">
              <w:rPr>
                <w:b/>
                <w:color w:val="000000"/>
                <w:sz w:val="18"/>
                <w:szCs w:val="18"/>
              </w:rPr>
              <w:t> </w:t>
            </w:r>
          </w:p>
        </w:tc>
        <w:tc>
          <w:tcPr>
            <w:tcW w:w="1199" w:type="dxa"/>
            <w:tcBorders>
              <w:top w:val="nil"/>
              <w:left w:val="nil"/>
              <w:bottom w:val="single" w:sz="8" w:space="0" w:color="auto"/>
              <w:right w:val="single" w:sz="8" w:space="0" w:color="auto"/>
            </w:tcBorders>
            <w:shd w:val="clear" w:color="000000" w:fill="FFFFFF"/>
            <w:vAlign w:val="bottom"/>
            <w:hideMark/>
          </w:tcPr>
          <w:p w:rsidR="000F0E33" w:rsidRPr="00BC1778" w:rsidRDefault="000F0E33" w:rsidP="000F0E33">
            <w:pPr>
              <w:jc w:val="center"/>
              <w:rPr>
                <w:b/>
                <w:color w:val="000000"/>
                <w:sz w:val="18"/>
                <w:szCs w:val="18"/>
              </w:rPr>
            </w:pPr>
            <w:r w:rsidRPr="00BC1778">
              <w:rPr>
                <w:b/>
                <w:color w:val="000000"/>
                <w:sz w:val="18"/>
                <w:szCs w:val="18"/>
              </w:rPr>
              <w:t> </w:t>
            </w:r>
            <w:r w:rsidR="00BC1778" w:rsidRPr="00BC1778">
              <w:rPr>
                <w:b/>
                <w:color w:val="000000"/>
                <w:sz w:val="18"/>
                <w:szCs w:val="18"/>
              </w:rPr>
              <w:t>10</w:t>
            </w:r>
          </w:p>
        </w:tc>
        <w:tc>
          <w:tcPr>
            <w:tcW w:w="1077" w:type="dxa"/>
            <w:tcBorders>
              <w:top w:val="nil"/>
              <w:left w:val="nil"/>
              <w:bottom w:val="single" w:sz="8" w:space="0" w:color="auto"/>
              <w:right w:val="single" w:sz="8" w:space="0" w:color="auto"/>
            </w:tcBorders>
            <w:shd w:val="clear" w:color="000000" w:fill="000000"/>
            <w:vAlign w:val="bottom"/>
            <w:hideMark/>
          </w:tcPr>
          <w:p w:rsidR="000F0E33" w:rsidRPr="00BC1778" w:rsidRDefault="000F0E33" w:rsidP="000F0E33">
            <w:pPr>
              <w:jc w:val="center"/>
              <w:rPr>
                <w:b/>
                <w:color w:val="000000"/>
                <w:sz w:val="18"/>
                <w:szCs w:val="18"/>
              </w:rPr>
            </w:pPr>
            <w:r w:rsidRPr="00BC1778">
              <w:rPr>
                <w:b/>
                <w:color w:val="000000"/>
                <w:sz w:val="18"/>
                <w:szCs w:val="18"/>
              </w:rPr>
              <w:t> </w:t>
            </w:r>
          </w:p>
        </w:tc>
        <w:tc>
          <w:tcPr>
            <w:tcW w:w="862" w:type="dxa"/>
            <w:tcBorders>
              <w:top w:val="nil"/>
              <w:left w:val="nil"/>
              <w:bottom w:val="single" w:sz="8" w:space="0" w:color="auto"/>
              <w:right w:val="single" w:sz="8" w:space="0" w:color="auto"/>
            </w:tcBorders>
            <w:shd w:val="clear" w:color="auto" w:fill="auto"/>
            <w:vAlign w:val="bottom"/>
            <w:hideMark/>
          </w:tcPr>
          <w:p w:rsidR="000F0E33" w:rsidRPr="00BC1778" w:rsidRDefault="00BC1778" w:rsidP="000F0E33">
            <w:pPr>
              <w:jc w:val="center"/>
              <w:rPr>
                <w:b/>
                <w:bCs/>
                <w:color w:val="000000"/>
                <w:sz w:val="18"/>
                <w:szCs w:val="18"/>
              </w:rPr>
            </w:pPr>
            <w:r w:rsidRPr="00BC1778">
              <w:rPr>
                <w:b/>
                <w:bCs/>
                <w:color w:val="000000"/>
                <w:sz w:val="18"/>
                <w:szCs w:val="18"/>
              </w:rPr>
              <w:t>100</w:t>
            </w:r>
            <w:r w:rsidR="000F0E33" w:rsidRPr="00BC1778">
              <w:rPr>
                <w:b/>
                <w:bCs/>
                <w:color w:val="000000"/>
                <w:sz w:val="18"/>
                <w:szCs w:val="18"/>
              </w:rPr>
              <w:t> </w:t>
            </w:r>
          </w:p>
        </w:tc>
        <w:tc>
          <w:tcPr>
            <w:tcW w:w="843" w:type="dxa"/>
            <w:tcBorders>
              <w:top w:val="nil"/>
              <w:left w:val="nil"/>
              <w:bottom w:val="single" w:sz="8" w:space="0" w:color="auto"/>
              <w:right w:val="single" w:sz="8" w:space="0" w:color="auto"/>
            </w:tcBorders>
            <w:shd w:val="clear" w:color="000000" w:fill="000000"/>
            <w:vAlign w:val="bottom"/>
            <w:hideMark/>
          </w:tcPr>
          <w:p w:rsidR="000F0E33" w:rsidRPr="00BC1778" w:rsidRDefault="000F0E33" w:rsidP="000F0E33">
            <w:pPr>
              <w:jc w:val="center"/>
              <w:rPr>
                <w:b/>
                <w:color w:val="000000"/>
                <w:sz w:val="18"/>
                <w:szCs w:val="18"/>
              </w:rPr>
            </w:pPr>
            <w:r w:rsidRPr="00BC1778">
              <w:rPr>
                <w:b/>
                <w:color w:val="000000"/>
                <w:sz w:val="18"/>
                <w:szCs w:val="18"/>
              </w:rPr>
              <w:t> </w:t>
            </w:r>
          </w:p>
        </w:tc>
        <w:tc>
          <w:tcPr>
            <w:tcW w:w="1257" w:type="dxa"/>
            <w:tcBorders>
              <w:top w:val="nil"/>
              <w:left w:val="nil"/>
              <w:bottom w:val="single" w:sz="8" w:space="0" w:color="auto"/>
              <w:right w:val="single" w:sz="8" w:space="0" w:color="auto"/>
            </w:tcBorders>
            <w:shd w:val="clear" w:color="auto" w:fill="auto"/>
            <w:vAlign w:val="bottom"/>
            <w:hideMark/>
          </w:tcPr>
          <w:p w:rsidR="000F0E33" w:rsidRPr="00BC1778" w:rsidRDefault="00BC1778" w:rsidP="000F0E33">
            <w:pPr>
              <w:jc w:val="center"/>
              <w:rPr>
                <w:b/>
                <w:bCs/>
                <w:color w:val="000000"/>
                <w:sz w:val="18"/>
                <w:szCs w:val="18"/>
              </w:rPr>
            </w:pPr>
            <w:r w:rsidRPr="00BC1778">
              <w:rPr>
                <w:b/>
                <w:bCs/>
                <w:color w:val="000000"/>
                <w:sz w:val="18"/>
                <w:szCs w:val="18"/>
              </w:rPr>
              <w:t>$2,394</w:t>
            </w:r>
            <w:r w:rsidR="000F0E33" w:rsidRPr="00BC1778">
              <w:rPr>
                <w:b/>
                <w:bCs/>
                <w:color w:val="000000"/>
                <w:sz w:val="18"/>
                <w:szCs w:val="18"/>
              </w:rPr>
              <w:t> </w:t>
            </w:r>
          </w:p>
        </w:tc>
      </w:tr>
    </w:tbl>
    <w:p w:rsidR="00FD6C8B" w:rsidRDefault="009B69D3" w:rsidP="00413856">
      <w:pPr>
        <w:numPr>
          <w:ilvl w:val="0"/>
          <w:numId w:val="13"/>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9B69D3" w:rsidRDefault="009B69D3" w:rsidP="00EB737E">
      <w:pPr>
        <w:tabs>
          <w:tab w:val="left" w:pos="-720"/>
        </w:tabs>
        <w:suppressAutoHyphens/>
      </w:pPr>
    </w:p>
    <w:p w:rsidR="00EB737E" w:rsidRDefault="009A1A6D" w:rsidP="009A1A6D">
      <w:r>
        <w:rPr>
          <w:bCs/>
        </w:rPr>
        <w:t>According to the U.S. Department of Labor, Bureau of Labor Statistics website (</w:t>
      </w:r>
      <w:hyperlink r:id="rId7" w:history="1">
        <w:r w:rsidRPr="00092B63">
          <w:rPr>
            <w:rStyle w:val="Hyperlink"/>
            <w:bCs/>
          </w:rPr>
          <w:t>www.bls.gov</w:t>
        </w:r>
      </w:hyperlink>
      <w:r>
        <w:rPr>
          <w:bCs/>
        </w:rPr>
        <w:t>) the wage rate category for Individuals and Households is estimated to be $23.94 per hour</w:t>
      </w:r>
      <w:r w:rsidRPr="009A1A6D">
        <w:t xml:space="preserve"> </w:t>
      </w:r>
      <w:r>
        <w:t xml:space="preserve">including the wage rate multiplier, </w:t>
      </w:r>
      <w:r>
        <w:rPr>
          <w:bCs/>
        </w:rPr>
        <w:t xml:space="preserve">therefore, the estimated burden hour cost to respondents is estimated to be $2,394 </w:t>
      </w:r>
      <w:r w:rsidR="00EB737E">
        <w:t>annually.</w:t>
      </w:r>
    </w:p>
    <w:p w:rsidR="00EB737E" w:rsidRDefault="00EB737E">
      <w:pPr>
        <w:tabs>
          <w:tab w:val="left" w:pos="-720"/>
        </w:tabs>
        <w:suppressAutoHyphens/>
        <w:rPr>
          <w:sz w:val="26"/>
        </w:rPr>
      </w:pPr>
    </w:p>
    <w:p w:rsidR="00842E74" w:rsidRDefault="005669A7">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9A1A6D" w:rsidRDefault="00DD0BCE" w:rsidP="009A1A6D">
      <w:pPr>
        <w:rPr>
          <w:b/>
          <w:bCs/>
          <w:color w:val="FF0000"/>
        </w:rPr>
      </w:pPr>
      <w:r>
        <w:rPr>
          <w:b/>
          <w:bCs/>
          <w:color w:val="FF0000"/>
        </w:rPr>
        <w:lastRenderedPageBreak/>
        <w:tab/>
      </w:r>
      <w:proofErr w:type="gramStart"/>
      <w:r w:rsidR="009A1A6D" w:rsidRPr="00DD0BCE">
        <w:rPr>
          <w:b/>
          <w:bCs/>
        </w:rPr>
        <w:t>a.  Operation</w:t>
      </w:r>
      <w:proofErr w:type="gramEnd"/>
      <w:r w:rsidR="009A1A6D">
        <w:rPr>
          <w:b/>
          <w:bCs/>
        </w:rPr>
        <w:t xml:space="preserve">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9A1A6D" w:rsidRDefault="009A1A6D" w:rsidP="009A1A6D">
      <w:pPr>
        <w:rPr>
          <w:bCs/>
        </w:rPr>
      </w:pPr>
    </w:p>
    <w:p w:rsidR="00165659" w:rsidRPr="008326F5" w:rsidRDefault="009A1A6D" w:rsidP="009A1A6D">
      <w:pPr>
        <w:rPr>
          <w:bCs/>
        </w:rPr>
      </w:pPr>
      <w:r>
        <w:rPr>
          <w:bCs/>
        </w:rPr>
        <w:t>SRL Appeals may incur a purchase of services cost for respondents.  Although this cost is minimal, in accordance with “the Act”, any property owner who brings an appeal will be responsible for paying his/her attorney’s fees and costs to gather the necessary documentation and data to demonstrate the ground(s) for the appeal.  FEMA estimated that each appeal will take approximately 40 hours for any attorney to collect additional documentation.  The U.S. Department of Labor, Bureau of Labor Statistics website (</w:t>
      </w:r>
      <w:hyperlink r:id="rId8" w:history="1">
        <w:r w:rsidRPr="00092B63">
          <w:rPr>
            <w:rStyle w:val="Hyperlink"/>
            <w:bCs/>
          </w:rPr>
          <w:t>www.bls.gov</w:t>
        </w:r>
      </w:hyperlink>
      <w:r>
        <w:rPr>
          <w:bCs/>
        </w:rPr>
        <w:t>) estimates the wage rate for lawyers to be $</w:t>
      </w:r>
      <w:r w:rsidR="00AE7AEF">
        <w:rPr>
          <w:bCs/>
        </w:rPr>
        <w:t>54.44</w:t>
      </w:r>
      <w:r>
        <w:rPr>
          <w:bCs/>
        </w:rPr>
        <w:t xml:space="preserve"> per hour.  Therefore 40 hours x $</w:t>
      </w:r>
      <w:r w:rsidR="00AE7AEF">
        <w:rPr>
          <w:bCs/>
        </w:rPr>
        <w:t>76.22</w:t>
      </w:r>
      <w:r>
        <w:rPr>
          <w:bCs/>
        </w:rPr>
        <w:t xml:space="preserve"> </w:t>
      </w:r>
      <w:r w:rsidR="00826191">
        <w:rPr>
          <w:bCs/>
        </w:rPr>
        <w:t xml:space="preserve">(includes the wage multiplier) </w:t>
      </w:r>
      <w:r>
        <w:rPr>
          <w:bCs/>
        </w:rPr>
        <w:t>per hour is estimated to be $</w:t>
      </w:r>
      <w:r w:rsidR="00AE7AEF" w:rsidRPr="00AE7AEF">
        <w:t xml:space="preserve"> </w:t>
      </w:r>
      <w:r w:rsidR="00AE7AEF">
        <w:t>3,048.8</w:t>
      </w:r>
      <w:r>
        <w:rPr>
          <w:bCs/>
        </w:rPr>
        <w:t>0 per appeal x 10 respondents = $</w:t>
      </w:r>
      <w:r w:rsidR="00AE7AEF" w:rsidRPr="00AE7AEF">
        <w:rPr>
          <w:bCs/>
        </w:rPr>
        <w:t>30</w:t>
      </w:r>
      <w:r w:rsidR="00AE7AEF">
        <w:rPr>
          <w:bCs/>
        </w:rPr>
        <w:t>,</w:t>
      </w:r>
      <w:r w:rsidR="00AE7AEF" w:rsidRPr="00AE7AEF">
        <w:rPr>
          <w:bCs/>
        </w:rPr>
        <w:t>488</w:t>
      </w:r>
      <w:r>
        <w:rPr>
          <w:bCs/>
        </w:rPr>
        <w:t xml:space="preserve"> annually.</w:t>
      </w:r>
    </w:p>
    <w:p w:rsidR="009A1A6D" w:rsidRDefault="009A1A6D" w:rsidP="009A1A6D">
      <w:pPr>
        <w:rPr>
          <w:b/>
          <w:bCs/>
        </w:rPr>
      </w:pPr>
    </w:p>
    <w:p w:rsidR="009A1A6D" w:rsidRDefault="009A1A6D" w:rsidP="009A1A6D">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458"/>
        <w:gridCol w:w="1710"/>
        <w:gridCol w:w="2160"/>
        <w:gridCol w:w="1620"/>
        <w:gridCol w:w="1620"/>
      </w:tblGrid>
      <w:tr w:rsidR="009A1A6D" w:rsidTr="009A1A6D">
        <w:trPr>
          <w:trHeight w:val="1133"/>
        </w:trPr>
        <w:tc>
          <w:tcPr>
            <w:tcW w:w="1458" w:type="dxa"/>
            <w:shd w:val="clear" w:color="auto" w:fill="D9D9D9"/>
            <w:vAlign w:val="center"/>
          </w:tcPr>
          <w:p w:rsidR="009A1A6D" w:rsidRPr="00164DB6" w:rsidRDefault="009A1A6D" w:rsidP="0018260D">
            <w:pPr>
              <w:jc w:val="center"/>
              <w:rPr>
                <w:rFonts w:ascii="Arial" w:hAnsi="Arial" w:cs="Arial"/>
                <w:b/>
                <w:sz w:val="18"/>
                <w:szCs w:val="18"/>
              </w:rPr>
            </w:pPr>
            <w:r>
              <w:rPr>
                <w:rFonts w:ascii="Arial" w:hAnsi="Arial" w:cs="Arial"/>
                <w:b/>
                <w:sz w:val="18"/>
                <w:szCs w:val="18"/>
              </w:rPr>
              <w:t>Data</w:t>
            </w:r>
            <w:r w:rsidRPr="00164DB6">
              <w:rPr>
                <w:rFonts w:ascii="Arial" w:hAnsi="Arial" w:cs="Arial"/>
                <w:b/>
                <w:sz w:val="18"/>
                <w:szCs w:val="18"/>
              </w:rPr>
              <w:t xml:space="preserve"> Collection Activity/Instrument</w:t>
            </w:r>
          </w:p>
        </w:tc>
        <w:tc>
          <w:tcPr>
            <w:tcW w:w="1710" w:type="dxa"/>
            <w:shd w:val="clear" w:color="auto" w:fill="D9D9D9"/>
            <w:vAlign w:val="center"/>
          </w:tcPr>
          <w:p w:rsidR="009A1A6D" w:rsidRPr="00D31716" w:rsidRDefault="009A1A6D" w:rsidP="0018260D">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9A1A6D" w:rsidRPr="00131B55" w:rsidRDefault="009A1A6D" w:rsidP="0018260D">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9A1A6D" w:rsidRDefault="009A1A6D" w:rsidP="005101E3">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w:t>
            </w:r>
            <w:r w:rsidR="005101E3">
              <w:rPr>
                <w:rFonts w:ascii="Arial" w:hAnsi="Arial" w:cs="Arial"/>
                <w:sz w:val="16"/>
                <w:szCs w:val="16"/>
              </w:rPr>
              <w:t>t</w:t>
            </w:r>
            <w:r w:rsidRPr="00131B55">
              <w:rPr>
                <w:rFonts w:ascii="Arial" w:hAnsi="Arial" w:cs="Arial"/>
                <w:sz w:val="16"/>
                <w:szCs w:val="16"/>
              </w:rPr>
              <w:t>c.)</w:t>
            </w:r>
          </w:p>
        </w:tc>
        <w:tc>
          <w:tcPr>
            <w:tcW w:w="1620" w:type="dxa"/>
            <w:shd w:val="clear" w:color="auto" w:fill="D9D9D9"/>
            <w:vAlign w:val="center"/>
          </w:tcPr>
          <w:p w:rsidR="009A1A6D" w:rsidRPr="00164DB6" w:rsidRDefault="009A1A6D" w:rsidP="0018260D">
            <w:pPr>
              <w:jc w:val="center"/>
              <w:rPr>
                <w:rFonts w:ascii="Arial" w:hAnsi="Arial" w:cs="Arial"/>
                <w:b/>
                <w:sz w:val="18"/>
                <w:szCs w:val="18"/>
              </w:rPr>
            </w:pPr>
            <w:r w:rsidRPr="00164DB6">
              <w:rPr>
                <w:rFonts w:ascii="Arial" w:hAnsi="Arial" w:cs="Arial"/>
                <w:b/>
                <w:sz w:val="18"/>
                <w:szCs w:val="18"/>
              </w:rPr>
              <w:t>Annual Non-Labor Cost</w:t>
            </w:r>
          </w:p>
          <w:p w:rsidR="009A1A6D" w:rsidRDefault="009A1A6D" w:rsidP="0018260D">
            <w:pPr>
              <w:jc w:val="center"/>
              <w:rPr>
                <w:rFonts w:ascii="Arial" w:hAnsi="Arial" w:cs="Arial"/>
                <w:sz w:val="16"/>
                <w:szCs w:val="16"/>
              </w:rPr>
            </w:pPr>
            <w:r w:rsidRPr="00131B55">
              <w:rPr>
                <w:rFonts w:ascii="Arial" w:hAnsi="Arial" w:cs="Arial"/>
                <w:sz w:val="16"/>
                <w:szCs w:val="16"/>
              </w:rPr>
              <w:t>(expenditures on training, travel and other resources)</w:t>
            </w:r>
          </w:p>
          <w:p w:rsidR="009A1A6D" w:rsidRPr="001F617A" w:rsidRDefault="009A1A6D" w:rsidP="0018260D">
            <w:pPr>
              <w:jc w:val="center"/>
              <w:rPr>
                <w:rFonts w:ascii="Arial" w:hAnsi="Arial" w:cs="Arial"/>
                <w:sz w:val="16"/>
                <w:szCs w:val="16"/>
              </w:rPr>
            </w:pPr>
          </w:p>
        </w:tc>
        <w:tc>
          <w:tcPr>
            <w:tcW w:w="1620" w:type="dxa"/>
            <w:shd w:val="clear" w:color="auto" w:fill="D9D9D9"/>
            <w:vAlign w:val="center"/>
          </w:tcPr>
          <w:p w:rsidR="009A1A6D" w:rsidRPr="00164DB6" w:rsidRDefault="009A1A6D" w:rsidP="0018260D">
            <w:pPr>
              <w:jc w:val="center"/>
              <w:rPr>
                <w:rFonts w:ascii="Arial" w:hAnsi="Arial" w:cs="Arial"/>
                <w:b/>
                <w:sz w:val="18"/>
                <w:szCs w:val="18"/>
              </w:rPr>
            </w:pPr>
            <w:r w:rsidRPr="00164DB6">
              <w:rPr>
                <w:rFonts w:ascii="Arial" w:hAnsi="Arial" w:cs="Arial"/>
                <w:b/>
                <w:sz w:val="18"/>
                <w:szCs w:val="18"/>
              </w:rPr>
              <w:t>Total Annual  Cost to Respondents</w:t>
            </w:r>
          </w:p>
        </w:tc>
      </w:tr>
      <w:tr w:rsidR="009A1A6D" w:rsidTr="009A1A6D">
        <w:tc>
          <w:tcPr>
            <w:tcW w:w="1458" w:type="dxa"/>
          </w:tcPr>
          <w:p w:rsidR="009A1A6D" w:rsidRPr="009A1A6D" w:rsidRDefault="00165659" w:rsidP="0018260D">
            <w:pPr>
              <w:rPr>
                <w:sz w:val="20"/>
                <w:szCs w:val="20"/>
              </w:rPr>
            </w:pPr>
            <w:r w:rsidRPr="00BC1778">
              <w:rPr>
                <w:rFonts w:eastAsia="Arial Unicode MS"/>
                <w:sz w:val="18"/>
                <w:szCs w:val="18"/>
              </w:rPr>
              <w:t>Appeals Written Request and Supporting Documentation / No Form</w:t>
            </w:r>
          </w:p>
        </w:tc>
        <w:tc>
          <w:tcPr>
            <w:tcW w:w="1710" w:type="dxa"/>
          </w:tcPr>
          <w:p w:rsidR="009A1A6D" w:rsidRDefault="009A1A6D" w:rsidP="0018260D"/>
        </w:tc>
        <w:tc>
          <w:tcPr>
            <w:tcW w:w="2160" w:type="dxa"/>
          </w:tcPr>
          <w:p w:rsidR="00165659" w:rsidRDefault="00165659" w:rsidP="00165659">
            <w:pPr>
              <w:jc w:val="center"/>
              <w:rPr>
                <w:sz w:val="22"/>
                <w:szCs w:val="22"/>
              </w:rPr>
            </w:pPr>
          </w:p>
          <w:p w:rsidR="00165659" w:rsidRDefault="00165659" w:rsidP="00165659">
            <w:pPr>
              <w:jc w:val="center"/>
              <w:rPr>
                <w:sz w:val="22"/>
                <w:szCs w:val="22"/>
              </w:rPr>
            </w:pPr>
          </w:p>
          <w:p w:rsidR="00165659" w:rsidRDefault="00165659" w:rsidP="00165659">
            <w:pPr>
              <w:jc w:val="center"/>
              <w:rPr>
                <w:sz w:val="22"/>
                <w:szCs w:val="22"/>
              </w:rPr>
            </w:pPr>
          </w:p>
          <w:p w:rsidR="009A1A6D" w:rsidRPr="00165659" w:rsidRDefault="009A1A6D" w:rsidP="00165659">
            <w:pPr>
              <w:jc w:val="center"/>
              <w:rPr>
                <w:sz w:val="22"/>
                <w:szCs w:val="22"/>
              </w:rPr>
            </w:pPr>
            <w:r w:rsidRPr="00165659">
              <w:rPr>
                <w:sz w:val="22"/>
                <w:szCs w:val="22"/>
              </w:rPr>
              <w:t>$</w:t>
            </w:r>
            <w:r w:rsidR="00AE7AEF" w:rsidRPr="00165659">
              <w:rPr>
                <w:bCs/>
                <w:sz w:val="22"/>
                <w:szCs w:val="22"/>
              </w:rPr>
              <w:t>30,488</w:t>
            </w:r>
          </w:p>
        </w:tc>
        <w:tc>
          <w:tcPr>
            <w:tcW w:w="1620" w:type="dxa"/>
          </w:tcPr>
          <w:p w:rsidR="009A1A6D" w:rsidRPr="00165659" w:rsidRDefault="009A1A6D" w:rsidP="0018260D">
            <w:pPr>
              <w:rPr>
                <w:sz w:val="22"/>
                <w:szCs w:val="22"/>
              </w:rPr>
            </w:pPr>
          </w:p>
        </w:tc>
        <w:tc>
          <w:tcPr>
            <w:tcW w:w="1620" w:type="dxa"/>
          </w:tcPr>
          <w:p w:rsidR="00165659" w:rsidRDefault="00165659" w:rsidP="00AE7AEF">
            <w:pPr>
              <w:rPr>
                <w:bCs/>
                <w:sz w:val="22"/>
                <w:szCs w:val="22"/>
              </w:rPr>
            </w:pPr>
          </w:p>
          <w:p w:rsidR="00165659" w:rsidRDefault="00165659" w:rsidP="00AE7AEF">
            <w:pPr>
              <w:rPr>
                <w:bCs/>
                <w:sz w:val="22"/>
                <w:szCs w:val="22"/>
              </w:rPr>
            </w:pPr>
          </w:p>
          <w:p w:rsidR="00165659" w:rsidRDefault="00165659" w:rsidP="00AE7AEF">
            <w:pPr>
              <w:rPr>
                <w:bCs/>
                <w:sz w:val="22"/>
                <w:szCs w:val="22"/>
              </w:rPr>
            </w:pPr>
          </w:p>
          <w:p w:rsidR="009A1A6D" w:rsidRPr="00165659" w:rsidRDefault="00826191" w:rsidP="00165659">
            <w:pPr>
              <w:jc w:val="center"/>
              <w:rPr>
                <w:sz w:val="22"/>
                <w:szCs w:val="22"/>
              </w:rPr>
            </w:pPr>
            <w:r w:rsidRPr="00165659">
              <w:rPr>
                <w:bCs/>
                <w:sz w:val="22"/>
                <w:szCs w:val="22"/>
              </w:rPr>
              <w:t>$30,488</w:t>
            </w:r>
          </w:p>
        </w:tc>
      </w:tr>
      <w:tr w:rsidR="009A1A6D" w:rsidTr="009A1A6D">
        <w:tc>
          <w:tcPr>
            <w:tcW w:w="1458" w:type="dxa"/>
          </w:tcPr>
          <w:p w:rsidR="009A1A6D" w:rsidRPr="00165659" w:rsidRDefault="009A1A6D" w:rsidP="0018260D">
            <w:pPr>
              <w:rPr>
                <w:b/>
                <w:sz w:val="22"/>
                <w:szCs w:val="22"/>
              </w:rPr>
            </w:pPr>
            <w:r w:rsidRPr="00165659">
              <w:rPr>
                <w:b/>
                <w:sz w:val="22"/>
                <w:szCs w:val="22"/>
              </w:rPr>
              <w:t>Total</w:t>
            </w:r>
          </w:p>
        </w:tc>
        <w:tc>
          <w:tcPr>
            <w:tcW w:w="1710" w:type="dxa"/>
          </w:tcPr>
          <w:p w:rsidR="009A1A6D" w:rsidRPr="00165659" w:rsidRDefault="009A1A6D" w:rsidP="0018260D">
            <w:pPr>
              <w:rPr>
                <w:sz w:val="22"/>
                <w:szCs w:val="22"/>
              </w:rPr>
            </w:pPr>
          </w:p>
        </w:tc>
        <w:tc>
          <w:tcPr>
            <w:tcW w:w="2160" w:type="dxa"/>
          </w:tcPr>
          <w:p w:rsidR="009A1A6D" w:rsidRPr="00165659" w:rsidRDefault="00AE7AEF" w:rsidP="00165659">
            <w:pPr>
              <w:jc w:val="center"/>
              <w:rPr>
                <w:b/>
                <w:sz w:val="22"/>
                <w:szCs w:val="22"/>
              </w:rPr>
            </w:pPr>
            <w:r w:rsidRPr="00165659">
              <w:rPr>
                <w:b/>
                <w:bCs/>
                <w:sz w:val="22"/>
                <w:szCs w:val="22"/>
              </w:rPr>
              <w:t>$30,488</w:t>
            </w:r>
          </w:p>
        </w:tc>
        <w:tc>
          <w:tcPr>
            <w:tcW w:w="1620" w:type="dxa"/>
          </w:tcPr>
          <w:p w:rsidR="009A1A6D" w:rsidRPr="00165659" w:rsidRDefault="009A1A6D" w:rsidP="00165659">
            <w:pPr>
              <w:jc w:val="center"/>
              <w:rPr>
                <w:sz w:val="22"/>
                <w:szCs w:val="22"/>
              </w:rPr>
            </w:pPr>
          </w:p>
        </w:tc>
        <w:tc>
          <w:tcPr>
            <w:tcW w:w="1620" w:type="dxa"/>
          </w:tcPr>
          <w:p w:rsidR="009A1A6D" w:rsidRPr="00165659" w:rsidRDefault="00AE7AEF" w:rsidP="00165659">
            <w:pPr>
              <w:jc w:val="center"/>
              <w:rPr>
                <w:b/>
                <w:sz w:val="22"/>
                <w:szCs w:val="22"/>
              </w:rPr>
            </w:pPr>
            <w:r w:rsidRPr="00165659">
              <w:rPr>
                <w:b/>
                <w:bCs/>
                <w:sz w:val="22"/>
                <w:szCs w:val="22"/>
              </w:rPr>
              <w:t>$30,488</w:t>
            </w:r>
          </w:p>
        </w:tc>
      </w:tr>
    </w:tbl>
    <w:p w:rsidR="009A1A6D" w:rsidRDefault="009A1A6D" w:rsidP="009A1A6D">
      <w:pPr>
        <w:rPr>
          <w:b/>
          <w:bCs/>
        </w:rPr>
      </w:pPr>
    </w:p>
    <w:p w:rsidR="009A1A6D" w:rsidRPr="00DD0BCE" w:rsidRDefault="009A1A6D" w:rsidP="009A1A6D">
      <w:pPr>
        <w:rPr>
          <w:b/>
          <w:bCs/>
          <w:color w:val="FF0000"/>
        </w:rPr>
      </w:pPr>
      <w:proofErr w:type="gramStart"/>
      <w:r w:rsidRPr="00DD0BCE">
        <w:rPr>
          <w:b/>
          <w:bCs/>
        </w:rPr>
        <w:t>b.  Capital</w:t>
      </w:r>
      <w:proofErr w:type="gramEnd"/>
      <w:r>
        <w:rPr>
          <w:b/>
          <w:bCs/>
        </w:rPr>
        <w:t xml:space="preserve"> and Start-up-Cost should include, among other items, preparations for collecting information such as purchasing computers and software, monitoring sampling, drilling and testing equipment, and record storage facilities.  </w:t>
      </w:r>
    </w:p>
    <w:p w:rsidR="009A1A6D" w:rsidRDefault="009A1A6D" w:rsidP="009A1A6D"/>
    <w:p w:rsidR="009A1A6D" w:rsidRDefault="009A1A6D" w:rsidP="009A1A6D">
      <w:r>
        <w:t>There is no Capital and Start-up Cost for this information collection.</w:t>
      </w:r>
    </w:p>
    <w:p w:rsidR="00600089" w:rsidRDefault="009A1A6D" w:rsidP="009A1A6D">
      <w:r>
        <w:t xml:space="preserve"> </w:t>
      </w:r>
    </w:p>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pPr>
        <w:tabs>
          <w:tab w:val="left" w:pos="360"/>
        </w:tabs>
        <w:rPr>
          <w:b/>
          <w:bCs/>
        </w:rPr>
      </w:pPr>
    </w:p>
    <w:p w:rsidR="008B0DB2" w:rsidRDefault="009A1A6D" w:rsidP="009A1A6D">
      <w:pPr>
        <w:rPr>
          <w:bCs/>
        </w:rPr>
      </w:pPr>
      <w:r>
        <w:rPr>
          <w:bCs/>
        </w:rPr>
        <w:t xml:space="preserve">In accordance with “the Act”, if the property owner prevails on appeal, and if the independent third party hearing the appeal is compensated for such service, the NFIP shall bear the costs of such compensation.  Each appeal may be assigned to an independent third party for review, or as a low cost option, the property owner may request a reviewer from FEMA Alternative Dispute Resolution office for the independent </w:t>
      </w:r>
      <w:r>
        <w:rPr>
          <w:bCs/>
        </w:rPr>
        <w:lastRenderedPageBreak/>
        <w:t>third party.  In either case, FEMA estimated the reviewer will be an FEMA Attorney, and each appeal will take 40 hours to review and make a determination.  FEMA determined wage rages using data from the U.S. Department of Labor, Bureau of Labor Statistics (BLS).  Currently the BLS data indicate that the average</w:t>
      </w:r>
      <w:r w:rsidR="003460CD">
        <w:rPr>
          <w:bCs/>
        </w:rPr>
        <w:t xml:space="preserve"> hourly earnings of lawyers </w:t>
      </w:r>
      <w:proofErr w:type="gramStart"/>
      <w:r w:rsidR="003460CD">
        <w:rPr>
          <w:bCs/>
        </w:rPr>
        <w:t>is</w:t>
      </w:r>
      <w:proofErr w:type="gramEnd"/>
      <w:r w:rsidR="00AE7AEF" w:rsidRPr="00AE7AEF">
        <w:rPr>
          <w:rFonts w:ascii="Tahoma" w:hAnsi="Tahoma" w:cs="Tahoma"/>
          <w:sz w:val="20"/>
          <w:szCs w:val="20"/>
        </w:rPr>
        <w:t xml:space="preserve"> </w:t>
      </w:r>
      <w:r w:rsidR="00826191">
        <w:rPr>
          <w:bCs/>
        </w:rPr>
        <w:t xml:space="preserve">$76.22 with the wage multiplier.  </w:t>
      </w:r>
      <w:bookmarkStart w:id="0" w:name="_GoBack"/>
      <w:bookmarkEnd w:id="0"/>
      <w:r>
        <w:rPr>
          <w:bCs/>
        </w:rPr>
        <w:t>Therefore, average annualized cost to the Federal Government for the SRL appeals process based on 10 responses is estimated to be $</w:t>
      </w:r>
      <w:r w:rsidR="00826191">
        <w:rPr>
          <w:bCs/>
        </w:rPr>
        <w:t>30,488</w:t>
      </w:r>
      <w:r>
        <w:rPr>
          <w:bCs/>
        </w:rPr>
        <w:t>.</w:t>
      </w:r>
    </w:p>
    <w:p w:rsidR="009A1A6D" w:rsidRDefault="009A1A6D" w:rsidP="009A1A6D">
      <w:pPr>
        <w:tabs>
          <w:tab w:val="left" w:pos="360"/>
        </w:tabs>
        <w:rPr>
          <w:b/>
          <w:bCs/>
        </w:rPr>
      </w:pPr>
    </w:p>
    <w:p w:rsidR="009A1A6D" w:rsidRDefault="009A1A6D" w:rsidP="009A1A6D">
      <w:pPr>
        <w:tabs>
          <w:tab w:val="left" w:pos="360"/>
        </w:tabs>
        <w:jc w:val="center"/>
        <w:rPr>
          <w:b/>
          <w:bCs/>
        </w:rPr>
      </w:pPr>
      <w:r w:rsidRPr="00877531">
        <w:rPr>
          <w:b/>
          <w:bCs/>
        </w:rPr>
        <w:t>Annual Cost to the Federal Government</w:t>
      </w:r>
    </w:p>
    <w:tbl>
      <w:tblPr>
        <w:tblStyle w:val="TableGrid"/>
        <w:tblW w:w="8640" w:type="dxa"/>
        <w:tblLook w:val="0000"/>
      </w:tblPr>
      <w:tblGrid>
        <w:gridCol w:w="7680"/>
        <w:gridCol w:w="960"/>
      </w:tblGrid>
      <w:tr w:rsidR="009A1A6D" w:rsidTr="0018260D">
        <w:trPr>
          <w:trHeight w:val="70"/>
        </w:trPr>
        <w:tc>
          <w:tcPr>
            <w:tcW w:w="7680" w:type="dxa"/>
            <w:shd w:val="clear" w:color="auto" w:fill="D9D9D9"/>
            <w:noWrap/>
            <w:vAlign w:val="center"/>
          </w:tcPr>
          <w:p w:rsidR="009A1A6D" w:rsidRPr="00261D17" w:rsidRDefault="009A1A6D" w:rsidP="0018260D">
            <w:pPr>
              <w:jc w:val="center"/>
              <w:rPr>
                <w:rFonts w:ascii="Arial" w:hAnsi="Arial" w:cs="Arial"/>
                <w:b/>
                <w:bCs/>
                <w:sz w:val="20"/>
                <w:szCs w:val="20"/>
              </w:rPr>
            </w:pPr>
            <w:r w:rsidRPr="00261D17">
              <w:rPr>
                <w:rFonts w:ascii="Arial" w:hAnsi="Arial" w:cs="Arial"/>
                <w:b/>
                <w:bCs/>
                <w:sz w:val="20"/>
                <w:szCs w:val="20"/>
              </w:rPr>
              <w:t>Item</w:t>
            </w:r>
          </w:p>
        </w:tc>
        <w:tc>
          <w:tcPr>
            <w:tcW w:w="960" w:type="dxa"/>
            <w:shd w:val="clear" w:color="auto" w:fill="D9D9D9"/>
            <w:noWrap/>
          </w:tcPr>
          <w:p w:rsidR="009A1A6D" w:rsidRPr="00261D17" w:rsidRDefault="009A1A6D" w:rsidP="0018260D">
            <w:pPr>
              <w:jc w:val="center"/>
              <w:rPr>
                <w:rFonts w:ascii="Arial" w:hAnsi="Arial" w:cs="Arial"/>
                <w:b/>
                <w:bCs/>
                <w:sz w:val="20"/>
                <w:szCs w:val="20"/>
              </w:rPr>
            </w:pPr>
            <w:r w:rsidRPr="00261D17">
              <w:rPr>
                <w:rFonts w:ascii="Arial" w:hAnsi="Arial" w:cs="Arial"/>
                <w:b/>
                <w:bCs/>
                <w:sz w:val="20"/>
                <w:szCs w:val="20"/>
              </w:rPr>
              <w:t xml:space="preserve">Cost </w:t>
            </w:r>
            <w:r>
              <w:rPr>
                <w:rFonts w:ascii="Arial" w:hAnsi="Arial" w:cs="Arial"/>
                <w:b/>
                <w:bCs/>
                <w:sz w:val="20"/>
                <w:szCs w:val="20"/>
              </w:rPr>
              <w:t>(</w:t>
            </w:r>
            <w:r w:rsidRPr="00261D17">
              <w:rPr>
                <w:rFonts w:ascii="Arial" w:hAnsi="Arial" w:cs="Arial"/>
                <w:b/>
                <w:bCs/>
                <w:sz w:val="20"/>
                <w:szCs w:val="20"/>
              </w:rPr>
              <w:t>$)</w:t>
            </w:r>
          </w:p>
        </w:tc>
      </w:tr>
      <w:tr w:rsidR="009A1A6D" w:rsidTr="0018260D">
        <w:trPr>
          <w:trHeight w:val="495"/>
        </w:trPr>
        <w:tc>
          <w:tcPr>
            <w:tcW w:w="7680" w:type="dxa"/>
          </w:tcPr>
          <w:p w:rsidR="009A1A6D" w:rsidRPr="00D951D4" w:rsidRDefault="009A1A6D" w:rsidP="0018260D">
            <w:r w:rsidRPr="00D951D4">
              <w:t xml:space="preserve">Contract Costs </w:t>
            </w:r>
            <w:r w:rsidRPr="00A643EA">
              <w:rPr>
                <w:b/>
                <w:sz w:val="18"/>
                <w:szCs w:val="18"/>
              </w:rPr>
              <w:t>[Describe]</w:t>
            </w:r>
            <w:r>
              <w:t xml:space="preserve"> </w:t>
            </w:r>
          </w:p>
        </w:tc>
        <w:tc>
          <w:tcPr>
            <w:tcW w:w="960" w:type="dxa"/>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510"/>
        </w:trPr>
        <w:tc>
          <w:tcPr>
            <w:tcW w:w="7680" w:type="dxa"/>
          </w:tcPr>
          <w:p w:rsidR="009A1A6D" w:rsidRPr="00D951D4" w:rsidRDefault="009A1A6D" w:rsidP="00165659">
            <w:r w:rsidRPr="00D951D4">
              <w:t xml:space="preserve">Staff Salaries </w:t>
            </w:r>
            <w:r w:rsidRPr="00D951D4">
              <w:rPr>
                <w:b/>
                <w:bCs/>
                <w:sz w:val="18"/>
                <w:szCs w:val="18"/>
              </w:rPr>
              <w:t>[</w:t>
            </w:r>
            <w:r w:rsidR="00165659">
              <w:rPr>
                <w:b/>
                <w:bCs/>
                <w:sz w:val="18"/>
                <w:szCs w:val="18"/>
              </w:rPr>
              <w:t xml:space="preserve">1 </w:t>
            </w:r>
            <w:r>
              <w:rPr>
                <w:b/>
                <w:bCs/>
                <w:sz w:val="18"/>
                <w:szCs w:val="18"/>
              </w:rPr>
              <w:t>FEMA Attorney @ $</w:t>
            </w:r>
            <w:r w:rsidR="00826191">
              <w:rPr>
                <w:b/>
                <w:bCs/>
                <w:sz w:val="18"/>
                <w:szCs w:val="18"/>
              </w:rPr>
              <w:t>76.22</w:t>
            </w:r>
            <w:r>
              <w:rPr>
                <w:b/>
                <w:bCs/>
                <w:sz w:val="18"/>
                <w:szCs w:val="18"/>
              </w:rPr>
              <w:t xml:space="preserve"> per hour times 10 responses at 40 hours per response</w:t>
            </w:r>
            <w:r w:rsidRPr="00D951D4">
              <w:rPr>
                <w:b/>
                <w:bCs/>
                <w:sz w:val="18"/>
                <w:szCs w:val="18"/>
              </w:rPr>
              <w:t>]</w:t>
            </w:r>
            <w:r w:rsidR="00826191">
              <w:rPr>
                <w:b/>
                <w:bCs/>
                <w:sz w:val="18"/>
                <w:szCs w:val="18"/>
              </w:rPr>
              <w:t>*</w:t>
            </w:r>
          </w:p>
        </w:tc>
        <w:tc>
          <w:tcPr>
            <w:tcW w:w="960" w:type="dxa"/>
            <w:noWrap/>
          </w:tcPr>
          <w:p w:rsidR="009A1A6D" w:rsidRDefault="009A1A6D" w:rsidP="0018260D">
            <w:pPr>
              <w:rPr>
                <w:rFonts w:ascii="Arial" w:hAnsi="Arial" w:cs="Arial"/>
                <w:sz w:val="20"/>
                <w:szCs w:val="20"/>
              </w:rPr>
            </w:pPr>
            <w:r w:rsidRPr="00261D17">
              <w:rPr>
                <w:rFonts w:ascii="Arial" w:hAnsi="Arial" w:cs="Arial"/>
                <w:sz w:val="20"/>
                <w:szCs w:val="20"/>
              </w:rPr>
              <w:t> </w:t>
            </w:r>
          </w:p>
          <w:p w:rsidR="009A1A6D" w:rsidRPr="00261D17" w:rsidRDefault="009A1A6D" w:rsidP="00AE7AEF">
            <w:pPr>
              <w:rPr>
                <w:rFonts w:ascii="Arial" w:hAnsi="Arial" w:cs="Arial"/>
                <w:sz w:val="20"/>
                <w:szCs w:val="20"/>
              </w:rPr>
            </w:pPr>
            <w:r>
              <w:rPr>
                <w:rFonts w:ascii="Arial" w:hAnsi="Arial" w:cs="Arial"/>
                <w:sz w:val="20"/>
                <w:szCs w:val="20"/>
              </w:rPr>
              <w:t>$</w:t>
            </w:r>
            <w:r w:rsidR="00826191">
              <w:rPr>
                <w:rFonts w:ascii="Arial" w:hAnsi="Arial" w:cs="Arial"/>
                <w:sz w:val="20"/>
                <w:szCs w:val="20"/>
              </w:rPr>
              <w:t>30,488</w:t>
            </w:r>
          </w:p>
        </w:tc>
      </w:tr>
      <w:tr w:rsidR="009A1A6D" w:rsidTr="0018260D">
        <w:trPr>
          <w:trHeight w:val="270"/>
        </w:trPr>
        <w:tc>
          <w:tcPr>
            <w:tcW w:w="7680" w:type="dxa"/>
            <w:noWrap/>
          </w:tcPr>
          <w:p w:rsidR="009A1A6D" w:rsidRPr="00D951D4" w:rsidRDefault="009A1A6D" w:rsidP="0018260D">
            <w:r w:rsidRPr="00D951D4">
              <w:t>Facilities</w:t>
            </w:r>
            <w:r>
              <w:t xml:space="preserve"> </w:t>
            </w:r>
            <w:r w:rsidRPr="0015054F">
              <w:rPr>
                <w:b/>
                <w:sz w:val="18"/>
                <w:szCs w:val="18"/>
              </w:rPr>
              <w:t>[</w:t>
            </w:r>
            <w:r>
              <w:rPr>
                <w:b/>
                <w:sz w:val="18"/>
                <w:szCs w:val="18"/>
              </w:rPr>
              <w:t xml:space="preserve">cost for </w:t>
            </w:r>
            <w:r w:rsidRPr="0015054F">
              <w:rPr>
                <w:b/>
                <w:sz w:val="18"/>
                <w:szCs w:val="18"/>
              </w:rPr>
              <w:t>renting,</w:t>
            </w:r>
            <w:r>
              <w:rPr>
                <w:b/>
                <w:sz w:val="18"/>
                <w:szCs w:val="18"/>
              </w:rPr>
              <w:t xml:space="preserve"> </w:t>
            </w:r>
            <w:r w:rsidRPr="0015054F">
              <w:rPr>
                <w:b/>
                <w:sz w:val="18"/>
                <w:szCs w:val="18"/>
              </w:rPr>
              <w:t xml:space="preserve">overhead, </w:t>
            </w:r>
            <w:proofErr w:type="spellStart"/>
            <w:r w:rsidRPr="0015054F">
              <w:rPr>
                <w:b/>
                <w:sz w:val="18"/>
                <w:szCs w:val="18"/>
              </w:rPr>
              <w:t>ect</w:t>
            </w:r>
            <w:proofErr w:type="spellEnd"/>
            <w:r w:rsidRPr="0015054F">
              <w:rPr>
                <w:b/>
                <w:sz w:val="18"/>
                <w:szCs w:val="18"/>
              </w:rPr>
              <w:t>.</w:t>
            </w:r>
            <w:r>
              <w:rPr>
                <w:b/>
                <w:sz w:val="18"/>
                <w:szCs w:val="18"/>
              </w:rPr>
              <w:t xml:space="preserve"> </w:t>
            </w:r>
            <w:r w:rsidRPr="0015054F">
              <w:rPr>
                <w:b/>
                <w:sz w:val="18"/>
                <w:szCs w:val="18"/>
              </w:rPr>
              <w:t>for data collection activity]</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40"/>
        </w:trPr>
        <w:tc>
          <w:tcPr>
            <w:tcW w:w="7680" w:type="dxa"/>
            <w:noWrap/>
          </w:tcPr>
          <w:p w:rsidR="009A1A6D" w:rsidRPr="00D951D4" w:rsidRDefault="009A1A6D" w:rsidP="0018260D">
            <w:r w:rsidRPr="00D951D4">
              <w:t>Computer Hardware and Software</w:t>
            </w:r>
            <w:r>
              <w:t xml:space="preserve"> </w:t>
            </w:r>
            <w:r w:rsidRPr="00D951D4">
              <w:rPr>
                <w:b/>
                <w:sz w:val="18"/>
                <w:szCs w:val="18"/>
              </w:rPr>
              <w:t>[</w:t>
            </w:r>
            <w:r>
              <w:rPr>
                <w:b/>
                <w:sz w:val="18"/>
                <w:szCs w:val="18"/>
              </w:rPr>
              <w:t xml:space="preserve">cost of </w:t>
            </w:r>
            <w:r w:rsidRPr="00D951D4">
              <w:rPr>
                <w:b/>
                <w:sz w:val="18"/>
                <w:szCs w:val="18"/>
              </w:rPr>
              <w:t>equipment annual lifecycle]</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55"/>
        </w:trPr>
        <w:tc>
          <w:tcPr>
            <w:tcW w:w="7680" w:type="dxa"/>
            <w:noWrap/>
          </w:tcPr>
          <w:p w:rsidR="009A1A6D" w:rsidRPr="00D951D4" w:rsidRDefault="009A1A6D" w:rsidP="0018260D">
            <w:r w:rsidRPr="00D951D4">
              <w:t>Equipment Maintenance</w:t>
            </w:r>
            <w:r>
              <w:t xml:space="preserve"> </w:t>
            </w:r>
            <w:r w:rsidRPr="00D951D4">
              <w:rPr>
                <w:b/>
                <w:sz w:val="18"/>
                <w:szCs w:val="18"/>
              </w:rPr>
              <w:t>[cost of annual maintenance/service agreements for equipment]</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55"/>
        </w:trPr>
        <w:tc>
          <w:tcPr>
            <w:tcW w:w="7680" w:type="dxa"/>
            <w:noWrap/>
          </w:tcPr>
          <w:p w:rsidR="009A1A6D" w:rsidRPr="00D951D4" w:rsidRDefault="009A1A6D" w:rsidP="0018260D">
            <w:r w:rsidRPr="00D951D4">
              <w:t xml:space="preserve">Travel </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55"/>
        </w:trPr>
        <w:tc>
          <w:tcPr>
            <w:tcW w:w="7680" w:type="dxa"/>
            <w:noWrap/>
          </w:tcPr>
          <w:p w:rsidR="009A1A6D" w:rsidRPr="00D951D4" w:rsidRDefault="009A1A6D" w:rsidP="0018260D">
            <w:r w:rsidRPr="00D951D4">
              <w:t xml:space="preserve">Printing </w:t>
            </w:r>
            <w:r w:rsidRPr="0015054F">
              <w:rPr>
                <w:b/>
                <w:sz w:val="18"/>
                <w:szCs w:val="18"/>
              </w:rPr>
              <w:t>[</w:t>
            </w:r>
            <w:r>
              <w:rPr>
                <w:b/>
                <w:sz w:val="18"/>
                <w:szCs w:val="18"/>
              </w:rPr>
              <w:t>number of data collection instruments annually]</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55"/>
        </w:trPr>
        <w:tc>
          <w:tcPr>
            <w:tcW w:w="768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xml:space="preserve">Postage </w:t>
            </w:r>
            <w:r w:rsidRPr="00A643EA">
              <w:rPr>
                <w:rFonts w:ascii="Arial" w:hAnsi="Arial" w:cs="Arial"/>
                <w:b/>
                <w:sz w:val="18"/>
                <w:szCs w:val="18"/>
              </w:rPr>
              <w:t>[annual number of data collection instruments x postage]</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55"/>
        </w:trPr>
        <w:tc>
          <w:tcPr>
            <w:tcW w:w="7680" w:type="dxa"/>
            <w:noWrap/>
          </w:tcPr>
          <w:p w:rsidR="009A1A6D" w:rsidRPr="00261D17" w:rsidRDefault="009A1A6D" w:rsidP="0018260D">
            <w:pPr>
              <w:rPr>
                <w:rFonts w:ascii="Arial" w:hAnsi="Arial" w:cs="Arial"/>
                <w:sz w:val="20"/>
                <w:szCs w:val="20"/>
              </w:rPr>
            </w:pPr>
            <w:r w:rsidRPr="00261D17">
              <w:rPr>
                <w:rFonts w:ascii="Arial" w:hAnsi="Arial" w:cs="Arial"/>
                <w:sz w:val="20"/>
                <w:szCs w:val="20"/>
              </w:rPr>
              <w:t>Other</w:t>
            </w:r>
          </w:p>
        </w:tc>
        <w:tc>
          <w:tcPr>
            <w:tcW w:w="960" w:type="dxa"/>
            <w:noWrap/>
          </w:tcPr>
          <w:p w:rsidR="009A1A6D" w:rsidRPr="00261D17" w:rsidRDefault="009A1A6D" w:rsidP="0018260D">
            <w:pPr>
              <w:rPr>
                <w:rFonts w:ascii="Arial" w:hAnsi="Arial" w:cs="Arial"/>
                <w:sz w:val="20"/>
                <w:szCs w:val="20"/>
              </w:rPr>
            </w:pPr>
            <w:r w:rsidRPr="00261D17">
              <w:rPr>
                <w:rFonts w:ascii="Arial" w:hAnsi="Arial" w:cs="Arial"/>
                <w:sz w:val="20"/>
                <w:szCs w:val="20"/>
              </w:rPr>
              <w:t> </w:t>
            </w:r>
          </w:p>
        </w:tc>
      </w:tr>
      <w:tr w:rsidR="009A1A6D" w:rsidTr="0018260D">
        <w:trPr>
          <w:trHeight w:val="270"/>
        </w:trPr>
        <w:tc>
          <w:tcPr>
            <w:tcW w:w="7680" w:type="dxa"/>
            <w:noWrap/>
          </w:tcPr>
          <w:p w:rsidR="009A1A6D" w:rsidRPr="00261D17" w:rsidRDefault="009A1A6D" w:rsidP="0018260D">
            <w:pPr>
              <w:rPr>
                <w:rFonts w:ascii="Arial" w:hAnsi="Arial" w:cs="Arial"/>
                <w:b/>
                <w:bCs/>
                <w:sz w:val="20"/>
                <w:szCs w:val="20"/>
              </w:rPr>
            </w:pPr>
            <w:r w:rsidRPr="00261D17">
              <w:rPr>
                <w:rFonts w:ascii="Arial" w:hAnsi="Arial" w:cs="Arial"/>
                <w:b/>
                <w:bCs/>
                <w:sz w:val="20"/>
                <w:szCs w:val="20"/>
              </w:rPr>
              <w:t>Total</w:t>
            </w:r>
          </w:p>
        </w:tc>
        <w:tc>
          <w:tcPr>
            <w:tcW w:w="960" w:type="dxa"/>
            <w:noWrap/>
          </w:tcPr>
          <w:p w:rsidR="009A1A6D" w:rsidRPr="00261D17" w:rsidRDefault="009A1A6D" w:rsidP="00AE7AEF">
            <w:pPr>
              <w:rPr>
                <w:rFonts w:ascii="Arial" w:hAnsi="Arial" w:cs="Arial"/>
                <w:b/>
                <w:bCs/>
                <w:sz w:val="20"/>
                <w:szCs w:val="20"/>
              </w:rPr>
            </w:pPr>
            <w:r w:rsidRPr="00261D17">
              <w:rPr>
                <w:rFonts w:ascii="Arial" w:hAnsi="Arial" w:cs="Arial"/>
                <w:b/>
                <w:bCs/>
                <w:sz w:val="20"/>
                <w:szCs w:val="20"/>
              </w:rPr>
              <w:t>$</w:t>
            </w:r>
            <w:r w:rsidR="00826191">
              <w:rPr>
                <w:rFonts w:ascii="Arial" w:hAnsi="Arial" w:cs="Arial"/>
                <w:b/>
                <w:bCs/>
                <w:sz w:val="20"/>
                <w:szCs w:val="20"/>
              </w:rPr>
              <w:t>30,488</w:t>
            </w:r>
          </w:p>
        </w:tc>
      </w:tr>
    </w:tbl>
    <w:p w:rsidR="009B4E88" w:rsidRPr="009B69D3"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106F37" w:rsidRDefault="00106F37">
      <w:pPr>
        <w:tabs>
          <w:tab w:val="left" w:pos="360"/>
        </w:tabs>
        <w:rPr>
          <w:b/>
          <w:bCs/>
        </w:rPr>
      </w:pPr>
    </w:p>
    <w:p w:rsidR="005E21C2" w:rsidRDefault="005669A7"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w:t>
      </w:r>
      <w:proofErr w:type="spellStart"/>
      <w:r w:rsidR="005E21C2" w:rsidRPr="00974EA8">
        <w:rPr>
          <w:b/>
        </w:rPr>
        <w:t>hour</w:t>
      </w:r>
      <w:proofErr w:type="spellEnd"/>
      <w:r w:rsidR="005E21C2" w:rsidRPr="00974EA8">
        <w:rPr>
          <w:b/>
        </w:rPr>
        <w:t xml:space="preserve">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826191"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3460CD" w:rsidRDefault="003460CD" w:rsidP="003460CD">
      <w:pPr>
        <w:rPr>
          <w:b/>
          <w:bCs/>
          <w:i/>
        </w:rPr>
      </w:pPr>
    </w:p>
    <w:p w:rsidR="003460CD" w:rsidRDefault="003460CD" w:rsidP="003460CD">
      <w:pPr>
        <w:rPr>
          <w:b/>
          <w:bCs/>
          <w:i/>
        </w:rPr>
      </w:pPr>
    </w:p>
    <w:p w:rsidR="003460CD" w:rsidRDefault="003460CD" w:rsidP="003460CD">
      <w:pPr>
        <w:rPr>
          <w:b/>
          <w:bCs/>
          <w:i/>
        </w:rPr>
      </w:pPr>
    </w:p>
    <w:p w:rsidR="003460CD" w:rsidRDefault="003460CD" w:rsidP="003460CD">
      <w:pPr>
        <w:rPr>
          <w:b/>
          <w:bCs/>
          <w:i/>
        </w:rPr>
      </w:pPr>
      <w:r w:rsidRPr="002B153E">
        <w:rPr>
          <w:b/>
          <w:bCs/>
          <w:i/>
        </w:rPr>
        <w:lastRenderedPageBreak/>
        <w:t xml:space="preserve">Explain: </w:t>
      </w:r>
    </w:p>
    <w:p w:rsidR="00707B15" w:rsidRDefault="00707B15" w:rsidP="00165659">
      <w:pPr>
        <w:rPr>
          <w:bCs/>
        </w:rPr>
      </w:pPr>
    </w:p>
    <w:p w:rsidR="0046759A" w:rsidRDefault="00165659" w:rsidP="00677CAD">
      <w:pPr>
        <w:rPr>
          <w:bCs/>
        </w:rPr>
      </w:pPr>
      <w:r w:rsidRPr="00165659">
        <w:rPr>
          <w:bCs/>
        </w:rPr>
        <w:t>There are no changes to the annual hour burden and there has been no change to the information being collected.</w:t>
      </w:r>
    </w:p>
    <w:p w:rsidR="0035661D" w:rsidRDefault="0035661D" w:rsidP="00677CAD">
      <w:pPr>
        <w:rPr>
          <w:b/>
          <w:bCs/>
          <w:i/>
        </w:rPr>
      </w:pPr>
    </w:p>
    <w:tbl>
      <w:tblPr>
        <w:tblW w:w="10360" w:type="dxa"/>
        <w:jc w:val="center"/>
        <w:tblInd w:w="93" w:type="dxa"/>
        <w:tblLook w:val="0000"/>
      </w:tblPr>
      <w:tblGrid>
        <w:gridCol w:w="2340"/>
        <w:gridCol w:w="1240"/>
        <w:gridCol w:w="960"/>
        <w:gridCol w:w="1260"/>
        <w:gridCol w:w="1400"/>
        <w:gridCol w:w="1420"/>
        <w:gridCol w:w="1740"/>
      </w:tblGrid>
      <w:tr w:rsidR="00B05348"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rsidTr="00B05348">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B05348"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05348" w:rsidRPr="00DE19E9" w:rsidRDefault="00366C93">
            <w:pPr>
              <w:jc w:val="center"/>
              <w:rPr>
                <w:sz w:val="18"/>
                <w:szCs w:val="18"/>
              </w:rPr>
            </w:pPr>
            <w:r w:rsidRPr="00DE19E9">
              <w:rPr>
                <w:rFonts w:eastAsia="Arial Unicode MS"/>
                <w:sz w:val="18"/>
                <w:szCs w:val="18"/>
              </w:rPr>
              <w:t>Appeals Written Request and Supporting Documentation / No Form</w:t>
            </w:r>
            <w:r w:rsidR="00B05348" w:rsidRPr="00DE19E9">
              <w:rPr>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rsidR="00B05348" w:rsidRPr="00DE19E9" w:rsidRDefault="00B05348">
            <w:pPr>
              <w:jc w:val="center"/>
              <w:rPr>
                <w:sz w:val="18"/>
                <w:szCs w:val="18"/>
              </w:rPr>
            </w:pPr>
            <w:r w:rsidRPr="00DE19E9">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B05348" w:rsidRPr="00DE19E9" w:rsidRDefault="00B05348">
            <w:pPr>
              <w:jc w:val="center"/>
              <w:rPr>
                <w:sz w:val="18"/>
                <w:szCs w:val="18"/>
              </w:rPr>
            </w:pPr>
            <w:r w:rsidRPr="00DE19E9">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B05348" w:rsidRPr="00DE19E9" w:rsidRDefault="00B05348">
            <w:pPr>
              <w:jc w:val="center"/>
              <w:rPr>
                <w:sz w:val="18"/>
                <w:szCs w:val="18"/>
              </w:rPr>
            </w:pPr>
            <w:r w:rsidRPr="00DE19E9">
              <w:rPr>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B05348" w:rsidRPr="00DE19E9" w:rsidRDefault="00DE19E9">
            <w:pPr>
              <w:jc w:val="center"/>
              <w:rPr>
                <w:sz w:val="18"/>
                <w:szCs w:val="18"/>
              </w:rPr>
            </w:pPr>
            <w:r w:rsidRPr="00DE19E9">
              <w:rPr>
                <w:sz w:val="18"/>
                <w:szCs w:val="18"/>
              </w:rPr>
              <w:t>$1,710</w:t>
            </w:r>
          </w:p>
        </w:tc>
        <w:tc>
          <w:tcPr>
            <w:tcW w:w="1420" w:type="dxa"/>
            <w:tcBorders>
              <w:top w:val="nil"/>
              <w:left w:val="nil"/>
              <w:bottom w:val="single" w:sz="8" w:space="0" w:color="auto"/>
              <w:right w:val="single" w:sz="8" w:space="0" w:color="auto"/>
            </w:tcBorders>
            <w:shd w:val="clear" w:color="auto" w:fill="auto"/>
            <w:noWrap/>
            <w:vAlign w:val="bottom"/>
          </w:tcPr>
          <w:p w:rsidR="00B05348" w:rsidRPr="00DE19E9" w:rsidRDefault="00DE19E9" w:rsidP="00DE19E9">
            <w:pPr>
              <w:jc w:val="center"/>
              <w:rPr>
                <w:sz w:val="18"/>
                <w:szCs w:val="18"/>
              </w:rPr>
            </w:pPr>
            <w:r w:rsidRPr="00DE19E9">
              <w:rPr>
                <w:color w:val="000000"/>
                <w:sz w:val="18"/>
                <w:szCs w:val="18"/>
              </w:rPr>
              <w:t>$2,394</w:t>
            </w:r>
            <w:r w:rsidR="00B05348" w:rsidRPr="00DE19E9">
              <w:rPr>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B05348" w:rsidRPr="00DE19E9" w:rsidRDefault="00DE19E9" w:rsidP="00DE19E9">
            <w:pPr>
              <w:rPr>
                <w:sz w:val="18"/>
                <w:szCs w:val="18"/>
              </w:rPr>
            </w:pPr>
            <w:r>
              <w:rPr>
                <w:sz w:val="18"/>
                <w:szCs w:val="18"/>
              </w:rPr>
              <w:t xml:space="preserve">          +$684</w:t>
            </w:r>
            <w:r w:rsidR="00B05348" w:rsidRPr="00DE19E9">
              <w:rPr>
                <w:sz w:val="18"/>
                <w:szCs w:val="18"/>
              </w:rPr>
              <w:t> </w:t>
            </w:r>
          </w:p>
        </w:tc>
      </w:tr>
      <w:tr w:rsidR="00B05348" w:rsidTr="00B05348">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B05348" w:rsidRPr="00295EC6" w:rsidRDefault="00B05348">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B05348" w:rsidRPr="00295EC6" w:rsidRDefault="00B05348">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B05348" w:rsidRPr="00295EC6" w:rsidRDefault="00B05348">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B05348" w:rsidRPr="00295EC6" w:rsidRDefault="00B05348">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B05348" w:rsidRPr="00295EC6" w:rsidRDefault="00B05348">
            <w:pPr>
              <w:jc w:val="center"/>
              <w:rPr>
                <w:rFonts w:ascii="Arial" w:hAnsi="Arial" w:cs="Arial"/>
                <w:b/>
                <w:sz w:val="18"/>
                <w:szCs w:val="18"/>
              </w:rPr>
            </w:pPr>
            <w:r w:rsidRPr="00295EC6">
              <w:rPr>
                <w:rFonts w:ascii="Arial" w:hAnsi="Arial" w:cs="Arial"/>
                <w:b/>
                <w:sz w:val="18"/>
                <w:szCs w:val="18"/>
              </w:rPr>
              <w:t> </w:t>
            </w:r>
            <w:r w:rsidR="00DE19E9">
              <w:rPr>
                <w:rFonts w:ascii="Arial" w:hAnsi="Arial" w:cs="Arial"/>
                <w:b/>
                <w:sz w:val="18"/>
                <w:szCs w:val="18"/>
              </w:rPr>
              <w:t>$1,710</w:t>
            </w:r>
          </w:p>
        </w:tc>
        <w:tc>
          <w:tcPr>
            <w:tcW w:w="1420" w:type="dxa"/>
            <w:tcBorders>
              <w:top w:val="nil"/>
              <w:left w:val="nil"/>
              <w:bottom w:val="single" w:sz="8" w:space="0" w:color="auto"/>
              <w:right w:val="single" w:sz="8" w:space="0" w:color="auto"/>
            </w:tcBorders>
            <w:shd w:val="clear" w:color="auto" w:fill="auto"/>
            <w:noWrap/>
            <w:vAlign w:val="bottom"/>
          </w:tcPr>
          <w:p w:rsidR="00B05348" w:rsidRPr="00295EC6" w:rsidRDefault="00DE19E9">
            <w:pPr>
              <w:jc w:val="center"/>
              <w:rPr>
                <w:rFonts w:ascii="Arial" w:hAnsi="Arial" w:cs="Arial"/>
                <w:b/>
                <w:sz w:val="18"/>
                <w:szCs w:val="18"/>
              </w:rPr>
            </w:pPr>
            <w:r>
              <w:rPr>
                <w:rFonts w:ascii="Arial" w:hAnsi="Arial" w:cs="Arial"/>
                <w:b/>
                <w:sz w:val="18"/>
                <w:szCs w:val="18"/>
              </w:rPr>
              <w:t>$2,394</w:t>
            </w:r>
            <w:r w:rsidR="00B05348" w:rsidRPr="00295EC6">
              <w:rPr>
                <w:rFonts w:ascii="Arial" w:hAnsi="Arial" w:cs="Arial"/>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B05348" w:rsidRPr="00295EC6" w:rsidRDefault="00DE19E9">
            <w:pPr>
              <w:jc w:val="center"/>
              <w:rPr>
                <w:rFonts w:ascii="Arial" w:hAnsi="Arial" w:cs="Arial"/>
                <w:b/>
                <w:sz w:val="18"/>
                <w:szCs w:val="18"/>
              </w:rPr>
            </w:pPr>
            <w:r>
              <w:rPr>
                <w:rFonts w:ascii="Arial" w:hAnsi="Arial" w:cs="Arial"/>
                <w:b/>
                <w:sz w:val="18"/>
                <w:szCs w:val="18"/>
              </w:rPr>
              <w:t>$684</w:t>
            </w:r>
            <w:r w:rsidR="00B05348" w:rsidRPr="00295EC6">
              <w:rPr>
                <w:rFonts w:ascii="Arial" w:hAnsi="Arial" w:cs="Arial"/>
                <w:b/>
                <w:sz w:val="18"/>
                <w:szCs w:val="18"/>
              </w:rPr>
              <w:t> </w:t>
            </w:r>
          </w:p>
        </w:tc>
      </w:tr>
    </w:tbl>
    <w:p w:rsidR="003460CD" w:rsidRDefault="003460CD" w:rsidP="003460CD">
      <w:pPr>
        <w:rPr>
          <w:b/>
          <w:bCs/>
          <w:i/>
        </w:rPr>
      </w:pPr>
    </w:p>
    <w:p w:rsidR="003460CD" w:rsidRDefault="003460CD" w:rsidP="003460CD">
      <w:pPr>
        <w:rPr>
          <w:b/>
          <w:bCs/>
          <w:i/>
        </w:rPr>
      </w:pPr>
      <w:r w:rsidRPr="002B153E">
        <w:rPr>
          <w:b/>
          <w:bCs/>
          <w:i/>
        </w:rPr>
        <w:t xml:space="preserve">Explain: </w:t>
      </w:r>
    </w:p>
    <w:p w:rsidR="00366C93" w:rsidRDefault="00366C93" w:rsidP="00677CAD">
      <w:pPr>
        <w:rPr>
          <w:b/>
          <w:bCs/>
          <w:i/>
        </w:rPr>
      </w:pPr>
    </w:p>
    <w:p w:rsidR="00D85A37" w:rsidRDefault="00D85A37" w:rsidP="00D85A37">
      <w:pPr>
        <w:rPr>
          <w:bCs/>
        </w:rPr>
      </w:pPr>
      <w:r>
        <w:rPr>
          <w:bCs/>
        </w:rPr>
        <w:t>The adjustment increase in the annual cost burden results from an increase in the mean wage and the introduction of a multiplier (1.4) to account for a fully loaded average wage rate.</w:t>
      </w:r>
    </w:p>
    <w:p w:rsidR="00B73A6F" w:rsidRDefault="00366C93" w:rsidP="00366C93">
      <w:pPr>
        <w:rPr>
          <w:b/>
          <w:bCs/>
        </w:rPr>
      </w:pPr>
      <w:r>
        <w:rPr>
          <w:b/>
          <w:bCs/>
        </w:rPr>
        <w:t xml:space="preserve"> </w:t>
      </w:r>
      <w:r w:rsidR="005669A7">
        <w:rPr>
          <w:b/>
          <w:bCs/>
        </w:rPr>
        <w:fldChar w:fldCharType="begin"/>
      </w:r>
      <w:r w:rsidR="00842E74">
        <w:rPr>
          <w:b/>
          <w:bCs/>
        </w:rPr>
        <w:instrText>ADVANCE \R 0.95</w:instrText>
      </w:r>
      <w:r w:rsidR="005669A7">
        <w:rPr>
          <w:b/>
          <w:bCs/>
        </w:rPr>
        <w:fldChar w:fldCharType="end"/>
      </w: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5669A7">
      <w:r>
        <w:fldChar w:fldCharType="begin"/>
      </w:r>
      <w:r w:rsidR="00842E74">
        <w:instrText>ADVANCE \R 0.95</w:instrText>
      </w:r>
      <w:r>
        <w:fldChar w:fldCharType="end"/>
      </w:r>
    </w:p>
    <w:p w:rsidR="00842E74" w:rsidRDefault="00366C93">
      <w:r>
        <w:t xml:space="preserve">FEMA </w:t>
      </w:r>
      <w:r w:rsidRPr="00366C93">
        <w:t>does not intend to employ the use of statistics or the publication thereof for this information collection</w:t>
      </w:r>
      <w:r w:rsidR="00DB5B61">
        <w:t>.</w:t>
      </w:r>
    </w:p>
    <w:p w:rsidR="00DB5B61" w:rsidRDefault="00DB5B61"/>
    <w:p w:rsidR="00842E74" w:rsidRDefault="005669A7">
      <w:pPr>
        <w:rPr>
          <w:b/>
          <w:bCs/>
        </w:rPr>
      </w:pPr>
      <w:r>
        <w:rPr>
          <w:b/>
          <w:bCs/>
        </w:rPr>
        <w:fldChar w:fldCharType="begin"/>
      </w:r>
      <w:r w:rsidR="00842E74">
        <w:rPr>
          <w:b/>
          <w:bCs/>
        </w:rPr>
        <w:instrText>ADVANCE \R 0.95</w:instrText>
      </w:r>
      <w:r>
        <w:rPr>
          <w:b/>
          <w:bCs/>
        </w:rPr>
        <w:fldChar w:fldCharType="end"/>
      </w:r>
      <w:r w:rsidR="00842E74">
        <w:rPr>
          <w:b/>
          <w:bCs/>
        </w:rPr>
        <w:t xml:space="preserve">17.  </w:t>
      </w:r>
      <w:proofErr w:type="gramStart"/>
      <w:r w:rsidR="00842E74">
        <w:rPr>
          <w:b/>
          <w:bCs/>
        </w:rPr>
        <w:t>If</w:t>
      </w:r>
      <w:proofErr w:type="gramEnd"/>
      <w:r w:rsidR="00842E74">
        <w:rPr>
          <w:b/>
          <w:bCs/>
        </w:rPr>
        <w:t xml:space="preserve">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366C93">
      <w:pPr>
        <w:rPr>
          <w:color w:val="000000"/>
        </w:rPr>
      </w:pPr>
      <w:r>
        <w:rPr>
          <w:color w:val="000000"/>
        </w:rPr>
        <w:t xml:space="preserve">FEMA </w:t>
      </w:r>
      <w:r w:rsidRPr="00366C93">
        <w:rPr>
          <w:color w:val="000000"/>
        </w:rPr>
        <w:t>will display the expiration date for OMB approval of this information collection</w:t>
      </w:r>
      <w:r w:rsidR="00DB5B61">
        <w:rPr>
          <w:color w:val="000000"/>
        </w:rPr>
        <w:t>.</w:t>
      </w:r>
    </w:p>
    <w:p w:rsidR="00842E74" w:rsidRDefault="005669A7">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5669A7">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6A375E" w:rsidRDefault="005669A7" w:rsidP="006A375E">
      <w:pPr>
        <w:rPr>
          <w:rFonts w:cs="Tahoma"/>
          <w:szCs w:val="22"/>
        </w:rPr>
      </w:pPr>
      <w:r w:rsidRPr="00366C93">
        <w:fldChar w:fldCharType="begin"/>
      </w:r>
      <w:r w:rsidR="00842E74" w:rsidRPr="00366C93">
        <w:instrText>ADVANCE \R 0.95</w:instrText>
      </w:r>
      <w:r w:rsidRPr="00366C93">
        <w:fldChar w:fldCharType="end"/>
      </w:r>
      <w:r w:rsidR="006A375E" w:rsidRPr="00366C93">
        <w:t xml:space="preserve"> </w:t>
      </w:r>
      <w:r w:rsidR="00366C93" w:rsidRPr="00366C93">
        <w:t>FEMA does not request an exception to the certification of this information collection</w:t>
      </w:r>
      <w:r w:rsidR="006A375E" w:rsidRPr="00025E1E">
        <w:rPr>
          <w:rFonts w:cs="Tahoma"/>
          <w:szCs w:val="22"/>
        </w:rPr>
        <w:t>.</w:t>
      </w:r>
    </w:p>
    <w:p w:rsidR="00366C93" w:rsidRDefault="00366C93" w:rsidP="006A375E">
      <w:pPr>
        <w:rPr>
          <w:rFonts w:cs="Tahoma"/>
          <w:szCs w:val="22"/>
        </w:rPr>
      </w:pPr>
    </w:p>
    <w:p w:rsidR="00366C93" w:rsidRPr="00366C93" w:rsidRDefault="00366C93" w:rsidP="00366C93">
      <w:pPr>
        <w:rPr>
          <w:b/>
          <w:sz w:val="28"/>
        </w:rPr>
      </w:pPr>
      <w:r w:rsidRPr="00366C93">
        <w:rPr>
          <w:b/>
          <w:sz w:val="28"/>
        </w:rPr>
        <w:t>B.  Collections of Information Employing Statistical Methods.</w:t>
      </w:r>
    </w:p>
    <w:p w:rsidR="00366C93" w:rsidRPr="00366C93" w:rsidRDefault="005669A7" w:rsidP="00366C93">
      <w:pPr>
        <w:tabs>
          <w:tab w:val="left" w:pos="-720"/>
        </w:tabs>
        <w:suppressAutoHyphens/>
      </w:pPr>
      <w:r w:rsidRPr="00366C93">
        <w:fldChar w:fldCharType="begin"/>
      </w:r>
      <w:r w:rsidR="00366C93" w:rsidRPr="00366C93">
        <w:instrText>ADVANCE \R 0.95</w:instrText>
      </w:r>
      <w:r w:rsidRPr="00366C93">
        <w:fldChar w:fldCharType="end"/>
      </w:r>
      <w:r w:rsidRPr="00366C93">
        <w:fldChar w:fldCharType="begin"/>
      </w:r>
      <w:r w:rsidR="00366C93" w:rsidRPr="00366C93">
        <w:instrText>ADVANCE \R 0.95</w:instrText>
      </w:r>
      <w:r w:rsidRPr="00366C93">
        <w:fldChar w:fldCharType="end"/>
      </w:r>
      <w:r w:rsidR="00366C93" w:rsidRPr="00366C93">
        <w:tab/>
      </w:r>
    </w:p>
    <w:p w:rsidR="00366C93" w:rsidRPr="00366C93" w:rsidRDefault="00366C93" w:rsidP="00366C93">
      <w:pPr>
        <w:tabs>
          <w:tab w:val="left" w:pos="-720"/>
        </w:tabs>
        <w:suppressAutoHyphens/>
        <w:rPr>
          <w:b/>
        </w:rPr>
      </w:pPr>
      <w:r w:rsidRPr="00366C93">
        <w:t>There is no statistical methodology involved in this collection.</w:t>
      </w:r>
      <w:r w:rsidR="005669A7" w:rsidRPr="00366C93">
        <w:fldChar w:fldCharType="begin"/>
      </w:r>
      <w:r w:rsidRPr="00366C93">
        <w:instrText>ADVANCE \R 0.95</w:instrText>
      </w:r>
      <w:r w:rsidR="005669A7" w:rsidRPr="00366C93">
        <w:fldChar w:fldCharType="end"/>
      </w:r>
      <w:r w:rsidR="005669A7" w:rsidRPr="00366C93">
        <w:fldChar w:fldCharType="begin"/>
      </w:r>
      <w:r w:rsidRPr="00366C93">
        <w:instrText>ADVANCE \R 0.95</w:instrText>
      </w:r>
      <w:r w:rsidR="005669A7" w:rsidRPr="00366C93">
        <w:fldChar w:fldCharType="end"/>
      </w:r>
    </w:p>
    <w:p w:rsidR="00366C93" w:rsidRPr="00025E1E" w:rsidRDefault="00366C93" w:rsidP="006A375E"/>
    <w:p w:rsidR="00372ED0" w:rsidRDefault="00372ED0">
      <w:pPr>
        <w:rPr>
          <w:b/>
          <w:sz w:val="28"/>
        </w:rPr>
      </w:pPr>
    </w:p>
    <w:p w:rsidR="00251C9E" w:rsidRPr="0012366D" w:rsidRDefault="00251C9E" w:rsidP="000412C5">
      <w:pPr>
        <w:pStyle w:val="BodyTextIndent"/>
        <w:shd w:val="clear" w:color="auto" w:fill="auto"/>
        <w:ind w:left="0"/>
        <w:rPr>
          <w:b/>
          <w:sz w:val="24"/>
          <w:szCs w:val="24"/>
        </w:rPr>
      </w:pPr>
    </w:p>
    <w:sectPr w:rsidR="00251C9E" w:rsidRPr="0012366D" w:rsidSect="00017DEC">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1E3" w:rsidRDefault="005101E3">
      <w:r>
        <w:separator/>
      </w:r>
    </w:p>
  </w:endnote>
  <w:endnote w:type="continuationSeparator" w:id="0">
    <w:p w:rsidR="005101E3" w:rsidRDefault="00510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E3" w:rsidRDefault="005669A7" w:rsidP="005C41F4">
    <w:pPr>
      <w:pStyle w:val="Footer"/>
      <w:framePr w:wrap="around" w:vAnchor="text" w:hAnchor="margin" w:xAlign="center" w:y="1"/>
      <w:rPr>
        <w:rStyle w:val="PageNumber"/>
      </w:rPr>
    </w:pPr>
    <w:r>
      <w:rPr>
        <w:rStyle w:val="PageNumber"/>
      </w:rPr>
      <w:fldChar w:fldCharType="begin"/>
    </w:r>
    <w:r w:rsidR="005101E3">
      <w:rPr>
        <w:rStyle w:val="PageNumber"/>
      </w:rPr>
      <w:instrText xml:space="preserve">PAGE  </w:instrText>
    </w:r>
    <w:r>
      <w:rPr>
        <w:rStyle w:val="PageNumber"/>
      </w:rPr>
      <w:fldChar w:fldCharType="end"/>
    </w:r>
  </w:p>
  <w:p w:rsidR="005101E3" w:rsidRDefault="005101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E3" w:rsidRDefault="005669A7" w:rsidP="005C41F4">
    <w:pPr>
      <w:pStyle w:val="Footer"/>
      <w:framePr w:wrap="around" w:vAnchor="text" w:hAnchor="margin" w:xAlign="center" w:y="1"/>
      <w:rPr>
        <w:rStyle w:val="PageNumber"/>
      </w:rPr>
    </w:pPr>
    <w:r>
      <w:rPr>
        <w:rStyle w:val="PageNumber"/>
      </w:rPr>
      <w:fldChar w:fldCharType="begin"/>
    </w:r>
    <w:r w:rsidR="005101E3">
      <w:rPr>
        <w:rStyle w:val="PageNumber"/>
      </w:rPr>
      <w:instrText xml:space="preserve">PAGE  </w:instrText>
    </w:r>
    <w:r>
      <w:rPr>
        <w:rStyle w:val="PageNumber"/>
      </w:rPr>
      <w:fldChar w:fldCharType="separate"/>
    </w:r>
    <w:r w:rsidR="00CE6582">
      <w:rPr>
        <w:rStyle w:val="PageNumber"/>
        <w:noProof/>
      </w:rPr>
      <w:t>8</w:t>
    </w:r>
    <w:r>
      <w:rPr>
        <w:rStyle w:val="PageNumber"/>
      </w:rPr>
      <w:fldChar w:fldCharType="end"/>
    </w:r>
  </w:p>
  <w:p w:rsidR="005101E3" w:rsidRDefault="005101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1E3" w:rsidRDefault="005101E3">
      <w:r>
        <w:separator/>
      </w:r>
    </w:p>
  </w:footnote>
  <w:footnote w:type="continuationSeparator" w:id="0">
    <w:p w:rsidR="005101E3" w:rsidRDefault="005101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C33"/>
    <w:multiLevelType w:val="hybridMultilevel"/>
    <w:tmpl w:val="41666F82"/>
    <w:lvl w:ilvl="0" w:tplc="659ED9F0">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8">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8"/>
  </w:num>
  <w:num w:numId="3">
    <w:abstractNumId w:val="4"/>
  </w:num>
  <w:num w:numId="4">
    <w:abstractNumId w:val="14"/>
  </w:num>
  <w:num w:numId="5">
    <w:abstractNumId w:val="2"/>
  </w:num>
  <w:num w:numId="6">
    <w:abstractNumId w:val="9"/>
  </w:num>
  <w:num w:numId="7">
    <w:abstractNumId w:val="6"/>
  </w:num>
  <w:num w:numId="8">
    <w:abstractNumId w:val="11"/>
  </w:num>
  <w:num w:numId="9">
    <w:abstractNumId w:val="1"/>
  </w:num>
  <w:num w:numId="10">
    <w:abstractNumId w:val="13"/>
  </w:num>
  <w:num w:numId="11">
    <w:abstractNumId w:val="12"/>
  </w:num>
  <w:num w:numId="12">
    <w:abstractNumId w:val="5"/>
  </w:num>
  <w:num w:numId="13">
    <w:abstractNumId w:val="3"/>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3D39"/>
    <w:rsid w:val="00017DEC"/>
    <w:rsid w:val="00020610"/>
    <w:rsid w:val="0002071B"/>
    <w:rsid w:val="00025E1E"/>
    <w:rsid w:val="00030F34"/>
    <w:rsid w:val="000320D1"/>
    <w:rsid w:val="000375D9"/>
    <w:rsid w:val="00040A45"/>
    <w:rsid w:val="000412C5"/>
    <w:rsid w:val="00044629"/>
    <w:rsid w:val="00073D0F"/>
    <w:rsid w:val="00083DBA"/>
    <w:rsid w:val="0009032C"/>
    <w:rsid w:val="000A17F2"/>
    <w:rsid w:val="000A6018"/>
    <w:rsid w:val="000B0C3D"/>
    <w:rsid w:val="000B2EB7"/>
    <w:rsid w:val="000C473C"/>
    <w:rsid w:val="000D754C"/>
    <w:rsid w:val="000E0572"/>
    <w:rsid w:val="000F0E33"/>
    <w:rsid w:val="000F1EBE"/>
    <w:rsid w:val="000F4423"/>
    <w:rsid w:val="000F55B2"/>
    <w:rsid w:val="00101568"/>
    <w:rsid w:val="00103274"/>
    <w:rsid w:val="00106F37"/>
    <w:rsid w:val="001073B1"/>
    <w:rsid w:val="00113C60"/>
    <w:rsid w:val="00114022"/>
    <w:rsid w:val="00116BB8"/>
    <w:rsid w:val="00117A86"/>
    <w:rsid w:val="0012366D"/>
    <w:rsid w:val="00132710"/>
    <w:rsid w:val="00134D64"/>
    <w:rsid w:val="00144502"/>
    <w:rsid w:val="0015054F"/>
    <w:rsid w:val="00152605"/>
    <w:rsid w:val="00155AE9"/>
    <w:rsid w:val="00156752"/>
    <w:rsid w:val="00164DB6"/>
    <w:rsid w:val="00165659"/>
    <w:rsid w:val="0016607C"/>
    <w:rsid w:val="00172476"/>
    <w:rsid w:val="00176C6C"/>
    <w:rsid w:val="00180092"/>
    <w:rsid w:val="0018177D"/>
    <w:rsid w:val="001820ED"/>
    <w:rsid w:val="0018260D"/>
    <w:rsid w:val="00183D39"/>
    <w:rsid w:val="00187748"/>
    <w:rsid w:val="0019730C"/>
    <w:rsid w:val="001A2DBE"/>
    <w:rsid w:val="001A69A7"/>
    <w:rsid w:val="001A793A"/>
    <w:rsid w:val="001B3FB1"/>
    <w:rsid w:val="001C2815"/>
    <w:rsid w:val="001C7D6D"/>
    <w:rsid w:val="001E3F00"/>
    <w:rsid w:val="001E5DA3"/>
    <w:rsid w:val="00203276"/>
    <w:rsid w:val="00203AA5"/>
    <w:rsid w:val="0022270D"/>
    <w:rsid w:val="00232C69"/>
    <w:rsid w:val="00233D68"/>
    <w:rsid w:val="00245FB5"/>
    <w:rsid w:val="00251C9E"/>
    <w:rsid w:val="00253BC5"/>
    <w:rsid w:val="00255649"/>
    <w:rsid w:val="00256D43"/>
    <w:rsid w:val="00257EA0"/>
    <w:rsid w:val="002637E5"/>
    <w:rsid w:val="0026549A"/>
    <w:rsid w:val="0027662B"/>
    <w:rsid w:val="00284795"/>
    <w:rsid w:val="00290000"/>
    <w:rsid w:val="00295EC6"/>
    <w:rsid w:val="002A4B95"/>
    <w:rsid w:val="002B186C"/>
    <w:rsid w:val="002B43BA"/>
    <w:rsid w:val="002B5778"/>
    <w:rsid w:val="002D02B7"/>
    <w:rsid w:val="002E48AC"/>
    <w:rsid w:val="002E5D97"/>
    <w:rsid w:val="0030374B"/>
    <w:rsid w:val="00303E9D"/>
    <w:rsid w:val="00305418"/>
    <w:rsid w:val="00305630"/>
    <w:rsid w:val="003076D8"/>
    <w:rsid w:val="00317B32"/>
    <w:rsid w:val="00326497"/>
    <w:rsid w:val="00327145"/>
    <w:rsid w:val="003323A7"/>
    <w:rsid w:val="00337435"/>
    <w:rsid w:val="0034006B"/>
    <w:rsid w:val="003460CD"/>
    <w:rsid w:val="00347D7F"/>
    <w:rsid w:val="003563A3"/>
    <w:rsid w:val="0035661D"/>
    <w:rsid w:val="00357FE9"/>
    <w:rsid w:val="00360543"/>
    <w:rsid w:val="00361118"/>
    <w:rsid w:val="00361EE7"/>
    <w:rsid w:val="003662F6"/>
    <w:rsid w:val="00366B0C"/>
    <w:rsid w:val="00366C93"/>
    <w:rsid w:val="00372ED0"/>
    <w:rsid w:val="00373BBE"/>
    <w:rsid w:val="003827FA"/>
    <w:rsid w:val="003850B4"/>
    <w:rsid w:val="00386F5C"/>
    <w:rsid w:val="003A091C"/>
    <w:rsid w:val="003A6739"/>
    <w:rsid w:val="003C02A7"/>
    <w:rsid w:val="003C1A1F"/>
    <w:rsid w:val="003C6924"/>
    <w:rsid w:val="003D0757"/>
    <w:rsid w:val="003D3E8D"/>
    <w:rsid w:val="003D5EF6"/>
    <w:rsid w:val="003E7F40"/>
    <w:rsid w:val="004129CD"/>
    <w:rsid w:val="00413856"/>
    <w:rsid w:val="00416638"/>
    <w:rsid w:val="004166CE"/>
    <w:rsid w:val="0045019D"/>
    <w:rsid w:val="0046431C"/>
    <w:rsid w:val="00465E3A"/>
    <w:rsid w:val="0046759A"/>
    <w:rsid w:val="00483143"/>
    <w:rsid w:val="004842F4"/>
    <w:rsid w:val="00493840"/>
    <w:rsid w:val="00493C00"/>
    <w:rsid w:val="004A7D5A"/>
    <w:rsid w:val="004C4948"/>
    <w:rsid w:val="004D07C9"/>
    <w:rsid w:val="004D5EF1"/>
    <w:rsid w:val="004E1D16"/>
    <w:rsid w:val="004E6038"/>
    <w:rsid w:val="004E6947"/>
    <w:rsid w:val="004F2D03"/>
    <w:rsid w:val="005025EC"/>
    <w:rsid w:val="005054B2"/>
    <w:rsid w:val="005101E3"/>
    <w:rsid w:val="00513A7D"/>
    <w:rsid w:val="0051593B"/>
    <w:rsid w:val="0052599D"/>
    <w:rsid w:val="005271D8"/>
    <w:rsid w:val="00550874"/>
    <w:rsid w:val="005649E9"/>
    <w:rsid w:val="005669A7"/>
    <w:rsid w:val="00584B76"/>
    <w:rsid w:val="005926EA"/>
    <w:rsid w:val="00592840"/>
    <w:rsid w:val="005A3789"/>
    <w:rsid w:val="005C0255"/>
    <w:rsid w:val="005C41F4"/>
    <w:rsid w:val="005D684C"/>
    <w:rsid w:val="005E21C2"/>
    <w:rsid w:val="005E2FA1"/>
    <w:rsid w:val="005F0197"/>
    <w:rsid w:val="005F79C4"/>
    <w:rsid w:val="00600089"/>
    <w:rsid w:val="00623B04"/>
    <w:rsid w:val="00633DA0"/>
    <w:rsid w:val="006540F6"/>
    <w:rsid w:val="00656BB2"/>
    <w:rsid w:val="00661114"/>
    <w:rsid w:val="00673158"/>
    <w:rsid w:val="00677CAD"/>
    <w:rsid w:val="00697456"/>
    <w:rsid w:val="00697557"/>
    <w:rsid w:val="006A12F8"/>
    <w:rsid w:val="006A375E"/>
    <w:rsid w:val="006A4787"/>
    <w:rsid w:val="006A6154"/>
    <w:rsid w:val="006B296C"/>
    <w:rsid w:val="006B795D"/>
    <w:rsid w:val="006B7DE7"/>
    <w:rsid w:val="006C04FF"/>
    <w:rsid w:val="006C5E4A"/>
    <w:rsid w:val="006C6989"/>
    <w:rsid w:val="006D4BFF"/>
    <w:rsid w:val="006E24AC"/>
    <w:rsid w:val="006E4F0E"/>
    <w:rsid w:val="006F410C"/>
    <w:rsid w:val="006F49E8"/>
    <w:rsid w:val="00703100"/>
    <w:rsid w:val="00707B15"/>
    <w:rsid w:val="007148B0"/>
    <w:rsid w:val="007263B4"/>
    <w:rsid w:val="007404A1"/>
    <w:rsid w:val="00740F51"/>
    <w:rsid w:val="007450F6"/>
    <w:rsid w:val="00751F45"/>
    <w:rsid w:val="00756A89"/>
    <w:rsid w:val="00761BFF"/>
    <w:rsid w:val="00763992"/>
    <w:rsid w:val="007672DB"/>
    <w:rsid w:val="00772A0C"/>
    <w:rsid w:val="00776A14"/>
    <w:rsid w:val="00776D19"/>
    <w:rsid w:val="007773C6"/>
    <w:rsid w:val="00792228"/>
    <w:rsid w:val="007B4C1D"/>
    <w:rsid w:val="007C2C26"/>
    <w:rsid w:val="008032EF"/>
    <w:rsid w:val="00805896"/>
    <w:rsid w:val="008119FD"/>
    <w:rsid w:val="008148C3"/>
    <w:rsid w:val="00822811"/>
    <w:rsid w:val="00826191"/>
    <w:rsid w:val="0083693F"/>
    <w:rsid w:val="00842E74"/>
    <w:rsid w:val="00853D17"/>
    <w:rsid w:val="00877531"/>
    <w:rsid w:val="00880B0E"/>
    <w:rsid w:val="00882FF9"/>
    <w:rsid w:val="00883BF5"/>
    <w:rsid w:val="00884F02"/>
    <w:rsid w:val="008851C2"/>
    <w:rsid w:val="00890881"/>
    <w:rsid w:val="00891399"/>
    <w:rsid w:val="008B0DB2"/>
    <w:rsid w:val="008B10FE"/>
    <w:rsid w:val="008D08F6"/>
    <w:rsid w:val="008D27C0"/>
    <w:rsid w:val="008F5344"/>
    <w:rsid w:val="008F5C84"/>
    <w:rsid w:val="0090080C"/>
    <w:rsid w:val="009037B0"/>
    <w:rsid w:val="0090478D"/>
    <w:rsid w:val="009139B5"/>
    <w:rsid w:val="00913E19"/>
    <w:rsid w:val="009167E5"/>
    <w:rsid w:val="00920A21"/>
    <w:rsid w:val="00930CD1"/>
    <w:rsid w:val="00934767"/>
    <w:rsid w:val="0093589A"/>
    <w:rsid w:val="00936956"/>
    <w:rsid w:val="00940EAA"/>
    <w:rsid w:val="0094233D"/>
    <w:rsid w:val="0095081D"/>
    <w:rsid w:val="009568AC"/>
    <w:rsid w:val="009577EB"/>
    <w:rsid w:val="00960AE8"/>
    <w:rsid w:val="009736B8"/>
    <w:rsid w:val="00973F3A"/>
    <w:rsid w:val="00974EA8"/>
    <w:rsid w:val="00990B77"/>
    <w:rsid w:val="009925CC"/>
    <w:rsid w:val="00996C42"/>
    <w:rsid w:val="009976C9"/>
    <w:rsid w:val="009A1A6D"/>
    <w:rsid w:val="009B26A8"/>
    <w:rsid w:val="009B2B2F"/>
    <w:rsid w:val="009B4E88"/>
    <w:rsid w:val="009B69D3"/>
    <w:rsid w:val="009D3030"/>
    <w:rsid w:val="009D59D6"/>
    <w:rsid w:val="009E477C"/>
    <w:rsid w:val="009F37C2"/>
    <w:rsid w:val="009F46CE"/>
    <w:rsid w:val="00A04797"/>
    <w:rsid w:val="00A21D22"/>
    <w:rsid w:val="00A236D1"/>
    <w:rsid w:val="00A31397"/>
    <w:rsid w:val="00A319AE"/>
    <w:rsid w:val="00A37286"/>
    <w:rsid w:val="00A41026"/>
    <w:rsid w:val="00A41375"/>
    <w:rsid w:val="00A420B8"/>
    <w:rsid w:val="00A643EA"/>
    <w:rsid w:val="00A80EEB"/>
    <w:rsid w:val="00A81984"/>
    <w:rsid w:val="00A821CD"/>
    <w:rsid w:val="00AA148D"/>
    <w:rsid w:val="00AA5603"/>
    <w:rsid w:val="00AC0405"/>
    <w:rsid w:val="00AC2CC0"/>
    <w:rsid w:val="00AC69DE"/>
    <w:rsid w:val="00AD6B24"/>
    <w:rsid w:val="00AD71DC"/>
    <w:rsid w:val="00AE00E8"/>
    <w:rsid w:val="00AE7AEF"/>
    <w:rsid w:val="00AF1BC7"/>
    <w:rsid w:val="00AF70A0"/>
    <w:rsid w:val="00B05348"/>
    <w:rsid w:val="00B375BB"/>
    <w:rsid w:val="00B37E84"/>
    <w:rsid w:val="00B40AA9"/>
    <w:rsid w:val="00B46321"/>
    <w:rsid w:val="00B56058"/>
    <w:rsid w:val="00B666DB"/>
    <w:rsid w:val="00B70AC2"/>
    <w:rsid w:val="00B73A6F"/>
    <w:rsid w:val="00B75858"/>
    <w:rsid w:val="00B77E9C"/>
    <w:rsid w:val="00B870AD"/>
    <w:rsid w:val="00B956BE"/>
    <w:rsid w:val="00BA0E34"/>
    <w:rsid w:val="00BB1AAF"/>
    <w:rsid w:val="00BB2CA1"/>
    <w:rsid w:val="00BC1778"/>
    <w:rsid w:val="00BC555D"/>
    <w:rsid w:val="00BC69B9"/>
    <w:rsid w:val="00BD7D79"/>
    <w:rsid w:val="00BE1160"/>
    <w:rsid w:val="00BF19EE"/>
    <w:rsid w:val="00BF4DF2"/>
    <w:rsid w:val="00C04CC8"/>
    <w:rsid w:val="00C313FA"/>
    <w:rsid w:val="00C3147A"/>
    <w:rsid w:val="00C32E45"/>
    <w:rsid w:val="00C469AA"/>
    <w:rsid w:val="00C5229C"/>
    <w:rsid w:val="00C633DB"/>
    <w:rsid w:val="00C67345"/>
    <w:rsid w:val="00C761FE"/>
    <w:rsid w:val="00C91393"/>
    <w:rsid w:val="00C94212"/>
    <w:rsid w:val="00C95DDA"/>
    <w:rsid w:val="00CB06DC"/>
    <w:rsid w:val="00CB1650"/>
    <w:rsid w:val="00CB2735"/>
    <w:rsid w:val="00CB49A4"/>
    <w:rsid w:val="00CC5D0F"/>
    <w:rsid w:val="00CD0CD6"/>
    <w:rsid w:val="00CE6582"/>
    <w:rsid w:val="00CF7551"/>
    <w:rsid w:val="00D003AA"/>
    <w:rsid w:val="00D158A9"/>
    <w:rsid w:val="00D5562B"/>
    <w:rsid w:val="00D61F7A"/>
    <w:rsid w:val="00D651AF"/>
    <w:rsid w:val="00D854DC"/>
    <w:rsid w:val="00D85A37"/>
    <w:rsid w:val="00D951D4"/>
    <w:rsid w:val="00DA72BA"/>
    <w:rsid w:val="00DB084D"/>
    <w:rsid w:val="00DB5B61"/>
    <w:rsid w:val="00DD0BCE"/>
    <w:rsid w:val="00DE0C43"/>
    <w:rsid w:val="00DE1906"/>
    <w:rsid w:val="00DE19E9"/>
    <w:rsid w:val="00E014CA"/>
    <w:rsid w:val="00E0354C"/>
    <w:rsid w:val="00E13E97"/>
    <w:rsid w:val="00E202DC"/>
    <w:rsid w:val="00E21F1B"/>
    <w:rsid w:val="00E30CA2"/>
    <w:rsid w:val="00E35FFB"/>
    <w:rsid w:val="00E61C7D"/>
    <w:rsid w:val="00E66E69"/>
    <w:rsid w:val="00E66F50"/>
    <w:rsid w:val="00E75150"/>
    <w:rsid w:val="00E753E8"/>
    <w:rsid w:val="00E766E9"/>
    <w:rsid w:val="00E85166"/>
    <w:rsid w:val="00E863D5"/>
    <w:rsid w:val="00E9722E"/>
    <w:rsid w:val="00E978AD"/>
    <w:rsid w:val="00EA1A7C"/>
    <w:rsid w:val="00EB737E"/>
    <w:rsid w:val="00ED24C1"/>
    <w:rsid w:val="00ED2B9E"/>
    <w:rsid w:val="00EF77B8"/>
    <w:rsid w:val="00F171BE"/>
    <w:rsid w:val="00F42D8D"/>
    <w:rsid w:val="00F445A3"/>
    <w:rsid w:val="00F461C9"/>
    <w:rsid w:val="00F642D5"/>
    <w:rsid w:val="00F92018"/>
    <w:rsid w:val="00F926C4"/>
    <w:rsid w:val="00FB2514"/>
    <w:rsid w:val="00FB459F"/>
    <w:rsid w:val="00FC32F3"/>
    <w:rsid w:val="00FC427A"/>
    <w:rsid w:val="00FC4456"/>
    <w:rsid w:val="00FC7791"/>
    <w:rsid w:val="00FD6C8B"/>
    <w:rsid w:val="00FE1C6F"/>
    <w:rsid w:val="00FE2630"/>
    <w:rsid w:val="00FF322E"/>
    <w:rsid w:val="00FF5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DEC"/>
    <w:rPr>
      <w:sz w:val="24"/>
      <w:szCs w:val="24"/>
    </w:rPr>
  </w:style>
  <w:style w:type="paragraph" w:styleId="Heading1">
    <w:name w:val="heading 1"/>
    <w:basedOn w:val="Normal"/>
    <w:next w:val="Normal"/>
    <w:qFormat/>
    <w:rsid w:val="00017DEC"/>
    <w:pPr>
      <w:keepNext/>
      <w:tabs>
        <w:tab w:val="left" w:pos="-720"/>
      </w:tabs>
      <w:suppressAutoHyphens/>
      <w:outlineLvl w:val="0"/>
    </w:pPr>
    <w:rPr>
      <w:b/>
      <w:sz w:val="28"/>
      <w:szCs w:val="20"/>
    </w:rPr>
  </w:style>
  <w:style w:type="paragraph" w:styleId="Heading2">
    <w:name w:val="heading 2"/>
    <w:basedOn w:val="Normal"/>
    <w:next w:val="Normal"/>
    <w:qFormat/>
    <w:rsid w:val="00017DEC"/>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7DEC"/>
    <w:pPr>
      <w:suppressAutoHyphens/>
      <w:jc w:val="center"/>
    </w:pPr>
    <w:rPr>
      <w:b/>
      <w:sz w:val="32"/>
      <w:szCs w:val="20"/>
    </w:rPr>
  </w:style>
  <w:style w:type="paragraph" w:styleId="BodyText3">
    <w:name w:val="Body Text 3"/>
    <w:basedOn w:val="Normal"/>
    <w:rsid w:val="00017DEC"/>
    <w:pPr>
      <w:shd w:val="pct25" w:color="auto" w:fill="auto"/>
      <w:tabs>
        <w:tab w:val="left" w:pos="-720"/>
        <w:tab w:val="left" w:pos="720"/>
      </w:tabs>
      <w:suppressAutoHyphens/>
    </w:pPr>
    <w:rPr>
      <w:sz w:val="26"/>
      <w:szCs w:val="20"/>
    </w:rPr>
  </w:style>
  <w:style w:type="character" w:styleId="Hyperlink">
    <w:name w:val="Hyperlink"/>
    <w:basedOn w:val="DefaultParagraphFont"/>
    <w:rsid w:val="00017DEC"/>
    <w:rPr>
      <w:color w:val="0000FF"/>
      <w:u w:val="single"/>
    </w:rPr>
  </w:style>
  <w:style w:type="paragraph" w:styleId="BodyText">
    <w:name w:val="Body Text"/>
    <w:basedOn w:val="Normal"/>
    <w:rsid w:val="00017DEC"/>
    <w:pPr>
      <w:shd w:val="pct25" w:color="auto" w:fill="FFFFFF"/>
      <w:tabs>
        <w:tab w:val="left" w:pos="-720"/>
      </w:tabs>
      <w:suppressAutoHyphens/>
    </w:pPr>
    <w:rPr>
      <w:sz w:val="26"/>
    </w:rPr>
  </w:style>
  <w:style w:type="paragraph" w:styleId="BodyTextIndent">
    <w:name w:val="Body Text Indent"/>
    <w:basedOn w:val="Normal"/>
    <w:rsid w:val="00017DEC"/>
    <w:pPr>
      <w:shd w:val="pct25" w:color="auto" w:fill="FFFFFF"/>
      <w:tabs>
        <w:tab w:val="left" w:pos="-720"/>
      </w:tabs>
      <w:suppressAutoHyphens/>
      <w:ind w:left="510"/>
    </w:pPr>
    <w:rPr>
      <w:sz w:val="26"/>
      <w:szCs w:val="20"/>
    </w:rPr>
  </w:style>
  <w:style w:type="paragraph" w:styleId="BodyText2">
    <w:name w:val="Body Text 2"/>
    <w:basedOn w:val="Normal"/>
    <w:rsid w:val="00017DEC"/>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17DEC"/>
    <w:pPr>
      <w:tabs>
        <w:tab w:val="center" w:pos="4320"/>
        <w:tab w:val="right" w:pos="8640"/>
      </w:tabs>
    </w:pPr>
  </w:style>
  <w:style w:type="character" w:styleId="PageNumber">
    <w:name w:val="page number"/>
    <w:basedOn w:val="DefaultParagraphFont"/>
    <w:rsid w:val="00017DEC"/>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CommentText">
    <w:name w:val="annotation text"/>
    <w:basedOn w:val="Normal"/>
    <w:link w:val="CommentTextChar"/>
    <w:unhideWhenUsed/>
    <w:rsid w:val="00114022"/>
    <w:rPr>
      <w:sz w:val="20"/>
      <w:szCs w:val="20"/>
    </w:rPr>
  </w:style>
  <w:style w:type="character" w:customStyle="1" w:styleId="CommentTextChar">
    <w:name w:val="Comment Text Char"/>
    <w:basedOn w:val="DefaultParagraphFont"/>
    <w:link w:val="CommentText"/>
    <w:rsid w:val="00114022"/>
  </w:style>
  <w:style w:type="paragraph" w:customStyle="1" w:styleId="CharCharCharCharCharCharCharCharCharCharCharChar1CharCharChar1Char">
    <w:name w:val="Char Char Char Char Char Char Char Char Char Char Char Char1 Char Char Char1 Char"/>
    <w:basedOn w:val="Normal"/>
    <w:autoRedefine/>
    <w:semiHidden/>
    <w:rsid w:val="00132710"/>
    <w:pPr>
      <w:widowControl w:val="0"/>
      <w:spacing w:before="80" w:after="80"/>
      <w:ind w:left="4320"/>
      <w:jc w:val="both"/>
    </w:pPr>
    <w:rPr>
      <w:rFonts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DEC"/>
    <w:rPr>
      <w:sz w:val="24"/>
      <w:szCs w:val="24"/>
    </w:rPr>
  </w:style>
  <w:style w:type="paragraph" w:styleId="Heading1">
    <w:name w:val="heading 1"/>
    <w:basedOn w:val="Normal"/>
    <w:next w:val="Normal"/>
    <w:qFormat/>
    <w:rsid w:val="00017DEC"/>
    <w:pPr>
      <w:keepNext/>
      <w:tabs>
        <w:tab w:val="left" w:pos="-720"/>
      </w:tabs>
      <w:suppressAutoHyphens/>
      <w:outlineLvl w:val="0"/>
    </w:pPr>
    <w:rPr>
      <w:b/>
      <w:sz w:val="28"/>
      <w:szCs w:val="20"/>
    </w:rPr>
  </w:style>
  <w:style w:type="paragraph" w:styleId="Heading2">
    <w:name w:val="heading 2"/>
    <w:basedOn w:val="Normal"/>
    <w:next w:val="Normal"/>
    <w:qFormat/>
    <w:rsid w:val="00017DEC"/>
    <w:pPr>
      <w:keepNext/>
      <w:jc w:val="center"/>
      <w:outlineLvl w:val="1"/>
    </w:pPr>
    <w:rPr>
      <w:b/>
      <w:bCs/>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7DEC"/>
    <w:pPr>
      <w:suppressAutoHyphens/>
      <w:jc w:val="center"/>
    </w:pPr>
    <w:rPr>
      <w:b/>
      <w:sz w:val="32"/>
      <w:szCs w:val="20"/>
    </w:rPr>
  </w:style>
  <w:style w:type="paragraph" w:styleId="BodyText3">
    <w:name w:val="Body Text 3"/>
    <w:basedOn w:val="Normal"/>
    <w:rsid w:val="00017DEC"/>
    <w:pPr>
      <w:shd w:val="pct25" w:color="auto" w:fill="auto"/>
      <w:tabs>
        <w:tab w:val="left" w:pos="-720"/>
        <w:tab w:val="left" w:pos="720"/>
      </w:tabs>
      <w:suppressAutoHyphens/>
    </w:pPr>
    <w:rPr>
      <w:sz w:val="26"/>
      <w:szCs w:val="20"/>
    </w:rPr>
  </w:style>
  <w:style w:type="character" w:styleId="Hyperlink">
    <w:name w:val="Hyperlink"/>
    <w:basedOn w:val="DefaultParagraphFont"/>
    <w:rsid w:val="00017DEC"/>
    <w:rPr>
      <w:color w:val="0000FF"/>
      <w:u w:val="single"/>
    </w:rPr>
  </w:style>
  <w:style w:type="paragraph" w:styleId="BodyText">
    <w:name w:val="Body Text"/>
    <w:basedOn w:val="Normal"/>
    <w:rsid w:val="00017DEC"/>
    <w:pPr>
      <w:shd w:val="pct25" w:color="auto" w:fill="FFFFFF"/>
      <w:tabs>
        <w:tab w:val="left" w:pos="-720"/>
      </w:tabs>
      <w:suppressAutoHyphens/>
    </w:pPr>
    <w:rPr>
      <w:sz w:val="26"/>
    </w:rPr>
  </w:style>
  <w:style w:type="paragraph" w:styleId="BodyTextIndent">
    <w:name w:val="Body Text Indent"/>
    <w:basedOn w:val="Normal"/>
    <w:rsid w:val="00017DEC"/>
    <w:pPr>
      <w:shd w:val="pct25" w:color="auto" w:fill="FFFFFF"/>
      <w:tabs>
        <w:tab w:val="left" w:pos="-720"/>
      </w:tabs>
      <w:suppressAutoHyphens/>
      <w:ind w:left="510"/>
    </w:pPr>
    <w:rPr>
      <w:sz w:val="26"/>
      <w:szCs w:val="20"/>
    </w:rPr>
  </w:style>
  <w:style w:type="paragraph" w:styleId="BodyText2">
    <w:name w:val="Body Text 2"/>
    <w:basedOn w:val="Normal"/>
    <w:rsid w:val="00017DEC"/>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17DEC"/>
    <w:pPr>
      <w:tabs>
        <w:tab w:val="center" w:pos="4320"/>
        <w:tab w:val="right" w:pos="8640"/>
      </w:tabs>
    </w:pPr>
  </w:style>
  <w:style w:type="character" w:styleId="PageNumber">
    <w:name w:val="page number"/>
    <w:basedOn w:val="DefaultParagraphFont"/>
    <w:rsid w:val="00017DEC"/>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CommentText">
    <w:name w:val="annotation text"/>
    <w:basedOn w:val="Normal"/>
    <w:link w:val="CommentTextChar"/>
    <w:unhideWhenUsed/>
    <w:rsid w:val="00114022"/>
    <w:rPr>
      <w:sz w:val="20"/>
      <w:szCs w:val="20"/>
    </w:rPr>
  </w:style>
  <w:style w:type="character" w:customStyle="1" w:styleId="CommentTextChar">
    <w:name w:val="Comment Text Char"/>
    <w:basedOn w:val="DefaultParagraphFont"/>
    <w:link w:val="CommentText"/>
    <w:rsid w:val="00114022"/>
  </w:style>
</w:styles>
</file>

<file path=word/webSettings.xml><?xml version="1.0" encoding="utf-8"?>
<w:webSettings xmlns:r="http://schemas.openxmlformats.org/officeDocument/2006/relationships" xmlns:w="http://schemas.openxmlformats.org/wordprocessingml/2006/main">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470514194">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595865131">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01366676">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11711069">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489402522">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3803</Words>
  <Characters>22213</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25965</CharactersWithSpaces>
  <SharedDoc>false</SharedDoc>
  <HLinks>
    <vt:vector size="6" baseType="variant">
      <vt:variant>
        <vt:i4>2818173</vt:i4>
      </vt:variant>
      <vt:variant>
        <vt:i4>68</vt:i4>
      </vt:variant>
      <vt:variant>
        <vt:i4>0</vt:i4>
      </vt:variant>
      <vt:variant>
        <vt:i4>5</vt:i4>
      </vt:variant>
      <vt:variant>
        <vt:lpwstr>http://www.bls.gov/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sgreene3</cp:lastModifiedBy>
  <cp:revision>3</cp:revision>
  <cp:lastPrinted>2008-07-11T16:08:00Z</cp:lastPrinted>
  <dcterms:created xsi:type="dcterms:W3CDTF">2011-06-08T16:50:00Z</dcterms:created>
  <dcterms:modified xsi:type="dcterms:W3CDTF">2011-06-08T16:55:00Z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