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95" w:rsidRPr="00325DDF" w:rsidRDefault="008F4B95">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Supporting Statement for Paperwork Reduction Act Submissions:</w:t>
      </w:r>
    </w:p>
    <w:p w:rsidR="00A241E3" w:rsidRPr="00325DDF" w:rsidRDefault="00DF672A">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 xml:space="preserve">Part C </w:t>
      </w:r>
      <w:r w:rsidR="00A241E3" w:rsidRPr="00325DDF">
        <w:rPr>
          <w:sz w:val="24"/>
        </w:rPr>
        <w:t xml:space="preserve">Medicare </w:t>
      </w:r>
      <w:r w:rsidR="000D1DEF" w:rsidRPr="00325DDF">
        <w:rPr>
          <w:sz w:val="24"/>
        </w:rPr>
        <w:t>Advantage</w:t>
      </w:r>
      <w:r w:rsidR="00A241E3" w:rsidRPr="00325DDF">
        <w:rPr>
          <w:sz w:val="24"/>
        </w:rPr>
        <w:t xml:space="preserve"> Reporting Requirements and </w:t>
      </w:r>
    </w:p>
    <w:p w:rsidR="00A241E3" w:rsidRPr="00325DDF" w:rsidRDefault="00A241E3" w:rsidP="00175A6D">
      <w:pPr>
        <w:tabs>
          <w:tab w:val="center" w:pos="4752"/>
          <w:tab w:val="left" w:pos="5040"/>
          <w:tab w:val="left" w:pos="5760"/>
          <w:tab w:val="left" w:pos="6480"/>
          <w:tab w:val="left" w:pos="7200"/>
          <w:tab w:val="left" w:pos="7920"/>
          <w:tab w:val="left" w:pos="8640"/>
          <w:tab w:val="left" w:pos="9360"/>
        </w:tabs>
        <w:jc w:val="center"/>
        <w:outlineLvl w:val="0"/>
        <w:rPr>
          <w:sz w:val="24"/>
        </w:rPr>
      </w:pPr>
      <w:r w:rsidRPr="00325DDF">
        <w:rPr>
          <w:sz w:val="24"/>
        </w:rPr>
        <w:t xml:space="preserve">Supporting Regulations in </w:t>
      </w:r>
      <w:r w:rsidR="00AE4926" w:rsidRPr="00325DDF">
        <w:rPr>
          <w:sz w:val="24"/>
        </w:rPr>
        <w:t>42 CFR</w:t>
      </w:r>
      <w:r w:rsidRPr="00325DDF">
        <w:rPr>
          <w:sz w:val="24"/>
        </w:rPr>
        <w:t xml:space="preserve"> §42</w:t>
      </w:r>
      <w:r w:rsidR="00AE4926" w:rsidRPr="00325DDF">
        <w:rPr>
          <w:sz w:val="24"/>
        </w:rPr>
        <w:t>2</w:t>
      </w:r>
      <w:r w:rsidRPr="00325DDF">
        <w:rPr>
          <w:sz w:val="24"/>
        </w:rPr>
        <w:t>.51</w:t>
      </w:r>
      <w:r w:rsidR="00AE4926" w:rsidRPr="00325DDF">
        <w:rPr>
          <w:sz w:val="24"/>
        </w:rPr>
        <w:t>6 (a)</w:t>
      </w:r>
    </w:p>
    <w:p w:rsidR="00A241E3" w:rsidRPr="00325DDF" w:rsidRDefault="00A2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w:t>
      </w:r>
      <w:r w:rsidRPr="00325DDF">
        <w:rPr>
          <w:sz w:val="24"/>
        </w:rPr>
        <w:tab/>
        <w:t>Background</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2600E" w:rsidRPr="00325DDF" w:rsidRDefault="0092600E" w:rsidP="007A6FF3">
      <w:pPr>
        <w:rPr>
          <w:sz w:val="24"/>
        </w:rPr>
      </w:pPr>
      <w:r w:rsidRPr="00325DDF">
        <w:rPr>
          <w:sz w:val="24"/>
        </w:rPr>
        <w:t>The Centers for Medicare and Medicaid Services (</w:t>
      </w:r>
      <w:r w:rsidR="00A241E3" w:rsidRPr="00325DDF">
        <w:rPr>
          <w:sz w:val="24"/>
        </w:rPr>
        <w:t>CMS</w:t>
      </w:r>
      <w:r w:rsidRPr="00325DDF">
        <w:rPr>
          <w:sz w:val="24"/>
        </w:rPr>
        <w:t>)</w:t>
      </w:r>
      <w:r w:rsidR="00B02A8B" w:rsidRPr="00325DDF">
        <w:rPr>
          <w:sz w:val="24"/>
        </w:rPr>
        <w:t xml:space="preserve"> has</w:t>
      </w:r>
      <w:r w:rsidR="00A241E3" w:rsidRPr="00325DDF">
        <w:rPr>
          <w:sz w:val="24"/>
        </w:rPr>
        <w:t xml:space="preserve"> establish</w:t>
      </w:r>
      <w:r w:rsidR="00A16DEE" w:rsidRPr="00325DDF">
        <w:rPr>
          <w:sz w:val="24"/>
        </w:rPr>
        <w:t>ed</w:t>
      </w:r>
      <w:r w:rsidR="00A241E3" w:rsidRPr="00325DDF">
        <w:rPr>
          <w:sz w:val="24"/>
        </w:rPr>
        <w:t xml:space="preserve"> reporting requirements for </w:t>
      </w:r>
      <w:r w:rsidRPr="00325DDF">
        <w:rPr>
          <w:sz w:val="24"/>
        </w:rPr>
        <w:t>Medicare Advantage Organizations (</w:t>
      </w:r>
      <w:r w:rsidR="00A91EE8" w:rsidRPr="00325DDF">
        <w:rPr>
          <w:sz w:val="24"/>
        </w:rPr>
        <w:t>MAOs</w:t>
      </w:r>
      <w:r w:rsidRPr="00325DDF">
        <w:rPr>
          <w:sz w:val="24"/>
        </w:rPr>
        <w:t>)</w:t>
      </w:r>
      <w:r w:rsidR="00AE4926" w:rsidRPr="00325DDF">
        <w:rPr>
          <w:sz w:val="24"/>
        </w:rPr>
        <w:t xml:space="preserve"> </w:t>
      </w:r>
      <w:r w:rsidR="00A16DEE" w:rsidRPr="00325DDF">
        <w:rPr>
          <w:sz w:val="24"/>
        </w:rPr>
        <w:t>under the authority</w:t>
      </w:r>
      <w:r w:rsidR="00AE4926" w:rsidRPr="00325DDF">
        <w:rPr>
          <w:sz w:val="24"/>
        </w:rPr>
        <w:t xml:space="preserve"> described in 42CFR §422.516</w:t>
      </w:r>
      <w:r w:rsidR="002E70AC" w:rsidRPr="00325DDF">
        <w:rPr>
          <w:sz w:val="24"/>
        </w:rPr>
        <w:t xml:space="preserve"> (a)</w:t>
      </w:r>
      <w:r w:rsidR="00A241E3" w:rsidRPr="00325DDF">
        <w:rPr>
          <w:sz w:val="24"/>
        </w:rPr>
        <w:t xml:space="preserve">.  It is noted that each </w:t>
      </w:r>
      <w:r w:rsidR="000D1DEF" w:rsidRPr="00325DDF">
        <w:rPr>
          <w:sz w:val="24"/>
        </w:rPr>
        <w:t>MA</w:t>
      </w:r>
      <w:r w:rsidR="0030554F" w:rsidRPr="00325DDF">
        <w:rPr>
          <w:sz w:val="24"/>
        </w:rPr>
        <w:t>O</w:t>
      </w:r>
      <w:r w:rsidR="00A241E3" w:rsidRPr="00325DDF">
        <w:rPr>
          <w:sz w:val="24"/>
        </w:rPr>
        <w:t xml:space="preserve"> must have an effective procedure to develop, compile, evaluate, and report to CMS, to its enrollees, and to the general public, at the times and in the manner that CMS requires, </w:t>
      </w:r>
      <w:r w:rsidR="000D1DEF" w:rsidRPr="00325DDF">
        <w:rPr>
          <w:sz w:val="24"/>
        </w:rPr>
        <w:t xml:space="preserve">and while safeguarding the confidentiality of the doctor-patient relationship, </w:t>
      </w:r>
      <w:r w:rsidR="00A241E3" w:rsidRPr="00325DDF">
        <w:rPr>
          <w:sz w:val="24"/>
        </w:rPr>
        <w:t xml:space="preserve">statistics </w:t>
      </w:r>
      <w:r w:rsidR="000D1DEF" w:rsidRPr="00325DDF">
        <w:rPr>
          <w:sz w:val="24"/>
        </w:rPr>
        <w:t xml:space="preserve">and other information with respect to </w:t>
      </w:r>
      <w:r w:rsidR="00AD04A7" w:rsidRPr="00325DDF">
        <w:rPr>
          <w:sz w:val="24"/>
        </w:rPr>
        <w:t>t</w:t>
      </w:r>
      <w:r w:rsidR="00A241E3" w:rsidRPr="00325DDF">
        <w:rPr>
          <w:sz w:val="24"/>
        </w:rPr>
        <w:t>he cost of its operations</w:t>
      </w:r>
      <w:r w:rsidR="00AD04A7" w:rsidRPr="00325DDF">
        <w:rPr>
          <w:sz w:val="24"/>
        </w:rPr>
        <w:t>, patterns of service utilization, availability,</w:t>
      </w:r>
      <w:r w:rsidR="00A241E3" w:rsidRPr="00325DDF">
        <w:rPr>
          <w:sz w:val="24"/>
        </w:rPr>
        <w:t xml:space="preserve"> accessibility, and acceptability of its services</w:t>
      </w:r>
      <w:r w:rsidR="00AD04A7" w:rsidRPr="00325DDF">
        <w:rPr>
          <w:sz w:val="24"/>
        </w:rPr>
        <w:t xml:space="preserve">, </w:t>
      </w:r>
      <w:r w:rsidR="000D1DEF" w:rsidRPr="00325DDF">
        <w:rPr>
          <w:sz w:val="24"/>
        </w:rPr>
        <w:t>developments in the health status of its enrollees</w:t>
      </w:r>
      <w:r w:rsidR="00AD04A7" w:rsidRPr="00325DDF">
        <w:rPr>
          <w:sz w:val="24"/>
        </w:rPr>
        <w:t>, and other matters that CMS may require</w:t>
      </w:r>
      <w:r w:rsidR="000D1DEF" w:rsidRPr="00325DDF">
        <w:rPr>
          <w:sz w:val="24"/>
        </w:rPr>
        <w:t xml:space="preserve">. </w:t>
      </w:r>
      <w:r w:rsidR="007A6FF3" w:rsidRPr="00325DDF">
        <w:rPr>
          <w:sz w:val="24"/>
        </w:rPr>
        <w:t xml:space="preserve"> </w:t>
      </w:r>
    </w:p>
    <w:p w:rsidR="001C1CF3" w:rsidRPr="00325DDF" w:rsidRDefault="0092600E" w:rsidP="001C1CF3">
      <w:pPr>
        <w:spacing w:before="100" w:beforeAutospacing="1" w:after="100" w:afterAutospacing="1"/>
        <w:rPr>
          <w:sz w:val="24"/>
        </w:rPr>
      </w:pPr>
      <w:r w:rsidRPr="00325DDF">
        <w:rPr>
          <w:sz w:val="24"/>
        </w:rPr>
        <w:t>CMS also has oversight authority over cost plans which includes establishment of reporting requirements.</w:t>
      </w:r>
      <w:r w:rsidRPr="00325DDF">
        <w:rPr>
          <w:color w:val="000000"/>
          <w:sz w:val="24"/>
        </w:rPr>
        <w:t xml:space="preserve">  The data requirements in this supporting statement are specifically relevant to the cost plan requirements in section 1876(c)(1)(C) of the social security act which establishes beneficiary enrollment and appeal rights</w:t>
      </w:r>
      <w:r w:rsidR="00A16DEE" w:rsidRPr="00325DDF">
        <w:rPr>
          <w:color w:val="000000"/>
          <w:sz w:val="24"/>
        </w:rPr>
        <w:t>.</w:t>
      </w:r>
      <w:bookmarkStart w:id="0" w:name="act-1876-c-3-c"/>
      <w:r w:rsidR="00F505DD" w:rsidRPr="00325DDF">
        <w:rPr>
          <w:color w:val="000000"/>
          <w:sz w:val="24"/>
        </w:rPr>
        <w:t xml:space="preserve"> </w:t>
      </w:r>
      <w:r w:rsidRPr="00325DDF">
        <w:rPr>
          <w:sz w:val="24"/>
        </w:rPr>
        <w:t xml:space="preserve"> </w:t>
      </w:r>
    </w:p>
    <w:bookmarkEnd w:id="0"/>
    <w:p w:rsidR="00EF0DAE" w:rsidRPr="00325DDF" w:rsidRDefault="0092600E" w:rsidP="005811F6">
      <w:pPr>
        <w:rPr>
          <w:sz w:val="24"/>
        </w:rPr>
      </w:pPr>
      <w:r w:rsidRPr="00325DDF">
        <w:rPr>
          <w:sz w:val="24"/>
        </w:rPr>
        <w:t>CMS initiated new Part C reporting requirements with the Office of Management and Budget (OMB) approval of the “Information Collection Request” (ICR) under the Paperwork Reduction Act of 1995 (PRA) in December, 2008</w:t>
      </w:r>
      <w:r w:rsidR="00437BD3" w:rsidRPr="00325DDF">
        <w:rPr>
          <w:sz w:val="24"/>
        </w:rPr>
        <w:t xml:space="preserve"> (OMB # 0938-New; CMS-10261).</w:t>
      </w:r>
      <w:r w:rsidRPr="00325DDF">
        <w:rPr>
          <w:sz w:val="24"/>
        </w:rPr>
        <w:t xml:space="preserve">   </w:t>
      </w:r>
      <w:r w:rsidR="00517F31" w:rsidRPr="00325DDF">
        <w:rPr>
          <w:sz w:val="24"/>
        </w:rPr>
        <w:t>National PACE plans and 1833 cost plans are excluded from reporting all Part C Reporting Requirements measures.</w:t>
      </w:r>
      <w:r w:rsidR="00DA65EC" w:rsidRPr="00325DDF">
        <w:rPr>
          <w:sz w:val="24"/>
        </w:rPr>
        <w:t xml:space="preserve"> </w:t>
      </w:r>
      <w:r w:rsidR="00517F31" w:rsidRPr="00325DDF">
        <w:rPr>
          <w:sz w:val="24"/>
        </w:rPr>
        <w:t xml:space="preserve">The initial ICR involved thirteen measures. </w:t>
      </w:r>
      <w:r w:rsidRPr="00325DDF">
        <w:rPr>
          <w:sz w:val="24"/>
        </w:rPr>
        <w:t xml:space="preserve"> </w:t>
      </w:r>
      <w:r w:rsidR="00517F31" w:rsidRPr="00325DDF">
        <w:rPr>
          <w:sz w:val="24"/>
        </w:rPr>
        <w:t xml:space="preserve">Two of these thirteen measures have been suspended from reporting because the information is available elsewhere: Measurement #10 </w:t>
      </w:r>
      <w:r w:rsidR="00517F31" w:rsidRPr="00325DDF">
        <w:rPr>
          <w:i/>
          <w:sz w:val="24"/>
        </w:rPr>
        <w:t>Agent Compensation Structure</w:t>
      </w:r>
      <w:r w:rsidR="00517F31" w:rsidRPr="00325DDF">
        <w:rPr>
          <w:sz w:val="24"/>
        </w:rPr>
        <w:t xml:space="preserve"> and; Measurement #11 </w:t>
      </w:r>
      <w:r w:rsidR="00517F31" w:rsidRPr="00325DDF">
        <w:rPr>
          <w:i/>
          <w:sz w:val="24"/>
        </w:rPr>
        <w:t xml:space="preserve">Agent Training and </w:t>
      </w:r>
      <w:r w:rsidR="00517F31" w:rsidRPr="00325DDF">
        <w:rPr>
          <w:sz w:val="24"/>
        </w:rPr>
        <w:t>Testing.</w:t>
      </w:r>
      <w:bookmarkStart w:id="1" w:name="_Toc235595178"/>
      <w:r w:rsidR="00517F31" w:rsidRPr="00325DDF">
        <w:rPr>
          <w:sz w:val="24"/>
        </w:rPr>
        <w:t xml:space="preserve">  </w:t>
      </w:r>
      <w:r w:rsidR="005811F6" w:rsidRPr="00325DDF">
        <w:rPr>
          <w:sz w:val="24"/>
        </w:rPr>
        <w:t xml:space="preserve">One new measure has been added: </w:t>
      </w:r>
    </w:p>
    <w:p w:rsidR="005811F6" w:rsidRPr="00325DDF" w:rsidRDefault="005811F6" w:rsidP="005811F6">
      <w:pPr>
        <w:rPr>
          <w:sz w:val="24"/>
        </w:rPr>
      </w:pPr>
      <w:r w:rsidRPr="00325DDF">
        <w:rPr>
          <w:sz w:val="24"/>
        </w:rPr>
        <w:t xml:space="preserve">Enrollment and Disenrollment. </w:t>
      </w:r>
    </w:p>
    <w:p w:rsidR="00EF0DAE" w:rsidRPr="00325DDF" w:rsidRDefault="00EF0DAE" w:rsidP="005811F6">
      <w:pPr>
        <w:rPr>
          <w:sz w:val="24"/>
        </w:rPr>
      </w:pPr>
    </w:p>
    <w:p w:rsidR="00EF0DAE" w:rsidRPr="00325DDF" w:rsidRDefault="00EF0DAE" w:rsidP="005811F6">
      <w:pPr>
        <w:rPr>
          <w:sz w:val="24"/>
          <w:u w:val="single"/>
        </w:rPr>
      </w:pPr>
      <w:r w:rsidRPr="00325DDF">
        <w:rPr>
          <w:sz w:val="24"/>
          <w:u w:val="single"/>
        </w:rPr>
        <w:t>New Measure: Enrollment/Disenrollment</w:t>
      </w:r>
    </w:p>
    <w:p w:rsidR="005811F6" w:rsidRPr="00325DDF" w:rsidRDefault="005811F6" w:rsidP="005811F6">
      <w:pPr>
        <w:rPr>
          <w:sz w:val="24"/>
        </w:rPr>
      </w:pPr>
    </w:p>
    <w:p w:rsidR="005811F6" w:rsidRPr="00325DDF" w:rsidRDefault="005811F6" w:rsidP="005811F6">
      <w:pPr>
        <w:rPr>
          <w:sz w:val="24"/>
        </w:rPr>
      </w:pPr>
      <w:r w:rsidRPr="00325DDF">
        <w:rPr>
          <w:sz w:val="24"/>
        </w:rPr>
        <w:t xml:space="preserve">CMS provides guidance for Part C plans’ processing of enrollment and disenrollment requests. CMS will collect data on the elements for these requirements, which are otherwise not available to CMS, in order to evaluate the plan’s processing of enrollment requests in accordance with CMS requirements.  </w:t>
      </w:r>
    </w:p>
    <w:p w:rsidR="005811F6" w:rsidRPr="00325DDF" w:rsidRDefault="005811F6" w:rsidP="00B80737">
      <w:pPr>
        <w:rPr>
          <w:sz w:val="24"/>
        </w:rPr>
      </w:pPr>
      <w:r w:rsidRPr="00325DDF">
        <w:rPr>
          <w:sz w:val="24"/>
        </w:rPr>
        <w:t>Reporting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5"/>
        <w:gridCol w:w="2015"/>
        <w:gridCol w:w="2015"/>
        <w:gridCol w:w="2015"/>
        <w:gridCol w:w="1766"/>
      </w:tblGrid>
      <w:tr w:rsidR="005811F6" w:rsidRPr="00325DDF" w:rsidTr="00FE225F">
        <w:tc>
          <w:tcPr>
            <w:tcW w:w="1765" w:type="dxa"/>
          </w:tcPr>
          <w:p w:rsidR="005811F6" w:rsidRPr="00325DDF" w:rsidRDefault="005811F6" w:rsidP="00B80737">
            <w:pPr>
              <w:rPr>
                <w:sz w:val="24"/>
              </w:rPr>
            </w:pPr>
          </w:p>
        </w:tc>
        <w:tc>
          <w:tcPr>
            <w:tcW w:w="2015" w:type="dxa"/>
          </w:tcPr>
          <w:p w:rsidR="005811F6" w:rsidRPr="00325DDF" w:rsidRDefault="005811F6" w:rsidP="00B80737">
            <w:pPr>
              <w:rPr>
                <w:sz w:val="24"/>
              </w:rPr>
            </w:pPr>
            <w:r w:rsidRPr="00325DDF">
              <w:rPr>
                <w:b/>
                <w:bCs/>
                <w:sz w:val="24"/>
              </w:rPr>
              <w:t>Quarter 1</w:t>
            </w:r>
          </w:p>
        </w:tc>
        <w:tc>
          <w:tcPr>
            <w:tcW w:w="2015" w:type="dxa"/>
          </w:tcPr>
          <w:p w:rsidR="005811F6" w:rsidRPr="00325DDF" w:rsidRDefault="005811F6" w:rsidP="00B80737">
            <w:pPr>
              <w:rPr>
                <w:sz w:val="24"/>
              </w:rPr>
            </w:pPr>
            <w:r w:rsidRPr="00325DDF">
              <w:rPr>
                <w:b/>
                <w:bCs/>
                <w:sz w:val="24"/>
              </w:rPr>
              <w:t>Quarter 2</w:t>
            </w:r>
          </w:p>
        </w:tc>
        <w:tc>
          <w:tcPr>
            <w:tcW w:w="2015" w:type="dxa"/>
          </w:tcPr>
          <w:p w:rsidR="005811F6" w:rsidRPr="00325DDF" w:rsidRDefault="005811F6" w:rsidP="00B80737">
            <w:pPr>
              <w:rPr>
                <w:sz w:val="24"/>
              </w:rPr>
            </w:pPr>
            <w:r w:rsidRPr="00325DDF">
              <w:rPr>
                <w:b/>
                <w:bCs/>
                <w:sz w:val="24"/>
              </w:rPr>
              <w:t>Quarter 3</w:t>
            </w:r>
          </w:p>
        </w:tc>
        <w:tc>
          <w:tcPr>
            <w:tcW w:w="1766" w:type="dxa"/>
          </w:tcPr>
          <w:p w:rsidR="005811F6" w:rsidRPr="00325DDF" w:rsidRDefault="005811F6" w:rsidP="00B80737">
            <w:pPr>
              <w:rPr>
                <w:b/>
                <w:bCs/>
                <w:sz w:val="24"/>
              </w:rPr>
            </w:pPr>
            <w:r w:rsidRPr="00325DDF">
              <w:rPr>
                <w:b/>
                <w:bCs/>
                <w:sz w:val="24"/>
              </w:rPr>
              <w:t>Quarter 4</w:t>
            </w:r>
          </w:p>
          <w:p w:rsidR="005811F6" w:rsidRPr="00325DDF" w:rsidRDefault="005811F6" w:rsidP="00B80737">
            <w:pPr>
              <w:rPr>
                <w:b/>
                <w:bCs/>
                <w:sz w:val="24"/>
              </w:rPr>
            </w:pPr>
          </w:p>
        </w:tc>
      </w:tr>
      <w:tr w:rsidR="005811F6" w:rsidRPr="00325DDF" w:rsidTr="00FE225F">
        <w:tc>
          <w:tcPr>
            <w:tcW w:w="1765" w:type="dxa"/>
          </w:tcPr>
          <w:p w:rsidR="005811F6" w:rsidRPr="00325DDF" w:rsidRDefault="005811F6" w:rsidP="00B80737">
            <w:pPr>
              <w:rPr>
                <w:b/>
                <w:bCs/>
                <w:sz w:val="24"/>
              </w:rPr>
            </w:pPr>
            <w:r w:rsidRPr="00325DDF">
              <w:rPr>
                <w:b/>
                <w:bCs/>
                <w:sz w:val="24"/>
              </w:rPr>
              <w:t>Reporting</w:t>
            </w:r>
          </w:p>
          <w:p w:rsidR="005811F6" w:rsidRPr="00325DDF" w:rsidRDefault="005811F6" w:rsidP="00B80737">
            <w:pPr>
              <w:rPr>
                <w:b/>
                <w:bCs/>
                <w:sz w:val="24"/>
              </w:rPr>
            </w:pPr>
            <w:r w:rsidRPr="00325DDF">
              <w:rPr>
                <w:b/>
                <w:bCs/>
                <w:sz w:val="24"/>
              </w:rPr>
              <w:t>Period</w:t>
            </w:r>
          </w:p>
          <w:p w:rsidR="005811F6" w:rsidRPr="00325DDF" w:rsidRDefault="005811F6" w:rsidP="00B80737">
            <w:pPr>
              <w:rPr>
                <w:sz w:val="24"/>
              </w:rPr>
            </w:pPr>
          </w:p>
        </w:tc>
        <w:tc>
          <w:tcPr>
            <w:tcW w:w="2015" w:type="dxa"/>
          </w:tcPr>
          <w:p w:rsidR="005811F6" w:rsidRPr="00325DDF" w:rsidRDefault="005811F6" w:rsidP="00B80737">
            <w:pPr>
              <w:rPr>
                <w:sz w:val="24"/>
              </w:rPr>
            </w:pPr>
            <w:r w:rsidRPr="00325DDF">
              <w:rPr>
                <w:sz w:val="24"/>
              </w:rPr>
              <w:t>January 1 -</w:t>
            </w:r>
          </w:p>
          <w:p w:rsidR="005811F6" w:rsidRPr="00325DDF" w:rsidRDefault="005811F6" w:rsidP="00B80737">
            <w:pPr>
              <w:rPr>
                <w:sz w:val="24"/>
              </w:rPr>
            </w:pPr>
            <w:r w:rsidRPr="00325DDF">
              <w:rPr>
                <w:sz w:val="24"/>
              </w:rPr>
              <w:t>March 31</w:t>
            </w:r>
          </w:p>
          <w:p w:rsidR="005811F6" w:rsidRPr="00325DDF" w:rsidRDefault="005811F6" w:rsidP="00B80737">
            <w:pPr>
              <w:rPr>
                <w:sz w:val="24"/>
              </w:rPr>
            </w:pPr>
          </w:p>
        </w:tc>
        <w:tc>
          <w:tcPr>
            <w:tcW w:w="2015" w:type="dxa"/>
          </w:tcPr>
          <w:p w:rsidR="005811F6" w:rsidRPr="00325DDF" w:rsidRDefault="005811F6" w:rsidP="00B80737">
            <w:pPr>
              <w:rPr>
                <w:sz w:val="24"/>
              </w:rPr>
            </w:pPr>
            <w:r w:rsidRPr="00325DDF">
              <w:rPr>
                <w:sz w:val="24"/>
              </w:rPr>
              <w:t>April 1 -</w:t>
            </w:r>
          </w:p>
          <w:p w:rsidR="005811F6" w:rsidRPr="00325DDF" w:rsidRDefault="005811F6" w:rsidP="00B80737">
            <w:pPr>
              <w:rPr>
                <w:sz w:val="24"/>
              </w:rPr>
            </w:pPr>
            <w:r w:rsidRPr="00325DDF">
              <w:rPr>
                <w:sz w:val="24"/>
              </w:rPr>
              <w:t>June 30</w:t>
            </w:r>
          </w:p>
          <w:p w:rsidR="005811F6" w:rsidRPr="00325DDF" w:rsidRDefault="005811F6" w:rsidP="00B80737">
            <w:pPr>
              <w:rPr>
                <w:sz w:val="24"/>
              </w:rPr>
            </w:pPr>
          </w:p>
        </w:tc>
        <w:tc>
          <w:tcPr>
            <w:tcW w:w="2015" w:type="dxa"/>
          </w:tcPr>
          <w:p w:rsidR="005811F6" w:rsidRPr="00325DDF" w:rsidRDefault="005811F6" w:rsidP="00B80737">
            <w:pPr>
              <w:rPr>
                <w:sz w:val="24"/>
              </w:rPr>
            </w:pPr>
            <w:r w:rsidRPr="00325DDF">
              <w:rPr>
                <w:sz w:val="24"/>
              </w:rPr>
              <w:t>July 1 -</w:t>
            </w:r>
          </w:p>
          <w:p w:rsidR="005811F6" w:rsidRPr="00325DDF" w:rsidRDefault="005811F6" w:rsidP="00B80737">
            <w:pPr>
              <w:rPr>
                <w:sz w:val="24"/>
              </w:rPr>
            </w:pPr>
            <w:r w:rsidRPr="00325DDF">
              <w:rPr>
                <w:sz w:val="24"/>
              </w:rPr>
              <w:t>September 30</w:t>
            </w:r>
          </w:p>
          <w:p w:rsidR="005811F6" w:rsidRPr="00325DDF" w:rsidRDefault="005811F6" w:rsidP="00B80737">
            <w:pPr>
              <w:rPr>
                <w:sz w:val="24"/>
              </w:rPr>
            </w:pPr>
          </w:p>
        </w:tc>
        <w:tc>
          <w:tcPr>
            <w:tcW w:w="1766" w:type="dxa"/>
          </w:tcPr>
          <w:p w:rsidR="005811F6" w:rsidRPr="00325DDF" w:rsidRDefault="005811F6" w:rsidP="00B80737">
            <w:pPr>
              <w:rPr>
                <w:sz w:val="24"/>
              </w:rPr>
            </w:pPr>
            <w:r w:rsidRPr="00325DDF">
              <w:rPr>
                <w:sz w:val="24"/>
              </w:rPr>
              <w:t>October 1 -</w:t>
            </w:r>
          </w:p>
          <w:p w:rsidR="005811F6" w:rsidRPr="00325DDF" w:rsidRDefault="005811F6" w:rsidP="00B80737">
            <w:pPr>
              <w:rPr>
                <w:sz w:val="24"/>
              </w:rPr>
            </w:pPr>
            <w:r w:rsidRPr="00325DDF">
              <w:rPr>
                <w:sz w:val="24"/>
              </w:rPr>
              <w:t>December 31</w:t>
            </w:r>
          </w:p>
          <w:p w:rsidR="005811F6" w:rsidRPr="00325DDF" w:rsidRDefault="005811F6" w:rsidP="00B80737">
            <w:pPr>
              <w:rPr>
                <w:sz w:val="24"/>
              </w:rPr>
            </w:pPr>
          </w:p>
        </w:tc>
      </w:tr>
      <w:tr w:rsidR="005811F6" w:rsidRPr="00325DDF" w:rsidTr="00FE225F">
        <w:tc>
          <w:tcPr>
            <w:tcW w:w="1765" w:type="dxa"/>
          </w:tcPr>
          <w:p w:rsidR="005811F6" w:rsidRPr="00325DDF" w:rsidRDefault="005811F6" w:rsidP="00B80737">
            <w:pPr>
              <w:rPr>
                <w:b/>
                <w:bCs/>
                <w:sz w:val="24"/>
              </w:rPr>
            </w:pPr>
            <w:r w:rsidRPr="00325DDF">
              <w:rPr>
                <w:b/>
                <w:bCs/>
                <w:sz w:val="24"/>
              </w:rPr>
              <w:t>Data due to</w:t>
            </w:r>
          </w:p>
          <w:p w:rsidR="005811F6" w:rsidRPr="00325DDF" w:rsidRDefault="005811F6" w:rsidP="00B80737">
            <w:pPr>
              <w:rPr>
                <w:b/>
                <w:bCs/>
                <w:sz w:val="24"/>
              </w:rPr>
            </w:pPr>
            <w:r w:rsidRPr="00325DDF">
              <w:rPr>
                <w:b/>
                <w:bCs/>
                <w:sz w:val="24"/>
              </w:rPr>
              <w:t>CMS/HPMS</w:t>
            </w:r>
          </w:p>
          <w:p w:rsidR="005811F6" w:rsidRPr="00325DDF" w:rsidRDefault="005811F6" w:rsidP="00B80737">
            <w:pPr>
              <w:rPr>
                <w:sz w:val="24"/>
              </w:rPr>
            </w:pPr>
          </w:p>
        </w:tc>
        <w:tc>
          <w:tcPr>
            <w:tcW w:w="2015" w:type="dxa"/>
          </w:tcPr>
          <w:p w:rsidR="005811F6" w:rsidRPr="00325DDF" w:rsidRDefault="005811F6" w:rsidP="00B80737">
            <w:pPr>
              <w:rPr>
                <w:sz w:val="24"/>
              </w:rPr>
            </w:pPr>
            <w:r w:rsidRPr="00325DDF">
              <w:rPr>
                <w:sz w:val="24"/>
              </w:rPr>
              <w:t>May 31</w:t>
            </w:r>
          </w:p>
        </w:tc>
        <w:tc>
          <w:tcPr>
            <w:tcW w:w="2015" w:type="dxa"/>
          </w:tcPr>
          <w:p w:rsidR="005811F6" w:rsidRPr="00325DDF" w:rsidRDefault="005811F6" w:rsidP="00B80737">
            <w:pPr>
              <w:rPr>
                <w:sz w:val="24"/>
              </w:rPr>
            </w:pPr>
            <w:r w:rsidRPr="00325DDF">
              <w:rPr>
                <w:sz w:val="24"/>
              </w:rPr>
              <w:t>August 31</w:t>
            </w:r>
          </w:p>
        </w:tc>
        <w:tc>
          <w:tcPr>
            <w:tcW w:w="2015" w:type="dxa"/>
          </w:tcPr>
          <w:p w:rsidR="005811F6" w:rsidRPr="00325DDF" w:rsidRDefault="005811F6" w:rsidP="00B80737">
            <w:pPr>
              <w:rPr>
                <w:sz w:val="24"/>
              </w:rPr>
            </w:pPr>
            <w:r w:rsidRPr="00325DDF">
              <w:rPr>
                <w:sz w:val="24"/>
              </w:rPr>
              <w:t>November 30</w:t>
            </w:r>
          </w:p>
        </w:tc>
        <w:tc>
          <w:tcPr>
            <w:tcW w:w="1766" w:type="dxa"/>
          </w:tcPr>
          <w:p w:rsidR="005811F6" w:rsidRPr="00325DDF" w:rsidRDefault="005811F6" w:rsidP="00B80737">
            <w:pPr>
              <w:rPr>
                <w:sz w:val="24"/>
              </w:rPr>
            </w:pPr>
            <w:r w:rsidRPr="00325DDF">
              <w:rPr>
                <w:sz w:val="24"/>
              </w:rPr>
              <w:t>February 28</w:t>
            </w:r>
          </w:p>
          <w:p w:rsidR="005811F6" w:rsidRPr="00325DDF" w:rsidRDefault="005811F6" w:rsidP="00B80737">
            <w:pPr>
              <w:rPr>
                <w:sz w:val="24"/>
              </w:rPr>
            </w:pPr>
          </w:p>
        </w:tc>
      </w:tr>
    </w:tbl>
    <w:p w:rsidR="005811F6" w:rsidRPr="00325DDF" w:rsidRDefault="005811F6" w:rsidP="00B80737">
      <w:pPr>
        <w:rPr>
          <w:sz w:val="24"/>
        </w:rPr>
      </w:pPr>
    </w:p>
    <w:p w:rsidR="005811F6" w:rsidRPr="00325DDF" w:rsidRDefault="005811F6" w:rsidP="005811F6">
      <w:pPr>
        <w:rPr>
          <w:sz w:val="24"/>
        </w:rPr>
      </w:pPr>
    </w:p>
    <w:p w:rsidR="005811F6" w:rsidRPr="00325DDF" w:rsidRDefault="005811F6" w:rsidP="005811F6">
      <w:pPr>
        <w:rPr>
          <w:sz w:val="24"/>
        </w:rPr>
      </w:pPr>
    </w:p>
    <w:p w:rsidR="00DA3149" w:rsidRPr="00325DDF" w:rsidRDefault="00DA3149" w:rsidP="005811F6">
      <w:pPr>
        <w:rPr>
          <w:b/>
          <w:sz w:val="24"/>
        </w:rPr>
      </w:pPr>
    </w:p>
    <w:p w:rsidR="001C7C27" w:rsidRPr="00325DDF" w:rsidRDefault="001C7C27" w:rsidP="001C7C27">
      <w:pPr>
        <w:rPr>
          <w:sz w:val="24"/>
        </w:rPr>
      </w:pPr>
      <w:r w:rsidRPr="00325DDF">
        <w:rPr>
          <w:sz w:val="24"/>
        </w:rPr>
        <w:t>Data elements to be entered into the Health Plan Management System (HPMS) at the Contract level:</w:t>
      </w:r>
    </w:p>
    <w:p w:rsidR="001C7C27" w:rsidRPr="00325DDF" w:rsidRDefault="001C7C27" w:rsidP="005811F6">
      <w:pPr>
        <w:rPr>
          <w:b/>
          <w:sz w:val="24"/>
        </w:rPr>
      </w:pPr>
    </w:p>
    <w:p w:rsidR="008E35DD" w:rsidRPr="00325DDF" w:rsidRDefault="008E35DD" w:rsidP="008E35DD">
      <w:pPr>
        <w:rPr>
          <w:sz w:val="24"/>
        </w:rPr>
      </w:pPr>
      <w:r w:rsidRPr="00325DDF">
        <w:rPr>
          <w:sz w:val="24"/>
        </w:rPr>
        <w:t>CMS will collect data on the elements for these requirements, which are otherwise not available to CMS, in order to evaluate the sponsor’s processing of enrollment and disenrollment requests in accordance with CMS requirements. For example, while there are a number of factors that result in an individual’s eligibility for a Special Enrollment Period (SEP), sponsors are currently unable to specify each of these factors when submitting enrollment transactions. Sponsor’s reporting of data regarding SEP reasons for which a code is not currently available will further assist CMS in ensuring sponsors are providing support to beneficiaries, while complying with CMS policies.</w:t>
      </w:r>
    </w:p>
    <w:p w:rsidR="008E35DD" w:rsidRPr="00325DDF" w:rsidRDefault="008E35DD" w:rsidP="008E35DD">
      <w:pPr>
        <w:rPr>
          <w:sz w:val="24"/>
        </w:rPr>
      </w:pPr>
    </w:p>
    <w:p w:rsidR="008E35DD" w:rsidRPr="00325DDF" w:rsidRDefault="008E35DD" w:rsidP="008E35DD">
      <w:pPr>
        <w:rPr>
          <w:sz w:val="24"/>
        </w:rPr>
      </w:pPr>
      <w:r w:rsidRPr="00325DDF">
        <w:rPr>
          <w:sz w:val="24"/>
        </w:rPr>
        <w:t>Data elements 1.A-1.</w:t>
      </w:r>
      <w:r w:rsidR="000E2ADF">
        <w:rPr>
          <w:sz w:val="24"/>
        </w:rPr>
        <w:t>K</w:t>
      </w:r>
      <w:r w:rsidRPr="00325DDF">
        <w:rPr>
          <w:sz w:val="24"/>
        </w:rPr>
        <w:t xml:space="preserve"> must include all enrollment</w:t>
      </w:r>
      <w:r w:rsidR="00966E31">
        <w:rPr>
          <w:sz w:val="24"/>
        </w:rPr>
        <w:t>s</w:t>
      </w:r>
      <w:r w:rsidRPr="00325DDF">
        <w:rPr>
          <w:sz w:val="24"/>
        </w:rPr>
        <w:t xml:space="preserve"> </w:t>
      </w:r>
      <w:r w:rsidR="00966E31">
        <w:rPr>
          <w:sz w:val="24"/>
        </w:rPr>
        <w:t xml:space="preserve">(code 61 </w:t>
      </w:r>
      <w:r w:rsidRPr="00325DDF">
        <w:rPr>
          <w:sz w:val="24"/>
        </w:rPr>
        <w:t>transactions</w:t>
      </w:r>
      <w:r w:rsidR="00966E31">
        <w:rPr>
          <w:sz w:val="24"/>
        </w:rPr>
        <w:t>)</w:t>
      </w:r>
      <w:r w:rsidRPr="00325DDF">
        <w:rPr>
          <w:sz w:val="24"/>
        </w:rPr>
        <w:t xml:space="preserve">. Disenrollments must not be included in Section 1 Enrollment.   </w:t>
      </w:r>
    </w:p>
    <w:p w:rsidR="008E35DD" w:rsidRPr="00325DDF" w:rsidRDefault="008E35DD" w:rsidP="008E35DD">
      <w:pPr>
        <w:rPr>
          <w:sz w:val="24"/>
        </w:rPr>
      </w:pPr>
    </w:p>
    <w:p w:rsidR="008E35DD" w:rsidRPr="00BE1FF3" w:rsidRDefault="008E35DD" w:rsidP="008E35DD">
      <w:pPr>
        <w:rPr>
          <w:sz w:val="24"/>
        </w:rPr>
      </w:pPr>
      <w:r w:rsidRPr="00BE1FF3">
        <w:rPr>
          <w:sz w:val="24"/>
        </w:rPr>
        <w:t xml:space="preserve">Section 2 Disenrollment must include all voluntary disenrollment transactions.  </w:t>
      </w:r>
    </w:p>
    <w:p w:rsidR="008E35DD" w:rsidRPr="00BE1FF3" w:rsidRDefault="008E35DD" w:rsidP="008E35DD">
      <w:pPr>
        <w:rPr>
          <w:sz w:val="24"/>
        </w:rPr>
      </w:pPr>
    </w:p>
    <w:p w:rsidR="008E35DD" w:rsidRPr="00BE1FF3" w:rsidRDefault="008E35DD" w:rsidP="005811F6">
      <w:pPr>
        <w:rPr>
          <w:b/>
          <w:sz w:val="24"/>
        </w:rPr>
      </w:pPr>
    </w:p>
    <w:p w:rsidR="005811F6" w:rsidRPr="00BE1FF3" w:rsidRDefault="005811F6" w:rsidP="005811F6">
      <w:pPr>
        <w:rPr>
          <w:sz w:val="24"/>
        </w:rPr>
      </w:pPr>
    </w:p>
    <w:p w:rsidR="00B80737" w:rsidRPr="00BE1FF3" w:rsidRDefault="00B80737" w:rsidP="00B80737">
      <w:pPr>
        <w:pStyle w:val="ListParagraph"/>
        <w:numPr>
          <w:ilvl w:val="0"/>
          <w:numId w:val="34"/>
        </w:numPr>
        <w:autoSpaceDE w:val="0"/>
        <w:autoSpaceDN w:val="0"/>
        <w:adjustRightInd w:val="0"/>
        <w:spacing w:before="120" w:after="120"/>
        <w:contextualSpacing/>
        <w:rPr>
          <w:rFonts w:ascii="Times New Roman" w:hAnsi="Times New Roman"/>
          <w:b/>
          <w:sz w:val="24"/>
          <w:szCs w:val="24"/>
        </w:rPr>
      </w:pPr>
      <w:r w:rsidRPr="00BE1FF3">
        <w:rPr>
          <w:rFonts w:ascii="Times New Roman" w:hAnsi="Times New Roman"/>
          <w:b/>
          <w:sz w:val="24"/>
          <w:szCs w:val="24"/>
        </w:rPr>
        <w:t>Enrollment:</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The total number of enrollment requests received in the specified time period.</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 xml:space="preserve">Of the total reported in A, the number of enrollment requests complete at the time of initial receipt (i.e. required no additional information from </w:t>
      </w:r>
      <w:r w:rsidR="00417417" w:rsidRPr="00BE1FF3">
        <w:rPr>
          <w:rFonts w:ascii="Times New Roman" w:hAnsi="Times New Roman"/>
          <w:sz w:val="24"/>
          <w:szCs w:val="24"/>
        </w:rPr>
        <w:t>applicant</w:t>
      </w:r>
      <w:r w:rsidRPr="00BE1FF3">
        <w:rPr>
          <w:rFonts w:ascii="Times New Roman" w:hAnsi="Times New Roman"/>
          <w:sz w:val="24"/>
          <w:szCs w:val="24"/>
        </w:rPr>
        <w:t xml:space="preserve"> or his/her authorized representative).</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 xml:space="preserve">Of the total reported in A, the number of enrollment requests that required requests for additional information.  </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total reported in A, the number of enrollment requests denied due to the Sponsor’s determination of the applicant’s ineligibility to elect the plan (e.g. individual not having a valid enrollment period).</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total reported in C, the number of incomplete enrollment requests received that are completed within established timeframes.</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total reported in C, the number of enrollment requests denied due to the applicant or his/her authorized representative not providing information to complete the enrollment request within established timeframes.</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total reported in A, the number of paper enrollment requests received.</w:t>
      </w:r>
    </w:p>
    <w:p w:rsidR="00B80737" w:rsidRPr="00BE1FF3"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total reported in A, the number of telephonic enrollment requests received (if offered).</w:t>
      </w:r>
    </w:p>
    <w:p w:rsidR="00B80737" w:rsidRPr="00C30CF1"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 xml:space="preserve">Of the total reported in A, the number of internet enrollment requests received via plan website </w:t>
      </w:r>
      <w:r w:rsidRPr="00C30CF1">
        <w:rPr>
          <w:rFonts w:ascii="Times New Roman" w:hAnsi="Times New Roman"/>
          <w:sz w:val="24"/>
          <w:szCs w:val="24"/>
        </w:rPr>
        <w:t>(if offered).</w:t>
      </w:r>
    </w:p>
    <w:p w:rsidR="00C30CF1" w:rsidRPr="00C30CF1" w:rsidRDefault="00C30CF1" w:rsidP="00C30CF1">
      <w:pPr>
        <w:pStyle w:val="PlainText"/>
        <w:numPr>
          <w:ilvl w:val="0"/>
          <w:numId w:val="33"/>
        </w:numPr>
        <w:rPr>
          <w:rFonts w:ascii="Times New Roman" w:hAnsi="Times New Roman" w:cs="Times New Roman"/>
          <w:sz w:val="24"/>
          <w:szCs w:val="24"/>
        </w:rPr>
      </w:pPr>
      <w:r w:rsidRPr="00C30CF1">
        <w:rPr>
          <w:rFonts w:ascii="Times New Roman" w:hAnsi="Times New Roman" w:cs="Times New Roman"/>
          <w:sz w:val="24"/>
          <w:szCs w:val="24"/>
        </w:rPr>
        <w:t>Of the total reported in A, the number of Online Enrollment Center (OEC) enrollment requests received.</w:t>
      </w:r>
    </w:p>
    <w:p w:rsidR="006F5037" w:rsidRDefault="005B3965">
      <w:pPr>
        <w:spacing w:before="120" w:after="120"/>
        <w:contextualSpacing/>
        <w:rPr>
          <w:sz w:val="24"/>
        </w:rPr>
      </w:pPr>
      <w:r w:rsidRPr="005B3965">
        <w:rPr>
          <w:sz w:val="24"/>
        </w:rPr>
        <w:lastRenderedPageBreak/>
        <w:t xml:space="preserve"> </w:t>
      </w:r>
    </w:p>
    <w:p w:rsidR="00B80737"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 xml:space="preserve">Of the number reported in A, the number of enrollment transactions submitted using the SEP Election Period code "S" related to creditable coverage. </w:t>
      </w:r>
    </w:p>
    <w:p w:rsidR="00B80737" w:rsidRDefault="00B80737" w:rsidP="00B80737">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BE1FF3">
        <w:rPr>
          <w:rFonts w:ascii="Times New Roman" w:hAnsi="Times New Roman"/>
          <w:sz w:val="24"/>
          <w:szCs w:val="24"/>
        </w:rPr>
        <w:t>Of the number reported in A, the number of enrollment transactions submitted using the SEP Election Period code "S" for individuals affected by a contract nonrenewal, plan termination or service area reduction.</w:t>
      </w:r>
    </w:p>
    <w:p w:rsidR="00B80737" w:rsidRPr="00BE1FF3" w:rsidRDefault="00B80737" w:rsidP="00B80737">
      <w:pPr>
        <w:pStyle w:val="ListParagraph"/>
        <w:autoSpaceDE w:val="0"/>
        <w:autoSpaceDN w:val="0"/>
        <w:adjustRightInd w:val="0"/>
        <w:ind w:left="360"/>
        <w:rPr>
          <w:rFonts w:ascii="Times New Roman" w:hAnsi="Times New Roman"/>
          <w:sz w:val="24"/>
          <w:szCs w:val="24"/>
        </w:rPr>
      </w:pPr>
    </w:p>
    <w:p w:rsidR="005811F6" w:rsidRPr="00BE1FF3" w:rsidRDefault="005811F6" w:rsidP="005811F6">
      <w:pPr>
        <w:rPr>
          <w:sz w:val="24"/>
        </w:rPr>
      </w:pPr>
    </w:p>
    <w:p w:rsidR="005811F6" w:rsidRPr="00BE1FF3" w:rsidRDefault="005811F6" w:rsidP="005811F6">
      <w:pPr>
        <w:rPr>
          <w:sz w:val="24"/>
        </w:rPr>
      </w:pPr>
    </w:p>
    <w:p w:rsidR="005811F6" w:rsidRPr="00BE1FF3" w:rsidRDefault="005811F6" w:rsidP="00DA3149">
      <w:pPr>
        <w:numPr>
          <w:ilvl w:val="0"/>
          <w:numId w:val="34"/>
        </w:numPr>
        <w:rPr>
          <w:sz w:val="24"/>
        </w:rPr>
      </w:pPr>
      <w:r w:rsidRPr="00BE1FF3">
        <w:rPr>
          <w:b/>
          <w:sz w:val="24"/>
        </w:rPr>
        <w:t>DISENROLLMENT</w:t>
      </w:r>
      <w:r w:rsidRPr="00BE1FF3">
        <w:rPr>
          <w:sz w:val="24"/>
        </w:rPr>
        <w:t>:</w:t>
      </w:r>
    </w:p>
    <w:p w:rsidR="005811F6" w:rsidRPr="00325DDF" w:rsidRDefault="005811F6" w:rsidP="005811F6">
      <w:pPr>
        <w:rPr>
          <w:sz w:val="24"/>
        </w:rPr>
      </w:pPr>
    </w:p>
    <w:p w:rsidR="005811F6" w:rsidRPr="00325DDF" w:rsidRDefault="0093071F" w:rsidP="005811F6">
      <w:pPr>
        <w:rPr>
          <w:sz w:val="24"/>
        </w:rPr>
      </w:pPr>
      <w:r w:rsidRPr="00325DDF">
        <w:rPr>
          <w:sz w:val="24"/>
        </w:rPr>
        <w:t>A</w:t>
      </w:r>
      <w:r w:rsidR="005811F6" w:rsidRPr="00325DDF">
        <w:rPr>
          <w:sz w:val="24"/>
        </w:rPr>
        <w:t xml:space="preserve">. The total number of </w:t>
      </w:r>
      <w:r w:rsidR="00417417">
        <w:rPr>
          <w:sz w:val="24"/>
        </w:rPr>
        <w:t xml:space="preserve">voluntary </w:t>
      </w:r>
      <w:r w:rsidR="005811F6" w:rsidRPr="00325DDF">
        <w:rPr>
          <w:sz w:val="24"/>
        </w:rPr>
        <w:t>disenrollment requests received in the specified time period.</w:t>
      </w:r>
    </w:p>
    <w:p w:rsidR="005811F6" w:rsidRPr="00325DDF" w:rsidRDefault="005811F6" w:rsidP="005811F6">
      <w:pPr>
        <w:rPr>
          <w:sz w:val="24"/>
        </w:rPr>
      </w:pPr>
    </w:p>
    <w:p w:rsidR="005811F6" w:rsidRPr="00325DDF" w:rsidRDefault="0093071F" w:rsidP="005811F6">
      <w:pPr>
        <w:rPr>
          <w:sz w:val="24"/>
        </w:rPr>
      </w:pPr>
      <w:r w:rsidRPr="00325DDF">
        <w:rPr>
          <w:sz w:val="24"/>
        </w:rPr>
        <w:t>B</w:t>
      </w:r>
      <w:r w:rsidR="005811F6" w:rsidRPr="00325DDF">
        <w:rPr>
          <w:sz w:val="24"/>
        </w:rPr>
        <w:t xml:space="preserve">. Of the total reported in </w:t>
      </w:r>
      <w:r w:rsidR="00417417">
        <w:rPr>
          <w:sz w:val="24"/>
        </w:rPr>
        <w:t>A</w:t>
      </w:r>
      <w:r w:rsidR="005811F6" w:rsidRPr="00325DDF">
        <w:rPr>
          <w:sz w:val="24"/>
        </w:rPr>
        <w:t xml:space="preserve">, the number of disenrollment requests complete </w:t>
      </w:r>
      <w:r w:rsidR="00417417" w:rsidRPr="00417417">
        <w:rPr>
          <w:sz w:val="24"/>
        </w:rPr>
        <w:t xml:space="preserve">at the time of initial receipt (i.e. required no additional information from </w:t>
      </w:r>
      <w:r w:rsidR="00417417">
        <w:rPr>
          <w:sz w:val="24"/>
        </w:rPr>
        <w:t>applicant</w:t>
      </w:r>
      <w:r w:rsidR="00417417" w:rsidRPr="00417417">
        <w:rPr>
          <w:sz w:val="24"/>
        </w:rPr>
        <w:t xml:space="preserve"> or his/her authorized representative)</w:t>
      </w:r>
      <w:r w:rsidR="00417417">
        <w:rPr>
          <w:sz w:val="24"/>
        </w:rPr>
        <w:t>.</w:t>
      </w:r>
    </w:p>
    <w:p w:rsidR="005811F6" w:rsidRPr="00325DDF" w:rsidRDefault="005811F6" w:rsidP="005811F6">
      <w:pPr>
        <w:rPr>
          <w:sz w:val="24"/>
        </w:rPr>
      </w:pPr>
    </w:p>
    <w:p w:rsidR="005811F6" w:rsidRPr="00325DDF" w:rsidRDefault="0093071F" w:rsidP="005811F6">
      <w:pPr>
        <w:rPr>
          <w:sz w:val="24"/>
        </w:rPr>
      </w:pPr>
      <w:r w:rsidRPr="00325DDF">
        <w:rPr>
          <w:sz w:val="24"/>
        </w:rPr>
        <w:t>C</w:t>
      </w:r>
      <w:r w:rsidR="00417417">
        <w:rPr>
          <w:sz w:val="24"/>
        </w:rPr>
        <w:t>.</w:t>
      </w:r>
      <w:r w:rsidR="005811F6" w:rsidRPr="00325DDF">
        <w:rPr>
          <w:sz w:val="24"/>
        </w:rPr>
        <w:t xml:space="preserve">  Of the total reported in </w:t>
      </w:r>
      <w:r w:rsidR="00417417">
        <w:rPr>
          <w:sz w:val="24"/>
        </w:rPr>
        <w:t>A</w:t>
      </w:r>
      <w:r w:rsidR="005811F6" w:rsidRPr="00325DDF">
        <w:rPr>
          <w:sz w:val="24"/>
        </w:rPr>
        <w:t>, the number of disenrollment requests denied</w:t>
      </w:r>
      <w:r w:rsidR="00417417" w:rsidRPr="00417417">
        <w:t xml:space="preserve"> </w:t>
      </w:r>
      <w:r w:rsidR="00417417" w:rsidRPr="00417417">
        <w:rPr>
          <w:sz w:val="24"/>
        </w:rPr>
        <w:t>by the Sponsor for any reason</w:t>
      </w:r>
      <w:r w:rsidR="005811F6" w:rsidRPr="00325DDF">
        <w:rPr>
          <w:sz w:val="24"/>
        </w:rPr>
        <w:t xml:space="preserve">.  </w:t>
      </w:r>
    </w:p>
    <w:p w:rsidR="005811F6" w:rsidRPr="00325DDF" w:rsidRDefault="005811F6" w:rsidP="005811F6">
      <w:pPr>
        <w:rPr>
          <w:sz w:val="24"/>
        </w:rPr>
      </w:pPr>
    </w:p>
    <w:p w:rsidR="00EF0DAE" w:rsidRPr="00325DDF" w:rsidRDefault="00EF0DAE" w:rsidP="005811F6">
      <w:pPr>
        <w:rPr>
          <w:sz w:val="24"/>
        </w:rPr>
      </w:pPr>
    </w:p>
    <w:p w:rsidR="00EF0DAE" w:rsidRPr="00325DDF" w:rsidRDefault="00EF0DAE" w:rsidP="005811F6">
      <w:pPr>
        <w:rPr>
          <w:sz w:val="24"/>
          <w:u w:val="single"/>
        </w:rPr>
      </w:pPr>
      <w:r w:rsidRPr="00325DDF">
        <w:rPr>
          <w:sz w:val="24"/>
          <w:u w:val="single"/>
        </w:rPr>
        <w:t>Revised Measure: Part C Grievances</w:t>
      </w:r>
    </w:p>
    <w:p w:rsidR="00EF0DAE" w:rsidRPr="00325DDF" w:rsidRDefault="00EF0DAE" w:rsidP="005811F6">
      <w:pPr>
        <w:rPr>
          <w:sz w:val="24"/>
          <w:u w:val="single"/>
        </w:rPr>
      </w:pPr>
    </w:p>
    <w:p w:rsidR="00EF0DAE" w:rsidRPr="00325DDF" w:rsidRDefault="00EF0DAE" w:rsidP="00EF0DAE">
      <w:pPr>
        <w:rPr>
          <w:sz w:val="24"/>
        </w:rPr>
      </w:pPr>
      <w:r w:rsidRPr="00325DDF">
        <w:rPr>
          <w:sz w:val="24"/>
        </w:rPr>
        <w:t>The current (2009-2011) categories for Part C grievances are: fraud, enrollment/disenrollment/benefit package/access, marketing, privacy, quality of care, expedited, other.  This categorization resulted in most grievances reported as “other,”</w:t>
      </w:r>
      <w:r w:rsidR="00C62BB8" w:rsidRPr="00325DDF">
        <w:rPr>
          <w:sz w:val="24"/>
        </w:rPr>
        <w:t xml:space="preserve"> a</w:t>
      </w:r>
      <w:r w:rsidRPr="00325DDF">
        <w:rPr>
          <w:sz w:val="24"/>
        </w:rPr>
        <w:t xml:space="preserve">nd was not especially informative.  The grievances below are </w:t>
      </w:r>
      <w:r w:rsidR="00C62BB8" w:rsidRPr="00325DDF">
        <w:rPr>
          <w:sz w:val="24"/>
        </w:rPr>
        <w:t>more</w:t>
      </w:r>
      <w:r w:rsidRPr="00325DDF">
        <w:rPr>
          <w:sz w:val="24"/>
        </w:rPr>
        <w:t xml:space="preserve"> consistent </w:t>
      </w:r>
      <w:r w:rsidR="00C62BB8" w:rsidRPr="00325DDF">
        <w:rPr>
          <w:sz w:val="24"/>
        </w:rPr>
        <w:t>with Part D reporting.  In addition, we will now be obtaining data on the timeliness of handling grievances.</w:t>
      </w:r>
    </w:p>
    <w:p w:rsidR="00EF0DAE" w:rsidRPr="00325DDF" w:rsidRDefault="00EF0DAE" w:rsidP="005811F6">
      <w:pPr>
        <w:rPr>
          <w:sz w:val="24"/>
        </w:rPr>
      </w:pPr>
    </w:p>
    <w:p w:rsidR="00BE1FF3" w:rsidRDefault="00BE1FF3">
      <w:pPr>
        <w:widowControl/>
        <w:autoSpaceDE/>
        <w:autoSpaceDN/>
        <w:adjustRightInd/>
        <w:rPr>
          <w:sz w:val="24"/>
        </w:rPr>
      </w:pPr>
      <w:r>
        <w:rPr>
          <w:sz w:val="24"/>
        </w:rPr>
        <w:br w:type="page"/>
      </w:r>
    </w:p>
    <w:p w:rsidR="00EF0DAE" w:rsidRPr="00325DDF" w:rsidRDefault="00EF0DAE" w:rsidP="005811F6">
      <w:pPr>
        <w:rPr>
          <w:sz w:val="24"/>
        </w:rPr>
      </w:pPr>
    </w:p>
    <w:p w:rsidR="00EF0DAE" w:rsidRPr="00325DDF" w:rsidRDefault="00EF0DAE" w:rsidP="00EF0DAE">
      <w:pPr>
        <w:rPr>
          <w:sz w:val="24"/>
        </w:rPr>
      </w:pPr>
    </w:p>
    <w:tbl>
      <w:tblPr>
        <w:tblW w:w="0" w:type="auto"/>
        <w:tblCellMar>
          <w:left w:w="0" w:type="dxa"/>
          <w:right w:w="0" w:type="dxa"/>
        </w:tblCellMar>
        <w:tblLook w:val="04A0"/>
      </w:tblPr>
      <w:tblGrid>
        <w:gridCol w:w="3220"/>
        <w:gridCol w:w="2033"/>
        <w:gridCol w:w="3603"/>
      </w:tblGrid>
      <w:tr w:rsidR="00EF0DAE" w:rsidRPr="00325DDF" w:rsidTr="00EF0DAE">
        <w:tc>
          <w:tcPr>
            <w:tcW w:w="3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r w:rsidRPr="00325DDF">
              <w:rPr>
                <w:rFonts w:eastAsia="Calibri"/>
                <w:sz w:val="24"/>
              </w:rPr>
              <w:t>Grievance Category</w:t>
            </w:r>
          </w:p>
        </w:tc>
        <w:tc>
          <w:tcPr>
            <w:tcW w:w="20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b/>
                <w:bCs/>
                <w:sz w:val="24"/>
              </w:rPr>
              <w:t>Total number of Grievances</w:t>
            </w:r>
          </w:p>
        </w:tc>
        <w:tc>
          <w:tcPr>
            <w:tcW w:w="36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b/>
                <w:bCs/>
                <w:sz w:val="24"/>
              </w:rPr>
              <w:t>Number of grievances which the Sponsor provided timely notification of its decision</w:t>
            </w: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color w:val="000000"/>
                <w:sz w:val="24"/>
              </w:rPr>
              <w:t>No. Fraud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1A231F">
            <w:pPr>
              <w:rPr>
                <w:rFonts w:eastAsia="Calibri"/>
                <w:sz w:val="24"/>
              </w:rPr>
            </w:pPr>
            <w:r>
              <w:rPr>
                <w:rFonts w:eastAsia="Calibri"/>
                <w:sz w:val="24"/>
              </w:rPr>
              <w:t>Does not apply to this category</w:t>
            </w: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color w:val="000000"/>
                <w:sz w:val="24"/>
              </w:rPr>
              <w:t>Enrollment/Disenrollment</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color w:val="000000"/>
                <w:sz w:val="24"/>
              </w:rPr>
              <w:t>Benefit Package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color w:val="000000"/>
                <w:sz w:val="24"/>
              </w:rPr>
              <w:t>Access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sz w:val="24"/>
              </w:rPr>
            </w:pPr>
            <w:r w:rsidRPr="00325DDF">
              <w:rPr>
                <w:color w:val="000000"/>
                <w:sz w:val="24"/>
              </w:rPr>
              <w:t>Marketing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sz w:val="24"/>
              </w:rPr>
            </w:pPr>
            <w:r w:rsidRPr="00325DDF">
              <w:rPr>
                <w:color w:val="000000"/>
                <w:sz w:val="24"/>
              </w:rPr>
              <w:t>Customer Service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sz w:val="24"/>
              </w:rPr>
            </w:pPr>
            <w:r w:rsidRPr="00325DDF">
              <w:rPr>
                <w:color w:val="000000"/>
                <w:sz w:val="24"/>
              </w:rPr>
              <w:t>Privacy Issues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FF46D7" w:rsidP="00AE3A6D">
            <w:pPr>
              <w:rPr>
                <w:rFonts w:eastAsia="Calibri"/>
                <w:sz w:val="24"/>
              </w:rPr>
            </w:pPr>
            <w:r>
              <w:rPr>
                <w:rFonts w:eastAsia="Calibri"/>
                <w:sz w:val="24"/>
              </w:rPr>
              <w:t>Does not apply to this category</w:t>
            </w: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sz w:val="24"/>
              </w:rPr>
            </w:pPr>
            <w:r w:rsidRPr="00325DDF">
              <w:rPr>
                <w:color w:val="000000"/>
                <w:sz w:val="24"/>
              </w:rPr>
              <w:t>Quality Of Care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C62BB8">
            <w:pPr>
              <w:rPr>
                <w:sz w:val="24"/>
              </w:rPr>
            </w:pPr>
            <w:r w:rsidRPr="00325DDF">
              <w:rPr>
                <w:sz w:val="24"/>
              </w:rPr>
              <w:t>Appeals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r w:rsidR="00EF0DAE" w:rsidRPr="00325DDF" w:rsidTr="00EF0DAE">
        <w:tc>
          <w:tcPr>
            <w:tcW w:w="3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0DAE" w:rsidRPr="00325DDF" w:rsidRDefault="00EF0DAE">
            <w:pPr>
              <w:rPr>
                <w:rFonts w:eastAsia="Calibri"/>
                <w:sz w:val="24"/>
              </w:rPr>
            </w:pPr>
            <w:r w:rsidRPr="00325DDF">
              <w:rPr>
                <w:sz w:val="24"/>
              </w:rPr>
              <w:t>Other Grievances</w:t>
            </w:r>
          </w:p>
        </w:tc>
        <w:tc>
          <w:tcPr>
            <w:tcW w:w="203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c>
          <w:tcPr>
            <w:tcW w:w="3603" w:type="dxa"/>
            <w:tcBorders>
              <w:top w:val="nil"/>
              <w:left w:val="nil"/>
              <w:bottom w:val="single" w:sz="8" w:space="0" w:color="auto"/>
              <w:right w:val="single" w:sz="8" w:space="0" w:color="auto"/>
            </w:tcBorders>
            <w:tcMar>
              <w:top w:w="0" w:type="dxa"/>
              <w:left w:w="108" w:type="dxa"/>
              <w:bottom w:w="0" w:type="dxa"/>
              <w:right w:w="108" w:type="dxa"/>
            </w:tcMar>
          </w:tcPr>
          <w:p w:rsidR="00EF0DAE" w:rsidRPr="00325DDF" w:rsidRDefault="00EF0DAE">
            <w:pPr>
              <w:rPr>
                <w:rFonts w:eastAsia="Calibri"/>
                <w:sz w:val="24"/>
              </w:rPr>
            </w:pPr>
          </w:p>
        </w:tc>
      </w:tr>
    </w:tbl>
    <w:p w:rsidR="00EF0DAE" w:rsidRPr="00325DDF" w:rsidRDefault="00EF0DAE" w:rsidP="00EF0DAE">
      <w:pPr>
        <w:rPr>
          <w:rFonts w:eastAsia="Calibri"/>
          <w:sz w:val="24"/>
        </w:rPr>
      </w:pPr>
    </w:p>
    <w:p w:rsidR="00EF0DAE" w:rsidRPr="00325DDF" w:rsidRDefault="00EF0DAE" w:rsidP="005811F6">
      <w:pPr>
        <w:rPr>
          <w:sz w:val="24"/>
        </w:rPr>
      </w:pPr>
    </w:p>
    <w:p w:rsidR="00BE1FF3" w:rsidRPr="00BE1FF3" w:rsidRDefault="00BE1FF3" w:rsidP="00BE1FF3">
      <w:pPr>
        <w:rPr>
          <w:sz w:val="24"/>
          <w:u w:val="single"/>
        </w:rPr>
      </w:pPr>
      <w:r w:rsidRPr="00BE1FF3">
        <w:rPr>
          <w:sz w:val="24"/>
          <w:u w:val="single"/>
        </w:rPr>
        <w:t>Revised Measure: Procedure Frequency</w:t>
      </w:r>
    </w:p>
    <w:p w:rsidR="00BE1FF3" w:rsidRPr="00BE1FF3" w:rsidRDefault="00BE1FF3" w:rsidP="00BE1FF3">
      <w:pPr>
        <w:rPr>
          <w:sz w:val="24"/>
          <w:u w:val="single"/>
        </w:rPr>
      </w:pPr>
    </w:p>
    <w:p w:rsidR="00BE1FF3" w:rsidRPr="00AE7770" w:rsidRDefault="00BE1FF3" w:rsidP="00BE1FF3">
      <w:pPr>
        <w:rPr>
          <w:sz w:val="24"/>
          <w:u w:val="single"/>
        </w:rPr>
      </w:pPr>
      <w:r w:rsidRPr="00BE1FF3">
        <w:rPr>
          <w:sz w:val="24"/>
        </w:rPr>
        <w:t>Plans are now required to report all Procedure Frequency data for 2012-2014, regardless of whether they are reporting similar data through HEDIS.</w:t>
      </w:r>
    </w:p>
    <w:p w:rsidR="00EF0DAE" w:rsidRDefault="00EF0DAE" w:rsidP="005811F6">
      <w:pPr>
        <w:rPr>
          <w:sz w:val="24"/>
        </w:rPr>
      </w:pPr>
    </w:p>
    <w:p w:rsidR="00BE1FF3" w:rsidRDefault="00BE1FF3" w:rsidP="005811F6">
      <w:pPr>
        <w:rPr>
          <w:sz w:val="24"/>
        </w:rPr>
      </w:pPr>
    </w:p>
    <w:p w:rsidR="00EF0DAE" w:rsidRPr="00325DDF" w:rsidRDefault="00EF0DAE" w:rsidP="005811F6">
      <w:pPr>
        <w:rPr>
          <w:sz w:val="24"/>
        </w:rPr>
      </w:pPr>
    </w:p>
    <w:p w:rsidR="00A16DEE" w:rsidRPr="00325DDF" w:rsidRDefault="00A16DEE" w:rsidP="00517F31">
      <w:pPr>
        <w:rPr>
          <w:sz w:val="24"/>
        </w:rPr>
      </w:pPr>
    </w:p>
    <w:p w:rsidR="00A16DEE" w:rsidRPr="00325DDF" w:rsidRDefault="00A16DEE" w:rsidP="00517F31">
      <w:pPr>
        <w:rPr>
          <w:sz w:val="24"/>
        </w:rPr>
      </w:pPr>
      <w:r w:rsidRPr="00325DDF">
        <w:rPr>
          <w:sz w:val="24"/>
        </w:rPr>
        <w:t xml:space="preserve">Data collection for the Part C reporting requirements was effective on January 1, 2009.  Contract year 2010 data are currently being collected and complied.  Contract year 2011 is the last year for the current ICR.  This ICR is requesting approval for </w:t>
      </w:r>
      <w:r w:rsidR="008E63E9" w:rsidRPr="00325DDF">
        <w:rPr>
          <w:sz w:val="24"/>
        </w:rPr>
        <w:t>three</w:t>
      </w:r>
      <w:r w:rsidRPr="00325DDF">
        <w:rPr>
          <w:sz w:val="24"/>
        </w:rPr>
        <w:t xml:space="preserve"> additional years of data collection for these Part C reporting requirements (2012-2014).  </w:t>
      </w:r>
    </w:p>
    <w:bookmarkEnd w:id="1"/>
    <w:p w:rsidR="00517F31" w:rsidRPr="00325DDF" w:rsidRDefault="00517F31" w:rsidP="00517F31">
      <w:pPr>
        <w:rPr>
          <w:b/>
          <w:sz w:val="24"/>
          <w:u w:val="single"/>
        </w:rPr>
      </w:pPr>
    </w:p>
    <w:p w:rsidR="00721997" w:rsidRPr="00325DDF" w:rsidRDefault="00721997" w:rsidP="00517F31">
      <w:pPr>
        <w:rPr>
          <w:b/>
          <w:sz w:val="24"/>
          <w:u w:val="single"/>
        </w:rPr>
      </w:pPr>
    </w:p>
    <w:p w:rsidR="00517F31" w:rsidRPr="00325DDF" w:rsidRDefault="00A16DEE" w:rsidP="00517F31">
      <w:pPr>
        <w:rPr>
          <w:b/>
          <w:sz w:val="24"/>
          <w:u w:val="single"/>
        </w:rPr>
      </w:pPr>
      <w:r w:rsidRPr="00325DDF">
        <w:rPr>
          <w:b/>
          <w:sz w:val="24"/>
          <w:u w:val="single"/>
        </w:rPr>
        <w:br w:type="page"/>
      </w:r>
      <w:r w:rsidR="00517F31" w:rsidRPr="00325DDF">
        <w:rPr>
          <w:b/>
          <w:sz w:val="24"/>
          <w:u w:val="single"/>
        </w:rPr>
        <w:lastRenderedPageBreak/>
        <w:t xml:space="preserve">Reporting Requirement Measures List </w:t>
      </w:r>
    </w:p>
    <w:p w:rsidR="00517F31" w:rsidRPr="00325DDF" w:rsidRDefault="00517F31" w:rsidP="00517F31">
      <w:pPr>
        <w:rPr>
          <w:sz w:val="24"/>
        </w:rPr>
      </w:pPr>
    </w:p>
    <w:p w:rsidR="00517F31" w:rsidRPr="00325DDF" w:rsidRDefault="00517F31" w:rsidP="00517F31">
      <w:pPr>
        <w:rPr>
          <w:sz w:val="24"/>
        </w:rPr>
      </w:pPr>
      <w:r w:rsidRPr="00325DDF">
        <w:rPr>
          <w:sz w:val="24"/>
        </w:rPr>
        <w:t xml:space="preserve">The following summary table provides an overview of the parameters around each of the current Part C reporting requirements measures.  </w:t>
      </w:r>
    </w:p>
    <w:p w:rsidR="004F4A5D" w:rsidRPr="00325DDF" w:rsidRDefault="004F4A5D" w:rsidP="00517F31">
      <w:pPr>
        <w:rPr>
          <w:sz w:val="24"/>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520"/>
        <w:gridCol w:w="1080"/>
        <w:gridCol w:w="1080"/>
        <w:gridCol w:w="2280"/>
      </w:tblGrid>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Measure</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Organization Types Required to Report</w:t>
            </w:r>
          </w:p>
        </w:tc>
        <w:tc>
          <w:tcPr>
            <w:tcW w:w="10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Report Freq./</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Level</w:t>
            </w:r>
          </w:p>
        </w:tc>
        <w:tc>
          <w:tcPr>
            <w:tcW w:w="10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Report</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Period (s)</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325DDF">
              <w:rPr>
                <w:b/>
                <w:sz w:val="24"/>
              </w:rPr>
              <w:t>Data Due date (s)</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 Benefit Utilization</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CCP, PFFS, Demo, MSA (includes all 800 series plans), Employer/Union Direct 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Plan Benefit Package (PBP)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8/31 of the following year </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 Procedure Frequency</w:t>
            </w:r>
          </w:p>
        </w:tc>
        <w:tc>
          <w:tcPr>
            <w:tcW w:w="2520" w:type="dxa"/>
          </w:tcPr>
          <w:p w:rsidR="00517F31" w:rsidRPr="00325DDF" w:rsidRDefault="00517F31" w:rsidP="00517F31">
            <w:pPr>
              <w:rPr>
                <w:sz w:val="24"/>
              </w:rPr>
            </w:pPr>
            <w:r w:rsidRPr="00325DDF">
              <w:rPr>
                <w:sz w:val="24"/>
              </w:rPr>
              <w:t>CCP, PFFS, Demo, MSA (includes all 800 series plans), Employer/Union Direct 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 of following year</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3. Serious Reportable Adverse Events </w:t>
            </w:r>
          </w:p>
        </w:tc>
        <w:tc>
          <w:tcPr>
            <w:tcW w:w="2520" w:type="dxa"/>
          </w:tcPr>
          <w:p w:rsidR="00517F31" w:rsidRPr="00325DDF" w:rsidRDefault="00517F31" w:rsidP="00517F31">
            <w:pPr>
              <w:rPr>
                <w:sz w:val="24"/>
              </w:rPr>
            </w:pPr>
            <w:r w:rsidRPr="00325DDF">
              <w:rPr>
                <w:sz w:val="24"/>
              </w:rPr>
              <w:t>CCP, PFFS, Demo, MSA (includes all 800 series plans) , Employer/Union Direct 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 of following year</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 Provider Network Adequacy</w:t>
            </w:r>
          </w:p>
        </w:tc>
        <w:tc>
          <w:tcPr>
            <w:tcW w:w="2520" w:type="dxa"/>
          </w:tcPr>
          <w:p w:rsidR="00517F31" w:rsidRPr="00325DDF" w:rsidRDefault="00517F31" w:rsidP="00517F31">
            <w:pPr>
              <w:rPr>
                <w:sz w:val="24"/>
              </w:rPr>
            </w:pPr>
            <w:r w:rsidRPr="00325DDF">
              <w:rPr>
                <w:sz w:val="24"/>
              </w:rPr>
              <w:t xml:space="preserve">CCP, 1876 Cost, Demo (includes all 800 series plans) </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1/1 -12/31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 Grievances</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CCP, PFFS, 1876 Cost, Demo, MSA (includes all 800 series plans) , Employer/Union Direct 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4/1-6/30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7/1-9/30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10/1-12/31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8/31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6. Organization Determinations/</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Reconsiderations</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CCP, PFFS, 1876 Cost, Demo, MSA (includes all 800 series plans) , Employer/Union Direct Contract</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4/1-6/30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7/1-9/30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10/1-12/31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8/31</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11/30</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tc>
      </w:tr>
    </w:tbl>
    <w:p w:rsidR="00DF75CE" w:rsidRPr="00325DDF" w:rsidRDefault="00DF75CE">
      <w:pPr>
        <w:rPr>
          <w:sz w:val="24"/>
        </w:rPr>
      </w:pPr>
      <w:r w:rsidRPr="00325DDF">
        <w:rPr>
          <w:sz w:val="24"/>
        </w:rPr>
        <w:br w:type="page"/>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2520"/>
        <w:gridCol w:w="1080"/>
        <w:gridCol w:w="1080"/>
        <w:gridCol w:w="2280"/>
      </w:tblGrid>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lastRenderedPageBreak/>
              <w:t>7. Employer Group Plan Sponsors</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CCP, PFFS, 1876 Cost, Demo, MSA</w:t>
            </w:r>
            <w:r w:rsidRPr="00325DDF" w:rsidDel="00FB1D86">
              <w:rPr>
                <w:sz w:val="24"/>
              </w:rPr>
              <w:t xml:space="preserve"> </w:t>
            </w:r>
            <w:r w:rsidRPr="00325DDF">
              <w:rPr>
                <w:sz w:val="24"/>
              </w:rPr>
              <w:t xml:space="preserve">(includes 800 series plans and any individual plans sold to employer groups), </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Employer/Union Direct Contract</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1/1 - 12/31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8. PFFS Plan Enrollment Verification Calls </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PFFS</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(800-series plans should NOT report) </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Validation unnecessary—using for monitoring only</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9. PFFS Provider Payment Dispute Resolution Process</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PFFS (includes all 800 series plans), Employer/Union Direct Contract</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2/28 of following year </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Validation unnecessary—using for monitoring only</w:t>
            </w: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10. Agent Compensation Structure</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Suspended </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u w:val="single"/>
              </w:rPr>
              <w:t>Indefinitely</w:t>
            </w:r>
            <w:r w:rsidRPr="00325DDF">
              <w:rPr>
                <w:sz w:val="24"/>
              </w:rPr>
              <w:t xml:space="preserve"> </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rsidR="00517F31" w:rsidRPr="00325DDF" w:rsidTr="00517F31">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 Agent Training and Testing</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Suspended </w:t>
            </w:r>
            <w:r w:rsidRPr="00325DDF">
              <w:rPr>
                <w:sz w:val="24"/>
                <w:u w:val="single"/>
              </w:rPr>
              <w:t>indefinitely</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r>
      <w:tr w:rsidR="00517F31" w:rsidRPr="00325DDF" w:rsidTr="00517F31">
        <w:trPr>
          <w:trHeight w:val="90"/>
        </w:trPr>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12. Plan Oversight of Agents</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CCP,  PFFS, 1876, Cost, Demo, MSA (includes all 800 series plans)</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 Contract</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 – 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the following year</w:t>
            </w:r>
          </w:p>
        </w:tc>
      </w:tr>
      <w:tr w:rsidR="00517F31" w:rsidRPr="00325DDF" w:rsidTr="00517F31">
        <w:trPr>
          <w:trHeight w:val="90"/>
        </w:trPr>
        <w:tc>
          <w:tcPr>
            <w:tcW w:w="1908"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13. Special Need Plans (SNP) Care Management</w:t>
            </w:r>
          </w:p>
        </w:tc>
        <w:tc>
          <w:tcPr>
            <w:tcW w:w="252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Local, CCP, Demo, Regional CCP,RFB Local CCP with SNPs </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1/Year</w:t>
            </w: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PBP</w:t>
            </w:r>
          </w:p>
        </w:tc>
        <w:tc>
          <w:tcPr>
            <w:tcW w:w="1080" w:type="dxa"/>
            <w:shd w:val="clear" w:color="auto" w:fill="auto"/>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1/1-12/31</w:t>
            </w:r>
          </w:p>
        </w:tc>
        <w:tc>
          <w:tcPr>
            <w:tcW w:w="2280" w:type="dxa"/>
          </w:tcPr>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 of following year</w:t>
            </w:r>
          </w:p>
        </w:tc>
      </w:tr>
      <w:tr w:rsidR="005811F6" w:rsidRPr="00325DDF" w:rsidTr="00517F31">
        <w:trPr>
          <w:trHeight w:val="90"/>
        </w:trPr>
        <w:tc>
          <w:tcPr>
            <w:tcW w:w="1908" w:type="dxa"/>
          </w:tcPr>
          <w:p w:rsidR="005811F6" w:rsidRPr="00325DDF" w:rsidRDefault="005811F6"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14. Enrollment/</w:t>
            </w:r>
          </w:p>
          <w:p w:rsidR="005811F6" w:rsidRPr="00325DDF" w:rsidRDefault="005811F6"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Disenrollment </w:t>
            </w:r>
          </w:p>
        </w:tc>
        <w:tc>
          <w:tcPr>
            <w:tcW w:w="2520" w:type="dxa"/>
          </w:tcPr>
          <w:p w:rsidR="005811F6" w:rsidRPr="00325DDF" w:rsidRDefault="005811F6" w:rsidP="000C0E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CCP, PFFS, Demo, MSA </w:t>
            </w:r>
          </w:p>
        </w:tc>
        <w:tc>
          <w:tcPr>
            <w:tcW w:w="1080" w:type="dxa"/>
            <w:shd w:val="clear" w:color="auto" w:fill="auto"/>
          </w:tcPr>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4/Year</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Contract</w:t>
            </w:r>
          </w:p>
        </w:tc>
        <w:tc>
          <w:tcPr>
            <w:tcW w:w="1080" w:type="dxa"/>
            <w:shd w:val="clear" w:color="auto" w:fill="auto"/>
          </w:tcPr>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1/1-3/31</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4/1-6/30</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7/1-9/30</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10/1-12/31</w:t>
            </w:r>
          </w:p>
        </w:tc>
        <w:tc>
          <w:tcPr>
            <w:tcW w:w="2280" w:type="dxa"/>
          </w:tcPr>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5/31</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8/31</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11/30</w:t>
            </w:r>
          </w:p>
          <w:p w:rsidR="005811F6" w:rsidRPr="00325DDF" w:rsidRDefault="005811F6" w:rsidP="00FE22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2/28 of following year</w:t>
            </w:r>
          </w:p>
        </w:tc>
      </w:tr>
    </w:tbl>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7F31" w:rsidRPr="00325DDF" w:rsidRDefault="00517F31" w:rsidP="00517F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DF75CE"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br w:type="page"/>
      </w:r>
      <w:r w:rsidR="00A241E3" w:rsidRPr="00325DDF">
        <w:rPr>
          <w:sz w:val="24"/>
        </w:rPr>
        <w:lastRenderedPageBreak/>
        <w:t>B.</w:t>
      </w:r>
      <w:r w:rsidR="00A241E3" w:rsidRPr="00325DDF">
        <w:rPr>
          <w:sz w:val="24"/>
        </w:rPr>
        <w:tab/>
        <w:t>Justification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611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1.</w:t>
      </w:r>
      <w:r w:rsidRPr="00325DDF">
        <w:rPr>
          <w:sz w:val="24"/>
        </w:rPr>
        <w:tab/>
      </w:r>
      <w:r w:rsidR="00A241E3" w:rsidRPr="00325DDF">
        <w:rPr>
          <w:sz w:val="24"/>
        </w:rPr>
        <w:t>Need and Legal Basis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1367" w:rsidRPr="00325DDF" w:rsidRDefault="00A241E3" w:rsidP="000D1D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In accordance with </w:t>
      </w:r>
      <w:r w:rsidR="000D1DEF" w:rsidRPr="00325DDF">
        <w:rPr>
          <w:sz w:val="24"/>
        </w:rPr>
        <w:t>42 CFR</w:t>
      </w:r>
      <w:r w:rsidR="002E70AC" w:rsidRPr="00325DDF">
        <w:rPr>
          <w:sz w:val="24"/>
        </w:rPr>
        <w:t xml:space="preserve"> </w:t>
      </w:r>
      <w:r w:rsidRPr="00325DDF">
        <w:rPr>
          <w:sz w:val="24"/>
        </w:rPr>
        <w:t>§ 42</w:t>
      </w:r>
      <w:r w:rsidR="000D1DEF" w:rsidRPr="00325DDF">
        <w:rPr>
          <w:sz w:val="24"/>
        </w:rPr>
        <w:t>2</w:t>
      </w:r>
      <w:r w:rsidRPr="00325DDF">
        <w:rPr>
          <w:sz w:val="24"/>
        </w:rPr>
        <w:t>.51</w:t>
      </w:r>
      <w:r w:rsidR="000D1DEF" w:rsidRPr="00325DDF">
        <w:rPr>
          <w:sz w:val="24"/>
        </w:rPr>
        <w:t>6</w:t>
      </w:r>
      <w:r w:rsidR="002E70AC" w:rsidRPr="00325DDF">
        <w:rPr>
          <w:sz w:val="24"/>
        </w:rPr>
        <w:t xml:space="preserve"> (a)</w:t>
      </w:r>
      <w:r w:rsidRPr="00325DDF">
        <w:rPr>
          <w:sz w:val="24"/>
        </w:rPr>
        <w:t xml:space="preserve">, each </w:t>
      </w:r>
      <w:r w:rsidR="000D1DEF" w:rsidRPr="00325DDF">
        <w:rPr>
          <w:sz w:val="24"/>
        </w:rPr>
        <w:t>MA organization</w:t>
      </w:r>
      <w:r w:rsidRPr="00325DDF">
        <w:rPr>
          <w:sz w:val="24"/>
        </w:rPr>
        <w:t xml:space="preserve"> </w:t>
      </w:r>
      <w:r w:rsidR="00A138FB" w:rsidRPr="00325DDF">
        <w:rPr>
          <w:sz w:val="24"/>
        </w:rPr>
        <w:t xml:space="preserve">under Part C Medicare </w:t>
      </w:r>
      <w:r w:rsidR="002E70AC" w:rsidRPr="00325DDF">
        <w:rPr>
          <w:sz w:val="24"/>
        </w:rPr>
        <w:t xml:space="preserve">is required </w:t>
      </w:r>
      <w:r w:rsidRPr="00325DDF">
        <w:rPr>
          <w:sz w:val="24"/>
        </w:rPr>
        <w:t xml:space="preserve">to have an effective procedure to provide statistics indicating: </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cost of its operations</w:t>
      </w:r>
      <w:r w:rsidRPr="00325DDF">
        <w:rPr>
          <w:sz w:val="24"/>
        </w:rPr>
        <w:t>.</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patterns of utilization of its services</w:t>
      </w:r>
      <w:r w:rsidRPr="00325DDF">
        <w:rPr>
          <w:sz w:val="24"/>
        </w:rPr>
        <w:t>.</w:t>
      </w:r>
      <w:r w:rsidR="000D1DEF" w:rsidRPr="00325DDF">
        <w:rPr>
          <w:sz w:val="24"/>
        </w:rPr>
        <w:t xml:space="preserve"> </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availability, accessibility, and acceptability of its services</w:t>
      </w:r>
      <w:r w:rsidRPr="00325DDF">
        <w:rPr>
          <w:sz w:val="24"/>
        </w:rPr>
        <w:t>.</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o the extent practical, developments in the health status of its enrollees</w:t>
      </w:r>
      <w:r w:rsidRPr="00325DDF">
        <w:rPr>
          <w:sz w:val="24"/>
        </w:rPr>
        <w:t>.</w:t>
      </w:r>
    </w:p>
    <w:p w:rsidR="000D1DEF"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O</w:t>
      </w:r>
      <w:r w:rsidR="000D1DEF" w:rsidRPr="00325DDF">
        <w:rPr>
          <w:sz w:val="24"/>
        </w:rPr>
        <w:t>ther matters that CMS may require</w:t>
      </w:r>
      <w:r w:rsidRPr="00325DDF">
        <w:rPr>
          <w:sz w:val="24"/>
        </w:rPr>
        <w:t>.</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2.</w:t>
      </w:r>
      <w:r w:rsidRPr="00325DDF">
        <w:rPr>
          <w:sz w:val="24"/>
        </w:rPr>
        <w:tab/>
        <w:t>Information Users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27FD" w:rsidRDefault="00A527FD" w:rsidP="004F4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27FD" w:rsidRDefault="00A527FD" w:rsidP="004F4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27FD" w:rsidRPr="00A527FD" w:rsidRDefault="00A527FD" w:rsidP="00A527FD">
      <w:pPr>
        <w:rPr>
          <w:sz w:val="24"/>
        </w:rPr>
      </w:pPr>
      <w:r w:rsidRPr="00A527FD">
        <w:rPr>
          <w:sz w:val="24"/>
        </w:rPr>
        <w:t xml:space="preserve">Before Part C reporting CMS had mainly clinical performance measures on Part C plans such as HEDIS, CAHPS, and the Health Outcomes Survey (HOS). However, CMS also needs other performance data on Medicare Advantage Organizations (MAOs) under Part C Medicare. CMS has received and continues to receive many inquiries about the operations, costs, availability of services, beneficiary use of available services, patient safety, grievance rates, and other factors pertaining to the performance of MA plans.  Prior to the collection and reporting of these data, CMS was unable to respond to these requests for information.  Now, with the availability of Part C reporting, CMS can respond to most of these requests. </w:t>
      </w:r>
    </w:p>
    <w:p w:rsidR="00A527FD" w:rsidRPr="00A527FD" w:rsidRDefault="00A527FD" w:rsidP="00A527FD">
      <w:pPr>
        <w:rPr>
          <w:sz w:val="24"/>
        </w:rPr>
      </w:pPr>
    </w:p>
    <w:p w:rsidR="00A527FD" w:rsidRPr="00A527FD" w:rsidRDefault="00A527FD" w:rsidP="00A527FD">
      <w:pPr>
        <w:rPr>
          <w:bCs/>
          <w:color w:val="000000" w:themeColor="text1"/>
          <w:sz w:val="24"/>
        </w:rPr>
      </w:pPr>
      <w:r w:rsidRPr="00A527FD">
        <w:rPr>
          <w:bCs/>
          <w:color w:val="000000" w:themeColor="text1"/>
          <w:sz w:val="24"/>
        </w:rPr>
        <w:t>There are a number of information users of Part C reporting.  CMS information users include central and regional office staff, who use this information to monitor health plans and to hold them accountable for their performance.  Among CMS users are top-level CMS administrators, program administrators, group managers, division chiefs, branch managers, account managers, and researchers.  Health plans use this information to measure and benchmark their performance.  Other government agencies such as GAO and IOG have inquired about this information.  In 2008, Congress asked for information about health plan benefits utilization which we did not have at the time.  CMS hopes to make some of these data available for public reporting.</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3.</w:t>
      </w:r>
      <w:r w:rsidRPr="00325DDF">
        <w:rPr>
          <w:sz w:val="24"/>
        </w:rPr>
        <w:tab/>
        <w:t>Use of Information Technology</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6B65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MA organizations</w:t>
      </w:r>
      <w:r w:rsidR="00A241E3" w:rsidRPr="00325DDF">
        <w:rPr>
          <w:sz w:val="24"/>
        </w:rPr>
        <w:t xml:space="preserve"> utilize the Health Plan Management System (HPMS) to submit or enter data for </w:t>
      </w:r>
      <w:r w:rsidR="00223CB1" w:rsidRPr="00325DDF">
        <w:rPr>
          <w:sz w:val="24"/>
        </w:rPr>
        <w:t>100% of the</w:t>
      </w:r>
      <w:r w:rsidR="00A241E3" w:rsidRPr="00325DDF">
        <w:rPr>
          <w:sz w:val="24"/>
        </w:rPr>
        <w:t xml:space="preserve"> data elements listed within these reporting requirements.  The reporting time periods vary for each section of the reporting requirements, on a quarterly, semi-annual or yearly basis.  HPMS is </w:t>
      </w:r>
      <w:r w:rsidR="001A0393" w:rsidRPr="00325DDF">
        <w:rPr>
          <w:sz w:val="24"/>
        </w:rPr>
        <w:t>the current</w:t>
      </w:r>
      <w:r w:rsidR="00A241E3" w:rsidRPr="00325DDF">
        <w:rPr>
          <w:sz w:val="24"/>
        </w:rPr>
        <w:t xml:space="preserve"> conduit by which </w:t>
      </w:r>
      <w:r w:rsidR="00DF672A" w:rsidRPr="00325DDF">
        <w:rPr>
          <w:sz w:val="24"/>
        </w:rPr>
        <w:t>MA organizations</w:t>
      </w:r>
      <w:r w:rsidR="00A241E3" w:rsidRPr="00325DDF">
        <w:rPr>
          <w:sz w:val="24"/>
        </w:rPr>
        <w:t xml:space="preserve"> submit </w:t>
      </w:r>
      <w:r w:rsidR="002303C8" w:rsidRPr="00325DDF">
        <w:rPr>
          <w:sz w:val="24"/>
        </w:rPr>
        <w:t>data to CMS; for example, application materials, bids, and formularies if offering Medicare Part D.</w:t>
      </w:r>
      <w:r w:rsidR="00A241E3" w:rsidRPr="00325DDF">
        <w:rPr>
          <w:sz w:val="24"/>
        </w:rPr>
        <w:t xml:space="preserve">  CMS and its subcontractors, in turn, communicate to </w:t>
      </w:r>
      <w:r w:rsidR="00DF672A" w:rsidRPr="00325DDF">
        <w:rPr>
          <w:sz w:val="24"/>
        </w:rPr>
        <w:t>MA organizations</w:t>
      </w:r>
      <w:r w:rsidR="00A241E3" w:rsidRPr="00325DDF">
        <w:rPr>
          <w:sz w:val="24"/>
        </w:rPr>
        <w:t xml:space="preserve"> regarding this information, including approval and denial notices and other related announcements</w:t>
      </w:r>
      <w:r w:rsidR="002303C8" w:rsidRPr="00325DDF">
        <w:rPr>
          <w:sz w:val="24"/>
        </w:rPr>
        <w:t xml:space="preserve"> through HPMS.</w:t>
      </w:r>
      <w:r w:rsidR="00A241E3" w:rsidRPr="00325DDF">
        <w:rPr>
          <w:sz w:val="24"/>
        </w:rPr>
        <w:t xml:space="preserve">  HPMS, therefore, is already a familiar tool </w:t>
      </w:r>
      <w:r w:rsidR="002303C8" w:rsidRPr="00325DDF">
        <w:rPr>
          <w:sz w:val="24"/>
        </w:rPr>
        <w:t xml:space="preserve">to </w:t>
      </w:r>
      <w:r w:rsidR="00DF672A" w:rsidRPr="00325DDF">
        <w:rPr>
          <w:sz w:val="24"/>
        </w:rPr>
        <w:t>MA organizations</w:t>
      </w:r>
      <w:r w:rsidR="002303C8" w:rsidRPr="00325DDF">
        <w:rPr>
          <w:sz w:val="24"/>
        </w:rPr>
        <w:t>.</w:t>
      </w:r>
      <w:r w:rsidR="00A241E3" w:rsidRPr="00325DDF">
        <w:rPr>
          <w:sz w:val="24"/>
        </w:rPr>
        <w:t xml:space="preserve">  </w:t>
      </w:r>
      <w:r w:rsidR="002303C8" w:rsidRPr="00325DDF">
        <w:rPr>
          <w:sz w:val="24"/>
        </w:rPr>
        <w:t xml:space="preserve">If organizations are already reporting data elements through HEDIS®, they </w:t>
      </w:r>
      <w:r w:rsidR="004F4A5D" w:rsidRPr="00325DDF">
        <w:rPr>
          <w:sz w:val="24"/>
        </w:rPr>
        <w:t>are</w:t>
      </w:r>
      <w:r w:rsidR="002303C8" w:rsidRPr="00325DDF">
        <w:rPr>
          <w:sz w:val="24"/>
        </w:rPr>
        <w:t xml:space="preserve"> exempt from reporting identical </w:t>
      </w:r>
      <w:r w:rsidR="002303C8" w:rsidRPr="00325DDF">
        <w:rPr>
          <w:sz w:val="24"/>
        </w:rPr>
        <w:lastRenderedPageBreak/>
        <w:t xml:space="preserve">information under this PRA package. </w:t>
      </w:r>
      <w:r w:rsidR="00A241E3" w:rsidRPr="00325DDF">
        <w:rPr>
          <w:sz w:val="24"/>
        </w:rPr>
        <w:t>Additionally, as access to HPMS must be granted to each user, and is protected by individual login and password, electronic signatures are unnecessary.</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4.</w:t>
      </w:r>
      <w:r w:rsidRPr="00325DDF">
        <w:rPr>
          <w:sz w:val="24"/>
        </w:rPr>
        <w:tab/>
        <w:t>Duplication of Efforts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This collection does not contain duplication of similar information.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5.</w:t>
      </w:r>
      <w:r w:rsidRPr="00325DDF">
        <w:rPr>
          <w:sz w:val="24"/>
        </w:rPr>
        <w:tab/>
        <w:t>Small Businesses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7754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There are no small businesses involved.</w:t>
      </w:r>
      <w:r w:rsidR="00A241E3" w:rsidRPr="00325DDF">
        <w:rPr>
          <w:sz w:val="24"/>
        </w:rPr>
        <w:t xml:space="preserve">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DF75CE"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br w:type="page"/>
      </w:r>
      <w:r w:rsidR="00A241E3" w:rsidRPr="00325DDF">
        <w:rPr>
          <w:sz w:val="24"/>
        </w:rPr>
        <w:lastRenderedPageBreak/>
        <w:t>6.</w:t>
      </w:r>
      <w:r w:rsidR="00A241E3" w:rsidRPr="00325DDF">
        <w:rPr>
          <w:sz w:val="24"/>
        </w:rPr>
        <w:tab/>
        <w:t>Less Frequent Collection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31EB" w:rsidRPr="00B24FAB" w:rsidRDefault="00A241E3" w:rsidP="003731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In an effort to reduce </w:t>
      </w:r>
      <w:r w:rsidR="00BE5A84" w:rsidRPr="00325DDF">
        <w:rPr>
          <w:sz w:val="24"/>
        </w:rPr>
        <w:t xml:space="preserve">the </w:t>
      </w:r>
      <w:r w:rsidRPr="00325DDF">
        <w:rPr>
          <w:sz w:val="24"/>
        </w:rPr>
        <w:t xml:space="preserve">burden for </w:t>
      </w:r>
      <w:r w:rsidR="00A138FB" w:rsidRPr="00325DDF">
        <w:rPr>
          <w:sz w:val="24"/>
        </w:rPr>
        <w:t>MA organizations</w:t>
      </w:r>
      <w:r w:rsidRPr="00325DDF">
        <w:rPr>
          <w:sz w:val="24"/>
        </w:rPr>
        <w:t xml:space="preserve">, </w:t>
      </w:r>
      <w:r w:rsidR="004F4A5D" w:rsidRPr="00325DDF">
        <w:rPr>
          <w:sz w:val="24"/>
        </w:rPr>
        <w:t xml:space="preserve">measures vary in terms </w:t>
      </w:r>
      <w:r w:rsidR="00BA7BDB" w:rsidRPr="00325DDF">
        <w:rPr>
          <w:sz w:val="24"/>
        </w:rPr>
        <w:t>of reporting</w:t>
      </w:r>
      <w:r w:rsidRPr="00325DDF">
        <w:rPr>
          <w:sz w:val="24"/>
        </w:rPr>
        <w:t xml:space="preserve"> </w:t>
      </w:r>
      <w:r w:rsidR="004F4A5D" w:rsidRPr="00325DDF">
        <w:rPr>
          <w:sz w:val="24"/>
        </w:rPr>
        <w:t xml:space="preserve">frequency in order </w:t>
      </w:r>
      <w:r w:rsidRPr="00325DDF">
        <w:rPr>
          <w:sz w:val="24"/>
        </w:rPr>
        <w:t xml:space="preserve">to capture data as frequently as necessary without increasing undue burden for </w:t>
      </w:r>
      <w:r w:rsidR="00A138FB" w:rsidRPr="00325DDF">
        <w:rPr>
          <w:sz w:val="24"/>
        </w:rPr>
        <w:t>MA organizations</w:t>
      </w:r>
      <w:r w:rsidRPr="00325DDF">
        <w:rPr>
          <w:sz w:val="24"/>
        </w:rPr>
        <w:t>.</w:t>
      </w:r>
      <w:r w:rsidR="0077546C" w:rsidRPr="00325DDF">
        <w:rPr>
          <w:sz w:val="24"/>
        </w:rPr>
        <w:t xml:space="preserve">  </w:t>
      </w:r>
      <w:r w:rsidR="003731EB" w:rsidRPr="00B24FAB">
        <w:rPr>
          <w:sz w:val="24"/>
          <w:szCs w:val="22"/>
        </w:rPr>
        <w:t xml:space="preserve">Less frequent collection of the reporting requirement data from MA organizations would severely limit CMS’ ability to perform accurate and timely oversight, monitoring, compliance and auditing activities around the Part C MA benefits.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7.</w:t>
      </w:r>
      <w:r w:rsidRPr="00325DDF">
        <w:rPr>
          <w:sz w:val="24"/>
        </w:rPr>
        <w:tab/>
        <w:t>Special Circumstances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As mandated by</w:t>
      </w:r>
      <w:r w:rsidR="002E6EFF" w:rsidRPr="00325DDF">
        <w:rPr>
          <w:sz w:val="24"/>
        </w:rPr>
        <w:t xml:space="preserve"> 42CFR §422.504 (d)</w:t>
      </w:r>
      <w:r w:rsidR="00A138FB" w:rsidRPr="00325DDF">
        <w:rPr>
          <w:sz w:val="24"/>
        </w:rPr>
        <w:t xml:space="preserve">, </w:t>
      </w:r>
      <w:r w:rsidRPr="00325DDF">
        <w:rPr>
          <w:sz w:val="24"/>
        </w:rPr>
        <w:t xml:space="preserve"> </w:t>
      </w:r>
      <w:r w:rsidR="002E6EFF" w:rsidRPr="00325DDF">
        <w:rPr>
          <w:sz w:val="24"/>
        </w:rPr>
        <w:t xml:space="preserve">MA organizations must agree to maintain for 10 years books, records, documents and other evidence of accounting procedures and practices.                                      </w:t>
      </w:r>
    </w:p>
    <w:p w:rsidR="00A241E3" w:rsidRPr="00325DDF" w:rsidRDefault="00A241E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CMS could potentially require clarification around submitted data, and therefore CMS may need to contact </w:t>
      </w:r>
      <w:r w:rsidR="00A138FB" w:rsidRPr="00325DDF">
        <w:rPr>
          <w:sz w:val="24"/>
        </w:rPr>
        <w:t>MA organizations</w:t>
      </w:r>
      <w:r w:rsidRPr="00325DDF">
        <w:rPr>
          <w:sz w:val="24"/>
        </w:rPr>
        <w:t xml:space="preserve"> within </w:t>
      </w:r>
      <w:r w:rsidR="00885596" w:rsidRPr="00325DDF">
        <w:rPr>
          <w:sz w:val="24"/>
        </w:rPr>
        <w:t>60</w:t>
      </w:r>
      <w:r w:rsidRPr="00325DDF">
        <w:rPr>
          <w:sz w:val="24"/>
        </w:rPr>
        <w:t xml:space="preserve"> days of data submission.  </w:t>
      </w:r>
    </w:p>
    <w:p w:rsidR="002B6C97" w:rsidRPr="00325DDF" w:rsidRDefault="002B6C97"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8.</w:t>
      </w:r>
      <w:r w:rsidRPr="00325DDF">
        <w:rPr>
          <w:sz w:val="24"/>
        </w:rPr>
        <w:tab/>
        <w:t>Federal Register/Outside Consultation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16FD" w:rsidRPr="00325DDF" w:rsidRDefault="008316FD" w:rsidP="008316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325DDF">
        <w:rPr>
          <w:b/>
          <w:bCs/>
          <w:sz w:val="24"/>
        </w:rPr>
        <w:tab/>
      </w:r>
      <w:r w:rsidRPr="00325DDF">
        <w:rPr>
          <w:bCs/>
          <w:sz w:val="24"/>
        </w:rPr>
        <w:t>The 20</w:t>
      </w:r>
      <w:r w:rsidR="004F4A5D" w:rsidRPr="00325DDF">
        <w:rPr>
          <w:bCs/>
          <w:sz w:val="24"/>
        </w:rPr>
        <w:t>12</w:t>
      </w:r>
      <w:r w:rsidRPr="00325DDF">
        <w:rPr>
          <w:bCs/>
          <w:sz w:val="24"/>
        </w:rPr>
        <w:t xml:space="preserve"> Part C reporting requirement document </w:t>
      </w:r>
      <w:r w:rsidR="00E643D7" w:rsidRPr="00325DDF">
        <w:rPr>
          <w:bCs/>
          <w:sz w:val="24"/>
        </w:rPr>
        <w:t xml:space="preserve">was </w:t>
      </w:r>
      <w:r w:rsidRPr="00325DDF">
        <w:rPr>
          <w:bCs/>
          <w:sz w:val="24"/>
        </w:rPr>
        <w:t xml:space="preserve">posted in the Federal Registry </w:t>
      </w:r>
      <w:r w:rsidRPr="00325DDF">
        <w:rPr>
          <w:bCs/>
          <w:sz w:val="24"/>
        </w:rPr>
        <w:tab/>
        <w:t>for a 60-day comment period</w:t>
      </w:r>
      <w:r w:rsidR="00E643D7" w:rsidRPr="00325DDF">
        <w:rPr>
          <w:bCs/>
          <w:sz w:val="24"/>
        </w:rPr>
        <w:t xml:space="preserve"> on December 17, 2010.</w:t>
      </w:r>
      <w:r w:rsidRPr="00325DDF">
        <w:rPr>
          <w:bCs/>
          <w:sz w:val="24"/>
        </w:rPr>
        <w:t xml:space="preserve"> Another Federal Register notice will be published for a30-day comment period.</w:t>
      </w:r>
      <w:r w:rsidR="00F13EE7" w:rsidRPr="00325DDF">
        <w:rPr>
          <w:bCs/>
          <w:sz w:val="24"/>
        </w:rPr>
        <w:t xml:space="preserve"> </w:t>
      </w:r>
      <w:r w:rsidRPr="00325DDF">
        <w:rPr>
          <w:bCs/>
          <w:sz w:val="24"/>
        </w:rPr>
        <w:t>CMS staff will review all received comments and questions,</w:t>
      </w:r>
      <w:r w:rsidR="00D4096D">
        <w:rPr>
          <w:bCs/>
          <w:sz w:val="24"/>
        </w:rPr>
        <w:t xml:space="preserve"> </w:t>
      </w:r>
      <w:r w:rsidRPr="00325DDF">
        <w:rPr>
          <w:bCs/>
          <w:sz w:val="24"/>
        </w:rPr>
        <w:t>revise</w:t>
      </w:r>
      <w:r w:rsidR="00F13EE7" w:rsidRPr="00325DDF">
        <w:rPr>
          <w:bCs/>
          <w:sz w:val="24"/>
        </w:rPr>
        <w:t xml:space="preserve"> </w:t>
      </w:r>
      <w:r w:rsidRPr="00325DDF">
        <w:rPr>
          <w:bCs/>
          <w:sz w:val="24"/>
        </w:rPr>
        <w:t xml:space="preserve">the document as appropriate, and forward revisions to the Office of the DHHS </w:t>
      </w:r>
      <w:r w:rsidRPr="00325DDF">
        <w:rPr>
          <w:bCs/>
          <w:sz w:val="24"/>
        </w:rPr>
        <w:tab/>
        <w:t xml:space="preserve">Secretary for submission to OMB. </w:t>
      </w:r>
    </w:p>
    <w:p w:rsidR="00BC60B8" w:rsidRPr="00325DDF" w:rsidRDefault="00BC60B8" w:rsidP="00BC60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C60B8" w:rsidRPr="00325DDF" w:rsidRDefault="00BC60B8" w:rsidP="00BC60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9.</w:t>
      </w:r>
      <w:r w:rsidRPr="00325DDF">
        <w:rPr>
          <w:sz w:val="24"/>
        </w:rPr>
        <w:tab/>
        <w:t>Payments/Gifts to Respondents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There are no payments/gifts to respondents associated with this information collection request.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10.</w:t>
      </w:r>
      <w:r w:rsidRPr="00325DDF">
        <w:rPr>
          <w:sz w:val="24"/>
        </w:rPr>
        <w:tab/>
        <w:t>Confidentiality</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CMS will adhere to all statutes, regulations, and agency policies. </w:t>
      </w:r>
      <w:r w:rsidR="00992C12" w:rsidRPr="00325DDF">
        <w:rPr>
          <w:sz w:val="24"/>
        </w:rPr>
        <w:t xml:space="preserve">CMS will not be requesting any beneficiary identification information.  Social security numbers will not be collected.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11.</w:t>
      </w:r>
      <w:r w:rsidRPr="00325DDF">
        <w:rPr>
          <w:sz w:val="24"/>
        </w:rPr>
        <w:tab/>
        <w:t>Sensitive Questions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CA0F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 xml:space="preserve">CMS will adhere to all statutes, regulations, and agency policies. </w:t>
      </w:r>
      <w:r w:rsidR="003731EB">
        <w:rPr>
          <w:sz w:val="24"/>
        </w:rPr>
        <w:t xml:space="preserve">There are no sensitive questions being asked in this reporting initiative.  This is a data collection and reporting effort that concentrates on </w:t>
      </w:r>
      <w:r w:rsidR="00CA0FBD">
        <w:rPr>
          <w:sz w:val="24"/>
        </w:rPr>
        <w:t xml:space="preserve">collecting and reporting of data related to access to benefits, quality of care, plan monitoring, and oversight. All of these areas are focuses of concern and need to be supported by accurate, complete, and comparable reporting.  </w:t>
      </w:r>
    </w:p>
    <w:p w:rsidR="00CA3035" w:rsidRPr="00325DDF" w:rsidRDefault="00CA3035"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CA3035" w:rsidRPr="00325DDF" w:rsidRDefault="00CA3035"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750145" w:rsidRPr="00325DDF" w:rsidRDefault="00DF75CE" w:rsidP="00750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br w:type="page"/>
      </w:r>
      <w:r w:rsidR="00CA3035" w:rsidRPr="00325DDF">
        <w:rPr>
          <w:sz w:val="24"/>
        </w:rPr>
        <w:lastRenderedPageBreak/>
        <w:t>12.</w:t>
      </w:r>
      <w:r w:rsidR="00CA3035" w:rsidRPr="00325DDF">
        <w:rPr>
          <w:sz w:val="24"/>
        </w:rPr>
        <w:tab/>
        <w:t>Burden Estimates (Hours &amp; Wages)</w:t>
      </w:r>
    </w:p>
    <w:p w:rsidR="00750145" w:rsidRPr="00325DDF" w:rsidRDefault="00750145" w:rsidP="00750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750145" w:rsidRPr="00325DDF" w:rsidRDefault="0075014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r w:rsidRPr="00325DDF">
        <w:rPr>
          <w:sz w:val="24"/>
        </w:rPr>
        <w:tab/>
        <w:t xml:space="preserve">The burden associated with this ICR is the time and resources it takes to develop computer code to compile the data, gather the ‘raw” data, “clean” the data in order to eliminate errors, enter data, review technical specifications, and perform tests on the data.  </w:t>
      </w:r>
    </w:p>
    <w:p w:rsidR="00CA3035" w:rsidRPr="00325DDF" w:rsidRDefault="00CA303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p>
    <w:p w:rsidR="00781991" w:rsidRPr="00325DDF" w:rsidRDefault="00CA303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r w:rsidRPr="00325DDF">
        <w:rPr>
          <w:sz w:val="24"/>
        </w:rPr>
        <w:tab/>
      </w:r>
      <w:r w:rsidR="00781991" w:rsidRPr="00325DDF">
        <w:rPr>
          <w:sz w:val="24"/>
        </w:rPr>
        <w:t>Virtually all</w:t>
      </w:r>
      <w:r w:rsidRPr="00325DDF">
        <w:rPr>
          <w:sz w:val="24"/>
        </w:rPr>
        <w:t xml:space="preserve"> of the data elements required to support the Part C Reporting Requirements are already available to MA organizations. Anticipated staff performing these data collection would be </w:t>
      </w:r>
      <w:r w:rsidR="00781991" w:rsidRPr="00325DDF">
        <w:rPr>
          <w:sz w:val="24"/>
        </w:rPr>
        <w:t>computer systems analysts</w:t>
      </w:r>
      <w:r w:rsidRPr="00325DDF">
        <w:rPr>
          <w:sz w:val="24"/>
        </w:rPr>
        <w:t>.  An average competitive hourly rate (including wages, benefits and overhead) of $</w:t>
      </w:r>
      <w:r w:rsidR="00781991" w:rsidRPr="00325DDF">
        <w:rPr>
          <w:sz w:val="24"/>
        </w:rPr>
        <w:t>63.09</w:t>
      </w:r>
      <w:r w:rsidRPr="00325DDF">
        <w:rPr>
          <w:sz w:val="24"/>
        </w:rPr>
        <w:t xml:space="preserve"> was used to calculate estimated costs</w:t>
      </w:r>
      <w:r w:rsidR="00781991" w:rsidRPr="00325DDF">
        <w:rPr>
          <w:sz w:val="24"/>
        </w:rPr>
        <w:t xml:space="preserve"> (data from http://bls.gov/oes/2009/may/oes151051.htm).</w:t>
      </w:r>
    </w:p>
    <w:p w:rsidR="00CA3035" w:rsidRPr="00325DDF" w:rsidRDefault="00CA303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7172" w:rsidRDefault="00BE7172"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97363" w:rsidRDefault="00BE7172" w:rsidP="00C973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an outgrowth of discussions with OMB on August 4, 2011, CMS became aware that it was about to request “double-reporting” for the new enrollment/disenrollment measure.  The reason is that MA-only and MA-PD organizations were included in both the Part C enrollment/disenrollment “measure” and the Part D enrollment/disenrollment “section.” We have now eliminated the “double-reporting” issue:  Part C will only request that MA-only organization report for Part C.  There are only 16 of them.  This reduces the </w:t>
      </w:r>
      <w:r w:rsidR="008E0651">
        <w:rPr>
          <w:sz w:val="24"/>
        </w:rPr>
        <w:t xml:space="preserve">annual </w:t>
      </w:r>
      <w:r>
        <w:rPr>
          <w:sz w:val="24"/>
        </w:rPr>
        <w:t>burden estimate substantially</w:t>
      </w:r>
      <w:r w:rsidR="008E0651">
        <w:rPr>
          <w:sz w:val="24"/>
        </w:rPr>
        <w:t xml:space="preserve"> for the new Part C enrollment/disenrollment measure. Previously we had an annual hourly burden estimate of this measure at 37,632 because we had included 588 organizations as respondents.  The new annual hourly burden estimate is 1,024 with only 16 respondents. </w:t>
      </w:r>
      <w:r>
        <w:rPr>
          <w:sz w:val="24"/>
        </w:rPr>
        <w:t xml:space="preserve"> </w:t>
      </w:r>
    </w:p>
    <w:p w:rsidR="00C97363" w:rsidRDefault="00C97363" w:rsidP="00191F78">
      <w:pPr>
        <w:rPr>
          <w:sz w:val="24"/>
        </w:rPr>
      </w:pPr>
    </w:p>
    <w:p w:rsidR="00952080" w:rsidRDefault="00191F78" w:rsidP="00191F78">
      <w:pPr>
        <w:rPr>
          <w:sz w:val="24"/>
        </w:rPr>
      </w:pPr>
      <w:r>
        <w:rPr>
          <w:sz w:val="24"/>
        </w:rPr>
        <w:t xml:space="preserve">The burden estimates by measure are contained in the following table.  The measures are shown in the leftmost column.  The second column from the left is the </w:t>
      </w:r>
      <w:r w:rsidR="00952080">
        <w:rPr>
          <w:sz w:val="24"/>
        </w:rPr>
        <w:t xml:space="preserve">measure-specific </w:t>
      </w:r>
      <w:r>
        <w:rPr>
          <w:sz w:val="24"/>
        </w:rPr>
        <w:t>estimated number of burden hours for each respondent (health contract, sometimes also referred to as heath plan).  The third column from the left is the number of contracts reporting th</w:t>
      </w:r>
      <w:r w:rsidR="00952080">
        <w:rPr>
          <w:sz w:val="24"/>
        </w:rPr>
        <w:t>e</w:t>
      </w:r>
      <w:r>
        <w:rPr>
          <w:sz w:val="24"/>
        </w:rPr>
        <w:t xml:space="preserve"> measure.  The number varies by measure, because the number of health contracts reporting depends on the organization type. The next column shows the </w:t>
      </w:r>
      <w:r w:rsidR="00952080">
        <w:rPr>
          <w:sz w:val="24"/>
        </w:rPr>
        <w:t xml:space="preserve">measure-specific </w:t>
      </w:r>
      <w:r>
        <w:rPr>
          <w:sz w:val="24"/>
        </w:rPr>
        <w:t>frequency of reporting (most measures are reported once annually but three are reported 4 times annually</w:t>
      </w:r>
      <w:r w:rsidR="00254AB7">
        <w:rPr>
          <w:sz w:val="24"/>
        </w:rPr>
        <w:t>--</w:t>
      </w:r>
      <w:r>
        <w:rPr>
          <w:sz w:val="24"/>
        </w:rPr>
        <w:t xml:space="preserve">reported each quarter). </w:t>
      </w:r>
      <w:r w:rsidR="00952080">
        <w:rPr>
          <w:sz w:val="24"/>
        </w:rPr>
        <w:t>The next column shows the number of respondents</w:t>
      </w:r>
      <w:r>
        <w:rPr>
          <w:sz w:val="24"/>
        </w:rPr>
        <w:t xml:space="preserve"> </w:t>
      </w:r>
      <w:r w:rsidR="00952080">
        <w:rPr>
          <w:sz w:val="24"/>
        </w:rPr>
        <w:t>multiplied by the reporting frequency for each measure. This is a calculation needed to compute the total hourly burden.  The measure-specific total annual hourly burden is shown in the next column.  It is equal to the number in the previous column—the no. of respondents times the frequency of reporting on an annual basis—times the measure-specific estimated annual hours per respondent.  The last column, the rightmost column, is the average annual burden per respondent.  It equals the measure-specific annual hourly burden divided by the number of respondents.</w:t>
      </w:r>
    </w:p>
    <w:p w:rsidR="00952080" w:rsidRDefault="00952080" w:rsidP="00191F78">
      <w:pPr>
        <w:rPr>
          <w:sz w:val="24"/>
        </w:rPr>
      </w:pPr>
    </w:p>
    <w:p w:rsidR="00136BF9" w:rsidRDefault="00952080" w:rsidP="00191F78">
      <w:pPr>
        <w:rPr>
          <w:sz w:val="24"/>
        </w:rPr>
      </w:pPr>
      <w:r>
        <w:rPr>
          <w:sz w:val="24"/>
        </w:rPr>
        <w:t xml:space="preserve">To get an estimate of the </w:t>
      </w:r>
      <w:r w:rsidR="00C97363">
        <w:rPr>
          <w:sz w:val="24"/>
        </w:rPr>
        <w:t xml:space="preserve">annual </w:t>
      </w:r>
      <w:r>
        <w:rPr>
          <w:sz w:val="24"/>
        </w:rPr>
        <w:t xml:space="preserve">total burden hours across all measures, we summed the numbers in the column labeled “Total Part C Hour Burden.”  This equaled 208,920 hours.  </w:t>
      </w:r>
      <w:r w:rsidR="00C97363">
        <w:rPr>
          <w:sz w:val="24"/>
        </w:rPr>
        <w:t xml:space="preserve">To calculate the estimate of the total annual cost burden, we multiplied the hours, 208,920 times the estimated average cost per hour for computer systems analysts, including fringe, benefits, and overhead ($63.09).  The total annual estimated cost burden was, therefore, $13,180,763 (208,920 times $63.09).    </w:t>
      </w:r>
      <w:r w:rsidR="00136BF9">
        <w:rPr>
          <w:sz w:val="24"/>
        </w:rPr>
        <w:br w:type="page"/>
      </w:r>
    </w:p>
    <w:tbl>
      <w:tblPr>
        <w:tblW w:w="9617" w:type="dxa"/>
        <w:tblInd w:w="103" w:type="dxa"/>
        <w:tblLayout w:type="fixed"/>
        <w:tblLook w:val="04A0"/>
      </w:tblPr>
      <w:tblGrid>
        <w:gridCol w:w="2435"/>
        <w:gridCol w:w="1530"/>
        <w:gridCol w:w="990"/>
        <w:gridCol w:w="1072"/>
        <w:gridCol w:w="1160"/>
        <w:gridCol w:w="828"/>
        <w:gridCol w:w="1602"/>
      </w:tblGrid>
      <w:tr w:rsidR="00C97363" w:rsidRPr="00136BF9" w:rsidTr="000F7E2F">
        <w:trPr>
          <w:trHeight w:val="440"/>
        </w:trPr>
        <w:tc>
          <w:tcPr>
            <w:tcW w:w="961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363" w:rsidRPr="00C97363" w:rsidRDefault="00C97363" w:rsidP="00C97363">
            <w:pPr>
              <w:widowControl/>
              <w:autoSpaceDE/>
              <w:autoSpaceDN/>
              <w:adjustRightInd/>
              <w:jc w:val="center"/>
              <w:rPr>
                <w:sz w:val="24"/>
              </w:rPr>
            </w:pPr>
            <w:r w:rsidRPr="00C97363">
              <w:rPr>
                <w:sz w:val="24"/>
              </w:rPr>
              <w:lastRenderedPageBreak/>
              <w:t xml:space="preserve">CY2012 </w:t>
            </w:r>
            <w:r w:rsidR="000F7E2F">
              <w:rPr>
                <w:sz w:val="24"/>
              </w:rPr>
              <w:t>E</w:t>
            </w:r>
            <w:r w:rsidRPr="00C97363">
              <w:rPr>
                <w:sz w:val="24"/>
              </w:rPr>
              <w:t xml:space="preserve">stimated </w:t>
            </w:r>
            <w:r w:rsidR="000F7E2F">
              <w:rPr>
                <w:sz w:val="24"/>
              </w:rPr>
              <w:t>H</w:t>
            </w:r>
            <w:r w:rsidRPr="00C97363">
              <w:rPr>
                <w:sz w:val="24"/>
              </w:rPr>
              <w:t xml:space="preserve">ours and </w:t>
            </w:r>
            <w:r w:rsidR="000F7E2F">
              <w:rPr>
                <w:sz w:val="24"/>
              </w:rPr>
              <w:t>C</w:t>
            </w:r>
            <w:r w:rsidRPr="00C97363">
              <w:rPr>
                <w:sz w:val="24"/>
              </w:rPr>
              <w:t>osts</w:t>
            </w:r>
          </w:p>
          <w:p w:rsidR="00C97363" w:rsidRPr="00136BF9" w:rsidRDefault="00C97363" w:rsidP="00136BF9">
            <w:pPr>
              <w:widowControl/>
              <w:autoSpaceDE/>
              <w:autoSpaceDN/>
              <w:adjustRightInd/>
              <w:rPr>
                <w:szCs w:val="20"/>
              </w:rPr>
            </w:pPr>
            <w:r w:rsidRPr="00136BF9">
              <w:rPr>
                <w:szCs w:val="20"/>
              </w:rPr>
              <w:t> </w:t>
            </w:r>
          </w:p>
          <w:p w:rsidR="00C97363" w:rsidRPr="00136BF9" w:rsidRDefault="00C97363" w:rsidP="00136BF9">
            <w:pPr>
              <w:widowControl/>
              <w:autoSpaceDE/>
              <w:autoSpaceDN/>
              <w:adjustRightInd/>
              <w:rPr>
                <w:sz w:val="18"/>
                <w:szCs w:val="18"/>
              </w:rPr>
            </w:pPr>
            <w:r w:rsidRPr="00136BF9">
              <w:rPr>
                <w:sz w:val="18"/>
                <w:szCs w:val="18"/>
              </w:rPr>
              <w:t> </w:t>
            </w:r>
          </w:p>
          <w:p w:rsidR="00C97363" w:rsidRPr="00136BF9" w:rsidRDefault="00C97363" w:rsidP="00136BF9">
            <w:pPr>
              <w:widowControl/>
              <w:autoSpaceDE/>
              <w:autoSpaceDN/>
              <w:adjustRightInd/>
              <w:rPr>
                <w:sz w:val="18"/>
                <w:szCs w:val="18"/>
              </w:rPr>
            </w:pPr>
            <w:r w:rsidRPr="00136BF9">
              <w:rPr>
                <w:sz w:val="18"/>
                <w:szCs w:val="18"/>
              </w:rPr>
              <w:t> </w:t>
            </w:r>
          </w:p>
          <w:p w:rsidR="00C97363" w:rsidRPr="00136BF9" w:rsidRDefault="00C97363" w:rsidP="00136BF9">
            <w:pPr>
              <w:widowControl/>
              <w:autoSpaceDE/>
              <w:autoSpaceDN/>
              <w:adjustRightInd/>
              <w:rPr>
                <w:sz w:val="18"/>
                <w:szCs w:val="18"/>
              </w:rPr>
            </w:pPr>
            <w:r w:rsidRPr="00136BF9">
              <w:rPr>
                <w:sz w:val="18"/>
                <w:szCs w:val="18"/>
              </w:rPr>
              <w:t> </w:t>
            </w:r>
          </w:p>
          <w:p w:rsidR="00C97363" w:rsidRPr="00136BF9" w:rsidRDefault="00C97363" w:rsidP="00136BF9">
            <w:pPr>
              <w:widowControl/>
              <w:autoSpaceDE/>
              <w:autoSpaceDN/>
              <w:adjustRightInd/>
              <w:rPr>
                <w:sz w:val="18"/>
                <w:szCs w:val="18"/>
              </w:rPr>
            </w:pPr>
            <w:r w:rsidRPr="00136BF9">
              <w:rPr>
                <w:sz w:val="18"/>
                <w:szCs w:val="18"/>
              </w:rPr>
              <w:t> </w:t>
            </w:r>
          </w:p>
          <w:p w:rsidR="00C97363" w:rsidRPr="00136BF9" w:rsidRDefault="00C97363" w:rsidP="00136BF9">
            <w:pPr>
              <w:widowControl/>
              <w:autoSpaceDE/>
              <w:autoSpaceDN/>
              <w:adjustRightInd/>
              <w:rPr>
                <w:sz w:val="18"/>
                <w:szCs w:val="18"/>
              </w:rPr>
            </w:pPr>
            <w:r w:rsidRPr="00136BF9">
              <w:rPr>
                <w:sz w:val="18"/>
                <w:szCs w:val="18"/>
              </w:rPr>
              <w:t> </w:t>
            </w:r>
          </w:p>
        </w:tc>
      </w:tr>
      <w:tr w:rsidR="000F7E2F" w:rsidRPr="00136BF9" w:rsidTr="000F7E2F">
        <w:trPr>
          <w:trHeight w:val="924"/>
        </w:trPr>
        <w:tc>
          <w:tcPr>
            <w:tcW w:w="2435" w:type="dxa"/>
            <w:tcBorders>
              <w:top w:val="nil"/>
              <w:left w:val="single" w:sz="4" w:space="0" w:color="auto"/>
              <w:bottom w:val="single" w:sz="4" w:space="0" w:color="auto"/>
              <w:right w:val="single" w:sz="4" w:space="0" w:color="auto"/>
            </w:tcBorders>
            <w:shd w:val="clear" w:color="000000" w:fill="C0C0C0"/>
            <w:hideMark/>
          </w:tcPr>
          <w:p w:rsidR="00136BF9" w:rsidRPr="00136BF9" w:rsidRDefault="00136BF9" w:rsidP="00136BF9">
            <w:pPr>
              <w:widowControl/>
              <w:autoSpaceDE/>
              <w:autoSpaceDN/>
              <w:adjustRightInd/>
              <w:rPr>
                <w:b/>
                <w:bCs/>
                <w:sz w:val="18"/>
                <w:szCs w:val="18"/>
              </w:rPr>
            </w:pPr>
            <w:r w:rsidRPr="00136BF9">
              <w:rPr>
                <w:b/>
                <w:bCs/>
                <w:sz w:val="18"/>
                <w:szCs w:val="18"/>
              </w:rPr>
              <w:t>Measure</w:t>
            </w:r>
          </w:p>
        </w:tc>
        <w:tc>
          <w:tcPr>
            <w:tcW w:w="1530" w:type="dxa"/>
            <w:tcBorders>
              <w:top w:val="nil"/>
              <w:left w:val="nil"/>
              <w:bottom w:val="single" w:sz="4" w:space="0" w:color="auto"/>
              <w:right w:val="single" w:sz="4" w:space="0" w:color="auto"/>
            </w:tcBorders>
            <w:shd w:val="clear" w:color="000000" w:fill="C0C0C0"/>
            <w:hideMark/>
          </w:tcPr>
          <w:p w:rsidR="00136BF9" w:rsidRPr="00136BF9" w:rsidRDefault="00136BF9" w:rsidP="000F7E2F">
            <w:pPr>
              <w:widowControl/>
              <w:autoSpaceDE/>
              <w:autoSpaceDN/>
              <w:adjustRightInd/>
              <w:rPr>
                <w:b/>
                <w:bCs/>
                <w:sz w:val="18"/>
                <w:szCs w:val="18"/>
              </w:rPr>
            </w:pPr>
            <w:r w:rsidRPr="00136BF9">
              <w:rPr>
                <w:b/>
                <w:bCs/>
                <w:sz w:val="18"/>
                <w:szCs w:val="18"/>
              </w:rPr>
              <w:t># hrs/respond</w:t>
            </w:r>
          </w:p>
        </w:tc>
        <w:tc>
          <w:tcPr>
            <w:tcW w:w="990" w:type="dxa"/>
            <w:tcBorders>
              <w:top w:val="nil"/>
              <w:left w:val="nil"/>
              <w:bottom w:val="single" w:sz="4" w:space="0" w:color="auto"/>
              <w:right w:val="single" w:sz="4" w:space="0" w:color="auto"/>
            </w:tcBorders>
            <w:shd w:val="clear" w:color="000000" w:fill="C0C0C0"/>
            <w:hideMark/>
          </w:tcPr>
          <w:p w:rsidR="00136BF9" w:rsidRPr="00136BF9" w:rsidRDefault="00136BF9" w:rsidP="000F7E2F">
            <w:pPr>
              <w:widowControl/>
              <w:autoSpaceDE/>
              <w:autoSpaceDN/>
              <w:adjustRightInd/>
              <w:rPr>
                <w:b/>
                <w:bCs/>
                <w:sz w:val="18"/>
                <w:szCs w:val="18"/>
              </w:rPr>
            </w:pPr>
            <w:r w:rsidRPr="00136BF9">
              <w:rPr>
                <w:b/>
                <w:bCs/>
                <w:sz w:val="18"/>
                <w:szCs w:val="18"/>
              </w:rPr>
              <w:t xml:space="preserve"> # of Respond</w:t>
            </w:r>
            <w:r w:rsidR="000F7E2F">
              <w:rPr>
                <w:b/>
                <w:bCs/>
                <w:sz w:val="18"/>
                <w:szCs w:val="18"/>
              </w:rPr>
              <w:t>.</w:t>
            </w:r>
            <w:r w:rsidRPr="00136BF9">
              <w:rPr>
                <w:b/>
                <w:bCs/>
                <w:sz w:val="18"/>
                <w:szCs w:val="18"/>
              </w:rPr>
              <w:t xml:space="preserve"> </w:t>
            </w:r>
          </w:p>
        </w:tc>
        <w:tc>
          <w:tcPr>
            <w:tcW w:w="1072" w:type="dxa"/>
            <w:tcBorders>
              <w:top w:val="nil"/>
              <w:left w:val="nil"/>
              <w:bottom w:val="single" w:sz="4" w:space="0" w:color="auto"/>
              <w:right w:val="single" w:sz="4" w:space="0" w:color="auto"/>
            </w:tcBorders>
            <w:shd w:val="clear" w:color="000000" w:fill="C0C0C0"/>
            <w:hideMark/>
          </w:tcPr>
          <w:p w:rsidR="00136BF9" w:rsidRPr="00136BF9" w:rsidRDefault="00136BF9" w:rsidP="00136BF9">
            <w:pPr>
              <w:widowControl/>
              <w:autoSpaceDE/>
              <w:autoSpaceDN/>
              <w:adjustRightInd/>
              <w:rPr>
                <w:b/>
                <w:bCs/>
                <w:sz w:val="18"/>
                <w:szCs w:val="18"/>
              </w:rPr>
            </w:pPr>
            <w:r w:rsidRPr="00136BF9">
              <w:rPr>
                <w:b/>
                <w:bCs/>
                <w:sz w:val="18"/>
                <w:szCs w:val="18"/>
              </w:rPr>
              <w:t>Freq. Of Reporting</w:t>
            </w:r>
          </w:p>
        </w:tc>
        <w:tc>
          <w:tcPr>
            <w:tcW w:w="1160" w:type="dxa"/>
            <w:tcBorders>
              <w:top w:val="nil"/>
              <w:left w:val="nil"/>
              <w:bottom w:val="single" w:sz="4" w:space="0" w:color="auto"/>
              <w:right w:val="single" w:sz="4" w:space="0" w:color="auto"/>
            </w:tcBorders>
            <w:shd w:val="clear" w:color="000000" w:fill="C0C0C0"/>
            <w:hideMark/>
          </w:tcPr>
          <w:p w:rsidR="00136BF9" w:rsidRPr="00136BF9" w:rsidRDefault="00136BF9" w:rsidP="000F7E2F">
            <w:pPr>
              <w:widowControl/>
              <w:autoSpaceDE/>
              <w:autoSpaceDN/>
              <w:adjustRightInd/>
              <w:rPr>
                <w:b/>
                <w:bCs/>
                <w:sz w:val="18"/>
                <w:szCs w:val="18"/>
              </w:rPr>
            </w:pPr>
            <w:r w:rsidRPr="00136BF9">
              <w:rPr>
                <w:b/>
                <w:bCs/>
                <w:sz w:val="18"/>
                <w:szCs w:val="18"/>
              </w:rPr>
              <w:t>No Respond</w:t>
            </w:r>
            <w:r w:rsidR="000F7E2F">
              <w:rPr>
                <w:b/>
                <w:bCs/>
                <w:sz w:val="18"/>
                <w:szCs w:val="18"/>
              </w:rPr>
              <w:t>.</w:t>
            </w:r>
            <w:r w:rsidRPr="00136BF9">
              <w:rPr>
                <w:b/>
                <w:bCs/>
                <w:sz w:val="18"/>
                <w:szCs w:val="18"/>
              </w:rPr>
              <w:t xml:space="preserve"> x Freq. Of Reporting </w:t>
            </w:r>
          </w:p>
        </w:tc>
        <w:tc>
          <w:tcPr>
            <w:tcW w:w="828" w:type="dxa"/>
            <w:tcBorders>
              <w:top w:val="nil"/>
              <w:left w:val="nil"/>
              <w:bottom w:val="single" w:sz="4" w:space="0" w:color="auto"/>
              <w:right w:val="single" w:sz="4" w:space="0" w:color="auto"/>
            </w:tcBorders>
            <w:shd w:val="clear" w:color="000000" w:fill="C0C0C0"/>
            <w:hideMark/>
          </w:tcPr>
          <w:p w:rsidR="00136BF9" w:rsidRPr="00136BF9" w:rsidRDefault="00136BF9" w:rsidP="00136BF9">
            <w:pPr>
              <w:widowControl/>
              <w:autoSpaceDE/>
              <w:autoSpaceDN/>
              <w:adjustRightInd/>
              <w:rPr>
                <w:b/>
                <w:bCs/>
                <w:sz w:val="18"/>
                <w:szCs w:val="18"/>
              </w:rPr>
            </w:pPr>
            <w:r w:rsidRPr="00136BF9">
              <w:rPr>
                <w:b/>
                <w:bCs/>
                <w:sz w:val="18"/>
                <w:szCs w:val="18"/>
              </w:rPr>
              <w:t xml:space="preserve"> Total Part C Hour Burden </w:t>
            </w:r>
          </w:p>
        </w:tc>
        <w:tc>
          <w:tcPr>
            <w:tcW w:w="1602" w:type="dxa"/>
            <w:tcBorders>
              <w:top w:val="nil"/>
              <w:left w:val="nil"/>
              <w:bottom w:val="single" w:sz="4" w:space="0" w:color="auto"/>
              <w:right w:val="single" w:sz="4" w:space="0" w:color="auto"/>
            </w:tcBorders>
            <w:shd w:val="clear" w:color="000000" w:fill="C0C0C0"/>
            <w:vAlign w:val="bottom"/>
            <w:hideMark/>
          </w:tcPr>
          <w:p w:rsidR="00136BF9" w:rsidRPr="00136BF9" w:rsidRDefault="00136BF9" w:rsidP="000F7E2F">
            <w:pPr>
              <w:widowControl/>
              <w:autoSpaceDE/>
              <w:autoSpaceDN/>
              <w:adjustRightInd/>
              <w:rPr>
                <w:b/>
                <w:bCs/>
                <w:sz w:val="18"/>
                <w:szCs w:val="18"/>
              </w:rPr>
            </w:pPr>
            <w:r w:rsidRPr="00136BF9">
              <w:rPr>
                <w:b/>
                <w:bCs/>
                <w:sz w:val="18"/>
                <w:szCs w:val="18"/>
              </w:rPr>
              <w:t>Avg. Annual Burden/respond</w:t>
            </w:r>
            <w:r w:rsidR="000F7E2F">
              <w:rPr>
                <w:b/>
                <w:bCs/>
                <w:sz w:val="18"/>
                <w:szCs w:val="18"/>
              </w:rPr>
              <w:t>.</w:t>
            </w:r>
          </w:p>
        </w:tc>
      </w:tr>
      <w:tr w:rsidR="000F7E2F" w:rsidRPr="00136BF9" w:rsidTr="000F7E2F">
        <w:trPr>
          <w:trHeight w:val="264"/>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Utilization of Benefits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80</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588</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47,040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80</w:t>
            </w:r>
          </w:p>
        </w:tc>
      </w:tr>
      <w:tr w:rsidR="000F7E2F" w:rsidRPr="00136BF9" w:rsidTr="000F7E2F">
        <w:trPr>
          <w:trHeight w:val="39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Procedures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56</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588</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32,928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56</w:t>
            </w:r>
          </w:p>
        </w:tc>
      </w:tr>
      <w:tr w:rsidR="000F7E2F" w:rsidRPr="00136BF9" w:rsidTr="000F7E2F">
        <w:trPr>
          <w:trHeight w:val="48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Serious Reportable Adverse Events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40</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588</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23,520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40</w:t>
            </w:r>
          </w:p>
        </w:tc>
      </w:tr>
      <w:tr w:rsidR="000F7E2F" w:rsidRPr="00136BF9" w:rsidTr="000F7E2F">
        <w:trPr>
          <w:trHeight w:val="48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Provider Network Adequacy &amp; Stability </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16</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554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554</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8,864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16</w:t>
            </w:r>
          </w:p>
        </w:tc>
      </w:tr>
      <w:tr w:rsidR="000F7E2F" w:rsidRPr="00136BF9" w:rsidTr="000F7E2F">
        <w:trPr>
          <w:trHeight w:val="27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Grievances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20</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4</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2352</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47,040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80</w:t>
            </w:r>
          </w:p>
        </w:tc>
      </w:tr>
      <w:tr w:rsidR="000F7E2F" w:rsidRPr="00136BF9" w:rsidTr="000F7E2F">
        <w:trPr>
          <w:trHeight w:val="72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Organization Determinations/Reconsiderations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16</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4</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2352</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37,632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64</w:t>
            </w:r>
          </w:p>
        </w:tc>
      </w:tr>
      <w:tr w:rsidR="000F7E2F" w:rsidRPr="00136BF9" w:rsidTr="000F7E2F">
        <w:trPr>
          <w:trHeight w:val="585"/>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Employer Group Plan Sponsors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432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432</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3,456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w:t>
            </w:r>
          </w:p>
        </w:tc>
      </w:tr>
      <w:tr w:rsidR="000F7E2F" w:rsidRPr="00136BF9" w:rsidTr="000F7E2F">
        <w:trPr>
          <w:trHeight w:val="48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PFFS Enrollment Verification Calls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34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34</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272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w:t>
            </w:r>
          </w:p>
        </w:tc>
      </w:tr>
      <w:tr w:rsidR="000F7E2F" w:rsidRPr="00136BF9" w:rsidTr="000F7E2F">
        <w:trPr>
          <w:trHeight w:val="828"/>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PFFS Plan Provider Payment Dispute Resolution Process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44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44</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352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w:t>
            </w:r>
          </w:p>
        </w:tc>
      </w:tr>
      <w:tr w:rsidR="000F7E2F" w:rsidRPr="00136BF9" w:rsidTr="000F7E2F">
        <w:trPr>
          <w:trHeight w:val="480"/>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Plan Oversight of Agents</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588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588</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4,704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w:t>
            </w:r>
          </w:p>
        </w:tc>
      </w:tr>
      <w:tr w:rsidR="000F7E2F" w:rsidRPr="00136BF9" w:rsidTr="000F7E2F">
        <w:trPr>
          <w:trHeight w:val="264"/>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SNP Care Mgt.</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8</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261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1</w:t>
            </w:r>
          </w:p>
        </w:tc>
        <w:tc>
          <w:tcPr>
            <w:tcW w:w="116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261</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2,088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8</w:t>
            </w:r>
          </w:p>
        </w:tc>
      </w:tr>
      <w:tr w:rsidR="000F7E2F" w:rsidRPr="00136BF9" w:rsidTr="000F7E2F">
        <w:trPr>
          <w:trHeight w:val="264"/>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Enrollment</w:t>
            </w:r>
          </w:p>
        </w:tc>
        <w:tc>
          <w:tcPr>
            <w:tcW w:w="153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jc w:val="right"/>
              <w:rPr>
                <w:sz w:val="18"/>
                <w:szCs w:val="18"/>
              </w:rPr>
            </w:pPr>
            <w:r w:rsidRPr="00136BF9">
              <w:rPr>
                <w:sz w:val="18"/>
                <w:szCs w:val="18"/>
              </w:rPr>
              <w:t>16</w:t>
            </w:r>
          </w:p>
        </w:tc>
        <w:tc>
          <w:tcPr>
            <w:tcW w:w="990" w:type="dxa"/>
            <w:tcBorders>
              <w:top w:val="nil"/>
              <w:left w:val="nil"/>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 xml:space="preserve">                 16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4</w:t>
            </w:r>
          </w:p>
        </w:tc>
        <w:tc>
          <w:tcPr>
            <w:tcW w:w="116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64</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1,024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64</w:t>
            </w:r>
          </w:p>
        </w:tc>
      </w:tr>
      <w:tr w:rsidR="000F7E2F" w:rsidRPr="00136BF9" w:rsidTr="000F7E2F">
        <w:trPr>
          <w:trHeight w:val="252"/>
        </w:trPr>
        <w:tc>
          <w:tcPr>
            <w:tcW w:w="2435" w:type="dxa"/>
            <w:tcBorders>
              <w:top w:val="nil"/>
              <w:left w:val="single" w:sz="4" w:space="0" w:color="auto"/>
              <w:bottom w:val="single" w:sz="4" w:space="0" w:color="auto"/>
              <w:right w:val="single" w:sz="4" w:space="0" w:color="auto"/>
            </w:tcBorders>
            <w:shd w:val="clear" w:color="auto" w:fill="auto"/>
            <w:hideMark/>
          </w:tcPr>
          <w:p w:rsidR="00136BF9" w:rsidRPr="00136BF9" w:rsidRDefault="00136BF9" w:rsidP="00136BF9">
            <w:pPr>
              <w:widowControl/>
              <w:autoSpaceDE/>
              <w:autoSpaceDN/>
              <w:adjustRightInd/>
              <w:rPr>
                <w:sz w:val="18"/>
                <w:szCs w:val="18"/>
              </w:rPr>
            </w:pPr>
            <w:r w:rsidRPr="00136BF9">
              <w:rPr>
                <w:sz w:val="18"/>
                <w:szCs w:val="18"/>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99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p>
        </w:tc>
        <w:tc>
          <w:tcPr>
            <w:tcW w:w="116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8,445 </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xml:space="preserve">      208,920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jc w:val="right"/>
              <w:rPr>
                <w:sz w:val="18"/>
                <w:szCs w:val="18"/>
              </w:rPr>
            </w:pPr>
            <w:r w:rsidRPr="00136BF9">
              <w:rPr>
                <w:sz w:val="18"/>
                <w:szCs w:val="18"/>
              </w:rPr>
              <w:t>440</w:t>
            </w:r>
          </w:p>
        </w:tc>
      </w:tr>
      <w:tr w:rsidR="000F7E2F" w:rsidRPr="00136BF9" w:rsidTr="000F7E2F">
        <w:trPr>
          <w:trHeight w:val="684"/>
        </w:trPr>
        <w:tc>
          <w:tcPr>
            <w:tcW w:w="2435" w:type="dxa"/>
            <w:tcBorders>
              <w:top w:val="nil"/>
              <w:left w:val="single" w:sz="4" w:space="0" w:color="auto"/>
              <w:bottom w:val="single" w:sz="4" w:space="0" w:color="auto"/>
              <w:right w:val="single" w:sz="4" w:space="0" w:color="auto"/>
            </w:tcBorders>
            <w:shd w:val="clear" w:color="auto" w:fill="auto"/>
            <w:vAlign w:val="bottom"/>
            <w:hideMark/>
          </w:tcPr>
          <w:p w:rsidR="00136BF9" w:rsidRPr="000F7E2F" w:rsidRDefault="00136BF9" w:rsidP="000F7E2F">
            <w:pPr>
              <w:widowControl/>
              <w:autoSpaceDE/>
              <w:autoSpaceDN/>
              <w:adjustRightInd/>
              <w:rPr>
                <w:bCs/>
                <w:sz w:val="18"/>
                <w:szCs w:val="18"/>
              </w:rPr>
            </w:pPr>
            <w:r w:rsidRPr="000F7E2F">
              <w:rPr>
                <w:bCs/>
                <w:sz w:val="18"/>
                <w:szCs w:val="18"/>
              </w:rPr>
              <w:t xml:space="preserve">Annual responses=# respondents x reporting frequency </w:t>
            </w:r>
          </w:p>
        </w:tc>
        <w:tc>
          <w:tcPr>
            <w:tcW w:w="1530" w:type="dxa"/>
            <w:tcBorders>
              <w:top w:val="nil"/>
              <w:left w:val="nil"/>
              <w:bottom w:val="single" w:sz="4" w:space="0" w:color="auto"/>
              <w:right w:val="single" w:sz="4" w:space="0" w:color="auto"/>
            </w:tcBorders>
            <w:shd w:val="clear" w:color="auto" w:fill="auto"/>
            <w:noWrap/>
            <w:vAlign w:val="bottom"/>
            <w:hideMark/>
          </w:tcPr>
          <w:p w:rsidR="00136BF9" w:rsidRPr="000F7E2F" w:rsidRDefault="00136BF9" w:rsidP="000F7E2F">
            <w:pPr>
              <w:widowControl/>
              <w:autoSpaceDE/>
              <w:autoSpaceDN/>
              <w:adjustRightInd/>
              <w:rPr>
                <w:bCs/>
                <w:sz w:val="18"/>
                <w:szCs w:val="18"/>
              </w:rPr>
            </w:pPr>
            <w:r w:rsidRPr="000F7E2F">
              <w:rPr>
                <w:bCs/>
                <w:sz w:val="18"/>
                <w:szCs w:val="18"/>
              </w:rPr>
              <w:t xml:space="preserve">                        8,445 </w:t>
            </w:r>
          </w:p>
        </w:tc>
        <w:tc>
          <w:tcPr>
            <w:tcW w:w="99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107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r>
      <w:tr w:rsidR="000F7E2F" w:rsidRPr="00136BF9" w:rsidTr="000F7E2F">
        <w:trPr>
          <w:trHeight w:val="390"/>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136BF9" w:rsidRPr="000F7E2F" w:rsidRDefault="00136BF9" w:rsidP="00136BF9">
            <w:pPr>
              <w:widowControl/>
              <w:autoSpaceDE/>
              <w:autoSpaceDN/>
              <w:adjustRightInd/>
              <w:rPr>
                <w:bCs/>
                <w:sz w:val="18"/>
                <w:szCs w:val="18"/>
              </w:rPr>
            </w:pPr>
            <w:r w:rsidRPr="000F7E2F">
              <w:rPr>
                <w:bCs/>
                <w:sz w:val="18"/>
                <w:szCs w:val="18"/>
              </w:rPr>
              <w:t>Total Hour Burden</w:t>
            </w:r>
          </w:p>
        </w:tc>
        <w:tc>
          <w:tcPr>
            <w:tcW w:w="1530" w:type="dxa"/>
            <w:tcBorders>
              <w:top w:val="nil"/>
              <w:left w:val="nil"/>
              <w:bottom w:val="single" w:sz="4" w:space="0" w:color="auto"/>
              <w:right w:val="single" w:sz="4" w:space="0" w:color="auto"/>
            </w:tcBorders>
            <w:shd w:val="clear" w:color="auto" w:fill="auto"/>
            <w:noWrap/>
            <w:vAlign w:val="bottom"/>
            <w:hideMark/>
          </w:tcPr>
          <w:p w:rsidR="00136BF9" w:rsidRPr="000F7E2F" w:rsidRDefault="00136BF9" w:rsidP="000F7E2F">
            <w:pPr>
              <w:widowControl/>
              <w:autoSpaceDE/>
              <w:autoSpaceDN/>
              <w:adjustRightInd/>
              <w:rPr>
                <w:bCs/>
                <w:sz w:val="18"/>
                <w:szCs w:val="18"/>
              </w:rPr>
            </w:pPr>
            <w:r w:rsidRPr="000F7E2F">
              <w:rPr>
                <w:bCs/>
                <w:sz w:val="18"/>
                <w:szCs w:val="18"/>
              </w:rPr>
              <w:t xml:space="preserve">                    208,920 </w:t>
            </w:r>
          </w:p>
        </w:tc>
        <w:tc>
          <w:tcPr>
            <w:tcW w:w="99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1160"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r>
      <w:tr w:rsidR="000F7E2F" w:rsidRPr="00136BF9" w:rsidTr="000F7E2F">
        <w:trPr>
          <w:trHeight w:val="264"/>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136BF9" w:rsidRPr="000F7E2F" w:rsidRDefault="00136BF9" w:rsidP="00136BF9">
            <w:pPr>
              <w:widowControl/>
              <w:autoSpaceDE/>
              <w:autoSpaceDN/>
              <w:adjustRightInd/>
              <w:rPr>
                <w:bCs/>
                <w:sz w:val="18"/>
                <w:szCs w:val="18"/>
              </w:rPr>
            </w:pPr>
            <w:r w:rsidRPr="000F7E2F">
              <w:rPr>
                <w:bCs/>
                <w:sz w:val="18"/>
                <w:szCs w:val="18"/>
              </w:rPr>
              <w:t>Avg. Cost/Hr*</w:t>
            </w:r>
          </w:p>
        </w:tc>
        <w:tc>
          <w:tcPr>
            <w:tcW w:w="1530" w:type="dxa"/>
            <w:tcBorders>
              <w:top w:val="nil"/>
              <w:left w:val="nil"/>
              <w:bottom w:val="single" w:sz="4" w:space="0" w:color="auto"/>
              <w:right w:val="single" w:sz="4" w:space="0" w:color="auto"/>
            </w:tcBorders>
            <w:shd w:val="clear" w:color="auto" w:fill="auto"/>
            <w:noWrap/>
            <w:vAlign w:val="bottom"/>
            <w:hideMark/>
          </w:tcPr>
          <w:p w:rsidR="00136BF9" w:rsidRPr="000F7E2F" w:rsidRDefault="00136BF9" w:rsidP="000F7E2F">
            <w:pPr>
              <w:widowControl/>
              <w:autoSpaceDE/>
              <w:autoSpaceDN/>
              <w:adjustRightInd/>
              <w:rPr>
                <w:bCs/>
                <w:sz w:val="18"/>
                <w:szCs w:val="18"/>
              </w:rPr>
            </w:pPr>
            <w:r w:rsidRPr="000F7E2F">
              <w:rPr>
                <w:bCs/>
                <w:sz w:val="18"/>
                <w:szCs w:val="18"/>
              </w:rPr>
              <w:t xml:space="preserve">$63.09 </w:t>
            </w:r>
          </w:p>
        </w:tc>
        <w:tc>
          <w:tcPr>
            <w:tcW w:w="99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c>
          <w:tcPr>
            <w:tcW w:w="1072"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1160"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b/>
                <w:bCs/>
                <w:sz w:val="18"/>
                <w:szCs w:val="18"/>
              </w:rPr>
            </w:pPr>
            <w:r w:rsidRPr="00136BF9">
              <w:rPr>
                <w:b/>
                <w:bCs/>
                <w:sz w:val="18"/>
                <w:szCs w:val="18"/>
              </w:rPr>
              <w:t>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 w:val="18"/>
                <w:szCs w:val="18"/>
              </w:rPr>
            </w:pPr>
            <w:r w:rsidRPr="00136BF9">
              <w:rPr>
                <w:sz w:val="18"/>
                <w:szCs w:val="18"/>
              </w:rPr>
              <w:t> </w:t>
            </w:r>
          </w:p>
        </w:tc>
      </w:tr>
      <w:tr w:rsidR="000F7E2F" w:rsidRPr="00136BF9" w:rsidTr="000F7E2F">
        <w:trPr>
          <w:trHeight w:val="375"/>
        </w:trPr>
        <w:tc>
          <w:tcPr>
            <w:tcW w:w="2435" w:type="dxa"/>
            <w:tcBorders>
              <w:top w:val="nil"/>
              <w:left w:val="single" w:sz="4" w:space="0" w:color="auto"/>
              <w:bottom w:val="single" w:sz="4" w:space="0" w:color="auto"/>
              <w:right w:val="single" w:sz="4" w:space="0" w:color="auto"/>
            </w:tcBorders>
            <w:shd w:val="clear" w:color="auto" w:fill="auto"/>
            <w:noWrap/>
            <w:vAlign w:val="bottom"/>
            <w:hideMark/>
          </w:tcPr>
          <w:p w:rsidR="00136BF9" w:rsidRPr="000F7E2F" w:rsidRDefault="00136BF9" w:rsidP="00136BF9">
            <w:pPr>
              <w:widowControl/>
              <w:autoSpaceDE/>
              <w:autoSpaceDN/>
              <w:adjustRightInd/>
              <w:rPr>
                <w:bCs/>
                <w:sz w:val="18"/>
                <w:szCs w:val="18"/>
              </w:rPr>
            </w:pPr>
            <w:r w:rsidRPr="000F7E2F">
              <w:rPr>
                <w:bCs/>
                <w:sz w:val="18"/>
                <w:szCs w:val="18"/>
              </w:rPr>
              <w:t>Total Annual Cost</w:t>
            </w:r>
          </w:p>
        </w:tc>
        <w:tc>
          <w:tcPr>
            <w:tcW w:w="1530" w:type="dxa"/>
            <w:tcBorders>
              <w:top w:val="nil"/>
              <w:left w:val="nil"/>
              <w:bottom w:val="single" w:sz="4" w:space="0" w:color="auto"/>
              <w:right w:val="single" w:sz="4" w:space="0" w:color="auto"/>
            </w:tcBorders>
            <w:shd w:val="clear" w:color="auto" w:fill="auto"/>
            <w:noWrap/>
            <w:vAlign w:val="bottom"/>
            <w:hideMark/>
          </w:tcPr>
          <w:p w:rsidR="00136BF9" w:rsidRPr="000F7E2F" w:rsidRDefault="00136BF9" w:rsidP="000F7E2F">
            <w:pPr>
              <w:widowControl/>
              <w:autoSpaceDE/>
              <w:autoSpaceDN/>
              <w:adjustRightInd/>
              <w:rPr>
                <w:bCs/>
                <w:sz w:val="18"/>
                <w:szCs w:val="18"/>
              </w:rPr>
            </w:pPr>
            <w:r w:rsidRPr="000F7E2F">
              <w:rPr>
                <w:bCs/>
                <w:sz w:val="18"/>
                <w:szCs w:val="18"/>
              </w:rPr>
              <w:t xml:space="preserve">        </w:t>
            </w:r>
            <w:r w:rsidR="000F7E2F">
              <w:rPr>
                <w:bCs/>
                <w:sz w:val="18"/>
                <w:szCs w:val="18"/>
              </w:rPr>
              <w:t>$</w:t>
            </w:r>
            <w:r w:rsidRPr="000F7E2F">
              <w:rPr>
                <w:bCs/>
                <w:sz w:val="18"/>
                <w:szCs w:val="18"/>
              </w:rPr>
              <w:t xml:space="preserve">13,180,763 </w:t>
            </w:r>
          </w:p>
        </w:tc>
        <w:tc>
          <w:tcPr>
            <w:tcW w:w="990"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Cs w:val="20"/>
              </w:rPr>
            </w:pPr>
            <w:r w:rsidRPr="00136BF9">
              <w:rPr>
                <w:szCs w:val="20"/>
              </w:rPr>
              <w:t> </w:t>
            </w:r>
          </w:p>
        </w:tc>
        <w:tc>
          <w:tcPr>
            <w:tcW w:w="1072"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Cs w:val="20"/>
              </w:rPr>
            </w:pPr>
            <w:r w:rsidRPr="00136BF9">
              <w:rPr>
                <w:b/>
                <w:bCs/>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136BF9" w:rsidRPr="00136BF9" w:rsidRDefault="00136BF9" w:rsidP="00136BF9">
            <w:pPr>
              <w:widowControl/>
              <w:autoSpaceDE/>
              <w:autoSpaceDN/>
              <w:adjustRightInd/>
              <w:rPr>
                <w:b/>
                <w:bCs/>
                <w:szCs w:val="20"/>
              </w:rPr>
            </w:pPr>
            <w:r w:rsidRPr="00136BF9">
              <w:rPr>
                <w:b/>
                <w:bCs/>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b/>
                <w:bCs/>
                <w:szCs w:val="20"/>
              </w:rPr>
            </w:pPr>
            <w:r w:rsidRPr="00136BF9">
              <w:rPr>
                <w:b/>
                <w:bCs/>
                <w:szCs w:val="20"/>
              </w:rPr>
              <w:t> </w:t>
            </w:r>
          </w:p>
        </w:tc>
        <w:tc>
          <w:tcPr>
            <w:tcW w:w="1602" w:type="dxa"/>
            <w:tcBorders>
              <w:top w:val="nil"/>
              <w:left w:val="nil"/>
              <w:bottom w:val="single" w:sz="4" w:space="0" w:color="auto"/>
              <w:right w:val="single" w:sz="4" w:space="0" w:color="auto"/>
            </w:tcBorders>
            <w:shd w:val="clear" w:color="auto" w:fill="auto"/>
            <w:noWrap/>
            <w:vAlign w:val="bottom"/>
            <w:hideMark/>
          </w:tcPr>
          <w:p w:rsidR="00136BF9" w:rsidRPr="00136BF9" w:rsidRDefault="00136BF9" w:rsidP="00136BF9">
            <w:pPr>
              <w:widowControl/>
              <w:autoSpaceDE/>
              <w:autoSpaceDN/>
              <w:adjustRightInd/>
              <w:rPr>
                <w:szCs w:val="20"/>
              </w:rPr>
            </w:pPr>
            <w:r w:rsidRPr="00136BF9">
              <w:rPr>
                <w:szCs w:val="20"/>
              </w:rPr>
              <w:t> </w:t>
            </w:r>
          </w:p>
        </w:tc>
      </w:tr>
    </w:tbl>
    <w:p w:rsidR="00136BF9" w:rsidRDefault="00136BF9" w:rsidP="008F3C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6BF9" w:rsidRDefault="00136BF9" w:rsidP="008F3C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6BF9" w:rsidRDefault="00136BF9" w:rsidP="008F3C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6BF9" w:rsidRPr="00325DDF" w:rsidRDefault="00136BF9" w:rsidP="008F3C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lastRenderedPageBreak/>
        <w:t>13.</w:t>
      </w:r>
      <w:r w:rsidRPr="00325DDF">
        <w:rPr>
          <w:sz w:val="24"/>
        </w:rPr>
        <w:tab/>
        <w:t>Capital Costs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ab/>
        <w:t xml:space="preserve">There </w:t>
      </w:r>
      <w:r w:rsidR="00BA7BDB" w:rsidRPr="00325DDF">
        <w:rPr>
          <w:sz w:val="24"/>
        </w:rPr>
        <w:t>is</w:t>
      </w:r>
      <w:r w:rsidRPr="00325DDF">
        <w:rPr>
          <w:sz w:val="24"/>
        </w:rPr>
        <w:t xml:space="preserve"> no capital cost associated with this collection.</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14.</w:t>
      </w:r>
      <w:r w:rsidRPr="00325DDF">
        <w:rPr>
          <w:sz w:val="24"/>
        </w:rPr>
        <w:tab/>
        <w:t>Cost to Federal Government</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ab/>
      </w:r>
      <w:r w:rsidR="00AE571C" w:rsidRPr="00325DDF">
        <w:rPr>
          <w:sz w:val="24"/>
        </w:rPr>
        <w:t>$</w:t>
      </w:r>
      <w:r w:rsidR="00FB132D" w:rsidRPr="00325DDF">
        <w:rPr>
          <w:sz w:val="24"/>
        </w:rPr>
        <w:t>300,000 to</w:t>
      </w:r>
      <w:r w:rsidR="00AE571C" w:rsidRPr="00325DDF">
        <w:rPr>
          <w:sz w:val="24"/>
        </w:rPr>
        <w:t xml:space="preserve"> support reporting through the Health </w:t>
      </w:r>
      <w:r w:rsidR="00BA3CB0" w:rsidRPr="00325DDF">
        <w:rPr>
          <w:sz w:val="24"/>
        </w:rPr>
        <w:t>P</w:t>
      </w:r>
      <w:r w:rsidR="00AE571C" w:rsidRPr="00325DDF">
        <w:rPr>
          <w:sz w:val="24"/>
        </w:rPr>
        <w:t>lan Management System (HPMS).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15.</w:t>
      </w:r>
      <w:r w:rsidRPr="00325DDF">
        <w:rPr>
          <w:sz w:val="24"/>
        </w:rPr>
        <w:tab/>
        <w:t>Changes to Burden</w:t>
      </w:r>
    </w:p>
    <w:p w:rsidR="00CA3035" w:rsidRPr="00325DDF" w:rsidRDefault="00CA3035" w:rsidP="00CA3035">
      <w:pPr>
        <w:ind w:left="432"/>
        <w:rPr>
          <w:sz w:val="24"/>
        </w:rPr>
      </w:pPr>
    </w:p>
    <w:p w:rsidR="00CA3035" w:rsidRPr="00325DDF" w:rsidRDefault="006D3EB6" w:rsidP="00206B46">
      <w:pPr>
        <w:ind w:left="432"/>
        <w:rPr>
          <w:sz w:val="24"/>
        </w:rPr>
      </w:pPr>
      <w:r w:rsidRPr="00325DDF">
        <w:rPr>
          <w:sz w:val="24"/>
        </w:rPr>
        <w:t xml:space="preserve">There is a decrease in </w:t>
      </w:r>
      <w:r w:rsidR="00D031CA" w:rsidRPr="00325DDF">
        <w:rPr>
          <w:sz w:val="24"/>
        </w:rPr>
        <w:t xml:space="preserve">cost and hour </w:t>
      </w:r>
      <w:r w:rsidRPr="00325DDF">
        <w:rPr>
          <w:sz w:val="24"/>
        </w:rPr>
        <w:t>burden</w:t>
      </w:r>
      <w:r w:rsidR="00FB132D" w:rsidRPr="00325DDF">
        <w:rPr>
          <w:sz w:val="24"/>
        </w:rPr>
        <w:t>. One measure was added and another was enhanced, but these costs are more than offset by the suspension of two measures and the decrease in reporting frequency of some measures.</w:t>
      </w:r>
      <w:r w:rsidR="00206B46" w:rsidRPr="00325DDF">
        <w:rPr>
          <w:sz w:val="24"/>
        </w:rPr>
        <w:t xml:space="preserve">  The change in burden was: </w:t>
      </w:r>
    </w:p>
    <w:p w:rsidR="00206B46" w:rsidRPr="00325DDF" w:rsidRDefault="00206B46" w:rsidP="00206B46">
      <w:pPr>
        <w:ind w:left="432"/>
        <w:rPr>
          <w:sz w:val="24"/>
        </w:rPr>
      </w:pPr>
    </w:p>
    <w:p w:rsidR="00206B46" w:rsidRPr="00325DDF" w:rsidRDefault="00206B46" w:rsidP="00206B46">
      <w:pPr>
        <w:ind w:left="432"/>
        <w:rPr>
          <w:sz w:val="24"/>
        </w:rPr>
      </w:pPr>
      <w:r w:rsidRPr="00325DDF">
        <w:rPr>
          <w:sz w:val="24"/>
        </w:rPr>
        <w:t xml:space="preserve">Annual Responses = - </w:t>
      </w:r>
      <w:r w:rsidR="00D022E4">
        <w:rPr>
          <w:sz w:val="24"/>
        </w:rPr>
        <w:t>4,264</w:t>
      </w:r>
    </w:p>
    <w:p w:rsidR="00206B46" w:rsidRPr="00325DDF" w:rsidRDefault="00206B46" w:rsidP="00206B46">
      <w:pPr>
        <w:ind w:left="432"/>
        <w:rPr>
          <w:sz w:val="24"/>
        </w:rPr>
      </w:pPr>
      <w:r w:rsidRPr="00325DDF">
        <w:rPr>
          <w:sz w:val="24"/>
        </w:rPr>
        <w:t>Annual Hour Burden =-</w:t>
      </w:r>
      <w:r w:rsidR="008E0651">
        <w:rPr>
          <w:sz w:val="24"/>
        </w:rPr>
        <w:t>78,024</w:t>
      </w:r>
    </w:p>
    <w:p w:rsidR="00206B46" w:rsidRPr="00325DDF" w:rsidRDefault="00206B46" w:rsidP="00206B46">
      <w:pPr>
        <w:ind w:left="432"/>
        <w:rPr>
          <w:sz w:val="24"/>
        </w:rPr>
      </w:pPr>
    </w:p>
    <w:p w:rsidR="00206B46" w:rsidRPr="00325DDF" w:rsidRDefault="00206B46" w:rsidP="00206B46">
      <w:pPr>
        <w:ind w:left="432"/>
        <w:rPr>
          <w:sz w:val="24"/>
        </w:rPr>
      </w:pPr>
      <w:r w:rsidRPr="00325DDF">
        <w:rPr>
          <w:sz w:val="24"/>
        </w:rPr>
        <w:t xml:space="preserve"> </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16.</w:t>
      </w:r>
      <w:r w:rsidRPr="00325DDF">
        <w:rPr>
          <w:sz w:val="24"/>
        </w:rPr>
        <w:tab/>
        <w:t>Publication/Tabulation Dates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Collection of these data will commence in January 1, 20</w:t>
      </w:r>
      <w:r w:rsidR="00DF06BE" w:rsidRPr="00325DDF">
        <w:rPr>
          <w:sz w:val="24"/>
        </w:rPr>
        <w:t>12</w:t>
      </w:r>
      <w:r w:rsidRPr="00325DDF">
        <w:rPr>
          <w:sz w:val="24"/>
        </w:rPr>
        <w:t xml:space="preserve">. The collection of these data from MA organizations will continue indefinitely.  </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17.</w:t>
      </w:r>
      <w:r w:rsidRPr="00325DDF">
        <w:rPr>
          <w:sz w:val="24"/>
        </w:rPr>
        <w:tab/>
        <w:t>Expiration Date</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sidRPr="00325DDF">
        <w:rPr>
          <w:sz w:val="24"/>
        </w:rPr>
        <w:t>This collection does not lend itself to displaying an expiration date.</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18.</w:t>
      </w:r>
      <w:r w:rsidRPr="00325DDF">
        <w:rPr>
          <w:sz w:val="24"/>
        </w:rPr>
        <w:tab/>
        <w:t>Certification Statement</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b/>
        <w:t>There are no exceptions.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C.</w:t>
      </w:r>
      <w:r w:rsidRPr="00325DDF">
        <w:rPr>
          <w:sz w:val="24"/>
        </w:rPr>
        <w:tab/>
        <w:t>Collections of Information Employing Statistical Methods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ab/>
      </w:r>
    </w:p>
    <w:p w:rsidR="001B2055" w:rsidRPr="00325DDF" w:rsidRDefault="00A241E3" w:rsidP="001B20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b/>
        <w:t>This information collection does not employ any statistical analyses</w:t>
      </w:r>
      <w:r w:rsidR="002303C8" w:rsidRPr="00325DDF">
        <w:rPr>
          <w:sz w:val="24"/>
        </w:rPr>
        <w:t xml:space="preserve"> to be conducted by the reporting organizations</w:t>
      </w:r>
      <w:r w:rsidRPr="00325DDF">
        <w:rPr>
          <w:sz w:val="24"/>
        </w:rPr>
        <w:t>.</w:t>
      </w:r>
    </w:p>
    <w:sectPr w:rsidR="001B2055" w:rsidRPr="00325DDF" w:rsidSect="004217AF">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93" w:rsidRDefault="008A2993">
      <w:r>
        <w:separator/>
      </w:r>
    </w:p>
  </w:endnote>
  <w:endnote w:type="continuationSeparator" w:id="0">
    <w:p w:rsidR="008A2993" w:rsidRDefault="008A299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63" w:rsidRDefault="00C97363">
    <w:pPr>
      <w:spacing w:line="240" w:lineRule="exact"/>
    </w:pPr>
  </w:p>
  <w:p w:rsidR="00C97363" w:rsidRDefault="00827B23">
    <w:pPr>
      <w:framePr w:w="9505" w:wrap="notBeside" w:vAnchor="text" w:hAnchor="text" w:x="1" w:y="1"/>
      <w:jc w:val="center"/>
      <w:rPr>
        <w:sz w:val="24"/>
      </w:rPr>
    </w:pPr>
    <w:r>
      <w:rPr>
        <w:sz w:val="24"/>
      </w:rPr>
      <w:fldChar w:fldCharType="begin"/>
    </w:r>
    <w:r w:rsidR="00C97363">
      <w:rPr>
        <w:sz w:val="24"/>
      </w:rPr>
      <w:instrText xml:space="preserve">PAGE </w:instrText>
    </w:r>
    <w:r>
      <w:rPr>
        <w:sz w:val="24"/>
      </w:rPr>
      <w:fldChar w:fldCharType="separate"/>
    </w:r>
    <w:r w:rsidR="002D0D72">
      <w:rPr>
        <w:noProof/>
        <w:sz w:val="24"/>
      </w:rPr>
      <w:t>12</w:t>
    </w:r>
    <w:r>
      <w:rPr>
        <w:sz w:val="24"/>
      </w:rPr>
      <w:fldChar w:fldCharType="end"/>
    </w:r>
  </w:p>
  <w:p w:rsidR="00C97363" w:rsidRDefault="00C97363">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93" w:rsidRDefault="008A2993">
      <w:r>
        <w:separator/>
      </w:r>
    </w:p>
  </w:footnote>
  <w:footnote w:type="continuationSeparator" w:id="0">
    <w:p w:rsidR="008A2993" w:rsidRDefault="008A29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4">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F4B67"/>
    <w:multiLevelType w:val="hybridMultilevel"/>
    <w:tmpl w:val="0CA8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7">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CB02A92"/>
    <w:multiLevelType w:val="hybridMultilevel"/>
    <w:tmpl w:val="EBC8D81A"/>
    <w:lvl w:ilvl="0" w:tplc="16CE4442">
      <w:start w:val="1"/>
      <w:numFmt w:val="bullet"/>
      <w:lvlText w:val=""/>
      <w:lvlJc w:val="left"/>
      <w:pPr>
        <w:tabs>
          <w:tab w:val="num" w:pos="720"/>
        </w:tabs>
        <w:ind w:left="720" w:hanging="360"/>
      </w:pPr>
      <w:rPr>
        <w:rFonts w:ascii="Symbol" w:hAnsi="Symbol" w:hint="default"/>
      </w:rPr>
    </w:lvl>
    <w:lvl w:ilvl="1" w:tplc="2AC41FC0">
      <w:start w:val="1"/>
      <w:numFmt w:val="upperLetter"/>
      <w:lvlText w:val="%2."/>
      <w:lvlJc w:val="left"/>
      <w:pPr>
        <w:tabs>
          <w:tab w:val="num" w:pos="1440"/>
        </w:tabs>
        <w:ind w:left="1440" w:hanging="360"/>
      </w:pPr>
      <w:rPr>
        <w:rFonts w:hint="default"/>
      </w:rPr>
    </w:lvl>
    <w:lvl w:ilvl="2" w:tplc="671ACDB8" w:tentative="1">
      <w:start w:val="1"/>
      <w:numFmt w:val="bullet"/>
      <w:lvlText w:val=""/>
      <w:lvlJc w:val="left"/>
      <w:pPr>
        <w:tabs>
          <w:tab w:val="num" w:pos="2160"/>
        </w:tabs>
        <w:ind w:left="2160" w:hanging="360"/>
      </w:pPr>
      <w:rPr>
        <w:rFonts w:ascii="Wingdings" w:hAnsi="Wingdings" w:hint="default"/>
      </w:rPr>
    </w:lvl>
    <w:lvl w:ilvl="3" w:tplc="9CC4849E" w:tentative="1">
      <w:start w:val="1"/>
      <w:numFmt w:val="bullet"/>
      <w:lvlText w:val=""/>
      <w:lvlJc w:val="left"/>
      <w:pPr>
        <w:tabs>
          <w:tab w:val="num" w:pos="2880"/>
        </w:tabs>
        <w:ind w:left="2880" w:hanging="360"/>
      </w:pPr>
      <w:rPr>
        <w:rFonts w:ascii="Symbol" w:hAnsi="Symbol" w:hint="default"/>
      </w:rPr>
    </w:lvl>
    <w:lvl w:ilvl="4" w:tplc="099A9D3E" w:tentative="1">
      <w:start w:val="1"/>
      <w:numFmt w:val="bullet"/>
      <w:lvlText w:val="o"/>
      <w:lvlJc w:val="left"/>
      <w:pPr>
        <w:tabs>
          <w:tab w:val="num" w:pos="3600"/>
        </w:tabs>
        <w:ind w:left="3600" w:hanging="360"/>
      </w:pPr>
      <w:rPr>
        <w:rFonts w:ascii="Courier New" w:hAnsi="Courier New" w:cs="Courier New" w:hint="default"/>
      </w:rPr>
    </w:lvl>
    <w:lvl w:ilvl="5" w:tplc="FB940914" w:tentative="1">
      <w:start w:val="1"/>
      <w:numFmt w:val="bullet"/>
      <w:lvlText w:val=""/>
      <w:lvlJc w:val="left"/>
      <w:pPr>
        <w:tabs>
          <w:tab w:val="num" w:pos="4320"/>
        </w:tabs>
        <w:ind w:left="4320" w:hanging="360"/>
      </w:pPr>
      <w:rPr>
        <w:rFonts w:ascii="Wingdings" w:hAnsi="Wingdings" w:hint="default"/>
      </w:rPr>
    </w:lvl>
    <w:lvl w:ilvl="6" w:tplc="94227BC8" w:tentative="1">
      <w:start w:val="1"/>
      <w:numFmt w:val="bullet"/>
      <w:lvlText w:val=""/>
      <w:lvlJc w:val="left"/>
      <w:pPr>
        <w:tabs>
          <w:tab w:val="num" w:pos="5040"/>
        </w:tabs>
        <w:ind w:left="5040" w:hanging="360"/>
      </w:pPr>
      <w:rPr>
        <w:rFonts w:ascii="Symbol" w:hAnsi="Symbol" w:hint="default"/>
      </w:rPr>
    </w:lvl>
    <w:lvl w:ilvl="7" w:tplc="49FEECAE" w:tentative="1">
      <w:start w:val="1"/>
      <w:numFmt w:val="bullet"/>
      <w:lvlText w:val="o"/>
      <w:lvlJc w:val="left"/>
      <w:pPr>
        <w:tabs>
          <w:tab w:val="num" w:pos="5760"/>
        </w:tabs>
        <w:ind w:left="5760" w:hanging="360"/>
      </w:pPr>
      <w:rPr>
        <w:rFonts w:ascii="Courier New" w:hAnsi="Courier New" w:cs="Courier New" w:hint="default"/>
      </w:rPr>
    </w:lvl>
    <w:lvl w:ilvl="8" w:tplc="5F6AC542" w:tentative="1">
      <w:start w:val="1"/>
      <w:numFmt w:val="bullet"/>
      <w:lvlText w:val=""/>
      <w:lvlJc w:val="left"/>
      <w:pPr>
        <w:tabs>
          <w:tab w:val="num" w:pos="6480"/>
        </w:tabs>
        <w:ind w:left="6480" w:hanging="360"/>
      </w:pPr>
      <w:rPr>
        <w:rFonts w:ascii="Wingdings" w:hAnsi="Wingdings" w:hint="default"/>
      </w:rPr>
    </w:lvl>
  </w:abstractNum>
  <w:abstractNum w:abstractNumId="14">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27567B"/>
    <w:multiLevelType w:val="hybridMultilevel"/>
    <w:tmpl w:val="061816A4"/>
    <w:lvl w:ilvl="0" w:tplc="04090001">
      <w:start w:val="1"/>
      <w:numFmt w:val="decimal"/>
      <w:lvlText w:val="%1."/>
      <w:lvlJc w:val="left"/>
      <w:pPr>
        <w:ind w:left="720" w:hanging="360"/>
      </w:pPr>
    </w:lvl>
    <w:lvl w:ilvl="1" w:tplc="0409001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6632FA8"/>
    <w:multiLevelType w:val="hybridMultilevel"/>
    <w:tmpl w:val="03FAEFB0"/>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7020D70"/>
    <w:multiLevelType w:val="hybridMultilevel"/>
    <w:tmpl w:val="861AF34C"/>
    <w:lvl w:ilvl="0" w:tplc="B310E00A">
      <w:start w:val="1"/>
      <w:numFmt w:val="bullet"/>
      <w:lvlText w:val=""/>
      <w:lvlJc w:val="left"/>
      <w:pPr>
        <w:tabs>
          <w:tab w:val="num" w:pos="720"/>
        </w:tabs>
        <w:ind w:left="720" w:hanging="360"/>
      </w:pPr>
      <w:rPr>
        <w:rFonts w:ascii="Symbol" w:hAnsi="Symbol" w:hint="default"/>
      </w:rPr>
    </w:lvl>
    <w:lvl w:ilvl="1" w:tplc="8A7E8A58" w:tentative="1">
      <w:start w:val="1"/>
      <w:numFmt w:val="bullet"/>
      <w:lvlText w:val="o"/>
      <w:lvlJc w:val="left"/>
      <w:pPr>
        <w:tabs>
          <w:tab w:val="num" w:pos="1440"/>
        </w:tabs>
        <w:ind w:left="1440" w:hanging="360"/>
      </w:pPr>
      <w:rPr>
        <w:rFonts w:ascii="Courier New" w:hAnsi="Courier New" w:cs="Courier New"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Symbol" w:hAnsi="Symbol" w:hint="default"/>
      </w:rPr>
    </w:lvl>
    <w:lvl w:ilvl="4" w:tplc="A24A65FC" w:tentative="1">
      <w:start w:val="1"/>
      <w:numFmt w:val="bullet"/>
      <w:lvlText w:val="o"/>
      <w:lvlJc w:val="left"/>
      <w:pPr>
        <w:tabs>
          <w:tab w:val="num" w:pos="3600"/>
        </w:tabs>
        <w:ind w:left="3600" w:hanging="360"/>
      </w:pPr>
      <w:rPr>
        <w:rFonts w:ascii="Courier New" w:hAnsi="Courier New" w:cs="Courier New"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Symbol" w:hAnsi="Symbol" w:hint="default"/>
      </w:rPr>
    </w:lvl>
    <w:lvl w:ilvl="7" w:tplc="DB1ECCD8" w:tentative="1">
      <w:start w:val="1"/>
      <w:numFmt w:val="bullet"/>
      <w:lvlText w:val="o"/>
      <w:lvlJc w:val="left"/>
      <w:pPr>
        <w:tabs>
          <w:tab w:val="num" w:pos="5760"/>
        </w:tabs>
        <w:ind w:left="5760" w:hanging="360"/>
      </w:pPr>
      <w:rPr>
        <w:rFonts w:ascii="Courier New" w:hAnsi="Courier New" w:cs="Courier New"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18">
    <w:nsid w:val="43EF628D"/>
    <w:multiLevelType w:val="hybridMultilevel"/>
    <w:tmpl w:val="F4006C94"/>
    <w:lvl w:ilvl="0" w:tplc="04090001">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EE2700C"/>
    <w:multiLevelType w:val="hybridMultilevel"/>
    <w:tmpl w:val="A59CF7B2"/>
    <w:lvl w:ilvl="0" w:tplc="3FF85D66">
      <w:start w:val="1"/>
      <w:numFmt w:val="bullet"/>
      <w:lvlText w:val=""/>
      <w:lvlJc w:val="left"/>
      <w:pPr>
        <w:tabs>
          <w:tab w:val="num" w:pos="720"/>
        </w:tabs>
        <w:ind w:left="720" w:hanging="360"/>
      </w:pPr>
      <w:rPr>
        <w:rFonts w:ascii="Symbol" w:hAnsi="Symbol" w:hint="default"/>
      </w:rPr>
    </w:lvl>
    <w:lvl w:ilvl="1" w:tplc="68A0333A" w:tentative="1">
      <w:start w:val="1"/>
      <w:numFmt w:val="bullet"/>
      <w:lvlText w:val="o"/>
      <w:lvlJc w:val="left"/>
      <w:pPr>
        <w:tabs>
          <w:tab w:val="num" w:pos="1440"/>
        </w:tabs>
        <w:ind w:left="1440" w:hanging="360"/>
      </w:pPr>
      <w:rPr>
        <w:rFonts w:ascii="Courier New" w:hAnsi="Courier New" w:cs="Courier New" w:hint="default"/>
      </w:rPr>
    </w:lvl>
    <w:lvl w:ilvl="2" w:tplc="BEA452F0" w:tentative="1">
      <w:start w:val="1"/>
      <w:numFmt w:val="bullet"/>
      <w:lvlText w:val=""/>
      <w:lvlJc w:val="left"/>
      <w:pPr>
        <w:tabs>
          <w:tab w:val="num" w:pos="2160"/>
        </w:tabs>
        <w:ind w:left="2160" w:hanging="360"/>
      </w:pPr>
      <w:rPr>
        <w:rFonts w:ascii="Wingdings" w:hAnsi="Wingdings" w:hint="default"/>
      </w:rPr>
    </w:lvl>
    <w:lvl w:ilvl="3" w:tplc="29CCCC3A" w:tentative="1">
      <w:start w:val="1"/>
      <w:numFmt w:val="bullet"/>
      <w:lvlText w:val=""/>
      <w:lvlJc w:val="left"/>
      <w:pPr>
        <w:tabs>
          <w:tab w:val="num" w:pos="2880"/>
        </w:tabs>
        <w:ind w:left="2880" w:hanging="360"/>
      </w:pPr>
      <w:rPr>
        <w:rFonts w:ascii="Symbol" w:hAnsi="Symbol" w:hint="default"/>
      </w:rPr>
    </w:lvl>
    <w:lvl w:ilvl="4" w:tplc="44CA80D2" w:tentative="1">
      <w:start w:val="1"/>
      <w:numFmt w:val="bullet"/>
      <w:lvlText w:val="o"/>
      <w:lvlJc w:val="left"/>
      <w:pPr>
        <w:tabs>
          <w:tab w:val="num" w:pos="3600"/>
        </w:tabs>
        <w:ind w:left="3600" w:hanging="360"/>
      </w:pPr>
      <w:rPr>
        <w:rFonts w:ascii="Courier New" w:hAnsi="Courier New" w:cs="Courier New" w:hint="default"/>
      </w:rPr>
    </w:lvl>
    <w:lvl w:ilvl="5" w:tplc="99ACCA24" w:tentative="1">
      <w:start w:val="1"/>
      <w:numFmt w:val="bullet"/>
      <w:lvlText w:val=""/>
      <w:lvlJc w:val="left"/>
      <w:pPr>
        <w:tabs>
          <w:tab w:val="num" w:pos="4320"/>
        </w:tabs>
        <w:ind w:left="4320" w:hanging="360"/>
      </w:pPr>
      <w:rPr>
        <w:rFonts w:ascii="Wingdings" w:hAnsi="Wingdings" w:hint="default"/>
      </w:rPr>
    </w:lvl>
    <w:lvl w:ilvl="6" w:tplc="47D07F6C" w:tentative="1">
      <w:start w:val="1"/>
      <w:numFmt w:val="bullet"/>
      <w:lvlText w:val=""/>
      <w:lvlJc w:val="left"/>
      <w:pPr>
        <w:tabs>
          <w:tab w:val="num" w:pos="5040"/>
        </w:tabs>
        <w:ind w:left="5040" w:hanging="360"/>
      </w:pPr>
      <w:rPr>
        <w:rFonts w:ascii="Symbol" w:hAnsi="Symbol" w:hint="default"/>
      </w:rPr>
    </w:lvl>
    <w:lvl w:ilvl="7" w:tplc="DA407FFA" w:tentative="1">
      <w:start w:val="1"/>
      <w:numFmt w:val="bullet"/>
      <w:lvlText w:val="o"/>
      <w:lvlJc w:val="left"/>
      <w:pPr>
        <w:tabs>
          <w:tab w:val="num" w:pos="5760"/>
        </w:tabs>
        <w:ind w:left="5760" w:hanging="360"/>
      </w:pPr>
      <w:rPr>
        <w:rFonts w:ascii="Courier New" w:hAnsi="Courier New" w:cs="Courier New" w:hint="default"/>
      </w:rPr>
    </w:lvl>
    <w:lvl w:ilvl="8" w:tplc="28CA4C8C" w:tentative="1">
      <w:start w:val="1"/>
      <w:numFmt w:val="bullet"/>
      <w:lvlText w:val=""/>
      <w:lvlJc w:val="left"/>
      <w:pPr>
        <w:tabs>
          <w:tab w:val="num" w:pos="6480"/>
        </w:tabs>
        <w:ind w:left="6480" w:hanging="360"/>
      </w:pPr>
      <w:rPr>
        <w:rFonts w:ascii="Wingdings" w:hAnsi="Wingdings" w:hint="default"/>
      </w:rPr>
    </w:lvl>
  </w:abstractNum>
  <w:abstractNum w:abstractNumId="23">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BF7357"/>
    <w:multiLevelType w:val="hybridMultilevel"/>
    <w:tmpl w:val="EFCE60B4"/>
    <w:lvl w:ilvl="0" w:tplc="11542400">
      <w:start w:val="1"/>
      <w:numFmt w:val="bullet"/>
      <w:lvlText w:val=""/>
      <w:lvlJc w:val="left"/>
      <w:pPr>
        <w:tabs>
          <w:tab w:val="num" w:pos="720"/>
        </w:tabs>
        <w:ind w:left="720" w:hanging="360"/>
      </w:pPr>
      <w:rPr>
        <w:rFonts w:ascii="Symbol" w:hAnsi="Symbol" w:hint="default"/>
      </w:rPr>
    </w:lvl>
    <w:lvl w:ilvl="1" w:tplc="7AD24C82" w:tentative="1">
      <w:start w:val="1"/>
      <w:numFmt w:val="bullet"/>
      <w:lvlText w:val="o"/>
      <w:lvlJc w:val="left"/>
      <w:pPr>
        <w:tabs>
          <w:tab w:val="num" w:pos="1440"/>
        </w:tabs>
        <w:ind w:left="1440" w:hanging="360"/>
      </w:pPr>
      <w:rPr>
        <w:rFonts w:ascii="Courier New" w:hAnsi="Courier New" w:cs="Courier New" w:hint="default"/>
      </w:rPr>
    </w:lvl>
    <w:lvl w:ilvl="2" w:tplc="AAD2B474" w:tentative="1">
      <w:start w:val="1"/>
      <w:numFmt w:val="bullet"/>
      <w:lvlText w:val=""/>
      <w:lvlJc w:val="left"/>
      <w:pPr>
        <w:tabs>
          <w:tab w:val="num" w:pos="2160"/>
        </w:tabs>
        <w:ind w:left="2160" w:hanging="360"/>
      </w:pPr>
      <w:rPr>
        <w:rFonts w:ascii="Wingdings" w:hAnsi="Wingdings" w:hint="default"/>
      </w:rPr>
    </w:lvl>
    <w:lvl w:ilvl="3" w:tplc="6D12B79A" w:tentative="1">
      <w:start w:val="1"/>
      <w:numFmt w:val="bullet"/>
      <w:lvlText w:val=""/>
      <w:lvlJc w:val="left"/>
      <w:pPr>
        <w:tabs>
          <w:tab w:val="num" w:pos="2880"/>
        </w:tabs>
        <w:ind w:left="2880" w:hanging="360"/>
      </w:pPr>
      <w:rPr>
        <w:rFonts w:ascii="Symbol" w:hAnsi="Symbol" w:hint="default"/>
      </w:rPr>
    </w:lvl>
    <w:lvl w:ilvl="4" w:tplc="476EA1E4" w:tentative="1">
      <w:start w:val="1"/>
      <w:numFmt w:val="bullet"/>
      <w:lvlText w:val="o"/>
      <w:lvlJc w:val="left"/>
      <w:pPr>
        <w:tabs>
          <w:tab w:val="num" w:pos="3600"/>
        </w:tabs>
        <w:ind w:left="3600" w:hanging="360"/>
      </w:pPr>
      <w:rPr>
        <w:rFonts w:ascii="Courier New" w:hAnsi="Courier New" w:cs="Courier New" w:hint="default"/>
      </w:rPr>
    </w:lvl>
    <w:lvl w:ilvl="5" w:tplc="52CE102C" w:tentative="1">
      <w:start w:val="1"/>
      <w:numFmt w:val="bullet"/>
      <w:lvlText w:val=""/>
      <w:lvlJc w:val="left"/>
      <w:pPr>
        <w:tabs>
          <w:tab w:val="num" w:pos="4320"/>
        </w:tabs>
        <w:ind w:left="4320" w:hanging="360"/>
      </w:pPr>
      <w:rPr>
        <w:rFonts w:ascii="Wingdings" w:hAnsi="Wingdings" w:hint="default"/>
      </w:rPr>
    </w:lvl>
    <w:lvl w:ilvl="6" w:tplc="B0867270" w:tentative="1">
      <w:start w:val="1"/>
      <w:numFmt w:val="bullet"/>
      <w:lvlText w:val=""/>
      <w:lvlJc w:val="left"/>
      <w:pPr>
        <w:tabs>
          <w:tab w:val="num" w:pos="5040"/>
        </w:tabs>
        <w:ind w:left="5040" w:hanging="360"/>
      </w:pPr>
      <w:rPr>
        <w:rFonts w:ascii="Symbol" w:hAnsi="Symbol" w:hint="default"/>
      </w:rPr>
    </w:lvl>
    <w:lvl w:ilvl="7" w:tplc="D32CF9B8" w:tentative="1">
      <w:start w:val="1"/>
      <w:numFmt w:val="bullet"/>
      <w:lvlText w:val="o"/>
      <w:lvlJc w:val="left"/>
      <w:pPr>
        <w:tabs>
          <w:tab w:val="num" w:pos="5760"/>
        </w:tabs>
        <w:ind w:left="5760" w:hanging="360"/>
      </w:pPr>
      <w:rPr>
        <w:rFonts w:ascii="Courier New" w:hAnsi="Courier New" w:cs="Courier New" w:hint="default"/>
      </w:rPr>
    </w:lvl>
    <w:lvl w:ilvl="8" w:tplc="CDDAC5EE" w:tentative="1">
      <w:start w:val="1"/>
      <w:numFmt w:val="bullet"/>
      <w:lvlText w:val=""/>
      <w:lvlJc w:val="left"/>
      <w:pPr>
        <w:tabs>
          <w:tab w:val="num" w:pos="6480"/>
        </w:tabs>
        <w:ind w:left="6480" w:hanging="360"/>
      </w:pPr>
      <w:rPr>
        <w:rFonts w:ascii="Wingdings" w:hAnsi="Wingdings" w:hint="default"/>
      </w:rPr>
    </w:lvl>
  </w:abstractNum>
  <w:abstractNum w:abstractNumId="25">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6">
    <w:nsid w:val="60340431"/>
    <w:multiLevelType w:val="hybridMultilevel"/>
    <w:tmpl w:val="EFB4767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1D1F8E"/>
    <w:multiLevelType w:val="hybridMultilevel"/>
    <w:tmpl w:val="745C7E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2E016C"/>
    <w:multiLevelType w:val="hybridMultilevel"/>
    <w:tmpl w:val="584252FA"/>
    <w:lvl w:ilvl="0" w:tplc="ADAC38BC">
      <w:start w:val="1"/>
      <w:numFmt w:val="bullet"/>
      <w:lvlText w:val=""/>
      <w:lvlJc w:val="left"/>
      <w:pPr>
        <w:tabs>
          <w:tab w:val="num" w:pos="720"/>
        </w:tabs>
        <w:ind w:left="720" w:hanging="360"/>
      </w:pPr>
      <w:rPr>
        <w:rFonts w:ascii="Symbol" w:hAnsi="Symbol" w:hint="default"/>
      </w:rPr>
    </w:lvl>
    <w:lvl w:ilvl="1" w:tplc="DC96DEBC">
      <w:start w:val="1"/>
      <w:numFmt w:val="upperLetter"/>
      <w:lvlText w:val="%2."/>
      <w:lvlJc w:val="left"/>
      <w:pPr>
        <w:tabs>
          <w:tab w:val="num" w:pos="1440"/>
        </w:tabs>
        <w:ind w:left="1440" w:hanging="360"/>
      </w:pPr>
      <w:rPr>
        <w:rFont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Symbol" w:hAnsi="Symbol" w:hint="default"/>
      </w:rPr>
    </w:lvl>
    <w:lvl w:ilvl="4" w:tplc="306034F2" w:tentative="1">
      <w:start w:val="1"/>
      <w:numFmt w:val="bullet"/>
      <w:lvlText w:val="o"/>
      <w:lvlJc w:val="left"/>
      <w:pPr>
        <w:tabs>
          <w:tab w:val="num" w:pos="3600"/>
        </w:tabs>
        <w:ind w:left="3600" w:hanging="360"/>
      </w:pPr>
      <w:rPr>
        <w:rFonts w:ascii="Courier New" w:hAnsi="Courier New" w:cs="Courier New"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Symbol" w:hAnsi="Symbol" w:hint="default"/>
      </w:rPr>
    </w:lvl>
    <w:lvl w:ilvl="7" w:tplc="80665818" w:tentative="1">
      <w:start w:val="1"/>
      <w:numFmt w:val="bullet"/>
      <w:lvlText w:val="o"/>
      <w:lvlJc w:val="left"/>
      <w:pPr>
        <w:tabs>
          <w:tab w:val="num" w:pos="5760"/>
        </w:tabs>
        <w:ind w:left="5760" w:hanging="360"/>
      </w:pPr>
      <w:rPr>
        <w:rFonts w:ascii="Courier New" w:hAnsi="Courier New" w:cs="Courier New"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29">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18D0370"/>
    <w:multiLevelType w:val="hybridMultilevel"/>
    <w:tmpl w:val="1A904C6A"/>
    <w:lvl w:ilvl="0" w:tplc="BF70AA9C">
      <w:start w:val="1"/>
      <w:numFmt w:val="bullet"/>
      <w:lvlText w:val=""/>
      <w:lvlJc w:val="left"/>
      <w:pPr>
        <w:tabs>
          <w:tab w:val="num" w:pos="720"/>
        </w:tabs>
        <w:ind w:left="720" w:hanging="360"/>
      </w:pPr>
      <w:rPr>
        <w:rFonts w:ascii="Symbol" w:hAnsi="Symbol" w:hint="default"/>
      </w:rPr>
    </w:lvl>
    <w:lvl w:ilvl="1" w:tplc="CA20AB7E" w:tentative="1">
      <w:start w:val="1"/>
      <w:numFmt w:val="bullet"/>
      <w:lvlText w:val="o"/>
      <w:lvlJc w:val="left"/>
      <w:pPr>
        <w:tabs>
          <w:tab w:val="num" w:pos="1440"/>
        </w:tabs>
        <w:ind w:left="1440" w:hanging="360"/>
      </w:pPr>
      <w:rPr>
        <w:rFonts w:ascii="Courier New" w:hAnsi="Courier New" w:cs="Courier New" w:hint="default"/>
      </w:rPr>
    </w:lvl>
    <w:lvl w:ilvl="2" w:tplc="AC6C5C1E" w:tentative="1">
      <w:start w:val="1"/>
      <w:numFmt w:val="bullet"/>
      <w:lvlText w:val=""/>
      <w:lvlJc w:val="left"/>
      <w:pPr>
        <w:tabs>
          <w:tab w:val="num" w:pos="2160"/>
        </w:tabs>
        <w:ind w:left="2160" w:hanging="360"/>
      </w:pPr>
      <w:rPr>
        <w:rFonts w:ascii="Wingdings" w:hAnsi="Wingdings" w:hint="default"/>
      </w:rPr>
    </w:lvl>
    <w:lvl w:ilvl="3" w:tplc="82D48542" w:tentative="1">
      <w:start w:val="1"/>
      <w:numFmt w:val="bullet"/>
      <w:lvlText w:val=""/>
      <w:lvlJc w:val="left"/>
      <w:pPr>
        <w:tabs>
          <w:tab w:val="num" w:pos="2880"/>
        </w:tabs>
        <w:ind w:left="2880" w:hanging="360"/>
      </w:pPr>
      <w:rPr>
        <w:rFonts w:ascii="Symbol" w:hAnsi="Symbol" w:hint="default"/>
      </w:rPr>
    </w:lvl>
    <w:lvl w:ilvl="4" w:tplc="D638AA5A" w:tentative="1">
      <w:start w:val="1"/>
      <w:numFmt w:val="bullet"/>
      <w:lvlText w:val="o"/>
      <w:lvlJc w:val="left"/>
      <w:pPr>
        <w:tabs>
          <w:tab w:val="num" w:pos="3600"/>
        </w:tabs>
        <w:ind w:left="3600" w:hanging="360"/>
      </w:pPr>
      <w:rPr>
        <w:rFonts w:ascii="Courier New" w:hAnsi="Courier New" w:cs="Courier New" w:hint="default"/>
      </w:rPr>
    </w:lvl>
    <w:lvl w:ilvl="5" w:tplc="AC12AA68" w:tentative="1">
      <w:start w:val="1"/>
      <w:numFmt w:val="bullet"/>
      <w:lvlText w:val=""/>
      <w:lvlJc w:val="left"/>
      <w:pPr>
        <w:tabs>
          <w:tab w:val="num" w:pos="4320"/>
        </w:tabs>
        <w:ind w:left="4320" w:hanging="360"/>
      </w:pPr>
      <w:rPr>
        <w:rFonts w:ascii="Wingdings" w:hAnsi="Wingdings" w:hint="default"/>
      </w:rPr>
    </w:lvl>
    <w:lvl w:ilvl="6" w:tplc="0AAA684E" w:tentative="1">
      <w:start w:val="1"/>
      <w:numFmt w:val="bullet"/>
      <w:lvlText w:val=""/>
      <w:lvlJc w:val="left"/>
      <w:pPr>
        <w:tabs>
          <w:tab w:val="num" w:pos="5040"/>
        </w:tabs>
        <w:ind w:left="5040" w:hanging="360"/>
      </w:pPr>
      <w:rPr>
        <w:rFonts w:ascii="Symbol" w:hAnsi="Symbol" w:hint="default"/>
      </w:rPr>
    </w:lvl>
    <w:lvl w:ilvl="7" w:tplc="0F26A9BE" w:tentative="1">
      <w:start w:val="1"/>
      <w:numFmt w:val="bullet"/>
      <w:lvlText w:val="o"/>
      <w:lvlJc w:val="left"/>
      <w:pPr>
        <w:tabs>
          <w:tab w:val="num" w:pos="5760"/>
        </w:tabs>
        <w:ind w:left="5760" w:hanging="360"/>
      </w:pPr>
      <w:rPr>
        <w:rFonts w:ascii="Courier New" w:hAnsi="Courier New" w:cs="Courier New" w:hint="default"/>
      </w:rPr>
    </w:lvl>
    <w:lvl w:ilvl="8" w:tplc="7382A450" w:tentative="1">
      <w:start w:val="1"/>
      <w:numFmt w:val="bullet"/>
      <w:lvlText w:val=""/>
      <w:lvlJc w:val="left"/>
      <w:pPr>
        <w:tabs>
          <w:tab w:val="num" w:pos="6480"/>
        </w:tabs>
        <w:ind w:left="6480" w:hanging="360"/>
      </w:pPr>
      <w:rPr>
        <w:rFonts w:ascii="Wingdings" w:hAnsi="Wingdings" w:hint="default"/>
      </w:rPr>
    </w:lvl>
  </w:abstractNum>
  <w:abstractNum w:abstractNumId="31">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3">
    <w:nsid w:val="7B6778E1"/>
    <w:multiLevelType w:val="hybridMultilevel"/>
    <w:tmpl w:val="0B7025BA"/>
    <w:lvl w:ilvl="0" w:tplc="04090001">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5"/>
  </w:num>
  <w:num w:numId="3">
    <w:abstractNumId w:val="9"/>
  </w:num>
  <w:num w:numId="4">
    <w:abstractNumId w:val="2"/>
  </w:num>
  <w:num w:numId="5">
    <w:abstractNumId w:val="22"/>
  </w:num>
  <w:num w:numId="6">
    <w:abstractNumId w:val="4"/>
  </w:num>
  <w:num w:numId="7">
    <w:abstractNumId w:val="0"/>
  </w:num>
  <w:num w:numId="8">
    <w:abstractNumId w:val="30"/>
  </w:num>
  <w:num w:numId="9">
    <w:abstractNumId w:val="13"/>
  </w:num>
  <w:num w:numId="10">
    <w:abstractNumId w:val="24"/>
  </w:num>
  <w:num w:numId="11">
    <w:abstractNumId w:val="17"/>
  </w:num>
  <w:num w:numId="12">
    <w:abstractNumId w:val="31"/>
  </w:num>
  <w:num w:numId="13">
    <w:abstractNumId w:val="11"/>
  </w:num>
  <w:num w:numId="14">
    <w:abstractNumId w:val="20"/>
  </w:num>
  <w:num w:numId="15">
    <w:abstractNumId w:val="23"/>
  </w:num>
  <w:num w:numId="16">
    <w:abstractNumId w:val="21"/>
  </w:num>
  <w:num w:numId="17">
    <w:abstractNumId w:val="8"/>
  </w:num>
  <w:num w:numId="18">
    <w:abstractNumId w:val="26"/>
  </w:num>
  <w:num w:numId="19">
    <w:abstractNumId w:val="3"/>
  </w:num>
  <w:num w:numId="20">
    <w:abstractNumId w:val="6"/>
  </w:num>
  <w:num w:numId="21">
    <w:abstractNumId w:val="16"/>
  </w:num>
  <w:num w:numId="22">
    <w:abstractNumId w:val="10"/>
  </w:num>
  <w:num w:numId="23">
    <w:abstractNumId w:val="1"/>
  </w:num>
  <w:num w:numId="24">
    <w:abstractNumId w:val="12"/>
  </w:num>
  <w:num w:numId="25">
    <w:abstractNumId w:val="7"/>
  </w:num>
  <w:num w:numId="26">
    <w:abstractNumId w:val="33"/>
  </w:num>
  <w:num w:numId="27">
    <w:abstractNumId w:val="19"/>
  </w:num>
  <w:num w:numId="28">
    <w:abstractNumId w:val="18"/>
  </w:num>
  <w:num w:numId="29">
    <w:abstractNumId w:val="29"/>
  </w:num>
  <w:num w:numId="30">
    <w:abstractNumId w:val="28"/>
  </w:num>
  <w:num w:numId="31">
    <w:abstractNumId w:val="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8914"/>
  </w:hdrShapeDefaults>
  <w:footnotePr>
    <w:footnote w:id="-1"/>
    <w:footnote w:id="0"/>
  </w:footnotePr>
  <w:endnotePr>
    <w:numFmt w:val="decimal"/>
    <w:endnote w:id="-1"/>
    <w:endnote w:id="0"/>
  </w:endnotePr>
  <w:compat/>
  <w:rsids>
    <w:rsidRoot w:val="00062F97"/>
    <w:rsid w:val="00015E12"/>
    <w:rsid w:val="00021D8B"/>
    <w:rsid w:val="0002646F"/>
    <w:rsid w:val="000315F4"/>
    <w:rsid w:val="0003468B"/>
    <w:rsid w:val="000371A4"/>
    <w:rsid w:val="00062F97"/>
    <w:rsid w:val="0006562E"/>
    <w:rsid w:val="00070485"/>
    <w:rsid w:val="000719A4"/>
    <w:rsid w:val="00080148"/>
    <w:rsid w:val="00084FA4"/>
    <w:rsid w:val="00090B8F"/>
    <w:rsid w:val="00091AEC"/>
    <w:rsid w:val="00091D18"/>
    <w:rsid w:val="000A240C"/>
    <w:rsid w:val="000A302C"/>
    <w:rsid w:val="000A6323"/>
    <w:rsid w:val="000B5473"/>
    <w:rsid w:val="000C0E6E"/>
    <w:rsid w:val="000C3804"/>
    <w:rsid w:val="000D1DEF"/>
    <w:rsid w:val="000E1EEC"/>
    <w:rsid w:val="000E2ADF"/>
    <w:rsid w:val="000E7B54"/>
    <w:rsid w:val="000F3589"/>
    <w:rsid w:val="000F396E"/>
    <w:rsid w:val="000F7E2F"/>
    <w:rsid w:val="00102B2A"/>
    <w:rsid w:val="00115533"/>
    <w:rsid w:val="001331CE"/>
    <w:rsid w:val="00136A69"/>
    <w:rsid w:val="00136BF9"/>
    <w:rsid w:val="00143423"/>
    <w:rsid w:val="00145318"/>
    <w:rsid w:val="00146B93"/>
    <w:rsid w:val="00150735"/>
    <w:rsid w:val="00150BDA"/>
    <w:rsid w:val="00153195"/>
    <w:rsid w:val="0015319C"/>
    <w:rsid w:val="001571B2"/>
    <w:rsid w:val="001727FA"/>
    <w:rsid w:val="00173672"/>
    <w:rsid w:val="0017566D"/>
    <w:rsid w:val="00175A6D"/>
    <w:rsid w:val="00177FBA"/>
    <w:rsid w:val="00183DDF"/>
    <w:rsid w:val="00191F78"/>
    <w:rsid w:val="001A0393"/>
    <w:rsid w:val="001A231F"/>
    <w:rsid w:val="001A33E9"/>
    <w:rsid w:val="001B2055"/>
    <w:rsid w:val="001B5C25"/>
    <w:rsid w:val="001B6FC7"/>
    <w:rsid w:val="001C191D"/>
    <w:rsid w:val="001C1CF3"/>
    <w:rsid w:val="001C7C27"/>
    <w:rsid w:val="001D19D9"/>
    <w:rsid w:val="001D52C9"/>
    <w:rsid w:val="001E02B5"/>
    <w:rsid w:val="001E03EF"/>
    <w:rsid w:val="001F1546"/>
    <w:rsid w:val="00206B46"/>
    <w:rsid w:val="00212B07"/>
    <w:rsid w:val="00221FFA"/>
    <w:rsid w:val="00223C93"/>
    <w:rsid w:val="00223CB1"/>
    <w:rsid w:val="002268BB"/>
    <w:rsid w:val="00226E74"/>
    <w:rsid w:val="002303C8"/>
    <w:rsid w:val="002322C6"/>
    <w:rsid w:val="00240250"/>
    <w:rsid w:val="00244062"/>
    <w:rsid w:val="00246C13"/>
    <w:rsid w:val="00250B73"/>
    <w:rsid w:val="00253C4E"/>
    <w:rsid w:val="00254AB7"/>
    <w:rsid w:val="00255887"/>
    <w:rsid w:val="00255C20"/>
    <w:rsid w:val="002606E9"/>
    <w:rsid w:val="00264E67"/>
    <w:rsid w:val="002724A9"/>
    <w:rsid w:val="0028184D"/>
    <w:rsid w:val="00285C64"/>
    <w:rsid w:val="00290467"/>
    <w:rsid w:val="002B067B"/>
    <w:rsid w:val="002B093F"/>
    <w:rsid w:val="002B4401"/>
    <w:rsid w:val="002B6A69"/>
    <w:rsid w:val="002B6C97"/>
    <w:rsid w:val="002C0789"/>
    <w:rsid w:val="002D0D72"/>
    <w:rsid w:val="002D1F30"/>
    <w:rsid w:val="002D7E9C"/>
    <w:rsid w:val="002E6EFF"/>
    <w:rsid w:val="002E70AC"/>
    <w:rsid w:val="002F26C2"/>
    <w:rsid w:val="002F5979"/>
    <w:rsid w:val="002F7D24"/>
    <w:rsid w:val="003021EC"/>
    <w:rsid w:val="0030554F"/>
    <w:rsid w:val="00307E12"/>
    <w:rsid w:val="00312689"/>
    <w:rsid w:val="00315BE9"/>
    <w:rsid w:val="00325DDF"/>
    <w:rsid w:val="00332597"/>
    <w:rsid w:val="00332D21"/>
    <w:rsid w:val="003459AF"/>
    <w:rsid w:val="00351367"/>
    <w:rsid w:val="003610A6"/>
    <w:rsid w:val="00366584"/>
    <w:rsid w:val="003665AD"/>
    <w:rsid w:val="003667DD"/>
    <w:rsid w:val="00372A77"/>
    <w:rsid w:val="003731EB"/>
    <w:rsid w:val="00391CF7"/>
    <w:rsid w:val="003A0A8F"/>
    <w:rsid w:val="003A23A5"/>
    <w:rsid w:val="003A6DAE"/>
    <w:rsid w:val="003B0A5D"/>
    <w:rsid w:val="003B2EEA"/>
    <w:rsid w:val="003B2F8B"/>
    <w:rsid w:val="003E1432"/>
    <w:rsid w:val="003E6588"/>
    <w:rsid w:val="003F2FA3"/>
    <w:rsid w:val="003F47A5"/>
    <w:rsid w:val="003F5770"/>
    <w:rsid w:val="004106D6"/>
    <w:rsid w:val="00417417"/>
    <w:rsid w:val="004217AF"/>
    <w:rsid w:val="0042328B"/>
    <w:rsid w:val="00430240"/>
    <w:rsid w:val="00437777"/>
    <w:rsid w:val="00437BD3"/>
    <w:rsid w:val="0045095F"/>
    <w:rsid w:val="004553EB"/>
    <w:rsid w:val="004619B5"/>
    <w:rsid w:val="00462EB5"/>
    <w:rsid w:val="00470924"/>
    <w:rsid w:val="00472C6C"/>
    <w:rsid w:val="00476240"/>
    <w:rsid w:val="00481414"/>
    <w:rsid w:val="00493B51"/>
    <w:rsid w:val="004A19DC"/>
    <w:rsid w:val="004C0138"/>
    <w:rsid w:val="004C0657"/>
    <w:rsid w:val="004C5B4C"/>
    <w:rsid w:val="004D2104"/>
    <w:rsid w:val="004D3EE5"/>
    <w:rsid w:val="004E357F"/>
    <w:rsid w:val="004E4F64"/>
    <w:rsid w:val="004E5734"/>
    <w:rsid w:val="004E586B"/>
    <w:rsid w:val="004F4A5D"/>
    <w:rsid w:val="005017E2"/>
    <w:rsid w:val="005024DB"/>
    <w:rsid w:val="00502587"/>
    <w:rsid w:val="00517EFA"/>
    <w:rsid w:val="00517F31"/>
    <w:rsid w:val="005249AE"/>
    <w:rsid w:val="00543651"/>
    <w:rsid w:val="005444DC"/>
    <w:rsid w:val="00554F0F"/>
    <w:rsid w:val="005600F9"/>
    <w:rsid w:val="00573A76"/>
    <w:rsid w:val="0058041B"/>
    <w:rsid w:val="00580EC5"/>
    <w:rsid w:val="005811F6"/>
    <w:rsid w:val="00587313"/>
    <w:rsid w:val="005A1A9A"/>
    <w:rsid w:val="005A6497"/>
    <w:rsid w:val="005A765F"/>
    <w:rsid w:val="005A7CB4"/>
    <w:rsid w:val="005B3965"/>
    <w:rsid w:val="005C2FE7"/>
    <w:rsid w:val="005C4E7F"/>
    <w:rsid w:val="005C6994"/>
    <w:rsid w:val="005D2BEC"/>
    <w:rsid w:val="005D3F74"/>
    <w:rsid w:val="005F0FBC"/>
    <w:rsid w:val="005F5312"/>
    <w:rsid w:val="005F7433"/>
    <w:rsid w:val="006064EA"/>
    <w:rsid w:val="00611369"/>
    <w:rsid w:val="00620D44"/>
    <w:rsid w:val="00633996"/>
    <w:rsid w:val="00634E66"/>
    <w:rsid w:val="00635283"/>
    <w:rsid w:val="00636AD3"/>
    <w:rsid w:val="00650FD9"/>
    <w:rsid w:val="00653472"/>
    <w:rsid w:val="00665997"/>
    <w:rsid w:val="006700AB"/>
    <w:rsid w:val="00673F8F"/>
    <w:rsid w:val="006762EF"/>
    <w:rsid w:val="006850F7"/>
    <w:rsid w:val="00690C82"/>
    <w:rsid w:val="006A4B1D"/>
    <w:rsid w:val="006A580F"/>
    <w:rsid w:val="006B610F"/>
    <w:rsid w:val="006B6545"/>
    <w:rsid w:val="006C3864"/>
    <w:rsid w:val="006D3EB6"/>
    <w:rsid w:val="006E0609"/>
    <w:rsid w:val="006F3680"/>
    <w:rsid w:val="006F5037"/>
    <w:rsid w:val="00700A2A"/>
    <w:rsid w:val="0070554B"/>
    <w:rsid w:val="00712A71"/>
    <w:rsid w:val="00713EF1"/>
    <w:rsid w:val="0071684C"/>
    <w:rsid w:val="0072048C"/>
    <w:rsid w:val="00721997"/>
    <w:rsid w:val="00721C6D"/>
    <w:rsid w:val="0072694B"/>
    <w:rsid w:val="007351E6"/>
    <w:rsid w:val="00742E9B"/>
    <w:rsid w:val="0074744B"/>
    <w:rsid w:val="00750145"/>
    <w:rsid w:val="00751504"/>
    <w:rsid w:val="00751C18"/>
    <w:rsid w:val="00754B4B"/>
    <w:rsid w:val="00763CBF"/>
    <w:rsid w:val="0077060A"/>
    <w:rsid w:val="00771D58"/>
    <w:rsid w:val="0077546C"/>
    <w:rsid w:val="00780BB4"/>
    <w:rsid w:val="00781665"/>
    <w:rsid w:val="00781991"/>
    <w:rsid w:val="00784EA1"/>
    <w:rsid w:val="00793956"/>
    <w:rsid w:val="00795FDB"/>
    <w:rsid w:val="007A6FF3"/>
    <w:rsid w:val="007B2641"/>
    <w:rsid w:val="007C0916"/>
    <w:rsid w:val="007C2300"/>
    <w:rsid w:val="007C6A50"/>
    <w:rsid w:val="007D6236"/>
    <w:rsid w:val="007E2330"/>
    <w:rsid w:val="007F58AF"/>
    <w:rsid w:val="0080033E"/>
    <w:rsid w:val="0080557C"/>
    <w:rsid w:val="0081087A"/>
    <w:rsid w:val="008260B4"/>
    <w:rsid w:val="00827B23"/>
    <w:rsid w:val="008316FD"/>
    <w:rsid w:val="00833748"/>
    <w:rsid w:val="00834BCB"/>
    <w:rsid w:val="00850833"/>
    <w:rsid w:val="00854230"/>
    <w:rsid w:val="00855523"/>
    <w:rsid w:val="00861753"/>
    <w:rsid w:val="00871264"/>
    <w:rsid w:val="008753FB"/>
    <w:rsid w:val="00876301"/>
    <w:rsid w:val="00876654"/>
    <w:rsid w:val="00885596"/>
    <w:rsid w:val="00894212"/>
    <w:rsid w:val="008A2993"/>
    <w:rsid w:val="008A6E51"/>
    <w:rsid w:val="008A7606"/>
    <w:rsid w:val="008B70A1"/>
    <w:rsid w:val="008C2082"/>
    <w:rsid w:val="008C318D"/>
    <w:rsid w:val="008D3B94"/>
    <w:rsid w:val="008D6C5B"/>
    <w:rsid w:val="008D7486"/>
    <w:rsid w:val="008D7E8B"/>
    <w:rsid w:val="008E0651"/>
    <w:rsid w:val="008E35DD"/>
    <w:rsid w:val="008E4A9A"/>
    <w:rsid w:val="008E63E9"/>
    <w:rsid w:val="008E7E57"/>
    <w:rsid w:val="008F014D"/>
    <w:rsid w:val="008F3CE1"/>
    <w:rsid w:val="008F4B95"/>
    <w:rsid w:val="0090222B"/>
    <w:rsid w:val="00907B46"/>
    <w:rsid w:val="00912BE5"/>
    <w:rsid w:val="00914BCC"/>
    <w:rsid w:val="009176FA"/>
    <w:rsid w:val="00922F2B"/>
    <w:rsid w:val="0092456B"/>
    <w:rsid w:val="0092600E"/>
    <w:rsid w:val="00930592"/>
    <w:rsid w:val="0093071F"/>
    <w:rsid w:val="0093776D"/>
    <w:rsid w:val="00943191"/>
    <w:rsid w:val="00943239"/>
    <w:rsid w:val="00952080"/>
    <w:rsid w:val="00954689"/>
    <w:rsid w:val="009572CF"/>
    <w:rsid w:val="00962673"/>
    <w:rsid w:val="00966E31"/>
    <w:rsid w:val="009805C7"/>
    <w:rsid w:val="00984B88"/>
    <w:rsid w:val="00986B09"/>
    <w:rsid w:val="009918A0"/>
    <w:rsid w:val="00992C12"/>
    <w:rsid w:val="009A105B"/>
    <w:rsid w:val="009B0E0F"/>
    <w:rsid w:val="009B2B52"/>
    <w:rsid w:val="009B584A"/>
    <w:rsid w:val="009D4E34"/>
    <w:rsid w:val="009E0243"/>
    <w:rsid w:val="00A00C67"/>
    <w:rsid w:val="00A138FB"/>
    <w:rsid w:val="00A16DEE"/>
    <w:rsid w:val="00A241E3"/>
    <w:rsid w:val="00A41C62"/>
    <w:rsid w:val="00A42C5E"/>
    <w:rsid w:val="00A44F40"/>
    <w:rsid w:val="00A47537"/>
    <w:rsid w:val="00A47E9F"/>
    <w:rsid w:val="00A51F03"/>
    <w:rsid w:val="00A527FD"/>
    <w:rsid w:val="00A62EF3"/>
    <w:rsid w:val="00A649A7"/>
    <w:rsid w:val="00A715DD"/>
    <w:rsid w:val="00A81295"/>
    <w:rsid w:val="00A83CDB"/>
    <w:rsid w:val="00A85A8E"/>
    <w:rsid w:val="00A91EE8"/>
    <w:rsid w:val="00AA12C2"/>
    <w:rsid w:val="00AA6251"/>
    <w:rsid w:val="00AA6313"/>
    <w:rsid w:val="00AB7B41"/>
    <w:rsid w:val="00AC3C54"/>
    <w:rsid w:val="00AD04A7"/>
    <w:rsid w:val="00AD31B2"/>
    <w:rsid w:val="00AD6266"/>
    <w:rsid w:val="00AD7FD3"/>
    <w:rsid w:val="00AE0AB8"/>
    <w:rsid w:val="00AE252E"/>
    <w:rsid w:val="00AE3A6D"/>
    <w:rsid w:val="00AE4926"/>
    <w:rsid w:val="00AE571C"/>
    <w:rsid w:val="00AE7A74"/>
    <w:rsid w:val="00B02904"/>
    <w:rsid w:val="00B02A8B"/>
    <w:rsid w:val="00B13B42"/>
    <w:rsid w:val="00B21F3E"/>
    <w:rsid w:val="00B2406E"/>
    <w:rsid w:val="00B24FAB"/>
    <w:rsid w:val="00B3156A"/>
    <w:rsid w:val="00B34304"/>
    <w:rsid w:val="00B37C7F"/>
    <w:rsid w:val="00B405D7"/>
    <w:rsid w:val="00B455A0"/>
    <w:rsid w:val="00B549D2"/>
    <w:rsid w:val="00B563E6"/>
    <w:rsid w:val="00B5786F"/>
    <w:rsid w:val="00B66BFD"/>
    <w:rsid w:val="00B67A12"/>
    <w:rsid w:val="00B70816"/>
    <w:rsid w:val="00B7469A"/>
    <w:rsid w:val="00B75857"/>
    <w:rsid w:val="00B75EB1"/>
    <w:rsid w:val="00B80737"/>
    <w:rsid w:val="00B87853"/>
    <w:rsid w:val="00B91043"/>
    <w:rsid w:val="00B9268C"/>
    <w:rsid w:val="00B94816"/>
    <w:rsid w:val="00BA18E4"/>
    <w:rsid w:val="00BA3CB0"/>
    <w:rsid w:val="00BA7BDB"/>
    <w:rsid w:val="00BC2A1D"/>
    <w:rsid w:val="00BC60B8"/>
    <w:rsid w:val="00BD3A1E"/>
    <w:rsid w:val="00BD3C89"/>
    <w:rsid w:val="00BD66BF"/>
    <w:rsid w:val="00BE152D"/>
    <w:rsid w:val="00BE1FF3"/>
    <w:rsid w:val="00BE5A84"/>
    <w:rsid w:val="00BE7172"/>
    <w:rsid w:val="00BF1E72"/>
    <w:rsid w:val="00BF2D01"/>
    <w:rsid w:val="00BF4A53"/>
    <w:rsid w:val="00C15672"/>
    <w:rsid w:val="00C30B7A"/>
    <w:rsid w:val="00C30CF1"/>
    <w:rsid w:val="00C3488A"/>
    <w:rsid w:val="00C34FD6"/>
    <w:rsid w:val="00C41A7E"/>
    <w:rsid w:val="00C561DC"/>
    <w:rsid w:val="00C62BB8"/>
    <w:rsid w:val="00C63DC4"/>
    <w:rsid w:val="00C65E3F"/>
    <w:rsid w:val="00C66B2D"/>
    <w:rsid w:val="00C71E6F"/>
    <w:rsid w:val="00C7349C"/>
    <w:rsid w:val="00C87EF3"/>
    <w:rsid w:val="00C925FE"/>
    <w:rsid w:val="00C97363"/>
    <w:rsid w:val="00CA0FBD"/>
    <w:rsid w:val="00CA3035"/>
    <w:rsid w:val="00CB5070"/>
    <w:rsid w:val="00CB5C12"/>
    <w:rsid w:val="00CC3AAA"/>
    <w:rsid w:val="00CC4A2F"/>
    <w:rsid w:val="00CC69CC"/>
    <w:rsid w:val="00CD285B"/>
    <w:rsid w:val="00CE1C23"/>
    <w:rsid w:val="00CE34E2"/>
    <w:rsid w:val="00CF30AE"/>
    <w:rsid w:val="00D022E4"/>
    <w:rsid w:val="00D031CA"/>
    <w:rsid w:val="00D03C09"/>
    <w:rsid w:val="00D079DB"/>
    <w:rsid w:val="00D10F95"/>
    <w:rsid w:val="00D12928"/>
    <w:rsid w:val="00D14C9A"/>
    <w:rsid w:val="00D302DD"/>
    <w:rsid w:val="00D330C1"/>
    <w:rsid w:val="00D35542"/>
    <w:rsid w:val="00D3627B"/>
    <w:rsid w:val="00D37266"/>
    <w:rsid w:val="00D4096D"/>
    <w:rsid w:val="00D44778"/>
    <w:rsid w:val="00D46530"/>
    <w:rsid w:val="00D606BE"/>
    <w:rsid w:val="00D62CC8"/>
    <w:rsid w:val="00D630BA"/>
    <w:rsid w:val="00D66ADB"/>
    <w:rsid w:val="00D708CC"/>
    <w:rsid w:val="00D716C8"/>
    <w:rsid w:val="00D73172"/>
    <w:rsid w:val="00D831A1"/>
    <w:rsid w:val="00D95634"/>
    <w:rsid w:val="00D964DF"/>
    <w:rsid w:val="00DA3149"/>
    <w:rsid w:val="00DA3A48"/>
    <w:rsid w:val="00DA3EB4"/>
    <w:rsid w:val="00DA65EC"/>
    <w:rsid w:val="00DB5EFD"/>
    <w:rsid w:val="00DB67E1"/>
    <w:rsid w:val="00DC11B0"/>
    <w:rsid w:val="00DE3479"/>
    <w:rsid w:val="00DE35E6"/>
    <w:rsid w:val="00DE47C3"/>
    <w:rsid w:val="00DE68AB"/>
    <w:rsid w:val="00DE6CEA"/>
    <w:rsid w:val="00DF06BE"/>
    <w:rsid w:val="00DF672A"/>
    <w:rsid w:val="00DF6E2E"/>
    <w:rsid w:val="00DF75CE"/>
    <w:rsid w:val="00E11C99"/>
    <w:rsid w:val="00E32268"/>
    <w:rsid w:val="00E36716"/>
    <w:rsid w:val="00E47AFC"/>
    <w:rsid w:val="00E57CC4"/>
    <w:rsid w:val="00E643D7"/>
    <w:rsid w:val="00E6649E"/>
    <w:rsid w:val="00E67993"/>
    <w:rsid w:val="00E845FB"/>
    <w:rsid w:val="00E8675A"/>
    <w:rsid w:val="00E877A6"/>
    <w:rsid w:val="00EA48B3"/>
    <w:rsid w:val="00EA55EE"/>
    <w:rsid w:val="00EB0DCA"/>
    <w:rsid w:val="00EC69D3"/>
    <w:rsid w:val="00ED717C"/>
    <w:rsid w:val="00EE1622"/>
    <w:rsid w:val="00EE54BE"/>
    <w:rsid w:val="00EF0DAE"/>
    <w:rsid w:val="00EF14A2"/>
    <w:rsid w:val="00F00CF7"/>
    <w:rsid w:val="00F03EC7"/>
    <w:rsid w:val="00F03F54"/>
    <w:rsid w:val="00F107A8"/>
    <w:rsid w:val="00F13EE7"/>
    <w:rsid w:val="00F15365"/>
    <w:rsid w:val="00F167DA"/>
    <w:rsid w:val="00F2511E"/>
    <w:rsid w:val="00F2763C"/>
    <w:rsid w:val="00F422F0"/>
    <w:rsid w:val="00F477B9"/>
    <w:rsid w:val="00F505DD"/>
    <w:rsid w:val="00F52103"/>
    <w:rsid w:val="00F72919"/>
    <w:rsid w:val="00F74BD4"/>
    <w:rsid w:val="00F76DA4"/>
    <w:rsid w:val="00F95D5E"/>
    <w:rsid w:val="00F97E39"/>
    <w:rsid w:val="00FA53B5"/>
    <w:rsid w:val="00FA6495"/>
    <w:rsid w:val="00FB0378"/>
    <w:rsid w:val="00FB132D"/>
    <w:rsid w:val="00FB2710"/>
    <w:rsid w:val="00FB6DA6"/>
    <w:rsid w:val="00FC30B1"/>
    <w:rsid w:val="00FD7CA0"/>
    <w:rsid w:val="00FE225F"/>
    <w:rsid w:val="00FE3158"/>
    <w:rsid w:val="00FE51F7"/>
    <w:rsid w:val="00FF1C80"/>
    <w:rsid w:val="00FF46D7"/>
    <w:rsid w:val="00FF4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82"/>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F31"/>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737"/>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B80737"/>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B80737"/>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B80737"/>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B80737"/>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B80737"/>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0C82"/>
  </w:style>
  <w:style w:type="paragraph" w:styleId="Title">
    <w:name w:val="Title"/>
    <w:basedOn w:val="Normal"/>
    <w:qFormat/>
    <w:rsid w:val="00690C82"/>
    <w:pPr>
      <w:widowControl/>
      <w:autoSpaceDE/>
      <w:autoSpaceDN/>
      <w:adjustRightInd/>
      <w:jc w:val="center"/>
    </w:pPr>
    <w:rPr>
      <w:b/>
      <w:bCs/>
      <w:sz w:val="24"/>
    </w:rPr>
  </w:style>
  <w:style w:type="character" w:styleId="Hyperlink">
    <w:name w:val="Hyperlink"/>
    <w:basedOn w:val="DefaultParagraphFont"/>
    <w:uiPriority w:val="99"/>
    <w:rsid w:val="00690C82"/>
    <w:rPr>
      <w:color w:val="0000FF"/>
      <w:u w:val="single"/>
    </w:rPr>
  </w:style>
  <w:style w:type="paragraph" w:styleId="BalloonText">
    <w:name w:val="Balloon Text"/>
    <w:basedOn w:val="Normal"/>
    <w:semiHidden/>
    <w:rsid w:val="00690C82"/>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rsid w:val="00430240"/>
    <w:pPr>
      <w:tabs>
        <w:tab w:val="center" w:pos="4320"/>
        <w:tab w:val="right" w:pos="8640"/>
      </w:tabs>
    </w:pPr>
  </w:style>
  <w:style w:type="character" w:styleId="CommentReference">
    <w:name w:val="annotation reference"/>
    <w:basedOn w:val="DefaultParagraphFont"/>
    <w:uiPriority w:val="99"/>
    <w:semiHidden/>
    <w:rsid w:val="00665997"/>
    <w:rPr>
      <w:sz w:val="16"/>
      <w:szCs w:val="16"/>
    </w:rPr>
  </w:style>
  <w:style w:type="paragraph" w:styleId="CommentText">
    <w:name w:val="annotation text"/>
    <w:basedOn w:val="Normal"/>
    <w:link w:val="CommentTextChar"/>
    <w:uiPriority w:val="99"/>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character" w:customStyle="1" w:styleId="Heading3Char">
    <w:name w:val="Heading 3 Char"/>
    <w:basedOn w:val="DefaultParagraphFont"/>
    <w:link w:val="Heading3"/>
    <w:rsid w:val="00517F31"/>
    <w:rPr>
      <w:rFonts w:ascii="Arial" w:hAnsi="Arial" w:cs="Arial"/>
      <w:b/>
      <w:bCs/>
      <w:sz w:val="26"/>
      <w:szCs w:val="26"/>
    </w:rPr>
  </w:style>
  <w:style w:type="character" w:customStyle="1" w:styleId="CommentTextChar">
    <w:name w:val="Comment Text Char"/>
    <w:basedOn w:val="DefaultParagraphFont"/>
    <w:link w:val="CommentText"/>
    <w:uiPriority w:val="99"/>
    <w:semiHidden/>
    <w:rsid w:val="005811F6"/>
  </w:style>
  <w:style w:type="paragraph" w:customStyle="1" w:styleId="Default">
    <w:name w:val="Default"/>
    <w:rsid w:val="005811F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F0DAE"/>
    <w:pPr>
      <w:widowControl/>
      <w:autoSpaceDE/>
      <w:autoSpaceDN/>
      <w:adjustRightInd/>
      <w:ind w:left="720"/>
    </w:pPr>
    <w:rPr>
      <w:rFonts w:ascii="Calibri" w:eastAsia="Calibri" w:hAnsi="Calibri"/>
      <w:sz w:val="22"/>
      <w:szCs w:val="22"/>
    </w:rPr>
  </w:style>
  <w:style w:type="character" w:customStyle="1" w:styleId="Heading4Char">
    <w:name w:val="Heading 4 Char"/>
    <w:basedOn w:val="DefaultParagraphFont"/>
    <w:link w:val="Heading4"/>
    <w:rsid w:val="00B80737"/>
    <w:rPr>
      <w:rFonts w:ascii="Arial" w:hAnsi="Arial"/>
      <w:b/>
      <w:bCs/>
      <w:sz w:val="28"/>
      <w:szCs w:val="28"/>
    </w:rPr>
  </w:style>
  <w:style w:type="character" w:customStyle="1" w:styleId="Heading5Char">
    <w:name w:val="Heading 5 Char"/>
    <w:basedOn w:val="DefaultParagraphFont"/>
    <w:link w:val="Heading5"/>
    <w:rsid w:val="00B80737"/>
    <w:rPr>
      <w:rFonts w:ascii="Arial" w:hAnsi="Arial"/>
      <w:b/>
      <w:bCs/>
      <w:i/>
      <w:iCs/>
      <w:sz w:val="26"/>
      <w:szCs w:val="26"/>
    </w:rPr>
  </w:style>
  <w:style w:type="character" w:customStyle="1" w:styleId="Heading6Char">
    <w:name w:val="Heading 6 Char"/>
    <w:basedOn w:val="DefaultParagraphFont"/>
    <w:link w:val="Heading6"/>
    <w:rsid w:val="00B80737"/>
    <w:rPr>
      <w:rFonts w:ascii="Arial" w:hAnsi="Arial"/>
      <w:b/>
      <w:bCs/>
      <w:sz w:val="22"/>
      <w:szCs w:val="22"/>
    </w:rPr>
  </w:style>
  <w:style w:type="character" w:customStyle="1" w:styleId="Heading7Char">
    <w:name w:val="Heading 7 Char"/>
    <w:basedOn w:val="DefaultParagraphFont"/>
    <w:link w:val="Heading7"/>
    <w:rsid w:val="00B80737"/>
    <w:rPr>
      <w:rFonts w:ascii="Arial" w:hAnsi="Arial"/>
      <w:sz w:val="24"/>
      <w:szCs w:val="24"/>
    </w:rPr>
  </w:style>
  <w:style w:type="character" w:customStyle="1" w:styleId="Heading8Char">
    <w:name w:val="Heading 8 Char"/>
    <w:basedOn w:val="DefaultParagraphFont"/>
    <w:link w:val="Heading8"/>
    <w:rsid w:val="00B80737"/>
    <w:rPr>
      <w:rFonts w:ascii="Arial" w:hAnsi="Arial"/>
      <w:i/>
      <w:iCs/>
      <w:sz w:val="24"/>
      <w:szCs w:val="24"/>
    </w:rPr>
  </w:style>
  <w:style w:type="character" w:customStyle="1" w:styleId="Heading9Char">
    <w:name w:val="Heading 9 Char"/>
    <w:basedOn w:val="DefaultParagraphFont"/>
    <w:link w:val="Heading9"/>
    <w:rsid w:val="00B80737"/>
    <w:rPr>
      <w:rFonts w:ascii="Arial" w:hAnsi="Arial" w:cs="Arial"/>
      <w:sz w:val="22"/>
      <w:szCs w:val="22"/>
    </w:rPr>
  </w:style>
  <w:style w:type="paragraph" w:styleId="PlainText">
    <w:name w:val="Plain Text"/>
    <w:basedOn w:val="Normal"/>
    <w:link w:val="PlainTextChar"/>
    <w:uiPriority w:val="99"/>
    <w:unhideWhenUsed/>
    <w:rsid w:val="00C30CF1"/>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30CF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47001484">
      <w:bodyDiv w:val="1"/>
      <w:marLeft w:val="0"/>
      <w:marRight w:val="0"/>
      <w:marTop w:val="0"/>
      <w:marBottom w:val="0"/>
      <w:divBdr>
        <w:top w:val="none" w:sz="0" w:space="0" w:color="auto"/>
        <w:left w:val="none" w:sz="0" w:space="0" w:color="auto"/>
        <w:bottom w:val="none" w:sz="0" w:space="0" w:color="auto"/>
        <w:right w:val="none" w:sz="0" w:space="0" w:color="auto"/>
      </w:divBdr>
    </w:div>
    <w:div w:id="463890419">
      <w:bodyDiv w:val="1"/>
      <w:marLeft w:val="0"/>
      <w:marRight w:val="0"/>
      <w:marTop w:val="0"/>
      <w:marBottom w:val="0"/>
      <w:divBdr>
        <w:top w:val="none" w:sz="0" w:space="0" w:color="auto"/>
        <w:left w:val="none" w:sz="0" w:space="0" w:color="auto"/>
        <w:bottom w:val="none" w:sz="0" w:space="0" w:color="auto"/>
        <w:right w:val="none" w:sz="0" w:space="0" w:color="auto"/>
      </w:divBdr>
    </w:div>
    <w:div w:id="467554533">
      <w:bodyDiv w:val="1"/>
      <w:marLeft w:val="0"/>
      <w:marRight w:val="0"/>
      <w:marTop w:val="0"/>
      <w:marBottom w:val="0"/>
      <w:divBdr>
        <w:top w:val="none" w:sz="0" w:space="0" w:color="auto"/>
        <w:left w:val="none" w:sz="0" w:space="0" w:color="auto"/>
        <w:bottom w:val="none" w:sz="0" w:space="0" w:color="auto"/>
        <w:right w:val="none" w:sz="0" w:space="0" w:color="auto"/>
      </w:divBdr>
    </w:div>
    <w:div w:id="6084656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868489613">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0949">
      <w:bodyDiv w:val="1"/>
      <w:marLeft w:val="0"/>
      <w:marRight w:val="0"/>
      <w:marTop w:val="0"/>
      <w:marBottom w:val="0"/>
      <w:divBdr>
        <w:top w:val="none" w:sz="0" w:space="0" w:color="auto"/>
        <w:left w:val="none" w:sz="0" w:space="0" w:color="auto"/>
        <w:bottom w:val="none" w:sz="0" w:space="0" w:color="auto"/>
        <w:right w:val="none" w:sz="0" w:space="0" w:color="auto"/>
      </w:divBdr>
    </w:div>
    <w:div w:id="1297877583">
      <w:bodyDiv w:val="1"/>
      <w:marLeft w:val="0"/>
      <w:marRight w:val="0"/>
      <w:marTop w:val="0"/>
      <w:marBottom w:val="0"/>
      <w:divBdr>
        <w:top w:val="none" w:sz="0" w:space="0" w:color="auto"/>
        <w:left w:val="none" w:sz="0" w:space="0" w:color="auto"/>
        <w:bottom w:val="none" w:sz="0" w:space="0" w:color="auto"/>
        <w:right w:val="none" w:sz="0" w:space="0" w:color="auto"/>
      </w:divBdr>
    </w:div>
    <w:div w:id="1380937634">
      <w:bodyDiv w:val="1"/>
      <w:marLeft w:val="0"/>
      <w:marRight w:val="0"/>
      <w:marTop w:val="0"/>
      <w:marBottom w:val="0"/>
      <w:divBdr>
        <w:top w:val="none" w:sz="0" w:space="0" w:color="auto"/>
        <w:left w:val="none" w:sz="0" w:space="0" w:color="auto"/>
        <w:bottom w:val="none" w:sz="0" w:space="0" w:color="auto"/>
        <w:right w:val="none" w:sz="0" w:space="0" w:color="auto"/>
      </w:divBdr>
    </w:div>
    <w:div w:id="144214731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116552082">
      <w:bodyDiv w:val="1"/>
      <w:marLeft w:val="0"/>
      <w:marRight w:val="0"/>
      <w:marTop w:val="0"/>
      <w:marBottom w:val="0"/>
      <w:divBdr>
        <w:top w:val="none" w:sz="0" w:space="0" w:color="auto"/>
        <w:left w:val="none" w:sz="0" w:space="0" w:color="auto"/>
        <w:bottom w:val="none" w:sz="0" w:space="0" w:color="auto"/>
        <w:right w:val="none" w:sz="0" w:space="0" w:color="auto"/>
      </w:divBdr>
    </w:div>
    <w:div w:id="2128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 </vt:lpstr>
    </vt:vector>
  </TitlesOfParts>
  <Company>CMS</Company>
  <LinksUpToDate>false</LinksUpToDate>
  <CharactersWithSpaces>20601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bbarker</cp:lastModifiedBy>
  <cp:revision>2</cp:revision>
  <cp:lastPrinted>2011-08-05T16:44:00Z</cp:lastPrinted>
  <dcterms:created xsi:type="dcterms:W3CDTF">2011-12-09T18:54:00Z</dcterms:created>
  <dcterms:modified xsi:type="dcterms:W3CDTF">2011-12-09T18:54:00Z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-634914406</vt:i4>
  </property>
  <property fmtid="{D5CDD505-2E9C-101B-9397-08002B2CF9AE}" pid="4" name="_EmailSubject">
    <vt:lpwstr>ROCIS Uploads for </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-1186482561</vt:i4>
  </property>
  <property fmtid="{D5CDD505-2E9C-101B-9397-08002B2CF9AE}" pid="8" name="_ReviewingToolsShownOnce">
    <vt:lpwstr/>
  </property>
</Properties>
</file>