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2CA20" w14:textId="77777777" w:rsidR="00D77AB4" w:rsidRPr="00CB349B" w:rsidRDefault="00D77AB4" w:rsidP="006A6B5E">
      <w:bookmarkStart w:id="0" w:name="_GoBack"/>
      <w:bookmarkEnd w:id="0"/>
    </w:p>
    <w:p w14:paraId="3E7111F4" w14:textId="77777777" w:rsidR="00D77AB4" w:rsidRPr="00CB349B" w:rsidRDefault="00D77AB4" w:rsidP="006A6B5E"/>
    <w:p w14:paraId="12CA9FCD" w14:textId="77777777" w:rsidR="00D77AB4" w:rsidRPr="00CB349B" w:rsidRDefault="00D77AB4" w:rsidP="006A6B5E"/>
    <w:p w14:paraId="02612D01" w14:textId="77777777" w:rsidR="00D77AB4" w:rsidRPr="00CB349B" w:rsidRDefault="00D77AB4" w:rsidP="006A6B5E">
      <w:pPr>
        <w:jc w:val="center"/>
        <w:rPr>
          <w:sz w:val="32"/>
          <w:szCs w:val="32"/>
        </w:rPr>
      </w:pPr>
      <w:r w:rsidRPr="00CB349B">
        <w:rPr>
          <w:sz w:val="32"/>
          <w:szCs w:val="32"/>
        </w:rPr>
        <w:t>Supporting Statement A for</w:t>
      </w:r>
    </w:p>
    <w:p w14:paraId="6508354F" w14:textId="77777777" w:rsidR="00D77AB4" w:rsidRPr="00CB349B" w:rsidRDefault="00D77AB4" w:rsidP="006A6B5E">
      <w:pPr>
        <w:jc w:val="center"/>
        <w:rPr>
          <w:sz w:val="28"/>
          <w:szCs w:val="28"/>
        </w:rPr>
      </w:pPr>
    </w:p>
    <w:p w14:paraId="06F20F84" w14:textId="77777777" w:rsidR="00D77AB4" w:rsidRPr="00CB349B" w:rsidRDefault="00D77AB4" w:rsidP="006A6B5E">
      <w:pPr>
        <w:jc w:val="center"/>
        <w:rPr>
          <w:sz w:val="28"/>
          <w:szCs w:val="28"/>
        </w:rPr>
      </w:pPr>
    </w:p>
    <w:p w14:paraId="0F49F015" w14:textId="77777777" w:rsidR="00D77AB4" w:rsidRPr="00CB349B" w:rsidRDefault="00D77AB4" w:rsidP="006A6B5E">
      <w:pPr>
        <w:jc w:val="center"/>
        <w:rPr>
          <w:sz w:val="28"/>
          <w:szCs w:val="28"/>
        </w:rPr>
      </w:pPr>
    </w:p>
    <w:p w14:paraId="228C00CA" w14:textId="77777777" w:rsidR="00D77AB4" w:rsidRPr="00CB349B" w:rsidRDefault="00D77AB4" w:rsidP="006A6B5E">
      <w:pPr>
        <w:jc w:val="center"/>
        <w:rPr>
          <w:sz w:val="28"/>
          <w:szCs w:val="28"/>
        </w:rPr>
      </w:pPr>
    </w:p>
    <w:p w14:paraId="700710D5" w14:textId="77777777" w:rsidR="00D77AB4" w:rsidRPr="00CB349B" w:rsidRDefault="00D77AB4" w:rsidP="006A6B5E">
      <w:pPr>
        <w:jc w:val="center"/>
        <w:rPr>
          <w:sz w:val="28"/>
          <w:szCs w:val="28"/>
        </w:rPr>
      </w:pPr>
    </w:p>
    <w:p w14:paraId="5A1DB835" w14:textId="77777777" w:rsidR="00D77AB4" w:rsidRPr="00CB349B" w:rsidRDefault="00D77AB4" w:rsidP="006A6B5E">
      <w:pPr>
        <w:jc w:val="center"/>
        <w:rPr>
          <w:color w:val="000000"/>
          <w:sz w:val="32"/>
          <w:szCs w:val="32"/>
        </w:rPr>
      </w:pPr>
      <w:r w:rsidRPr="00CB349B">
        <w:rPr>
          <w:sz w:val="32"/>
          <w:szCs w:val="32"/>
        </w:rPr>
        <w:t xml:space="preserve">NIH Toolbox </w:t>
      </w:r>
      <w:r w:rsidRPr="00CB349B">
        <w:rPr>
          <w:color w:val="000000"/>
          <w:sz w:val="32"/>
          <w:szCs w:val="32"/>
        </w:rPr>
        <w:t>for Assessment of</w:t>
      </w:r>
    </w:p>
    <w:p w14:paraId="4130BAC5" w14:textId="77777777" w:rsidR="00D77AB4" w:rsidRPr="00CB349B" w:rsidRDefault="00D77AB4" w:rsidP="006A6B5E">
      <w:pPr>
        <w:jc w:val="center"/>
        <w:rPr>
          <w:b/>
          <w:sz w:val="32"/>
          <w:szCs w:val="32"/>
        </w:rPr>
      </w:pPr>
      <w:r w:rsidRPr="00CB349B">
        <w:rPr>
          <w:color w:val="000000"/>
          <w:sz w:val="32"/>
          <w:szCs w:val="32"/>
        </w:rPr>
        <w:t>Neurological and Behavioral Function</w:t>
      </w:r>
      <w:r w:rsidRPr="00CB349B">
        <w:rPr>
          <w:color w:val="000000"/>
          <w:sz w:val="16"/>
          <w:szCs w:val="16"/>
        </w:rPr>
        <w:t xml:space="preserve"> </w:t>
      </w:r>
      <w:r w:rsidRPr="00CB349B">
        <w:rPr>
          <w:sz w:val="32"/>
          <w:szCs w:val="32"/>
        </w:rPr>
        <w:t>(NIA)</w:t>
      </w:r>
    </w:p>
    <w:p w14:paraId="0579F887" w14:textId="77777777" w:rsidR="00D77AB4" w:rsidRPr="00CB349B" w:rsidRDefault="00D77AB4" w:rsidP="006A6B5E">
      <w:pPr>
        <w:jc w:val="center"/>
        <w:rPr>
          <w:color w:val="0000FF"/>
          <w:sz w:val="32"/>
          <w:szCs w:val="32"/>
        </w:rPr>
      </w:pPr>
    </w:p>
    <w:p w14:paraId="3340082B" w14:textId="77777777" w:rsidR="00D77AB4" w:rsidRPr="00CB349B" w:rsidRDefault="00D77AB4" w:rsidP="006A6B5E">
      <w:pPr>
        <w:jc w:val="center"/>
        <w:rPr>
          <w:color w:val="FF0000"/>
          <w:sz w:val="32"/>
          <w:szCs w:val="32"/>
        </w:rPr>
      </w:pPr>
    </w:p>
    <w:p w14:paraId="3A862B25" w14:textId="77777777" w:rsidR="00D77AB4" w:rsidRPr="00C07D7C" w:rsidRDefault="00C00F32" w:rsidP="006A6B5E">
      <w:pPr>
        <w:jc w:val="center"/>
        <w:rPr>
          <w:color w:val="000000" w:themeColor="text1"/>
          <w:sz w:val="28"/>
          <w:szCs w:val="28"/>
        </w:rPr>
      </w:pPr>
      <w:r>
        <w:rPr>
          <w:color w:val="000000" w:themeColor="text1"/>
          <w:sz w:val="32"/>
          <w:szCs w:val="32"/>
        </w:rPr>
        <w:t>April 11</w:t>
      </w:r>
      <w:r w:rsidR="00CF7A44">
        <w:rPr>
          <w:color w:val="000000" w:themeColor="text1"/>
          <w:sz w:val="32"/>
          <w:szCs w:val="32"/>
        </w:rPr>
        <w:t>, 2011</w:t>
      </w:r>
    </w:p>
    <w:p w14:paraId="4831F5E5" w14:textId="77777777" w:rsidR="00D77AB4" w:rsidRPr="00CB349B" w:rsidRDefault="00D77AB4" w:rsidP="006A6B5E">
      <w:pPr>
        <w:jc w:val="center"/>
        <w:rPr>
          <w:b/>
          <w:sz w:val="28"/>
          <w:szCs w:val="28"/>
        </w:rPr>
      </w:pPr>
    </w:p>
    <w:p w14:paraId="3FB328A9" w14:textId="77777777" w:rsidR="00D77AB4" w:rsidRPr="00CB349B" w:rsidRDefault="00D77AB4" w:rsidP="006A6B5E">
      <w:pPr>
        <w:jc w:val="center"/>
        <w:rPr>
          <w:b/>
          <w:sz w:val="28"/>
          <w:szCs w:val="28"/>
        </w:rPr>
      </w:pPr>
    </w:p>
    <w:p w14:paraId="572BA666" w14:textId="77777777" w:rsidR="00D77AB4" w:rsidRPr="00CB349B" w:rsidRDefault="00D77AB4" w:rsidP="006A6B5E">
      <w:pPr>
        <w:jc w:val="center"/>
        <w:rPr>
          <w:b/>
          <w:color w:val="FF0000"/>
          <w:szCs w:val="22"/>
        </w:rPr>
      </w:pPr>
    </w:p>
    <w:p w14:paraId="409B6A13" w14:textId="77777777" w:rsidR="00D77AB4" w:rsidRPr="00CB349B" w:rsidRDefault="00D77AB4" w:rsidP="006A6B5E">
      <w:pPr>
        <w:jc w:val="center"/>
        <w:rPr>
          <w:b/>
          <w:sz w:val="28"/>
          <w:szCs w:val="28"/>
        </w:rPr>
      </w:pPr>
    </w:p>
    <w:p w14:paraId="25413EA2" w14:textId="77777777" w:rsidR="00D77AB4" w:rsidRPr="00CB349B" w:rsidRDefault="00D77AB4" w:rsidP="006A6B5E">
      <w:pPr>
        <w:jc w:val="center"/>
        <w:rPr>
          <w:b/>
          <w:color w:val="FF0000"/>
          <w:sz w:val="28"/>
          <w:szCs w:val="28"/>
        </w:rPr>
      </w:pPr>
    </w:p>
    <w:p w14:paraId="530C9DA0" w14:textId="77777777" w:rsidR="00D77AB4" w:rsidRPr="00CB349B" w:rsidRDefault="00D77AB4" w:rsidP="006A6B5E">
      <w:pPr>
        <w:jc w:val="center"/>
        <w:rPr>
          <w:b/>
          <w:sz w:val="28"/>
          <w:szCs w:val="28"/>
        </w:rPr>
      </w:pPr>
    </w:p>
    <w:p w14:paraId="2607D59F" w14:textId="77777777" w:rsidR="00D77AB4" w:rsidRPr="00CB349B" w:rsidRDefault="00D77AB4" w:rsidP="006A6B5E">
      <w:pPr>
        <w:jc w:val="center"/>
        <w:rPr>
          <w:b/>
          <w:sz w:val="28"/>
          <w:szCs w:val="28"/>
        </w:rPr>
      </w:pPr>
    </w:p>
    <w:p w14:paraId="159B0E14" w14:textId="77777777" w:rsidR="00D77AB4" w:rsidRPr="00CB349B" w:rsidRDefault="00D77AB4" w:rsidP="006A6B5E">
      <w:pPr>
        <w:jc w:val="center"/>
      </w:pPr>
    </w:p>
    <w:p w14:paraId="7877DC85" w14:textId="77777777" w:rsidR="00D77AB4" w:rsidRPr="00CB349B" w:rsidRDefault="00D77AB4" w:rsidP="006A6B5E">
      <w:pPr>
        <w:jc w:val="center"/>
      </w:pPr>
    </w:p>
    <w:p w14:paraId="2953D08E" w14:textId="77777777" w:rsidR="003F08FA" w:rsidRDefault="00D77AB4" w:rsidP="004347BB">
      <w:pPr>
        <w:ind w:left="5400"/>
      </w:pPr>
      <w:r w:rsidRPr="00CB349B">
        <w:t>Molly Wagster, Ph.D.</w:t>
      </w:r>
    </w:p>
    <w:p w14:paraId="0F74A357" w14:textId="77777777" w:rsidR="00D77AB4" w:rsidRPr="00CB349B" w:rsidRDefault="003F08FA" w:rsidP="004347BB">
      <w:pPr>
        <w:ind w:left="5400"/>
      </w:pPr>
      <w:r>
        <w:t xml:space="preserve">Contracting Officer Technical Representative </w:t>
      </w:r>
    </w:p>
    <w:p w14:paraId="08AB0C96" w14:textId="77777777" w:rsidR="00D77AB4" w:rsidRPr="00CB349B" w:rsidRDefault="00D77AB4" w:rsidP="004347BB">
      <w:pPr>
        <w:ind w:left="5400"/>
      </w:pPr>
      <w:r w:rsidRPr="00CB349B">
        <w:t>NIH Toolbox</w:t>
      </w:r>
    </w:p>
    <w:p w14:paraId="250E9103" w14:textId="77777777" w:rsidR="00D77AB4" w:rsidRPr="00CB349B" w:rsidRDefault="00D77AB4" w:rsidP="004347BB">
      <w:pPr>
        <w:ind w:left="5400"/>
      </w:pPr>
      <w:r w:rsidRPr="00CB349B">
        <w:t>National Institute on Aging</w:t>
      </w:r>
    </w:p>
    <w:p w14:paraId="3ADDF49C" w14:textId="77777777" w:rsidR="00D77AB4" w:rsidRPr="00CB349B" w:rsidRDefault="00D77AB4" w:rsidP="004347BB">
      <w:pPr>
        <w:ind w:left="5400"/>
      </w:pPr>
    </w:p>
    <w:p w14:paraId="6FFDDA50" w14:textId="77777777" w:rsidR="00D77AB4" w:rsidRPr="00CB349B" w:rsidRDefault="00D77AB4" w:rsidP="004347BB">
      <w:pPr>
        <w:ind w:left="5400"/>
      </w:pPr>
      <w:r w:rsidRPr="00CB349B">
        <w:t>Gateway Building, 350</w:t>
      </w:r>
      <w:r w:rsidRPr="00CB349B">
        <w:br/>
        <w:t>7201 Wisconsin Ave</w:t>
      </w:r>
      <w:r w:rsidRPr="00CB349B">
        <w:br/>
        <w:t>Bethesda, MD 20892</w:t>
      </w:r>
    </w:p>
    <w:p w14:paraId="78AD2080" w14:textId="77777777" w:rsidR="00D77AB4" w:rsidRPr="00CB349B" w:rsidRDefault="00D77AB4" w:rsidP="004347BB">
      <w:pPr>
        <w:ind w:left="5400"/>
      </w:pPr>
    </w:p>
    <w:p w14:paraId="24C4CF01" w14:textId="77777777" w:rsidR="00D77AB4" w:rsidRPr="00CB349B" w:rsidRDefault="00D77AB4" w:rsidP="004347BB">
      <w:pPr>
        <w:tabs>
          <w:tab w:val="left" w:pos="3240"/>
        </w:tabs>
        <w:ind w:left="5400"/>
      </w:pPr>
      <w:r w:rsidRPr="00CB349B">
        <w:t>Telephone:  301-496-9350</w:t>
      </w:r>
    </w:p>
    <w:p w14:paraId="2D46209F" w14:textId="77777777" w:rsidR="00D77AB4" w:rsidRPr="00CB349B" w:rsidRDefault="00D77AB4" w:rsidP="004347BB">
      <w:pPr>
        <w:tabs>
          <w:tab w:val="left" w:pos="3240"/>
        </w:tabs>
        <w:ind w:left="5400"/>
      </w:pPr>
      <w:r w:rsidRPr="00CB349B">
        <w:t>Fax:  301-496-1494</w:t>
      </w:r>
    </w:p>
    <w:p w14:paraId="765E43A2" w14:textId="77777777" w:rsidR="00D77AB4" w:rsidRPr="00CB349B" w:rsidRDefault="00D77AB4" w:rsidP="004347BB">
      <w:pPr>
        <w:tabs>
          <w:tab w:val="left" w:pos="3240"/>
        </w:tabs>
        <w:ind w:left="5400"/>
      </w:pPr>
      <w:r w:rsidRPr="00CB349B">
        <w:t xml:space="preserve">E-mail:  </w:t>
      </w:r>
      <w:hyperlink r:id="rId9" w:history="1">
        <w:r w:rsidRPr="00CB349B">
          <w:rPr>
            <w:u w:val="single"/>
          </w:rPr>
          <w:t>wagsterm@nia.nih.gov</w:t>
        </w:r>
      </w:hyperlink>
    </w:p>
    <w:p w14:paraId="19558FD2" w14:textId="77777777" w:rsidR="00D77AB4" w:rsidRPr="00CB349B" w:rsidRDefault="00D77AB4" w:rsidP="006A6B5E">
      <w:pPr>
        <w:jc w:val="center"/>
      </w:pPr>
    </w:p>
    <w:p w14:paraId="027B2969" w14:textId="77777777" w:rsidR="00D77AB4" w:rsidRPr="00CB349B" w:rsidRDefault="00D77AB4" w:rsidP="005C3DC2">
      <w:pPr>
        <w:rPr>
          <w:sz w:val="32"/>
          <w:szCs w:val="32"/>
        </w:rPr>
      </w:pPr>
    </w:p>
    <w:p w14:paraId="49F04483" w14:textId="77777777" w:rsidR="00D77AB4" w:rsidRPr="00CB349B" w:rsidRDefault="00D77AB4" w:rsidP="005C3DC2">
      <w:pPr>
        <w:rPr>
          <w:sz w:val="32"/>
          <w:szCs w:val="32"/>
        </w:rPr>
      </w:pPr>
    </w:p>
    <w:p w14:paraId="2181253E" w14:textId="77777777" w:rsidR="00D77AB4" w:rsidRPr="00CB349B" w:rsidRDefault="00D77AB4" w:rsidP="005C3DC2">
      <w:pPr>
        <w:rPr>
          <w:sz w:val="32"/>
          <w:szCs w:val="32"/>
        </w:rPr>
      </w:pPr>
    </w:p>
    <w:p w14:paraId="727E8939" w14:textId="77777777" w:rsidR="00D77AB4" w:rsidRPr="00CB349B" w:rsidRDefault="00D77AB4" w:rsidP="005C3DC2">
      <w:pPr>
        <w:rPr>
          <w:sz w:val="32"/>
          <w:szCs w:val="32"/>
        </w:rPr>
      </w:pPr>
    </w:p>
    <w:p w14:paraId="7B633768" w14:textId="77777777" w:rsidR="00D77AB4" w:rsidRPr="00CB349B" w:rsidRDefault="00D77AB4" w:rsidP="005C3DC2">
      <w:pPr>
        <w:rPr>
          <w:sz w:val="32"/>
          <w:szCs w:val="32"/>
        </w:rPr>
      </w:pPr>
    </w:p>
    <w:p w14:paraId="2851799C" w14:textId="77777777" w:rsidR="00D77AB4" w:rsidRPr="00CB349B" w:rsidRDefault="00D77AB4" w:rsidP="005C3DC2">
      <w:pPr>
        <w:rPr>
          <w:sz w:val="32"/>
          <w:szCs w:val="32"/>
        </w:rPr>
      </w:pPr>
    </w:p>
    <w:p w14:paraId="58B30DA4" w14:textId="77777777" w:rsidR="00D77AB4" w:rsidRPr="00CB349B" w:rsidRDefault="00D77AB4" w:rsidP="006A6B5E">
      <w:pPr>
        <w:pStyle w:val="TOC1"/>
      </w:pPr>
      <w:r w:rsidRPr="00CB349B">
        <w:rPr>
          <w:caps w:val="0"/>
        </w:rPr>
        <w:t>Table of Contents</w:t>
      </w:r>
    </w:p>
    <w:p w14:paraId="681F40B7" w14:textId="77777777" w:rsidR="00882596" w:rsidRDefault="0035530F">
      <w:pPr>
        <w:pStyle w:val="TOC1"/>
        <w:rPr>
          <w:rFonts w:asciiTheme="minorHAnsi" w:eastAsiaTheme="minorEastAsia" w:hAnsiTheme="minorHAnsi" w:cstheme="minorBidi"/>
          <w:b w:val="0"/>
          <w:caps w:val="0"/>
          <w:sz w:val="22"/>
          <w:szCs w:val="22"/>
        </w:rPr>
      </w:pPr>
      <w:r w:rsidRPr="00CB349B">
        <w:fldChar w:fldCharType="begin"/>
      </w:r>
      <w:r w:rsidR="00D77AB4" w:rsidRPr="00CB349B">
        <w:instrText xml:space="preserve"> TOC \o "1-2" \u </w:instrText>
      </w:r>
      <w:r w:rsidRPr="00CB349B">
        <w:fldChar w:fldCharType="separate"/>
      </w:r>
      <w:r w:rsidR="00882596">
        <w:t>A.</w:t>
      </w:r>
      <w:r w:rsidR="00882596">
        <w:rPr>
          <w:rFonts w:asciiTheme="minorHAnsi" w:eastAsiaTheme="minorEastAsia" w:hAnsiTheme="minorHAnsi" w:cstheme="minorBidi"/>
          <w:b w:val="0"/>
          <w:caps w:val="0"/>
          <w:sz w:val="22"/>
          <w:szCs w:val="22"/>
        </w:rPr>
        <w:tab/>
      </w:r>
      <w:r w:rsidR="00882596">
        <w:t>Justification</w:t>
      </w:r>
      <w:r w:rsidR="00882596">
        <w:tab/>
      </w:r>
      <w:r>
        <w:fldChar w:fldCharType="begin"/>
      </w:r>
      <w:r w:rsidR="00882596">
        <w:instrText xml:space="preserve"> PAGEREF _Toc248639033 \h </w:instrText>
      </w:r>
      <w:r>
        <w:fldChar w:fldCharType="separate"/>
      </w:r>
      <w:r w:rsidR="009473C6">
        <w:t>6</w:t>
      </w:r>
      <w:r>
        <w:fldChar w:fldCharType="end"/>
      </w:r>
    </w:p>
    <w:p w14:paraId="12029B27" w14:textId="77777777" w:rsidR="00882596" w:rsidRDefault="00882596">
      <w:pPr>
        <w:pStyle w:val="TOC2"/>
        <w:rPr>
          <w:rFonts w:asciiTheme="minorHAnsi" w:eastAsiaTheme="minorEastAsia" w:hAnsiTheme="minorHAnsi" w:cstheme="minorBidi"/>
          <w:smallCaps w:val="0"/>
          <w:noProof/>
          <w:sz w:val="22"/>
          <w:szCs w:val="22"/>
        </w:rPr>
      </w:pPr>
      <w:r>
        <w:rPr>
          <w:noProof/>
        </w:rPr>
        <w:t>A.1</w:t>
      </w:r>
      <w:r>
        <w:rPr>
          <w:rFonts w:asciiTheme="minorHAnsi" w:eastAsiaTheme="minorEastAsia" w:hAnsiTheme="minorHAnsi" w:cstheme="minorBidi"/>
          <w:smallCaps w:val="0"/>
          <w:noProof/>
          <w:sz w:val="22"/>
          <w:szCs w:val="22"/>
        </w:rPr>
        <w:tab/>
      </w:r>
      <w:r>
        <w:rPr>
          <w:noProof/>
        </w:rPr>
        <w:t>Circumstances Making the Collection of Information Necessary</w:t>
      </w:r>
      <w:r>
        <w:rPr>
          <w:noProof/>
        </w:rPr>
        <w:tab/>
      </w:r>
      <w:r w:rsidR="0035530F">
        <w:rPr>
          <w:noProof/>
        </w:rPr>
        <w:fldChar w:fldCharType="begin"/>
      </w:r>
      <w:r>
        <w:rPr>
          <w:noProof/>
        </w:rPr>
        <w:instrText xml:space="preserve"> PAGEREF _Toc248639034 \h </w:instrText>
      </w:r>
      <w:r w:rsidR="0035530F">
        <w:rPr>
          <w:noProof/>
        </w:rPr>
      </w:r>
      <w:r w:rsidR="0035530F">
        <w:rPr>
          <w:noProof/>
        </w:rPr>
        <w:fldChar w:fldCharType="separate"/>
      </w:r>
      <w:r w:rsidR="009473C6">
        <w:rPr>
          <w:noProof/>
        </w:rPr>
        <w:t>6</w:t>
      </w:r>
      <w:r w:rsidR="0035530F">
        <w:rPr>
          <w:noProof/>
        </w:rPr>
        <w:fldChar w:fldCharType="end"/>
      </w:r>
    </w:p>
    <w:p w14:paraId="0906E583" w14:textId="77777777" w:rsidR="00882596" w:rsidRDefault="00882596">
      <w:pPr>
        <w:pStyle w:val="TOC2"/>
        <w:rPr>
          <w:rFonts w:asciiTheme="minorHAnsi" w:eastAsiaTheme="minorEastAsia" w:hAnsiTheme="minorHAnsi" w:cstheme="minorBidi"/>
          <w:smallCaps w:val="0"/>
          <w:noProof/>
          <w:sz w:val="22"/>
          <w:szCs w:val="22"/>
        </w:rPr>
      </w:pPr>
      <w:r>
        <w:rPr>
          <w:noProof/>
        </w:rPr>
        <w:t>A.2</w:t>
      </w:r>
      <w:r>
        <w:rPr>
          <w:rFonts w:asciiTheme="minorHAnsi" w:eastAsiaTheme="minorEastAsia" w:hAnsiTheme="minorHAnsi" w:cstheme="minorBidi"/>
          <w:smallCaps w:val="0"/>
          <w:noProof/>
          <w:sz w:val="22"/>
          <w:szCs w:val="22"/>
        </w:rPr>
        <w:tab/>
      </w:r>
      <w:r>
        <w:rPr>
          <w:noProof/>
        </w:rPr>
        <w:t>Purpose and Use of the Information Collection</w:t>
      </w:r>
      <w:r>
        <w:rPr>
          <w:noProof/>
        </w:rPr>
        <w:tab/>
      </w:r>
      <w:r w:rsidR="0035530F">
        <w:rPr>
          <w:noProof/>
        </w:rPr>
        <w:fldChar w:fldCharType="begin"/>
      </w:r>
      <w:r>
        <w:rPr>
          <w:noProof/>
        </w:rPr>
        <w:instrText xml:space="preserve"> PAGEREF _Toc248639035 \h </w:instrText>
      </w:r>
      <w:r w:rsidR="0035530F">
        <w:rPr>
          <w:noProof/>
        </w:rPr>
      </w:r>
      <w:r w:rsidR="0035530F">
        <w:rPr>
          <w:noProof/>
        </w:rPr>
        <w:fldChar w:fldCharType="separate"/>
      </w:r>
      <w:r w:rsidR="009473C6">
        <w:rPr>
          <w:noProof/>
        </w:rPr>
        <w:t>8</w:t>
      </w:r>
      <w:r w:rsidR="0035530F">
        <w:rPr>
          <w:noProof/>
        </w:rPr>
        <w:fldChar w:fldCharType="end"/>
      </w:r>
    </w:p>
    <w:p w14:paraId="689F8ADC" w14:textId="77777777" w:rsidR="00882596" w:rsidRDefault="00882596">
      <w:pPr>
        <w:pStyle w:val="TOC2"/>
        <w:rPr>
          <w:rFonts w:asciiTheme="minorHAnsi" w:eastAsiaTheme="minorEastAsia" w:hAnsiTheme="minorHAnsi" w:cstheme="minorBidi"/>
          <w:smallCaps w:val="0"/>
          <w:noProof/>
          <w:sz w:val="22"/>
          <w:szCs w:val="22"/>
        </w:rPr>
      </w:pPr>
      <w:r>
        <w:rPr>
          <w:noProof/>
        </w:rPr>
        <w:t>A.3</w:t>
      </w:r>
      <w:r>
        <w:rPr>
          <w:rFonts w:asciiTheme="minorHAnsi" w:eastAsiaTheme="minorEastAsia" w:hAnsiTheme="minorHAnsi" w:cstheme="minorBidi"/>
          <w:smallCaps w:val="0"/>
          <w:noProof/>
          <w:sz w:val="22"/>
          <w:szCs w:val="22"/>
        </w:rPr>
        <w:tab/>
      </w:r>
      <w:r>
        <w:rPr>
          <w:noProof/>
        </w:rPr>
        <w:t>Use of Information Technology and Burden Reduction</w:t>
      </w:r>
      <w:r>
        <w:rPr>
          <w:noProof/>
        </w:rPr>
        <w:tab/>
      </w:r>
      <w:r w:rsidR="0035530F">
        <w:rPr>
          <w:noProof/>
        </w:rPr>
        <w:fldChar w:fldCharType="begin"/>
      </w:r>
      <w:r>
        <w:rPr>
          <w:noProof/>
        </w:rPr>
        <w:instrText xml:space="preserve"> PAGEREF _Toc248639036 \h </w:instrText>
      </w:r>
      <w:r w:rsidR="0035530F">
        <w:rPr>
          <w:noProof/>
        </w:rPr>
      </w:r>
      <w:r w:rsidR="0035530F">
        <w:rPr>
          <w:noProof/>
        </w:rPr>
        <w:fldChar w:fldCharType="separate"/>
      </w:r>
      <w:r w:rsidR="009473C6">
        <w:rPr>
          <w:noProof/>
        </w:rPr>
        <w:t>10</w:t>
      </w:r>
      <w:r w:rsidR="0035530F">
        <w:rPr>
          <w:noProof/>
        </w:rPr>
        <w:fldChar w:fldCharType="end"/>
      </w:r>
    </w:p>
    <w:p w14:paraId="4B9F0392" w14:textId="77777777" w:rsidR="00882596" w:rsidRDefault="00882596">
      <w:pPr>
        <w:pStyle w:val="TOC2"/>
        <w:rPr>
          <w:rFonts w:asciiTheme="minorHAnsi" w:eastAsiaTheme="minorEastAsia" w:hAnsiTheme="minorHAnsi" w:cstheme="minorBidi"/>
          <w:smallCaps w:val="0"/>
          <w:noProof/>
          <w:sz w:val="22"/>
          <w:szCs w:val="22"/>
        </w:rPr>
      </w:pPr>
      <w:r>
        <w:rPr>
          <w:noProof/>
        </w:rPr>
        <w:t>A.4</w:t>
      </w:r>
      <w:r>
        <w:rPr>
          <w:rFonts w:asciiTheme="minorHAnsi" w:eastAsiaTheme="minorEastAsia" w:hAnsiTheme="minorHAnsi" w:cstheme="minorBidi"/>
          <w:smallCaps w:val="0"/>
          <w:noProof/>
          <w:sz w:val="22"/>
          <w:szCs w:val="22"/>
        </w:rPr>
        <w:tab/>
      </w:r>
      <w:r>
        <w:rPr>
          <w:noProof/>
        </w:rPr>
        <w:t>Efforts to Identify Duplication and Use of Similar Information</w:t>
      </w:r>
      <w:r>
        <w:rPr>
          <w:noProof/>
        </w:rPr>
        <w:tab/>
      </w:r>
      <w:r w:rsidR="0035530F">
        <w:rPr>
          <w:noProof/>
        </w:rPr>
        <w:fldChar w:fldCharType="begin"/>
      </w:r>
      <w:r>
        <w:rPr>
          <w:noProof/>
        </w:rPr>
        <w:instrText xml:space="preserve"> PAGEREF _Toc248639037 \h </w:instrText>
      </w:r>
      <w:r w:rsidR="0035530F">
        <w:rPr>
          <w:noProof/>
        </w:rPr>
      </w:r>
      <w:r w:rsidR="0035530F">
        <w:rPr>
          <w:noProof/>
        </w:rPr>
        <w:fldChar w:fldCharType="separate"/>
      </w:r>
      <w:r w:rsidR="009473C6">
        <w:rPr>
          <w:noProof/>
        </w:rPr>
        <w:t>10</w:t>
      </w:r>
      <w:r w:rsidR="0035530F">
        <w:rPr>
          <w:noProof/>
        </w:rPr>
        <w:fldChar w:fldCharType="end"/>
      </w:r>
    </w:p>
    <w:p w14:paraId="2E58D63A" w14:textId="77777777" w:rsidR="00882596" w:rsidRDefault="00882596">
      <w:pPr>
        <w:pStyle w:val="TOC2"/>
        <w:rPr>
          <w:rFonts w:asciiTheme="minorHAnsi" w:eastAsiaTheme="minorEastAsia" w:hAnsiTheme="minorHAnsi" w:cstheme="minorBidi"/>
          <w:smallCaps w:val="0"/>
          <w:noProof/>
          <w:sz w:val="22"/>
          <w:szCs w:val="22"/>
        </w:rPr>
      </w:pPr>
      <w:r>
        <w:rPr>
          <w:noProof/>
        </w:rPr>
        <w:t>A.5</w:t>
      </w:r>
      <w:r>
        <w:rPr>
          <w:rFonts w:asciiTheme="minorHAnsi" w:eastAsiaTheme="minorEastAsia" w:hAnsiTheme="minorHAnsi" w:cstheme="minorBidi"/>
          <w:smallCaps w:val="0"/>
          <w:noProof/>
          <w:sz w:val="22"/>
          <w:szCs w:val="22"/>
        </w:rPr>
        <w:tab/>
      </w:r>
      <w:r>
        <w:rPr>
          <w:noProof/>
        </w:rPr>
        <w:t>Impact on Small Businesses or Other Small Entities</w:t>
      </w:r>
      <w:r>
        <w:rPr>
          <w:noProof/>
        </w:rPr>
        <w:tab/>
      </w:r>
      <w:r w:rsidR="0035530F">
        <w:rPr>
          <w:noProof/>
        </w:rPr>
        <w:fldChar w:fldCharType="begin"/>
      </w:r>
      <w:r>
        <w:rPr>
          <w:noProof/>
        </w:rPr>
        <w:instrText xml:space="preserve"> PAGEREF _Toc248639038 \h </w:instrText>
      </w:r>
      <w:r w:rsidR="0035530F">
        <w:rPr>
          <w:noProof/>
        </w:rPr>
      </w:r>
      <w:r w:rsidR="0035530F">
        <w:rPr>
          <w:noProof/>
        </w:rPr>
        <w:fldChar w:fldCharType="separate"/>
      </w:r>
      <w:r w:rsidR="009473C6">
        <w:rPr>
          <w:noProof/>
        </w:rPr>
        <w:t>13</w:t>
      </w:r>
      <w:r w:rsidR="0035530F">
        <w:rPr>
          <w:noProof/>
        </w:rPr>
        <w:fldChar w:fldCharType="end"/>
      </w:r>
    </w:p>
    <w:p w14:paraId="211F2EE9" w14:textId="77777777" w:rsidR="00882596" w:rsidRDefault="00882596">
      <w:pPr>
        <w:pStyle w:val="TOC2"/>
        <w:rPr>
          <w:rFonts w:asciiTheme="minorHAnsi" w:eastAsiaTheme="minorEastAsia" w:hAnsiTheme="minorHAnsi" w:cstheme="minorBidi"/>
          <w:smallCaps w:val="0"/>
          <w:noProof/>
          <w:sz w:val="22"/>
          <w:szCs w:val="22"/>
        </w:rPr>
      </w:pPr>
      <w:r>
        <w:rPr>
          <w:noProof/>
        </w:rPr>
        <w:t>A.6</w:t>
      </w:r>
      <w:r>
        <w:rPr>
          <w:rFonts w:asciiTheme="minorHAnsi" w:eastAsiaTheme="minorEastAsia" w:hAnsiTheme="minorHAnsi" w:cstheme="minorBidi"/>
          <w:smallCaps w:val="0"/>
          <w:noProof/>
          <w:sz w:val="22"/>
          <w:szCs w:val="22"/>
        </w:rPr>
        <w:tab/>
      </w:r>
      <w:r>
        <w:rPr>
          <w:noProof/>
        </w:rPr>
        <w:t>Consequences of Collecting the Information Less Frequently</w:t>
      </w:r>
      <w:r>
        <w:rPr>
          <w:noProof/>
        </w:rPr>
        <w:tab/>
      </w:r>
      <w:r w:rsidR="0035530F">
        <w:rPr>
          <w:noProof/>
        </w:rPr>
        <w:fldChar w:fldCharType="begin"/>
      </w:r>
      <w:r>
        <w:rPr>
          <w:noProof/>
        </w:rPr>
        <w:instrText xml:space="preserve"> PAGEREF _Toc248639039 \h </w:instrText>
      </w:r>
      <w:r w:rsidR="0035530F">
        <w:rPr>
          <w:noProof/>
        </w:rPr>
      </w:r>
      <w:r w:rsidR="0035530F">
        <w:rPr>
          <w:noProof/>
        </w:rPr>
        <w:fldChar w:fldCharType="separate"/>
      </w:r>
      <w:r w:rsidR="009473C6">
        <w:rPr>
          <w:noProof/>
        </w:rPr>
        <w:t>13</w:t>
      </w:r>
      <w:r w:rsidR="0035530F">
        <w:rPr>
          <w:noProof/>
        </w:rPr>
        <w:fldChar w:fldCharType="end"/>
      </w:r>
    </w:p>
    <w:p w14:paraId="44577131" w14:textId="77777777" w:rsidR="00882596" w:rsidRDefault="00882596">
      <w:pPr>
        <w:pStyle w:val="TOC2"/>
        <w:rPr>
          <w:rFonts w:asciiTheme="minorHAnsi" w:eastAsiaTheme="minorEastAsia" w:hAnsiTheme="minorHAnsi" w:cstheme="minorBidi"/>
          <w:smallCaps w:val="0"/>
          <w:noProof/>
          <w:sz w:val="22"/>
          <w:szCs w:val="22"/>
        </w:rPr>
      </w:pPr>
      <w:r>
        <w:rPr>
          <w:noProof/>
        </w:rPr>
        <w:t>A.7</w:t>
      </w:r>
      <w:r>
        <w:rPr>
          <w:rFonts w:asciiTheme="minorHAnsi" w:eastAsiaTheme="minorEastAsia" w:hAnsiTheme="minorHAnsi" w:cstheme="minorBidi"/>
          <w:smallCaps w:val="0"/>
          <w:noProof/>
          <w:sz w:val="22"/>
          <w:szCs w:val="22"/>
        </w:rPr>
        <w:tab/>
      </w:r>
      <w:r>
        <w:rPr>
          <w:noProof/>
        </w:rPr>
        <w:t>Special Circumstances Relating to the Guidelines of 5 CFR 1320.5</w:t>
      </w:r>
      <w:r>
        <w:rPr>
          <w:noProof/>
        </w:rPr>
        <w:tab/>
      </w:r>
      <w:r w:rsidR="0035530F">
        <w:rPr>
          <w:noProof/>
        </w:rPr>
        <w:fldChar w:fldCharType="begin"/>
      </w:r>
      <w:r>
        <w:rPr>
          <w:noProof/>
        </w:rPr>
        <w:instrText xml:space="preserve"> PAGEREF _Toc248639040 \h </w:instrText>
      </w:r>
      <w:r w:rsidR="0035530F">
        <w:rPr>
          <w:noProof/>
        </w:rPr>
      </w:r>
      <w:r w:rsidR="0035530F">
        <w:rPr>
          <w:noProof/>
        </w:rPr>
        <w:fldChar w:fldCharType="separate"/>
      </w:r>
      <w:r w:rsidR="009473C6">
        <w:rPr>
          <w:noProof/>
        </w:rPr>
        <w:t>13</w:t>
      </w:r>
      <w:r w:rsidR="0035530F">
        <w:rPr>
          <w:noProof/>
        </w:rPr>
        <w:fldChar w:fldCharType="end"/>
      </w:r>
    </w:p>
    <w:p w14:paraId="699E48C1" w14:textId="77777777" w:rsidR="00882596" w:rsidRDefault="00882596">
      <w:pPr>
        <w:pStyle w:val="TOC2"/>
        <w:rPr>
          <w:rFonts w:asciiTheme="minorHAnsi" w:eastAsiaTheme="minorEastAsia" w:hAnsiTheme="minorHAnsi" w:cstheme="minorBidi"/>
          <w:smallCaps w:val="0"/>
          <w:noProof/>
          <w:sz w:val="22"/>
          <w:szCs w:val="22"/>
        </w:rPr>
      </w:pPr>
      <w:r>
        <w:rPr>
          <w:noProof/>
        </w:rPr>
        <w:t>A.8</w:t>
      </w:r>
      <w:r>
        <w:rPr>
          <w:rFonts w:asciiTheme="minorHAnsi" w:eastAsiaTheme="minorEastAsia" w:hAnsiTheme="minorHAnsi" w:cstheme="minorBidi"/>
          <w:smallCaps w:val="0"/>
          <w:noProof/>
          <w:sz w:val="22"/>
          <w:szCs w:val="22"/>
        </w:rPr>
        <w:tab/>
      </w:r>
      <w:r>
        <w:rPr>
          <w:noProof/>
        </w:rPr>
        <w:t>Comments in Response to the Federal Register Notice and Efforts to Consult Outside Agency</w:t>
      </w:r>
      <w:r>
        <w:rPr>
          <w:noProof/>
        </w:rPr>
        <w:tab/>
      </w:r>
      <w:r w:rsidR="0035530F">
        <w:rPr>
          <w:noProof/>
        </w:rPr>
        <w:fldChar w:fldCharType="begin"/>
      </w:r>
      <w:r>
        <w:rPr>
          <w:noProof/>
        </w:rPr>
        <w:instrText xml:space="preserve"> PAGEREF _Toc248639041 \h </w:instrText>
      </w:r>
      <w:r w:rsidR="0035530F">
        <w:rPr>
          <w:noProof/>
        </w:rPr>
      </w:r>
      <w:r w:rsidR="0035530F">
        <w:rPr>
          <w:noProof/>
        </w:rPr>
        <w:fldChar w:fldCharType="separate"/>
      </w:r>
      <w:r w:rsidR="009473C6">
        <w:rPr>
          <w:noProof/>
        </w:rPr>
        <w:t>14</w:t>
      </w:r>
      <w:r w:rsidR="0035530F">
        <w:rPr>
          <w:noProof/>
        </w:rPr>
        <w:fldChar w:fldCharType="end"/>
      </w:r>
    </w:p>
    <w:p w14:paraId="7859F9CA" w14:textId="77777777" w:rsidR="00882596" w:rsidRDefault="00882596">
      <w:pPr>
        <w:pStyle w:val="TOC2"/>
        <w:rPr>
          <w:rFonts w:asciiTheme="minorHAnsi" w:eastAsiaTheme="minorEastAsia" w:hAnsiTheme="minorHAnsi" w:cstheme="minorBidi"/>
          <w:smallCaps w:val="0"/>
          <w:noProof/>
          <w:sz w:val="22"/>
          <w:szCs w:val="22"/>
        </w:rPr>
      </w:pPr>
      <w:r>
        <w:rPr>
          <w:noProof/>
        </w:rPr>
        <w:t>A.9</w:t>
      </w:r>
      <w:r>
        <w:rPr>
          <w:rFonts w:asciiTheme="minorHAnsi" w:eastAsiaTheme="minorEastAsia" w:hAnsiTheme="minorHAnsi" w:cstheme="minorBidi"/>
          <w:smallCaps w:val="0"/>
          <w:noProof/>
          <w:sz w:val="22"/>
          <w:szCs w:val="22"/>
        </w:rPr>
        <w:tab/>
      </w:r>
      <w:r>
        <w:rPr>
          <w:noProof/>
        </w:rPr>
        <w:t>Explanation of Any Payment of Gift to Respondents</w:t>
      </w:r>
      <w:r>
        <w:rPr>
          <w:noProof/>
        </w:rPr>
        <w:tab/>
      </w:r>
      <w:r w:rsidR="0035530F">
        <w:rPr>
          <w:noProof/>
        </w:rPr>
        <w:fldChar w:fldCharType="begin"/>
      </w:r>
      <w:r>
        <w:rPr>
          <w:noProof/>
        </w:rPr>
        <w:instrText xml:space="preserve"> PAGEREF _Toc248639042 \h </w:instrText>
      </w:r>
      <w:r w:rsidR="0035530F">
        <w:rPr>
          <w:noProof/>
        </w:rPr>
      </w:r>
      <w:r w:rsidR="0035530F">
        <w:rPr>
          <w:noProof/>
        </w:rPr>
        <w:fldChar w:fldCharType="separate"/>
      </w:r>
      <w:r w:rsidR="009473C6">
        <w:rPr>
          <w:noProof/>
        </w:rPr>
        <w:t>14</w:t>
      </w:r>
      <w:r w:rsidR="0035530F">
        <w:rPr>
          <w:noProof/>
        </w:rPr>
        <w:fldChar w:fldCharType="end"/>
      </w:r>
    </w:p>
    <w:p w14:paraId="2ED0A6E1" w14:textId="77777777" w:rsidR="00882596" w:rsidRDefault="00882596">
      <w:pPr>
        <w:pStyle w:val="TOC2"/>
        <w:rPr>
          <w:rFonts w:asciiTheme="minorHAnsi" w:eastAsiaTheme="minorEastAsia" w:hAnsiTheme="minorHAnsi" w:cstheme="minorBidi"/>
          <w:smallCaps w:val="0"/>
          <w:noProof/>
          <w:sz w:val="22"/>
          <w:szCs w:val="22"/>
        </w:rPr>
      </w:pPr>
      <w:r>
        <w:rPr>
          <w:noProof/>
        </w:rPr>
        <w:t>A.10</w:t>
      </w:r>
      <w:r>
        <w:rPr>
          <w:rFonts w:asciiTheme="minorHAnsi" w:eastAsiaTheme="minorEastAsia" w:hAnsiTheme="minorHAnsi" w:cstheme="minorBidi"/>
          <w:smallCaps w:val="0"/>
          <w:noProof/>
          <w:sz w:val="22"/>
          <w:szCs w:val="22"/>
        </w:rPr>
        <w:tab/>
      </w:r>
      <w:r>
        <w:rPr>
          <w:noProof/>
        </w:rPr>
        <w:t>Assurance of Confidentiality Provided to Respondents</w:t>
      </w:r>
      <w:r>
        <w:rPr>
          <w:noProof/>
        </w:rPr>
        <w:tab/>
      </w:r>
      <w:r w:rsidR="0035530F">
        <w:rPr>
          <w:noProof/>
        </w:rPr>
        <w:fldChar w:fldCharType="begin"/>
      </w:r>
      <w:r>
        <w:rPr>
          <w:noProof/>
        </w:rPr>
        <w:instrText xml:space="preserve"> PAGEREF _Toc248639043 \h </w:instrText>
      </w:r>
      <w:r w:rsidR="0035530F">
        <w:rPr>
          <w:noProof/>
        </w:rPr>
      </w:r>
      <w:r w:rsidR="0035530F">
        <w:rPr>
          <w:noProof/>
        </w:rPr>
        <w:fldChar w:fldCharType="separate"/>
      </w:r>
      <w:r w:rsidR="009473C6">
        <w:rPr>
          <w:noProof/>
        </w:rPr>
        <w:t>15</w:t>
      </w:r>
      <w:r w:rsidR="0035530F">
        <w:rPr>
          <w:noProof/>
        </w:rPr>
        <w:fldChar w:fldCharType="end"/>
      </w:r>
    </w:p>
    <w:p w14:paraId="159EE02E" w14:textId="77777777" w:rsidR="00882596" w:rsidRDefault="00882596">
      <w:pPr>
        <w:pStyle w:val="TOC2"/>
        <w:rPr>
          <w:rFonts w:asciiTheme="minorHAnsi" w:eastAsiaTheme="minorEastAsia" w:hAnsiTheme="minorHAnsi" w:cstheme="minorBidi"/>
          <w:smallCaps w:val="0"/>
          <w:noProof/>
          <w:sz w:val="22"/>
          <w:szCs w:val="22"/>
        </w:rPr>
      </w:pPr>
      <w:r>
        <w:rPr>
          <w:noProof/>
        </w:rPr>
        <w:t>A.11</w:t>
      </w:r>
      <w:r>
        <w:rPr>
          <w:rFonts w:asciiTheme="minorHAnsi" w:eastAsiaTheme="minorEastAsia" w:hAnsiTheme="minorHAnsi" w:cstheme="minorBidi"/>
          <w:smallCaps w:val="0"/>
          <w:noProof/>
          <w:sz w:val="22"/>
          <w:szCs w:val="22"/>
        </w:rPr>
        <w:tab/>
      </w:r>
      <w:r>
        <w:rPr>
          <w:noProof/>
        </w:rPr>
        <w:t>Justification for Sensitive Questions</w:t>
      </w:r>
      <w:r>
        <w:rPr>
          <w:noProof/>
        </w:rPr>
        <w:tab/>
      </w:r>
      <w:r w:rsidR="0035530F">
        <w:rPr>
          <w:noProof/>
        </w:rPr>
        <w:fldChar w:fldCharType="begin"/>
      </w:r>
      <w:r>
        <w:rPr>
          <w:noProof/>
        </w:rPr>
        <w:instrText xml:space="preserve"> PAGEREF _Toc248639044 \h </w:instrText>
      </w:r>
      <w:r w:rsidR="0035530F">
        <w:rPr>
          <w:noProof/>
        </w:rPr>
      </w:r>
      <w:r w:rsidR="0035530F">
        <w:rPr>
          <w:noProof/>
        </w:rPr>
        <w:fldChar w:fldCharType="separate"/>
      </w:r>
      <w:r w:rsidR="009473C6">
        <w:rPr>
          <w:noProof/>
        </w:rPr>
        <w:t>18</w:t>
      </w:r>
      <w:r w:rsidR="0035530F">
        <w:rPr>
          <w:noProof/>
        </w:rPr>
        <w:fldChar w:fldCharType="end"/>
      </w:r>
    </w:p>
    <w:p w14:paraId="0B0B0168" w14:textId="77777777" w:rsidR="00882596" w:rsidRDefault="00882596">
      <w:pPr>
        <w:pStyle w:val="TOC2"/>
        <w:rPr>
          <w:rFonts w:asciiTheme="minorHAnsi" w:eastAsiaTheme="minorEastAsia" w:hAnsiTheme="minorHAnsi" w:cstheme="minorBidi"/>
          <w:smallCaps w:val="0"/>
          <w:noProof/>
          <w:sz w:val="22"/>
          <w:szCs w:val="22"/>
        </w:rPr>
      </w:pPr>
      <w:r>
        <w:rPr>
          <w:noProof/>
        </w:rPr>
        <w:t>A.12</w:t>
      </w:r>
      <w:r>
        <w:rPr>
          <w:rFonts w:asciiTheme="minorHAnsi" w:eastAsiaTheme="minorEastAsia" w:hAnsiTheme="minorHAnsi" w:cstheme="minorBidi"/>
          <w:smallCaps w:val="0"/>
          <w:noProof/>
          <w:sz w:val="22"/>
          <w:szCs w:val="22"/>
        </w:rPr>
        <w:tab/>
      </w:r>
      <w:r>
        <w:rPr>
          <w:noProof/>
        </w:rPr>
        <w:t>Estimates of Hour Burden Including Annualized Hourly Costs</w:t>
      </w:r>
      <w:r>
        <w:rPr>
          <w:noProof/>
        </w:rPr>
        <w:tab/>
      </w:r>
      <w:r w:rsidR="0035530F">
        <w:rPr>
          <w:noProof/>
        </w:rPr>
        <w:fldChar w:fldCharType="begin"/>
      </w:r>
      <w:r>
        <w:rPr>
          <w:noProof/>
        </w:rPr>
        <w:instrText xml:space="preserve"> PAGEREF _Toc248639045 \h </w:instrText>
      </w:r>
      <w:r w:rsidR="0035530F">
        <w:rPr>
          <w:noProof/>
        </w:rPr>
      </w:r>
      <w:r w:rsidR="0035530F">
        <w:rPr>
          <w:noProof/>
        </w:rPr>
        <w:fldChar w:fldCharType="separate"/>
      </w:r>
      <w:r w:rsidR="009473C6">
        <w:rPr>
          <w:noProof/>
        </w:rPr>
        <w:t>19</w:t>
      </w:r>
      <w:r w:rsidR="0035530F">
        <w:rPr>
          <w:noProof/>
        </w:rPr>
        <w:fldChar w:fldCharType="end"/>
      </w:r>
    </w:p>
    <w:p w14:paraId="4041AB34" w14:textId="77777777" w:rsidR="00882596" w:rsidRDefault="00882596">
      <w:pPr>
        <w:pStyle w:val="TOC2"/>
        <w:rPr>
          <w:rFonts w:asciiTheme="minorHAnsi" w:eastAsiaTheme="minorEastAsia" w:hAnsiTheme="minorHAnsi" w:cstheme="minorBidi"/>
          <w:smallCaps w:val="0"/>
          <w:noProof/>
          <w:sz w:val="22"/>
          <w:szCs w:val="22"/>
        </w:rPr>
      </w:pPr>
      <w:r>
        <w:rPr>
          <w:noProof/>
        </w:rPr>
        <w:t>A.13</w:t>
      </w:r>
      <w:r>
        <w:rPr>
          <w:rFonts w:asciiTheme="minorHAnsi" w:eastAsiaTheme="minorEastAsia" w:hAnsiTheme="minorHAnsi" w:cstheme="minorBidi"/>
          <w:smallCaps w:val="0"/>
          <w:noProof/>
          <w:sz w:val="22"/>
          <w:szCs w:val="22"/>
        </w:rPr>
        <w:tab/>
      </w:r>
      <w:r>
        <w:rPr>
          <w:noProof/>
        </w:rPr>
        <w:t>Estimate of Other Total Annual Cost Burden to Respondents or Record Keepers</w:t>
      </w:r>
      <w:r>
        <w:rPr>
          <w:noProof/>
        </w:rPr>
        <w:tab/>
      </w:r>
      <w:r w:rsidR="0035530F">
        <w:rPr>
          <w:noProof/>
        </w:rPr>
        <w:fldChar w:fldCharType="begin"/>
      </w:r>
      <w:r>
        <w:rPr>
          <w:noProof/>
        </w:rPr>
        <w:instrText xml:space="preserve"> PAGEREF _Toc248639046 \h </w:instrText>
      </w:r>
      <w:r w:rsidR="0035530F">
        <w:rPr>
          <w:noProof/>
        </w:rPr>
      </w:r>
      <w:r w:rsidR="0035530F">
        <w:rPr>
          <w:noProof/>
        </w:rPr>
        <w:fldChar w:fldCharType="separate"/>
      </w:r>
      <w:r w:rsidR="009473C6">
        <w:rPr>
          <w:noProof/>
        </w:rPr>
        <w:t>24</w:t>
      </w:r>
      <w:r w:rsidR="0035530F">
        <w:rPr>
          <w:noProof/>
        </w:rPr>
        <w:fldChar w:fldCharType="end"/>
      </w:r>
    </w:p>
    <w:p w14:paraId="3251BB1D" w14:textId="77777777" w:rsidR="00882596" w:rsidRDefault="00882596">
      <w:pPr>
        <w:pStyle w:val="TOC2"/>
        <w:rPr>
          <w:rFonts w:asciiTheme="minorHAnsi" w:eastAsiaTheme="minorEastAsia" w:hAnsiTheme="minorHAnsi" w:cstheme="minorBidi"/>
          <w:smallCaps w:val="0"/>
          <w:noProof/>
          <w:sz w:val="22"/>
          <w:szCs w:val="22"/>
        </w:rPr>
      </w:pPr>
      <w:r>
        <w:rPr>
          <w:noProof/>
        </w:rPr>
        <w:t>A.14</w:t>
      </w:r>
      <w:r>
        <w:rPr>
          <w:rFonts w:asciiTheme="minorHAnsi" w:eastAsiaTheme="minorEastAsia" w:hAnsiTheme="minorHAnsi" w:cstheme="minorBidi"/>
          <w:smallCaps w:val="0"/>
          <w:noProof/>
          <w:sz w:val="22"/>
          <w:szCs w:val="22"/>
        </w:rPr>
        <w:tab/>
      </w:r>
      <w:r>
        <w:rPr>
          <w:noProof/>
        </w:rPr>
        <w:t>Annualized Cost to the Federal Government</w:t>
      </w:r>
      <w:r>
        <w:rPr>
          <w:noProof/>
        </w:rPr>
        <w:tab/>
      </w:r>
      <w:r w:rsidR="0035530F">
        <w:rPr>
          <w:noProof/>
        </w:rPr>
        <w:fldChar w:fldCharType="begin"/>
      </w:r>
      <w:r>
        <w:rPr>
          <w:noProof/>
        </w:rPr>
        <w:instrText xml:space="preserve"> PAGEREF _Toc248639047 \h </w:instrText>
      </w:r>
      <w:r w:rsidR="0035530F">
        <w:rPr>
          <w:noProof/>
        </w:rPr>
      </w:r>
      <w:r w:rsidR="0035530F">
        <w:rPr>
          <w:noProof/>
        </w:rPr>
        <w:fldChar w:fldCharType="separate"/>
      </w:r>
      <w:r w:rsidR="009473C6">
        <w:rPr>
          <w:noProof/>
        </w:rPr>
        <w:t>25</w:t>
      </w:r>
      <w:r w:rsidR="0035530F">
        <w:rPr>
          <w:noProof/>
        </w:rPr>
        <w:fldChar w:fldCharType="end"/>
      </w:r>
    </w:p>
    <w:p w14:paraId="04841D7B" w14:textId="77777777" w:rsidR="00882596" w:rsidRDefault="00882596">
      <w:pPr>
        <w:pStyle w:val="TOC2"/>
        <w:rPr>
          <w:rFonts w:asciiTheme="minorHAnsi" w:eastAsiaTheme="minorEastAsia" w:hAnsiTheme="minorHAnsi" w:cstheme="minorBidi"/>
          <w:smallCaps w:val="0"/>
          <w:noProof/>
          <w:sz w:val="22"/>
          <w:szCs w:val="22"/>
        </w:rPr>
      </w:pPr>
      <w:r>
        <w:rPr>
          <w:noProof/>
        </w:rPr>
        <w:t>A.15</w:t>
      </w:r>
      <w:r>
        <w:rPr>
          <w:rFonts w:asciiTheme="minorHAnsi" w:eastAsiaTheme="minorEastAsia" w:hAnsiTheme="minorHAnsi" w:cstheme="minorBidi"/>
          <w:smallCaps w:val="0"/>
          <w:noProof/>
          <w:sz w:val="22"/>
          <w:szCs w:val="22"/>
        </w:rPr>
        <w:tab/>
      </w:r>
      <w:r>
        <w:rPr>
          <w:noProof/>
        </w:rPr>
        <w:t>Explanation for Program Changes or Adjustments</w:t>
      </w:r>
      <w:r>
        <w:rPr>
          <w:noProof/>
        </w:rPr>
        <w:tab/>
      </w:r>
      <w:r w:rsidR="0035530F">
        <w:rPr>
          <w:noProof/>
        </w:rPr>
        <w:fldChar w:fldCharType="begin"/>
      </w:r>
      <w:r>
        <w:rPr>
          <w:noProof/>
        </w:rPr>
        <w:instrText xml:space="preserve"> PAGEREF _Toc248639048 \h </w:instrText>
      </w:r>
      <w:r w:rsidR="0035530F">
        <w:rPr>
          <w:noProof/>
        </w:rPr>
      </w:r>
      <w:r w:rsidR="0035530F">
        <w:rPr>
          <w:noProof/>
        </w:rPr>
        <w:fldChar w:fldCharType="separate"/>
      </w:r>
      <w:r w:rsidR="009473C6">
        <w:rPr>
          <w:noProof/>
        </w:rPr>
        <w:t>25</w:t>
      </w:r>
      <w:r w:rsidR="0035530F">
        <w:rPr>
          <w:noProof/>
        </w:rPr>
        <w:fldChar w:fldCharType="end"/>
      </w:r>
    </w:p>
    <w:p w14:paraId="5B6BB845" w14:textId="77777777" w:rsidR="00882596" w:rsidRDefault="00882596">
      <w:pPr>
        <w:pStyle w:val="TOC2"/>
        <w:rPr>
          <w:rFonts w:asciiTheme="minorHAnsi" w:eastAsiaTheme="minorEastAsia" w:hAnsiTheme="minorHAnsi" w:cstheme="minorBidi"/>
          <w:smallCaps w:val="0"/>
          <w:noProof/>
          <w:sz w:val="22"/>
          <w:szCs w:val="22"/>
        </w:rPr>
      </w:pPr>
      <w:r>
        <w:rPr>
          <w:noProof/>
        </w:rPr>
        <w:t>A.16</w:t>
      </w:r>
      <w:r>
        <w:rPr>
          <w:rFonts w:asciiTheme="minorHAnsi" w:eastAsiaTheme="minorEastAsia" w:hAnsiTheme="minorHAnsi" w:cstheme="minorBidi"/>
          <w:smallCaps w:val="0"/>
          <w:noProof/>
          <w:sz w:val="22"/>
          <w:szCs w:val="22"/>
        </w:rPr>
        <w:tab/>
      </w:r>
      <w:r>
        <w:rPr>
          <w:noProof/>
        </w:rPr>
        <w:t>Plans for Tabulation and Publication and Project Time Schedule</w:t>
      </w:r>
      <w:r>
        <w:rPr>
          <w:noProof/>
        </w:rPr>
        <w:tab/>
      </w:r>
      <w:r w:rsidR="0035530F">
        <w:rPr>
          <w:noProof/>
        </w:rPr>
        <w:fldChar w:fldCharType="begin"/>
      </w:r>
      <w:r>
        <w:rPr>
          <w:noProof/>
        </w:rPr>
        <w:instrText xml:space="preserve"> PAGEREF _Toc248639049 \h </w:instrText>
      </w:r>
      <w:r w:rsidR="0035530F">
        <w:rPr>
          <w:noProof/>
        </w:rPr>
      </w:r>
      <w:r w:rsidR="0035530F">
        <w:rPr>
          <w:noProof/>
        </w:rPr>
        <w:fldChar w:fldCharType="separate"/>
      </w:r>
      <w:r w:rsidR="009473C6">
        <w:rPr>
          <w:noProof/>
        </w:rPr>
        <w:t>25</w:t>
      </w:r>
      <w:r w:rsidR="0035530F">
        <w:rPr>
          <w:noProof/>
        </w:rPr>
        <w:fldChar w:fldCharType="end"/>
      </w:r>
    </w:p>
    <w:p w14:paraId="4E891EEF" w14:textId="77777777" w:rsidR="00882596" w:rsidRDefault="00882596">
      <w:pPr>
        <w:pStyle w:val="TOC2"/>
        <w:rPr>
          <w:rFonts w:asciiTheme="minorHAnsi" w:eastAsiaTheme="minorEastAsia" w:hAnsiTheme="minorHAnsi" w:cstheme="minorBidi"/>
          <w:smallCaps w:val="0"/>
          <w:noProof/>
          <w:sz w:val="22"/>
          <w:szCs w:val="22"/>
        </w:rPr>
      </w:pPr>
      <w:r>
        <w:rPr>
          <w:noProof/>
        </w:rPr>
        <w:t>A.17</w:t>
      </w:r>
      <w:r>
        <w:rPr>
          <w:rFonts w:asciiTheme="minorHAnsi" w:eastAsiaTheme="minorEastAsia" w:hAnsiTheme="minorHAnsi" w:cstheme="minorBidi"/>
          <w:smallCaps w:val="0"/>
          <w:noProof/>
          <w:sz w:val="22"/>
          <w:szCs w:val="22"/>
        </w:rPr>
        <w:tab/>
      </w:r>
      <w:r>
        <w:rPr>
          <w:noProof/>
        </w:rPr>
        <w:t>Reason(s) Display of OMB Expiration Date is Inappropriate</w:t>
      </w:r>
      <w:r>
        <w:rPr>
          <w:noProof/>
        </w:rPr>
        <w:tab/>
      </w:r>
      <w:r w:rsidR="0035530F">
        <w:rPr>
          <w:noProof/>
        </w:rPr>
        <w:fldChar w:fldCharType="begin"/>
      </w:r>
      <w:r>
        <w:rPr>
          <w:noProof/>
        </w:rPr>
        <w:instrText xml:space="preserve"> PAGEREF _Toc248639050 \h </w:instrText>
      </w:r>
      <w:r w:rsidR="0035530F">
        <w:rPr>
          <w:noProof/>
        </w:rPr>
      </w:r>
      <w:r w:rsidR="0035530F">
        <w:rPr>
          <w:noProof/>
        </w:rPr>
        <w:fldChar w:fldCharType="separate"/>
      </w:r>
      <w:r w:rsidR="009473C6">
        <w:rPr>
          <w:noProof/>
        </w:rPr>
        <w:t>26</w:t>
      </w:r>
      <w:r w:rsidR="0035530F">
        <w:rPr>
          <w:noProof/>
        </w:rPr>
        <w:fldChar w:fldCharType="end"/>
      </w:r>
    </w:p>
    <w:p w14:paraId="7D7497EE" w14:textId="77777777" w:rsidR="00882596" w:rsidRDefault="00882596">
      <w:pPr>
        <w:pStyle w:val="TOC2"/>
        <w:rPr>
          <w:rFonts w:asciiTheme="minorHAnsi" w:eastAsiaTheme="minorEastAsia" w:hAnsiTheme="minorHAnsi" w:cstheme="minorBidi"/>
          <w:smallCaps w:val="0"/>
          <w:noProof/>
          <w:sz w:val="22"/>
          <w:szCs w:val="22"/>
        </w:rPr>
      </w:pPr>
      <w:r>
        <w:rPr>
          <w:noProof/>
        </w:rPr>
        <w:t>A.18</w:t>
      </w:r>
      <w:r>
        <w:rPr>
          <w:rFonts w:asciiTheme="minorHAnsi" w:eastAsiaTheme="minorEastAsia" w:hAnsiTheme="minorHAnsi" w:cstheme="minorBidi"/>
          <w:smallCaps w:val="0"/>
          <w:noProof/>
          <w:sz w:val="22"/>
          <w:szCs w:val="22"/>
        </w:rPr>
        <w:tab/>
      </w:r>
      <w:r>
        <w:rPr>
          <w:noProof/>
        </w:rPr>
        <w:t>Exceptions to Certification for Paperwork Reduction Act Submissions</w:t>
      </w:r>
      <w:r>
        <w:rPr>
          <w:noProof/>
        </w:rPr>
        <w:tab/>
      </w:r>
      <w:r w:rsidR="0035530F">
        <w:rPr>
          <w:noProof/>
        </w:rPr>
        <w:fldChar w:fldCharType="begin"/>
      </w:r>
      <w:r>
        <w:rPr>
          <w:noProof/>
        </w:rPr>
        <w:instrText xml:space="preserve"> PAGEREF _Toc248639051 \h </w:instrText>
      </w:r>
      <w:r w:rsidR="0035530F">
        <w:rPr>
          <w:noProof/>
        </w:rPr>
      </w:r>
      <w:r w:rsidR="0035530F">
        <w:rPr>
          <w:noProof/>
        </w:rPr>
        <w:fldChar w:fldCharType="separate"/>
      </w:r>
      <w:r w:rsidR="009473C6">
        <w:rPr>
          <w:noProof/>
        </w:rPr>
        <w:t>26</w:t>
      </w:r>
      <w:r w:rsidR="0035530F">
        <w:rPr>
          <w:noProof/>
        </w:rPr>
        <w:fldChar w:fldCharType="end"/>
      </w:r>
    </w:p>
    <w:p w14:paraId="7CF56EE2" w14:textId="77777777" w:rsidR="00D77AB4" w:rsidRPr="00CB349B" w:rsidRDefault="0035530F" w:rsidP="006A6B5E">
      <w:pPr>
        <w:rPr>
          <w:caps/>
          <w:noProof/>
        </w:rPr>
      </w:pPr>
      <w:r w:rsidRPr="00CB349B">
        <w:fldChar w:fldCharType="end"/>
      </w:r>
    </w:p>
    <w:p w14:paraId="6EABC3D1" w14:textId="77777777" w:rsidR="003A7790" w:rsidRDefault="00D77AB4" w:rsidP="006A6B5E">
      <w:pPr>
        <w:pStyle w:val="P1-StandPara"/>
        <w:ind w:right="-216" w:firstLine="0"/>
        <w:jc w:val="center"/>
        <w:rPr>
          <w:caps/>
          <w:noProof/>
        </w:rPr>
      </w:pPr>
      <w:r w:rsidRPr="00CB349B">
        <w:rPr>
          <w:caps/>
          <w:noProof/>
        </w:rPr>
        <w:br w:type="page"/>
      </w:r>
    </w:p>
    <w:p w14:paraId="4E842289" w14:textId="77777777" w:rsidR="006411D9" w:rsidRDefault="006411D9" w:rsidP="006411D9">
      <w:pPr>
        <w:jc w:val="center"/>
        <w:rPr>
          <w:b/>
        </w:rPr>
      </w:pPr>
      <w:r>
        <w:rPr>
          <w:b/>
        </w:rPr>
        <w:lastRenderedPageBreak/>
        <w:t>List of Attachments</w:t>
      </w:r>
    </w:p>
    <w:p w14:paraId="3E2DB41E" w14:textId="77777777" w:rsidR="006411D9" w:rsidRDefault="006411D9" w:rsidP="006411D9">
      <w:pPr>
        <w:jc w:val="center"/>
      </w:pPr>
    </w:p>
    <w:p w14:paraId="7A63AE46" w14:textId="77777777" w:rsidR="006411D9" w:rsidRDefault="006411D9" w:rsidP="006411D9">
      <w:pPr>
        <w:rPr>
          <w:b/>
        </w:rPr>
      </w:pPr>
      <w:r>
        <w:rPr>
          <w:b/>
        </w:rPr>
        <w:t>BATTERY OF TOOLBOX MEASURES</w:t>
      </w:r>
    </w:p>
    <w:p w14:paraId="5D21A94A" w14:textId="77777777" w:rsidR="006411D9" w:rsidRDefault="006411D9" w:rsidP="006411D9">
      <w:pPr>
        <w:spacing w:after="80"/>
        <w:rPr>
          <w:i/>
        </w:rPr>
      </w:pPr>
    </w:p>
    <w:p w14:paraId="6F687171" w14:textId="77777777" w:rsidR="006411D9" w:rsidRDefault="006411D9" w:rsidP="006411D9">
      <w:pPr>
        <w:spacing w:after="80"/>
        <w:rPr>
          <w:i/>
        </w:rPr>
      </w:pPr>
      <w:r>
        <w:rPr>
          <w:i/>
        </w:rPr>
        <w:t>Sensation domain</w:t>
      </w:r>
    </w:p>
    <w:p w14:paraId="14D4FC08"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eastAsia="Calibri" w:hAnsi="Times New Roman" w:cs="Times New Roman"/>
          <w:sz w:val="24"/>
          <w:szCs w:val="24"/>
        </w:rPr>
        <w:t>Automated Audiometry from the NIH Toolbox (AANT)</w:t>
      </w:r>
    </w:p>
    <w:p w14:paraId="49D57BAC"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eastAsia="Calibri" w:hAnsi="Times New Roman" w:cs="Times New Roman"/>
          <w:sz w:val="24"/>
          <w:szCs w:val="24"/>
        </w:rPr>
        <w:t>Hearing Handicap Inventory</w:t>
      </w:r>
      <w:r>
        <w:rPr>
          <w:rFonts w:ascii="Times New Roman" w:hAnsi="Times New Roman"/>
          <w:sz w:val="24"/>
          <w:szCs w:val="24"/>
        </w:rPr>
        <w:t xml:space="preserve"> </w:t>
      </w:r>
    </w:p>
    <w:p w14:paraId="1DF65B3D"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eastAsia="Calibri" w:hAnsi="Times New Roman" w:cs="Times New Roman"/>
          <w:sz w:val="24"/>
          <w:szCs w:val="24"/>
        </w:rPr>
        <w:t>Words-in-Noise</w:t>
      </w:r>
      <w:r>
        <w:rPr>
          <w:rFonts w:ascii="Times New Roman" w:hAnsi="Times New Roman"/>
          <w:sz w:val="24"/>
          <w:szCs w:val="24"/>
        </w:rPr>
        <w:t xml:space="preserve"> (WIN)</w:t>
      </w:r>
    </w:p>
    <w:p w14:paraId="0F170044"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Odor Identification Ages 10-85</w:t>
      </w:r>
    </w:p>
    <w:p w14:paraId="0071E0A9"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Odor Identification Ages 3-9</w:t>
      </w:r>
    </w:p>
    <w:p w14:paraId="2BC47076"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University of Pennsylvania Smell Identification Test (UPSIT)</w:t>
      </w:r>
    </w:p>
    <w:p w14:paraId="2A1B3A22" w14:textId="77777777" w:rsidR="006411D9" w:rsidRPr="00E649DC" w:rsidRDefault="006411D9" w:rsidP="006411D9">
      <w:pPr>
        <w:pStyle w:val="ListParagraph"/>
        <w:numPr>
          <w:ilvl w:val="0"/>
          <w:numId w:val="10"/>
        </w:numPr>
        <w:ind w:left="936" w:hanging="576"/>
        <w:rPr>
          <w:rFonts w:ascii="Times New Roman" w:hAnsi="Times New Roman"/>
          <w:sz w:val="24"/>
          <w:szCs w:val="24"/>
        </w:rPr>
      </w:pPr>
      <w:r w:rsidRPr="00E649DC">
        <w:rPr>
          <w:rFonts w:ascii="Times New Roman" w:hAnsi="Times New Roman"/>
          <w:sz w:val="24"/>
          <w:szCs w:val="24"/>
        </w:rPr>
        <w:t xml:space="preserve">Pain Assessment Proxy Ages 3-7 </w:t>
      </w:r>
    </w:p>
    <w:p w14:paraId="7191F278"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Pain Assessment Ages 8-12</w:t>
      </w:r>
    </w:p>
    <w:p w14:paraId="070FCC10"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Pain Assessment Ages 13-17</w:t>
      </w:r>
    </w:p>
    <w:p w14:paraId="0414313F"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Pain Assessment Ages 18-85</w:t>
      </w:r>
    </w:p>
    <w:p w14:paraId="15B1F08B"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Sucrose Preference Test</w:t>
      </w:r>
    </w:p>
    <w:p w14:paraId="6665AFE1"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Toolbox Taste Test</w:t>
      </w:r>
    </w:p>
    <w:p w14:paraId="66192B18"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Dynamic Visual Acuity (DVA)</w:t>
      </w:r>
    </w:p>
    <w:p w14:paraId="6E97282F"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Vision Health-Related Quality of Life Survey</w:t>
      </w:r>
    </w:p>
    <w:p w14:paraId="37ED8591" w14:textId="77777777" w:rsidR="00590A2E" w:rsidRDefault="00590A2E"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Brief Kinesthesia</w:t>
      </w:r>
    </w:p>
    <w:p w14:paraId="2E29D422" w14:textId="77777777" w:rsidR="00590A2E" w:rsidRDefault="00590A2E"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Pediatric Pain Scale</w:t>
      </w:r>
    </w:p>
    <w:p w14:paraId="15BBE8A2" w14:textId="77777777" w:rsidR="006411D9" w:rsidRDefault="00590A2E"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 xml:space="preserve">Tactile Discrimination Test </w:t>
      </w:r>
      <w:r w:rsidR="006411D9">
        <w:rPr>
          <w:rFonts w:ascii="Times New Roman" w:hAnsi="Times New Roman"/>
          <w:sz w:val="24"/>
          <w:szCs w:val="24"/>
        </w:rPr>
        <w:t xml:space="preserve"> </w:t>
      </w:r>
    </w:p>
    <w:p w14:paraId="64D83EE1" w14:textId="77777777" w:rsidR="006411D9" w:rsidRDefault="006411D9" w:rsidP="006411D9">
      <w:pPr>
        <w:spacing w:after="80"/>
        <w:rPr>
          <w:i/>
        </w:rPr>
      </w:pPr>
      <w:r>
        <w:rPr>
          <w:i/>
        </w:rPr>
        <w:t>Cognition domain</w:t>
      </w:r>
    </w:p>
    <w:p w14:paraId="56F12823"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Dimensional Change Card Sort</w:t>
      </w:r>
    </w:p>
    <w:p w14:paraId="7C9D9DDA" w14:textId="77777777" w:rsidR="006411D9" w:rsidRDefault="006411D9" w:rsidP="006411D9">
      <w:pPr>
        <w:pStyle w:val="ListParagraph"/>
        <w:numPr>
          <w:ilvl w:val="0"/>
          <w:numId w:val="10"/>
        </w:numPr>
        <w:ind w:left="936" w:hanging="576"/>
        <w:rPr>
          <w:rFonts w:ascii="Times New Roman" w:hAnsi="Times New Roman"/>
          <w:sz w:val="24"/>
          <w:szCs w:val="24"/>
        </w:rPr>
      </w:pPr>
      <w:proofErr w:type="spellStart"/>
      <w:r w:rsidRPr="00AA0D63">
        <w:rPr>
          <w:rFonts w:ascii="Times New Roman" w:hAnsi="Times New Roman"/>
          <w:sz w:val="24"/>
          <w:szCs w:val="24"/>
        </w:rPr>
        <w:t>Bateria</w:t>
      </w:r>
      <w:proofErr w:type="spellEnd"/>
      <w:r w:rsidRPr="00AA0D63">
        <w:rPr>
          <w:rFonts w:ascii="Times New Roman" w:hAnsi="Times New Roman"/>
          <w:sz w:val="24"/>
          <w:szCs w:val="24"/>
        </w:rPr>
        <w:t xml:space="preserve"> III Picture Vocabulary</w:t>
      </w:r>
    </w:p>
    <w:p w14:paraId="45BDBDEA"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Flanker</w:t>
      </w:r>
    </w:p>
    <w:p w14:paraId="1B2B8E74"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Imitation Based Assessment of Memory (IBAM)</w:t>
      </w:r>
    </w:p>
    <w:p w14:paraId="7104C6D0"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List Sorting</w:t>
      </w:r>
    </w:p>
    <w:p w14:paraId="5F4C0F20"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Oral Symbol Digit Modalities Test</w:t>
      </w:r>
    </w:p>
    <w:p w14:paraId="03ED1851"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Pattern Comparison</w:t>
      </w:r>
    </w:p>
    <w:p w14:paraId="39CA9F29"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Rey Auditory Verbal Learning Test (RAVLT)</w:t>
      </w:r>
    </w:p>
    <w:p w14:paraId="2D48C987"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Reading Recognition</w:t>
      </w:r>
    </w:p>
    <w:p w14:paraId="5C680D84"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Determining Handedness</w:t>
      </w:r>
    </w:p>
    <w:p w14:paraId="1EDB7A1D"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Vocabulary Comprehension</w:t>
      </w:r>
    </w:p>
    <w:p w14:paraId="64E8795C"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Spanish Word Accentuation Test</w:t>
      </w:r>
    </w:p>
    <w:p w14:paraId="45849B8F" w14:textId="77777777" w:rsidR="006411D9" w:rsidRDefault="006411D9" w:rsidP="006411D9">
      <w:pPr>
        <w:spacing w:after="80"/>
        <w:rPr>
          <w:i/>
        </w:rPr>
      </w:pPr>
      <w:r>
        <w:rPr>
          <w:i/>
        </w:rPr>
        <w:t>Emotion domain</w:t>
      </w:r>
    </w:p>
    <w:p w14:paraId="0B508E53"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Instructions for Emotional Health Questionnaire</w:t>
      </w:r>
    </w:p>
    <w:p w14:paraId="2C70C3AC"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Emotional Health Questionnaires for Toolbox</w:t>
      </w:r>
    </w:p>
    <w:p w14:paraId="7D0F55D4" w14:textId="77777777" w:rsidR="006411D9" w:rsidRDefault="007B1EBF"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 xml:space="preserve">Supplemental </w:t>
      </w:r>
      <w:r w:rsidR="006411D9">
        <w:rPr>
          <w:rFonts w:ascii="Times New Roman" w:hAnsi="Times New Roman"/>
          <w:sz w:val="24"/>
          <w:szCs w:val="24"/>
        </w:rPr>
        <w:t xml:space="preserve">Emotional Health Questionnaires </w:t>
      </w:r>
    </w:p>
    <w:p w14:paraId="505C96A2" w14:textId="77777777" w:rsidR="006411D9" w:rsidRDefault="006411D9" w:rsidP="006411D9">
      <w:pPr>
        <w:spacing w:after="80"/>
        <w:rPr>
          <w:i/>
        </w:rPr>
      </w:pPr>
      <w:r>
        <w:rPr>
          <w:i/>
        </w:rPr>
        <w:lastRenderedPageBreak/>
        <w:t>Motor functioning domain</w:t>
      </w:r>
    </w:p>
    <w:p w14:paraId="0B0B9EFE"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9 Hole Pegboard</w:t>
      </w:r>
    </w:p>
    <w:p w14:paraId="57DF3D74"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Endurance 2 Minute Walk Test (2MWT)</w:t>
      </w:r>
    </w:p>
    <w:p w14:paraId="2A457A69"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Locomotion 4 Meter Walk Test</w:t>
      </w:r>
    </w:p>
    <w:p w14:paraId="4675DDDE"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Grip Strength Dynamometry</w:t>
      </w:r>
    </w:p>
    <w:p w14:paraId="32CD71AE" w14:textId="77777777" w:rsidR="006411D9" w:rsidRDefault="00590A2E"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Strength</w:t>
      </w:r>
      <w:r w:rsidR="006411D9">
        <w:rPr>
          <w:rFonts w:ascii="Times New Roman" w:hAnsi="Times New Roman"/>
          <w:sz w:val="24"/>
          <w:szCs w:val="24"/>
        </w:rPr>
        <w:t xml:space="preserve"> Knee Extension</w:t>
      </w:r>
    </w:p>
    <w:p w14:paraId="0E8EE67F" w14:textId="77777777" w:rsidR="006411D9" w:rsidRPr="00E702B6" w:rsidRDefault="006411D9" w:rsidP="006411D9">
      <w:pPr>
        <w:pStyle w:val="ListParagraph"/>
        <w:numPr>
          <w:ilvl w:val="0"/>
          <w:numId w:val="10"/>
        </w:numPr>
        <w:ind w:left="936" w:hanging="576"/>
        <w:rPr>
          <w:rFonts w:ascii="Times New Roman" w:hAnsi="Times New Roman"/>
          <w:sz w:val="24"/>
          <w:szCs w:val="24"/>
        </w:rPr>
      </w:pPr>
      <w:r>
        <w:rPr>
          <w:rFonts w:ascii="Times New Roman" w:eastAsia="Calibri" w:hAnsi="Times New Roman" w:cs="Times New Roman"/>
          <w:sz w:val="24"/>
          <w:szCs w:val="24"/>
        </w:rPr>
        <w:t>Balance Accelerometer Measure (BAM)</w:t>
      </w:r>
    </w:p>
    <w:p w14:paraId="1B2D5827" w14:textId="77777777" w:rsidR="006411D9" w:rsidRPr="00E702B6" w:rsidRDefault="006411D9" w:rsidP="006411D9"/>
    <w:p w14:paraId="359B849E" w14:textId="77777777" w:rsidR="006411D9" w:rsidRDefault="006411D9" w:rsidP="006411D9">
      <w:pPr>
        <w:rPr>
          <w:b/>
        </w:rPr>
      </w:pPr>
      <w:r>
        <w:rPr>
          <w:b/>
        </w:rPr>
        <w:t>ADDITIONAL MEASURES</w:t>
      </w:r>
    </w:p>
    <w:p w14:paraId="2A3B80EF"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Initial Questionnaire</w:t>
      </w:r>
      <w:r w:rsidR="00590A2E">
        <w:rPr>
          <w:rFonts w:ascii="Times New Roman" w:hAnsi="Times New Roman"/>
          <w:sz w:val="24"/>
          <w:szCs w:val="24"/>
        </w:rPr>
        <w:t xml:space="preserve"> – ADULT</w:t>
      </w:r>
    </w:p>
    <w:p w14:paraId="47CE1B01" w14:textId="77777777" w:rsidR="00590A2E" w:rsidRDefault="00590A2E"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Initial Questionnaire – PROXY and CHILD</w:t>
      </w:r>
    </w:p>
    <w:p w14:paraId="48EEC875"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Additional Somatosensation Questions</w:t>
      </w:r>
    </w:p>
    <w:p w14:paraId="0B8D1B35"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Additional Audition Olfaction Taste Questions</w:t>
      </w:r>
    </w:p>
    <w:p w14:paraId="3F59668B"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Cognition Information Form</w:t>
      </w:r>
    </w:p>
    <w:p w14:paraId="63BFB55D"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Health Care Access and Utilization</w:t>
      </w:r>
    </w:p>
    <w:p w14:paraId="4C9DACF1"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Instrumental Activities of Daily Living (IADL) - Adults</w:t>
      </w:r>
    </w:p>
    <w:p w14:paraId="58007290" w14:textId="77777777" w:rsidR="006411D9" w:rsidRDefault="00597476"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Applied Cognition</w:t>
      </w:r>
      <w:r w:rsidR="006411D9">
        <w:rPr>
          <w:rFonts w:ascii="Times New Roman" w:hAnsi="Times New Roman"/>
          <w:sz w:val="24"/>
          <w:szCs w:val="24"/>
        </w:rPr>
        <w:t xml:space="preserve"> - Adult</w:t>
      </w:r>
    </w:p>
    <w:p w14:paraId="2437F66D"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Pediatric Perceived Cognitive Function (PCF) - Child</w:t>
      </w:r>
    </w:p>
    <w:p w14:paraId="11F56D98"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Pediatric Perceived Cognitive Function (PCF) - Proxy</w:t>
      </w:r>
    </w:p>
    <w:p w14:paraId="0F7A2A53"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PROMIS Pediatric Physical Function Upper Extremity</w:t>
      </w:r>
    </w:p>
    <w:p w14:paraId="5CB67E47"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PROMIS Pediatric Physical Function Mobility</w:t>
      </w:r>
    </w:p>
    <w:p w14:paraId="6017589C"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Pediatric Functional Assessment of Chronic Illness Therapy – Fatigue (FACIT-F)</w:t>
      </w:r>
    </w:p>
    <w:p w14:paraId="7AAF4B4F"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PROMIS 29 - Participant</w:t>
      </w:r>
    </w:p>
    <w:p w14:paraId="31E91275"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School Performance and Activities</w:t>
      </w:r>
    </w:p>
    <w:p w14:paraId="5575D69D" w14:textId="77777777" w:rsidR="006411D9" w:rsidRDefault="006411D9" w:rsidP="006411D9">
      <w:pPr>
        <w:pStyle w:val="ListParagraph"/>
        <w:numPr>
          <w:ilvl w:val="0"/>
          <w:numId w:val="10"/>
        </w:numPr>
        <w:ind w:left="936" w:hanging="576"/>
        <w:rPr>
          <w:rFonts w:ascii="Times New Roman" w:hAnsi="Times New Roman"/>
          <w:sz w:val="24"/>
          <w:szCs w:val="24"/>
        </w:rPr>
      </w:pPr>
      <w:proofErr w:type="spellStart"/>
      <w:r w:rsidRPr="00B73ED6">
        <w:rPr>
          <w:rFonts w:ascii="Times New Roman" w:hAnsi="Times New Roman"/>
          <w:sz w:val="24"/>
          <w:szCs w:val="24"/>
        </w:rPr>
        <w:t>Sociodemographic</w:t>
      </w:r>
      <w:proofErr w:type="spellEnd"/>
      <w:r w:rsidRPr="00B73ED6">
        <w:rPr>
          <w:rFonts w:ascii="Times New Roman" w:hAnsi="Times New Roman"/>
          <w:sz w:val="24"/>
          <w:szCs w:val="24"/>
        </w:rPr>
        <w:t xml:space="preserve"> Form – </w:t>
      </w:r>
      <w:r>
        <w:rPr>
          <w:rFonts w:ascii="Times New Roman" w:hAnsi="Times New Roman"/>
          <w:sz w:val="24"/>
          <w:szCs w:val="24"/>
        </w:rPr>
        <w:t xml:space="preserve">Parent </w:t>
      </w:r>
    </w:p>
    <w:p w14:paraId="24B72326" w14:textId="77777777" w:rsidR="006411D9" w:rsidRPr="00B73ED6" w:rsidRDefault="006411D9" w:rsidP="006411D9">
      <w:pPr>
        <w:pStyle w:val="ListParagraph"/>
        <w:numPr>
          <w:ilvl w:val="0"/>
          <w:numId w:val="10"/>
        </w:numPr>
        <w:ind w:left="936" w:hanging="576"/>
        <w:rPr>
          <w:rFonts w:ascii="Times New Roman" w:hAnsi="Times New Roman"/>
          <w:sz w:val="24"/>
          <w:szCs w:val="24"/>
        </w:rPr>
      </w:pPr>
      <w:r w:rsidRPr="00B73ED6">
        <w:rPr>
          <w:rFonts w:ascii="Times New Roman" w:hAnsi="Times New Roman"/>
          <w:sz w:val="24"/>
          <w:szCs w:val="24"/>
        </w:rPr>
        <w:t>Test Anxiety Scale (TAS)</w:t>
      </w:r>
    </w:p>
    <w:p w14:paraId="20CC21AD"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Falls Efficacy Scale - International (Short FES-I)</w:t>
      </w:r>
    </w:p>
    <w:p w14:paraId="5234BE84" w14:textId="77777777" w:rsidR="006411D9" w:rsidRDefault="006411D9" w:rsidP="006411D9">
      <w:pPr>
        <w:pStyle w:val="ListParagraph"/>
        <w:numPr>
          <w:ilvl w:val="0"/>
          <w:numId w:val="10"/>
        </w:numPr>
        <w:ind w:left="936" w:hanging="576"/>
        <w:rPr>
          <w:rFonts w:ascii="Times New Roman" w:hAnsi="Times New Roman"/>
          <w:sz w:val="24"/>
          <w:szCs w:val="24"/>
        </w:rPr>
      </w:pPr>
      <w:proofErr w:type="spellStart"/>
      <w:r w:rsidRPr="000426B8">
        <w:rPr>
          <w:rFonts w:ascii="Times New Roman" w:hAnsi="Times New Roman"/>
          <w:sz w:val="24"/>
          <w:szCs w:val="24"/>
        </w:rPr>
        <w:t>EtOH</w:t>
      </w:r>
      <w:proofErr w:type="spellEnd"/>
      <w:r w:rsidRPr="000426B8">
        <w:rPr>
          <w:rFonts w:ascii="Times New Roman" w:hAnsi="Times New Roman"/>
          <w:sz w:val="24"/>
          <w:szCs w:val="24"/>
        </w:rPr>
        <w:t xml:space="preserve"> Questionnaire </w:t>
      </w:r>
    </w:p>
    <w:p w14:paraId="4C7DB188"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Education Adult Self-Report</w:t>
      </w:r>
    </w:p>
    <w:p w14:paraId="0D10979C" w14:textId="77777777" w:rsidR="006411D9" w:rsidRPr="000426B8"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Education Proxy Report for Children</w:t>
      </w:r>
    </w:p>
    <w:p w14:paraId="5094F00C" w14:textId="77777777" w:rsidR="006411D9" w:rsidRDefault="006411D9" w:rsidP="006411D9">
      <w:pPr>
        <w:pStyle w:val="ListParagraph"/>
        <w:ind w:left="936"/>
        <w:rPr>
          <w:rFonts w:ascii="Times New Roman" w:hAnsi="Times New Roman"/>
          <w:sz w:val="24"/>
          <w:szCs w:val="24"/>
        </w:rPr>
      </w:pPr>
    </w:p>
    <w:p w14:paraId="7CC9D4EC" w14:textId="77777777" w:rsidR="006411D9" w:rsidRDefault="006411D9" w:rsidP="006411D9">
      <w:pPr>
        <w:pStyle w:val="ListParagraph"/>
        <w:ind w:left="936"/>
        <w:rPr>
          <w:rFonts w:ascii="Times New Roman" w:hAnsi="Times New Roman"/>
          <w:sz w:val="24"/>
          <w:szCs w:val="24"/>
        </w:rPr>
      </w:pPr>
    </w:p>
    <w:p w14:paraId="65FA5665" w14:textId="77777777" w:rsidR="006411D9" w:rsidRDefault="006411D9" w:rsidP="006411D9">
      <w:pPr>
        <w:pStyle w:val="ListParagraph"/>
        <w:ind w:left="936"/>
        <w:rPr>
          <w:rFonts w:ascii="Times New Roman" w:hAnsi="Times New Roman"/>
          <w:sz w:val="24"/>
          <w:szCs w:val="24"/>
        </w:rPr>
      </w:pPr>
    </w:p>
    <w:p w14:paraId="4FD159DA" w14:textId="77777777" w:rsidR="006411D9" w:rsidRDefault="006411D9" w:rsidP="006411D9">
      <w:pPr>
        <w:rPr>
          <w:b/>
        </w:rPr>
      </w:pPr>
      <w:r>
        <w:rPr>
          <w:b/>
        </w:rPr>
        <w:t xml:space="preserve">RECRUITMENT MATERIALS </w:t>
      </w:r>
    </w:p>
    <w:p w14:paraId="2D70CF05"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Recruitment Instructions, Scripts and Letters</w:t>
      </w:r>
    </w:p>
    <w:p w14:paraId="5BC2CFF3" w14:textId="77777777" w:rsidR="006411D9" w:rsidRDefault="006411D9" w:rsidP="006411D9">
      <w:pPr>
        <w:rPr>
          <w:b/>
        </w:rPr>
      </w:pPr>
      <w:r>
        <w:rPr>
          <w:b/>
        </w:rPr>
        <w:t xml:space="preserve">REGULATORY DOCUMENTS </w:t>
      </w:r>
    </w:p>
    <w:p w14:paraId="5BB09503"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Certificate of Confidentiality</w:t>
      </w:r>
    </w:p>
    <w:p w14:paraId="205177F9" w14:textId="77777777" w:rsidR="00597476" w:rsidRDefault="00597476"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Northwestern University IRB Approval Letter</w:t>
      </w:r>
    </w:p>
    <w:p w14:paraId="707443CD" w14:textId="77777777" w:rsidR="006411D9" w:rsidRDefault="00597476"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Consent Documents</w:t>
      </w:r>
      <w:r w:rsidR="006411D9">
        <w:rPr>
          <w:rFonts w:ascii="Times New Roman" w:hAnsi="Times New Roman"/>
          <w:sz w:val="24"/>
          <w:szCs w:val="24"/>
        </w:rPr>
        <w:t xml:space="preserve"> </w:t>
      </w:r>
    </w:p>
    <w:p w14:paraId="375A0017" w14:textId="77777777" w:rsidR="006411D9" w:rsidRDefault="006411D9" w:rsidP="006411D9">
      <w:pPr>
        <w:pStyle w:val="ListParagraph"/>
        <w:ind w:left="0"/>
        <w:rPr>
          <w:rFonts w:ascii="Times New Roman" w:hAnsi="Times New Roman"/>
          <w:b/>
          <w:sz w:val="24"/>
          <w:szCs w:val="24"/>
        </w:rPr>
      </w:pPr>
    </w:p>
    <w:p w14:paraId="12C24C7F" w14:textId="77777777" w:rsidR="006411D9" w:rsidRDefault="006411D9" w:rsidP="006411D9">
      <w:pPr>
        <w:pStyle w:val="ListParagraph"/>
        <w:ind w:left="0"/>
        <w:rPr>
          <w:rFonts w:ascii="Times New Roman" w:hAnsi="Times New Roman"/>
          <w:b/>
          <w:sz w:val="24"/>
          <w:szCs w:val="24"/>
        </w:rPr>
      </w:pPr>
      <w:r>
        <w:rPr>
          <w:rFonts w:ascii="Times New Roman" w:hAnsi="Times New Roman"/>
          <w:b/>
          <w:sz w:val="24"/>
          <w:szCs w:val="24"/>
        </w:rPr>
        <w:t>OTHER DOCUMENTS</w:t>
      </w:r>
    </w:p>
    <w:p w14:paraId="42FD6B52"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Team Member Contact List</w:t>
      </w:r>
    </w:p>
    <w:p w14:paraId="0F0AF1B3"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NIH Privacy Act Review Memo</w:t>
      </w:r>
    </w:p>
    <w:p w14:paraId="31E70964" w14:textId="77777777" w:rsidR="006411D9" w:rsidRDefault="006411D9" w:rsidP="006411D9">
      <w:pPr>
        <w:pStyle w:val="ListParagraph"/>
        <w:numPr>
          <w:ilvl w:val="0"/>
          <w:numId w:val="10"/>
        </w:numPr>
        <w:ind w:left="936" w:hanging="576"/>
        <w:rPr>
          <w:rFonts w:ascii="Times New Roman" w:hAnsi="Times New Roman"/>
          <w:sz w:val="24"/>
          <w:szCs w:val="24"/>
        </w:rPr>
      </w:pPr>
      <w:r>
        <w:rPr>
          <w:rFonts w:ascii="Times New Roman" w:hAnsi="Times New Roman"/>
          <w:sz w:val="24"/>
          <w:szCs w:val="24"/>
        </w:rPr>
        <w:t>NIH Privacy Act Systems of Record 09-25-0200</w:t>
      </w:r>
    </w:p>
    <w:p w14:paraId="075FFEFF" w14:textId="77777777" w:rsidR="006411D9" w:rsidRDefault="006411D9" w:rsidP="006411D9">
      <w:pPr>
        <w:pStyle w:val="P1-StandPara"/>
        <w:ind w:right="-216" w:firstLine="0"/>
        <w:jc w:val="center"/>
        <w:rPr>
          <w:caps/>
          <w:noProof/>
        </w:rPr>
      </w:pPr>
    </w:p>
    <w:p w14:paraId="08C642EC" w14:textId="77777777" w:rsidR="006411D9" w:rsidRDefault="006411D9" w:rsidP="006411D9"/>
    <w:p w14:paraId="390219BF" w14:textId="77777777" w:rsidR="00882596" w:rsidRDefault="00882596" w:rsidP="00882596">
      <w:pPr>
        <w:pStyle w:val="P1-StandPara"/>
        <w:ind w:right="-216" w:firstLine="0"/>
        <w:jc w:val="center"/>
        <w:rPr>
          <w:caps/>
          <w:noProof/>
        </w:rPr>
      </w:pPr>
    </w:p>
    <w:p w14:paraId="20A28F34" w14:textId="77777777" w:rsidR="00882596" w:rsidRDefault="00882596" w:rsidP="00882596"/>
    <w:p w14:paraId="175C7710" w14:textId="77777777" w:rsidR="003A7790" w:rsidRDefault="003A7790" w:rsidP="006A6B5E">
      <w:pPr>
        <w:pStyle w:val="P1-StandPara"/>
        <w:ind w:right="-216" w:firstLine="0"/>
        <w:jc w:val="center"/>
        <w:rPr>
          <w:caps/>
          <w:noProof/>
        </w:rPr>
      </w:pPr>
    </w:p>
    <w:p w14:paraId="51506AFE" w14:textId="77777777" w:rsidR="00E47E31" w:rsidRPr="00E47E31" w:rsidRDefault="00E47E31" w:rsidP="003A7790">
      <w:pPr>
        <w:pStyle w:val="ListParagraph"/>
        <w:ind w:left="936"/>
        <w:rPr>
          <w:rFonts w:ascii="Times New Roman" w:hAnsi="Times New Roman" w:cs="Times New Roman"/>
          <w:sz w:val="24"/>
          <w:szCs w:val="24"/>
        </w:rPr>
      </w:pPr>
    </w:p>
    <w:p w14:paraId="1525655F" w14:textId="77777777" w:rsidR="00D77AB4" w:rsidRPr="00CB349B" w:rsidRDefault="00D77AB4" w:rsidP="004347BB">
      <w:pPr>
        <w:pStyle w:val="Heading1"/>
        <w:rPr>
          <w:color w:val="FF0000"/>
        </w:rPr>
      </w:pPr>
      <w:r w:rsidRPr="00E47E31">
        <w:rPr>
          <w:rFonts w:cs="Times New Roman"/>
          <w:noProof/>
          <w:szCs w:val="24"/>
        </w:rPr>
        <w:br w:type="page"/>
      </w:r>
      <w:bookmarkStart w:id="1" w:name="_Toc248639033"/>
      <w:r w:rsidRPr="00CB349B">
        <w:lastRenderedPageBreak/>
        <w:t>A.</w:t>
      </w:r>
      <w:r w:rsidRPr="00CB349B">
        <w:rPr>
          <w:color w:val="FF0000"/>
        </w:rPr>
        <w:tab/>
      </w:r>
      <w:r w:rsidRPr="00CB349B">
        <w:rPr>
          <w:noProof/>
        </w:rPr>
        <w:t>Justification</w:t>
      </w:r>
      <w:bookmarkEnd w:id="1"/>
    </w:p>
    <w:p w14:paraId="56AEB1D8" w14:textId="77777777" w:rsidR="00D77AB4" w:rsidRPr="00CB349B" w:rsidRDefault="00D77AB4" w:rsidP="004347BB">
      <w:pPr>
        <w:pStyle w:val="Heading2"/>
      </w:pPr>
      <w:bookmarkStart w:id="2" w:name="_Toc248639034"/>
      <w:r>
        <w:t>A.1</w:t>
      </w:r>
      <w:r>
        <w:tab/>
      </w:r>
      <w:r w:rsidRPr="00CB349B">
        <w:t>Circumstances Making the Collection of Information Necessary</w:t>
      </w:r>
      <w:bookmarkEnd w:id="2"/>
    </w:p>
    <w:p w14:paraId="06E99E7D" w14:textId="77777777" w:rsidR="00D77AB4" w:rsidRDefault="00D77AB4" w:rsidP="004C576D">
      <w:pPr>
        <w:pStyle w:val="StyleLinespacingDouble"/>
      </w:pPr>
      <w:bookmarkStart w:id="3" w:name="_Toc443881743"/>
      <w:bookmarkStart w:id="4" w:name="_Toc451592232"/>
      <w:bookmarkStart w:id="5" w:name="_Toc5610273"/>
      <w:bookmarkStart w:id="6" w:name="_Toc99178779"/>
      <w:r w:rsidRPr="00CB349B">
        <w:t xml:space="preserve">Although there are many studies that collect information on aspects of neurological function and behavioral health (e.g., cognition, sensation, motor functioning, emotion), there is little uniformity among the measures used to assess these constructs.  When individual studies employ unique assessment batteries, comparisons between studies and combining data from multiple studies are quite challenging.  Thus, investigators have expressed the need for brief, standard assessment tools to be used across diverse study designs and populations.  For example, in 2005, a report (Hendrie et al., Alzheimer’s &amp; Dementia, vol. 2, 12-32, 2006) was submitted to the staff of the trans-NIH Cognitive and Emotional Health Project (CEHP) that suggested, among other ideas, </w:t>
      </w:r>
      <w:r>
        <w:t xml:space="preserve">the need for </w:t>
      </w:r>
      <w:r w:rsidRPr="00CB349B">
        <w:t>“standard questionnaires to measure cognitive and emotional health”</w:t>
      </w:r>
      <w:r>
        <w:t xml:space="preserve">. </w:t>
      </w:r>
    </w:p>
    <w:p w14:paraId="4B71CDEB" w14:textId="77777777" w:rsidR="00D77AB4" w:rsidRDefault="00D77AB4" w:rsidP="004C576D">
      <w:pPr>
        <w:pStyle w:val="StyleLinespacingDouble"/>
      </w:pPr>
      <w:r w:rsidRPr="00CB349B">
        <w:t xml:space="preserve">In response to these issues, the National Institutes of Health (NIH) Toolbox initiative seeks to assemble brief, comprehensive assessment tools </w:t>
      </w:r>
      <w:r w:rsidR="003F08FA">
        <w:t xml:space="preserve">to measure cognitive, emotional, sensory and motor function </w:t>
      </w:r>
      <w:r w:rsidRPr="00CB349B">
        <w:t xml:space="preserve">that will be useful to clinicians and researchers in a variety of settings, with a particular emphasis on measuring outcomes in </w:t>
      </w:r>
      <w:r w:rsidR="003F08FA">
        <w:t xml:space="preserve">large </w:t>
      </w:r>
      <w:r w:rsidRPr="00CB349B">
        <w:t xml:space="preserve">longitudinal </w:t>
      </w:r>
      <w:r w:rsidR="003F08FA">
        <w:t xml:space="preserve">or </w:t>
      </w:r>
      <w:r w:rsidRPr="00CB349B">
        <w:t>epidemiologic studies and prevention or intervention trials across the lifespan. Such</w:t>
      </w:r>
      <w:r w:rsidR="000B4E93">
        <w:t xml:space="preserve"> comprehensive</w:t>
      </w:r>
      <w:r w:rsidRPr="00CB349B">
        <w:t xml:space="preserve"> measures are rarely included in studies of this type, due in part to the lack of brief, well-validated instruments. </w:t>
      </w:r>
      <w:r w:rsidR="000B4E93">
        <w:t>Furthermore, the heterogeneity of measures used in studies to assess a particular domain is great and hinders the ability to compare data readily across studies.  Thus, t</w:t>
      </w:r>
      <w:r w:rsidRPr="00CB349B">
        <w:t xml:space="preserve">he Toolbox will provide a valuable </w:t>
      </w:r>
      <w:r w:rsidR="000B4E93">
        <w:t xml:space="preserve">and much needed </w:t>
      </w:r>
      <w:r w:rsidRPr="00CB349B">
        <w:t>resource across NIH and for the scientific community, by ensuring that assessment methods will be capable of comparison with existing and completed studies</w:t>
      </w:r>
      <w:r w:rsidR="000B4E93">
        <w:t>, will be valid for use in diverse populations (e.g., age, gender, racial/ethnic), and will maximize the yield from large and expensive research projects</w:t>
      </w:r>
      <w:r w:rsidRPr="00CB349B">
        <w:t xml:space="preserve">. Advances in psychometric research </w:t>
      </w:r>
      <w:r w:rsidRPr="00CB349B">
        <w:lastRenderedPageBreak/>
        <w:t xml:space="preserve">methodology, including </w:t>
      </w:r>
      <w:r w:rsidR="000B4E93">
        <w:t xml:space="preserve">for example, </w:t>
      </w:r>
      <w:r w:rsidRPr="00CB349B">
        <w:t xml:space="preserve">computerized adaptive testing and </w:t>
      </w:r>
      <w:r w:rsidR="000B4E93">
        <w:t xml:space="preserve">where possible, </w:t>
      </w:r>
      <w:r w:rsidRPr="00CB349B">
        <w:t xml:space="preserve">virtual reality, combined with traditional performance-based tools, should lead to the efficient, flexible and responsive assessments.  Specifically, the Toolbox will assess domains of Cognition (such as learning, memory, executive function, language/lexical retrieval, attention, speed of processing); Emotion (mood, adaptability, interpersonal relations, self- regulation); Motor Functioning (locomotion, non-vestibular balance, dexterity, strength); and Sensation (vision, hearing, vestibular balance, smell, taste, touch). </w:t>
      </w:r>
    </w:p>
    <w:p w14:paraId="67F58629" w14:textId="77777777" w:rsidR="00BE4E48" w:rsidRDefault="00E0392A" w:rsidP="004C576D">
      <w:pPr>
        <w:pStyle w:val="StyleLinespacingDouble"/>
      </w:pPr>
      <w:r>
        <w:t xml:space="preserve">The NIH </w:t>
      </w:r>
      <w:r w:rsidR="00F86D04">
        <w:t xml:space="preserve">Toolbox assessments were selected through a multiphase process.  During the first phase, input from subject and methodology experts, potential </w:t>
      </w:r>
      <w:r>
        <w:t>end users</w:t>
      </w:r>
      <w:r w:rsidR="00F86D04">
        <w:t xml:space="preserve"> and other s</w:t>
      </w:r>
      <w:r w:rsidR="00BE4E48">
        <w:t>takeholders</w:t>
      </w:r>
      <w:r w:rsidR="00F86D04">
        <w:t xml:space="preserve"> was actively solicited through Requests for Information (RFI), individual interviews and several consensus meetings and used to determine the domains (areas) to target for assessment as well as criteria (e.g., </w:t>
      </w:r>
      <w:r w:rsidR="0019124A">
        <w:t xml:space="preserve">sound psychometric properties, </w:t>
      </w:r>
      <w:r w:rsidR="00F86D04">
        <w:t>cost, length) each instrument should meet</w:t>
      </w:r>
      <w:r w:rsidR="0019124A">
        <w:t xml:space="preserve">. </w:t>
      </w:r>
      <w:r w:rsidR="00F86D04">
        <w:t xml:space="preserve">Existing instruments were then reviewed and any that met criteria either as is or with some modification (e.g., additional development to extend the age range of the measure) were retained for potential </w:t>
      </w:r>
      <w:r>
        <w:t xml:space="preserve">NIH </w:t>
      </w:r>
      <w:r w:rsidR="00F86D04">
        <w:t>Toolbox inclusion. For domains where no existing instrument met criteria, new measures</w:t>
      </w:r>
      <w:r w:rsidR="0019124A">
        <w:t xml:space="preserve"> were developed.  Both new and modified instruments were piloted to evaluate psychometric properties and ability to meet other criteria.  </w:t>
      </w:r>
      <w:r w:rsidR="00F86D04">
        <w:t xml:space="preserve"> </w:t>
      </w:r>
      <w:r w:rsidR="0019124A">
        <w:t xml:space="preserve">Measures that did not meet criteria, or did not perform as well as a competing alternative, were dropped from the </w:t>
      </w:r>
      <w:r>
        <w:t xml:space="preserve">NIH </w:t>
      </w:r>
      <w:r w:rsidR="0019124A">
        <w:t xml:space="preserve">Toolbox. </w:t>
      </w:r>
    </w:p>
    <w:p w14:paraId="5128D246" w14:textId="77777777" w:rsidR="000B4E93" w:rsidRDefault="00BD50CF" w:rsidP="004C576D">
      <w:pPr>
        <w:pStyle w:val="StyleLinespacingDouble"/>
      </w:pPr>
      <w:r w:rsidRPr="00BD50CF">
        <w:t>As the premier agency for conducting and supporting biomedical research in the United States, the NIH</w:t>
      </w:r>
      <w:r w:rsidR="003A7790">
        <w:t xml:space="preserve">’s </w:t>
      </w:r>
      <w:r w:rsidRPr="00BD50CF">
        <w:t xml:space="preserve">mission is to pursue knowledge about the nature and behavior of humans and the application of that knowledge to extend healthy life and reduce burdens of illness and disability.  Within the agency, a trans-NIH scientific collaborative effort termed the NIH Blueprint for Neuroscience Research supports the development of new tools and other resources to assist </w:t>
      </w:r>
      <w:r w:rsidRPr="00BD50CF">
        <w:lastRenderedPageBreak/>
        <w:t xml:space="preserve">neuroscience research and provide a framework for planning and implementing the NIH’s neuroscience research efforts. The development of the NIH Toolbox addresses goals of both the NIH Blueprint and the larger NIH organization by providing a research tool to assess health, behavior and neurological function objectively across the lifespan that will accelerate and deepen the knowledge gained for attainment of health and prevention of disease.  Section 410 of the Public Health Service Act (42 USC </w:t>
      </w:r>
      <w:r w:rsidRPr="00BD50CF">
        <w:rPr>
          <w:i/>
          <w:iCs/>
        </w:rPr>
        <w:t xml:space="preserve">§ </w:t>
      </w:r>
      <w:r w:rsidRPr="00BD50CF">
        <w:t>285) authorizes the collection of information for the NIH Toolbox for Assessment of Behavioral and Neurological Function.</w:t>
      </w:r>
    </w:p>
    <w:p w14:paraId="2617992E" w14:textId="77777777" w:rsidR="00D77AB4" w:rsidRPr="00CB349B" w:rsidRDefault="00D77AB4" w:rsidP="004C576D">
      <w:pPr>
        <w:pStyle w:val="StyleLinespacingDouble"/>
      </w:pPr>
      <w:r w:rsidRPr="00CB349B">
        <w:t xml:space="preserve">In this document we provide supporting information for approval by the Office of Management and Budget (OMB) for data collection under the Paperwork Reduction Act.  </w:t>
      </w:r>
    </w:p>
    <w:p w14:paraId="725C33B4" w14:textId="77777777" w:rsidR="00D77AB4" w:rsidRPr="00CB349B" w:rsidRDefault="00D77AB4" w:rsidP="004C576D">
      <w:pPr>
        <w:pStyle w:val="StyleLinespacingDouble"/>
      </w:pPr>
      <w:r w:rsidRPr="00CB349B">
        <w:t>The primary method</w:t>
      </w:r>
      <w:r w:rsidR="003A25B2">
        <w:t>s</w:t>
      </w:r>
      <w:r w:rsidRPr="00CB349B">
        <w:t xml:space="preserve"> for data collection will be self</w:t>
      </w:r>
      <w:r w:rsidR="003A25B2">
        <w:t xml:space="preserve">- or technician </w:t>
      </w:r>
      <w:r w:rsidRPr="00CB349B">
        <w:t>administ</w:t>
      </w:r>
      <w:r w:rsidR="003A25B2">
        <w:t>ration</w:t>
      </w:r>
      <w:r w:rsidRPr="00CB349B">
        <w:t xml:space="preserve"> via computer</w:t>
      </w:r>
      <w:r w:rsidR="003842C7">
        <w:t xml:space="preserve"> </w:t>
      </w:r>
      <w:r w:rsidR="003A25B2">
        <w:t>e.g.</w:t>
      </w:r>
      <w:r w:rsidRPr="00CB349B">
        <w:t>., computer-assisted self</w:t>
      </w:r>
      <w:r w:rsidR="002F7BE3">
        <w:t>-</w:t>
      </w:r>
      <w:r w:rsidRPr="00CB349B">
        <w:t>interviewing - CASI).</w:t>
      </w:r>
    </w:p>
    <w:p w14:paraId="563870DB" w14:textId="77777777" w:rsidR="00D77AB4" w:rsidRPr="004347BB" w:rsidRDefault="00D77AB4" w:rsidP="004347BB">
      <w:pPr>
        <w:pStyle w:val="Heading2"/>
      </w:pPr>
      <w:bookmarkStart w:id="7" w:name="_Toc248639035"/>
      <w:r w:rsidRPr="004347BB">
        <w:t>A.2</w:t>
      </w:r>
      <w:r>
        <w:tab/>
      </w:r>
      <w:r w:rsidRPr="004347BB">
        <w:t>Purpose and Use of the Information</w:t>
      </w:r>
      <w:bookmarkEnd w:id="3"/>
      <w:bookmarkEnd w:id="4"/>
      <w:bookmarkEnd w:id="5"/>
      <w:bookmarkEnd w:id="6"/>
      <w:r w:rsidRPr="004347BB">
        <w:t xml:space="preserve"> Collection</w:t>
      </w:r>
      <w:bookmarkEnd w:id="7"/>
    </w:p>
    <w:p w14:paraId="4E4E7420" w14:textId="77777777" w:rsidR="00D77AB4" w:rsidRPr="008744AD" w:rsidRDefault="00D77AB4" w:rsidP="00052D6D">
      <w:pPr>
        <w:pStyle w:val="StyleLinespacingDouble"/>
        <w:rPr>
          <w:szCs w:val="24"/>
        </w:rPr>
      </w:pPr>
      <w:bookmarkStart w:id="8" w:name="_Toc443881744"/>
      <w:bookmarkStart w:id="9" w:name="_Toc451592233"/>
      <w:bookmarkStart w:id="10" w:name="_Toc5610274"/>
      <w:bookmarkStart w:id="11" w:name="_Toc99178780"/>
      <w:r w:rsidRPr="008744AD">
        <w:rPr>
          <w:rStyle w:val="A6"/>
          <w:sz w:val="24"/>
          <w:szCs w:val="24"/>
        </w:rPr>
        <w:t>The proposed collection of data and the development of the Toolbox will assist NIH in reaching several of their goals.  The NIH Blueprint</w:t>
      </w:r>
      <w:r w:rsidR="00B87B27">
        <w:rPr>
          <w:rStyle w:val="A6"/>
          <w:sz w:val="24"/>
          <w:szCs w:val="24"/>
        </w:rPr>
        <w:t xml:space="preserve"> for Neuroscience Research</w:t>
      </w:r>
      <w:r w:rsidRPr="008744AD">
        <w:rPr>
          <w:rStyle w:val="A6"/>
          <w:sz w:val="24"/>
          <w:szCs w:val="24"/>
        </w:rPr>
        <w:t xml:space="preserve">, a coalition of </w:t>
      </w:r>
      <w:r w:rsidR="00B87B27">
        <w:rPr>
          <w:rStyle w:val="A6"/>
          <w:sz w:val="24"/>
          <w:szCs w:val="24"/>
        </w:rPr>
        <w:t xml:space="preserve">sixteen </w:t>
      </w:r>
      <w:r w:rsidRPr="008744AD">
        <w:rPr>
          <w:rStyle w:val="A6"/>
          <w:sz w:val="24"/>
          <w:szCs w:val="24"/>
        </w:rPr>
        <w:t>Institutes</w:t>
      </w:r>
      <w:r w:rsidR="00B87B27">
        <w:rPr>
          <w:rStyle w:val="A6"/>
          <w:sz w:val="24"/>
          <w:szCs w:val="24"/>
        </w:rPr>
        <w:t xml:space="preserve">, </w:t>
      </w:r>
      <w:r w:rsidRPr="008744AD">
        <w:rPr>
          <w:rStyle w:val="A6"/>
          <w:sz w:val="24"/>
          <w:szCs w:val="24"/>
        </w:rPr>
        <w:t xml:space="preserve">Centers </w:t>
      </w:r>
      <w:r w:rsidR="00B87B27">
        <w:rPr>
          <w:rStyle w:val="A6"/>
          <w:sz w:val="24"/>
          <w:szCs w:val="24"/>
        </w:rPr>
        <w:t xml:space="preserve">and Offices </w:t>
      </w:r>
      <w:r w:rsidRPr="008744AD">
        <w:rPr>
          <w:rStyle w:val="A6"/>
          <w:sz w:val="24"/>
          <w:szCs w:val="24"/>
        </w:rPr>
        <w:t xml:space="preserve">that support neuroscience research, aims to </w:t>
      </w:r>
      <w:r w:rsidRPr="008744AD">
        <w:rPr>
          <w:szCs w:val="24"/>
        </w:rPr>
        <w:t>develop new tools, resources, and training opportunities to accelerate the pace of discovery in neuroscience research.  Similarly, the NIA outlines an area of scientific priority related to the “development of tools to facilitate research on the basic biology of aging.” As such, the Toolbox supports NIH’s affirmation that longitudinal research spanning pediatric to geriatric populations and assessing normative functioning of multiple domains of neurological and behavioral health are required to understand developmental processes in illness etiology.  M</w:t>
      </w:r>
      <w:r w:rsidRPr="008744AD">
        <w:rPr>
          <w:rStyle w:val="A6"/>
          <w:sz w:val="24"/>
          <w:szCs w:val="24"/>
        </w:rPr>
        <w:t xml:space="preserve">easures such as those developed as part of the Toolbox are rarely included in </w:t>
      </w:r>
      <w:r w:rsidRPr="008744AD">
        <w:rPr>
          <w:szCs w:val="24"/>
        </w:rPr>
        <w:t xml:space="preserve">large epidemiological studies where functioning is </w:t>
      </w:r>
      <w:r w:rsidRPr="008744AD">
        <w:rPr>
          <w:szCs w:val="24"/>
        </w:rPr>
        <w:lastRenderedPageBreak/>
        <w:t>monitored over time</w:t>
      </w:r>
      <w:r w:rsidRPr="008744AD">
        <w:rPr>
          <w:rStyle w:val="A6"/>
          <w:sz w:val="24"/>
          <w:szCs w:val="24"/>
        </w:rPr>
        <w:t xml:space="preserve">, due in no small part to the lack of instruments that are well-validated and have a short administration time.  While there are many assessments in these domains, they are expensive, </w:t>
      </w:r>
      <w:r w:rsidRPr="008744AD">
        <w:rPr>
          <w:rStyle w:val="A3"/>
          <w:szCs w:val="24"/>
        </w:rPr>
        <w:t xml:space="preserve">normed on homogeneous non-diverse populations, and do not readily produce data that can be compared across studies.  </w:t>
      </w:r>
    </w:p>
    <w:p w14:paraId="32C9BF0D" w14:textId="77777777" w:rsidR="00D77AB4" w:rsidRPr="008744AD" w:rsidRDefault="00D77AB4" w:rsidP="00052D6D">
      <w:pPr>
        <w:pStyle w:val="StyleLinespacingDouble"/>
        <w:rPr>
          <w:szCs w:val="24"/>
        </w:rPr>
      </w:pPr>
      <w:r w:rsidRPr="008744AD">
        <w:rPr>
          <w:szCs w:val="24"/>
        </w:rPr>
        <w:t>Upon completion, the Toolbox will provide investigators,</w:t>
      </w:r>
      <w:r w:rsidRPr="008744AD">
        <w:rPr>
          <w:rStyle w:val="A2"/>
          <w:szCs w:val="24"/>
        </w:rPr>
        <w:t xml:space="preserve"> including both pediatric and aging specialists across our four primary domains, </w:t>
      </w:r>
      <w:r w:rsidRPr="008744AD">
        <w:rPr>
          <w:szCs w:val="24"/>
        </w:rPr>
        <w:t xml:space="preserve">an innovative approach to measurement that will be responsive to research needs in a variety of settings, with a particular emphasis on measuring outcomes in large cohort studies such as epidemiological, large longitudinal, and prevention or intervention trials.  The Toolbox would greatly facilitate cross-study comparisons involving a wide variety of nonclinical and clinical populations. Results can be readily combined or compared (e.g., in meta-analyses) to more quickly and confidently answer questions about functioning of various normal and abnormal groups, and its change over time due to aging, disease onset or progression, and interventions. </w:t>
      </w:r>
      <w:r w:rsidRPr="008744AD">
        <w:rPr>
          <w:rStyle w:val="A6"/>
          <w:sz w:val="24"/>
          <w:szCs w:val="24"/>
        </w:rPr>
        <w:t xml:space="preserve">Thus, the Toolbox would provide a truly “economic” and valuable resource for the entire neuroscience </w:t>
      </w:r>
      <w:r w:rsidR="00B87B27">
        <w:rPr>
          <w:rStyle w:val="A6"/>
          <w:sz w:val="24"/>
          <w:szCs w:val="24"/>
        </w:rPr>
        <w:t xml:space="preserve">and behavioral research </w:t>
      </w:r>
      <w:r w:rsidRPr="008744AD">
        <w:rPr>
          <w:rStyle w:val="A6"/>
          <w:sz w:val="24"/>
          <w:szCs w:val="24"/>
        </w:rPr>
        <w:t xml:space="preserve">community with a minimal increment in subject burden and cost. </w:t>
      </w:r>
      <w:r w:rsidRPr="008744AD">
        <w:rPr>
          <w:szCs w:val="24"/>
        </w:rPr>
        <w:t>Furthermore, because Toolbox measures are expected to be easy to obtain and use in research, they will likely promote more rapid and complete accumulation of knowledge regarding differences in functioning associated with various normal and abnormal conditions.</w:t>
      </w:r>
    </w:p>
    <w:p w14:paraId="00B31DE2" w14:textId="77777777" w:rsidR="00D77AB4" w:rsidRPr="008744AD" w:rsidRDefault="00D77AB4" w:rsidP="00052D6D">
      <w:pPr>
        <w:pStyle w:val="StyleLinespacingDouble"/>
        <w:rPr>
          <w:szCs w:val="24"/>
        </w:rPr>
      </w:pPr>
      <w:r w:rsidRPr="008744AD">
        <w:rPr>
          <w:szCs w:val="24"/>
        </w:rPr>
        <w:t xml:space="preserve">In order for the Toolbox battery to be considered viable and attractive for use in future research, the measures will have undergone different phases of development, including pretesting/pilot testing, validation and calibration, and the current phase of field testing.  This phase (also called “norming”) will involve the collection of data in large samples for establishing the psychometric properties and comparative norms for the measures.  Collecting </w:t>
      </w:r>
      <w:r w:rsidR="009C4240" w:rsidRPr="00FC07E1">
        <w:rPr>
          <w:szCs w:val="24"/>
        </w:rPr>
        <w:t>nationally representative</w:t>
      </w:r>
      <w:r w:rsidRPr="008744AD">
        <w:rPr>
          <w:szCs w:val="24"/>
        </w:rPr>
        <w:t xml:space="preserve"> norms </w:t>
      </w:r>
      <w:r w:rsidRPr="008744AD">
        <w:rPr>
          <w:szCs w:val="24"/>
        </w:rPr>
        <w:lastRenderedPageBreak/>
        <w:t>will be very important across age, race/ethnicity and geographic diversity, given that</w:t>
      </w:r>
      <w:r w:rsidR="009C1C62">
        <w:rPr>
          <w:szCs w:val="24"/>
        </w:rPr>
        <w:t xml:space="preserve"> the </w:t>
      </w:r>
      <w:r w:rsidRPr="008744AD">
        <w:rPr>
          <w:szCs w:val="24"/>
        </w:rPr>
        <w:t>NIH requires this level of diversity in preventive intervention trials, drug trials, and large scale epidemiological efforts.  The targeted population will be non-institutionalized U.S. residents, aged 3-85</w:t>
      </w:r>
      <w:r w:rsidR="00B87B27">
        <w:rPr>
          <w:szCs w:val="24"/>
        </w:rPr>
        <w:t xml:space="preserve"> years</w:t>
      </w:r>
      <w:r w:rsidRPr="008744AD">
        <w:rPr>
          <w:szCs w:val="24"/>
        </w:rPr>
        <w:t xml:space="preserve">, with </w:t>
      </w:r>
      <w:r w:rsidR="00935A82">
        <w:rPr>
          <w:szCs w:val="24"/>
        </w:rPr>
        <w:t xml:space="preserve">the sample consisting of approximately </w:t>
      </w:r>
      <w:r w:rsidR="007E7970">
        <w:rPr>
          <w:szCs w:val="24"/>
        </w:rPr>
        <w:t>70% English-speaking and 3</w:t>
      </w:r>
      <w:r w:rsidR="009C4240" w:rsidRPr="00FC07E1">
        <w:rPr>
          <w:szCs w:val="24"/>
        </w:rPr>
        <w:t>0% Spanish-speaking</w:t>
      </w:r>
      <w:r w:rsidR="00935A82">
        <w:rPr>
          <w:szCs w:val="24"/>
        </w:rPr>
        <w:t xml:space="preserve"> residents</w:t>
      </w:r>
      <w:r w:rsidRPr="008744AD">
        <w:rPr>
          <w:szCs w:val="24"/>
        </w:rPr>
        <w:t xml:space="preserve">. Measures will be administered related to cognitive, emotional, motor and sensory domains.  An initial questionnaire will also be administered that contains questions related to </w:t>
      </w:r>
      <w:proofErr w:type="spellStart"/>
      <w:r w:rsidRPr="008744AD">
        <w:rPr>
          <w:szCs w:val="24"/>
        </w:rPr>
        <w:t>sociodemographic</w:t>
      </w:r>
      <w:proofErr w:type="spellEnd"/>
      <w:r w:rsidR="00935A82">
        <w:rPr>
          <w:szCs w:val="24"/>
        </w:rPr>
        <w:t xml:space="preserve"> characteristics</w:t>
      </w:r>
      <w:r w:rsidRPr="008744AD">
        <w:rPr>
          <w:szCs w:val="24"/>
        </w:rPr>
        <w:t xml:space="preserve">, eligibility, </w:t>
      </w:r>
      <w:proofErr w:type="gramStart"/>
      <w:r w:rsidRPr="008744AD">
        <w:rPr>
          <w:szCs w:val="24"/>
        </w:rPr>
        <w:t>medical</w:t>
      </w:r>
      <w:proofErr w:type="gramEnd"/>
      <w:r w:rsidRPr="008744AD">
        <w:rPr>
          <w:szCs w:val="24"/>
        </w:rPr>
        <w:t xml:space="preserve"> history and health behaviors.  </w:t>
      </w:r>
    </w:p>
    <w:p w14:paraId="728E1781" w14:textId="77777777" w:rsidR="00D77AB4" w:rsidRDefault="00D77AB4" w:rsidP="00052D6D">
      <w:pPr>
        <w:pStyle w:val="StyleLinespacingDouble"/>
        <w:rPr>
          <w:szCs w:val="24"/>
        </w:rPr>
      </w:pPr>
      <w:r w:rsidRPr="008744AD">
        <w:rPr>
          <w:szCs w:val="24"/>
        </w:rPr>
        <w:t xml:space="preserve">The normative data will be evaluated to produce mean scores and medians, the impact of missing data, and responsiveness to change.  Results from the field testing phase will inform the development of the final Toolbox, including an evaluation of the instruments’ psychometric properties; development of scoring program and summary scores; development of user’s manual; and development of a training program.  </w:t>
      </w:r>
    </w:p>
    <w:p w14:paraId="502896BE" w14:textId="77777777" w:rsidR="00B87B27" w:rsidRPr="00B87B27" w:rsidRDefault="00B87B27" w:rsidP="002F68CC">
      <w:pPr>
        <w:pStyle w:val="StyleLinespacingDouble"/>
      </w:pPr>
      <w:r w:rsidRPr="00B87B27">
        <w:t xml:space="preserve">The information from the proposed data collection will be used by the NIH (through a contract with </w:t>
      </w:r>
      <w:proofErr w:type="spellStart"/>
      <w:r w:rsidRPr="00B87B27">
        <w:t>NorthShore</w:t>
      </w:r>
      <w:proofErr w:type="spellEnd"/>
      <w:r w:rsidRPr="00B87B27">
        <w:t xml:space="preserve"> University </w:t>
      </w:r>
      <w:proofErr w:type="spellStart"/>
      <w:r w:rsidRPr="00B87B27">
        <w:t>HealthSystem</w:t>
      </w:r>
      <w:proofErr w:type="spellEnd"/>
      <w:r w:rsidR="008D5287">
        <w:t xml:space="preserve"> Research Institute</w:t>
      </w:r>
      <w:r w:rsidRPr="00B87B27">
        <w:t xml:space="preserve">) to develop, structure, and refine the required measurement instrument for assessment of cognitive, sensory, motor and emotional function.  The proposed data collection will support psychometric testing of the assessments and testing and refinement of the Spanish version of the assessments.  The Toolbox will provide a much-needed, brief, standardized set of psychometrically-sound assessments with age, gender and ethnicity norms. The measurements as designed will be particularly important for tracking change over time in neurological and behavioral health variables in large longitudinal studies and in prevention or intervention trials.  The resultant Toolbox will be used </w:t>
      </w:r>
      <w:r w:rsidR="00464028">
        <w:t xml:space="preserve">to </w:t>
      </w:r>
      <w:r w:rsidRPr="00B87B27">
        <w:t xml:space="preserve">facilitate and enhance the breadth of neurological and behavioral data collection for large cohort studies, thus leveraging these very expensive studies to obtain a greater yield of information for NIH </w:t>
      </w:r>
      <w:r w:rsidRPr="00B87B27">
        <w:lastRenderedPageBreak/>
        <w:t xml:space="preserve">biomedical research efforts.  The Toolbox will provide a form of ‘common currency’ across various study designs and populations and will allow comparison between studies and combination of data from multiple studies, again enhancing the NIH research enterprise by increasing the value of clinical datasets and advancing research discoveries more expeditiously. </w:t>
      </w:r>
    </w:p>
    <w:p w14:paraId="402BC52D" w14:textId="77777777" w:rsidR="00D77AB4" w:rsidRPr="004347BB" w:rsidRDefault="00D77AB4" w:rsidP="002F68CC">
      <w:pPr>
        <w:pStyle w:val="Heading2"/>
        <w:spacing w:before="0" w:after="240" w:line="480" w:lineRule="auto"/>
      </w:pPr>
      <w:bookmarkStart w:id="12" w:name="_Toc248639036"/>
      <w:r>
        <w:t>A.3</w:t>
      </w:r>
      <w:r>
        <w:tab/>
      </w:r>
      <w:r w:rsidRPr="004347BB">
        <w:t>Use of Information Technology and Burden Reduction</w:t>
      </w:r>
      <w:bookmarkEnd w:id="8"/>
      <w:bookmarkEnd w:id="9"/>
      <w:bookmarkEnd w:id="10"/>
      <w:bookmarkEnd w:id="11"/>
      <w:bookmarkEnd w:id="12"/>
    </w:p>
    <w:p w14:paraId="6A381421" w14:textId="77777777" w:rsidR="00382805" w:rsidRDefault="00CF7A44" w:rsidP="002F68CC">
      <w:pPr>
        <w:pStyle w:val="Heading2"/>
        <w:spacing w:before="0" w:after="240" w:line="480" w:lineRule="auto"/>
        <w:ind w:left="0" w:firstLine="0"/>
        <w:jc w:val="both"/>
        <w:rPr>
          <w:b w:val="0"/>
        </w:rPr>
      </w:pPr>
      <w:bookmarkStart w:id="13" w:name="_Toc443881745"/>
      <w:bookmarkStart w:id="14" w:name="_Toc451592234"/>
      <w:bookmarkStart w:id="15" w:name="_Toc5610275"/>
      <w:bookmarkStart w:id="16" w:name="_Toc99178781"/>
      <w:bookmarkStart w:id="17" w:name="_Toc248639037"/>
      <w:r>
        <w:rPr>
          <w:b w:val="0"/>
        </w:rPr>
        <w:t>Most of</w:t>
      </w:r>
      <w:r w:rsidRPr="00382805">
        <w:rPr>
          <w:b w:val="0"/>
        </w:rPr>
        <w:t xml:space="preserve"> </w:t>
      </w:r>
      <w:r w:rsidR="00EA7D7E">
        <w:rPr>
          <w:b w:val="0"/>
        </w:rPr>
        <w:t xml:space="preserve">the </w:t>
      </w:r>
      <w:r w:rsidR="00382805" w:rsidRPr="00382805">
        <w:rPr>
          <w:b w:val="0"/>
        </w:rPr>
        <w:t>information that is collected directly from participants will be computer based. Individuals selected into the sample will complete screening interviews over the telephone</w:t>
      </w:r>
      <w:r>
        <w:rPr>
          <w:b w:val="0"/>
        </w:rPr>
        <w:t xml:space="preserve"> and complete an initial socio-demographic questionnaire at home, prior to their visit to the testing site</w:t>
      </w:r>
      <w:proofErr w:type="gramStart"/>
      <w:r>
        <w:rPr>
          <w:b w:val="0"/>
        </w:rPr>
        <w:t>.</w:t>
      </w:r>
      <w:r w:rsidR="003842C7">
        <w:rPr>
          <w:b w:val="0"/>
        </w:rPr>
        <w:t>.</w:t>
      </w:r>
      <w:proofErr w:type="gramEnd"/>
      <w:r w:rsidR="00382805" w:rsidRPr="00382805">
        <w:rPr>
          <w:b w:val="0"/>
        </w:rPr>
        <w:t xml:space="preserve"> During the actual testing sessions, all of the NIH Toolbox measures will be administered via an integrated administration system created by the Toolbox Technology Team.  All data collection will occur during one appointment for most participants. At the discretion of the test administrators, and with agreement from participants and their guardians, data collection may be divided into two appointments for small children. By eliminating the use of paper forms</w:t>
      </w:r>
      <w:r>
        <w:rPr>
          <w:b w:val="0"/>
        </w:rPr>
        <w:t xml:space="preserve"> at testing centers</w:t>
      </w:r>
      <w:r w:rsidR="00382805" w:rsidRPr="00382805">
        <w:rPr>
          <w:b w:val="0"/>
        </w:rPr>
        <w:t xml:space="preserve">, respondent burden is reduced, and data collection is more efficient (e.g., data on forms will not need to be re-entered).   The NIA Privacy Impact Assessment officer </w:t>
      </w:r>
      <w:r w:rsidR="00784815">
        <w:rPr>
          <w:b w:val="0"/>
        </w:rPr>
        <w:t>has completed</w:t>
      </w:r>
      <w:r w:rsidR="00382805" w:rsidRPr="00382805">
        <w:rPr>
          <w:b w:val="0"/>
        </w:rPr>
        <w:t xml:space="preserve"> the Privacy Impact Assessment (PIA).</w:t>
      </w:r>
    </w:p>
    <w:p w14:paraId="04692C74" w14:textId="77777777" w:rsidR="00D77AB4" w:rsidRDefault="00D77AB4" w:rsidP="002F68CC">
      <w:pPr>
        <w:pStyle w:val="Heading2"/>
        <w:spacing w:before="0" w:after="240" w:line="480" w:lineRule="auto"/>
      </w:pPr>
      <w:r w:rsidRPr="004347BB">
        <w:t>A.4</w:t>
      </w:r>
      <w:r w:rsidRPr="004347BB">
        <w:tab/>
        <w:t>Efforts to Identify Duplication and Use of Similar Information</w:t>
      </w:r>
      <w:bookmarkEnd w:id="13"/>
      <w:bookmarkEnd w:id="14"/>
      <w:bookmarkEnd w:id="15"/>
      <w:bookmarkEnd w:id="16"/>
      <w:bookmarkEnd w:id="17"/>
    </w:p>
    <w:p w14:paraId="51DB1849" w14:textId="77777777" w:rsidR="00B87B27" w:rsidRPr="00464028" w:rsidRDefault="005A4050" w:rsidP="00382805">
      <w:pPr>
        <w:pStyle w:val="P1-StandPara"/>
        <w:ind w:firstLine="0"/>
        <w:jc w:val="both"/>
        <w:rPr>
          <w:sz w:val="24"/>
          <w:szCs w:val="24"/>
        </w:rPr>
      </w:pPr>
      <w:r>
        <w:rPr>
          <w:sz w:val="24"/>
          <w:szCs w:val="24"/>
        </w:rPr>
        <w:t xml:space="preserve">The Contracting Officer’s Technical Representative (COTR; formerly known as “Project Officer”), assisted by an NIH Project Team of content experts and under the aegis of the NIH Blueprint for Neuroscience Research, conducted reviews of the literature and existing projects and determined that the requested assessment development does not duplicate other current assessment tool(s).  Although numerous instruments exist for the domains proposed for </w:t>
      </w:r>
      <w:r>
        <w:rPr>
          <w:sz w:val="24"/>
          <w:szCs w:val="24"/>
        </w:rPr>
        <w:lastRenderedPageBreak/>
        <w:t xml:space="preserve">assessment by the Toolbox, these largely target assessment of disorder or illness related to these variables and not function or health.  A brief, common set of measures for constructs in cognition, motor, sensory and emotional function and which are largely objective measures and not subjective (except in </w:t>
      </w:r>
      <w:r w:rsidR="00EA7D7E">
        <w:rPr>
          <w:sz w:val="24"/>
          <w:szCs w:val="24"/>
        </w:rPr>
        <w:t xml:space="preserve">the </w:t>
      </w:r>
      <w:r>
        <w:rPr>
          <w:sz w:val="24"/>
          <w:szCs w:val="24"/>
        </w:rPr>
        <w:t xml:space="preserve">domain of emotional function) do not exist for the large age span required (3 – 85 years).  Through discussions with measurement experts, epidemiologists and clinical researchers, as well as Program staff at other NIH Institutes, the lack of and need for a comprehensive set of standard measures to capture neurological and behavioral function was identified.   </w:t>
      </w:r>
    </w:p>
    <w:p w14:paraId="5D3F808F" w14:textId="77777777" w:rsidR="00B87B27" w:rsidRPr="00464028" w:rsidRDefault="00B87B27" w:rsidP="0039110B">
      <w:pPr>
        <w:pStyle w:val="P1-StandPara"/>
        <w:rPr>
          <w:sz w:val="24"/>
          <w:szCs w:val="24"/>
        </w:rPr>
      </w:pPr>
    </w:p>
    <w:p w14:paraId="6833D832" w14:textId="77777777" w:rsidR="003A7790" w:rsidRDefault="005A4050" w:rsidP="00267C16">
      <w:pPr>
        <w:pStyle w:val="P1-StandPara"/>
        <w:spacing w:after="240"/>
        <w:ind w:firstLine="0"/>
        <w:jc w:val="both"/>
        <w:rPr>
          <w:sz w:val="24"/>
          <w:szCs w:val="24"/>
        </w:rPr>
      </w:pPr>
      <w:r>
        <w:rPr>
          <w:sz w:val="24"/>
          <w:szCs w:val="24"/>
        </w:rPr>
        <w:t>The COTR and/or her NIH Project Team members attended meetings of the International Neuropsychological Society, the Society for Neuroscience, the Association for Research in Otolaryngology, the Population Association of America, among others, and discussed the current status of epidemiological research across the lifespan and in reference to consistency in neurological and behavioral assessment, including individuals who had developed instruments in these domains.  The COTR and her team also drew guidance from members of the Critical Evaluation Study Committee for the trans-NIH Cognitive and Emotional Health Project and the Committee’s publication (Hendrie et al., Alzheimer’s &amp; Dementia, vol. 2, 12-32, 2006), in which it was suggested that a standardized assessment tool for large-scale studies is needed in these domains.  Additionally, two internet-based Requests for Information (RFI) were issued that tapped NIH funded researchers; response was received from almost 300 individuals between the two RFIs.  More in-depth information was solicited from a subset of those interviewees (n = 44) via phone interviews.  A systematic literature review for each of the targeted domains was requested and conducted.</w:t>
      </w:r>
    </w:p>
    <w:p w14:paraId="27F9E5BC" w14:textId="77777777" w:rsidR="00B87B27" w:rsidRPr="00464028" w:rsidRDefault="005A4050" w:rsidP="00267C16">
      <w:pPr>
        <w:pStyle w:val="P1-StandPara"/>
        <w:spacing w:after="240"/>
        <w:ind w:firstLine="0"/>
        <w:jc w:val="both"/>
        <w:rPr>
          <w:sz w:val="24"/>
          <w:szCs w:val="24"/>
        </w:rPr>
      </w:pPr>
      <w:r>
        <w:rPr>
          <w:sz w:val="24"/>
          <w:szCs w:val="24"/>
        </w:rPr>
        <w:lastRenderedPageBreak/>
        <w:t xml:space="preserve">The actual data proposed to be collected do not currently exist.  The data will be unique to the instrument that is currently being developed and will feed back into the psychometric evaluation of the assessments.  Data from a community population are necessary to provide a basis and context for calibrating results with this new multi-domain assessment.  Whenever possible and to avoid duplication, items from existing assessment tools (e.g., the NIH Patient Reported Outcomes Measurement Information System (PROMIS); NEI standardized 25- item Visual Function Questionnaire (NEI-VFQ-25), etc.) will be used.  However, as appropriate and in order to construct an item bank that covers the full range of certain constructs, the group of items proposed for that bank will undergo Item Response Theory (IRT) analyses to determine how well they function and where they fit along the continuum.   </w:t>
      </w:r>
    </w:p>
    <w:p w14:paraId="38EF2288" w14:textId="77777777" w:rsidR="00D77AB4" w:rsidRPr="004347BB" w:rsidRDefault="00D77AB4" w:rsidP="004347BB">
      <w:pPr>
        <w:pStyle w:val="Heading2"/>
      </w:pPr>
      <w:bookmarkStart w:id="18" w:name="_Toc443881746"/>
      <w:bookmarkStart w:id="19" w:name="_Toc451592235"/>
      <w:bookmarkStart w:id="20" w:name="_Toc5610276"/>
      <w:bookmarkStart w:id="21" w:name="_Toc99178782"/>
      <w:bookmarkStart w:id="22" w:name="_Toc248639038"/>
      <w:r w:rsidRPr="004347BB">
        <w:t>A.5</w:t>
      </w:r>
      <w:r>
        <w:tab/>
      </w:r>
      <w:r w:rsidRPr="004347BB">
        <w:t>Impact on Small Businesses or Other Small Entities</w:t>
      </w:r>
      <w:bookmarkEnd w:id="18"/>
      <w:bookmarkEnd w:id="19"/>
      <w:bookmarkEnd w:id="20"/>
      <w:bookmarkEnd w:id="21"/>
      <w:bookmarkEnd w:id="22"/>
    </w:p>
    <w:p w14:paraId="490C8EF3" w14:textId="77777777" w:rsidR="00D77AB4" w:rsidRPr="00CB349B" w:rsidRDefault="00D77AB4" w:rsidP="004C576D">
      <w:pPr>
        <w:pStyle w:val="StyleLinespacingDouble"/>
      </w:pPr>
      <w:r w:rsidRPr="00CB349B">
        <w:t>This information collection does not involve small businesses or other small entities.</w:t>
      </w:r>
    </w:p>
    <w:p w14:paraId="01D4EE6D" w14:textId="77777777" w:rsidR="00D77AB4" w:rsidRPr="004347BB" w:rsidRDefault="00D77AB4" w:rsidP="004347BB">
      <w:pPr>
        <w:pStyle w:val="Heading2"/>
      </w:pPr>
      <w:bookmarkStart w:id="23" w:name="_Toc443881747"/>
      <w:bookmarkStart w:id="24" w:name="_Toc451592236"/>
      <w:bookmarkStart w:id="25" w:name="_Toc5610277"/>
      <w:bookmarkStart w:id="26" w:name="_Toc99178783"/>
      <w:bookmarkStart w:id="27" w:name="_Toc248639039"/>
      <w:r w:rsidRPr="00B336C4">
        <w:t>A.6</w:t>
      </w:r>
      <w:r w:rsidRPr="00B336C4">
        <w:tab/>
        <w:t>Consequences of Collecting the Information Less Frequently</w:t>
      </w:r>
      <w:bookmarkEnd w:id="23"/>
      <w:bookmarkEnd w:id="24"/>
      <w:bookmarkEnd w:id="25"/>
      <w:bookmarkEnd w:id="26"/>
      <w:bookmarkEnd w:id="27"/>
    </w:p>
    <w:p w14:paraId="60CB7F85" w14:textId="1A67A982" w:rsidR="00D77AB4" w:rsidRPr="00CB349B" w:rsidRDefault="00D77AB4" w:rsidP="004C576D">
      <w:pPr>
        <w:pStyle w:val="StyleLinespacingDouble"/>
      </w:pPr>
      <w:r>
        <w:t xml:space="preserve">This is a single time research study.  </w:t>
      </w:r>
      <w:r w:rsidR="009C4240" w:rsidRPr="007E7970">
        <w:rPr>
          <w:szCs w:val="24"/>
        </w:rPr>
        <w:t xml:space="preserve">As </w:t>
      </w:r>
      <w:r w:rsidR="0080594D">
        <w:rPr>
          <w:szCs w:val="24"/>
        </w:rPr>
        <w:t>a</w:t>
      </w:r>
      <w:r w:rsidR="0080594D" w:rsidRPr="007E7970">
        <w:rPr>
          <w:szCs w:val="24"/>
        </w:rPr>
        <w:t xml:space="preserve"> </w:t>
      </w:r>
      <w:r w:rsidR="009C4240" w:rsidRPr="007E7970">
        <w:rPr>
          <w:szCs w:val="24"/>
        </w:rPr>
        <w:t xml:space="preserve">purpose of this data collection is to establish test-retest reliability and </w:t>
      </w:r>
      <w:r w:rsidR="003A25B2">
        <w:rPr>
          <w:szCs w:val="24"/>
        </w:rPr>
        <w:t xml:space="preserve">evaluate practice effects </w:t>
      </w:r>
      <w:r w:rsidR="009C4240" w:rsidRPr="007E7970">
        <w:rPr>
          <w:szCs w:val="24"/>
        </w:rPr>
        <w:t xml:space="preserve">for all Toolbox measures, the measures will need to be re-administered to a subset of the norming sample. For test-retest reliability, </w:t>
      </w:r>
      <w:r w:rsidR="00581673">
        <w:rPr>
          <w:szCs w:val="24"/>
        </w:rPr>
        <w:t>375</w:t>
      </w:r>
      <w:r w:rsidR="009C4240" w:rsidRPr="007E7970">
        <w:rPr>
          <w:szCs w:val="24"/>
        </w:rPr>
        <w:t xml:space="preserve"> children (and their parents for proxy measures) and </w:t>
      </w:r>
      <w:r w:rsidR="00581673">
        <w:rPr>
          <w:szCs w:val="24"/>
        </w:rPr>
        <w:t>375</w:t>
      </w:r>
      <w:r w:rsidR="009C4240" w:rsidRPr="007E7970">
        <w:rPr>
          <w:szCs w:val="24"/>
        </w:rPr>
        <w:t xml:space="preserve"> adults will complete the entire battery of Toolbox measures one week after the initial administration.</w:t>
      </w:r>
      <w:r w:rsidRPr="00CB349B">
        <w:t xml:space="preserve"> </w:t>
      </w:r>
      <w:r w:rsidR="006F42A5">
        <w:t xml:space="preserve">The full battery of Toolbox measures is located in </w:t>
      </w:r>
      <w:r w:rsidR="006F42A5" w:rsidRPr="00694490">
        <w:t>Attachments 1-</w:t>
      </w:r>
      <w:r w:rsidR="00597476">
        <w:t>38</w:t>
      </w:r>
      <w:r w:rsidR="006F42A5" w:rsidRPr="00694490">
        <w:t xml:space="preserve">; additional measures are located in Attachments </w:t>
      </w:r>
      <w:r w:rsidR="00597476">
        <w:t>39-59</w:t>
      </w:r>
      <w:r w:rsidR="006F42A5" w:rsidRPr="00694490">
        <w:t>.</w:t>
      </w:r>
      <w:r w:rsidR="006F42A5">
        <w:t xml:space="preserve"> </w:t>
      </w:r>
      <w:r w:rsidR="0080594D">
        <w:t xml:space="preserve">Assuming the true </w:t>
      </w:r>
      <w:proofErr w:type="spellStart"/>
      <w:r w:rsidR="00DC5977">
        <w:t>intraclass</w:t>
      </w:r>
      <w:proofErr w:type="spellEnd"/>
      <w:r w:rsidR="00DC5977">
        <w:t xml:space="preserve"> correlation coefficient (ICC) for reliability is at least 0.7, t</w:t>
      </w:r>
      <w:r w:rsidR="0080594D">
        <w:t xml:space="preserve">his sample size of 375 in each group (children and adults) will provide precision of ± 0.05 for the 95% confidence interval around the </w:t>
      </w:r>
      <w:r w:rsidR="00DC5977">
        <w:t>ICC</w:t>
      </w:r>
      <w:r w:rsidR="0080594D">
        <w:t xml:space="preserve">. </w:t>
      </w:r>
      <w:r w:rsidR="009C4240" w:rsidRPr="007E7970">
        <w:rPr>
          <w:szCs w:val="24"/>
        </w:rPr>
        <w:t>To</w:t>
      </w:r>
      <w:r w:rsidR="003842C7">
        <w:rPr>
          <w:szCs w:val="24"/>
        </w:rPr>
        <w:t xml:space="preserve"> </w:t>
      </w:r>
      <w:r w:rsidR="003A25B2">
        <w:rPr>
          <w:szCs w:val="24"/>
        </w:rPr>
        <w:t>evaluate practice effects</w:t>
      </w:r>
      <w:r w:rsidR="009C4240" w:rsidRPr="007E7970">
        <w:rPr>
          <w:szCs w:val="24"/>
        </w:rPr>
        <w:t xml:space="preserve">, all Toolbox measures will be administered to </w:t>
      </w:r>
      <w:r w:rsidR="00581673">
        <w:rPr>
          <w:szCs w:val="24"/>
        </w:rPr>
        <w:t>375</w:t>
      </w:r>
      <w:r w:rsidR="009C4240" w:rsidRPr="007E7970">
        <w:rPr>
          <w:szCs w:val="24"/>
        </w:rPr>
        <w:t xml:space="preserve"> </w:t>
      </w:r>
      <w:r w:rsidR="009C4240" w:rsidRPr="007E7970">
        <w:rPr>
          <w:szCs w:val="24"/>
        </w:rPr>
        <w:lastRenderedPageBreak/>
        <w:t xml:space="preserve">children (and their parents for proxy measures) and </w:t>
      </w:r>
      <w:r w:rsidR="00581673">
        <w:rPr>
          <w:szCs w:val="24"/>
        </w:rPr>
        <w:t>375</w:t>
      </w:r>
      <w:r w:rsidR="009C4240" w:rsidRPr="007E7970">
        <w:rPr>
          <w:szCs w:val="24"/>
        </w:rPr>
        <w:t xml:space="preserve"> adults </w:t>
      </w:r>
      <w:r w:rsidR="007564F3">
        <w:rPr>
          <w:szCs w:val="24"/>
        </w:rPr>
        <w:t>three</w:t>
      </w:r>
      <w:r w:rsidR="009C4240" w:rsidRPr="007E7970">
        <w:rPr>
          <w:szCs w:val="24"/>
        </w:rPr>
        <w:t xml:space="preserve"> months after the initial administration. </w:t>
      </w:r>
      <w:r w:rsidR="00DC5977">
        <w:rPr>
          <w:szCs w:val="24"/>
        </w:rPr>
        <w:t>This sample size of 375 in each group (children and adults) will allow us to estimate the practice effect of each Toolbox measure with precision of ±0.10 standard deviation units.</w:t>
      </w:r>
      <w:r w:rsidR="009C4240" w:rsidRPr="007E7970">
        <w:rPr>
          <w:szCs w:val="24"/>
        </w:rPr>
        <w:t xml:space="preserve"> There will be no overlap between samples used for test-retest reliability and</w:t>
      </w:r>
      <w:r w:rsidR="0032794C">
        <w:rPr>
          <w:szCs w:val="24"/>
        </w:rPr>
        <w:t xml:space="preserve"> </w:t>
      </w:r>
      <w:r w:rsidR="003A25B2">
        <w:rPr>
          <w:szCs w:val="24"/>
        </w:rPr>
        <w:t>evaluation of practice effects</w:t>
      </w:r>
      <w:r w:rsidR="009C4240" w:rsidRPr="007E7970">
        <w:rPr>
          <w:szCs w:val="24"/>
        </w:rPr>
        <w:t xml:space="preserve">.  Test-retest reliability and </w:t>
      </w:r>
      <w:r w:rsidR="003A25B2">
        <w:rPr>
          <w:szCs w:val="24"/>
        </w:rPr>
        <w:t xml:space="preserve">practice effects </w:t>
      </w:r>
      <w:r w:rsidR="009C4240" w:rsidRPr="007E7970">
        <w:rPr>
          <w:szCs w:val="24"/>
        </w:rPr>
        <w:t>cannot be assessed if these follow-up assessments are not conducted after the initial administration.</w:t>
      </w:r>
    </w:p>
    <w:p w14:paraId="79E80CCC" w14:textId="77777777" w:rsidR="00D77AB4" w:rsidRPr="004347BB" w:rsidRDefault="00D77AB4" w:rsidP="004347BB">
      <w:pPr>
        <w:pStyle w:val="Heading2"/>
      </w:pPr>
      <w:bookmarkStart w:id="28" w:name="_Toc443881748"/>
      <w:bookmarkStart w:id="29" w:name="_Toc451592237"/>
      <w:bookmarkStart w:id="30" w:name="_Toc5610278"/>
      <w:bookmarkStart w:id="31" w:name="_Toc99178784"/>
      <w:bookmarkStart w:id="32" w:name="_Toc248639040"/>
      <w:r w:rsidRPr="004347BB">
        <w:t>A.7</w:t>
      </w:r>
      <w:r w:rsidRPr="004347BB">
        <w:tab/>
        <w:t>Special Circumstances Relating to the Guidelines of 5 CFR 1320.5</w:t>
      </w:r>
      <w:bookmarkEnd w:id="28"/>
      <w:bookmarkEnd w:id="29"/>
      <w:bookmarkEnd w:id="30"/>
      <w:bookmarkEnd w:id="31"/>
      <w:bookmarkEnd w:id="32"/>
    </w:p>
    <w:p w14:paraId="563FEC23" w14:textId="77777777" w:rsidR="00D77AB4" w:rsidRPr="00CB349B" w:rsidRDefault="00D77AB4" w:rsidP="004C576D">
      <w:pPr>
        <w:pStyle w:val="StyleLinespacingDouble"/>
        <w:rPr>
          <w:szCs w:val="22"/>
        </w:rPr>
      </w:pPr>
      <w:r w:rsidRPr="00CB349B">
        <w:rPr>
          <w:szCs w:val="22"/>
        </w:rPr>
        <w:t>The proposed study is consistent with the information collection guidelines in 5 CFR 1320.5</w:t>
      </w:r>
      <w:r w:rsidRPr="00CB349B">
        <w:t>.</w:t>
      </w:r>
    </w:p>
    <w:p w14:paraId="6D52E8A2" w14:textId="77777777" w:rsidR="00D77AB4" w:rsidRDefault="00D77AB4" w:rsidP="004347BB">
      <w:pPr>
        <w:pStyle w:val="Heading2"/>
      </w:pPr>
      <w:bookmarkStart w:id="33" w:name="_Toc443881749"/>
      <w:bookmarkStart w:id="34" w:name="_Toc451592238"/>
      <w:bookmarkStart w:id="35" w:name="_Toc5610279"/>
      <w:bookmarkStart w:id="36" w:name="_Toc99178785"/>
      <w:bookmarkStart w:id="37" w:name="_Toc248639041"/>
      <w:r w:rsidRPr="002F7E38">
        <w:t>A.8</w:t>
      </w:r>
      <w:r w:rsidRPr="002F7E38">
        <w:tab/>
        <w:t>Comments in Response to the Federal Register Notice and Efforts to Consult Outside Agency</w:t>
      </w:r>
      <w:bookmarkEnd w:id="33"/>
      <w:bookmarkEnd w:id="34"/>
      <w:bookmarkEnd w:id="35"/>
      <w:bookmarkEnd w:id="36"/>
      <w:bookmarkEnd w:id="37"/>
    </w:p>
    <w:p w14:paraId="20B37A9A" w14:textId="77777777" w:rsidR="00D77AB4" w:rsidRDefault="0006684F" w:rsidP="00267C16">
      <w:pPr>
        <w:pStyle w:val="P1-StandPara"/>
        <w:spacing w:after="240"/>
        <w:ind w:firstLine="0"/>
        <w:jc w:val="both"/>
        <w:rPr>
          <w:sz w:val="24"/>
          <w:szCs w:val="24"/>
        </w:rPr>
      </w:pPr>
      <w:r>
        <w:rPr>
          <w:sz w:val="24"/>
          <w:szCs w:val="24"/>
        </w:rPr>
        <w:t>T</w:t>
      </w:r>
      <w:r w:rsidR="00D77AB4" w:rsidRPr="00160928">
        <w:rPr>
          <w:sz w:val="24"/>
          <w:szCs w:val="24"/>
        </w:rPr>
        <w:t xml:space="preserve">he 60 day Federal Register Notice </w:t>
      </w:r>
      <w:r>
        <w:rPr>
          <w:sz w:val="24"/>
          <w:szCs w:val="24"/>
        </w:rPr>
        <w:t xml:space="preserve">for this information collection was published in the Federal Register on January 11, 2011 (Vol. 76, No. 7, p.1621) and allowed 60 days for public comment.  No comments were received. </w:t>
      </w:r>
    </w:p>
    <w:p w14:paraId="20732137" w14:textId="77777777" w:rsidR="008E0158" w:rsidRDefault="008E0158" w:rsidP="00267C16">
      <w:pPr>
        <w:pStyle w:val="P1-StandPara"/>
        <w:spacing w:after="240"/>
        <w:ind w:firstLine="0"/>
        <w:jc w:val="both"/>
      </w:pPr>
      <w:r>
        <w:rPr>
          <w:sz w:val="24"/>
          <w:szCs w:val="24"/>
        </w:rPr>
        <w:t xml:space="preserve">The </w:t>
      </w:r>
      <w:r w:rsidR="00DA37A9">
        <w:rPr>
          <w:sz w:val="24"/>
          <w:szCs w:val="24"/>
        </w:rPr>
        <w:t>Toolbox Measures were developed with the</w:t>
      </w:r>
      <w:r w:rsidR="00371C28">
        <w:rPr>
          <w:sz w:val="24"/>
          <w:szCs w:val="24"/>
        </w:rPr>
        <w:t xml:space="preserve"> consultation of several method</w:t>
      </w:r>
      <w:r w:rsidR="00DA37A9">
        <w:rPr>
          <w:sz w:val="24"/>
          <w:szCs w:val="24"/>
        </w:rPr>
        <w:t xml:space="preserve"> and subject matter experts during the development period of these instruments.  The names, </w:t>
      </w:r>
      <w:r w:rsidR="00464028">
        <w:rPr>
          <w:sz w:val="24"/>
          <w:szCs w:val="24"/>
        </w:rPr>
        <w:t xml:space="preserve">telephone numbers or email addresses, </w:t>
      </w:r>
      <w:r w:rsidR="00DA37A9">
        <w:rPr>
          <w:sz w:val="24"/>
          <w:szCs w:val="24"/>
        </w:rPr>
        <w:t xml:space="preserve">and affiliations of the consultants are listed in </w:t>
      </w:r>
      <w:r w:rsidR="00597476">
        <w:rPr>
          <w:sz w:val="24"/>
          <w:szCs w:val="24"/>
        </w:rPr>
        <w:t>Attachment 64</w:t>
      </w:r>
      <w:r w:rsidR="00DA37A9" w:rsidRPr="008937E1">
        <w:rPr>
          <w:sz w:val="24"/>
          <w:szCs w:val="24"/>
        </w:rPr>
        <w:t>.</w:t>
      </w:r>
    </w:p>
    <w:p w14:paraId="7BCE0874" w14:textId="77777777" w:rsidR="00D77AB4" w:rsidRPr="004347BB" w:rsidRDefault="00D77AB4" w:rsidP="004347BB">
      <w:pPr>
        <w:pStyle w:val="Heading2"/>
      </w:pPr>
      <w:bookmarkStart w:id="38" w:name="_Toc443881750"/>
      <w:bookmarkStart w:id="39" w:name="_Toc451592239"/>
      <w:bookmarkStart w:id="40" w:name="_Toc5610280"/>
      <w:bookmarkStart w:id="41" w:name="_Toc99178786"/>
      <w:bookmarkStart w:id="42" w:name="_Toc248639042"/>
      <w:r w:rsidRPr="004347BB">
        <w:t>A.9</w:t>
      </w:r>
      <w:r w:rsidRPr="004347BB">
        <w:tab/>
        <w:t>Explanation of Any Payment of Gift to Respondents</w:t>
      </w:r>
      <w:bookmarkEnd w:id="38"/>
      <w:bookmarkEnd w:id="39"/>
      <w:bookmarkEnd w:id="40"/>
      <w:bookmarkEnd w:id="41"/>
      <w:bookmarkEnd w:id="42"/>
    </w:p>
    <w:p w14:paraId="2A27434D" w14:textId="77777777" w:rsidR="00D77AB4" w:rsidRDefault="00B75A70" w:rsidP="00052D6D">
      <w:pPr>
        <w:pStyle w:val="StyleLinespacingDouble"/>
      </w:pPr>
      <w:r>
        <w:t>C</w:t>
      </w:r>
      <w:r w:rsidR="0039110B">
        <w:t>ompensation</w:t>
      </w:r>
      <w:r w:rsidR="00D77AB4" w:rsidRPr="00052D6D">
        <w:t xml:space="preserve"> is planned for each respondent participating in the study.  Each Toolbox Project respondent will receive $</w:t>
      </w:r>
      <w:r w:rsidR="007E7970">
        <w:t>90-$150 (actual value</w:t>
      </w:r>
      <w:r w:rsidR="006C2778">
        <w:t xml:space="preserve"> and the form of payment (cash, check or card)</w:t>
      </w:r>
      <w:r w:rsidR="007E7970">
        <w:t xml:space="preserve"> var</w:t>
      </w:r>
      <w:r w:rsidR="006C2778">
        <w:t>y</w:t>
      </w:r>
      <w:r w:rsidR="007E7970">
        <w:t xml:space="preserve"> according to type of respondent and geographic location)</w:t>
      </w:r>
      <w:r w:rsidR="00D77AB4" w:rsidRPr="00052D6D">
        <w:t xml:space="preserve"> for completing the in-person testing process, which </w:t>
      </w:r>
      <w:r w:rsidR="006C2778">
        <w:t xml:space="preserve">on average </w:t>
      </w:r>
      <w:r w:rsidR="00D77AB4" w:rsidRPr="00052D6D">
        <w:t>is expected to last no more than three hours</w:t>
      </w:r>
      <w:r w:rsidR="00F437EE">
        <w:t xml:space="preserve">. This level of </w:t>
      </w:r>
      <w:r w:rsidR="00991612">
        <w:lastRenderedPageBreak/>
        <w:t>compensation</w:t>
      </w:r>
      <w:r w:rsidR="0039110B">
        <w:t xml:space="preserve"> </w:t>
      </w:r>
      <w:r w:rsidR="00D77AB4" w:rsidRPr="00052D6D">
        <w:t>is considered to be essential to obtaining as high a response rate as possible</w:t>
      </w:r>
      <w:r w:rsidR="0039110B">
        <w:t xml:space="preserve">, while </w:t>
      </w:r>
      <w:r w:rsidR="00991612">
        <w:t xml:space="preserve">respecting </w:t>
      </w:r>
      <w:r w:rsidR="0039110B">
        <w:t>participants’ time and effort</w:t>
      </w:r>
      <w:r w:rsidR="00D77AB4" w:rsidRPr="00052D6D">
        <w:t xml:space="preserve">.  </w:t>
      </w:r>
      <w:r w:rsidR="009C4240" w:rsidRPr="00F437EE">
        <w:rPr>
          <w:szCs w:val="24"/>
        </w:rPr>
        <w:t xml:space="preserve">Respondents participating in the follow-up testing at one week </w:t>
      </w:r>
      <w:r w:rsidR="00EA7D7E">
        <w:rPr>
          <w:szCs w:val="24"/>
        </w:rPr>
        <w:t xml:space="preserve">or </w:t>
      </w:r>
      <w:r w:rsidR="007564F3">
        <w:rPr>
          <w:szCs w:val="24"/>
        </w:rPr>
        <w:t>three</w:t>
      </w:r>
      <w:r w:rsidR="009C4240" w:rsidRPr="00F437EE">
        <w:rPr>
          <w:szCs w:val="24"/>
        </w:rPr>
        <w:t xml:space="preserve"> months after the initial testing will receive an additional $</w:t>
      </w:r>
      <w:r w:rsidR="00F437EE">
        <w:rPr>
          <w:szCs w:val="24"/>
        </w:rPr>
        <w:t>90-$150</w:t>
      </w:r>
      <w:r w:rsidR="009C4240" w:rsidRPr="00F437EE">
        <w:rPr>
          <w:szCs w:val="24"/>
        </w:rPr>
        <w:t xml:space="preserve"> for completing the additional session.  This second round of testing will be </w:t>
      </w:r>
      <w:r w:rsidR="00EA7D7E">
        <w:rPr>
          <w:szCs w:val="24"/>
        </w:rPr>
        <w:t xml:space="preserve">comparable </w:t>
      </w:r>
      <w:r w:rsidR="009C4240" w:rsidRPr="00F437EE">
        <w:rPr>
          <w:szCs w:val="24"/>
        </w:rPr>
        <w:t>to the first and as a result it was determined respondents should be compensated accordingly.</w:t>
      </w:r>
      <w:r w:rsidR="00D77AB4" w:rsidRPr="00052D6D">
        <w:t xml:space="preserve"> </w:t>
      </w:r>
    </w:p>
    <w:p w14:paraId="3F4DAFDF" w14:textId="77777777" w:rsidR="00DC7723" w:rsidRPr="00052D6D" w:rsidRDefault="00DC7723" w:rsidP="00052D6D">
      <w:pPr>
        <w:pStyle w:val="StyleLinespacingDouble"/>
      </w:pPr>
      <w:r>
        <w:t>Respondent compensation is based on the market research industry standards and what is being asked of respondents. Typically, a two hour focus group or interview is compensated at the rate of $</w:t>
      </w:r>
      <w:r w:rsidR="00C80677">
        <w:t>9</w:t>
      </w:r>
      <w:r>
        <w:t xml:space="preserve">0. If there are additional hours needed, the respondent is compensated at $40 an hour for each additional hour. NIH </w:t>
      </w:r>
      <w:r w:rsidRPr="003842C7">
        <w:t xml:space="preserve">Toolbox norming is structured as an interview </w:t>
      </w:r>
      <w:r w:rsidRPr="003842C7">
        <w:rPr>
          <w:szCs w:val="24"/>
        </w:rPr>
        <w:t xml:space="preserve">along with completing some tasks throughout.  The </w:t>
      </w:r>
      <w:r w:rsidR="006C2778">
        <w:rPr>
          <w:szCs w:val="24"/>
        </w:rPr>
        <w:t xml:space="preserve">average </w:t>
      </w:r>
      <w:r w:rsidRPr="003842C7">
        <w:rPr>
          <w:szCs w:val="24"/>
        </w:rPr>
        <w:t>estimated time to complete the interview is 3hours per person, therefore we feel</w:t>
      </w:r>
      <w:r w:rsidR="00CF7A44">
        <w:rPr>
          <w:szCs w:val="24"/>
        </w:rPr>
        <w:t xml:space="preserve"> that depending on the location,</w:t>
      </w:r>
      <w:r w:rsidRPr="003842C7">
        <w:rPr>
          <w:szCs w:val="24"/>
        </w:rPr>
        <w:t xml:space="preserve"> $120</w:t>
      </w:r>
      <w:r w:rsidR="00CF7A44">
        <w:rPr>
          <w:szCs w:val="24"/>
        </w:rPr>
        <w:t>-$150</w:t>
      </w:r>
      <w:r w:rsidRPr="003842C7">
        <w:rPr>
          <w:szCs w:val="24"/>
        </w:rPr>
        <w:t xml:space="preserve"> is a fair compensation for adults and $90</w:t>
      </w:r>
      <w:r w:rsidR="00CF7A44">
        <w:rPr>
          <w:szCs w:val="24"/>
        </w:rPr>
        <w:t>-$125</w:t>
      </w:r>
      <w:r w:rsidRPr="003842C7">
        <w:rPr>
          <w:szCs w:val="24"/>
        </w:rPr>
        <w:t xml:space="preserve"> for the children as their interviews are not as long</w:t>
      </w:r>
      <w:r w:rsidR="003842C7">
        <w:rPr>
          <w:szCs w:val="24"/>
        </w:rPr>
        <w:t>.</w:t>
      </w:r>
    </w:p>
    <w:p w14:paraId="2260E21E" w14:textId="77777777" w:rsidR="00D77AB4" w:rsidRPr="004347BB" w:rsidRDefault="00D77AB4" w:rsidP="002F68CC">
      <w:pPr>
        <w:pStyle w:val="Heading2"/>
        <w:spacing w:before="0" w:after="240" w:line="480" w:lineRule="auto"/>
      </w:pPr>
      <w:bookmarkStart w:id="43" w:name="_Toc443881751"/>
      <w:bookmarkStart w:id="44" w:name="_Toc451592240"/>
      <w:bookmarkStart w:id="45" w:name="_Toc5610281"/>
      <w:bookmarkStart w:id="46" w:name="_Toc99178787"/>
      <w:bookmarkStart w:id="47" w:name="_Toc248639043"/>
      <w:r w:rsidRPr="004347BB">
        <w:t>A.10</w:t>
      </w:r>
      <w:r w:rsidRPr="004347BB">
        <w:tab/>
        <w:t>Assurance of Confidentiality Provided to Respondents</w:t>
      </w:r>
      <w:bookmarkEnd w:id="43"/>
      <w:bookmarkEnd w:id="44"/>
      <w:bookmarkEnd w:id="45"/>
      <w:bookmarkEnd w:id="46"/>
      <w:bookmarkEnd w:id="47"/>
    </w:p>
    <w:p w14:paraId="79CF6625" w14:textId="77777777" w:rsidR="009E2700" w:rsidRDefault="00D77AB4" w:rsidP="009318FE">
      <w:pPr>
        <w:pStyle w:val="StyleLinespacingDouble"/>
      </w:pPr>
      <w:r w:rsidRPr="00CB349B">
        <w:t xml:space="preserve">The Toolbox Project is fully committed to protecting the anonymity of all survey respondents. Toolbox Project data will be collected in conformance with the Privacy Act of 1974, and the Confidential Information Protection and Statistical Efficiency Act of 2002. </w:t>
      </w:r>
      <w:r w:rsidR="009E2700">
        <w:t xml:space="preserve">This data collection is covered by the NIH Privacy Act Systems of Record 09-25-0200, Clinical, Basic and Population-based Research Studies of the National Institutes of Health (NIH), HHS/NIH/OD </w:t>
      </w:r>
      <w:r w:rsidR="009E2700" w:rsidRPr="00694490">
        <w:t>(see Attachment</w:t>
      </w:r>
      <w:r w:rsidR="00434EB3" w:rsidRPr="00694490">
        <w:t xml:space="preserve">s </w:t>
      </w:r>
      <w:r w:rsidR="00DE02E7">
        <w:t>65</w:t>
      </w:r>
      <w:r w:rsidR="009E2700" w:rsidRPr="00694490">
        <w:t>).</w:t>
      </w:r>
      <w:r w:rsidR="009E2700">
        <w:t xml:space="preserve">  </w:t>
      </w:r>
    </w:p>
    <w:p w14:paraId="248EA410" w14:textId="77777777" w:rsidR="00D77AB4" w:rsidRPr="00CB349B" w:rsidRDefault="006F42A5" w:rsidP="002F68CC">
      <w:pPr>
        <w:pStyle w:val="StyleLinespacingDouble"/>
      </w:pPr>
      <w:r>
        <w:t xml:space="preserve">The regulatory </w:t>
      </w:r>
      <w:r w:rsidRPr="00694490">
        <w:t xml:space="preserve">documents </w:t>
      </w:r>
      <w:r w:rsidR="00C27DA5" w:rsidRPr="00694490">
        <w:t xml:space="preserve">(see Attachments </w:t>
      </w:r>
      <w:r w:rsidR="009473C6">
        <w:t>61-63</w:t>
      </w:r>
      <w:r w:rsidR="00DA37A9" w:rsidRPr="00694490">
        <w:t xml:space="preserve">) have been approved by the Northwestern IRB </w:t>
      </w:r>
      <w:r w:rsidRPr="00694490">
        <w:t>(see Attach</w:t>
      </w:r>
      <w:r w:rsidR="003A7790" w:rsidRPr="00694490">
        <w:t xml:space="preserve">ment </w:t>
      </w:r>
      <w:r w:rsidR="009473C6">
        <w:t>62</w:t>
      </w:r>
      <w:r w:rsidRPr="00694490">
        <w:t>).</w:t>
      </w:r>
      <w:r>
        <w:t xml:space="preserve"> </w:t>
      </w:r>
      <w:r w:rsidR="00D77AB4" w:rsidRPr="00CB349B">
        <w:t>Standard data collection procedures incorporate numerous safeguards for the data.  While collecting Toolbox Project data in the norming phase of the study</w:t>
      </w:r>
      <w:r w:rsidR="001B48F5">
        <w:t>,</w:t>
      </w:r>
      <w:r w:rsidR="00D77AB4" w:rsidRPr="00CB349B">
        <w:t xml:space="preserve"> the </w:t>
      </w:r>
      <w:r w:rsidR="00D77AB4" w:rsidRPr="00CB349B">
        <w:lastRenderedPageBreak/>
        <w:t xml:space="preserve">following personal identifiers may be collected by </w:t>
      </w:r>
      <w:r w:rsidR="00F437EE">
        <w:t>Delve</w:t>
      </w:r>
      <w:r w:rsidR="00D37B12">
        <w:t xml:space="preserve">, the marketing research firm </w:t>
      </w:r>
      <w:r w:rsidR="00772DD9">
        <w:t>contracted to do the data collection</w:t>
      </w:r>
      <w:r w:rsidR="00D77AB4" w:rsidRPr="00CB349B">
        <w:t>: respondent name, respondent telephone number, respondent address</w:t>
      </w:r>
      <w:r w:rsidR="00D104E4">
        <w:t>, and respondent e-mail address.</w:t>
      </w:r>
      <w:r w:rsidR="00D77AB4" w:rsidRPr="00CB349B">
        <w:t xml:space="preserve"> These data will be required to contact selected respondents request</w:t>
      </w:r>
      <w:r w:rsidR="001B48F5">
        <w:t>ing</w:t>
      </w:r>
      <w:r w:rsidR="00D77AB4" w:rsidRPr="00CB349B">
        <w:t xml:space="preserve"> their participation in the study </w:t>
      </w:r>
      <w:r w:rsidR="009C4240" w:rsidRPr="00F437EE">
        <w:rPr>
          <w:szCs w:val="24"/>
        </w:rPr>
        <w:t xml:space="preserve">and to re-contact a subset of respondents participating in the follow-up testing at one-week and </w:t>
      </w:r>
      <w:r w:rsidR="007564F3">
        <w:rPr>
          <w:szCs w:val="24"/>
        </w:rPr>
        <w:t>three</w:t>
      </w:r>
      <w:r w:rsidR="009C4240" w:rsidRPr="00F437EE">
        <w:rPr>
          <w:szCs w:val="24"/>
        </w:rPr>
        <w:t>-months after initial testing.</w:t>
      </w:r>
      <w:r w:rsidR="00D77AB4" w:rsidRPr="00CB349B">
        <w:t xml:space="preserve">  </w:t>
      </w:r>
      <w:r w:rsidR="00396342">
        <w:t xml:space="preserve">All identifying data will be delivered to the </w:t>
      </w:r>
      <w:r w:rsidR="00D77AB4" w:rsidRPr="00CB349B">
        <w:t>principal investigator</w:t>
      </w:r>
      <w:r w:rsidR="00396342">
        <w:t xml:space="preserve"> separately from the study data</w:t>
      </w:r>
      <w:r w:rsidR="00D77AB4" w:rsidRPr="00CB349B">
        <w:t xml:space="preserve">; all data and analyses will be reported in aggregate form only.  The following procedures will be used to maintain the privacy of the data:   </w:t>
      </w:r>
    </w:p>
    <w:p w14:paraId="0F38AECA" w14:textId="77777777" w:rsidR="00D77AB4" w:rsidRPr="00052D6D" w:rsidRDefault="00D77AB4" w:rsidP="002F68CC">
      <w:pPr>
        <w:numPr>
          <w:ilvl w:val="0"/>
          <w:numId w:val="3"/>
        </w:numPr>
        <w:spacing w:after="240" w:line="480" w:lineRule="auto"/>
        <w:jc w:val="both"/>
      </w:pPr>
      <w:r w:rsidRPr="00052D6D">
        <w:t>All identifying data will be kept in secured areas at the data collector’s site</w:t>
      </w:r>
      <w:r w:rsidR="00396342">
        <w:t xml:space="preserve"> and, later, at the principal investigator office</w:t>
      </w:r>
      <w:r w:rsidRPr="00052D6D">
        <w:t>;</w:t>
      </w:r>
    </w:p>
    <w:p w14:paraId="0C963EF9" w14:textId="77777777" w:rsidR="00D77AB4" w:rsidRPr="00052D6D" w:rsidRDefault="00D104E4" w:rsidP="002F68CC">
      <w:pPr>
        <w:numPr>
          <w:ilvl w:val="0"/>
          <w:numId w:val="3"/>
        </w:numPr>
        <w:spacing w:after="240" w:line="480" w:lineRule="auto"/>
        <w:jc w:val="both"/>
      </w:pPr>
      <w:r>
        <w:t xml:space="preserve">Laptops used for data collection </w:t>
      </w:r>
      <w:r w:rsidR="00D77AB4" w:rsidRPr="00052D6D">
        <w:t xml:space="preserve"> will be encrypted or pass-word protected; and</w:t>
      </w:r>
    </w:p>
    <w:p w14:paraId="7AFA83C9" w14:textId="77777777" w:rsidR="00D77AB4" w:rsidRPr="00CB349B" w:rsidRDefault="00D77AB4" w:rsidP="002F68CC">
      <w:pPr>
        <w:numPr>
          <w:ilvl w:val="0"/>
          <w:numId w:val="3"/>
        </w:numPr>
        <w:spacing w:after="240" w:line="480" w:lineRule="auto"/>
        <w:jc w:val="both"/>
        <w:rPr>
          <w:sz w:val="22"/>
          <w:szCs w:val="22"/>
        </w:rPr>
      </w:pPr>
      <w:r w:rsidRPr="00052D6D">
        <w:t>Data collection staff will be trained in protecting confidentiality of respondents and must receive certification of this training prior to collecting data or working with identifying respondent data.</w:t>
      </w:r>
    </w:p>
    <w:p w14:paraId="779EB219" w14:textId="77777777" w:rsidR="00D77AB4" w:rsidRPr="00CB349B" w:rsidRDefault="00D77AB4" w:rsidP="002F68CC">
      <w:pPr>
        <w:pStyle w:val="StyleLinespacingDouble"/>
      </w:pPr>
      <w:r w:rsidRPr="00CB349B">
        <w:t>Safeguards to protect the privacy of Toolbox respondents will be put into place. These include:</w:t>
      </w:r>
    </w:p>
    <w:p w14:paraId="1E23617F" w14:textId="77777777" w:rsidR="00D77AB4" w:rsidRPr="00CB349B" w:rsidRDefault="00D77AB4" w:rsidP="002F68CC">
      <w:pPr>
        <w:pStyle w:val="StyleLinespacingDouble"/>
      </w:pPr>
      <w:r w:rsidRPr="00CB349B">
        <w:rPr>
          <w:iCs/>
          <w:u w:val="single"/>
        </w:rPr>
        <w:t>Obtaining informed consent</w:t>
      </w:r>
      <w:r w:rsidRPr="00CB349B">
        <w:rPr>
          <w:iCs/>
        </w:rPr>
        <w:t xml:space="preserve">. </w:t>
      </w:r>
      <w:r w:rsidR="00D104E4">
        <w:t>R</w:t>
      </w:r>
      <w:r w:rsidRPr="00CB349B">
        <w:t xml:space="preserve">espondents who choose to participate in the Toolbox Testing process will be subject to a consent process when they report to the testing site and in advance of the administration of the Toolbox measures.  During this informed consent process, a </w:t>
      </w:r>
      <w:r w:rsidR="00F437EE">
        <w:t>Delve</w:t>
      </w:r>
      <w:r w:rsidRPr="00CB349B">
        <w:t xml:space="preserve"> Field Technician will explain to the respondent the nature of the study, what to expect during testing, and detail their rights as a research participant.  Respondents will be asked to sign the </w:t>
      </w:r>
      <w:r w:rsidRPr="00CB349B">
        <w:lastRenderedPageBreak/>
        <w:t xml:space="preserve">consent </w:t>
      </w:r>
      <w:r w:rsidRPr="00694490">
        <w:t xml:space="preserve">form </w:t>
      </w:r>
      <w:r w:rsidR="00DA137E" w:rsidRPr="00694490">
        <w:t xml:space="preserve">(see Attachment </w:t>
      </w:r>
      <w:r w:rsidR="00694490" w:rsidRPr="003842C7">
        <w:t>6</w:t>
      </w:r>
      <w:r w:rsidR="009473C6">
        <w:t>3</w:t>
      </w:r>
      <w:r w:rsidR="006F42A5" w:rsidRPr="00694490">
        <w:t xml:space="preserve">) </w:t>
      </w:r>
      <w:r w:rsidRPr="00694490">
        <w:t>only</w:t>
      </w:r>
      <w:r w:rsidRPr="00CB349B">
        <w:t xml:space="preserve"> after they have been informed of their rights as a study participant</w:t>
      </w:r>
      <w:r w:rsidR="006F42A5">
        <w:t xml:space="preserve">. </w:t>
      </w:r>
    </w:p>
    <w:p w14:paraId="4E5FF4B7" w14:textId="77777777" w:rsidR="00D77AB4" w:rsidRPr="00CB349B" w:rsidRDefault="00D77AB4" w:rsidP="004C576D">
      <w:pPr>
        <w:pStyle w:val="StyleLinespacingDouble"/>
      </w:pPr>
      <w:r w:rsidRPr="00CB349B">
        <w:t xml:space="preserve">For participants less than 18 years of age, at least one parent or guardian will complete the informed consent process on behalf of the child and themselves to complete the proxy measures.  Additionally, dependents between the ages of 7 and 17 will be led through an assent process to confirm their willingness to participate in the research. </w:t>
      </w:r>
      <w:r w:rsidR="006F42A5" w:rsidRPr="00694490">
        <w:t xml:space="preserve">See Attachment </w:t>
      </w:r>
      <w:r w:rsidR="00694490" w:rsidRPr="00694490">
        <w:t>6</w:t>
      </w:r>
      <w:r w:rsidR="009473C6">
        <w:t>3</w:t>
      </w:r>
      <w:r w:rsidR="00694490">
        <w:t xml:space="preserve"> </w:t>
      </w:r>
      <w:r w:rsidR="006F42A5">
        <w:t>for copies of the pediatric assent and proxy consent forms.</w:t>
      </w:r>
    </w:p>
    <w:p w14:paraId="523BF76E" w14:textId="77777777" w:rsidR="00D77AB4" w:rsidRPr="00CB349B" w:rsidRDefault="00D77AB4" w:rsidP="004C576D">
      <w:pPr>
        <w:pStyle w:val="StyleLinespacingDouble"/>
      </w:pPr>
      <w:r w:rsidRPr="00CB349B">
        <w:t xml:space="preserve">This study </w:t>
      </w:r>
      <w:r w:rsidR="008937E1">
        <w:t xml:space="preserve">has been </w:t>
      </w:r>
      <w:r w:rsidRPr="00CB349B">
        <w:t xml:space="preserve">reviewed by the Northwestern University IRB </w:t>
      </w:r>
      <w:r w:rsidR="006F42A5" w:rsidRPr="00694490">
        <w:t xml:space="preserve">(see Attachment </w:t>
      </w:r>
      <w:r w:rsidR="009473C6">
        <w:t>62</w:t>
      </w:r>
      <w:r w:rsidR="006F42A5" w:rsidRPr="00694490">
        <w:t>)</w:t>
      </w:r>
      <w:r w:rsidR="008937E1">
        <w:t xml:space="preserve"> and approvals have been </w:t>
      </w:r>
      <w:r w:rsidRPr="00CB349B">
        <w:t xml:space="preserve">received. </w:t>
      </w:r>
    </w:p>
    <w:p w14:paraId="619026D4" w14:textId="77777777" w:rsidR="00D77AB4" w:rsidRPr="00CB349B" w:rsidRDefault="00D77AB4" w:rsidP="004C576D">
      <w:pPr>
        <w:pStyle w:val="StyleLinespacingDouble"/>
      </w:pPr>
      <w:r w:rsidRPr="00CB349B">
        <w:rPr>
          <w:iCs/>
          <w:u w:val="single"/>
        </w:rPr>
        <w:t>Maintaining privacy:</w:t>
      </w:r>
      <w:r w:rsidRPr="00CB349B">
        <w:rPr>
          <w:iCs/>
        </w:rPr>
        <w:t xml:space="preserve">  </w:t>
      </w:r>
      <w:r w:rsidRPr="00CB349B">
        <w:t>Each Field Technician will receive training on the purpose of the study.  All data collection staff will receive training in protecting the confidentiality and privacy of study respondents</w:t>
      </w:r>
      <w:r w:rsidR="002A5AB0">
        <w:t xml:space="preserve"> and complete the Collaborative Institutional Training Initiative (CITI). </w:t>
      </w:r>
    </w:p>
    <w:p w14:paraId="722E741F" w14:textId="77777777" w:rsidR="00D77AB4" w:rsidRPr="002A5AB0" w:rsidRDefault="00D77AB4" w:rsidP="004C576D">
      <w:pPr>
        <w:pStyle w:val="StyleLinespacingDouble"/>
      </w:pPr>
      <w:r w:rsidRPr="002A5AB0">
        <w:t xml:space="preserve">Any hard copy screening questionnaires and other contact materials received at </w:t>
      </w:r>
      <w:proofErr w:type="spellStart"/>
      <w:r w:rsidR="00B2189A" w:rsidRPr="002A5AB0">
        <w:t>Delve’s</w:t>
      </w:r>
      <w:proofErr w:type="spellEnd"/>
      <w:r w:rsidRPr="002A5AB0">
        <w:t xml:space="preserve"> facilit</w:t>
      </w:r>
      <w:r w:rsidR="00B2189A" w:rsidRPr="002A5AB0">
        <w:t>ies</w:t>
      </w:r>
      <w:r w:rsidRPr="002A5AB0">
        <w:t xml:space="preserve"> will be housed in a secured on-site storage room. Hard copy materials are accessed from the </w:t>
      </w:r>
      <w:r w:rsidR="002A5AB0" w:rsidRPr="002A5AB0">
        <w:t xml:space="preserve">secured </w:t>
      </w:r>
      <w:r w:rsidRPr="002A5AB0">
        <w:t xml:space="preserve">room only by authorized staff and only when necessary for data collection activities. </w:t>
      </w:r>
      <w:proofErr w:type="spellStart"/>
      <w:r w:rsidR="00B2189A" w:rsidRPr="002A5AB0">
        <w:t>Delve’s</w:t>
      </w:r>
      <w:proofErr w:type="spellEnd"/>
      <w:r w:rsidRPr="002A5AB0">
        <w:t xml:space="preserve"> electronic systems are </w:t>
      </w:r>
      <w:r w:rsidR="001B48F5" w:rsidRPr="002A5AB0">
        <w:t xml:space="preserve">maintained </w:t>
      </w:r>
      <w:r w:rsidRPr="002A5AB0">
        <w:t xml:space="preserve">on a local area network (LAN). All </w:t>
      </w:r>
      <w:r w:rsidR="00B2189A" w:rsidRPr="002A5AB0">
        <w:t>Delve</w:t>
      </w:r>
      <w:r w:rsidRPr="002A5AB0">
        <w:t xml:space="preserve"> systems used to store electronic survey data are secure by design and protected by passwords only available to authorized study staff.</w:t>
      </w:r>
    </w:p>
    <w:p w14:paraId="7B29B2AF" w14:textId="77777777" w:rsidR="00D77AB4" w:rsidRPr="00CB349B" w:rsidRDefault="00D77AB4" w:rsidP="004C576D">
      <w:pPr>
        <w:pStyle w:val="StyleLinespacingDouble"/>
      </w:pPr>
      <w:r w:rsidRPr="002A5AB0">
        <w:t xml:space="preserve">At each testing site, </w:t>
      </w:r>
      <w:r w:rsidR="00B2189A" w:rsidRPr="002A5AB0">
        <w:t>Delve</w:t>
      </w:r>
      <w:r w:rsidRPr="002A5AB0">
        <w:t xml:space="preserve"> will secure site office space that offers sufficient privacy for the private administration of the Toolbox Project measures. In addition, any hardcopy materials that are stored in the site offices (e.g., the self-administered portion of the Initial Questionnaire</w:t>
      </w:r>
      <w:r w:rsidR="00434EB3" w:rsidRPr="002A5AB0">
        <w:t xml:space="preserve">, see </w:t>
      </w:r>
      <w:r w:rsidR="00434EB3" w:rsidRPr="00694490">
        <w:lastRenderedPageBreak/>
        <w:t>Attachment</w:t>
      </w:r>
      <w:r w:rsidR="009473C6">
        <w:t>s</w:t>
      </w:r>
      <w:r w:rsidR="00434EB3" w:rsidRPr="00694490">
        <w:t xml:space="preserve"> </w:t>
      </w:r>
      <w:r w:rsidR="009473C6">
        <w:t>39-40</w:t>
      </w:r>
      <w:r w:rsidRPr="00694490">
        <w:t>)</w:t>
      </w:r>
      <w:r w:rsidRPr="002A5AB0">
        <w:t xml:space="preserve"> will be kept secure in a locked cabinet. In all facets of scheduling and administration of the interviews, the contractor will be keenly aware of the imperative to protect the confidentiality and safety of the respondents.</w:t>
      </w:r>
    </w:p>
    <w:p w14:paraId="09B8D34C" w14:textId="77777777" w:rsidR="00D77AB4" w:rsidRPr="00CB349B" w:rsidRDefault="00D77AB4" w:rsidP="004C576D">
      <w:pPr>
        <w:pStyle w:val="StyleLinespacingDouble"/>
        <w:rPr>
          <w:color w:val="000000"/>
        </w:rPr>
      </w:pPr>
      <w:r w:rsidRPr="00CB349B">
        <w:rPr>
          <w:color w:val="000000"/>
          <w:u w:val="single"/>
        </w:rPr>
        <w:t>Certificate of Confidentiality</w:t>
      </w:r>
      <w:r w:rsidRPr="00CB349B">
        <w:rPr>
          <w:color w:val="000000"/>
        </w:rPr>
        <w:t>: Under section 301(d) of the Public Health Service Act (42 U.S.C. 241(d)) the Secretary of Health and Human Services may authorize persons engaged in biomedical, behavioral, clinical, or other research to protect the privacy of individuals who are the subjects of that research. This authority has been delegated to the NIH.</w:t>
      </w:r>
    </w:p>
    <w:p w14:paraId="128EB77F" w14:textId="162B99B2" w:rsidR="00D77AB4" w:rsidRPr="00CB349B" w:rsidRDefault="00D77AB4" w:rsidP="004C576D">
      <w:pPr>
        <w:pStyle w:val="StyleLinespacingDouble"/>
      </w:pPr>
      <w:r w:rsidRPr="00BE4E48">
        <w:rPr>
          <w:color w:val="000000"/>
        </w:rPr>
        <w:t xml:space="preserve">Northwestern University </w:t>
      </w:r>
      <w:r w:rsidR="00E47AC6" w:rsidRPr="00BE4E48">
        <w:rPr>
          <w:color w:val="000000"/>
        </w:rPr>
        <w:t xml:space="preserve">has been granted </w:t>
      </w:r>
      <w:proofErr w:type="gramStart"/>
      <w:r w:rsidR="00E47AC6" w:rsidRPr="00BE4E48">
        <w:rPr>
          <w:color w:val="000000"/>
        </w:rPr>
        <w:t xml:space="preserve">a </w:t>
      </w:r>
      <w:r w:rsidRPr="00BE4E48">
        <w:rPr>
          <w:color w:val="000000"/>
        </w:rPr>
        <w:t xml:space="preserve"> Certificate</w:t>
      </w:r>
      <w:proofErr w:type="gramEnd"/>
      <w:r w:rsidRPr="00BE4E48">
        <w:rPr>
          <w:color w:val="000000"/>
        </w:rPr>
        <w:t xml:space="preserve"> of Confidentiality that will cover all data collection sites and the University itself</w:t>
      </w:r>
      <w:r w:rsidR="006F42A5" w:rsidRPr="00BE4E48">
        <w:rPr>
          <w:color w:val="000000"/>
        </w:rPr>
        <w:t xml:space="preserve"> (see Attachment </w:t>
      </w:r>
      <w:r w:rsidR="009473C6" w:rsidRPr="00BE4E48">
        <w:rPr>
          <w:color w:val="000000"/>
        </w:rPr>
        <w:t>61</w:t>
      </w:r>
      <w:r w:rsidR="006F42A5" w:rsidRPr="00BE4E48">
        <w:rPr>
          <w:color w:val="000000"/>
        </w:rPr>
        <w:t>)</w:t>
      </w:r>
      <w:r w:rsidRPr="00BE4E48">
        <w:rPr>
          <w:color w:val="000000"/>
        </w:rPr>
        <w:t>.</w:t>
      </w:r>
      <w:r w:rsidRPr="00CB349B">
        <w:rPr>
          <w:color w:val="000000"/>
        </w:rPr>
        <w:t xml:space="preserve"> The Certificate will be issued by the NIH to protect the privacy of research subjects by protecting investigators and institutions from being compelled to release information that could be used to identify subjects with a research project. It will allow the investigator and others who have access to research records to refuse to disclose identifying information in any civil, criminal, administrative, legislative, or other proceeding, whether at the federal, state, or local level.  </w:t>
      </w:r>
    </w:p>
    <w:p w14:paraId="08222F0C" w14:textId="77777777" w:rsidR="00D77AB4" w:rsidRPr="00CB349B" w:rsidRDefault="00D77AB4" w:rsidP="004C576D">
      <w:pPr>
        <w:pStyle w:val="StyleLinespacingDouble"/>
      </w:pPr>
      <w:r w:rsidRPr="00CB349B">
        <w:rPr>
          <w:u w:val="single"/>
        </w:rPr>
        <w:t>Site monitoring</w:t>
      </w:r>
      <w:r w:rsidRPr="00CB349B">
        <w:t xml:space="preserve">: Site monitoring is the mechanism by which a data collection site is formally evaluated to determine the degree of accuracy and completeness of the data collected and to assess compliance with Federal regulations and Good Clinical Practice (GCP) guidelines pertaining to recordkeeping and reporting requirements. </w:t>
      </w:r>
    </w:p>
    <w:p w14:paraId="2273A3C5" w14:textId="77777777" w:rsidR="00D77AB4" w:rsidRPr="00CB349B" w:rsidRDefault="00D77AB4" w:rsidP="004C576D">
      <w:pPr>
        <w:pStyle w:val="StyleLinespacingDouble"/>
      </w:pPr>
      <w:r w:rsidRPr="00CB349B">
        <w:t xml:space="preserve">A site initiation visit will be performed by a Northwestern University site monitor before the site begins data collection. Prior to the site initiation visit, the monitor will verify that all necessary materials have been shipped and received by the site. During the visit, the monitor will meet with the site staff and review general study procedures and expectations for site performance. In </w:t>
      </w:r>
      <w:r w:rsidRPr="00CB349B">
        <w:lastRenderedPageBreak/>
        <w:t>addition, the roles and responsibilities of the personnel will be discussed. The monitor will explain Federal and GCP guidelines and clarify any general or specific protocol-related questions. The monitor will also tour the facilities and evaluate them accordingly. These areas include the data collection area and secured areas (</w:t>
      </w:r>
      <w:r>
        <w:t xml:space="preserve">e.g., </w:t>
      </w:r>
      <w:r w:rsidRPr="00CB349B">
        <w:t xml:space="preserve">computer, regulatory documentation, </w:t>
      </w:r>
      <w:r>
        <w:t xml:space="preserve">and </w:t>
      </w:r>
      <w:r w:rsidRPr="00CB349B">
        <w:t xml:space="preserve">case report form storage). Items to be considered include overall space and waiting areas; whether data collection areas provide sufficient privacy; and availability of locked file cabinets for record and computer storage. </w:t>
      </w:r>
    </w:p>
    <w:p w14:paraId="495E9030" w14:textId="77777777" w:rsidR="00D77AB4" w:rsidRPr="004347BB" w:rsidRDefault="00D77AB4" w:rsidP="004347BB">
      <w:pPr>
        <w:pStyle w:val="Heading2"/>
      </w:pPr>
      <w:bookmarkStart w:id="48" w:name="_Toc443881752"/>
      <w:bookmarkStart w:id="49" w:name="_Toc451592241"/>
      <w:bookmarkStart w:id="50" w:name="_Toc5610282"/>
      <w:bookmarkStart w:id="51" w:name="_Toc99178788"/>
      <w:bookmarkStart w:id="52" w:name="_Toc248639044"/>
      <w:r w:rsidRPr="004347BB">
        <w:t>A.11</w:t>
      </w:r>
      <w:r w:rsidRPr="004347BB">
        <w:tab/>
        <w:t>Justification for Sensitive Questions</w:t>
      </w:r>
      <w:bookmarkEnd w:id="48"/>
      <w:bookmarkEnd w:id="49"/>
      <w:bookmarkEnd w:id="50"/>
      <w:bookmarkEnd w:id="51"/>
      <w:bookmarkEnd w:id="52"/>
    </w:p>
    <w:p w14:paraId="4BCE5030" w14:textId="77777777" w:rsidR="00D77AB4" w:rsidRPr="00CB349B" w:rsidRDefault="00D77AB4" w:rsidP="00267C16">
      <w:pPr>
        <w:pStyle w:val="StyleLinespacingDouble"/>
      </w:pPr>
      <w:r w:rsidRPr="00CB349B">
        <w:t>Some questions, such as those in the Emotional Health domain of Toolbox</w:t>
      </w:r>
      <w:r w:rsidR="006F42A5">
        <w:t xml:space="preserve"> (located in </w:t>
      </w:r>
      <w:r w:rsidR="006F42A5" w:rsidRPr="00694490">
        <w:t>At</w:t>
      </w:r>
      <w:r w:rsidR="003A7790" w:rsidRPr="00694490">
        <w:t xml:space="preserve">tachments </w:t>
      </w:r>
      <w:r w:rsidR="00694490" w:rsidRPr="003842C7">
        <w:t>3</w:t>
      </w:r>
      <w:r w:rsidR="009473C6">
        <w:t>1</w:t>
      </w:r>
      <w:r w:rsidR="00694490" w:rsidRPr="003842C7">
        <w:t>-32</w:t>
      </w:r>
      <w:r w:rsidR="006F42A5" w:rsidRPr="00694490">
        <w:t>)</w:t>
      </w:r>
      <w:r w:rsidRPr="00694490">
        <w:t>, are</w:t>
      </w:r>
      <w:r w:rsidRPr="00CB349B">
        <w:t xml:space="preserve"> sensitive but are included because they address areas of functioning that experts in the field </w:t>
      </w:r>
      <w:r w:rsidR="001B48F5">
        <w:t xml:space="preserve">have </w:t>
      </w:r>
      <w:r w:rsidRPr="00CB349B">
        <w:t xml:space="preserve">identified as being significantly important to an assessment of neurological and behavioral functioning.  Therefore, these questions are necessary to include </w:t>
      </w:r>
      <w:r w:rsidR="00772DD9">
        <w:t xml:space="preserve">in order </w:t>
      </w:r>
      <w:proofErr w:type="gramStart"/>
      <w:r w:rsidR="00772DD9">
        <w:t>to fulfill</w:t>
      </w:r>
      <w:proofErr w:type="gramEnd"/>
      <w:r w:rsidR="00772DD9">
        <w:t xml:space="preserve"> </w:t>
      </w:r>
      <w:r w:rsidRPr="00CB349B">
        <w:t xml:space="preserve">NIH’s requirement to develop a Toolbox that evaluates important aspects of functioning and </w:t>
      </w:r>
      <w:r w:rsidR="001B48F5">
        <w:t xml:space="preserve">which </w:t>
      </w:r>
      <w:r w:rsidRPr="00CB349B">
        <w:t>can be used in clinical trials and epidemiological studies.  We will also ask about income (for the purpose of describing our sample), but attempt to make this inquiry less intrusive by asking respondents to choose an income “bracket” (e.g.</w:t>
      </w:r>
      <w:r>
        <w:t>,</w:t>
      </w:r>
      <w:r w:rsidRPr="00CB349B">
        <w:t xml:space="preserve"> “Between $20,001 and $40,000”) rather than to give a specific amount.  </w:t>
      </w:r>
      <w:r w:rsidRPr="00B2189A">
        <w:rPr>
          <w:szCs w:val="24"/>
        </w:rPr>
        <w:t xml:space="preserve">Participants will be </w:t>
      </w:r>
      <w:r w:rsidR="00B2189A">
        <w:rPr>
          <w:szCs w:val="24"/>
        </w:rPr>
        <w:t>receiving some study materials</w:t>
      </w:r>
      <w:r w:rsidRPr="00B2189A">
        <w:rPr>
          <w:szCs w:val="24"/>
        </w:rPr>
        <w:t xml:space="preserve"> via mail and contacted by phone for scheduling of appointments, which requires address and telephone information</w:t>
      </w:r>
      <w:r w:rsidR="006F42A5" w:rsidRPr="00B2189A">
        <w:rPr>
          <w:szCs w:val="24"/>
        </w:rPr>
        <w:t xml:space="preserve"> (see recruitment </w:t>
      </w:r>
      <w:r w:rsidR="006F42A5" w:rsidRPr="00694490">
        <w:rPr>
          <w:szCs w:val="24"/>
        </w:rPr>
        <w:t xml:space="preserve">materials in Attachment </w:t>
      </w:r>
      <w:r w:rsidR="00694490" w:rsidRPr="003842C7">
        <w:rPr>
          <w:szCs w:val="24"/>
        </w:rPr>
        <w:t>6</w:t>
      </w:r>
      <w:r w:rsidR="009473C6">
        <w:rPr>
          <w:szCs w:val="24"/>
        </w:rPr>
        <w:t>0</w:t>
      </w:r>
      <w:r w:rsidR="006F42A5" w:rsidRPr="00694490">
        <w:rPr>
          <w:szCs w:val="24"/>
        </w:rPr>
        <w:t>)</w:t>
      </w:r>
      <w:r w:rsidRPr="00694490">
        <w:rPr>
          <w:szCs w:val="24"/>
        </w:rPr>
        <w:t>.</w:t>
      </w:r>
      <w:r w:rsidRPr="003A25B2">
        <w:t xml:space="preserve"> </w:t>
      </w:r>
      <w:r w:rsidR="00B2189A" w:rsidRPr="003A25B2">
        <w:t>Delve</w:t>
      </w:r>
      <w:r w:rsidRPr="00CB349B">
        <w:t xml:space="preserve"> will protect the confidentiality of this information and will not release this identifying information to third parties. </w:t>
      </w:r>
    </w:p>
    <w:p w14:paraId="44E7179B" w14:textId="77777777" w:rsidR="00E362C7" w:rsidRPr="004347BB" w:rsidRDefault="00E362C7" w:rsidP="00267C16">
      <w:pPr>
        <w:pStyle w:val="Heading2"/>
        <w:spacing w:before="0" w:after="240" w:line="480" w:lineRule="auto"/>
      </w:pPr>
      <w:bookmarkStart w:id="53" w:name="_Toc248639045"/>
      <w:bookmarkStart w:id="54" w:name="_Toc443881756"/>
      <w:bookmarkStart w:id="55" w:name="_Toc451592243"/>
      <w:bookmarkStart w:id="56" w:name="_Toc5610284"/>
      <w:bookmarkStart w:id="57" w:name="_Toc99178790"/>
      <w:r w:rsidRPr="004347BB">
        <w:lastRenderedPageBreak/>
        <w:t>A.12</w:t>
      </w:r>
      <w:r w:rsidRPr="004347BB">
        <w:tab/>
        <w:t>Estimates of Hour Burden Including Annualized Hourly Costs</w:t>
      </w:r>
      <w:bookmarkEnd w:id="53"/>
      <w:r w:rsidRPr="004347BB">
        <w:t xml:space="preserve"> </w:t>
      </w:r>
    </w:p>
    <w:p w14:paraId="70816ACD" w14:textId="77777777" w:rsidR="00E362C7" w:rsidRDefault="00E362C7" w:rsidP="00E362C7">
      <w:pPr>
        <w:pStyle w:val="StyleLinespacingDouble"/>
      </w:pPr>
      <w:r w:rsidRPr="00732889">
        <w:t>Response burden estimates are shown in Tables A.12</w:t>
      </w:r>
      <w:r>
        <w:t>-</w:t>
      </w:r>
      <w:r w:rsidRPr="00732889">
        <w:t>1 and A.12-2</w:t>
      </w:r>
      <w:r>
        <w:t xml:space="preserve"> and</w:t>
      </w:r>
      <w:r w:rsidRPr="00CB349B">
        <w:t xml:space="preserve"> are based on the measure development experience during which respondents completed similar types of tasks.  The average time per response </w:t>
      </w:r>
      <w:r>
        <w:t xml:space="preserve">differs for different types of participants. For the typical adult and child participants, the time burden </w:t>
      </w:r>
      <w:r w:rsidRPr="00CB349B">
        <w:t xml:space="preserve">includes the initial questionnaire (0.5 hours) completed prior to completing the </w:t>
      </w:r>
      <w:r w:rsidR="00581673">
        <w:t>T</w:t>
      </w:r>
      <w:r w:rsidRPr="00CB349B">
        <w:t>oolbox measures</w:t>
      </w:r>
      <w:r w:rsidR="00B2189A">
        <w:t>, the T</w:t>
      </w:r>
      <w:r>
        <w:t>oolbox measures themselves</w:t>
      </w:r>
      <w:r w:rsidRPr="00CB349B">
        <w:t xml:space="preserve"> (2 hours for adults, 1.5 hours for children)</w:t>
      </w:r>
      <w:r>
        <w:t>,</w:t>
      </w:r>
      <w:r w:rsidRPr="00CB349B">
        <w:t xml:space="preserve"> and an additional half hour for other measures.  Testing sessions will be somewhat reduced for children ages 3-5 because not all measures </w:t>
      </w:r>
      <w:r>
        <w:t>are</w:t>
      </w:r>
      <w:r w:rsidRPr="00CB349B">
        <w:t xml:space="preserve"> applicable to this group of young children. </w:t>
      </w:r>
      <w:r>
        <w:t xml:space="preserve">Furthermore, a parent/ guardian of each child participant, who may or may not be a study participant themselves, will complete approximately one half-hour of proxy questions regarding their child. </w:t>
      </w:r>
    </w:p>
    <w:p w14:paraId="2FEB1DFB" w14:textId="77777777" w:rsidR="00E362C7" w:rsidRDefault="009C4240" w:rsidP="00E362C7">
      <w:pPr>
        <w:pStyle w:val="StyleLinespacingDouble"/>
      </w:pPr>
      <w:r w:rsidRPr="00D5162B">
        <w:rPr>
          <w:szCs w:val="24"/>
        </w:rPr>
        <w:t xml:space="preserve">The norming sample will be </w:t>
      </w:r>
      <w:r w:rsidR="00581673">
        <w:rPr>
          <w:szCs w:val="24"/>
        </w:rPr>
        <w:t>used</w:t>
      </w:r>
      <w:r w:rsidRPr="00D5162B">
        <w:rPr>
          <w:szCs w:val="24"/>
        </w:rPr>
        <w:t xml:space="preserve"> to establish test-retest reliability and </w:t>
      </w:r>
      <w:r w:rsidR="00772DD9">
        <w:rPr>
          <w:szCs w:val="24"/>
        </w:rPr>
        <w:t xml:space="preserve">evaluation of practice effects </w:t>
      </w:r>
      <w:r w:rsidRPr="00D5162B">
        <w:rPr>
          <w:szCs w:val="24"/>
        </w:rPr>
        <w:t xml:space="preserve">for all Toolbox measures.  Therefore, the measures will need to be re-administered to a subset of the norming sample.  For test-retest reliability, </w:t>
      </w:r>
      <w:r w:rsidR="00581673">
        <w:rPr>
          <w:szCs w:val="24"/>
        </w:rPr>
        <w:t>375</w:t>
      </w:r>
      <w:r w:rsidRPr="00D5162B">
        <w:rPr>
          <w:szCs w:val="24"/>
        </w:rPr>
        <w:t xml:space="preserve"> children (and thei</w:t>
      </w:r>
      <w:r w:rsidR="00D5162B">
        <w:rPr>
          <w:szCs w:val="24"/>
        </w:rPr>
        <w:t>r parents for proxy measures</w:t>
      </w:r>
      <w:r w:rsidRPr="00D5162B">
        <w:rPr>
          <w:szCs w:val="24"/>
        </w:rPr>
        <w:t xml:space="preserve">) and </w:t>
      </w:r>
      <w:r w:rsidR="00581673">
        <w:rPr>
          <w:szCs w:val="24"/>
        </w:rPr>
        <w:t>375</w:t>
      </w:r>
      <w:r w:rsidRPr="00D5162B">
        <w:rPr>
          <w:szCs w:val="24"/>
        </w:rPr>
        <w:t xml:space="preserve"> adults will complete the entire battery of Toolbox measures one week after the initial administration.  For</w:t>
      </w:r>
      <w:r w:rsidR="003842C7">
        <w:rPr>
          <w:szCs w:val="24"/>
        </w:rPr>
        <w:t xml:space="preserve"> </w:t>
      </w:r>
      <w:r w:rsidR="00772DD9">
        <w:rPr>
          <w:szCs w:val="24"/>
        </w:rPr>
        <w:t>assessment of practice effects</w:t>
      </w:r>
      <w:r w:rsidRPr="00D5162B">
        <w:rPr>
          <w:szCs w:val="24"/>
        </w:rPr>
        <w:t xml:space="preserve">, all Toolbox measures will be administered to </w:t>
      </w:r>
      <w:r w:rsidR="00581673">
        <w:rPr>
          <w:szCs w:val="24"/>
        </w:rPr>
        <w:t>375</w:t>
      </w:r>
      <w:r w:rsidRPr="00D5162B">
        <w:rPr>
          <w:szCs w:val="24"/>
        </w:rPr>
        <w:t xml:space="preserve"> children (and their parents for proxy measures) and </w:t>
      </w:r>
      <w:r w:rsidR="00581673">
        <w:rPr>
          <w:szCs w:val="24"/>
        </w:rPr>
        <w:t>375</w:t>
      </w:r>
      <w:r w:rsidRPr="00D5162B">
        <w:rPr>
          <w:szCs w:val="24"/>
        </w:rPr>
        <w:t xml:space="preserve"> adults </w:t>
      </w:r>
      <w:r w:rsidR="00581673">
        <w:rPr>
          <w:szCs w:val="24"/>
        </w:rPr>
        <w:t>three</w:t>
      </w:r>
      <w:r w:rsidRPr="00D5162B">
        <w:rPr>
          <w:szCs w:val="24"/>
        </w:rPr>
        <w:t xml:space="preserve"> months after the initial administration.  There will be no overlap between samples used for test-retest reliability and</w:t>
      </w:r>
      <w:r w:rsidR="003842C7">
        <w:rPr>
          <w:szCs w:val="24"/>
        </w:rPr>
        <w:t xml:space="preserve"> </w:t>
      </w:r>
      <w:r w:rsidR="00772DD9">
        <w:rPr>
          <w:szCs w:val="24"/>
        </w:rPr>
        <w:t>evaluation of practice effects</w:t>
      </w:r>
      <w:r w:rsidRPr="00D5162B">
        <w:rPr>
          <w:szCs w:val="24"/>
        </w:rPr>
        <w:t xml:space="preserve">. Therefore, a total of </w:t>
      </w:r>
      <w:r w:rsidR="00581673">
        <w:rPr>
          <w:szCs w:val="24"/>
        </w:rPr>
        <w:t>750</w:t>
      </w:r>
      <w:r w:rsidRPr="00D5162B">
        <w:rPr>
          <w:szCs w:val="24"/>
        </w:rPr>
        <w:t xml:space="preserve"> adults and </w:t>
      </w:r>
      <w:r w:rsidR="00581673">
        <w:rPr>
          <w:szCs w:val="24"/>
        </w:rPr>
        <w:t>750</w:t>
      </w:r>
      <w:r w:rsidRPr="00D5162B">
        <w:rPr>
          <w:szCs w:val="24"/>
        </w:rPr>
        <w:t xml:space="preserve"> children (with their parent-proxies) will complete two assessments.</w:t>
      </w:r>
      <w:r w:rsidR="005D3D34">
        <w:t xml:space="preserve">  Table A.12 </w:t>
      </w:r>
      <w:r w:rsidR="009C1C62">
        <w:t xml:space="preserve">– 3 </w:t>
      </w:r>
      <w:r w:rsidR="005D3D34">
        <w:t>identifies measures to be completed according to type of respondent.</w:t>
      </w:r>
    </w:p>
    <w:p w14:paraId="69E9E20D" w14:textId="77777777" w:rsidR="002F68CC" w:rsidRDefault="00E362C7" w:rsidP="002F68CC">
      <w:pPr>
        <w:pStyle w:val="StyleLinespacingDouble"/>
      </w:pPr>
      <w:r w:rsidRPr="00CB349B">
        <w:lastRenderedPageBreak/>
        <w:t xml:space="preserve">With respect to time costs, we do not know the professional backgrounds or employment status of respondents and therefore we have no knowledge about hourly wages.  We have chosen $25 as an average for the purpose of calculating a time-cost estimate.  </w:t>
      </w:r>
      <w:r w:rsidR="002F68CC">
        <w:br w:type="page"/>
      </w:r>
    </w:p>
    <w:tbl>
      <w:tblPr>
        <w:tblW w:w="0" w:type="auto"/>
        <w:jc w:val="center"/>
        <w:tblInd w:w="-1178"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3693"/>
        <w:gridCol w:w="1530"/>
        <w:gridCol w:w="1260"/>
        <w:gridCol w:w="1260"/>
        <w:gridCol w:w="1301"/>
      </w:tblGrid>
      <w:tr w:rsidR="00E362C7" w:rsidRPr="00CB349B" w14:paraId="15078B53" w14:textId="77777777" w:rsidTr="00B37F43">
        <w:trPr>
          <w:cantSplit/>
          <w:trHeight w:val="561"/>
          <w:jc w:val="center"/>
        </w:trPr>
        <w:tc>
          <w:tcPr>
            <w:tcW w:w="9044" w:type="dxa"/>
            <w:gridSpan w:val="5"/>
            <w:tcBorders>
              <w:top w:val="single" w:sz="24" w:space="0" w:color="auto"/>
              <w:left w:val="single" w:sz="24" w:space="0" w:color="auto"/>
              <w:bottom w:val="single" w:sz="6" w:space="0" w:color="auto"/>
              <w:right w:val="single" w:sz="24" w:space="0" w:color="auto"/>
            </w:tcBorders>
            <w:shd w:val="clear" w:color="auto" w:fill="E6E6E6"/>
            <w:vAlign w:val="center"/>
          </w:tcPr>
          <w:p w14:paraId="4C91EB95" w14:textId="77777777" w:rsidR="00E362C7" w:rsidRPr="00054389" w:rsidRDefault="00E362C7" w:rsidP="00B37F43">
            <w:pPr>
              <w:jc w:val="center"/>
              <w:rPr>
                <w:b/>
                <w:sz w:val="22"/>
                <w:szCs w:val="22"/>
              </w:rPr>
            </w:pPr>
            <w:r w:rsidRPr="00CB349B">
              <w:rPr>
                <w:sz w:val="22"/>
                <w:szCs w:val="22"/>
              </w:rPr>
              <w:lastRenderedPageBreak/>
              <w:br w:type="page"/>
            </w:r>
            <w:r w:rsidR="009C4240" w:rsidRPr="00894F42">
              <w:rPr>
                <w:b/>
                <w:smallCaps/>
                <w:sz w:val="22"/>
                <w:szCs w:val="22"/>
              </w:rPr>
              <w:t>A.12 – 1</w:t>
            </w:r>
            <w:r w:rsidRPr="00CB349B">
              <w:rPr>
                <w:b/>
                <w:smallCaps/>
                <w:sz w:val="22"/>
                <w:szCs w:val="22"/>
              </w:rPr>
              <w:t xml:space="preserve">   </w:t>
            </w:r>
            <w:r>
              <w:rPr>
                <w:b/>
                <w:smallCaps/>
                <w:sz w:val="22"/>
                <w:szCs w:val="22"/>
              </w:rPr>
              <w:t>Estimates of Annual</w:t>
            </w:r>
            <w:r w:rsidRPr="00CB349B">
              <w:rPr>
                <w:b/>
                <w:smallCaps/>
                <w:sz w:val="22"/>
                <w:szCs w:val="22"/>
              </w:rPr>
              <w:t xml:space="preserve"> </w:t>
            </w:r>
            <w:r>
              <w:rPr>
                <w:b/>
                <w:smallCaps/>
                <w:sz w:val="22"/>
                <w:szCs w:val="22"/>
              </w:rPr>
              <w:t>Burden Hours</w:t>
            </w:r>
          </w:p>
        </w:tc>
      </w:tr>
      <w:tr w:rsidR="00E362C7" w:rsidRPr="00CB349B" w14:paraId="42CCB76D" w14:textId="77777777" w:rsidTr="00B37F43">
        <w:trPr>
          <w:cantSplit/>
          <w:trHeight w:val="840"/>
          <w:jc w:val="center"/>
        </w:trPr>
        <w:tc>
          <w:tcPr>
            <w:tcW w:w="3693" w:type="dxa"/>
            <w:tcBorders>
              <w:top w:val="single" w:sz="6" w:space="0" w:color="auto"/>
              <w:left w:val="single" w:sz="24" w:space="0" w:color="auto"/>
              <w:bottom w:val="single" w:sz="6" w:space="0" w:color="auto"/>
              <w:right w:val="single" w:sz="6" w:space="0" w:color="auto"/>
            </w:tcBorders>
            <w:shd w:val="clear" w:color="auto" w:fill="FFFFFF"/>
          </w:tcPr>
          <w:p w14:paraId="5D789A9C" w14:textId="77777777" w:rsidR="00E362C7" w:rsidRPr="00054389" w:rsidRDefault="00E362C7" w:rsidP="00B37F43">
            <w:pPr>
              <w:rPr>
                <w:b/>
                <w:sz w:val="22"/>
                <w:szCs w:val="22"/>
              </w:rPr>
            </w:pPr>
            <w:r w:rsidRPr="00054389">
              <w:rPr>
                <w:b/>
                <w:sz w:val="22"/>
                <w:szCs w:val="22"/>
              </w:rPr>
              <w:t xml:space="preserve">Type of </w:t>
            </w:r>
          </w:p>
          <w:p w14:paraId="76D039FF" w14:textId="77777777" w:rsidR="00E362C7" w:rsidRPr="00054389" w:rsidRDefault="00E362C7" w:rsidP="00B37F43">
            <w:pPr>
              <w:rPr>
                <w:sz w:val="22"/>
                <w:szCs w:val="22"/>
              </w:rPr>
            </w:pPr>
            <w:r w:rsidRPr="00054389">
              <w:rPr>
                <w:b/>
                <w:sz w:val="22"/>
                <w:szCs w:val="22"/>
              </w:rPr>
              <w:t>Respondents</w:t>
            </w:r>
          </w:p>
        </w:tc>
        <w:tc>
          <w:tcPr>
            <w:tcW w:w="1530" w:type="dxa"/>
            <w:tcBorders>
              <w:top w:val="single" w:sz="6" w:space="0" w:color="auto"/>
              <w:left w:val="single" w:sz="6" w:space="0" w:color="auto"/>
              <w:bottom w:val="single" w:sz="6" w:space="0" w:color="auto"/>
              <w:right w:val="single" w:sz="6" w:space="0" w:color="auto"/>
            </w:tcBorders>
          </w:tcPr>
          <w:p w14:paraId="2D4DD7FC" w14:textId="77777777" w:rsidR="00E362C7" w:rsidRPr="00054389" w:rsidRDefault="00E362C7" w:rsidP="00B37F43">
            <w:pPr>
              <w:rPr>
                <w:b/>
                <w:sz w:val="22"/>
                <w:szCs w:val="22"/>
              </w:rPr>
            </w:pPr>
            <w:r w:rsidRPr="00054389">
              <w:rPr>
                <w:b/>
                <w:sz w:val="22"/>
                <w:szCs w:val="22"/>
              </w:rPr>
              <w:t xml:space="preserve">Number of </w:t>
            </w:r>
          </w:p>
          <w:p w14:paraId="1E63AB33" w14:textId="77777777" w:rsidR="00E362C7" w:rsidRPr="00054389" w:rsidRDefault="00E362C7" w:rsidP="00B37F43">
            <w:pPr>
              <w:rPr>
                <w:sz w:val="22"/>
                <w:szCs w:val="22"/>
              </w:rPr>
            </w:pPr>
            <w:r w:rsidRPr="00054389">
              <w:rPr>
                <w:b/>
                <w:sz w:val="22"/>
                <w:szCs w:val="22"/>
              </w:rPr>
              <w:t>Respondents</w:t>
            </w:r>
          </w:p>
          <w:p w14:paraId="70AB9665" w14:textId="77777777" w:rsidR="00E362C7" w:rsidRPr="00054389" w:rsidRDefault="00E362C7" w:rsidP="00B37F43">
            <w:pPr>
              <w:rPr>
                <w:sz w:val="22"/>
                <w:szCs w:val="22"/>
              </w:rPr>
            </w:pPr>
          </w:p>
        </w:tc>
        <w:tc>
          <w:tcPr>
            <w:tcW w:w="1260" w:type="dxa"/>
            <w:tcBorders>
              <w:top w:val="single" w:sz="6" w:space="0" w:color="auto"/>
              <w:left w:val="single" w:sz="6" w:space="0" w:color="auto"/>
              <w:bottom w:val="single" w:sz="6" w:space="0" w:color="auto"/>
              <w:right w:val="single" w:sz="6" w:space="0" w:color="auto"/>
            </w:tcBorders>
          </w:tcPr>
          <w:p w14:paraId="01B59CDA" w14:textId="77777777" w:rsidR="00E362C7" w:rsidRPr="00054389" w:rsidRDefault="00E362C7" w:rsidP="00B37F43">
            <w:pPr>
              <w:rPr>
                <w:b/>
                <w:sz w:val="22"/>
                <w:szCs w:val="22"/>
              </w:rPr>
            </w:pPr>
            <w:r w:rsidRPr="00054389">
              <w:rPr>
                <w:b/>
                <w:sz w:val="22"/>
                <w:szCs w:val="22"/>
              </w:rPr>
              <w:t>Frequency of Response</w:t>
            </w:r>
          </w:p>
        </w:tc>
        <w:tc>
          <w:tcPr>
            <w:tcW w:w="1260" w:type="dxa"/>
            <w:tcBorders>
              <w:top w:val="single" w:sz="6" w:space="0" w:color="auto"/>
              <w:left w:val="single" w:sz="6" w:space="0" w:color="auto"/>
              <w:bottom w:val="single" w:sz="6" w:space="0" w:color="auto"/>
              <w:right w:val="single" w:sz="6" w:space="0" w:color="auto"/>
            </w:tcBorders>
          </w:tcPr>
          <w:p w14:paraId="2F4F09EC" w14:textId="77777777" w:rsidR="00E362C7" w:rsidRPr="00054389" w:rsidRDefault="00E362C7" w:rsidP="00B37F43">
            <w:pPr>
              <w:rPr>
                <w:b/>
                <w:sz w:val="22"/>
                <w:szCs w:val="22"/>
              </w:rPr>
            </w:pPr>
            <w:r w:rsidRPr="00054389">
              <w:rPr>
                <w:b/>
                <w:sz w:val="22"/>
                <w:szCs w:val="22"/>
              </w:rPr>
              <w:t>Average</w:t>
            </w:r>
          </w:p>
          <w:p w14:paraId="063C7B75" w14:textId="77777777" w:rsidR="00E362C7" w:rsidRPr="00054389" w:rsidRDefault="00E362C7" w:rsidP="00B37F43">
            <w:pPr>
              <w:rPr>
                <w:b/>
                <w:sz w:val="22"/>
                <w:szCs w:val="22"/>
              </w:rPr>
            </w:pPr>
            <w:r w:rsidRPr="00054389">
              <w:rPr>
                <w:b/>
                <w:sz w:val="22"/>
                <w:szCs w:val="22"/>
              </w:rPr>
              <w:t>Time per</w:t>
            </w:r>
          </w:p>
          <w:p w14:paraId="5958DE04" w14:textId="77777777" w:rsidR="00E362C7" w:rsidRPr="00054389" w:rsidRDefault="00E362C7" w:rsidP="00B37F43">
            <w:pPr>
              <w:rPr>
                <w:sz w:val="22"/>
                <w:szCs w:val="22"/>
              </w:rPr>
            </w:pPr>
            <w:r w:rsidRPr="00054389">
              <w:rPr>
                <w:b/>
                <w:sz w:val="22"/>
                <w:szCs w:val="22"/>
              </w:rPr>
              <w:t>Response</w:t>
            </w:r>
          </w:p>
        </w:tc>
        <w:tc>
          <w:tcPr>
            <w:tcW w:w="1301" w:type="dxa"/>
            <w:tcBorders>
              <w:top w:val="single" w:sz="6" w:space="0" w:color="auto"/>
              <w:left w:val="single" w:sz="6" w:space="0" w:color="auto"/>
              <w:bottom w:val="single" w:sz="6" w:space="0" w:color="auto"/>
              <w:right w:val="single" w:sz="24" w:space="0" w:color="auto"/>
            </w:tcBorders>
          </w:tcPr>
          <w:p w14:paraId="414A273B" w14:textId="77777777" w:rsidR="00E362C7" w:rsidRPr="00054389" w:rsidRDefault="00E362C7" w:rsidP="00B37F43">
            <w:pPr>
              <w:jc w:val="center"/>
              <w:rPr>
                <w:b/>
                <w:sz w:val="22"/>
                <w:szCs w:val="22"/>
              </w:rPr>
            </w:pPr>
            <w:r w:rsidRPr="00054389">
              <w:rPr>
                <w:b/>
                <w:sz w:val="22"/>
                <w:szCs w:val="22"/>
              </w:rPr>
              <w:t xml:space="preserve">Annual Hour </w:t>
            </w:r>
          </w:p>
          <w:p w14:paraId="54CFCBDD" w14:textId="77777777" w:rsidR="00E362C7" w:rsidRPr="00054389" w:rsidRDefault="00E362C7" w:rsidP="00B37F43">
            <w:pPr>
              <w:jc w:val="center"/>
              <w:rPr>
                <w:sz w:val="22"/>
                <w:szCs w:val="22"/>
              </w:rPr>
            </w:pPr>
            <w:r w:rsidRPr="00054389">
              <w:rPr>
                <w:b/>
                <w:sz w:val="22"/>
                <w:szCs w:val="22"/>
              </w:rPr>
              <w:t>Burden</w:t>
            </w:r>
          </w:p>
        </w:tc>
      </w:tr>
      <w:tr w:rsidR="00E362C7" w:rsidRPr="00CB349B" w14:paraId="65BC9C8F" w14:textId="77777777" w:rsidTr="00B37F43">
        <w:trPr>
          <w:cantSplit/>
          <w:trHeight w:val="345"/>
          <w:jc w:val="center"/>
        </w:trPr>
        <w:tc>
          <w:tcPr>
            <w:tcW w:w="9044" w:type="dxa"/>
            <w:gridSpan w:val="5"/>
            <w:tcBorders>
              <w:top w:val="single" w:sz="6" w:space="0" w:color="auto"/>
              <w:left w:val="single" w:sz="24" w:space="0" w:color="auto"/>
              <w:bottom w:val="single" w:sz="6" w:space="0" w:color="auto"/>
              <w:right w:val="single" w:sz="24" w:space="0" w:color="auto"/>
            </w:tcBorders>
            <w:shd w:val="clear" w:color="auto" w:fill="FFFFFF"/>
          </w:tcPr>
          <w:p w14:paraId="42A597C8" w14:textId="77777777" w:rsidR="00E362C7" w:rsidRPr="00054389" w:rsidRDefault="00E362C7" w:rsidP="00B37F43">
            <w:pPr>
              <w:rPr>
                <w:smallCaps/>
                <w:sz w:val="22"/>
                <w:szCs w:val="22"/>
              </w:rPr>
            </w:pPr>
            <w:r w:rsidRPr="00054389">
              <w:rPr>
                <w:b/>
                <w:sz w:val="22"/>
                <w:szCs w:val="22"/>
                <w:u w:val="single"/>
              </w:rPr>
              <w:t>Adults</w:t>
            </w:r>
            <w:r w:rsidR="00D5162B" w:rsidRPr="00D5162B">
              <w:rPr>
                <w:b/>
                <w:sz w:val="22"/>
                <w:szCs w:val="22"/>
              </w:rPr>
              <w:t>*</w:t>
            </w:r>
          </w:p>
        </w:tc>
      </w:tr>
      <w:tr w:rsidR="00E362C7" w:rsidRPr="00CB349B" w14:paraId="16E086BE" w14:textId="77777777" w:rsidTr="00B37F43">
        <w:trPr>
          <w:cantSplit/>
          <w:trHeight w:val="403"/>
          <w:jc w:val="center"/>
        </w:trPr>
        <w:tc>
          <w:tcPr>
            <w:tcW w:w="3693" w:type="dxa"/>
            <w:tcBorders>
              <w:top w:val="single" w:sz="6" w:space="0" w:color="auto"/>
              <w:left w:val="single" w:sz="24" w:space="0" w:color="auto"/>
              <w:bottom w:val="single" w:sz="6" w:space="0" w:color="auto"/>
              <w:right w:val="single" w:sz="6" w:space="0" w:color="auto"/>
            </w:tcBorders>
            <w:shd w:val="clear" w:color="auto" w:fill="FFFFFF"/>
          </w:tcPr>
          <w:p w14:paraId="0FCF100A" w14:textId="77777777" w:rsidR="00E362C7" w:rsidRPr="00054389" w:rsidRDefault="00D5162B" w:rsidP="00B37F43">
            <w:pPr>
              <w:rPr>
                <w:sz w:val="22"/>
                <w:szCs w:val="22"/>
              </w:rPr>
            </w:pPr>
            <w:r>
              <w:rPr>
                <w:sz w:val="22"/>
                <w:szCs w:val="22"/>
              </w:rPr>
              <w:t>Adult study participants</w:t>
            </w:r>
            <w:r w:rsidR="00E362C7" w:rsidRPr="00054389">
              <w:rPr>
                <w:sz w:val="22"/>
                <w:szCs w:val="22"/>
              </w:rPr>
              <w:t>, single assessment</w:t>
            </w:r>
          </w:p>
        </w:tc>
        <w:tc>
          <w:tcPr>
            <w:tcW w:w="1530" w:type="dxa"/>
            <w:tcBorders>
              <w:top w:val="single" w:sz="6" w:space="0" w:color="auto"/>
              <w:left w:val="single" w:sz="6" w:space="0" w:color="auto"/>
              <w:bottom w:val="single" w:sz="6" w:space="0" w:color="auto"/>
              <w:right w:val="single" w:sz="6" w:space="0" w:color="auto"/>
            </w:tcBorders>
          </w:tcPr>
          <w:p w14:paraId="15A70D4D" w14:textId="77777777" w:rsidR="00E362C7" w:rsidRPr="00054389" w:rsidRDefault="00581673" w:rsidP="00D27656">
            <w:pPr>
              <w:jc w:val="right"/>
              <w:rPr>
                <w:sz w:val="22"/>
                <w:szCs w:val="22"/>
              </w:rPr>
            </w:pPr>
            <w:r>
              <w:rPr>
                <w:smallCaps/>
                <w:sz w:val="22"/>
                <w:szCs w:val="22"/>
              </w:rPr>
              <w:t>3,150</w:t>
            </w:r>
          </w:p>
        </w:tc>
        <w:tc>
          <w:tcPr>
            <w:tcW w:w="1260" w:type="dxa"/>
            <w:tcBorders>
              <w:top w:val="single" w:sz="6" w:space="0" w:color="auto"/>
              <w:left w:val="single" w:sz="6" w:space="0" w:color="auto"/>
              <w:bottom w:val="single" w:sz="6" w:space="0" w:color="auto"/>
              <w:right w:val="single" w:sz="6" w:space="0" w:color="auto"/>
            </w:tcBorders>
          </w:tcPr>
          <w:p w14:paraId="44B60941" w14:textId="77777777" w:rsidR="00E362C7" w:rsidRPr="00054389" w:rsidRDefault="00E362C7" w:rsidP="00B37F43">
            <w:pPr>
              <w:jc w:val="center"/>
              <w:rPr>
                <w:sz w:val="22"/>
                <w:szCs w:val="22"/>
              </w:rPr>
            </w:pPr>
            <w:r w:rsidRPr="00054389">
              <w:rPr>
                <w:sz w:val="22"/>
                <w:szCs w:val="22"/>
              </w:rPr>
              <w:t>1</w:t>
            </w:r>
          </w:p>
        </w:tc>
        <w:tc>
          <w:tcPr>
            <w:tcW w:w="1260" w:type="dxa"/>
            <w:tcBorders>
              <w:top w:val="single" w:sz="6" w:space="0" w:color="auto"/>
              <w:left w:val="single" w:sz="6" w:space="0" w:color="auto"/>
              <w:bottom w:val="single" w:sz="6" w:space="0" w:color="auto"/>
              <w:right w:val="single" w:sz="6" w:space="0" w:color="auto"/>
            </w:tcBorders>
          </w:tcPr>
          <w:p w14:paraId="168DEAFE" w14:textId="77777777" w:rsidR="00E362C7" w:rsidRPr="00054389" w:rsidRDefault="00E362C7" w:rsidP="00B37F43">
            <w:pPr>
              <w:jc w:val="right"/>
              <w:rPr>
                <w:sz w:val="22"/>
                <w:szCs w:val="22"/>
              </w:rPr>
            </w:pPr>
            <w:r w:rsidRPr="00054389">
              <w:rPr>
                <w:sz w:val="22"/>
                <w:szCs w:val="22"/>
              </w:rPr>
              <w:t>3</w:t>
            </w:r>
          </w:p>
        </w:tc>
        <w:tc>
          <w:tcPr>
            <w:tcW w:w="1301" w:type="dxa"/>
            <w:tcBorders>
              <w:top w:val="single" w:sz="6" w:space="0" w:color="auto"/>
              <w:left w:val="single" w:sz="6" w:space="0" w:color="auto"/>
              <w:bottom w:val="single" w:sz="6" w:space="0" w:color="auto"/>
              <w:right w:val="single" w:sz="24" w:space="0" w:color="auto"/>
            </w:tcBorders>
          </w:tcPr>
          <w:p w14:paraId="5D7CC6B9" w14:textId="77777777" w:rsidR="00E362C7" w:rsidRPr="00054389" w:rsidRDefault="00581673" w:rsidP="00B37F43">
            <w:pPr>
              <w:jc w:val="right"/>
              <w:rPr>
                <w:sz w:val="22"/>
                <w:szCs w:val="22"/>
              </w:rPr>
            </w:pPr>
            <w:r>
              <w:rPr>
                <w:smallCaps/>
                <w:sz w:val="22"/>
                <w:szCs w:val="22"/>
              </w:rPr>
              <w:t>9,450</w:t>
            </w:r>
          </w:p>
        </w:tc>
      </w:tr>
      <w:tr w:rsidR="00E362C7" w:rsidRPr="00CB349B" w14:paraId="3CD4CD8C" w14:textId="77777777" w:rsidTr="00B37F43">
        <w:trPr>
          <w:cantSplit/>
          <w:trHeight w:val="403"/>
          <w:jc w:val="center"/>
        </w:trPr>
        <w:tc>
          <w:tcPr>
            <w:tcW w:w="3693" w:type="dxa"/>
            <w:tcBorders>
              <w:top w:val="single" w:sz="6" w:space="0" w:color="auto"/>
              <w:left w:val="single" w:sz="24" w:space="0" w:color="auto"/>
              <w:bottom w:val="single" w:sz="6" w:space="0" w:color="auto"/>
              <w:right w:val="single" w:sz="6" w:space="0" w:color="auto"/>
            </w:tcBorders>
            <w:shd w:val="clear" w:color="auto" w:fill="FFFFFF"/>
          </w:tcPr>
          <w:p w14:paraId="3E9DF134" w14:textId="77777777" w:rsidR="00E362C7" w:rsidRPr="00054389" w:rsidRDefault="00D5162B" w:rsidP="00B37F43">
            <w:pPr>
              <w:rPr>
                <w:sz w:val="22"/>
                <w:szCs w:val="22"/>
              </w:rPr>
            </w:pPr>
            <w:r>
              <w:rPr>
                <w:sz w:val="22"/>
                <w:szCs w:val="22"/>
              </w:rPr>
              <w:t>Adult study participants</w:t>
            </w:r>
            <w:r w:rsidR="00E362C7" w:rsidRPr="00054389">
              <w:rPr>
                <w:sz w:val="22"/>
                <w:szCs w:val="22"/>
              </w:rPr>
              <w:t>, two assessments</w:t>
            </w:r>
          </w:p>
        </w:tc>
        <w:tc>
          <w:tcPr>
            <w:tcW w:w="1530" w:type="dxa"/>
            <w:tcBorders>
              <w:top w:val="single" w:sz="6" w:space="0" w:color="auto"/>
              <w:left w:val="single" w:sz="6" w:space="0" w:color="auto"/>
              <w:bottom w:val="single" w:sz="6" w:space="0" w:color="auto"/>
              <w:right w:val="single" w:sz="6" w:space="0" w:color="auto"/>
            </w:tcBorders>
          </w:tcPr>
          <w:p w14:paraId="4C3B2AFC" w14:textId="77777777" w:rsidR="00E362C7" w:rsidRPr="00054389" w:rsidRDefault="00581673" w:rsidP="00B37F43">
            <w:pPr>
              <w:jc w:val="right"/>
              <w:rPr>
                <w:smallCaps/>
                <w:sz w:val="22"/>
                <w:szCs w:val="22"/>
              </w:rPr>
            </w:pPr>
            <w:r>
              <w:rPr>
                <w:smallCaps/>
                <w:sz w:val="22"/>
                <w:szCs w:val="22"/>
              </w:rPr>
              <w:t>750</w:t>
            </w:r>
          </w:p>
          <w:p w14:paraId="14ECF03F" w14:textId="77777777" w:rsidR="00E362C7" w:rsidRPr="00054389" w:rsidRDefault="00E362C7" w:rsidP="00B37F43">
            <w:pPr>
              <w:jc w:val="center"/>
              <w:rPr>
                <w:sz w:val="22"/>
                <w:szCs w:val="22"/>
              </w:rPr>
            </w:pPr>
          </w:p>
        </w:tc>
        <w:tc>
          <w:tcPr>
            <w:tcW w:w="1260" w:type="dxa"/>
            <w:tcBorders>
              <w:top w:val="single" w:sz="6" w:space="0" w:color="auto"/>
              <w:left w:val="single" w:sz="6" w:space="0" w:color="auto"/>
              <w:bottom w:val="single" w:sz="6" w:space="0" w:color="auto"/>
              <w:right w:val="single" w:sz="6" w:space="0" w:color="auto"/>
            </w:tcBorders>
          </w:tcPr>
          <w:p w14:paraId="60C96D89" w14:textId="77777777" w:rsidR="00E362C7" w:rsidRPr="00054389" w:rsidRDefault="00E362C7" w:rsidP="00B37F43">
            <w:pPr>
              <w:jc w:val="center"/>
              <w:rPr>
                <w:smallCaps/>
                <w:sz w:val="22"/>
                <w:szCs w:val="22"/>
              </w:rPr>
            </w:pPr>
            <w:r w:rsidRPr="00054389">
              <w:rPr>
                <w:smallCaps/>
                <w:sz w:val="22"/>
                <w:szCs w:val="22"/>
              </w:rPr>
              <w:t>2</w:t>
            </w:r>
          </w:p>
        </w:tc>
        <w:tc>
          <w:tcPr>
            <w:tcW w:w="1260" w:type="dxa"/>
            <w:tcBorders>
              <w:top w:val="single" w:sz="6" w:space="0" w:color="auto"/>
              <w:left w:val="single" w:sz="6" w:space="0" w:color="auto"/>
              <w:bottom w:val="single" w:sz="6" w:space="0" w:color="auto"/>
              <w:right w:val="single" w:sz="6" w:space="0" w:color="auto"/>
            </w:tcBorders>
          </w:tcPr>
          <w:p w14:paraId="2A7C1A01" w14:textId="77777777" w:rsidR="00E362C7" w:rsidRPr="00054389" w:rsidRDefault="00E362C7" w:rsidP="00B37F43">
            <w:pPr>
              <w:jc w:val="right"/>
              <w:rPr>
                <w:smallCaps/>
                <w:sz w:val="22"/>
                <w:szCs w:val="22"/>
              </w:rPr>
            </w:pPr>
            <w:r w:rsidRPr="00054389">
              <w:rPr>
                <w:smallCaps/>
                <w:sz w:val="22"/>
                <w:szCs w:val="22"/>
              </w:rPr>
              <w:t>3</w:t>
            </w:r>
          </w:p>
        </w:tc>
        <w:tc>
          <w:tcPr>
            <w:tcW w:w="1301" w:type="dxa"/>
            <w:tcBorders>
              <w:top w:val="single" w:sz="6" w:space="0" w:color="auto"/>
              <w:left w:val="single" w:sz="6" w:space="0" w:color="auto"/>
              <w:bottom w:val="single" w:sz="6" w:space="0" w:color="auto"/>
              <w:right w:val="single" w:sz="24" w:space="0" w:color="auto"/>
            </w:tcBorders>
          </w:tcPr>
          <w:p w14:paraId="75FE6E27" w14:textId="77777777" w:rsidR="00E362C7" w:rsidRPr="00054389" w:rsidRDefault="00581673" w:rsidP="00B37F43">
            <w:pPr>
              <w:jc w:val="right"/>
              <w:rPr>
                <w:sz w:val="22"/>
                <w:szCs w:val="22"/>
              </w:rPr>
            </w:pPr>
            <w:r>
              <w:rPr>
                <w:sz w:val="22"/>
                <w:szCs w:val="22"/>
              </w:rPr>
              <w:t>4,500</w:t>
            </w:r>
          </w:p>
        </w:tc>
      </w:tr>
      <w:tr w:rsidR="00E362C7" w:rsidRPr="00CB349B" w14:paraId="25BF1DD3" w14:textId="77777777" w:rsidTr="00B37F43">
        <w:trPr>
          <w:cantSplit/>
          <w:trHeight w:val="403"/>
          <w:jc w:val="center"/>
        </w:trPr>
        <w:tc>
          <w:tcPr>
            <w:tcW w:w="3693" w:type="dxa"/>
            <w:tcBorders>
              <w:top w:val="single" w:sz="6" w:space="0" w:color="auto"/>
              <w:left w:val="single" w:sz="24" w:space="0" w:color="auto"/>
              <w:bottom w:val="single" w:sz="6" w:space="0" w:color="auto"/>
              <w:right w:val="single" w:sz="6" w:space="0" w:color="auto"/>
            </w:tcBorders>
            <w:shd w:val="clear" w:color="auto" w:fill="FFFFFF"/>
          </w:tcPr>
          <w:p w14:paraId="4ADE459B" w14:textId="77777777" w:rsidR="00E362C7" w:rsidRPr="00054389" w:rsidRDefault="00D5162B" w:rsidP="00D5162B">
            <w:pPr>
              <w:rPr>
                <w:sz w:val="22"/>
                <w:szCs w:val="22"/>
              </w:rPr>
            </w:pPr>
            <w:r w:rsidRPr="00D5162B">
              <w:rPr>
                <w:sz w:val="22"/>
                <w:szCs w:val="22"/>
              </w:rPr>
              <w:t>P</w:t>
            </w:r>
            <w:r>
              <w:rPr>
                <w:sz w:val="22"/>
                <w:szCs w:val="22"/>
              </w:rPr>
              <w:t xml:space="preserve">arent proxies for child </w:t>
            </w:r>
            <w:r w:rsidR="00E362C7" w:rsidRPr="00054389">
              <w:rPr>
                <w:sz w:val="22"/>
                <w:szCs w:val="22"/>
              </w:rPr>
              <w:t>participa</w:t>
            </w:r>
            <w:r>
              <w:rPr>
                <w:sz w:val="22"/>
                <w:szCs w:val="22"/>
              </w:rPr>
              <w:t>n</w:t>
            </w:r>
            <w:r w:rsidR="00E362C7" w:rsidRPr="00054389">
              <w:rPr>
                <w:sz w:val="22"/>
                <w:szCs w:val="22"/>
              </w:rPr>
              <w:t>t</w:t>
            </w:r>
            <w:r>
              <w:rPr>
                <w:sz w:val="22"/>
                <w:szCs w:val="22"/>
              </w:rPr>
              <w:t>s</w:t>
            </w:r>
            <w:r w:rsidR="00E362C7" w:rsidRPr="00054389">
              <w:rPr>
                <w:sz w:val="22"/>
                <w:szCs w:val="22"/>
              </w:rPr>
              <w:t>, single assessment</w:t>
            </w:r>
          </w:p>
        </w:tc>
        <w:tc>
          <w:tcPr>
            <w:tcW w:w="1530" w:type="dxa"/>
            <w:tcBorders>
              <w:top w:val="single" w:sz="6" w:space="0" w:color="auto"/>
              <w:left w:val="single" w:sz="6" w:space="0" w:color="auto"/>
              <w:bottom w:val="single" w:sz="6" w:space="0" w:color="auto"/>
              <w:right w:val="single" w:sz="6" w:space="0" w:color="auto"/>
            </w:tcBorders>
          </w:tcPr>
          <w:p w14:paraId="4C212BAA" w14:textId="77777777" w:rsidR="00E362C7" w:rsidRPr="00054389" w:rsidRDefault="00581673" w:rsidP="00B37F43">
            <w:pPr>
              <w:jc w:val="right"/>
              <w:rPr>
                <w:smallCaps/>
                <w:sz w:val="22"/>
                <w:szCs w:val="22"/>
              </w:rPr>
            </w:pPr>
            <w:r>
              <w:rPr>
                <w:smallCaps/>
                <w:sz w:val="22"/>
                <w:szCs w:val="22"/>
              </w:rPr>
              <w:t>3,750</w:t>
            </w:r>
          </w:p>
        </w:tc>
        <w:tc>
          <w:tcPr>
            <w:tcW w:w="1260" w:type="dxa"/>
            <w:tcBorders>
              <w:top w:val="single" w:sz="6" w:space="0" w:color="auto"/>
              <w:left w:val="single" w:sz="6" w:space="0" w:color="auto"/>
              <w:bottom w:val="single" w:sz="6" w:space="0" w:color="auto"/>
              <w:right w:val="single" w:sz="6" w:space="0" w:color="auto"/>
            </w:tcBorders>
          </w:tcPr>
          <w:p w14:paraId="2F95093A" w14:textId="77777777" w:rsidR="00E362C7" w:rsidRPr="00054389" w:rsidRDefault="00E362C7" w:rsidP="00B37F43">
            <w:pPr>
              <w:jc w:val="center"/>
              <w:rPr>
                <w:smallCaps/>
                <w:sz w:val="22"/>
                <w:szCs w:val="22"/>
              </w:rPr>
            </w:pPr>
            <w:r w:rsidRPr="00054389">
              <w:rPr>
                <w:smallCaps/>
                <w:sz w:val="22"/>
                <w:szCs w:val="22"/>
              </w:rPr>
              <w:t>1</w:t>
            </w:r>
          </w:p>
        </w:tc>
        <w:tc>
          <w:tcPr>
            <w:tcW w:w="1260" w:type="dxa"/>
            <w:tcBorders>
              <w:top w:val="single" w:sz="6" w:space="0" w:color="auto"/>
              <w:left w:val="single" w:sz="6" w:space="0" w:color="auto"/>
              <w:bottom w:val="single" w:sz="6" w:space="0" w:color="auto"/>
              <w:right w:val="single" w:sz="6" w:space="0" w:color="auto"/>
            </w:tcBorders>
          </w:tcPr>
          <w:p w14:paraId="038FC234" w14:textId="77777777" w:rsidR="00E362C7" w:rsidRPr="00054389" w:rsidRDefault="00E362C7" w:rsidP="00B37F43">
            <w:pPr>
              <w:jc w:val="right"/>
              <w:rPr>
                <w:smallCaps/>
                <w:sz w:val="22"/>
                <w:szCs w:val="22"/>
              </w:rPr>
            </w:pPr>
            <w:r w:rsidRPr="00054389">
              <w:rPr>
                <w:smallCaps/>
                <w:sz w:val="22"/>
                <w:szCs w:val="22"/>
              </w:rPr>
              <w:t>0.5</w:t>
            </w:r>
          </w:p>
        </w:tc>
        <w:tc>
          <w:tcPr>
            <w:tcW w:w="1301" w:type="dxa"/>
            <w:tcBorders>
              <w:top w:val="single" w:sz="6" w:space="0" w:color="auto"/>
              <w:left w:val="single" w:sz="6" w:space="0" w:color="auto"/>
              <w:bottom w:val="single" w:sz="6" w:space="0" w:color="auto"/>
              <w:right w:val="single" w:sz="24" w:space="0" w:color="auto"/>
            </w:tcBorders>
          </w:tcPr>
          <w:p w14:paraId="3D19E6FC" w14:textId="77777777" w:rsidR="00E362C7" w:rsidRPr="00054389" w:rsidRDefault="00581673" w:rsidP="00B37F43">
            <w:pPr>
              <w:jc w:val="right"/>
              <w:rPr>
                <w:sz w:val="22"/>
                <w:szCs w:val="22"/>
              </w:rPr>
            </w:pPr>
            <w:r>
              <w:rPr>
                <w:sz w:val="22"/>
                <w:szCs w:val="22"/>
              </w:rPr>
              <w:t>1,875</w:t>
            </w:r>
          </w:p>
        </w:tc>
      </w:tr>
      <w:tr w:rsidR="00E362C7" w:rsidRPr="00CB349B" w14:paraId="05CB22B9" w14:textId="77777777" w:rsidTr="00B37F43">
        <w:trPr>
          <w:cantSplit/>
          <w:trHeight w:val="403"/>
          <w:jc w:val="center"/>
        </w:trPr>
        <w:tc>
          <w:tcPr>
            <w:tcW w:w="3693" w:type="dxa"/>
            <w:tcBorders>
              <w:top w:val="single" w:sz="6" w:space="0" w:color="auto"/>
              <w:left w:val="single" w:sz="24" w:space="0" w:color="auto"/>
              <w:bottom w:val="single" w:sz="6" w:space="0" w:color="auto"/>
              <w:right w:val="single" w:sz="6" w:space="0" w:color="auto"/>
            </w:tcBorders>
            <w:shd w:val="clear" w:color="auto" w:fill="FFFFFF"/>
          </w:tcPr>
          <w:p w14:paraId="2FE7FE0C" w14:textId="77777777" w:rsidR="00E362C7" w:rsidRPr="00054389" w:rsidRDefault="00783DCE" w:rsidP="00B37F43">
            <w:pPr>
              <w:rPr>
                <w:sz w:val="22"/>
                <w:szCs w:val="22"/>
              </w:rPr>
            </w:pPr>
            <w:r w:rsidRPr="00D5162B">
              <w:rPr>
                <w:sz w:val="22"/>
                <w:szCs w:val="22"/>
              </w:rPr>
              <w:t>P</w:t>
            </w:r>
            <w:r>
              <w:rPr>
                <w:sz w:val="22"/>
                <w:szCs w:val="22"/>
              </w:rPr>
              <w:t xml:space="preserve">arent proxies for child </w:t>
            </w:r>
            <w:r w:rsidRPr="00054389">
              <w:rPr>
                <w:sz w:val="22"/>
                <w:szCs w:val="22"/>
              </w:rPr>
              <w:t>participa</w:t>
            </w:r>
            <w:r>
              <w:rPr>
                <w:sz w:val="22"/>
                <w:szCs w:val="22"/>
              </w:rPr>
              <w:t>n</w:t>
            </w:r>
            <w:r w:rsidRPr="00054389">
              <w:rPr>
                <w:sz w:val="22"/>
                <w:szCs w:val="22"/>
              </w:rPr>
              <w:t>t</w:t>
            </w:r>
            <w:r>
              <w:rPr>
                <w:sz w:val="22"/>
                <w:szCs w:val="22"/>
              </w:rPr>
              <w:t>s</w:t>
            </w:r>
            <w:r w:rsidRPr="00054389">
              <w:rPr>
                <w:sz w:val="22"/>
                <w:szCs w:val="22"/>
              </w:rPr>
              <w:t xml:space="preserve">, </w:t>
            </w:r>
            <w:r w:rsidR="00E362C7" w:rsidRPr="00054389">
              <w:rPr>
                <w:sz w:val="22"/>
                <w:szCs w:val="22"/>
              </w:rPr>
              <w:t>two assessments</w:t>
            </w:r>
          </w:p>
        </w:tc>
        <w:tc>
          <w:tcPr>
            <w:tcW w:w="1530" w:type="dxa"/>
            <w:tcBorders>
              <w:top w:val="single" w:sz="6" w:space="0" w:color="auto"/>
              <w:left w:val="single" w:sz="6" w:space="0" w:color="auto"/>
              <w:bottom w:val="single" w:sz="6" w:space="0" w:color="auto"/>
              <w:right w:val="single" w:sz="6" w:space="0" w:color="auto"/>
            </w:tcBorders>
          </w:tcPr>
          <w:p w14:paraId="7209D664" w14:textId="77777777" w:rsidR="00E362C7" w:rsidRPr="00054389" w:rsidRDefault="00581673" w:rsidP="00B37F43">
            <w:pPr>
              <w:jc w:val="right"/>
              <w:rPr>
                <w:smallCaps/>
                <w:sz w:val="22"/>
                <w:szCs w:val="22"/>
              </w:rPr>
            </w:pPr>
            <w:r>
              <w:rPr>
                <w:smallCaps/>
                <w:sz w:val="22"/>
                <w:szCs w:val="22"/>
              </w:rPr>
              <w:t>750</w:t>
            </w:r>
          </w:p>
        </w:tc>
        <w:tc>
          <w:tcPr>
            <w:tcW w:w="1260" w:type="dxa"/>
            <w:tcBorders>
              <w:top w:val="single" w:sz="6" w:space="0" w:color="auto"/>
              <w:left w:val="single" w:sz="6" w:space="0" w:color="auto"/>
              <w:bottom w:val="single" w:sz="6" w:space="0" w:color="auto"/>
              <w:right w:val="single" w:sz="6" w:space="0" w:color="auto"/>
            </w:tcBorders>
          </w:tcPr>
          <w:p w14:paraId="7E72B7D4" w14:textId="77777777" w:rsidR="00E362C7" w:rsidRPr="00054389" w:rsidRDefault="00E362C7" w:rsidP="00B37F43">
            <w:pPr>
              <w:jc w:val="center"/>
              <w:rPr>
                <w:smallCaps/>
                <w:sz w:val="22"/>
                <w:szCs w:val="22"/>
              </w:rPr>
            </w:pPr>
            <w:r w:rsidRPr="00054389">
              <w:rPr>
                <w:smallCaps/>
                <w:sz w:val="22"/>
                <w:szCs w:val="22"/>
              </w:rPr>
              <w:t>2</w:t>
            </w:r>
          </w:p>
        </w:tc>
        <w:tc>
          <w:tcPr>
            <w:tcW w:w="1260" w:type="dxa"/>
            <w:tcBorders>
              <w:top w:val="single" w:sz="6" w:space="0" w:color="auto"/>
              <w:left w:val="single" w:sz="6" w:space="0" w:color="auto"/>
              <w:bottom w:val="single" w:sz="6" w:space="0" w:color="auto"/>
              <w:right w:val="single" w:sz="6" w:space="0" w:color="auto"/>
            </w:tcBorders>
          </w:tcPr>
          <w:p w14:paraId="120349D0" w14:textId="77777777" w:rsidR="00E362C7" w:rsidRPr="00054389" w:rsidRDefault="00E362C7" w:rsidP="00B37F43">
            <w:pPr>
              <w:jc w:val="right"/>
              <w:rPr>
                <w:smallCaps/>
                <w:sz w:val="22"/>
                <w:szCs w:val="22"/>
              </w:rPr>
            </w:pPr>
            <w:r w:rsidRPr="00054389">
              <w:rPr>
                <w:smallCaps/>
                <w:sz w:val="22"/>
                <w:szCs w:val="22"/>
              </w:rPr>
              <w:t>0.5</w:t>
            </w:r>
          </w:p>
        </w:tc>
        <w:tc>
          <w:tcPr>
            <w:tcW w:w="1301" w:type="dxa"/>
            <w:tcBorders>
              <w:top w:val="single" w:sz="6" w:space="0" w:color="auto"/>
              <w:left w:val="single" w:sz="6" w:space="0" w:color="auto"/>
              <w:bottom w:val="single" w:sz="6" w:space="0" w:color="auto"/>
              <w:right w:val="single" w:sz="24" w:space="0" w:color="auto"/>
            </w:tcBorders>
          </w:tcPr>
          <w:p w14:paraId="2333658A" w14:textId="77777777" w:rsidR="00E362C7" w:rsidRPr="00054389" w:rsidRDefault="00581673" w:rsidP="00B37F43">
            <w:pPr>
              <w:jc w:val="right"/>
              <w:rPr>
                <w:sz w:val="22"/>
                <w:szCs w:val="22"/>
              </w:rPr>
            </w:pPr>
            <w:r>
              <w:rPr>
                <w:sz w:val="22"/>
                <w:szCs w:val="22"/>
              </w:rPr>
              <w:t>750</w:t>
            </w:r>
          </w:p>
        </w:tc>
      </w:tr>
      <w:tr w:rsidR="00E362C7" w:rsidRPr="00CB349B" w14:paraId="5A8A43D9" w14:textId="77777777" w:rsidTr="00B37F43">
        <w:trPr>
          <w:cantSplit/>
          <w:trHeight w:val="403"/>
          <w:jc w:val="center"/>
        </w:trPr>
        <w:tc>
          <w:tcPr>
            <w:tcW w:w="9044" w:type="dxa"/>
            <w:gridSpan w:val="5"/>
            <w:tcBorders>
              <w:top w:val="single" w:sz="6" w:space="0" w:color="auto"/>
              <w:left w:val="single" w:sz="24" w:space="0" w:color="auto"/>
              <w:bottom w:val="single" w:sz="6" w:space="0" w:color="auto"/>
              <w:right w:val="single" w:sz="24" w:space="0" w:color="auto"/>
            </w:tcBorders>
            <w:shd w:val="clear" w:color="auto" w:fill="FFFFFF"/>
          </w:tcPr>
          <w:p w14:paraId="5CFFC08A" w14:textId="77777777" w:rsidR="00E362C7" w:rsidRPr="00054389" w:rsidRDefault="00E362C7" w:rsidP="00B37F43">
            <w:pPr>
              <w:rPr>
                <w:b/>
                <w:sz w:val="22"/>
                <w:szCs w:val="22"/>
                <w:u w:val="single"/>
              </w:rPr>
            </w:pPr>
          </w:p>
        </w:tc>
      </w:tr>
      <w:tr w:rsidR="00E362C7" w:rsidRPr="00CB349B" w14:paraId="62302464" w14:textId="77777777" w:rsidTr="00B37F43">
        <w:trPr>
          <w:cantSplit/>
          <w:trHeight w:val="403"/>
          <w:jc w:val="center"/>
        </w:trPr>
        <w:tc>
          <w:tcPr>
            <w:tcW w:w="9044" w:type="dxa"/>
            <w:gridSpan w:val="5"/>
            <w:tcBorders>
              <w:top w:val="single" w:sz="6" w:space="0" w:color="auto"/>
              <w:left w:val="single" w:sz="24" w:space="0" w:color="auto"/>
              <w:bottom w:val="single" w:sz="6" w:space="0" w:color="auto"/>
              <w:right w:val="single" w:sz="24" w:space="0" w:color="auto"/>
            </w:tcBorders>
            <w:shd w:val="clear" w:color="auto" w:fill="FFFFFF"/>
          </w:tcPr>
          <w:p w14:paraId="0559D43F" w14:textId="77777777" w:rsidR="00E362C7" w:rsidRPr="00054389" w:rsidRDefault="00E362C7" w:rsidP="00B37F43">
            <w:pPr>
              <w:rPr>
                <w:sz w:val="22"/>
                <w:szCs w:val="22"/>
              </w:rPr>
            </w:pPr>
            <w:r w:rsidRPr="00054389">
              <w:rPr>
                <w:b/>
                <w:sz w:val="22"/>
                <w:szCs w:val="22"/>
                <w:u w:val="single"/>
              </w:rPr>
              <w:t>Children</w:t>
            </w:r>
          </w:p>
        </w:tc>
      </w:tr>
      <w:tr w:rsidR="00E362C7" w:rsidRPr="00CB349B" w14:paraId="7C57C123" w14:textId="77777777" w:rsidTr="00B37F43">
        <w:trPr>
          <w:cantSplit/>
          <w:trHeight w:val="403"/>
          <w:jc w:val="center"/>
        </w:trPr>
        <w:tc>
          <w:tcPr>
            <w:tcW w:w="3693" w:type="dxa"/>
            <w:tcBorders>
              <w:top w:val="single" w:sz="6" w:space="0" w:color="auto"/>
              <w:left w:val="single" w:sz="24" w:space="0" w:color="auto"/>
              <w:bottom w:val="single" w:sz="6" w:space="0" w:color="auto"/>
              <w:right w:val="single" w:sz="6" w:space="0" w:color="auto"/>
            </w:tcBorders>
            <w:shd w:val="clear" w:color="auto" w:fill="FFFFFF"/>
          </w:tcPr>
          <w:p w14:paraId="6BF0F04F" w14:textId="77777777" w:rsidR="00E362C7" w:rsidRPr="00054389" w:rsidRDefault="00E362C7" w:rsidP="00B37F43">
            <w:pPr>
              <w:rPr>
                <w:sz w:val="22"/>
                <w:szCs w:val="22"/>
              </w:rPr>
            </w:pPr>
            <w:r w:rsidRPr="00054389">
              <w:rPr>
                <w:sz w:val="22"/>
                <w:szCs w:val="22"/>
              </w:rPr>
              <w:t>Single assessment</w:t>
            </w:r>
          </w:p>
        </w:tc>
        <w:tc>
          <w:tcPr>
            <w:tcW w:w="1530" w:type="dxa"/>
            <w:tcBorders>
              <w:top w:val="single" w:sz="6" w:space="0" w:color="auto"/>
              <w:left w:val="single" w:sz="6" w:space="0" w:color="auto"/>
              <w:bottom w:val="single" w:sz="6" w:space="0" w:color="auto"/>
              <w:right w:val="single" w:sz="6" w:space="0" w:color="auto"/>
            </w:tcBorders>
          </w:tcPr>
          <w:p w14:paraId="153FFAB1" w14:textId="77777777" w:rsidR="00E362C7" w:rsidRPr="00054389" w:rsidRDefault="00581673" w:rsidP="00B37F43">
            <w:pPr>
              <w:jc w:val="right"/>
              <w:rPr>
                <w:smallCaps/>
                <w:sz w:val="22"/>
                <w:szCs w:val="22"/>
              </w:rPr>
            </w:pPr>
            <w:r>
              <w:rPr>
                <w:smallCaps/>
                <w:sz w:val="22"/>
                <w:szCs w:val="22"/>
              </w:rPr>
              <w:t>3,750</w:t>
            </w:r>
          </w:p>
        </w:tc>
        <w:tc>
          <w:tcPr>
            <w:tcW w:w="1260" w:type="dxa"/>
            <w:tcBorders>
              <w:top w:val="single" w:sz="6" w:space="0" w:color="auto"/>
              <w:left w:val="single" w:sz="6" w:space="0" w:color="auto"/>
              <w:bottom w:val="single" w:sz="6" w:space="0" w:color="auto"/>
              <w:right w:val="single" w:sz="6" w:space="0" w:color="auto"/>
            </w:tcBorders>
          </w:tcPr>
          <w:p w14:paraId="528112AB" w14:textId="77777777" w:rsidR="00E362C7" w:rsidRPr="00054389" w:rsidRDefault="00E362C7" w:rsidP="00B37F43">
            <w:pPr>
              <w:jc w:val="center"/>
              <w:rPr>
                <w:smallCaps/>
                <w:sz w:val="22"/>
                <w:szCs w:val="22"/>
              </w:rPr>
            </w:pPr>
            <w:r w:rsidRPr="00054389">
              <w:rPr>
                <w:smallCaps/>
                <w:sz w:val="22"/>
                <w:szCs w:val="22"/>
              </w:rPr>
              <w:t>1</w:t>
            </w:r>
          </w:p>
        </w:tc>
        <w:tc>
          <w:tcPr>
            <w:tcW w:w="1260" w:type="dxa"/>
            <w:tcBorders>
              <w:top w:val="single" w:sz="6" w:space="0" w:color="auto"/>
              <w:left w:val="single" w:sz="6" w:space="0" w:color="auto"/>
              <w:bottom w:val="single" w:sz="6" w:space="0" w:color="auto"/>
              <w:right w:val="single" w:sz="6" w:space="0" w:color="auto"/>
            </w:tcBorders>
          </w:tcPr>
          <w:p w14:paraId="3CB61711" w14:textId="77777777" w:rsidR="00E362C7" w:rsidRPr="00054389" w:rsidRDefault="00E362C7" w:rsidP="00B37F43">
            <w:pPr>
              <w:jc w:val="right"/>
              <w:rPr>
                <w:smallCaps/>
                <w:sz w:val="22"/>
                <w:szCs w:val="22"/>
              </w:rPr>
            </w:pPr>
            <w:r w:rsidRPr="00054389">
              <w:rPr>
                <w:smallCaps/>
                <w:sz w:val="22"/>
                <w:szCs w:val="22"/>
              </w:rPr>
              <w:t>2.5</w:t>
            </w:r>
          </w:p>
        </w:tc>
        <w:tc>
          <w:tcPr>
            <w:tcW w:w="1301" w:type="dxa"/>
            <w:tcBorders>
              <w:top w:val="single" w:sz="6" w:space="0" w:color="auto"/>
              <w:left w:val="single" w:sz="6" w:space="0" w:color="auto"/>
              <w:bottom w:val="single" w:sz="6" w:space="0" w:color="auto"/>
              <w:right w:val="single" w:sz="24" w:space="0" w:color="auto"/>
            </w:tcBorders>
          </w:tcPr>
          <w:p w14:paraId="309FC510" w14:textId="77777777" w:rsidR="00E362C7" w:rsidRPr="00054389" w:rsidRDefault="00581673" w:rsidP="00B37F43">
            <w:pPr>
              <w:jc w:val="right"/>
              <w:rPr>
                <w:sz w:val="22"/>
                <w:szCs w:val="22"/>
              </w:rPr>
            </w:pPr>
            <w:r>
              <w:rPr>
                <w:sz w:val="22"/>
                <w:szCs w:val="22"/>
              </w:rPr>
              <w:t>9,375</w:t>
            </w:r>
          </w:p>
        </w:tc>
      </w:tr>
      <w:tr w:rsidR="00E362C7" w:rsidRPr="00CB349B" w14:paraId="258AA6F5" w14:textId="77777777" w:rsidTr="00B37F43">
        <w:trPr>
          <w:cantSplit/>
          <w:trHeight w:val="403"/>
          <w:jc w:val="center"/>
        </w:trPr>
        <w:tc>
          <w:tcPr>
            <w:tcW w:w="3693" w:type="dxa"/>
            <w:tcBorders>
              <w:top w:val="single" w:sz="6" w:space="0" w:color="auto"/>
              <w:left w:val="single" w:sz="24" w:space="0" w:color="auto"/>
              <w:bottom w:val="single" w:sz="6" w:space="0" w:color="auto"/>
              <w:right w:val="single" w:sz="6" w:space="0" w:color="auto"/>
            </w:tcBorders>
            <w:shd w:val="clear" w:color="auto" w:fill="FFFFFF"/>
          </w:tcPr>
          <w:p w14:paraId="4D99631C" w14:textId="77777777" w:rsidR="00E362C7" w:rsidRPr="00054389" w:rsidRDefault="00E362C7" w:rsidP="00B37F43">
            <w:pPr>
              <w:rPr>
                <w:sz w:val="22"/>
                <w:szCs w:val="22"/>
              </w:rPr>
            </w:pPr>
            <w:r w:rsidRPr="00054389">
              <w:rPr>
                <w:sz w:val="22"/>
                <w:szCs w:val="22"/>
              </w:rPr>
              <w:t>Two assessments</w:t>
            </w:r>
          </w:p>
        </w:tc>
        <w:tc>
          <w:tcPr>
            <w:tcW w:w="1530" w:type="dxa"/>
            <w:tcBorders>
              <w:top w:val="single" w:sz="6" w:space="0" w:color="auto"/>
              <w:left w:val="single" w:sz="6" w:space="0" w:color="auto"/>
              <w:bottom w:val="single" w:sz="6" w:space="0" w:color="auto"/>
              <w:right w:val="single" w:sz="6" w:space="0" w:color="auto"/>
            </w:tcBorders>
          </w:tcPr>
          <w:p w14:paraId="107C0BB5" w14:textId="77777777" w:rsidR="00E362C7" w:rsidRPr="00054389" w:rsidRDefault="00581673" w:rsidP="00B37F43">
            <w:pPr>
              <w:jc w:val="right"/>
              <w:rPr>
                <w:smallCaps/>
                <w:sz w:val="22"/>
                <w:szCs w:val="22"/>
              </w:rPr>
            </w:pPr>
            <w:r>
              <w:rPr>
                <w:smallCaps/>
                <w:sz w:val="22"/>
                <w:szCs w:val="22"/>
              </w:rPr>
              <w:t>750</w:t>
            </w:r>
          </w:p>
        </w:tc>
        <w:tc>
          <w:tcPr>
            <w:tcW w:w="1260" w:type="dxa"/>
            <w:tcBorders>
              <w:top w:val="single" w:sz="6" w:space="0" w:color="auto"/>
              <w:left w:val="single" w:sz="6" w:space="0" w:color="auto"/>
              <w:bottom w:val="single" w:sz="6" w:space="0" w:color="auto"/>
              <w:right w:val="single" w:sz="6" w:space="0" w:color="auto"/>
            </w:tcBorders>
          </w:tcPr>
          <w:p w14:paraId="01D9CCC4" w14:textId="77777777" w:rsidR="00E362C7" w:rsidRPr="00054389" w:rsidRDefault="00E362C7" w:rsidP="00B37F43">
            <w:pPr>
              <w:jc w:val="center"/>
              <w:rPr>
                <w:smallCaps/>
                <w:sz w:val="22"/>
                <w:szCs w:val="22"/>
              </w:rPr>
            </w:pPr>
            <w:r w:rsidRPr="00054389">
              <w:rPr>
                <w:smallCaps/>
                <w:sz w:val="22"/>
                <w:szCs w:val="22"/>
              </w:rPr>
              <w:t>2</w:t>
            </w:r>
          </w:p>
        </w:tc>
        <w:tc>
          <w:tcPr>
            <w:tcW w:w="1260" w:type="dxa"/>
            <w:tcBorders>
              <w:top w:val="single" w:sz="6" w:space="0" w:color="auto"/>
              <w:left w:val="single" w:sz="6" w:space="0" w:color="auto"/>
              <w:bottom w:val="single" w:sz="6" w:space="0" w:color="auto"/>
              <w:right w:val="single" w:sz="6" w:space="0" w:color="auto"/>
            </w:tcBorders>
          </w:tcPr>
          <w:p w14:paraId="1B911C8C" w14:textId="77777777" w:rsidR="00E362C7" w:rsidRPr="00054389" w:rsidRDefault="00E362C7" w:rsidP="00B37F43">
            <w:pPr>
              <w:jc w:val="right"/>
              <w:rPr>
                <w:smallCaps/>
                <w:sz w:val="22"/>
                <w:szCs w:val="22"/>
              </w:rPr>
            </w:pPr>
            <w:r w:rsidRPr="00054389">
              <w:rPr>
                <w:smallCaps/>
                <w:sz w:val="22"/>
                <w:szCs w:val="22"/>
              </w:rPr>
              <w:t>2.5</w:t>
            </w:r>
          </w:p>
        </w:tc>
        <w:tc>
          <w:tcPr>
            <w:tcW w:w="1301" w:type="dxa"/>
            <w:tcBorders>
              <w:top w:val="single" w:sz="6" w:space="0" w:color="auto"/>
              <w:left w:val="single" w:sz="6" w:space="0" w:color="auto"/>
              <w:bottom w:val="single" w:sz="6" w:space="0" w:color="auto"/>
              <w:right w:val="single" w:sz="24" w:space="0" w:color="auto"/>
            </w:tcBorders>
          </w:tcPr>
          <w:p w14:paraId="2900FA2F" w14:textId="77777777" w:rsidR="00E362C7" w:rsidRPr="00054389" w:rsidRDefault="00581673" w:rsidP="00B37F43">
            <w:pPr>
              <w:jc w:val="right"/>
              <w:rPr>
                <w:sz w:val="22"/>
                <w:szCs w:val="22"/>
              </w:rPr>
            </w:pPr>
            <w:r>
              <w:rPr>
                <w:sz w:val="22"/>
                <w:szCs w:val="22"/>
              </w:rPr>
              <w:t>3,750</w:t>
            </w:r>
          </w:p>
        </w:tc>
      </w:tr>
      <w:tr w:rsidR="00E362C7" w:rsidRPr="00CB349B" w14:paraId="02C8D1E5" w14:textId="77777777" w:rsidTr="00B37F43">
        <w:trPr>
          <w:cantSplit/>
          <w:trHeight w:val="403"/>
          <w:jc w:val="center"/>
        </w:trPr>
        <w:tc>
          <w:tcPr>
            <w:tcW w:w="9044" w:type="dxa"/>
            <w:gridSpan w:val="5"/>
            <w:tcBorders>
              <w:top w:val="single" w:sz="6" w:space="0" w:color="auto"/>
              <w:left w:val="single" w:sz="24" w:space="0" w:color="auto"/>
              <w:bottom w:val="single" w:sz="6" w:space="0" w:color="auto"/>
              <w:right w:val="single" w:sz="24" w:space="0" w:color="auto"/>
            </w:tcBorders>
            <w:shd w:val="clear" w:color="auto" w:fill="FFFFFF"/>
          </w:tcPr>
          <w:p w14:paraId="5333BC3A" w14:textId="77777777" w:rsidR="00E362C7" w:rsidRPr="00054389" w:rsidRDefault="00E362C7" w:rsidP="00B37F43">
            <w:pPr>
              <w:jc w:val="right"/>
              <w:rPr>
                <w:sz w:val="22"/>
                <w:szCs w:val="22"/>
              </w:rPr>
            </w:pPr>
          </w:p>
        </w:tc>
      </w:tr>
      <w:tr w:rsidR="00E362C7" w:rsidRPr="00CB349B" w14:paraId="54989824" w14:textId="77777777" w:rsidTr="00B37F43">
        <w:trPr>
          <w:cantSplit/>
          <w:trHeight w:val="403"/>
          <w:jc w:val="center"/>
        </w:trPr>
        <w:tc>
          <w:tcPr>
            <w:tcW w:w="9044" w:type="dxa"/>
            <w:gridSpan w:val="5"/>
            <w:tcBorders>
              <w:top w:val="single" w:sz="6" w:space="0" w:color="auto"/>
              <w:left w:val="single" w:sz="24" w:space="0" w:color="auto"/>
              <w:bottom w:val="single" w:sz="6" w:space="0" w:color="auto"/>
              <w:right w:val="single" w:sz="24" w:space="0" w:color="auto"/>
            </w:tcBorders>
            <w:shd w:val="clear" w:color="auto" w:fill="FFFFFF"/>
          </w:tcPr>
          <w:p w14:paraId="6D28E2FB" w14:textId="77777777" w:rsidR="00E362C7" w:rsidRPr="0051612D" w:rsidRDefault="00E362C7" w:rsidP="00B37F43">
            <w:pPr>
              <w:rPr>
                <w:b/>
                <w:sz w:val="22"/>
                <w:szCs w:val="22"/>
                <w:u w:val="single"/>
              </w:rPr>
            </w:pPr>
            <w:r w:rsidRPr="0051612D">
              <w:rPr>
                <w:b/>
                <w:sz w:val="22"/>
                <w:szCs w:val="22"/>
                <w:u w:val="single"/>
              </w:rPr>
              <w:t>Totals</w:t>
            </w:r>
          </w:p>
        </w:tc>
      </w:tr>
      <w:tr w:rsidR="00E362C7" w:rsidRPr="00CB349B" w14:paraId="4C67DFB0" w14:textId="77777777" w:rsidTr="00B37F43">
        <w:trPr>
          <w:cantSplit/>
          <w:trHeight w:val="403"/>
          <w:jc w:val="center"/>
        </w:trPr>
        <w:tc>
          <w:tcPr>
            <w:tcW w:w="3693" w:type="dxa"/>
            <w:tcBorders>
              <w:top w:val="single" w:sz="6" w:space="0" w:color="auto"/>
              <w:left w:val="single" w:sz="24" w:space="0" w:color="auto"/>
              <w:bottom w:val="single" w:sz="24" w:space="0" w:color="auto"/>
              <w:right w:val="single" w:sz="6" w:space="0" w:color="auto"/>
            </w:tcBorders>
            <w:shd w:val="clear" w:color="auto" w:fill="FFFFFF"/>
          </w:tcPr>
          <w:p w14:paraId="7D118FA4" w14:textId="77777777" w:rsidR="00E362C7" w:rsidRPr="00054389" w:rsidRDefault="00E362C7" w:rsidP="00B37F43">
            <w:pPr>
              <w:rPr>
                <w:sz w:val="22"/>
                <w:szCs w:val="22"/>
              </w:rPr>
            </w:pPr>
          </w:p>
        </w:tc>
        <w:tc>
          <w:tcPr>
            <w:tcW w:w="1530" w:type="dxa"/>
            <w:tcBorders>
              <w:top w:val="single" w:sz="6" w:space="0" w:color="auto"/>
              <w:left w:val="single" w:sz="6" w:space="0" w:color="auto"/>
              <w:bottom w:val="single" w:sz="24" w:space="0" w:color="auto"/>
              <w:right w:val="single" w:sz="6" w:space="0" w:color="auto"/>
            </w:tcBorders>
          </w:tcPr>
          <w:p w14:paraId="25C07C5E" w14:textId="77777777" w:rsidR="00E362C7" w:rsidRPr="00054389" w:rsidRDefault="00581673" w:rsidP="00094FEA">
            <w:pPr>
              <w:jc w:val="right"/>
              <w:rPr>
                <w:sz w:val="22"/>
                <w:szCs w:val="22"/>
              </w:rPr>
            </w:pPr>
            <w:r>
              <w:rPr>
                <w:sz w:val="22"/>
                <w:szCs w:val="22"/>
              </w:rPr>
              <w:t>12,900*</w:t>
            </w:r>
          </w:p>
        </w:tc>
        <w:tc>
          <w:tcPr>
            <w:tcW w:w="1260" w:type="dxa"/>
            <w:tcBorders>
              <w:top w:val="single" w:sz="6" w:space="0" w:color="auto"/>
              <w:left w:val="single" w:sz="6" w:space="0" w:color="auto"/>
              <w:bottom w:val="single" w:sz="24" w:space="0" w:color="auto"/>
              <w:right w:val="single" w:sz="6" w:space="0" w:color="auto"/>
            </w:tcBorders>
            <w:shd w:val="pct10" w:color="auto" w:fill="FFFFFF"/>
          </w:tcPr>
          <w:p w14:paraId="646FEA4D" w14:textId="77777777" w:rsidR="00E362C7" w:rsidRPr="00054389" w:rsidRDefault="00E362C7" w:rsidP="00B37F43">
            <w:pPr>
              <w:rPr>
                <w:sz w:val="22"/>
                <w:szCs w:val="22"/>
              </w:rPr>
            </w:pPr>
          </w:p>
        </w:tc>
        <w:tc>
          <w:tcPr>
            <w:tcW w:w="1260" w:type="dxa"/>
            <w:tcBorders>
              <w:top w:val="single" w:sz="6" w:space="0" w:color="auto"/>
              <w:left w:val="single" w:sz="6" w:space="0" w:color="auto"/>
              <w:bottom w:val="single" w:sz="24" w:space="0" w:color="auto"/>
              <w:right w:val="single" w:sz="6" w:space="0" w:color="auto"/>
            </w:tcBorders>
            <w:shd w:val="pct10" w:color="auto" w:fill="FFFFFF"/>
          </w:tcPr>
          <w:p w14:paraId="347C891B" w14:textId="77777777" w:rsidR="00E362C7" w:rsidRPr="00054389" w:rsidRDefault="00E362C7" w:rsidP="00B37F43">
            <w:pPr>
              <w:rPr>
                <w:sz w:val="22"/>
                <w:szCs w:val="22"/>
              </w:rPr>
            </w:pPr>
          </w:p>
        </w:tc>
        <w:tc>
          <w:tcPr>
            <w:tcW w:w="1301" w:type="dxa"/>
            <w:tcBorders>
              <w:top w:val="single" w:sz="6" w:space="0" w:color="auto"/>
              <w:left w:val="single" w:sz="6" w:space="0" w:color="auto"/>
              <w:bottom w:val="single" w:sz="24" w:space="0" w:color="auto"/>
              <w:right w:val="single" w:sz="24" w:space="0" w:color="auto"/>
            </w:tcBorders>
          </w:tcPr>
          <w:p w14:paraId="28A49153" w14:textId="77777777" w:rsidR="00E362C7" w:rsidRPr="00054389" w:rsidRDefault="00581673" w:rsidP="00783DCE">
            <w:pPr>
              <w:jc w:val="right"/>
              <w:rPr>
                <w:sz w:val="22"/>
                <w:szCs w:val="22"/>
              </w:rPr>
            </w:pPr>
            <w:r>
              <w:rPr>
                <w:sz w:val="22"/>
                <w:szCs w:val="22"/>
              </w:rPr>
              <w:t>29,700</w:t>
            </w:r>
          </w:p>
        </w:tc>
      </w:tr>
    </w:tbl>
    <w:p w14:paraId="47FD482A" w14:textId="77777777" w:rsidR="00783DCE" w:rsidRDefault="00783DCE" w:rsidP="00783DCE">
      <w:pPr>
        <w:spacing w:line="480" w:lineRule="auto"/>
      </w:pPr>
      <w:r>
        <w:t>*Some adults may participate both as a study participant and as a parent proxy if their child is also a study participant.</w:t>
      </w:r>
    </w:p>
    <w:p w14:paraId="5AC65C4E" w14:textId="77777777" w:rsidR="009C1C62" w:rsidRDefault="009C1C62" w:rsidP="00E362C7">
      <w:pPr>
        <w:rPr>
          <w:sz w:val="22"/>
          <w:szCs w:val="22"/>
          <w:vertAlign w:val="superscript"/>
        </w:rPr>
      </w:pPr>
    </w:p>
    <w:p w14:paraId="06D00F81" w14:textId="77777777" w:rsidR="00FD7C3B" w:rsidRDefault="009C1C62" w:rsidP="00D5162B">
      <w:pPr>
        <w:tabs>
          <w:tab w:val="left" w:pos="360"/>
        </w:tabs>
        <w:rPr>
          <w:smallCaps/>
          <w:sz w:val="22"/>
          <w:szCs w:val="22"/>
        </w:rPr>
      </w:pPr>
      <w:r>
        <w:rPr>
          <w:sz w:val="22"/>
          <w:szCs w:val="22"/>
          <w:vertAlign w:val="superscript"/>
        </w:rPr>
        <w:tab/>
      </w:r>
    </w:p>
    <w:p w14:paraId="76EF824E" w14:textId="77777777" w:rsidR="00E362C7" w:rsidRPr="00CB349B" w:rsidRDefault="00E362C7" w:rsidP="00E362C7">
      <w:pPr>
        <w:rPr>
          <w:smallCaps/>
          <w:sz w:val="22"/>
          <w:szCs w:val="22"/>
        </w:rPr>
      </w:pPr>
    </w:p>
    <w:tbl>
      <w:tblPr>
        <w:tblW w:w="0" w:type="auto"/>
        <w:jc w:val="center"/>
        <w:tblInd w:w="-1516"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2396"/>
        <w:gridCol w:w="1600"/>
        <w:gridCol w:w="1600"/>
        <w:gridCol w:w="1400"/>
        <w:gridCol w:w="1984"/>
      </w:tblGrid>
      <w:tr w:rsidR="00E362C7" w:rsidRPr="00CB349B" w14:paraId="4E691717" w14:textId="77777777" w:rsidTr="00B37F43">
        <w:trPr>
          <w:cantSplit/>
          <w:trHeight w:val="399"/>
          <w:jc w:val="center"/>
        </w:trPr>
        <w:tc>
          <w:tcPr>
            <w:tcW w:w="8980" w:type="dxa"/>
            <w:gridSpan w:val="5"/>
            <w:shd w:val="pct10" w:color="auto" w:fill="FFFFFF"/>
            <w:vAlign w:val="center"/>
          </w:tcPr>
          <w:p w14:paraId="5D66DE40" w14:textId="77777777" w:rsidR="00E362C7" w:rsidRPr="00CB349B" w:rsidRDefault="00E362C7" w:rsidP="00B37F43">
            <w:pPr>
              <w:jc w:val="center"/>
              <w:rPr>
                <w:sz w:val="22"/>
                <w:szCs w:val="22"/>
              </w:rPr>
            </w:pPr>
            <w:r w:rsidRPr="00CB349B">
              <w:rPr>
                <w:sz w:val="22"/>
                <w:szCs w:val="22"/>
              </w:rPr>
              <w:br w:type="page"/>
            </w:r>
            <w:r w:rsidRPr="001A570D">
              <w:rPr>
                <w:b/>
                <w:smallCaps/>
                <w:sz w:val="22"/>
                <w:szCs w:val="22"/>
                <w:shd w:val="clear" w:color="auto" w:fill="E6E6E6"/>
              </w:rPr>
              <w:t>A.12 – 2   Annualized Cost To Respondents</w:t>
            </w:r>
          </w:p>
        </w:tc>
      </w:tr>
      <w:tr w:rsidR="00E362C7" w:rsidRPr="00CB349B" w14:paraId="61DA8642" w14:textId="77777777" w:rsidTr="00B37F43">
        <w:trPr>
          <w:cantSplit/>
          <w:trHeight w:val="403"/>
          <w:jc w:val="center"/>
        </w:trPr>
        <w:tc>
          <w:tcPr>
            <w:tcW w:w="2396" w:type="dxa"/>
            <w:shd w:val="clear" w:color="auto" w:fill="FFFFFF"/>
          </w:tcPr>
          <w:p w14:paraId="30A79F07" w14:textId="77777777" w:rsidR="00E362C7" w:rsidRPr="00CB349B" w:rsidRDefault="00E362C7" w:rsidP="00B37F43">
            <w:pPr>
              <w:rPr>
                <w:b/>
                <w:sz w:val="22"/>
                <w:szCs w:val="22"/>
              </w:rPr>
            </w:pPr>
            <w:r w:rsidRPr="00CB349B">
              <w:rPr>
                <w:b/>
                <w:sz w:val="22"/>
                <w:szCs w:val="22"/>
              </w:rPr>
              <w:t>Type of</w:t>
            </w:r>
          </w:p>
          <w:p w14:paraId="298CA8EF" w14:textId="77777777" w:rsidR="00E362C7" w:rsidRPr="00CC2016" w:rsidRDefault="00E362C7" w:rsidP="00B37F43">
            <w:pPr>
              <w:rPr>
                <w:b/>
                <w:sz w:val="22"/>
                <w:szCs w:val="22"/>
              </w:rPr>
            </w:pPr>
            <w:r w:rsidRPr="00CB349B">
              <w:rPr>
                <w:b/>
                <w:sz w:val="22"/>
                <w:szCs w:val="22"/>
              </w:rPr>
              <w:t>Respondents</w:t>
            </w:r>
          </w:p>
        </w:tc>
        <w:tc>
          <w:tcPr>
            <w:tcW w:w="1600" w:type="dxa"/>
          </w:tcPr>
          <w:p w14:paraId="1439A70D" w14:textId="77777777" w:rsidR="00E362C7" w:rsidRPr="00CB349B" w:rsidRDefault="00E362C7" w:rsidP="00B37F43">
            <w:pPr>
              <w:rPr>
                <w:b/>
                <w:sz w:val="22"/>
                <w:szCs w:val="22"/>
              </w:rPr>
            </w:pPr>
            <w:r w:rsidRPr="00CB349B">
              <w:rPr>
                <w:b/>
                <w:sz w:val="22"/>
                <w:szCs w:val="22"/>
              </w:rPr>
              <w:t>Number of</w:t>
            </w:r>
          </w:p>
          <w:p w14:paraId="02CA697B" w14:textId="77777777" w:rsidR="00E362C7" w:rsidRPr="00CB349B" w:rsidRDefault="00E362C7" w:rsidP="00B37F43">
            <w:pPr>
              <w:rPr>
                <w:sz w:val="22"/>
                <w:szCs w:val="22"/>
              </w:rPr>
            </w:pPr>
            <w:r w:rsidRPr="00CB349B">
              <w:rPr>
                <w:b/>
                <w:sz w:val="22"/>
                <w:szCs w:val="22"/>
              </w:rPr>
              <w:t>Respondents</w:t>
            </w:r>
          </w:p>
        </w:tc>
        <w:tc>
          <w:tcPr>
            <w:tcW w:w="1600" w:type="dxa"/>
            <w:shd w:val="clear" w:color="auto" w:fill="FFFFFF"/>
          </w:tcPr>
          <w:p w14:paraId="2A3D394D" w14:textId="77777777" w:rsidR="00E362C7" w:rsidRPr="00CB349B" w:rsidRDefault="00E362C7" w:rsidP="00B37F43">
            <w:pPr>
              <w:rPr>
                <w:b/>
                <w:sz w:val="22"/>
                <w:szCs w:val="22"/>
              </w:rPr>
            </w:pPr>
            <w:r w:rsidRPr="00CB349B">
              <w:rPr>
                <w:b/>
                <w:sz w:val="22"/>
                <w:szCs w:val="22"/>
              </w:rPr>
              <w:t>Frequency of</w:t>
            </w:r>
          </w:p>
          <w:p w14:paraId="09CBF97F" w14:textId="77777777" w:rsidR="00E362C7" w:rsidRPr="00CB349B" w:rsidRDefault="00E362C7" w:rsidP="00B37F43">
            <w:pPr>
              <w:rPr>
                <w:sz w:val="22"/>
                <w:szCs w:val="22"/>
              </w:rPr>
            </w:pPr>
            <w:r w:rsidRPr="00CB349B">
              <w:rPr>
                <w:b/>
                <w:sz w:val="22"/>
                <w:szCs w:val="22"/>
              </w:rPr>
              <w:t>Response</w:t>
            </w:r>
          </w:p>
        </w:tc>
        <w:tc>
          <w:tcPr>
            <w:tcW w:w="1400" w:type="dxa"/>
            <w:shd w:val="clear" w:color="auto" w:fill="FFFFFF"/>
          </w:tcPr>
          <w:p w14:paraId="712F424B" w14:textId="77777777" w:rsidR="00E362C7" w:rsidRPr="00CB349B" w:rsidRDefault="00E362C7" w:rsidP="00B37F43">
            <w:pPr>
              <w:jc w:val="center"/>
              <w:rPr>
                <w:sz w:val="22"/>
                <w:szCs w:val="22"/>
              </w:rPr>
            </w:pPr>
            <w:r w:rsidRPr="00CB349B">
              <w:rPr>
                <w:b/>
                <w:sz w:val="22"/>
                <w:szCs w:val="22"/>
              </w:rPr>
              <w:t>Hourly Wage Rate</w:t>
            </w:r>
          </w:p>
        </w:tc>
        <w:tc>
          <w:tcPr>
            <w:tcW w:w="1984" w:type="dxa"/>
          </w:tcPr>
          <w:p w14:paraId="3D0F2A30" w14:textId="77777777" w:rsidR="00E362C7" w:rsidRPr="00CB349B" w:rsidRDefault="00E362C7" w:rsidP="00B37F43">
            <w:pPr>
              <w:rPr>
                <w:b/>
                <w:sz w:val="22"/>
                <w:szCs w:val="22"/>
              </w:rPr>
            </w:pPr>
            <w:r w:rsidRPr="00CB349B">
              <w:rPr>
                <w:b/>
                <w:sz w:val="22"/>
                <w:szCs w:val="22"/>
              </w:rPr>
              <w:t xml:space="preserve">Respondent </w:t>
            </w:r>
          </w:p>
          <w:p w14:paraId="09D23F7E" w14:textId="77777777" w:rsidR="00E362C7" w:rsidRPr="00CB349B" w:rsidRDefault="00E362C7" w:rsidP="00B37F43">
            <w:pPr>
              <w:rPr>
                <w:sz w:val="22"/>
                <w:szCs w:val="22"/>
              </w:rPr>
            </w:pPr>
            <w:r w:rsidRPr="00CB349B">
              <w:rPr>
                <w:b/>
                <w:sz w:val="22"/>
                <w:szCs w:val="22"/>
              </w:rPr>
              <w:t>Cost</w:t>
            </w:r>
          </w:p>
        </w:tc>
      </w:tr>
      <w:tr w:rsidR="00E362C7" w:rsidRPr="00CB349B" w14:paraId="0B8E6D25" w14:textId="77777777" w:rsidTr="00B37F43">
        <w:trPr>
          <w:cantSplit/>
          <w:trHeight w:val="403"/>
          <w:jc w:val="center"/>
        </w:trPr>
        <w:tc>
          <w:tcPr>
            <w:tcW w:w="2396" w:type="dxa"/>
            <w:shd w:val="clear" w:color="auto" w:fill="FFFFFF"/>
          </w:tcPr>
          <w:p w14:paraId="175D88BE" w14:textId="77777777" w:rsidR="00E362C7" w:rsidRPr="00CB349B" w:rsidRDefault="00E362C7" w:rsidP="00B37F43">
            <w:pPr>
              <w:rPr>
                <w:sz w:val="22"/>
                <w:szCs w:val="22"/>
              </w:rPr>
            </w:pPr>
            <w:r w:rsidRPr="00CB349B">
              <w:rPr>
                <w:sz w:val="22"/>
                <w:szCs w:val="22"/>
              </w:rPr>
              <w:t xml:space="preserve">Adults </w:t>
            </w:r>
          </w:p>
        </w:tc>
        <w:tc>
          <w:tcPr>
            <w:tcW w:w="1600" w:type="dxa"/>
          </w:tcPr>
          <w:p w14:paraId="7A5390AD" w14:textId="77777777" w:rsidR="00E362C7" w:rsidRPr="00CB349B" w:rsidRDefault="00581673" w:rsidP="00783DCE">
            <w:pPr>
              <w:jc w:val="center"/>
              <w:rPr>
                <w:sz w:val="22"/>
                <w:szCs w:val="22"/>
              </w:rPr>
            </w:pPr>
            <w:r>
              <w:rPr>
                <w:sz w:val="22"/>
                <w:szCs w:val="22"/>
              </w:rPr>
              <w:t>3,900</w:t>
            </w:r>
          </w:p>
        </w:tc>
        <w:tc>
          <w:tcPr>
            <w:tcW w:w="1600" w:type="dxa"/>
            <w:shd w:val="clear" w:color="auto" w:fill="FFFFFF"/>
          </w:tcPr>
          <w:p w14:paraId="72E22AC4" w14:textId="77777777" w:rsidR="00E362C7" w:rsidRPr="00CB349B" w:rsidRDefault="00E362C7" w:rsidP="00B37F43">
            <w:pPr>
              <w:jc w:val="center"/>
              <w:rPr>
                <w:sz w:val="22"/>
                <w:szCs w:val="22"/>
              </w:rPr>
            </w:pPr>
            <w:r w:rsidRPr="00CB349B">
              <w:rPr>
                <w:smallCaps/>
                <w:sz w:val="22"/>
                <w:szCs w:val="22"/>
              </w:rPr>
              <w:t>1-2</w:t>
            </w:r>
          </w:p>
        </w:tc>
        <w:tc>
          <w:tcPr>
            <w:tcW w:w="1400" w:type="dxa"/>
            <w:shd w:val="clear" w:color="auto" w:fill="FFFFFF"/>
          </w:tcPr>
          <w:p w14:paraId="698F8D06" w14:textId="77777777" w:rsidR="00E362C7" w:rsidRPr="00CB349B" w:rsidRDefault="00E362C7" w:rsidP="00B37F43">
            <w:pPr>
              <w:jc w:val="center"/>
              <w:rPr>
                <w:sz w:val="22"/>
                <w:szCs w:val="22"/>
              </w:rPr>
            </w:pPr>
            <w:r w:rsidRPr="00CB349B">
              <w:rPr>
                <w:sz w:val="22"/>
                <w:szCs w:val="22"/>
              </w:rPr>
              <w:t>$25</w:t>
            </w:r>
            <w:r>
              <w:rPr>
                <w:sz w:val="22"/>
                <w:szCs w:val="22"/>
              </w:rPr>
              <w:t>.00</w:t>
            </w:r>
          </w:p>
        </w:tc>
        <w:tc>
          <w:tcPr>
            <w:tcW w:w="1984" w:type="dxa"/>
          </w:tcPr>
          <w:p w14:paraId="432207B4" w14:textId="77777777" w:rsidR="00E362C7" w:rsidRPr="00CB349B" w:rsidRDefault="00E362C7" w:rsidP="00581673">
            <w:pPr>
              <w:jc w:val="right"/>
              <w:rPr>
                <w:sz w:val="22"/>
                <w:szCs w:val="22"/>
              </w:rPr>
            </w:pPr>
            <w:r w:rsidRPr="00CB349B">
              <w:rPr>
                <w:smallCaps/>
                <w:sz w:val="22"/>
                <w:szCs w:val="22"/>
              </w:rPr>
              <w:t>$</w:t>
            </w:r>
            <w:r w:rsidR="00581673">
              <w:rPr>
                <w:smallCaps/>
                <w:sz w:val="22"/>
                <w:szCs w:val="22"/>
              </w:rPr>
              <w:t>348</w:t>
            </w:r>
            <w:r w:rsidR="00A30E46">
              <w:rPr>
                <w:smallCaps/>
                <w:sz w:val="22"/>
                <w:szCs w:val="22"/>
              </w:rPr>
              <w:t>,</w:t>
            </w:r>
            <w:r w:rsidR="00581673">
              <w:rPr>
                <w:smallCaps/>
                <w:sz w:val="22"/>
                <w:szCs w:val="22"/>
              </w:rPr>
              <w:t>750</w:t>
            </w:r>
            <w:r>
              <w:rPr>
                <w:smallCaps/>
                <w:sz w:val="22"/>
                <w:szCs w:val="22"/>
              </w:rPr>
              <w:t>.00</w:t>
            </w:r>
          </w:p>
        </w:tc>
      </w:tr>
      <w:tr w:rsidR="00E362C7" w:rsidRPr="00CB349B" w14:paraId="1F128AD2" w14:textId="77777777" w:rsidTr="00B37F43">
        <w:trPr>
          <w:cantSplit/>
          <w:trHeight w:val="403"/>
          <w:jc w:val="center"/>
        </w:trPr>
        <w:tc>
          <w:tcPr>
            <w:tcW w:w="2396" w:type="dxa"/>
            <w:shd w:val="clear" w:color="auto" w:fill="FFFFFF"/>
          </w:tcPr>
          <w:p w14:paraId="71FDD55E" w14:textId="77777777" w:rsidR="00E362C7" w:rsidRPr="00CB349B" w:rsidRDefault="00783DCE" w:rsidP="00B37F43">
            <w:pPr>
              <w:rPr>
                <w:sz w:val="22"/>
                <w:szCs w:val="22"/>
              </w:rPr>
            </w:pPr>
            <w:r>
              <w:rPr>
                <w:sz w:val="22"/>
                <w:szCs w:val="22"/>
              </w:rPr>
              <w:t>P</w:t>
            </w:r>
            <w:r w:rsidR="00E362C7" w:rsidRPr="00CB349B">
              <w:rPr>
                <w:sz w:val="22"/>
                <w:szCs w:val="22"/>
              </w:rPr>
              <w:t>arent proxies</w:t>
            </w:r>
          </w:p>
        </w:tc>
        <w:tc>
          <w:tcPr>
            <w:tcW w:w="1600" w:type="dxa"/>
          </w:tcPr>
          <w:p w14:paraId="31EF6871" w14:textId="77777777" w:rsidR="00E362C7" w:rsidRPr="00CB349B" w:rsidRDefault="00581673" w:rsidP="00B37F43">
            <w:pPr>
              <w:jc w:val="center"/>
              <w:rPr>
                <w:sz w:val="22"/>
                <w:szCs w:val="22"/>
              </w:rPr>
            </w:pPr>
            <w:r>
              <w:rPr>
                <w:sz w:val="22"/>
                <w:szCs w:val="22"/>
              </w:rPr>
              <w:t>4,500</w:t>
            </w:r>
          </w:p>
        </w:tc>
        <w:tc>
          <w:tcPr>
            <w:tcW w:w="1600" w:type="dxa"/>
            <w:shd w:val="clear" w:color="auto" w:fill="FFFFFF"/>
          </w:tcPr>
          <w:p w14:paraId="4886831A" w14:textId="77777777" w:rsidR="00E362C7" w:rsidRPr="00CB349B" w:rsidRDefault="00E362C7" w:rsidP="00B37F43">
            <w:pPr>
              <w:jc w:val="center"/>
              <w:rPr>
                <w:smallCaps/>
                <w:sz w:val="22"/>
                <w:szCs w:val="22"/>
              </w:rPr>
            </w:pPr>
            <w:r w:rsidRPr="00CB349B">
              <w:rPr>
                <w:smallCaps/>
                <w:sz w:val="22"/>
                <w:szCs w:val="22"/>
              </w:rPr>
              <w:t>1-2</w:t>
            </w:r>
          </w:p>
        </w:tc>
        <w:tc>
          <w:tcPr>
            <w:tcW w:w="1400" w:type="dxa"/>
            <w:shd w:val="clear" w:color="auto" w:fill="FFFFFF"/>
          </w:tcPr>
          <w:p w14:paraId="6B60644B" w14:textId="77777777" w:rsidR="00E362C7" w:rsidRPr="00CB349B" w:rsidRDefault="00E362C7" w:rsidP="00B37F43">
            <w:pPr>
              <w:jc w:val="center"/>
              <w:rPr>
                <w:sz w:val="22"/>
                <w:szCs w:val="22"/>
              </w:rPr>
            </w:pPr>
            <w:r w:rsidRPr="00CB349B">
              <w:rPr>
                <w:sz w:val="22"/>
                <w:szCs w:val="22"/>
              </w:rPr>
              <w:t>$25</w:t>
            </w:r>
            <w:r>
              <w:rPr>
                <w:sz w:val="22"/>
                <w:szCs w:val="22"/>
              </w:rPr>
              <w:t>.00</w:t>
            </w:r>
          </w:p>
        </w:tc>
        <w:tc>
          <w:tcPr>
            <w:tcW w:w="1984" w:type="dxa"/>
          </w:tcPr>
          <w:p w14:paraId="6BF48801" w14:textId="77777777" w:rsidR="00E362C7" w:rsidRPr="00CB349B" w:rsidRDefault="00E362C7" w:rsidP="00581673">
            <w:pPr>
              <w:jc w:val="right"/>
              <w:rPr>
                <w:smallCaps/>
                <w:sz w:val="22"/>
                <w:szCs w:val="22"/>
              </w:rPr>
            </w:pPr>
            <w:r w:rsidRPr="00CB349B">
              <w:rPr>
                <w:smallCaps/>
                <w:sz w:val="22"/>
                <w:szCs w:val="22"/>
              </w:rPr>
              <w:t>$</w:t>
            </w:r>
            <w:r w:rsidR="00581673">
              <w:rPr>
                <w:smallCaps/>
                <w:sz w:val="22"/>
                <w:szCs w:val="22"/>
              </w:rPr>
              <w:t>65</w:t>
            </w:r>
            <w:r w:rsidR="00A30E46">
              <w:rPr>
                <w:smallCaps/>
                <w:sz w:val="22"/>
                <w:szCs w:val="22"/>
              </w:rPr>
              <w:t>,</w:t>
            </w:r>
            <w:r w:rsidR="00581673">
              <w:rPr>
                <w:smallCaps/>
                <w:sz w:val="22"/>
                <w:szCs w:val="22"/>
              </w:rPr>
              <w:t>625</w:t>
            </w:r>
            <w:r>
              <w:rPr>
                <w:smallCaps/>
                <w:sz w:val="22"/>
                <w:szCs w:val="22"/>
              </w:rPr>
              <w:t>.00</w:t>
            </w:r>
          </w:p>
        </w:tc>
      </w:tr>
      <w:tr w:rsidR="00E362C7" w:rsidRPr="00CB349B" w14:paraId="24267F97" w14:textId="77777777" w:rsidTr="00B37F43">
        <w:trPr>
          <w:cantSplit/>
          <w:trHeight w:val="403"/>
          <w:jc w:val="center"/>
        </w:trPr>
        <w:tc>
          <w:tcPr>
            <w:tcW w:w="2396" w:type="dxa"/>
            <w:shd w:val="clear" w:color="auto" w:fill="FFFFFF"/>
          </w:tcPr>
          <w:p w14:paraId="256468E4" w14:textId="77777777" w:rsidR="00E362C7" w:rsidRPr="00CB349B" w:rsidRDefault="00E362C7" w:rsidP="00B37F43">
            <w:pPr>
              <w:rPr>
                <w:sz w:val="22"/>
                <w:szCs w:val="22"/>
              </w:rPr>
            </w:pPr>
            <w:r w:rsidRPr="00CB349B">
              <w:rPr>
                <w:sz w:val="22"/>
                <w:szCs w:val="22"/>
              </w:rPr>
              <w:t>Children</w:t>
            </w:r>
          </w:p>
        </w:tc>
        <w:tc>
          <w:tcPr>
            <w:tcW w:w="1600" w:type="dxa"/>
          </w:tcPr>
          <w:p w14:paraId="1818BB10" w14:textId="77777777" w:rsidR="00E362C7" w:rsidRPr="00CB349B" w:rsidRDefault="00581673" w:rsidP="00B37F43">
            <w:pPr>
              <w:jc w:val="center"/>
              <w:rPr>
                <w:sz w:val="22"/>
                <w:szCs w:val="22"/>
              </w:rPr>
            </w:pPr>
            <w:r>
              <w:rPr>
                <w:sz w:val="22"/>
                <w:szCs w:val="22"/>
              </w:rPr>
              <w:t>4,500</w:t>
            </w:r>
          </w:p>
        </w:tc>
        <w:tc>
          <w:tcPr>
            <w:tcW w:w="1600" w:type="dxa"/>
            <w:shd w:val="clear" w:color="auto" w:fill="FFFFFF"/>
          </w:tcPr>
          <w:p w14:paraId="07CD0C30" w14:textId="77777777" w:rsidR="00E362C7" w:rsidRPr="00CB349B" w:rsidRDefault="00E362C7" w:rsidP="00B37F43">
            <w:pPr>
              <w:jc w:val="center"/>
              <w:rPr>
                <w:sz w:val="22"/>
                <w:szCs w:val="22"/>
              </w:rPr>
            </w:pPr>
            <w:r w:rsidRPr="00CB349B">
              <w:rPr>
                <w:smallCaps/>
                <w:sz w:val="22"/>
                <w:szCs w:val="22"/>
              </w:rPr>
              <w:t>1-2</w:t>
            </w:r>
          </w:p>
        </w:tc>
        <w:tc>
          <w:tcPr>
            <w:tcW w:w="1400" w:type="dxa"/>
            <w:shd w:val="clear" w:color="auto" w:fill="FFFFFF"/>
          </w:tcPr>
          <w:p w14:paraId="605949D4" w14:textId="77777777" w:rsidR="00E362C7" w:rsidRPr="00CB349B" w:rsidRDefault="00E362C7" w:rsidP="00B37F43">
            <w:pPr>
              <w:jc w:val="center"/>
              <w:rPr>
                <w:sz w:val="22"/>
                <w:szCs w:val="22"/>
              </w:rPr>
            </w:pPr>
            <w:r w:rsidRPr="00CB349B">
              <w:rPr>
                <w:sz w:val="22"/>
                <w:szCs w:val="22"/>
              </w:rPr>
              <w:t>$0</w:t>
            </w:r>
            <w:r>
              <w:rPr>
                <w:sz w:val="22"/>
                <w:szCs w:val="22"/>
              </w:rPr>
              <w:t>.00</w:t>
            </w:r>
          </w:p>
        </w:tc>
        <w:tc>
          <w:tcPr>
            <w:tcW w:w="1984" w:type="dxa"/>
          </w:tcPr>
          <w:p w14:paraId="5C72334A" w14:textId="77777777" w:rsidR="00E362C7" w:rsidRPr="00CB349B" w:rsidRDefault="00E362C7" w:rsidP="00B37F43">
            <w:pPr>
              <w:jc w:val="right"/>
              <w:rPr>
                <w:sz w:val="22"/>
                <w:szCs w:val="22"/>
              </w:rPr>
            </w:pPr>
            <w:r w:rsidRPr="00CB349B">
              <w:rPr>
                <w:sz w:val="22"/>
                <w:szCs w:val="22"/>
              </w:rPr>
              <w:t>$0</w:t>
            </w:r>
            <w:r>
              <w:rPr>
                <w:sz w:val="22"/>
                <w:szCs w:val="22"/>
              </w:rPr>
              <w:t>.00</w:t>
            </w:r>
          </w:p>
        </w:tc>
      </w:tr>
      <w:tr w:rsidR="00E362C7" w:rsidRPr="00CB349B" w14:paraId="7C20EC3A" w14:textId="77777777" w:rsidTr="00B37F43">
        <w:trPr>
          <w:cantSplit/>
          <w:trHeight w:val="403"/>
          <w:jc w:val="center"/>
        </w:trPr>
        <w:tc>
          <w:tcPr>
            <w:tcW w:w="6996" w:type="dxa"/>
            <w:gridSpan w:val="4"/>
            <w:shd w:val="pct10" w:color="auto" w:fill="FFFFFF"/>
          </w:tcPr>
          <w:p w14:paraId="73F9984C" w14:textId="77777777" w:rsidR="00E362C7" w:rsidRPr="00CB349B" w:rsidRDefault="00E362C7" w:rsidP="00B37F43">
            <w:pPr>
              <w:jc w:val="right"/>
              <w:rPr>
                <w:b/>
                <w:sz w:val="22"/>
                <w:szCs w:val="22"/>
              </w:rPr>
            </w:pPr>
          </w:p>
          <w:p w14:paraId="495490A6" w14:textId="77777777" w:rsidR="00E362C7" w:rsidRPr="00CB349B" w:rsidRDefault="00E362C7" w:rsidP="00B37F43">
            <w:pPr>
              <w:jc w:val="right"/>
              <w:rPr>
                <w:sz w:val="22"/>
                <w:szCs w:val="22"/>
              </w:rPr>
            </w:pPr>
            <w:r w:rsidRPr="00CB349B">
              <w:rPr>
                <w:b/>
                <w:sz w:val="22"/>
                <w:szCs w:val="22"/>
              </w:rPr>
              <w:t>Total . . . . . .</w:t>
            </w:r>
          </w:p>
        </w:tc>
        <w:tc>
          <w:tcPr>
            <w:tcW w:w="1984" w:type="dxa"/>
          </w:tcPr>
          <w:p w14:paraId="4C3DFFA7" w14:textId="77777777" w:rsidR="00E362C7" w:rsidRPr="00CB349B" w:rsidRDefault="00E362C7" w:rsidP="00B37F43">
            <w:pPr>
              <w:jc w:val="right"/>
              <w:rPr>
                <w:smallCaps/>
                <w:sz w:val="22"/>
                <w:szCs w:val="22"/>
              </w:rPr>
            </w:pPr>
          </w:p>
          <w:p w14:paraId="01859139" w14:textId="77777777" w:rsidR="00E362C7" w:rsidRPr="00CB349B" w:rsidRDefault="00E362C7" w:rsidP="00581673">
            <w:pPr>
              <w:jc w:val="right"/>
              <w:rPr>
                <w:sz w:val="22"/>
                <w:szCs w:val="22"/>
              </w:rPr>
            </w:pPr>
            <w:r w:rsidRPr="00CB349B">
              <w:rPr>
                <w:smallCaps/>
                <w:sz w:val="22"/>
                <w:szCs w:val="22"/>
              </w:rPr>
              <w:t>$</w:t>
            </w:r>
            <w:r w:rsidR="00581673">
              <w:rPr>
                <w:smallCaps/>
                <w:sz w:val="22"/>
                <w:szCs w:val="22"/>
              </w:rPr>
              <w:t>414</w:t>
            </w:r>
            <w:r w:rsidRPr="00CB349B">
              <w:rPr>
                <w:smallCaps/>
                <w:sz w:val="22"/>
                <w:szCs w:val="22"/>
              </w:rPr>
              <w:t>,</w:t>
            </w:r>
            <w:r w:rsidR="00581673">
              <w:rPr>
                <w:smallCaps/>
                <w:sz w:val="22"/>
                <w:szCs w:val="22"/>
              </w:rPr>
              <w:t>375</w:t>
            </w:r>
            <w:r>
              <w:rPr>
                <w:smallCaps/>
                <w:sz w:val="22"/>
                <w:szCs w:val="22"/>
              </w:rPr>
              <w:t>.00</w:t>
            </w:r>
          </w:p>
        </w:tc>
      </w:tr>
    </w:tbl>
    <w:p w14:paraId="161379F1" w14:textId="77777777" w:rsidR="005D3D34" w:rsidRDefault="005D3D34" w:rsidP="00E362C7"/>
    <w:p w14:paraId="0439BDCA" w14:textId="77777777" w:rsidR="005D3D34" w:rsidRDefault="005D3D34">
      <w:r>
        <w:br w:type="page"/>
      </w:r>
    </w:p>
    <w:tbl>
      <w:tblPr>
        <w:tblW w:w="0" w:type="auto"/>
        <w:tblBorders>
          <w:top w:val="single" w:sz="24" w:space="0" w:color="000000"/>
          <w:left w:val="single" w:sz="24" w:space="0" w:color="000000"/>
          <w:bottom w:val="single" w:sz="24" w:space="0" w:color="000000"/>
          <w:right w:val="single" w:sz="24" w:space="0" w:color="000000"/>
          <w:insideH w:val="single" w:sz="2" w:space="0" w:color="000000"/>
          <w:insideV w:val="single" w:sz="2" w:space="0" w:color="000000"/>
        </w:tblBorders>
        <w:tblLook w:val="04A0" w:firstRow="1" w:lastRow="0" w:firstColumn="1" w:lastColumn="0" w:noHBand="0" w:noVBand="1"/>
      </w:tblPr>
      <w:tblGrid>
        <w:gridCol w:w="4155"/>
        <w:gridCol w:w="1656"/>
        <w:gridCol w:w="1607"/>
        <w:gridCol w:w="2158"/>
      </w:tblGrid>
      <w:tr w:rsidR="00F33A94" w:rsidRPr="000D5072" w14:paraId="4E5BB365" w14:textId="77777777" w:rsidTr="00F06FAF">
        <w:trPr>
          <w:trHeight w:val="372"/>
          <w:tblHeader/>
        </w:trPr>
        <w:tc>
          <w:tcPr>
            <w:tcW w:w="9576" w:type="dxa"/>
            <w:gridSpan w:val="4"/>
            <w:tcBorders>
              <w:top w:val="single" w:sz="24" w:space="0" w:color="000000"/>
              <w:bottom w:val="single" w:sz="2" w:space="0" w:color="000000"/>
            </w:tcBorders>
            <w:shd w:val="pct10" w:color="auto" w:fill="auto"/>
            <w:vAlign w:val="center"/>
          </w:tcPr>
          <w:p w14:paraId="36329A71" w14:textId="77777777" w:rsidR="00F33A94" w:rsidRPr="000D5072" w:rsidRDefault="00F33A94" w:rsidP="00F06FAF">
            <w:pPr>
              <w:pStyle w:val="P1-StandPara"/>
              <w:ind w:right="-216" w:firstLine="0"/>
              <w:jc w:val="center"/>
              <w:rPr>
                <w:b/>
                <w:smallCaps/>
              </w:rPr>
            </w:pPr>
            <w:r>
              <w:rPr>
                <w:b/>
                <w:smallCaps/>
              </w:rPr>
              <w:lastRenderedPageBreak/>
              <w:t xml:space="preserve">A.12 – 3    </w:t>
            </w:r>
            <w:r>
              <w:rPr>
                <w:b/>
                <w:noProof/>
                <w:color w:val="000000"/>
                <w:sz w:val="24"/>
                <w:szCs w:val="24"/>
              </w:rPr>
              <w:t>Summary of Measures Completed According to Type of Respondent</w:t>
            </w:r>
          </w:p>
        </w:tc>
      </w:tr>
      <w:tr w:rsidR="00F33A94" w:rsidRPr="007C3C03" w14:paraId="688D4783" w14:textId="77777777" w:rsidTr="00F06FAF">
        <w:trPr>
          <w:tblHeader/>
        </w:trPr>
        <w:tc>
          <w:tcPr>
            <w:tcW w:w="4155" w:type="dxa"/>
            <w:tcBorders>
              <w:top w:val="single" w:sz="2" w:space="0" w:color="000000"/>
            </w:tcBorders>
          </w:tcPr>
          <w:p w14:paraId="2EFE1B6F" w14:textId="77777777" w:rsidR="00F33A94" w:rsidRPr="007C3C03" w:rsidRDefault="00F33A94" w:rsidP="00F06FAF">
            <w:pPr>
              <w:rPr>
                <w:b/>
              </w:rPr>
            </w:pPr>
          </w:p>
        </w:tc>
        <w:tc>
          <w:tcPr>
            <w:tcW w:w="1656" w:type="dxa"/>
            <w:tcBorders>
              <w:top w:val="single" w:sz="2" w:space="0" w:color="000000"/>
            </w:tcBorders>
          </w:tcPr>
          <w:p w14:paraId="656F40D2" w14:textId="77777777" w:rsidR="00F33A94" w:rsidRPr="007C3C03" w:rsidRDefault="00F33A94" w:rsidP="00F06FAF">
            <w:pPr>
              <w:rPr>
                <w:b/>
              </w:rPr>
            </w:pPr>
            <w:r w:rsidRPr="007C3C03">
              <w:rPr>
                <w:b/>
              </w:rPr>
              <w:t>Adult participant</w:t>
            </w:r>
            <w:r w:rsidR="009C1C62" w:rsidRPr="00054389">
              <w:rPr>
                <w:sz w:val="22"/>
                <w:szCs w:val="22"/>
              </w:rPr>
              <w:t xml:space="preserve"> </w:t>
            </w:r>
            <w:r w:rsidR="009C1C62" w:rsidRPr="009C1C62">
              <w:rPr>
                <w:sz w:val="22"/>
                <w:szCs w:val="22"/>
                <w:vertAlign w:val="superscript"/>
              </w:rPr>
              <w:t>*</w:t>
            </w:r>
          </w:p>
        </w:tc>
        <w:tc>
          <w:tcPr>
            <w:tcW w:w="1607" w:type="dxa"/>
            <w:tcBorders>
              <w:top w:val="single" w:sz="2" w:space="0" w:color="000000"/>
            </w:tcBorders>
          </w:tcPr>
          <w:p w14:paraId="7816ADC6" w14:textId="77777777" w:rsidR="00F33A94" w:rsidRPr="007C3C03" w:rsidRDefault="00F33A94" w:rsidP="00F06FAF">
            <w:pPr>
              <w:rPr>
                <w:b/>
              </w:rPr>
            </w:pPr>
            <w:r w:rsidRPr="007C3C03">
              <w:rPr>
                <w:b/>
              </w:rPr>
              <w:t>Child participant (age range)</w:t>
            </w:r>
          </w:p>
        </w:tc>
        <w:tc>
          <w:tcPr>
            <w:tcW w:w="2158" w:type="dxa"/>
            <w:tcBorders>
              <w:top w:val="single" w:sz="2" w:space="0" w:color="000000"/>
            </w:tcBorders>
          </w:tcPr>
          <w:p w14:paraId="19157DF1" w14:textId="77777777" w:rsidR="00F33A94" w:rsidRPr="007C3C03" w:rsidRDefault="00F33A94" w:rsidP="00F06FAF">
            <w:pPr>
              <w:rPr>
                <w:b/>
              </w:rPr>
            </w:pPr>
            <w:r w:rsidRPr="007C3C03">
              <w:rPr>
                <w:b/>
              </w:rPr>
              <w:t>Proxy for participating child (age range of child)</w:t>
            </w:r>
            <w:r w:rsidR="009C1C62" w:rsidRPr="00054389">
              <w:rPr>
                <w:sz w:val="22"/>
                <w:szCs w:val="22"/>
              </w:rPr>
              <w:t xml:space="preserve"> </w:t>
            </w:r>
            <w:r w:rsidR="009C1C62" w:rsidRPr="009C1C62">
              <w:rPr>
                <w:sz w:val="22"/>
                <w:szCs w:val="22"/>
                <w:vertAlign w:val="superscript"/>
              </w:rPr>
              <w:t>*</w:t>
            </w:r>
          </w:p>
        </w:tc>
      </w:tr>
      <w:tr w:rsidR="00F33A94" w:rsidRPr="000D5072" w14:paraId="2849BBB1" w14:textId="77777777" w:rsidTr="00F06FAF">
        <w:trPr>
          <w:trHeight w:val="337"/>
        </w:trPr>
        <w:tc>
          <w:tcPr>
            <w:tcW w:w="9576" w:type="dxa"/>
            <w:gridSpan w:val="4"/>
          </w:tcPr>
          <w:p w14:paraId="0EFD58F1" w14:textId="77777777" w:rsidR="00F33A94" w:rsidRPr="00FD2268" w:rsidRDefault="00F33A94" w:rsidP="00F06FAF">
            <w:pPr>
              <w:spacing w:after="160"/>
              <w:rPr>
                <w:b/>
                <w:smallCaps/>
              </w:rPr>
            </w:pPr>
            <w:r w:rsidRPr="00FD2268">
              <w:rPr>
                <w:b/>
              </w:rPr>
              <w:t>Battery of Toolbox Measures</w:t>
            </w:r>
          </w:p>
        </w:tc>
      </w:tr>
      <w:tr w:rsidR="00F33A94" w:rsidRPr="000D5072" w14:paraId="6370EDD4" w14:textId="77777777" w:rsidTr="00F06FAF">
        <w:tc>
          <w:tcPr>
            <w:tcW w:w="9576" w:type="dxa"/>
            <w:gridSpan w:val="4"/>
          </w:tcPr>
          <w:p w14:paraId="2FB23A3C" w14:textId="77777777" w:rsidR="00F33A94" w:rsidRPr="000D5072" w:rsidRDefault="00F33A94" w:rsidP="00F06FAF">
            <w:pPr>
              <w:spacing w:after="80"/>
              <w:rPr>
                <w:i/>
              </w:rPr>
            </w:pPr>
            <w:r w:rsidRPr="000D5072">
              <w:rPr>
                <w:i/>
              </w:rPr>
              <w:t>Sensation domain</w:t>
            </w:r>
          </w:p>
        </w:tc>
      </w:tr>
      <w:tr w:rsidR="00F33A94" w:rsidRPr="000D5072" w14:paraId="5533A217" w14:textId="77777777" w:rsidTr="00F06FAF">
        <w:tc>
          <w:tcPr>
            <w:tcW w:w="4155" w:type="dxa"/>
          </w:tcPr>
          <w:p w14:paraId="7E60DCA4" w14:textId="77777777" w:rsidR="008051E8" w:rsidRPr="008051E8" w:rsidRDefault="008051E8" w:rsidP="008051E8">
            <w:pPr>
              <w:ind w:left="360"/>
            </w:pPr>
            <w:r w:rsidRPr="008051E8">
              <w:rPr>
                <w:rFonts w:eastAsia="Calibri"/>
              </w:rPr>
              <w:t>Automated Audiometry from the NIH Toolbox (AANT)</w:t>
            </w:r>
          </w:p>
          <w:p w14:paraId="64FD7EBB" w14:textId="77777777" w:rsidR="00F33A94" w:rsidRPr="000D5072" w:rsidRDefault="00F33A94" w:rsidP="00F06FAF">
            <w:pPr>
              <w:ind w:left="360"/>
            </w:pPr>
          </w:p>
        </w:tc>
        <w:tc>
          <w:tcPr>
            <w:tcW w:w="1656" w:type="dxa"/>
          </w:tcPr>
          <w:p w14:paraId="6BF3AF36" w14:textId="77777777" w:rsidR="00F33A94" w:rsidRPr="000D5072" w:rsidRDefault="00F33A94" w:rsidP="00F06FAF">
            <w:pPr>
              <w:ind w:left="360"/>
              <w:rPr>
                <w:rFonts w:eastAsia="Calibri"/>
              </w:rPr>
            </w:pPr>
            <w:r>
              <w:rPr>
                <w:rFonts w:eastAsia="Calibri"/>
              </w:rPr>
              <w:t>X</w:t>
            </w:r>
          </w:p>
        </w:tc>
        <w:tc>
          <w:tcPr>
            <w:tcW w:w="1607" w:type="dxa"/>
          </w:tcPr>
          <w:p w14:paraId="7E959E4E" w14:textId="77777777" w:rsidR="00F33A94" w:rsidRPr="000D5072" w:rsidRDefault="00F33A94" w:rsidP="00F06FAF">
            <w:pPr>
              <w:ind w:left="360"/>
              <w:rPr>
                <w:rFonts w:eastAsia="Calibri"/>
              </w:rPr>
            </w:pPr>
            <w:r>
              <w:rPr>
                <w:rFonts w:eastAsia="Calibri"/>
              </w:rPr>
              <w:t>X</w:t>
            </w:r>
          </w:p>
        </w:tc>
        <w:tc>
          <w:tcPr>
            <w:tcW w:w="2158" w:type="dxa"/>
          </w:tcPr>
          <w:p w14:paraId="4CE7018F" w14:textId="77777777" w:rsidR="00F33A94" w:rsidRPr="000D5072" w:rsidRDefault="00F33A94" w:rsidP="00F06FAF">
            <w:pPr>
              <w:ind w:left="360"/>
              <w:rPr>
                <w:rFonts w:eastAsia="Calibri"/>
              </w:rPr>
            </w:pPr>
          </w:p>
        </w:tc>
      </w:tr>
      <w:tr w:rsidR="00F33A94" w:rsidRPr="000D5072" w14:paraId="481A7361" w14:textId="77777777" w:rsidTr="00F06FAF">
        <w:tc>
          <w:tcPr>
            <w:tcW w:w="4155" w:type="dxa"/>
          </w:tcPr>
          <w:p w14:paraId="38DE2FB6" w14:textId="77777777" w:rsidR="00F33A94" w:rsidRPr="000D5072" w:rsidRDefault="00F33A94" w:rsidP="00F06FAF">
            <w:pPr>
              <w:ind w:left="360"/>
            </w:pPr>
            <w:r w:rsidRPr="000D5072">
              <w:rPr>
                <w:rFonts w:eastAsia="Calibri"/>
              </w:rPr>
              <w:t>Hearing Handicap Inventory</w:t>
            </w:r>
            <w:r w:rsidRPr="000D5072">
              <w:t xml:space="preserve"> (HHI)</w:t>
            </w:r>
          </w:p>
        </w:tc>
        <w:tc>
          <w:tcPr>
            <w:tcW w:w="1656" w:type="dxa"/>
          </w:tcPr>
          <w:p w14:paraId="3ED92D69" w14:textId="77777777" w:rsidR="00F33A94" w:rsidRPr="000D5072" w:rsidRDefault="00F33A94" w:rsidP="00F06FAF">
            <w:pPr>
              <w:ind w:left="360"/>
              <w:rPr>
                <w:rFonts w:eastAsia="Calibri"/>
              </w:rPr>
            </w:pPr>
            <w:r>
              <w:rPr>
                <w:rFonts w:eastAsia="Calibri"/>
              </w:rPr>
              <w:t>X</w:t>
            </w:r>
          </w:p>
        </w:tc>
        <w:tc>
          <w:tcPr>
            <w:tcW w:w="1607" w:type="dxa"/>
          </w:tcPr>
          <w:p w14:paraId="2CAFFC3F" w14:textId="77777777" w:rsidR="00F33A94" w:rsidRPr="000D5072" w:rsidRDefault="00F33A94" w:rsidP="00F06FAF">
            <w:pPr>
              <w:ind w:left="360"/>
              <w:rPr>
                <w:rFonts w:eastAsia="Calibri"/>
              </w:rPr>
            </w:pPr>
          </w:p>
        </w:tc>
        <w:tc>
          <w:tcPr>
            <w:tcW w:w="2158" w:type="dxa"/>
          </w:tcPr>
          <w:p w14:paraId="766CD453" w14:textId="77777777" w:rsidR="00F33A94" w:rsidRPr="000D5072" w:rsidRDefault="00F33A94" w:rsidP="00F06FAF">
            <w:pPr>
              <w:ind w:left="360"/>
              <w:rPr>
                <w:rFonts w:eastAsia="Calibri"/>
              </w:rPr>
            </w:pPr>
          </w:p>
        </w:tc>
      </w:tr>
      <w:tr w:rsidR="00F33A94" w:rsidRPr="000D5072" w14:paraId="1C39AA14" w14:textId="77777777" w:rsidTr="00F06FAF">
        <w:tc>
          <w:tcPr>
            <w:tcW w:w="4155" w:type="dxa"/>
          </w:tcPr>
          <w:p w14:paraId="39C93A90" w14:textId="77777777" w:rsidR="00F33A94" w:rsidRPr="000D5072" w:rsidRDefault="00F33A94" w:rsidP="00F06FAF">
            <w:pPr>
              <w:ind w:left="360"/>
            </w:pPr>
            <w:r w:rsidRPr="000D5072">
              <w:rPr>
                <w:rFonts w:eastAsia="Calibri"/>
              </w:rPr>
              <w:t>Words-in-Noise</w:t>
            </w:r>
            <w:r w:rsidRPr="000D5072">
              <w:t xml:space="preserve"> (WIN)</w:t>
            </w:r>
          </w:p>
        </w:tc>
        <w:tc>
          <w:tcPr>
            <w:tcW w:w="1656" w:type="dxa"/>
          </w:tcPr>
          <w:p w14:paraId="77D8767C" w14:textId="77777777" w:rsidR="00F33A94" w:rsidRPr="000D5072" w:rsidRDefault="00F33A94" w:rsidP="00F06FAF">
            <w:pPr>
              <w:ind w:left="360"/>
              <w:rPr>
                <w:rFonts w:eastAsia="Calibri"/>
              </w:rPr>
            </w:pPr>
            <w:r>
              <w:rPr>
                <w:rFonts w:eastAsia="Calibri"/>
              </w:rPr>
              <w:t>X</w:t>
            </w:r>
          </w:p>
        </w:tc>
        <w:tc>
          <w:tcPr>
            <w:tcW w:w="1607" w:type="dxa"/>
          </w:tcPr>
          <w:p w14:paraId="46465A86" w14:textId="77777777" w:rsidR="00F33A94" w:rsidRPr="000D5072" w:rsidRDefault="00F33A94" w:rsidP="00F06FAF">
            <w:pPr>
              <w:ind w:left="360"/>
              <w:rPr>
                <w:rFonts w:eastAsia="Calibri"/>
              </w:rPr>
            </w:pPr>
            <w:r>
              <w:rPr>
                <w:rFonts w:eastAsia="Calibri"/>
              </w:rPr>
              <w:t>X</w:t>
            </w:r>
          </w:p>
        </w:tc>
        <w:tc>
          <w:tcPr>
            <w:tcW w:w="2158" w:type="dxa"/>
          </w:tcPr>
          <w:p w14:paraId="140B9AAD" w14:textId="77777777" w:rsidR="00F33A94" w:rsidRPr="000D5072" w:rsidRDefault="00F33A94" w:rsidP="00F06FAF">
            <w:pPr>
              <w:ind w:left="360"/>
              <w:rPr>
                <w:rFonts w:eastAsia="Calibri"/>
              </w:rPr>
            </w:pPr>
          </w:p>
        </w:tc>
      </w:tr>
      <w:tr w:rsidR="00F33A94" w:rsidRPr="000D5072" w14:paraId="50B50D1E" w14:textId="77777777" w:rsidTr="00F06FAF">
        <w:tc>
          <w:tcPr>
            <w:tcW w:w="4155" w:type="dxa"/>
          </w:tcPr>
          <w:p w14:paraId="6B3E82D3" w14:textId="77777777" w:rsidR="00F33A94" w:rsidRPr="000D5072" w:rsidRDefault="00F33A94" w:rsidP="00F06FAF">
            <w:pPr>
              <w:ind w:left="360"/>
            </w:pPr>
            <w:r w:rsidRPr="000D5072">
              <w:t>Adult Odor Identification</w:t>
            </w:r>
          </w:p>
        </w:tc>
        <w:tc>
          <w:tcPr>
            <w:tcW w:w="1656" w:type="dxa"/>
          </w:tcPr>
          <w:p w14:paraId="582DD662" w14:textId="77777777" w:rsidR="00F33A94" w:rsidRPr="000D5072" w:rsidRDefault="00F33A94" w:rsidP="00F06FAF">
            <w:pPr>
              <w:ind w:left="360"/>
            </w:pPr>
            <w:r>
              <w:t>X</w:t>
            </w:r>
          </w:p>
        </w:tc>
        <w:tc>
          <w:tcPr>
            <w:tcW w:w="1607" w:type="dxa"/>
          </w:tcPr>
          <w:p w14:paraId="71863FA5" w14:textId="77777777" w:rsidR="00F33A94" w:rsidRPr="000D5072" w:rsidRDefault="00F33A94" w:rsidP="00F06FAF">
            <w:pPr>
              <w:ind w:left="360"/>
            </w:pPr>
          </w:p>
        </w:tc>
        <w:tc>
          <w:tcPr>
            <w:tcW w:w="2158" w:type="dxa"/>
          </w:tcPr>
          <w:p w14:paraId="4644992C" w14:textId="77777777" w:rsidR="00F33A94" w:rsidRPr="000D5072" w:rsidRDefault="00F33A94" w:rsidP="00F06FAF">
            <w:pPr>
              <w:ind w:left="360"/>
            </w:pPr>
          </w:p>
        </w:tc>
      </w:tr>
      <w:tr w:rsidR="00F33A94" w:rsidRPr="000D5072" w14:paraId="7DEE2E8F" w14:textId="77777777" w:rsidTr="00F06FAF">
        <w:tc>
          <w:tcPr>
            <w:tcW w:w="4155" w:type="dxa"/>
          </w:tcPr>
          <w:p w14:paraId="4CC51376" w14:textId="77777777" w:rsidR="00F33A94" w:rsidRPr="000D5072" w:rsidRDefault="00F33A94" w:rsidP="00F06FAF">
            <w:pPr>
              <w:ind w:left="360"/>
            </w:pPr>
            <w:r w:rsidRPr="000D5072">
              <w:t>Pediatric Odor Identification</w:t>
            </w:r>
          </w:p>
        </w:tc>
        <w:tc>
          <w:tcPr>
            <w:tcW w:w="1656" w:type="dxa"/>
          </w:tcPr>
          <w:p w14:paraId="3F886E5C" w14:textId="77777777" w:rsidR="00F33A94" w:rsidRPr="000D5072" w:rsidRDefault="00F33A94" w:rsidP="00F06FAF">
            <w:pPr>
              <w:ind w:left="360"/>
            </w:pPr>
          </w:p>
        </w:tc>
        <w:tc>
          <w:tcPr>
            <w:tcW w:w="1607" w:type="dxa"/>
          </w:tcPr>
          <w:p w14:paraId="6FFE86C0" w14:textId="77777777" w:rsidR="00F33A94" w:rsidRPr="000D5072" w:rsidRDefault="00F33A94" w:rsidP="00F06FAF">
            <w:pPr>
              <w:ind w:left="360"/>
            </w:pPr>
            <w:r>
              <w:t>X</w:t>
            </w:r>
          </w:p>
        </w:tc>
        <w:tc>
          <w:tcPr>
            <w:tcW w:w="2158" w:type="dxa"/>
          </w:tcPr>
          <w:p w14:paraId="128470F5" w14:textId="77777777" w:rsidR="00F33A94" w:rsidRPr="000D5072" w:rsidRDefault="00F33A94" w:rsidP="00F06FAF">
            <w:pPr>
              <w:ind w:left="360"/>
            </w:pPr>
          </w:p>
        </w:tc>
      </w:tr>
      <w:tr w:rsidR="00F33A94" w:rsidRPr="000D5072" w14:paraId="5A7D7835" w14:textId="77777777" w:rsidTr="00F06FAF">
        <w:tc>
          <w:tcPr>
            <w:tcW w:w="4155" w:type="dxa"/>
          </w:tcPr>
          <w:p w14:paraId="357D0FB2" w14:textId="77777777" w:rsidR="00F33A94" w:rsidRPr="000D5072" w:rsidRDefault="00F33A94" w:rsidP="00F06FAF">
            <w:pPr>
              <w:ind w:left="360"/>
            </w:pPr>
            <w:r w:rsidRPr="00C5401B">
              <w:t>University of Pennsylvania Smell Identification Test (UPSIT)</w:t>
            </w:r>
          </w:p>
        </w:tc>
        <w:tc>
          <w:tcPr>
            <w:tcW w:w="1656" w:type="dxa"/>
          </w:tcPr>
          <w:p w14:paraId="19D0014C" w14:textId="77777777" w:rsidR="00F33A94" w:rsidRPr="000D5072" w:rsidRDefault="00F33A94" w:rsidP="00F06FAF">
            <w:pPr>
              <w:ind w:left="360"/>
            </w:pPr>
            <w:r>
              <w:t>X</w:t>
            </w:r>
          </w:p>
        </w:tc>
        <w:tc>
          <w:tcPr>
            <w:tcW w:w="1607" w:type="dxa"/>
          </w:tcPr>
          <w:p w14:paraId="5BCE8E15" w14:textId="77777777" w:rsidR="00F33A94" w:rsidRPr="000D5072" w:rsidRDefault="00F33A94" w:rsidP="00F06FAF">
            <w:pPr>
              <w:ind w:left="360"/>
            </w:pPr>
            <w:r>
              <w:t>X</w:t>
            </w:r>
          </w:p>
        </w:tc>
        <w:tc>
          <w:tcPr>
            <w:tcW w:w="2158" w:type="dxa"/>
          </w:tcPr>
          <w:p w14:paraId="1E2DB4CA" w14:textId="77777777" w:rsidR="00F33A94" w:rsidRPr="000D5072" w:rsidRDefault="00F33A94" w:rsidP="00F06FAF">
            <w:pPr>
              <w:ind w:left="360"/>
            </w:pPr>
          </w:p>
        </w:tc>
      </w:tr>
      <w:tr w:rsidR="00F33A94" w:rsidRPr="000D5072" w14:paraId="66F1E186" w14:textId="77777777" w:rsidTr="00F06FAF">
        <w:tc>
          <w:tcPr>
            <w:tcW w:w="4155" w:type="dxa"/>
          </w:tcPr>
          <w:p w14:paraId="1A796664" w14:textId="77777777" w:rsidR="00F33A94" w:rsidRPr="000D5072" w:rsidRDefault="00F33A94" w:rsidP="00F06FAF">
            <w:pPr>
              <w:ind w:left="360"/>
            </w:pPr>
            <w:r w:rsidRPr="000D5072">
              <w:t>Pain Assessment Ages 3-4</w:t>
            </w:r>
          </w:p>
        </w:tc>
        <w:tc>
          <w:tcPr>
            <w:tcW w:w="1656" w:type="dxa"/>
          </w:tcPr>
          <w:p w14:paraId="3E59DBB3" w14:textId="77777777" w:rsidR="00F33A94" w:rsidRPr="000D5072" w:rsidRDefault="00F33A94" w:rsidP="00F06FAF">
            <w:pPr>
              <w:ind w:left="360"/>
            </w:pPr>
          </w:p>
        </w:tc>
        <w:tc>
          <w:tcPr>
            <w:tcW w:w="1607" w:type="dxa"/>
          </w:tcPr>
          <w:p w14:paraId="184E45E9" w14:textId="77777777" w:rsidR="00F33A94" w:rsidRPr="000D5072" w:rsidRDefault="00F33A94" w:rsidP="00F06FAF">
            <w:pPr>
              <w:ind w:left="360"/>
            </w:pPr>
            <w:r>
              <w:t>X (3-4)</w:t>
            </w:r>
          </w:p>
        </w:tc>
        <w:tc>
          <w:tcPr>
            <w:tcW w:w="2158" w:type="dxa"/>
          </w:tcPr>
          <w:p w14:paraId="0DDCB3FE" w14:textId="77777777" w:rsidR="00F33A94" w:rsidRPr="000D5072" w:rsidRDefault="008051E8" w:rsidP="00F06FAF">
            <w:pPr>
              <w:ind w:left="360"/>
            </w:pPr>
            <w:r>
              <w:t>X (3-4)</w:t>
            </w:r>
          </w:p>
        </w:tc>
      </w:tr>
      <w:tr w:rsidR="00F33A94" w:rsidRPr="000D5072" w14:paraId="44091C50" w14:textId="77777777" w:rsidTr="00F06FAF">
        <w:tc>
          <w:tcPr>
            <w:tcW w:w="4155" w:type="dxa"/>
          </w:tcPr>
          <w:p w14:paraId="6865D21B" w14:textId="77777777" w:rsidR="00F33A94" w:rsidRPr="000D5072" w:rsidRDefault="00F33A94" w:rsidP="00F06FAF">
            <w:pPr>
              <w:ind w:left="360"/>
            </w:pPr>
            <w:r w:rsidRPr="000D5072">
              <w:t>Pain Assessment Ages 5-7</w:t>
            </w:r>
          </w:p>
        </w:tc>
        <w:tc>
          <w:tcPr>
            <w:tcW w:w="1656" w:type="dxa"/>
          </w:tcPr>
          <w:p w14:paraId="253A3C63" w14:textId="77777777" w:rsidR="00F33A94" w:rsidRPr="000D5072" w:rsidRDefault="00F33A94" w:rsidP="00F06FAF">
            <w:pPr>
              <w:ind w:left="360"/>
            </w:pPr>
          </w:p>
        </w:tc>
        <w:tc>
          <w:tcPr>
            <w:tcW w:w="1607" w:type="dxa"/>
          </w:tcPr>
          <w:p w14:paraId="462B6EFE" w14:textId="77777777" w:rsidR="00F33A94" w:rsidRPr="000D5072" w:rsidRDefault="00F33A94" w:rsidP="00F06FAF">
            <w:pPr>
              <w:ind w:left="360"/>
            </w:pPr>
            <w:r>
              <w:t>X (5-7)</w:t>
            </w:r>
          </w:p>
        </w:tc>
        <w:tc>
          <w:tcPr>
            <w:tcW w:w="2158" w:type="dxa"/>
          </w:tcPr>
          <w:p w14:paraId="0B4DD5A0" w14:textId="77777777" w:rsidR="00F33A94" w:rsidRPr="000D5072" w:rsidRDefault="008051E8" w:rsidP="00F06FAF">
            <w:pPr>
              <w:ind w:left="360"/>
            </w:pPr>
            <w:r>
              <w:t>X (5-7)</w:t>
            </w:r>
          </w:p>
        </w:tc>
      </w:tr>
      <w:tr w:rsidR="00F33A94" w:rsidRPr="000D5072" w14:paraId="483D6574" w14:textId="77777777" w:rsidTr="00F06FAF">
        <w:tc>
          <w:tcPr>
            <w:tcW w:w="4155" w:type="dxa"/>
          </w:tcPr>
          <w:p w14:paraId="2C9003F4" w14:textId="77777777" w:rsidR="00F33A94" w:rsidRPr="000D5072" w:rsidRDefault="00F33A94" w:rsidP="00F06FAF">
            <w:pPr>
              <w:ind w:left="360"/>
            </w:pPr>
            <w:r w:rsidRPr="000D5072">
              <w:t>Pain Assessment Ages 8-12</w:t>
            </w:r>
          </w:p>
        </w:tc>
        <w:tc>
          <w:tcPr>
            <w:tcW w:w="1656" w:type="dxa"/>
          </w:tcPr>
          <w:p w14:paraId="2BF467C8" w14:textId="77777777" w:rsidR="00F33A94" w:rsidRPr="000D5072" w:rsidRDefault="00F33A94" w:rsidP="00F06FAF">
            <w:pPr>
              <w:ind w:left="360"/>
            </w:pPr>
          </w:p>
        </w:tc>
        <w:tc>
          <w:tcPr>
            <w:tcW w:w="1607" w:type="dxa"/>
          </w:tcPr>
          <w:p w14:paraId="5A3E29B7" w14:textId="77777777" w:rsidR="00F33A94" w:rsidRPr="000D5072" w:rsidRDefault="00F33A94" w:rsidP="00F06FAF">
            <w:pPr>
              <w:ind w:left="360"/>
            </w:pPr>
            <w:r>
              <w:t>X (8-12)</w:t>
            </w:r>
          </w:p>
        </w:tc>
        <w:tc>
          <w:tcPr>
            <w:tcW w:w="2158" w:type="dxa"/>
          </w:tcPr>
          <w:p w14:paraId="1DD324F4" w14:textId="77777777" w:rsidR="00F33A94" w:rsidRPr="000D5072" w:rsidRDefault="008051E8" w:rsidP="00F06FAF">
            <w:pPr>
              <w:ind w:left="360"/>
            </w:pPr>
            <w:r>
              <w:t>X (8-12)</w:t>
            </w:r>
          </w:p>
        </w:tc>
      </w:tr>
      <w:tr w:rsidR="00F33A94" w:rsidRPr="000D5072" w14:paraId="12A18005" w14:textId="77777777" w:rsidTr="00F06FAF">
        <w:tc>
          <w:tcPr>
            <w:tcW w:w="4155" w:type="dxa"/>
          </w:tcPr>
          <w:p w14:paraId="7669F18C" w14:textId="77777777" w:rsidR="00F33A94" w:rsidRPr="000D5072" w:rsidRDefault="00F33A94" w:rsidP="00F06FAF">
            <w:pPr>
              <w:ind w:left="360"/>
            </w:pPr>
            <w:r w:rsidRPr="000D5072">
              <w:t>Pain Assessment Ages 13-17</w:t>
            </w:r>
          </w:p>
        </w:tc>
        <w:tc>
          <w:tcPr>
            <w:tcW w:w="1656" w:type="dxa"/>
          </w:tcPr>
          <w:p w14:paraId="596482F7" w14:textId="77777777" w:rsidR="00F33A94" w:rsidRPr="000D5072" w:rsidRDefault="00F33A94" w:rsidP="00F06FAF">
            <w:pPr>
              <w:ind w:left="360"/>
            </w:pPr>
          </w:p>
        </w:tc>
        <w:tc>
          <w:tcPr>
            <w:tcW w:w="1607" w:type="dxa"/>
          </w:tcPr>
          <w:p w14:paraId="0001285C" w14:textId="77777777" w:rsidR="00F33A94" w:rsidRPr="000D5072" w:rsidRDefault="00F33A94" w:rsidP="00F06FAF">
            <w:pPr>
              <w:ind w:left="360"/>
            </w:pPr>
            <w:r>
              <w:t>X (13-17)</w:t>
            </w:r>
          </w:p>
        </w:tc>
        <w:tc>
          <w:tcPr>
            <w:tcW w:w="2158" w:type="dxa"/>
          </w:tcPr>
          <w:p w14:paraId="4775F0BE" w14:textId="77777777" w:rsidR="00F33A94" w:rsidRPr="000D5072" w:rsidRDefault="00F33A94" w:rsidP="00F06FAF">
            <w:pPr>
              <w:ind w:left="360"/>
            </w:pPr>
          </w:p>
        </w:tc>
      </w:tr>
      <w:tr w:rsidR="00F33A94" w:rsidRPr="000D5072" w14:paraId="53401C6C" w14:textId="77777777" w:rsidTr="00F06FAF">
        <w:tc>
          <w:tcPr>
            <w:tcW w:w="4155" w:type="dxa"/>
          </w:tcPr>
          <w:p w14:paraId="58B8FCBB" w14:textId="77777777" w:rsidR="00F33A94" w:rsidRPr="000D5072" w:rsidRDefault="00F33A94" w:rsidP="00F06FAF">
            <w:pPr>
              <w:ind w:left="360"/>
            </w:pPr>
            <w:r w:rsidRPr="000D5072">
              <w:t>Pain Assessment Ages 18-85</w:t>
            </w:r>
          </w:p>
        </w:tc>
        <w:tc>
          <w:tcPr>
            <w:tcW w:w="1656" w:type="dxa"/>
          </w:tcPr>
          <w:p w14:paraId="4BC4859F" w14:textId="77777777" w:rsidR="00F33A94" w:rsidRPr="000D5072" w:rsidRDefault="00F33A94" w:rsidP="00F06FAF">
            <w:pPr>
              <w:ind w:left="360"/>
            </w:pPr>
            <w:r>
              <w:t>X</w:t>
            </w:r>
          </w:p>
        </w:tc>
        <w:tc>
          <w:tcPr>
            <w:tcW w:w="1607" w:type="dxa"/>
          </w:tcPr>
          <w:p w14:paraId="4D470FFC" w14:textId="77777777" w:rsidR="00F33A94" w:rsidRPr="000D5072" w:rsidRDefault="00F33A94" w:rsidP="00F06FAF">
            <w:pPr>
              <w:ind w:left="360"/>
            </w:pPr>
          </w:p>
        </w:tc>
        <w:tc>
          <w:tcPr>
            <w:tcW w:w="2158" w:type="dxa"/>
          </w:tcPr>
          <w:p w14:paraId="3A3D0D9D" w14:textId="77777777" w:rsidR="00F33A94" w:rsidRPr="000D5072" w:rsidRDefault="00F33A94" w:rsidP="00F06FAF">
            <w:pPr>
              <w:ind w:left="360"/>
            </w:pPr>
          </w:p>
        </w:tc>
      </w:tr>
      <w:tr w:rsidR="00F33A94" w:rsidRPr="000D5072" w14:paraId="16894C34" w14:textId="77777777" w:rsidTr="00F06FAF">
        <w:tc>
          <w:tcPr>
            <w:tcW w:w="4155" w:type="dxa"/>
          </w:tcPr>
          <w:p w14:paraId="5D8F33A6" w14:textId="77777777" w:rsidR="00F33A94" w:rsidRPr="000D5072" w:rsidRDefault="00F33A94" w:rsidP="00F06FAF">
            <w:pPr>
              <w:ind w:left="360"/>
            </w:pPr>
            <w:r w:rsidRPr="000D5072">
              <w:t>Forced-Choice Sucrose Test</w:t>
            </w:r>
          </w:p>
        </w:tc>
        <w:tc>
          <w:tcPr>
            <w:tcW w:w="1656" w:type="dxa"/>
          </w:tcPr>
          <w:p w14:paraId="59BD4E08" w14:textId="77777777" w:rsidR="00F33A94" w:rsidRPr="000D5072" w:rsidRDefault="00F33A94" w:rsidP="00F06FAF">
            <w:pPr>
              <w:ind w:left="360"/>
            </w:pPr>
            <w:r>
              <w:t>X</w:t>
            </w:r>
          </w:p>
        </w:tc>
        <w:tc>
          <w:tcPr>
            <w:tcW w:w="1607" w:type="dxa"/>
          </w:tcPr>
          <w:p w14:paraId="4E6763DE" w14:textId="77777777" w:rsidR="00F33A94" w:rsidRPr="000D5072" w:rsidRDefault="00F33A94" w:rsidP="00F06FAF">
            <w:pPr>
              <w:ind w:left="360"/>
            </w:pPr>
            <w:r>
              <w:t>X</w:t>
            </w:r>
            <w:r w:rsidR="00A25D57">
              <w:t>(5-17)</w:t>
            </w:r>
          </w:p>
        </w:tc>
        <w:tc>
          <w:tcPr>
            <w:tcW w:w="2158" w:type="dxa"/>
          </w:tcPr>
          <w:p w14:paraId="6F6F291E" w14:textId="77777777" w:rsidR="00F33A94" w:rsidRPr="000D5072" w:rsidRDefault="00F33A94" w:rsidP="00F06FAF">
            <w:pPr>
              <w:ind w:left="360"/>
            </w:pPr>
          </w:p>
        </w:tc>
      </w:tr>
      <w:tr w:rsidR="00F33A94" w:rsidRPr="000D5072" w14:paraId="0C4F59ED" w14:textId="77777777" w:rsidTr="00F06FAF">
        <w:tc>
          <w:tcPr>
            <w:tcW w:w="4155" w:type="dxa"/>
          </w:tcPr>
          <w:p w14:paraId="2C3D1460" w14:textId="77777777" w:rsidR="00F33A94" w:rsidRPr="000D5072" w:rsidRDefault="00A25D57" w:rsidP="00A25D57">
            <w:pPr>
              <w:ind w:left="360"/>
            </w:pPr>
            <w:r>
              <w:t xml:space="preserve">Toolbox </w:t>
            </w:r>
            <w:r w:rsidR="00F33A94" w:rsidRPr="000D5072">
              <w:t>Taste Test</w:t>
            </w:r>
          </w:p>
        </w:tc>
        <w:tc>
          <w:tcPr>
            <w:tcW w:w="1656" w:type="dxa"/>
          </w:tcPr>
          <w:p w14:paraId="3E43642B" w14:textId="77777777" w:rsidR="00F33A94" w:rsidRPr="000D5072" w:rsidRDefault="00F33A94" w:rsidP="00F06FAF">
            <w:pPr>
              <w:ind w:left="360"/>
            </w:pPr>
            <w:r>
              <w:t>X</w:t>
            </w:r>
          </w:p>
        </w:tc>
        <w:tc>
          <w:tcPr>
            <w:tcW w:w="1607" w:type="dxa"/>
          </w:tcPr>
          <w:p w14:paraId="3A668F6D" w14:textId="77777777" w:rsidR="00F33A94" w:rsidRPr="000D5072" w:rsidRDefault="00F33A94" w:rsidP="00A25D57">
            <w:pPr>
              <w:ind w:left="360"/>
            </w:pPr>
            <w:r>
              <w:t>X (</w:t>
            </w:r>
            <w:r w:rsidR="00A25D57">
              <w:t>12</w:t>
            </w:r>
            <w:r>
              <w:t>-17)</w:t>
            </w:r>
          </w:p>
        </w:tc>
        <w:tc>
          <w:tcPr>
            <w:tcW w:w="2158" w:type="dxa"/>
          </w:tcPr>
          <w:p w14:paraId="0B991F38" w14:textId="77777777" w:rsidR="00F33A94" w:rsidRPr="000D5072" w:rsidRDefault="00F33A94" w:rsidP="00F06FAF">
            <w:pPr>
              <w:ind w:left="360"/>
            </w:pPr>
          </w:p>
        </w:tc>
      </w:tr>
      <w:tr w:rsidR="00F33A94" w:rsidRPr="000D5072" w14:paraId="31761E8B" w14:textId="77777777" w:rsidTr="00F06FAF">
        <w:tc>
          <w:tcPr>
            <w:tcW w:w="4155" w:type="dxa"/>
          </w:tcPr>
          <w:p w14:paraId="5B397D83" w14:textId="77777777" w:rsidR="00F33A94" w:rsidRPr="000D5072" w:rsidRDefault="00F33A94" w:rsidP="00F06FAF">
            <w:pPr>
              <w:ind w:left="360"/>
            </w:pPr>
            <w:r w:rsidRPr="000D5072">
              <w:t>Dynamic Visual Acuity (DVA)</w:t>
            </w:r>
          </w:p>
        </w:tc>
        <w:tc>
          <w:tcPr>
            <w:tcW w:w="1656" w:type="dxa"/>
          </w:tcPr>
          <w:p w14:paraId="4790EF12" w14:textId="77777777" w:rsidR="00F33A94" w:rsidRPr="000D5072" w:rsidRDefault="00F33A94" w:rsidP="00F06FAF">
            <w:pPr>
              <w:ind w:left="360"/>
            </w:pPr>
            <w:r>
              <w:t>X</w:t>
            </w:r>
          </w:p>
        </w:tc>
        <w:tc>
          <w:tcPr>
            <w:tcW w:w="1607" w:type="dxa"/>
          </w:tcPr>
          <w:p w14:paraId="1E304F45" w14:textId="77777777" w:rsidR="00F33A94" w:rsidRPr="000D5072" w:rsidRDefault="00F33A94" w:rsidP="00F06FAF">
            <w:pPr>
              <w:ind w:left="360"/>
            </w:pPr>
            <w:r>
              <w:t>X</w:t>
            </w:r>
          </w:p>
        </w:tc>
        <w:tc>
          <w:tcPr>
            <w:tcW w:w="2158" w:type="dxa"/>
          </w:tcPr>
          <w:p w14:paraId="3E5DD9B7" w14:textId="77777777" w:rsidR="00F33A94" w:rsidRPr="000D5072" w:rsidRDefault="00F33A94" w:rsidP="00F06FAF">
            <w:pPr>
              <w:ind w:left="360"/>
            </w:pPr>
          </w:p>
        </w:tc>
      </w:tr>
      <w:tr w:rsidR="00F33A94" w:rsidRPr="000D5072" w14:paraId="70ACB50B" w14:textId="77777777" w:rsidTr="00F06FAF">
        <w:tc>
          <w:tcPr>
            <w:tcW w:w="4155" w:type="dxa"/>
          </w:tcPr>
          <w:p w14:paraId="1B7E84E7" w14:textId="77777777" w:rsidR="00F33A94" w:rsidRPr="000D5072" w:rsidRDefault="00F33A94" w:rsidP="00F06FAF">
            <w:pPr>
              <w:ind w:left="360"/>
            </w:pPr>
            <w:r w:rsidRPr="000D5072">
              <w:t>Vision Survey</w:t>
            </w:r>
          </w:p>
        </w:tc>
        <w:tc>
          <w:tcPr>
            <w:tcW w:w="1656" w:type="dxa"/>
          </w:tcPr>
          <w:p w14:paraId="5FBD538E" w14:textId="77777777" w:rsidR="00F33A94" w:rsidRPr="000D5072" w:rsidRDefault="00F33A94" w:rsidP="00F06FAF">
            <w:pPr>
              <w:ind w:left="360"/>
            </w:pPr>
            <w:r>
              <w:t>X</w:t>
            </w:r>
          </w:p>
        </w:tc>
        <w:tc>
          <w:tcPr>
            <w:tcW w:w="1607" w:type="dxa"/>
          </w:tcPr>
          <w:p w14:paraId="7D3B4CEB" w14:textId="77777777" w:rsidR="00F33A94" w:rsidRPr="000D5072" w:rsidRDefault="00A25D57" w:rsidP="00F06FAF">
            <w:pPr>
              <w:ind w:left="360"/>
            </w:pPr>
            <w:r>
              <w:t>X(7-17)</w:t>
            </w:r>
          </w:p>
        </w:tc>
        <w:tc>
          <w:tcPr>
            <w:tcW w:w="2158" w:type="dxa"/>
          </w:tcPr>
          <w:p w14:paraId="6702C782" w14:textId="77777777" w:rsidR="00F33A94" w:rsidRPr="000D5072" w:rsidRDefault="00F33A94" w:rsidP="00F06FAF">
            <w:pPr>
              <w:ind w:left="360"/>
            </w:pPr>
          </w:p>
        </w:tc>
      </w:tr>
      <w:tr w:rsidR="00702A06" w:rsidRPr="000D5072" w14:paraId="45B86EF4" w14:textId="77777777" w:rsidTr="00F06FAF">
        <w:tc>
          <w:tcPr>
            <w:tcW w:w="4155" w:type="dxa"/>
          </w:tcPr>
          <w:p w14:paraId="2CAA59A3" w14:textId="77777777" w:rsidR="00702A06" w:rsidRPr="000D5072" w:rsidRDefault="00702A06" w:rsidP="00F06FAF">
            <w:pPr>
              <w:ind w:left="360"/>
            </w:pPr>
            <w:r>
              <w:t>Tactile Discrimination Test</w:t>
            </w:r>
          </w:p>
        </w:tc>
        <w:tc>
          <w:tcPr>
            <w:tcW w:w="1656" w:type="dxa"/>
          </w:tcPr>
          <w:p w14:paraId="1E3D98C2" w14:textId="77777777" w:rsidR="00702A06" w:rsidRDefault="00702A06" w:rsidP="00F06FAF">
            <w:pPr>
              <w:ind w:left="360"/>
            </w:pPr>
            <w:r>
              <w:t>X</w:t>
            </w:r>
          </w:p>
        </w:tc>
        <w:tc>
          <w:tcPr>
            <w:tcW w:w="1607" w:type="dxa"/>
          </w:tcPr>
          <w:p w14:paraId="3C1A1C73" w14:textId="77777777" w:rsidR="00702A06" w:rsidRDefault="00702A06" w:rsidP="00F06FAF">
            <w:pPr>
              <w:ind w:left="360"/>
            </w:pPr>
            <w:r>
              <w:t>X(7-17)</w:t>
            </w:r>
          </w:p>
        </w:tc>
        <w:tc>
          <w:tcPr>
            <w:tcW w:w="2158" w:type="dxa"/>
          </w:tcPr>
          <w:p w14:paraId="50C236AD" w14:textId="77777777" w:rsidR="00702A06" w:rsidRPr="000D5072" w:rsidRDefault="00702A06" w:rsidP="00F06FAF">
            <w:pPr>
              <w:ind w:left="360"/>
            </w:pPr>
          </w:p>
        </w:tc>
      </w:tr>
      <w:tr w:rsidR="00F33A94" w:rsidRPr="000D5072" w14:paraId="315C3A20" w14:textId="77777777" w:rsidTr="00F06FAF">
        <w:tc>
          <w:tcPr>
            <w:tcW w:w="4155" w:type="dxa"/>
          </w:tcPr>
          <w:p w14:paraId="4F8553E4" w14:textId="77777777" w:rsidR="00F33A94" w:rsidRPr="000D5072" w:rsidRDefault="00702A06" w:rsidP="00F06FAF">
            <w:pPr>
              <w:ind w:left="360"/>
            </w:pPr>
            <w:r>
              <w:t>Brief Kinesthesia</w:t>
            </w:r>
            <w:r w:rsidRPr="000D5072">
              <w:t xml:space="preserve"> </w:t>
            </w:r>
            <w:r w:rsidR="00F33A94" w:rsidRPr="000D5072">
              <w:t>Test</w:t>
            </w:r>
          </w:p>
        </w:tc>
        <w:tc>
          <w:tcPr>
            <w:tcW w:w="1656" w:type="dxa"/>
          </w:tcPr>
          <w:p w14:paraId="48F03615" w14:textId="77777777" w:rsidR="00F33A94" w:rsidRPr="000D5072" w:rsidRDefault="00F33A94" w:rsidP="00F06FAF">
            <w:pPr>
              <w:ind w:left="360"/>
            </w:pPr>
            <w:r>
              <w:t>X</w:t>
            </w:r>
          </w:p>
        </w:tc>
        <w:tc>
          <w:tcPr>
            <w:tcW w:w="1607" w:type="dxa"/>
          </w:tcPr>
          <w:p w14:paraId="42579ED1" w14:textId="77777777" w:rsidR="00F33A94" w:rsidRPr="000D5072" w:rsidRDefault="00F33A94" w:rsidP="00F06FAF">
            <w:pPr>
              <w:ind w:left="360"/>
            </w:pPr>
            <w:r>
              <w:t>X</w:t>
            </w:r>
            <w:r w:rsidR="00702A06">
              <w:t xml:space="preserve"> (7-17)</w:t>
            </w:r>
          </w:p>
        </w:tc>
        <w:tc>
          <w:tcPr>
            <w:tcW w:w="2158" w:type="dxa"/>
          </w:tcPr>
          <w:p w14:paraId="367493F0" w14:textId="77777777" w:rsidR="00F33A94" w:rsidRPr="000D5072" w:rsidRDefault="00F33A94" w:rsidP="00F06FAF">
            <w:pPr>
              <w:ind w:left="360"/>
            </w:pPr>
          </w:p>
        </w:tc>
      </w:tr>
      <w:tr w:rsidR="00F33A94" w:rsidRPr="000D5072" w14:paraId="0FD248DE" w14:textId="77777777" w:rsidTr="00F06FAF">
        <w:tc>
          <w:tcPr>
            <w:tcW w:w="4155" w:type="dxa"/>
          </w:tcPr>
          <w:p w14:paraId="3A2EB298" w14:textId="77777777" w:rsidR="00F33A94" w:rsidRPr="000D5072" w:rsidRDefault="00F33A94" w:rsidP="00F06FAF">
            <w:pPr>
              <w:spacing w:after="80"/>
              <w:rPr>
                <w:i/>
              </w:rPr>
            </w:pPr>
            <w:r w:rsidRPr="000D5072">
              <w:rPr>
                <w:i/>
              </w:rPr>
              <w:t>Cognition domain</w:t>
            </w:r>
          </w:p>
        </w:tc>
        <w:tc>
          <w:tcPr>
            <w:tcW w:w="1656" w:type="dxa"/>
          </w:tcPr>
          <w:p w14:paraId="2C864A4F" w14:textId="77777777" w:rsidR="00F33A94" w:rsidRPr="000D5072" w:rsidRDefault="00F33A94" w:rsidP="00F06FAF">
            <w:pPr>
              <w:spacing w:after="80"/>
              <w:rPr>
                <w:i/>
              </w:rPr>
            </w:pPr>
          </w:p>
        </w:tc>
        <w:tc>
          <w:tcPr>
            <w:tcW w:w="1607" w:type="dxa"/>
          </w:tcPr>
          <w:p w14:paraId="36DD916A" w14:textId="77777777" w:rsidR="00F33A94" w:rsidRPr="000D5072" w:rsidRDefault="00F33A94" w:rsidP="00F06FAF">
            <w:pPr>
              <w:spacing w:after="80"/>
              <w:rPr>
                <w:i/>
              </w:rPr>
            </w:pPr>
          </w:p>
        </w:tc>
        <w:tc>
          <w:tcPr>
            <w:tcW w:w="2158" w:type="dxa"/>
          </w:tcPr>
          <w:p w14:paraId="6D206BBE" w14:textId="77777777" w:rsidR="00F33A94" w:rsidRPr="000D5072" w:rsidRDefault="00F33A94" w:rsidP="00F06FAF">
            <w:pPr>
              <w:spacing w:after="80"/>
              <w:rPr>
                <w:i/>
              </w:rPr>
            </w:pPr>
          </w:p>
        </w:tc>
      </w:tr>
      <w:tr w:rsidR="00F33A94" w:rsidRPr="000D5072" w14:paraId="40AC559E" w14:textId="77777777" w:rsidTr="00F06FAF">
        <w:tc>
          <w:tcPr>
            <w:tcW w:w="4155" w:type="dxa"/>
          </w:tcPr>
          <w:p w14:paraId="11423568" w14:textId="77777777" w:rsidR="00F33A94" w:rsidRPr="000D5072" w:rsidRDefault="00F33A94" w:rsidP="00F06FAF">
            <w:pPr>
              <w:ind w:left="360"/>
            </w:pPr>
            <w:r w:rsidRPr="000D5072">
              <w:t>Dimensional Card Sort</w:t>
            </w:r>
          </w:p>
        </w:tc>
        <w:tc>
          <w:tcPr>
            <w:tcW w:w="1656" w:type="dxa"/>
          </w:tcPr>
          <w:p w14:paraId="34079892" w14:textId="77777777" w:rsidR="00F33A94" w:rsidRPr="000D5072" w:rsidRDefault="00F33A94" w:rsidP="00F06FAF">
            <w:pPr>
              <w:ind w:left="360"/>
            </w:pPr>
            <w:r>
              <w:t>X</w:t>
            </w:r>
          </w:p>
        </w:tc>
        <w:tc>
          <w:tcPr>
            <w:tcW w:w="1607" w:type="dxa"/>
          </w:tcPr>
          <w:p w14:paraId="2274DEF3" w14:textId="77777777" w:rsidR="00F33A94" w:rsidRPr="000D5072" w:rsidRDefault="00F33A94" w:rsidP="00F06FAF">
            <w:pPr>
              <w:ind w:left="360"/>
            </w:pPr>
            <w:r>
              <w:t>X</w:t>
            </w:r>
          </w:p>
        </w:tc>
        <w:tc>
          <w:tcPr>
            <w:tcW w:w="2158" w:type="dxa"/>
          </w:tcPr>
          <w:p w14:paraId="7899D5CF" w14:textId="77777777" w:rsidR="00F33A94" w:rsidRPr="000D5072" w:rsidRDefault="00F33A94" w:rsidP="00F06FAF">
            <w:pPr>
              <w:ind w:left="360"/>
            </w:pPr>
          </w:p>
        </w:tc>
      </w:tr>
      <w:tr w:rsidR="00F33A94" w:rsidRPr="000D5072" w14:paraId="4652B2B0" w14:textId="77777777" w:rsidTr="00F06FAF">
        <w:tc>
          <w:tcPr>
            <w:tcW w:w="4155" w:type="dxa"/>
          </w:tcPr>
          <w:p w14:paraId="2E5D6C23" w14:textId="77777777" w:rsidR="00F33A94" w:rsidRPr="000D5072" w:rsidRDefault="00F33A94" w:rsidP="00F06FAF">
            <w:pPr>
              <w:ind w:left="360"/>
            </w:pPr>
            <w:r w:rsidRPr="000D5072">
              <w:t>Flanker</w:t>
            </w:r>
          </w:p>
        </w:tc>
        <w:tc>
          <w:tcPr>
            <w:tcW w:w="1656" w:type="dxa"/>
          </w:tcPr>
          <w:p w14:paraId="510A371B" w14:textId="77777777" w:rsidR="00F33A94" w:rsidRPr="000D5072" w:rsidRDefault="00F33A94" w:rsidP="00F06FAF">
            <w:pPr>
              <w:ind w:left="360"/>
            </w:pPr>
            <w:r>
              <w:t>X</w:t>
            </w:r>
          </w:p>
        </w:tc>
        <w:tc>
          <w:tcPr>
            <w:tcW w:w="1607" w:type="dxa"/>
          </w:tcPr>
          <w:p w14:paraId="0FF0F016" w14:textId="77777777" w:rsidR="00F33A94" w:rsidRPr="000D5072" w:rsidRDefault="00F33A94" w:rsidP="00F06FAF">
            <w:pPr>
              <w:ind w:left="360"/>
            </w:pPr>
            <w:r>
              <w:t>X</w:t>
            </w:r>
          </w:p>
        </w:tc>
        <w:tc>
          <w:tcPr>
            <w:tcW w:w="2158" w:type="dxa"/>
          </w:tcPr>
          <w:p w14:paraId="29373756" w14:textId="77777777" w:rsidR="00F33A94" w:rsidRPr="000D5072" w:rsidRDefault="00F33A94" w:rsidP="00F06FAF">
            <w:pPr>
              <w:ind w:left="360"/>
            </w:pPr>
          </w:p>
        </w:tc>
      </w:tr>
      <w:tr w:rsidR="00F33A94" w:rsidRPr="000D5072" w14:paraId="3BE96513" w14:textId="77777777" w:rsidTr="00F06FAF">
        <w:tc>
          <w:tcPr>
            <w:tcW w:w="4155" w:type="dxa"/>
          </w:tcPr>
          <w:p w14:paraId="6D9DD89C" w14:textId="77777777" w:rsidR="00F33A94" w:rsidRPr="000D5072" w:rsidRDefault="00F33A94" w:rsidP="00F06FAF">
            <w:pPr>
              <w:ind w:left="360"/>
            </w:pPr>
            <w:r w:rsidRPr="000D5072">
              <w:t>Imitation Based Assessment of Learning (IBAM)</w:t>
            </w:r>
          </w:p>
        </w:tc>
        <w:tc>
          <w:tcPr>
            <w:tcW w:w="1656" w:type="dxa"/>
          </w:tcPr>
          <w:p w14:paraId="5B8BCE3C" w14:textId="77777777" w:rsidR="00F33A94" w:rsidRPr="000D5072" w:rsidRDefault="00F33A94" w:rsidP="00F06FAF">
            <w:pPr>
              <w:ind w:left="360"/>
            </w:pPr>
            <w:r>
              <w:t>X</w:t>
            </w:r>
          </w:p>
        </w:tc>
        <w:tc>
          <w:tcPr>
            <w:tcW w:w="1607" w:type="dxa"/>
          </w:tcPr>
          <w:p w14:paraId="1D73AD7D" w14:textId="77777777" w:rsidR="00F33A94" w:rsidRPr="000D5072" w:rsidRDefault="00F33A94" w:rsidP="00F06FAF">
            <w:pPr>
              <w:ind w:left="360"/>
            </w:pPr>
            <w:r>
              <w:t>X</w:t>
            </w:r>
          </w:p>
        </w:tc>
        <w:tc>
          <w:tcPr>
            <w:tcW w:w="2158" w:type="dxa"/>
          </w:tcPr>
          <w:p w14:paraId="79D35824" w14:textId="77777777" w:rsidR="00F33A94" w:rsidRPr="000D5072" w:rsidRDefault="00F33A94" w:rsidP="00F06FAF">
            <w:pPr>
              <w:ind w:left="360"/>
            </w:pPr>
          </w:p>
        </w:tc>
      </w:tr>
      <w:tr w:rsidR="00F33A94" w:rsidRPr="000D5072" w14:paraId="5407162B" w14:textId="77777777" w:rsidTr="00F06FAF">
        <w:tc>
          <w:tcPr>
            <w:tcW w:w="4155" w:type="dxa"/>
          </w:tcPr>
          <w:p w14:paraId="03D75775" w14:textId="77777777" w:rsidR="00F33A94" w:rsidRPr="000D5072" w:rsidRDefault="00F33A94" w:rsidP="00F06FAF">
            <w:pPr>
              <w:ind w:left="360"/>
            </w:pPr>
            <w:r w:rsidRPr="000D5072">
              <w:t>List Sorting</w:t>
            </w:r>
          </w:p>
        </w:tc>
        <w:tc>
          <w:tcPr>
            <w:tcW w:w="1656" w:type="dxa"/>
          </w:tcPr>
          <w:p w14:paraId="7742D6E7" w14:textId="77777777" w:rsidR="00F33A94" w:rsidRPr="000D5072" w:rsidRDefault="00F33A94" w:rsidP="00F06FAF">
            <w:pPr>
              <w:ind w:left="360"/>
            </w:pPr>
            <w:r>
              <w:t>X</w:t>
            </w:r>
          </w:p>
        </w:tc>
        <w:tc>
          <w:tcPr>
            <w:tcW w:w="1607" w:type="dxa"/>
          </w:tcPr>
          <w:p w14:paraId="5A3B4CFC" w14:textId="77777777" w:rsidR="00F33A94" w:rsidRPr="000D5072" w:rsidRDefault="00F33A94" w:rsidP="00F06FAF">
            <w:pPr>
              <w:ind w:left="360"/>
            </w:pPr>
            <w:r>
              <w:t>X</w:t>
            </w:r>
          </w:p>
        </w:tc>
        <w:tc>
          <w:tcPr>
            <w:tcW w:w="2158" w:type="dxa"/>
          </w:tcPr>
          <w:p w14:paraId="30053D22" w14:textId="77777777" w:rsidR="00F33A94" w:rsidRPr="000D5072" w:rsidRDefault="00F33A94" w:rsidP="00F06FAF">
            <w:pPr>
              <w:ind w:left="360"/>
            </w:pPr>
          </w:p>
        </w:tc>
      </w:tr>
      <w:tr w:rsidR="00F33A94" w:rsidRPr="000D5072" w14:paraId="59757A81" w14:textId="77777777" w:rsidTr="00F06FAF">
        <w:tc>
          <w:tcPr>
            <w:tcW w:w="4155" w:type="dxa"/>
          </w:tcPr>
          <w:p w14:paraId="2EEA6124" w14:textId="77777777" w:rsidR="00F33A94" w:rsidRPr="000D5072" w:rsidRDefault="00F33A94" w:rsidP="00F06FAF">
            <w:pPr>
              <w:ind w:left="360"/>
            </w:pPr>
            <w:r w:rsidRPr="0009236E">
              <w:t>Oral Symbol Digit Modalities Test</w:t>
            </w:r>
          </w:p>
        </w:tc>
        <w:tc>
          <w:tcPr>
            <w:tcW w:w="1656" w:type="dxa"/>
          </w:tcPr>
          <w:p w14:paraId="709D5CAB" w14:textId="77777777" w:rsidR="00F33A94" w:rsidRPr="000D5072" w:rsidRDefault="00F33A94" w:rsidP="00F06FAF">
            <w:pPr>
              <w:ind w:left="360"/>
            </w:pPr>
            <w:r>
              <w:t>X</w:t>
            </w:r>
          </w:p>
        </w:tc>
        <w:tc>
          <w:tcPr>
            <w:tcW w:w="1607" w:type="dxa"/>
          </w:tcPr>
          <w:p w14:paraId="5FF90DF8" w14:textId="77777777" w:rsidR="00F33A94" w:rsidRPr="000D5072" w:rsidRDefault="00F33A94" w:rsidP="00F06FAF">
            <w:pPr>
              <w:ind w:left="360"/>
            </w:pPr>
            <w:r>
              <w:t>X</w:t>
            </w:r>
            <w:r w:rsidR="008051E8">
              <w:t xml:space="preserve"> (8-17)</w:t>
            </w:r>
          </w:p>
        </w:tc>
        <w:tc>
          <w:tcPr>
            <w:tcW w:w="2158" w:type="dxa"/>
          </w:tcPr>
          <w:p w14:paraId="7099DB0D" w14:textId="77777777" w:rsidR="00F33A94" w:rsidRPr="000D5072" w:rsidRDefault="00F33A94" w:rsidP="00F06FAF">
            <w:pPr>
              <w:ind w:left="360"/>
            </w:pPr>
          </w:p>
        </w:tc>
      </w:tr>
      <w:tr w:rsidR="00F33A94" w:rsidRPr="000D5072" w14:paraId="771969AD" w14:textId="77777777" w:rsidTr="00F06FAF">
        <w:tc>
          <w:tcPr>
            <w:tcW w:w="4155" w:type="dxa"/>
          </w:tcPr>
          <w:p w14:paraId="0AE99F94" w14:textId="77777777" w:rsidR="00F33A94" w:rsidRPr="000D5072" w:rsidRDefault="00F33A94" w:rsidP="00F06FAF">
            <w:pPr>
              <w:ind w:left="360"/>
            </w:pPr>
            <w:r w:rsidRPr="000D5072">
              <w:t>Pattern Comparison</w:t>
            </w:r>
          </w:p>
        </w:tc>
        <w:tc>
          <w:tcPr>
            <w:tcW w:w="1656" w:type="dxa"/>
          </w:tcPr>
          <w:p w14:paraId="3F9B95C8" w14:textId="77777777" w:rsidR="00F33A94" w:rsidRPr="000D5072" w:rsidRDefault="00F33A94" w:rsidP="00F06FAF">
            <w:pPr>
              <w:ind w:left="360"/>
            </w:pPr>
            <w:r>
              <w:t>X</w:t>
            </w:r>
          </w:p>
        </w:tc>
        <w:tc>
          <w:tcPr>
            <w:tcW w:w="1607" w:type="dxa"/>
          </w:tcPr>
          <w:p w14:paraId="4ECDE928" w14:textId="77777777" w:rsidR="00F33A94" w:rsidRPr="000D5072" w:rsidRDefault="00F33A94" w:rsidP="00F06FAF">
            <w:pPr>
              <w:ind w:left="360"/>
            </w:pPr>
            <w:r>
              <w:t>X</w:t>
            </w:r>
          </w:p>
        </w:tc>
        <w:tc>
          <w:tcPr>
            <w:tcW w:w="2158" w:type="dxa"/>
          </w:tcPr>
          <w:p w14:paraId="4C7672A8" w14:textId="77777777" w:rsidR="00F33A94" w:rsidRPr="000D5072" w:rsidRDefault="00F33A94" w:rsidP="00F06FAF">
            <w:pPr>
              <w:ind w:left="360"/>
            </w:pPr>
          </w:p>
        </w:tc>
      </w:tr>
      <w:tr w:rsidR="00F33A94" w:rsidRPr="000D5072" w14:paraId="059EC0D8" w14:textId="77777777" w:rsidTr="00F06FAF">
        <w:tc>
          <w:tcPr>
            <w:tcW w:w="4155" w:type="dxa"/>
          </w:tcPr>
          <w:p w14:paraId="24F7F91A" w14:textId="77777777" w:rsidR="00F33A94" w:rsidRPr="000D5072" w:rsidRDefault="00F33A94" w:rsidP="00F06FAF">
            <w:pPr>
              <w:ind w:left="360"/>
            </w:pPr>
            <w:r w:rsidRPr="000D5072">
              <w:t>Rev Auditory-Verbal Learning Test (RAVLT)</w:t>
            </w:r>
          </w:p>
        </w:tc>
        <w:tc>
          <w:tcPr>
            <w:tcW w:w="1656" w:type="dxa"/>
          </w:tcPr>
          <w:p w14:paraId="581C199C" w14:textId="77777777" w:rsidR="00F33A94" w:rsidRPr="000D5072" w:rsidRDefault="00F33A94" w:rsidP="00F06FAF">
            <w:pPr>
              <w:ind w:left="360"/>
            </w:pPr>
            <w:r>
              <w:t>X</w:t>
            </w:r>
          </w:p>
        </w:tc>
        <w:tc>
          <w:tcPr>
            <w:tcW w:w="1607" w:type="dxa"/>
          </w:tcPr>
          <w:p w14:paraId="490F543B" w14:textId="77777777" w:rsidR="00F33A94" w:rsidRPr="000D5072" w:rsidRDefault="00F33A94" w:rsidP="00F06FAF">
            <w:pPr>
              <w:ind w:left="360"/>
            </w:pPr>
            <w:r>
              <w:t>X (8-17)</w:t>
            </w:r>
          </w:p>
        </w:tc>
        <w:tc>
          <w:tcPr>
            <w:tcW w:w="2158" w:type="dxa"/>
          </w:tcPr>
          <w:p w14:paraId="6C1F3E1D" w14:textId="77777777" w:rsidR="00F33A94" w:rsidRPr="000D5072" w:rsidRDefault="00F33A94" w:rsidP="00F06FAF">
            <w:pPr>
              <w:ind w:left="360"/>
            </w:pPr>
          </w:p>
        </w:tc>
      </w:tr>
      <w:tr w:rsidR="00F33A94" w:rsidRPr="000D5072" w14:paraId="4716AE4F" w14:textId="77777777" w:rsidTr="00F06FAF">
        <w:tc>
          <w:tcPr>
            <w:tcW w:w="4155" w:type="dxa"/>
          </w:tcPr>
          <w:p w14:paraId="3658DDEF" w14:textId="77777777" w:rsidR="00F33A94" w:rsidRPr="000D5072" w:rsidRDefault="00F33A94" w:rsidP="00F06FAF">
            <w:pPr>
              <w:ind w:left="360"/>
            </w:pPr>
            <w:r w:rsidRPr="000D5072">
              <w:t>Reading Recognition</w:t>
            </w:r>
          </w:p>
        </w:tc>
        <w:tc>
          <w:tcPr>
            <w:tcW w:w="1656" w:type="dxa"/>
          </w:tcPr>
          <w:p w14:paraId="0A46EDE6" w14:textId="77777777" w:rsidR="00F33A94" w:rsidRPr="000D5072" w:rsidRDefault="00F33A94" w:rsidP="00F06FAF">
            <w:pPr>
              <w:ind w:left="360"/>
            </w:pPr>
            <w:r>
              <w:t>X</w:t>
            </w:r>
          </w:p>
        </w:tc>
        <w:tc>
          <w:tcPr>
            <w:tcW w:w="1607" w:type="dxa"/>
          </w:tcPr>
          <w:p w14:paraId="5E213C63" w14:textId="77777777" w:rsidR="00F33A94" w:rsidRPr="000D5072" w:rsidRDefault="00F33A94" w:rsidP="00F06FAF">
            <w:pPr>
              <w:ind w:left="360"/>
            </w:pPr>
            <w:r>
              <w:t>X</w:t>
            </w:r>
          </w:p>
        </w:tc>
        <w:tc>
          <w:tcPr>
            <w:tcW w:w="2158" w:type="dxa"/>
          </w:tcPr>
          <w:p w14:paraId="3C1685C5" w14:textId="77777777" w:rsidR="00F33A94" w:rsidRPr="000D5072" w:rsidRDefault="00F33A94" w:rsidP="00F06FAF">
            <w:pPr>
              <w:ind w:left="360"/>
            </w:pPr>
          </w:p>
        </w:tc>
      </w:tr>
      <w:tr w:rsidR="00F33A94" w:rsidRPr="000D5072" w14:paraId="3A6A53E8" w14:textId="77777777" w:rsidTr="00F06FAF">
        <w:tc>
          <w:tcPr>
            <w:tcW w:w="4155" w:type="dxa"/>
          </w:tcPr>
          <w:p w14:paraId="4C29DB13" w14:textId="77777777" w:rsidR="00F33A94" w:rsidRPr="000D5072" w:rsidRDefault="00F33A94" w:rsidP="00F06FAF">
            <w:pPr>
              <w:ind w:left="360"/>
            </w:pPr>
            <w:r w:rsidRPr="000D5072">
              <w:t>Vocabulary</w:t>
            </w:r>
          </w:p>
        </w:tc>
        <w:tc>
          <w:tcPr>
            <w:tcW w:w="1656" w:type="dxa"/>
          </w:tcPr>
          <w:p w14:paraId="7CC64197" w14:textId="77777777" w:rsidR="00F33A94" w:rsidRPr="000D5072" w:rsidRDefault="00F33A94" w:rsidP="00F06FAF">
            <w:pPr>
              <w:ind w:left="360"/>
            </w:pPr>
            <w:r>
              <w:t>X</w:t>
            </w:r>
          </w:p>
        </w:tc>
        <w:tc>
          <w:tcPr>
            <w:tcW w:w="1607" w:type="dxa"/>
          </w:tcPr>
          <w:p w14:paraId="5CCF27F4" w14:textId="77777777" w:rsidR="00F33A94" w:rsidRPr="000D5072" w:rsidRDefault="00F33A94" w:rsidP="00F06FAF">
            <w:pPr>
              <w:ind w:left="360"/>
            </w:pPr>
            <w:r>
              <w:t>X</w:t>
            </w:r>
          </w:p>
        </w:tc>
        <w:tc>
          <w:tcPr>
            <w:tcW w:w="2158" w:type="dxa"/>
          </w:tcPr>
          <w:p w14:paraId="123C9D46" w14:textId="77777777" w:rsidR="00F33A94" w:rsidRPr="000D5072" w:rsidRDefault="00F33A94" w:rsidP="00F06FAF">
            <w:pPr>
              <w:ind w:left="360"/>
            </w:pPr>
          </w:p>
        </w:tc>
      </w:tr>
      <w:tr w:rsidR="00481241" w:rsidRPr="000D5072" w14:paraId="5A86A152" w14:textId="77777777" w:rsidTr="00F06FAF">
        <w:tc>
          <w:tcPr>
            <w:tcW w:w="4155" w:type="dxa"/>
          </w:tcPr>
          <w:p w14:paraId="1C21BE14" w14:textId="77777777" w:rsidR="00481241" w:rsidRPr="00481241" w:rsidRDefault="00481241" w:rsidP="00945F5C">
            <w:proofErr w:type="spellStart"/>
            <w:r w:rsidRPr="00481241">
              <w:t>Bateria</w:t>
            </w:r>
            <w:proofErr w:type="spellEnd"/>
            <w:r w:rsidRPr="00481241">
              <w:t xml:space="preserve"> III Picture Vocabulary</w:t>
            </w:r>
            <w:r>
              <w:t xml:space="preserve"> (Spanish only)</w:t>
            </w:r>
          </w:p>
        </w:tc>
        <w:tc>
          <w:tcPr>
            <w:tcW w:w="1656" w:type="dxa"/>
          </w:tcPr>
          <w:p w14:paraId="5585D417" w14:textId="77777777" w:rsidR="00481241" w:rsidRDefault="00481241" w:rsidP="00F06FAF">
            <w:pPr>
              <w:ind w:left="360"/>
            </w:pPr>
            <w:r>
              <w:t>X</w:t>
            </w:r>
          </w:p>
        </w:tc>
        <w:tc>
          <w:tcPr>
            <w:tcW w:w="1607" w:type="dxa"/>
          </w:tcPr>
          <w:p w14:paraId="0A26537F" w14:textId="77777777" w:rsidR="00481241" w:rsidRDefault="00481241" w:rsidP="00F06FAF">
            <w:pPr>
              <w:ind w:left="360"/>
            </w:pPr>
            <w:r>
              <w:t>X(3-17)</w:t>
            </w:r>
          </w:p>
        </w:tc>
        <w:tc>
          <w:tcPr>
            <w:tcW w:w="2158" w:type="dxa"/>
          </w:tcPr>
          <w:p w14:paraId="7B5DDA24" w14:textId="77777777" w:rsidR="00481241" w:rsidRPr="000D5072" w:rsidRDefault="00481241" w:rsidP="00F06FAF">
            <w:pPr>
              <w:ind w:left="360"/>
            </w:pPr>
          </w:p>
        </w:tc>
      </w:tr>
      <w:tr w:rsidR="00481241" w:rsidRPr="000D5072" w14:paraId="0A26BFA5" w14:textId="77777777" w:rsidTr="00F06FAF">
        <w:tc>
          <w:tcPr>
            <w:tcW w:w="4155" w:type="dxa"/>
          </w:tcPr>
          <w:p w14:paraId="79E7A592" w14:textId="77777777" w:rsidR="00481241" w:rsidRPr="00481241" w:rsidRDefault="00481241" w:rsidP="00481241">
            <w:r w:rsidRPr="00481241">
              <w:t>Word Accentuation</w:t>
            </w:r>
            <w:r>
              <w:t xml:space="preserve"> (Spanish only)</w:t>
            </w:r>
          </w:p>
        </w:tc>
        <w:tc>
          <w:tcPr>
            <w:tcW w:w="1656" w:type="dxa"/>
          </w:tcPr>
          <w:p w14:paraId="46C7C9A0" w14:textId="77777777" w:rsidR="00481241" w:rsidRDefault="00481241" w:rsidP="00F06FAF">
            <w:pPr>
              <w:ind w:left="360"/>
            </w:pPr>
            <w:r>
              <w:t>X</w:t>
            </w:r>
          </w:p>
        </w:tc>
        <w:tc>
          <w:tcPr>
            <w:tcW w:w="1607" w:type="dxa"/>
          </w:tcPr>
          <w:p w14:paraId="798ED511" w14:textId="77777777" w:rsidR="00481241" w:rsidRDefault="00481241" w:rsidP="00F06FAF">
            <w:pPr>
              <w:ind w:left="360"/>
            </w:pPr>
            <w:r>
              <w:t>X(7-17)</w:t>
            </w:r>
          </w:p>
        </w:tc>
        <w:tc>
          <w:tcPr>
            <w:tcW w:w="2158" w:type="dxa"/>
          </w:tcPr>
          <w:p w14:paraId="7790D420" w14:textId="77777777" w:rsidR="00481241" w:rsidRPr="000D5072" w:rsidRDefault="00481241" w:rsidP="00F06FAF">
            <w:pPr>
              <w:ind w:left="360"/>
            </w:pPr>
          </w:p>
        </w:tc>
      </w:tr>
      <w:tr w:rsidR="00F33A94" w:rsidRPr="000D5072" w14:paraId="3CEBA8D6" w14:textId="77777777" w:rsidTr="00F06FAF">
        <w:tc>
          <w:tcPr>
            <w:tcW w:w="9576" w:type="dxa"/>
            <w:gridSpan w:val="4"/>
          </w:tcPr>
          <w:p w14:paraId="0B92E5B3" w14:textId="77777777" w:rsidR="008051E8" w:rsidRDefault="008051E8" w:rsidP="00F06FAF">
            <w:pPr>
              <w:spacing w:after="80"/>
              <w:rPr>
                <w:i/>
              </w:rPr>
            </w:pPr>
          </w:p>
          <w:p w14:paraId="1D82C5D1" w14:textId="77777777" w:rsidR="00F33A94" w:rsidRPr="000D5072" w:rsidRDefault="00F33A94" w:rsidP="00F06FAF">
            <w:pPr>
              <w:spacing w:after="80"/>
              <w:rPr>
                <w:i/>
              </w:rPr>
            </w:pPr>
            <w:r w:rsidRPr="000D5072">
              <w:rPr>
                <w:i/>
              </w:rPr>
              <w:lastRenderedPageBreak/>
              <w:t>Emotion domain</w:t>
            </w:r>
          </w:p>
        </w:tc>
      </w:tr>
      <w:tr w:rsidR="00F33A94" w:rsidRPr="000D5072" w14:paraId="39302158" w14:textId="77777777" w:rsidTr="00F06FAF">
        <w:tc>
          <w:tcPr>
            <w:tcW w:w="4155" w:type="dxa"/>
          </w:tcPr>
          <w:p w14:paraId="37B8DF47" w14:textId="77777777" w:rsidR="00F33A94" w:rsidRPr="000D5072" w:rsidRDefault="00F33A94" w:rsidP="00F06FAF">
            <w:pPr>
              <w:ind w:left="360"/>
            </w:pPr>
            <w:r w:rsidRPr="000D5072">
              <w:lastRenderedPageBreak/>
              <w:t>Instructions</w:t>
            </w:r>
          </w:p>
        </w:tc>
        <w:tc>
          <w:tcPr>
            <w:tcW w:w="1656" w:type="dxa"/>
          </w:tcPr>
          <w:p w14:paraId="4A5A6FD9" w14:textId="77777777" w:rsidR="00F33A94" w:rsidRPr="000D5072" w:rsidRDefault="00F33A94" w:rsidP="00F06FAF">
            <w:pPr>
              <w:ind w:left="360"/>
            </w:pPr>
            <w:r>
              <w:t>X</w:t>
            </w:r>
          </w:p>
        </w:tc>
        <w:tc>
          <w:tcPr>
            <w:tcW w:w="1607" w:type="dxa"/>
          </w:tcPr>
          <w:p w14:paraId="0A81B57F" w14:textId="77777777" w:rsidR="00F33A94" w:rsidRPr="000D5072" w:rsidRDefault="00F33A94" w:rsidP="00F06FAF">
            <w:pPr>
              <w:ind w:left="360"/>
            </w:pPr>
            <w:r>
              <w:t>X</w:t>
            </w:r>
            <w:r w:rsidR="008051E8">
              <w:t xml:space="preserve"> (8-17)</w:t>
            </w:r>
          </w:p>
        </w:tc>
        <w:tc>
          <w:tcPr>
            <w:tcW w:w="2158" w:type="dxa"/>
          </w:tcPr>
          <w:p w14:paraId="2D1C7E90" w14:textId="77777777" w:rsidR="00F33A94" w:rsidRPr="000D5072" w:rsidRDefault="00F33A94" w:rsidP="00F06FAF">
            <w:pPr>
              <w:ind w:left="360"/>
            </w:pPr>
            <w:r>
              <w:t>X</w:t>
            </w:r>
            <w:r w:rsidR="008051E8">
              <w:t xml:space="preserve"> (3-12)</w:t>
            </w:r>
          </w:p>
        </w:tc>
      </w:tr>
      <w:tr w:rsidR="00F33A94" w:rsidRPr="000D5072" w14:paraId="12874799" w14:textId="77777777" w:rsidTr="00F06FAF">
        <w:tc>
          <w:tcPr>
            <w:tcW w:w="4155" w:type="dxa"/>
          </w:tcPr>
          <w:p w14:paraId="067C0E4E" w14:textId="77777777" w:rsidR="00F33A94" w:rsidRPr="000D5072" w:rsidRDefault="00F33A94" w:rsidP="00F06FAF">
            <w:pPr>
              <w:ind w:left="360"/>
            </w:pPr>
            <w:r w:rsidRPr="000D5072">
              <w:t>Negative Affect – Age 13-17 SELF</w:t>
            </w:r>
          </w:p>
        </w:tc>
        <w:tc>
          <w:tcPr>
            <w:tcW w:w="1656" w:type="dxa"/>
          </w:tcPr>
          <w:p w14:paraId="603D77F0" w14:textId="77777777" w:rsidR="00F33A94" w:rsidRPr="000D5072" w:rsidRDefault="00F33A94" w:rsidP="00F06FAF">
            <w:pPr>
              <w:ind w:left="360"/>
            </w:pPr>
          </w:p>
        </w:tc>
        <w:tc>
          <w:tcPr>
            <w:tcW w:w="1607" w:type="dxa"/>
          </w:tcPr>
          <w:p w14:paraId="312F1578" w14:textId="77777777" w:rsidR="00F33A94" w:rsidRPr="000D5072" w:rsidRDefault="00F33A94" w:rsidP="00F06FAF">
            <w:pPr>
              <w:ind w:left="360"/>
            </w:pPr>
            <w:r>
              <w:t>X (13-17)</w:t>
            </w:r>
          </w:p>
        </w:tc>
        <w:tc>
          <w:tcPr>
            <w:tcW w:w="2158" w:type="dxa"/>
          </w:tcPr>
          <w:p w14:paraId="765769EB" w14:textId="77777777" w:rsidR="00F33A94" w:rsidRPr="000D5072" w:rsidRDefault="00F33A94" w:rsidP="00F06FAF">
            <w:pPr>
              <w:ind w:left="360"/>
            </w:pPr>
          </w:p>
        </w:tc>
      </w:tr>
      <w:tr w:rsidR="00F33A94" w:rsidRPr="000D5072" w14:paraId="5EE71A97" w14:textId="77777777" w:rsidTr="00F06FAF">
        <w:tc>
          <w:tcPr>
            <w:tcW w:w="4155" w:type="dxa"/>
          </w:tcPr>
          <w:p w14:paraId="6AD2695C" w14:textId="77777777" w:rsidR="00F33A94" w:rsidRPr="000D5072" w:rsidRDefault="00F33A94" w:rsidP="00F06FAF">
            <w:pPr>
              <w:ind w:left="360"/>
            </w:pPr>
            <w:r w:rsidRPr="000D5072">
              <w:t>Negative Affect – Age 18 plus SELF</w:t>
            </w:r>
          </w:p>
        </w:tc>
        <w:tc>
          <w:tcPr>
            <w:tcW w:w="1656" w:type="dxa"/>
          </w:tcPr>
          <w:p w14:paraId="2520D1C7" w14:textId="77777777" w:rsidR="00F33A94" w:rsidRPr="000D5072" w:rsidRDefault="00F33A94" w:rsidP="00F06FAF">
            <w:pPr>
              <w:ind w:left="360"/>
            </w:pPr>
            <w:r>
              <w:t>X</w:t>
            </w:r>
          </w:p>
        </w:tc>
        <w:tc>
          <w:tcPr>
            <w:tcW w:w="1607" w:type="dxa"/>
          </w:tcPr>
          <w:p w14:paraId="771C93BC" w14:textId="77777777" w:rsidR="00F33A94" w:rsidRPr="000D5072" w:rsidRDefault="00F33A94" w:rsidP="00F06FAF">
            <w:pPr>
              <w:ind w:left="360"/>
            </w:pPr>
          </w:p>
        </w:tc>
        <w:tc>
          <w:tcPr>
            <w:tcW w:w="2158" w:type="dxa"/>
          </w:tcPr>
          <w:p w14:paraId="1E5C8856" w14:textId="77777777" w:rsidR="00F33A94" w:rsidRPr="000D5072" w:rsidRDefault="00F33A94" w:rsidP="00F06FAF">
            <w:pPr>
              <w:ind w:left="360"/>
            </w:pPr>
          </w:p>
        </w:tc>
      </w:tr>
      <w:tr w:rsidR="00F33A94" w:rsidRPr="000D5072" w14:paraId="69EE1E8B" w14:textId="77777777" w:rsidTr="00F06FAF">
        <w:tc>
          <w:tcPr>
            <w:tcW w:w="4155" w:type="dxa"/>
          </w:tcPr>
          <w:p w14:paraId="62F3FA68" w14:textId="77777777" w:rsidR="00F33A94" w:rsidRPr="000D5072" w:rsidRDefault="00F33A94" w:rsidP="00F06FAF">
            <w:pPr>
              <w:ind w:left="360"/>
            </w:pPr>
            <w:r w:rsidRPr="000D5072">
              <w:t>Negative Affect – Age 3-7 PROXY</w:t>
            </w:r>
          </w:p>
        </w:tc>
        <w:tc>
          <w:tcPr>
            <w:tcW w:w="1656" w:type="dxa"/>
          </w:tcPr>
          <w:p w14:paraId="44DA42AB" w14:textId="77777777" w:rsidR="00F33A94" w:rsidRPr="000D5072" w:rsidRDefault="00F33A94" w:rsidP="00F06FAF">
            <w:pPr>
              <w:ind w:left="360"/>
            </w:pPr>
          </w:p>
        </w:tc>
        <w:tc>
          <w:tcPr>
            <w:tcW w:w="1607" w:type="dxa"/>
          </w:tcPr>
          <w:p w14:paraId="043C80A1" w14:textId="77777777" w:rsidR="00F33A94" w:rsidRPr="000D5072" w:rsidRDefault="00F33A94" w:rsidP="00F06FAF">
            <w:pPr>
              <w:ind w:left="360"/>
            </w:pPr>
          </w:p>
        </w:tc>
        <w:tc>
          <w:tcPr>
            <w:tcW w:w="2158" w:type="dxa"/>
          </w:tcPr>
          <w:p w14:paraId="201F402F" w14:textId="77777777" w:rsidR="00F33A94" w:rsidRPr="000D5072" w:rsidRDefault="00F33A94" w:rsidP="00F06FAF">
            <w:pPr>
              <w:ind w:left="360"/>
            </w:pPr>
            <w:r>
              <w:t>X (3-7)</w:t>
            </w:r>
          </w:p>
        </w:tc>
      </w:tr>
      <w:tr w:rsidR="00F33A94" w:rsidRPr="000D5072" w14:paraId="4907C297" w14:textId="77777777" w:rsidTr="00F06FAF">
        <w:tc>
          <w:tcPr>
            <w:tcW w:w="4155" w:type="dxa"/>
          </w:tcPr>
          <w:p w14:paraId="6F16A1AB" w14:textId="77777777" w:rsidR="00F33A94" w:rsidRPr="000D5072" w:rsidRDefault="00F33A94" w:rsidP="00F06FAF">
            <w:pPr>
              <w:ind w:left="360"/>
            </w:pPr>
            <w:r w:rsidRPr="000D5072">
              <w:t>Negative Affect – Age 8-12 PROXY</w:t>
            </w:r>
          </w:p>
        </w:tc>
        <w:tc>
          <w:tcPr>
            <w:tcW w:w="1656" w:type="dxa"/>
          </w:tcPr>
          <w:p w14:paraId="524521E5" w14:textId="77777777" w:rsidR="00F33A94" w:rsidRPr="000D5072" w:rsidRDefault="00F33A94" w:rsidP="00F06FAF">
            <w:pPr>
              <w:ind w:left="360"/>
            </w:pPr>
          </w:p>
        </w:tc>
        <w:tc>
          <w:tcPr>
            <w:tcW w:w="1607" w:type="dxa"/>
          </w:tcPr>
          <w:p w14:paraId="413222F0" w14:textId="77777777" w:rsidR="00F33A94" w:rsidRPr="000D5072" w:rsidRDefault="00F33A94" w:rsidP="00F06FAF">
            <w:pPr>
              <w:ind w:left="360"/>
            </w:pPr>
          </w:p>
        </w:tc>
        <w:tc>
          <w:tcPr>
            <w:tcW w:w="2158" w:type="dxa"/>
          </w:tcPr>
          <w:p w14:paraId="3B73155F" w14:textId="77777777" w:rsidR="00F33A94" w:rsidRPr="000D5072" w:rsidRDefault="00F33A94" w:rsidP="00F06FAF">
            <w:pPr>
              <w:ind w:left="360"/>
            </w:pPr>
            <w:r>
              <w:t>X (8-12)</w:t>
            </w:r>
          </w:p>
        </w:tc>
      </w:tr>
      <w:tr w:rsidR="00F33A94" w:rsidRPr="000D5072" w14:paraId="093DFF4B" w14:textId="77777777" w:rsidTr="00F06FAF">
        <w:tc>
          <w:tcPr>
            <w:tcW w:w="4155" w:type="dxa"/>
          </w:tcPr>
          <w:p w14:paraId="49C0F5F8" w14:textId="77777777" w:rsidR="00F33A94" w:rsidRPr="000D5072" w:rsidRDefault="00F33A94" w:rsidP="00F06FAF">
            <w:pPr>
              <w:ind w:left="360"/>
            </w:pPr>
            <w:r w:rsidRPr="000D5072">
              <w:t>Negative Affect – Age 8-12 SELF</w:t>
            </w:r>
          </w:p>
        </w:tc>
        <w:tc>
          <w:tcPr>
            <w:tcW w:w="1656" w:type="dxa"/>
          </w:tcPr>
          <w:p w14:paraId="0AA90024" w14:textId="77777777" w:rsidR="00F33A94" w:rsidRPr="000D5072" w:rsidRDefault="00F33A94" w:rsidP="00F06FAF">
            <w:pPr>
              <w:ind w:left="360"/>
            </w:pPr>
          </w:p>
        </w:tc>
        <w:tc>
          <w:tcPr>
            <w:tcW w:w="1607" w:type="dxa"/>
          </w:tcPr>
          <w:p w14:paraId="10771EC7" w14:textId="77777777" w:rsidR="00F33A94" w:rsidRPr="000D5072" w:rsidRDefault="00F33A94" w:rsidP="00F06FAF">
            <w:pPr>
              <w:ind w:left="360"/>
            </w:pPr>
            <w:r>
              <w:t>X (8-12)</w:t>
            </w:r>
          </w:p>
        </w:tc>
        <w:tc>
          <w:tcPr>
            <w:tcW w:w="2158" w:type="dxa"/>
          </w:tcPr>
          <w:p w14:paraId="44E46686" w14:textId="77777777" w:rsidR="00F33A94" w:rsidRPr="000D5072" w:rsidRDefault="00F33A94" w:rsidP="00F06FAF">
            <w:pPr>
              <w:ind w:left="360"/>
            </w:pPr>
          </w:p>
        </w:tc>
      </w:tr>
      <w:tr w:rsidR="00F33A94" w:rsidRPr="000D5072" w14:paraId="4F5E13AC" w14:textId="77777777" w:rsidTr="00F06FAF">
        <w:tc>
          <w:tcPr>
            <w:tcW w:w="4155" w:type="dxa"/>
          </w:tcPr>
          <w:p w14:paraId="2A77A734" w14:textId="77777777" w:rsidR="00F33A94" w:rsidRPr="000D5072" w:rsidRDefault="00F33A94" w:rsidP="00F06FAF">
            <w:pPr>
              <w:ind w:left="360"/>
            </w:pPr>
            <w:r w:rsidRPr="000D5072">
              <w:t>Positive Affect – Age 3-7 PROXY</w:t>
            </w:r>
          </w:p>
        </w:tc>
        <w:tc>
          <w:tcPr>
            <w:tcW w:w="1656" w:type="dxa"/>
          </w:tcPr>
          <w:p w14:paraId="4B565041" w14:textId="77777777" w:rsidR="00F33A94" w:rsidRPr="000D5072" w:rsidRDefault="00F33A94" w:rsidP="00F06FAF">
            <w:pPr>
              <w:ind w:left="360"/>
            </w:pPr>
          </w:p>
        </w:tc>
        <w:tc>
          <w:tcPr>
            <w:tcW w:w="1607" w:type="dxa"/>
          </w:tcPr>
          <w:p w14:paraId="4951A9B3" w14:textId="77777777" w:rsidR="00F33A94" w:rsidRPr="000D5072" w:rsidRDefault="00F33A94" w:rsidP="00F06FAF">
            <w:pPr>
              <w:ind w:left="360"/>
            </w:pPr>
          </w:p>
        </w:tc>
        <w:tc>
          <w:tcPr>
            <w:tcW w:w="2158" w:type="dxa"/>
          </w:tcPr>
          <w:p w14:paraId="5CE81AEE" w14:textId="77777777" w:rsidR="00F33A94" w:rsidRPr="000D5072" w:rsidRDefault="00F33A94" w:rsidP="00F06FAF">
            <w:pPr>
              <w:ind w:left="360"/>
            </w:pPr>
            <w:r>
              <w:t>X (3-7)</w:t>
            </w:r>
          </w:p>
        </w:tc>
      </w:tr>
      <w:tr w:rsidR="00F33A94" w:rsidRPr="000D5072" w14:paraId="2A25F9B1" w14:textId="77777777" w:rsidTr="00F06FAF">
        <w:tc>
          <w:tcPr>
            <w:tcW w:w="4155" w:type="dxa"/>
          </w:tcPr>
          <w:p w14:paraId="672586F2" w14:textId="77777777" w:rsidR="00F33A94" w:rsidRPr="000D5072" w:rsidRDefault="00F33A94" w:rsidP="00F06FAF">
            <w:pPr>
              <w:ind w:left="360"/>
            </w:pPr>
            <w:r w:rsidRPr="000D5072">
              <w:t>Positive Affect – Age 8-12 PROXY</w:t>
            </w:r>
          </w:p>
        </w:tc>
        <w:tc>
          <w:tcPr>
            <w:tcW w:w="1656" w:type="dxa"/>
          </w:tcPr>
          <w:p w14:paraId="25B6ED79" w14:textId="77777777" w:rsidR="00F33A94" w:rsidRPr="000D5072" w:rsidRDefault="00F33A94" w:rsidP="00F06FAF">
            <w:pPr>
              <w:ind w:left="360"/>
            </w:pPr>
          </w:p>
        </w:tc>
        <w:tc>
          <w:tcPr>
            <w:tcW w:w="1607" w:type="dxa"/>
          </w:tcPr>
          <w:p w14:paraId="75C10296" w14:textId="77777777" w:rsidR="00F33A94" w:rsidRPr="000D5072" w:rsidRDefault="00F33A94" w:rsidP="00F06FAF">
            <w:pPr>
              <w:ind w:left="360"/>
            </w:pPr>
          </w:p>
        </w:tc>
        <w:tc>
          <w:tcPr>
            <w:tcW w:w="2158" w:type="dxa"/>
          </w:tcPr>
          <w:p w14:paraId="088D2736" w14:textId="77777777" w:rsidR="00F33A94" w:rsidRPr="000D5072" w:rsidRDefault="00F33A94" w:rsidP="00F06FAF">
            <w:pPr>
              <w:ind w:left="360"/>
            </w:pPr>
            <w:r>
              <w:t>X (8-12)</w:t>
            </w:r>
          </w:p>
        </w:tc>
      </w:tr>
      <w:tr w:rsidR="00F33A94" w:rsidRPr="000D5072" w14:paraId="32B6F4BC" w14:textId="77777777" w:rsidTr="00F06FAF">
        <w:tc>
          <w:tcPr>
            <w:tcW w:w="4155" w:type="dxa"/>
          </w:tcPr>
          <w:p w14:paraId="0DE8C230" w14:textId="77777777" w:rsidR="00F33A94" w:rsidRPr="000D5072" w:rsidRDefault="00F33A94" w:rsidP="00F06FAF">
            <w:pPr>
              <w:ind w:left="360"/>
            </w:pPr>
            <w:r w:rsidRPr="000D5072">
              <w:t>Positive Affect – Age 8-12 SELF</w:t>
            </w:r>
          </w:p>
        </w:tc>
        <w:tc>
          <w:tcPr>
            <w:tcW w:w="1656" w:type="dxa"/>
          </w:tcPr>
          <w:p w14:paraId="356E5878" w14:textId="77777777" w:rsidR="00F33A94" w:rsidRPr="000D5072" w:rsidRDefault="00F33A94" w:rsidP="00F06FAF">
            <w:pPr>
              <w:ind w:left="360"/>
            </w:pPr>
          </w:p>
        </w:tc>
        <w:tc>
          <w:tcPr>
            <w:tcW w:w="1607" w:type="dxa"/>
          </w:tcPr>
          <w:p w14:paraId="6544D3CD" w14:textId="77777777" w:rsidR="00F33A94" w:rsidRPr="000D5072" w:rsidRDefault="00F33A94" w:rsidP="00F06FAF">
            <w:pPr>
              <w:ind w:left="360"/>
            </w:pPr>
            <w:r>
              <w:t>X (8-12)</w:t>
            </w:r>
          </w:p>
        </w:tc>
        <w:tc>
          <w:tcPr>
            <w:tcW w:w="2158" w:type="dxa"/>
          </w:tcPr>
          <w:p w14:paraId="1C7E4201" w14:textId="77777777" w:rsidR="00F33A94" w:rsidRPr="000D5072" w:rsidRDefault="00F33A94" w:rsidP="00F06FAF">
            <w:pPr>
              <w:ind w:left="360"/>
            </w:pPr>
          </w:p>
        </w:tc>
      </w:tr>
      <w:tr w:rsidR="00F33A94" w:rsidRPr="000D5072" w14:paraId="4EB192EC" w14:textId="77777777" w:rsidTr="00F06FAF">
        <w:tc>
          <w:tcPr>
            <w:tcW w:w="4155" w:type="dxa"/>
          </w:tcPr>
          <w:p w14:paraId="2FD79801" w14:textId="77777777" w:rsidR="00F33A94" w:rsidRPr="000D5072" w:rsidRDefault="00F33A94" w:rsidP="00F06FAF">
            <w:pPr>
              <w:ind w:left="360"/>
            </w:pPr>
            <w:r w:rsidRPr="000D5072">
              <w:t>Positive Affect – Age 13-17 SELF</w:t>
            </w:r>
          </w:p>
        </w:tc>
        <w:tc>
          <w:tcPr>
            <w:tcW w:w="1656" w:type="dxa"/>
          </w:tcPr>
          <w:p w14:paraId="7CEF31AE" w14:textId="77777777" w:rsidR="00F33A94" w:rsidRPr="000D5072" w:rsidRDefault="00F33A94" w:rsidP="00F06FAF">
            <w:pPr>
              <w:ind w:left="360"/>
            </w:pPr>
          </w:p>
        </w:tc>
        <w:tc>
          <w:tcPr>
            <w:tcW w:w="1607" w:type="dxa"/>
          </w:tcPr>
          <w:p w14:paraId="7F51DFCF" w14:textId="77777777" w:rsidR="00F33A94" w:rsidRPr="000D5072" w:rsidRDefault="00F33A94" w:rsidP="00F06FAF">
            <w:pPr>
              <w:ind w:left="360"/>
            </w:pPr>
            <w:r>
              <w:t>X (13-17)</w:t>
            </w:r>
          </w:p>
        </w:tc>
        <w:tc>
          <w:tcPr>
            <w:tcW w:w="2158" w:type="dxa"/>
          </w:tcPr>
          <w:p w14:paraId="0304154B" w14:textId="77777777" w:rsidR="00F33A94" w:rsidRPr="000D5072" w:rsidRDefault="00F33A94" w:rsidP="00F06FAF">
            <w:pPr>
              <w:ind w:left="360"/>
            </w:pPr>
          </w:p>
        </w:tc>
      </w:tr>
      <w:tr w:rsidR="00F33A94" w:rsidRPr="000D5072" w14:paraId="1E6CF5E6" w14:textId="77777777" w:rsidTr="00F06FAF">
        <w:tc>
          <w:tcPr>
            <w:tcW w:w="4155" w:type="dxa"/>
          </w:tcPr>
          <w:p w14:paraId="0D5E35D1" w14:textId="77777777" w:rsidR="00F33A94" w:rsidRPr="000D5072" w:rsidRDefault="00F33A94" w:rsidP="00F06FAF">
            <w:pPr>
              <w:ind w:left="360"/>
            </w:pPr>
            <w:r w:rsidRPr="000D5072">
              <w:t>Positive Affect – Age 18 plus SELF</w:t>
            </w:r>
          </w:p>
        </w:tc>
        <w:tc>
          <w:tcPr>
            <w:tcW w:w="1656" w:type="dxa"/>
          </w:tcPr>
          <w:p w14:paraId="72434161" w14:textId="77777777" w:rsidR="00F33A94" w:rsidRPr="000D5072" w:rsidRDefault="00F33A94" w:rsidP="00F06FAF">
            <w:pPr>
              <w:ind w:left="360"/>
            </w:pPr>
            <w:r>
              <w:t>X</w:t>
            </w:r>
          </w:p>
        </w:tc>
        <w:tc>
          <w:tcPr>
            <w:tcW w:w="1607" w:type="dxa"/>
          </w:tcPr>
          <w:p w14:paraId="193017C2" w14:textId="77777777" w:rsidR="00F33A94" w:rsidRPr="000D5072" w:rsidRDefault="00F33A94" w:rsidP="00F06FAF">
            <w:pPr>
              <w:ind w:left="360"/>
            </w:pPr>
          </w:p>
        </w:tc>
        <w:tc>
          <w:tcPr>
            <w:tcW w:w="2158" w:type="dxa"/>
          </w:tcPr>
          <w:p w14:paraId="650C2825" w14:textId="77777777" w:rsidR="00F33A94" w:rsidRPr="000D5072" w:rsidRDefault="00F33A94" w:rsidP="00F06FAF">
            <w:pPr>
              <w:ind w:left="360"/>
            </w:pPr>
          </w:p>
        </w:tc>
      </w:tr>
      <w:tr w:rsidR="00F33A94" w:rsidRPr="000D5072" w14:paraId="1B548F0E" w14:textId="77777777" w:rsidTr="00F06FAF">
        <w:tc>
          <w:tcPr>
            <w:tcW w:w="4155" w:type="dxa"/>
          </w:tcPr>
          <w:p w14:paraId="552245F4" w14:textId="77777777" w:rsidR="00F33A94" w:rsidRPr="000D5072" w:rsidRDefault="00F33A94" w:rsidP="00F06FAF">
            <w:pPr>
              <w:ind w:left="360"/>
            </w:pPr>
            <w:r w:rsidRPr="000D5072">
              <w:t>Social Relationships Age 3-7 PROXY</w:t>
            </w:r>
          </w:p>
        </w:tc>
        <w:tc>
          <w:tcPr>
            <w:tcW w:w="1656" w:type="dxa"/>
          </w:tcPr>
          <w:p w14:paraId="1EE293D5" w14:textId="77777777" w:rsidR="00F33A94" w:rsidRPr="000D5072" w:rsidRDefault="00F33A94" w:rsidP="00F06FAF">
            <w:pPr>
              <w:ind w:left="360"/>
            </w:pPr>
          </w:p>
        </w:tc>
        <w:tc>
          <w:tcPr>
            <w:tcW w:w="1607" w:type="dxa"/>
          </w:tcPr>
          <w:p w14:paraId="754E2552" w14:textId="77777777" w:rsidR="00F33A94" w:rsidRPr="000D5072" w:rsidRDefault="00F33A94" w:rsidP="00F06FAF">
            <w:pPr>
              <w:ind w:left="360"/>
            </w:pPr>
          </w:p>
        </w:tc>
        <w:tc>
          <w:tcPr>
            <w:tcW w:w="2158" w:type="dxa"/>
          </w:tcPr>
          <w:p w14:paraId="51FABDEA" w14:textId="77777777" w:rsidR="00F33A94" w:rsidRPr="000D5072" w:rsidRDefault="00F33A94" w:rsidP="00F06FAF">
            <w:pPr>
              <w:ind w:left="360"/>
            </w:pPr>
            <w:r>
              <w:t>X (3-7)</w:t>
            </w:r>
          </w:p>
        </w:tc>
      </w:tr>
      <w:tr w:rsidR="00F33A94" w:rsidRPr="000D5072" w14:paraId="442976E3" w14:textId="77777777" w:rsidTr="00F06FAF">
        <w:tc>
          <w:tcPr>
            <w:tcW w:w="4155" w:type="dxa"/>
          </w:tcPr>
          <w:p w14:paraId="1600C5C9" w14:textId="77777777" w:rsidR="00F33A94" w:rsidRPr="000D5072" w:rsidRDefault="00F33A94" w:rsidP="00F06FAF">
            <w:pPr>
              <w:ind w:left="360"/>
            </w:pPr>
            <w:r w:rsidRPr="000D5072">
              <w:t>Social Relationships Age 8-12 PROXY</w:t>
            </w:r>
          </w:p>
        </w:tc>
        <w:tc>
          <w:tcPr>
            <w:tcW w:w="1656" w:type="dxa"/>
          </w:tcPr>
          <w:p w14:paraId="36B05E40" w14:textId="77777777" w:rsidR="00F33A94" w:rsidRPr="000D5072" w:rsidRDefault="00F33A94" w:rsidP="00F06FAF">
            <w:pPr>
              <w:ind w:left="360"/>
            </w:pPr>
          </w:p>
        </w:tc>
        <w:tc>
          <w:tcPr>
            <w:tcW w:w="1607" w:type="dxa"/>
          </w:tcPr>
          <w:p w14:paraId="271C99DD" w14:textId="77777777" w:rsidR="00F33A94" w:rsidRPr="000D5072" w:rsidRDefault="00F33A94" w:rsidP="00F06FAF">
            <w:pPr>
              <w:ind w:left="360"/>
            </w:pPr>
          </w:p>
        </w:tc>
        <w:tc>
          <w:tcPr>
            <w:tcW w:w="2158" w:type="dxa"/>
          </w:tcPr>
          <w:p w14:paraId="0F477A3F" w14:textId="77777777" w:rsidR="00F33A94" w:rsidRPr="000D5072" w:rsidRDefault="00F33A94" w:rsidP="00F06FAF">
            <w:pPr>
              <w:ind w:left="360"/>
            </w:pPr>
            <w:r>
              <w:t>X (8-12)</w:t>
            </w:r>
          </w:p>
        </w:tc>
      </w:tr>
      <w:tr w:rsidR="00F33A94" w:rsidRPr="000D5072" w14:paraId="75ACA972" w14:textId="77777777" w:rsidTr="00F06FAF">
        <w:tc>
          <w:tcPr>
            <w:tcW w:w="4155" w:type="dxa"/>
          </w:tcPr>
          <w:p w14:paraId="05C2BE8E" w14:textId="77777777" w:rsidR="00F33A94" w:rsidRPr="000D5072" w:rsidRDefault="00F33A94" w:rsidP="00F06FAF">
            <w:pPr>
              <w:ind w:left="360"/>
            </w:pPr>
            <w:r w:rsidRPr="000D5072">
              <w:t>Social Relationships Age 8-12 SELF</w:t>
            </w:r>
          </w:p>
        </w:tc>
        <w:tc>
          <w:tcPr>
            <w:tcW w:w="1656" w:type="dxa"/>
          </w:tcPr>
          <w:p w14:paraId="1B150A21" w14:textId="77777777" w:rsidR="00F33A94" w:rsidRPr="000D5072" w:rsidRDefault="00F33A94" w:rsidP="00F06FAF">
            <w:pPr>
              <w:ind w:left="360"/>
            </w:pPr>
          </w:p>
        </w:tc>
        <w:tc>
          <w:tcPr>
            <w:tcW w:w="1607" w:type="dxa"/>
          </w:tcPr>
          <w:p w14:paraId="113264D7" w14:textId="77777777" w:rsidR="00F33A94" w:rsidRPr="000D5072" w:rsidRDefault="00F33A94" w:rsidP="00F06FAF">
            <w:pPr>
              <w:ind w:left="360"/>
            </w:pPr>
            <w:r>
              <w:t>X (8-12)</w:t>
            </w:r>
          </w:p>
        </w:tc>
        <w:tc>
          <w:tcPr>
            <w:tcW w:w="2158" w:type="dxa"/>
          </w:tcPr>
          <w:p w14:paraId="55533F35" w14:textId="77777777" w:rsidR="00F33A94" w:rsidRPr="000D5072" w:rsidRDefault="00F33A94" w:rsidP="00F06FAF">
            <w:pPr>
              <w:ind w:left="360"/>
            </w:pPr>
          </w:p>
        </w:tc>
      </w:tr>
      <w:tr w:rsidR="00F33A94" w:rsidRPr="000D5072" w14:paraId="6FE4F6EA" w14:textId="77777777" w:rsidTr="00F06FAF">
        <w:tc>
          <w:tcPr>
            <w:tcW w:w="4155" w:type="dxa"/>
          </w:tcPr>
          <w:p w14:paraId="7BED6868" w14:textId="77777777" w:rsidR="00F33A94" w:rsidRPr="000D5072" w:rsidRDefault="00F33A94" w:rsidP="00F06FAF">
            <w:pPr>
              <w:ind w:left="360"/>
            </w:pPr>
            <w:r w:rsidRPr="000D5072">
              <w:t>Social Relationships Age 13-17 SELF</w:t>
            </w:r>
          </w:p>
        </w:tc>
        <w:tc>
          <w:tcPr>
            <w:tcW w:w="1656" w:type="dxa"/>
          </w:tcPr>
          <w:p w14:paraId="5DCB507F" w14:textId="77777777" w:rsidR="00F33A94" w:rsidRPr="000D5072" w:rsidRDefault="00F33A94" w:rsidP="00F06FAF">
            <w:pPr>
              <w:ind w:left="360"/>
            </w:pPr>
          </w:p>
        </w:tc>
        <w:tc>
          <w:tcPr>
            <w:tcW w:w="1607" w:type="dxa"/>
          </w:tcPr>
          <w:p w14:paraId="5BDBF592" w14:textId="77777777" w:rsidR="00F33A94" w:rsidRPr="000D5072" w:rsidRDefault="00F33A94" w:rsidP="00F06FAF">
            <w:pPr>
              <w:ind w:left="360"/>
            </w:pPr>
            <w:r>
              <w:t>X (13-17)</w:t>
            </w:r>
          </w:p>
        </w:tc>
        <w:tc>
          <w:tcPr>
            <w:tcW w:w="2158" w:type="dxa"/>
          </w:tcPr>
          <w:p w14:paraId="2068CF49" w14:textId="77777777" w:rsidR="00F33A94" w:rsidRPr="000D5072" w:rsidRDefault="00F33A94" w:rsidP="00F06FAF">
            <w:pPr>
              <w:ind w:left="360"/>
            </w:pPr>
          </w:p>
        </w:tc>
      </w:tr>
      <w:tr w:rsidR="00F33A94" w:rsidRPr="000D5072" w14:paraId="5C97994C" w14:textId="77777777" w:rsidTr="00F06FAF">
        <w:tc>
          <w:tcPr>
            <w:tcW w:w="4155" w:type="dxa"/>
          </w:tcPr>
          <w:p w14:paraId="3DE14F37" w14:textId="77777777" w:rsidR="00F33A94" w:rsidRPr="000D5072" w:rsidRDefault="00F33A94" w:rsidP="00F06FAF">
            <w:pPr>
              <w:ind w:left="360"/>
            </w:pPr>
            <w:r w:rsidRPr="000D5072">
              <w:t>Social Relationships Age 18 up SELF</w:t>
            </w:r>
          </w:p>
        </w:tc>
        <w:tc>
          <w:tcPr>
            <w:tcW w:w="1656" w:type="dxa"/>
          </w:tcPr>
          <w:p w14:paraId="07A8D384" w14:textId="77777777" w:rsidR="00F33A94" w:rsidRPr="000D5072" w:rsidRDefault="00F33A94" w:rsidP="00F06FAF">
            <w:pPr>
              <w:ind w:left="360"/>
            </w:pPr>
            <w:r>
              <w:t>X</w:t>
            </w:r>
          </w:p>
        </w:tc>
        <w:tc>
          <w:tcPr>
            <w:tcW w:w="1607" w:type="dxa"/>
          </w:tcPr>
          <w:p w14:paraId="72C71CF5" w14:textId="77777777" w:rsidR="00F33A94" w:rsidRPr="000D5072" w:rsidRDefault="00F33A94" w:rsidP="00F06FAF">
            <w:pPr>
              <w:ind w:left="360"/>
            </w:pPr>
          </w:p>
        </w:tc>
        <w:tc>
          <w:tcPr>
            <w:tcW w:w="2158" w:type="dxa"/>
          </w:tcPr>
          <w:p w14:paraId="5BAED112" w14:textId="77777777" w:rsidR="00F33A94" w:rsidRPr="000D5072" w:rsidRDefault="00F33A94" w:rsidP="00F06FAF">
            <w:pPr>
              <w:ind w:left="360"/>
            </w:pPr>
          </w:p>
        </w:tc>
      </w:tr>
      <w:tr w:rsidR="00F33A94" w:rsidRPr="000D5072" w14:paraId="6DD3E5F2" w14:textId="77777777" w:rsidTr="00F06FAF">
        <w:tc>
          <w:tcPr>
            <w:tcW w:w="4155" w:type="dxa"/>
          </w:tcPr>
          <w:p w14:paraId="3EE0D8D1" w14:textId="77777777" w:rsidR="00F33A94" w:rsidRPr="000D5072" w:rsidRDefault="00F33A94" w:rsidP="00F06FAF">
            <w:pPr>
              <w:ind w:left="360"/>
            </w:pPr>
            <w:r w:rsidRPr="000D5072">
              <w:t>Stress and Coping Age 8-12 PROXY</w:t>
            </w:r>
          </w:p>
        </w:tc>
        <w:tc>
          <w:tcPr>
            <w:tcW w:w="1656" w:type="dxa"/>
          </w:tcPr>
          <w:p w14:paraId="52EAAC75" w14:textId="77777777" w:rsidR="00F33A94" w:rsidRPr="000D5072" w:rsidRDefault="00F33A94" w:rsidP="00F06FAF">
            <w:pPr>
              <w:ind w:left="360"/>
            </w:pPr>
          </w:p>
        </w:tc>
        <w:tc>
          <w:tcPr>
            <w:tcW w:w="1607" w:type="dxa"/>
          </w:tcPr>
          <w:p w14:paraId="0FE6D8E0" w14:textId="77777777" w:rsidR="00F33A94" w:rsidRPr="000D5072" w:rsidRDefault="00F33A94" w:rsidP="00F06FAF">
            <w:pPr>
              <w:ind w:left="360"/>
            </w:pPr>
          </w:p>
        </w:tc>
        <w:tc>
          <w:tcPr>
            <w:tcW w:w="2158" w:type="dxa"/>
          </w:tcPr>
          <w:p w14:paraId="261AD115" w14:textId="77777777" w:rsidR="00F33A94" w:rsidRPr="000D5072" w:rsidRDefault="00F33A94" w:rsidP="00F06FAF">
            <w:pPr>
              <w:ind w:left="360"/>
            </w:pPr>
            <w:r>
              <w:t>X (8-12)</w:t>
            </w:r>
          </w:p>
        </w:tc>
      </w:tr>
      <w:tr w:rsidR="00F33A94" w:rsidRPr="000D5072" w14:paraId="3497FD7B" w14:textId="77777777" w:rsidTr="00F06FAF">
        <w:tc>
          <w:tcPr>
            <w:tcW w:w="4155" w:type="dxa"/>
          </w:tcPr>
          <w:p w14:paraId="75297484" w14:textId="77777777" w:rsidR="00F33A94" w:rsidRPr="000D5072" w:rsidRDefault="00F33A94" w:rsidP="00F06FAF">
            <w:pPr>
              <w:ind w:left="360"/>
            </w:pPr>
            <w:r w:rsidRPr="000D5072">
              <w:t>Stress and Coping Age 8-12 SELF</w:t>
            </w:r>
          </w:p>
        </w:tc>
        <w:tc>
          <w:tcPr>
            <w:tcW w:w="1656" w:type="dxa"/>
          </w:tcPr>
          <w:p w14:paraId="5267D2AE" w14:textId="77777777" w:rsidR="00F33A94" w:rsidRPr="000D5072" w:rsidRDefault="00F33A94" w:rsidP="00F06FAF">
            <w:pPr>
              <w:ind w:left="360"/>
            </w:pPr>
          </w:p>
        </w:tc>
        <w:tc>
          <w:tcPr>
            <w:tcW w:w="1607" w:type="dxa"/>
          </w:tcPr>
          <w:p w14:paraId="740A383F" w14:textId="77777777" w:rsidR="00F33A94" w:rsidRPr="000D5072" w:rsidRDefault="00F33A94" w:rsidP="00F06FAF">
            <w:pPr>
              <w:ind w:left="360"/>
            </w:pPr>
            <w:r>
              <w:t>X (8-12)</w:t>
            </w:r>
          </w:p>
        </w:tc>
        <w:tc>
          <w:tcPr>
            <w:tcW w:w="2158" w:type="dxa"/>
          </w:tcPr>
          <w:p w14:paraId="471CBD53" w14:textId="77777777" w:rsidR="00F33A94" w:rsidRPr="000D5072" w:rsidRDefault="00F33A94" w:rsidP="00F06FAF">
            <w:pPr>
              <w:ind w:left="360"/>
            </w:pPr>
          </w:p>
        </w:tc>
      </w:tr>
      <w:tr w:rsidR="00F33A94" w:rsidRPr="000D5072" w14:paraId="630B090E" w14:textId="77777777" w:rsidTr="00F06FAF">
        <w:tc>
          <w:tcPr>
            <w:tcW w:w="4155" w:type="dxa"/>
          </w:tcPr>
          <w:p w14:paraId="45E439D7" w14:textId="77777777" w:rsidR="00F33A94" w:rsidRPr="000D5072" w:rsidRDefault="00F33A94" w:rsidP="00F06FAF">
            <w:pPr>
              <w:ind w:left="360"/>
            </w:pPr>
            <w:r w:rsidRPr="000D5072">
              <w:t>Stress and Coping Age 13-17 SELF</w:t>
            </w:r>
          </w:p>
        </w:tc>
        <w:tc>
          <w:tcPr>
            <w:tcW w:w="1656" w:type="dxa"/>
          </w:tcPr>
          <w:p w14:paraId="5F8BC4FF" w14:textId="77777777" w:rsidR="00F33A94" w:rsidRPr="000D5072" w:rsidRDefault="00F33A94" w:rsidP="00F06FAF">
            <w:pPr>
              <w:ind w:left="360"/>
            </w:pPr>
          </w:p>
        </w:tc>
        <w:tc>
          <w:tcPr>
            <w:tcW w:w="1607" w:type="dxa"/>
          </w:tcPr>
          <w:p w14:paraId="101146F4" w14:textId="77777777" w:rsidR="00F33A94" w:rsidRPr="000D5072" w:rsidRDefault="00F33A94" w:rsidP="00F06FAF">
            <w:pPr>
              <w:ind w:left="360"/>
            </w:pPr>
            <w:r>
              <w:t>X (13-17)</w:t>
            </w:r>
          </w:p>
        </w:tc>
        <w:tc>
          <w:tcPr>
            <w:tcW w:w="2158" w:type="dxa"/>
          </w:tcPr>
          <w:p w14:paraId="01DBA9BB" w14:textId="77777777" w:rsidR="00F33A94" w:rsidRPr="000D5072" w:rsidRDefault="00F33A94" w:rsidP="00F06FAF">
            <w:pPr>
              <w:ind w:left="360"/>
            </w:pPr>
          </w:p>
        </w:tc>
      </w:tr>
      <w:tr w:rsidR="00F33A94" w:rsidRPr="000D5072" w14:paraId="6805EA20" w14:textId="77777777" w:rsidTr="00F06FAF">
        <w:tc>
          <w:tcPr>
            <w:tcW w:w="4155" w:type="dxa"/>
          </w:tcPr>
          <w:p w14:paraId="396738AD" w14:textId="77777777" w:rsidR="00F33A94" w:rsidRPr="000D5072" w:rsidRDefault="00F33A94" w:rsidP="00F06FAF">
            <w:pPr>
              <w:ind w:left="360"/>
            </w:pPr>
            <w:r w:rsidRPr="000D5072">
              <w:t>Stress and Coping Age 18 up SELF</w:t>
            </w:r>
          </w:p>
        </w:tc>
        <w:tc>
          <w:tcPr>
            <w:tcW w:w="1656" w:type="dxa"/>
          </w:tcPr>
          <w:p w14:paraId="47F6267B" w14:textId="77777777" w:rsidR="00F33A94" w:rsidRPr="000D5072" w:rsidRDefault="00F33A94" w:rsidP="00F06FAF">
            <w:pPr>
              <w:ind w:left="360"/>
            </w:pPr>
            <w:r>
              <w:t>X</w:t>
            </w:r>
          </w:p>
        </w:tc>
        <w:tc>
          <w:tcPr>
            <w:tcW w:w="1607" w:type="dxa"/>
          </w:tcPr>
          <w:p w14:paraId="492F0A29" w14:textId="77777777" w:rsidR="00F33A94" w:rsidRPr="000D5072" w:rsidRDefault="00F33A94" w:rsidP="00F06FAF">
            <w:pPr>
              <w:ind w:left="360"/>
            </w:pPr>
          </w:p>
        </w:tc>
        <w:tc>
          <w:tcPr>
            <w:tcW w:w="2158" w:type="dxa"/>
          </w:tcPr>
          <w:p w14:paraId="2CA599B1" w14:textId="77777777" w:rsidR="00F33A94" w:rsidRPr="000D5072" w:rsidRDefault="00F33A94" w:rsidP="00F06FAF">
            <w:pPr>
              <w:ind w:left="360"/>
            </w:pPr>
          </w:p>
        </w:tc>
      </w:tr>
      <w:tr w:rsidR="00F33A94" w:rsidRPr="000D5072" w14:paraId="2FEACC37" w14:textId="77777777" w:rsidTr="00F06FAF">
        <w:tc>
          <w:tcPr>
            <w:tcW w:w="9576" w:type="dxa"/>
            <w:gridSpan w:val="4"/>
          </w:tcPr>
          <w:p w14:paraId="45F3AAC3" w14:textId="77777777" w:rsidR="00F33A94" w:rsidRPr="000D5072" w:rsidRDefault="00F33A94" w:rsidP="00F06FAF">
            <w:pPr>
              <w:spacing w:after="80"/>
              <w:rPr>
                <w:i/>
              </w:rPr>
            </w:pPr>
            <w:r w:rsidRPr="000D5072">
              <w:rPr>
                <w:i/>
              </w:rPr>
              <w:t>Motor functioning domain</w:t>
            </w:r>
          </w:p>
        </w:tc>
      </w:tr>
      <w:tr w:rsidR="00F33A94" w:rsidRPr="000D5072" w14:paraId="751319A9" w14:textId="77777777" w:rsidTr="00F06FAF">
        <w:tc>
          <w:tcPr>
            <w:tcW w:w="4155" w:type="dxa"/>
          </w:tcPr>
          <w:p w14:paraId="5DA9177F" w14:textId="77777777" w:rsidR="00F33A94" w:rsidRPr="000D5072" w:rsidRDefault="00F33A94" w:rsidP="008051E8">
            <w:pPr>
              <w:ind w:left="360"/>
            </w:pPr>
            <w:r w:rsidRPr="000D5072">
              <w:t>Dexterity 9-hol</w:t>
            </w:r>
            <w:r w:rsidR="008051E8">
              <w:t>e</w:t>
            </w:r>
            <w:r w:rsidRPr="000D5072">
              <w:t xml:space="preserve"> Pegboard</w:t>
            </w:r>
          </w:p>
        </w:tc>
        <w:tc>
          <w:tcPr>
            <w:tcW w:w="1656" w:type="dxa"/>
          </w:tcPr>
          <w:p w14:paraId="3AF741D9" w14:textId="77777777" w:rsidR="00F33A94" w:rsidRPr="000D5072" w:rsidRDefault="00F33A94" w:rsidP="00F06FAF">
            <w:pPr>
              <w:ind w:left="360"/>
            </w:pPr>
            <w:r>
              <w:t>X</w:t>
            </w:r>
          </w:p>
        </w:tc>
        <w:tc>
          <w:tcPr>
            <w:tcW w:w="1607" w:type="dxa"/>
          </w:tcPr>
          <w:p w14:paraId="3AA5EC16" w14:textId="77777777" w:rsidR="00F33A94" w:rsidRPr="000D5072" w:rsidRDefault="00F33A94" w:rsidP="00F06FAF">
            <w:pPr>
              <w:ind w:left="360"/>
            </w:pPr>
            <w:r>
              <w:t>X</w:t>
            </w:r>
          </w:p>
        </w:tc>
        <w:tc>
          <w:tcPr>
            <w:tcW w:w="2158" w:type="dxa"/>
          </w:tcPr>
          <w:p w14:paraId="0A5EE20F" w14:textId="77777777" w:rsidR="00F33A94" w:rsidRPr="000D5072" w:rsidRDefault="00F33A94" w:rsidP="00F06FAF">
            <w:pPr>
              <w:ind w:left="360"/>
            </w:pPr>
          </w:p>
        </w:tc>
      </w:tr>
      <w:tr w:rsidR="00F33A94" w:rsidRPr="000D5072" w14:paraId="35C1D08D" w14:textId="77777777" w:rsidTr="00F06FAF">
        <w:tc>
          <w:tcPr>
            <w:tcW w:w="4155" w:type="dxa"/>
          </w:tcPr>
          <w:p w14:paraId="78CC5BC8" w14:textId="77777777" w:rsidR="00F33A94" w:rsidRPr="000D5072" w:rsidRDefault="00F33A94" w:rsidP="00C2247D">
            <w:pPr>
              <w:ind w:left="360"/>
            </w:pPr>
            <w:r w:rsidRPr="000D5072">
              <w:t xml:space="preserve">Endurance </w:t>
            </w:r>
            <w:r w:rsidR="00C2247D">
              <w:t>2</w:t>
            </w:r>
            <w:r w:rsidRPr="000D5072">
              <w:t>Minute Walk Test (</w:t>
            </w:r>
            <w:r w:rsidR="00C2247D">
              <w:t>2</w:t>
            </w:r>
            <w:r w:rsidR="00C2247D" w:rsidRPr="000D5072">
              <w:t>MWT</w:t>
            </w:r>
            <w:r w:rsidRPr="000D5072">
              <w:t>)</w:t>
            </w:r>
          </w:p>
        </w:tc>
        <w:tc>
          <w:tcPr>
            <w:tcW w:w="1656" w:type="dxa"/>
          </w:tcPr>
          <w:p w14:paraId="52E9FD5E" w14:textId="77777777" w:rsidR="00F33A94" w:rsidRPr="000D5072" w:rsidRDefault="00F33A94" w:rsidP="00F06FAF">
            <w:pPr>
              <w:ind w:left="360"/>
            </w:pPr>
            <w:r>
              <w:t>X</w:t>
            </w:r>
          </w:p>
        </w:tc>
        <w:tc>
          <w:tcPr>
            <w:tcW w:w="1607" w:type="dxa"/>
          </w:tcPr>
          <w:p w14:paraId="75A9E6C5" w14:textId="77777777" w:rsidR="00F33A94" w:rsidRPr="000D5072" w:rsidRDefault="00F33A94" w:rsidP="00F06FAF">
            <w:pPr>
              <w:ind w:left="360"/>
            </w:pPr>
            <w:r>
              <w:t>X</w:t>
            </w:r>
          </w:p>
        </w:tc>
        <w:tc>
          <w:tcPr>
            <w:tcW w:w="2158" w:type="dxa"/>
          </w:tcPr>
          <w:p w14:paraId="12071BCA" w14:textId="77777777" w:rsidR="00F33A94" w:rsidRPr="000D5072" w:rsidRDefault="00F33A94" w:rsidP="00F06FAF">
            <w:pPr>
              <w:ind w:left="360"/>
            </w:pPr>
          </w:p>
        </w:tc>
      </w:tr>
      <w:tr w:rsidR="00F33A94" w:rsidRPr="000D5072" w14:paraId="7265DCD2" w14:textId="77777777" w:rsidTr="00F06FAF">
        <w:tc>
          <w:tcPr>
            <w:tcW w:w="4155" w:type="dxa"/>
          </w:tcPr>
          <w:p w14:paraId="676A8597" w14:textId="77777777" w:rsidR="00F33A94" w:rsidRPr="000D5072" w:rsidRDefault="00F33A94" w:rsidP="00F06FAF">
            <w:pPr>
              <w:ind w:left="360"/>
            </w:pPr>
            <w:r w:rsidRPr="000D5072">
              <w:t>Locomotion 4-meter Walk Test</w:t>
            </w:r>
          </w:p>
        </w:tc>
        <w:tc>
          <w:tcPr>
            <w:tcW w:w="1656" w:type="dxa"/>
          </w:tcPr>
          <w:p w14:paraId="7C93DFEC" w14:textId="77777777" w:rsidR="00F33A94" w:rsidRPr="000D5072" w:rsidRDefault="00F33A94" w:rsidP="00F06FAF">
            <w:pPr>
              <w:ind w:left="360"/>
            </w:pPr>
            <w:r>
              <w:t>X</w:t>
            </w:r>
          </w:p>
        </w:tc>
        <w:tc>
          <w:tcPr>
            <w:tcW w:w="1607" w:type="dxa"/>
          </w:tcPr>
          <w:p w14:paraId="50025A6B" w14:textId="77777777" w:rsidR="00F33A94" w:rsidRPr="000D5072" w:rsidRDefault="00F33A94" w:rsidP="00F06FAF">
            <w:pPr>
              <w:ind w:left="360"/>
            </w:pPr>
            <w:r>
              <w:t>X</w:t>
            </w:r>
            <w:r w:rsidR="00C2247D">
              <w:t xml:space="preserve"> (5-17)</w:t>
            </w:r>
          </w:p>
        </w:tc>
        <w:tc>
          <w:tcPr>
            <w:tcW w:w="2158" w:type="dxa"/>
          </w:tcPr>
          <w:p w14:paraId="0553941D" w14:textId="77777777" w:rsidR="00F33A94" w:rsidRPr="000D5072" w:rsidRDefault="00F33A94" w:rsidP="00F06FAF">
            <w:pPr>
              <w:ind w:left="360"/>
            </w:pPr>
          </w:p>
        </w:tc>
      </w:tr>
      <w:tr w:rsidR="00F33A94" w:rsidRPr="000D5072" w14:paraId="0F04BCFD" w14:textId="77777777" w:rsidTr="00F06FAF">
        <w:tc>
          <w:tcPr>
            <w:tcW w:w="4155" w:type="dxa"/>
          </w:tcPr>
          <w:p w14:paraId="48D55EA6" w14:textId="77777777" w:rsidR="00F33A94" w:rsidRPr="000D5072" w:rsidRDefault="00F33A94" w:rsidP="00F06FAF">
            <w:pPr>
              <w:ind w:left="360"/>
            </w:pPr>
            <w:r w:rsidRPr="000D5072">
              <w:t>Strength Grip Strength Dynamometry</w:t>
            </w:r>
          </w:p>
        </w:tc>
        <w:tc>
          <w:tcPr>
            <w:tcW w:w="1656" w:type="dxa"/>
          </w:tcPr>
          <w:p w14:paraId="3C9CD19C" w14:textId="77777777" w:rsidR="00F33A94" w:rsidRPr="000D5072" w:rsidRDefault="00F33A94" w:rsidP="00F06FAF">
            <w:pPr>
              <w:ind w:left="360"/>
            </w:pPr>
            <w:r>
              <w:t>X</w:t>
            </w:r>
          </w:p>
        </w:tc>
        <w:tc>
          <w:tcPr>
            <w:tcW w:w="1607" w:type="dxa"/>
          </w:tcPr>
          <w:p w14:paraId="67221633" w14:textId="77777777" w:rsidR="00F33A94" w:rsidRPr="000D5072" w:rsidRDefault="00F33A94" w:rsidP="00F06FAF">
            <w:pPr>
              <w:ind w:left="360"/>
            </w:pPr>
            <w:r>
              <w:t>X</w:t>
            </w:r>
          </w:p>
        </w:tc>
        <w:tc>
          <w:tcPr>
            <w:tcW w:w="2158" w:type="dxa"/>
          </w:tcPr>
          <w:p w14:paraId="21BA9C23" w14:textId="77777777" w:rsidR="00F33A94" w:rsidRPr="000D5072" w:rsidRDefault="00F33A94" w:rsidP="00F06FAF">
            <w:pPr>
              <w:ind w:left="360"/>
            </w:pPr>
          </w:p>
        </w:tc>
      </w:tr>
      <w:tr w:rsidR="00F33A94" w:rsidRPr="000D5072" w14:paraId="5B49CEEA" w14:textId="77777777" w:rsidTr="00F06FAF">
        <w:tc>
          <w:tcPr>
            <w:tcW w:w="4155" w:type="dxa"/>
          </w:tcPr>
          <w:p w14:paraId="43D2FA52" w14:textId="77777777" w:rsidR="00F33A94" w:rsidRPr="000D5072" w:rsidRDefault="00F33A94" w:rsidP="00C2247D">
            <w:pPr>
              <w:ind w:left="360"/>
            </w:pPr>
            <w:r w:rsidRPr="000D5072">
              <w:t>Strength Knee Extension</w:t>
            </w:r>
          </w:p>
        </w:tc>
        <w:tc>
          <w:tcPr>
            <w:tcW w:w="1656" w:type="dxa"/>
          </w:tcPr>
          <w:p w14:paraId="0FD9EF6A" w14:textId="77777777" w:rsidR="00F33A94" w:rsidRPr="000D5072" w:rsidRDefault="00F33A94" w:rsidP="00F06FAF">
            <w:pPr>
              <w:ind w:left="360"/>
            </w:pPr>
            <w:r>
              <w:t>X</w:t>
            </w:r>
          </w:p>
        </w:tc>
        <w:tc>
          <w:tcPr>
            <w:tcW w:w="1607" w:type="dxa"/>
          </w:tcPr>
          <w:p w14:paraId="36C25DE5" w14:textId="77777777" w:rsidR="00F33A94" w:rsidRPr="000D5072" w:rsidRDefault="00F33A94" w:rsidP="00F06FAF">
            <w:pPr>
              <w:ind w:left="360"/>
            </w:pPr>
            <w:r>
              <w:t>X</w:t>
            </w:r>
          </w:p>
        </w:tc>
        <w:tc>
          <w:tcPr>
            <w:tcW w:w="2158" w:type="dxa"/>
          </w:tcPr>
          <w:p w14:paraId="5998F05C" w14:textId="77777777" w:rsidR="00F33A94" w:rsidRPr="000D5072" w:rsidRDefault="00F33A94" w:rsidP="00F06FAF">
            <w:pPr>
              <w:ind w:left="360"/>
            </w:pPr>
          </w:p>
        </w:tc>
      </w:tr>
      <w:tr w:rsidR="00F33A94" w:rsidRPr="000D5072" w14:paraId="4B3E5533" w14:textId="77777777" w:rsidTr="00F06FAF">
        <w:tc>
          <w:tcPr>
            <w:tcW w:w="4155" w:type="dxa"/>
          </w:tcPr>
          <w:p w14:paraId="3993CA83" w14:textId="77777777" w:rsidR="00F33A94" w:rsidRPr="000D5072" w:rsidRDefault="008051E8" w:rsidP="00F06FAF">
            <w:pPr>
              <w:ind w:left="360"/>
            </w:pPr>
            <w:r>
              <w:rPr>
                <w:rFonts w:eastAsia="Calibri"/>
              </w:rPr>
              <w:t>Balance Acceleromet</w:t>
            </w:r>
            <w:r w:rsidR="00EC7151">
              <w:rPr>
                <w:rFonts w:eastAsia="Calibri"/>
              </w:rPr>
              <w:t>er M</w:t>
            </w:r>
            <w:r>
              <w:rPr>
                <w:rFonts w:eastAsia="Calibri"/>
              </w:rPr>
              <w:t>easure</w:t>
            </w:r>
          </w:p>
        </w:tc>
        <w:tc>
          <w:tcPr>
            <w:tcW w:w="1656" w:type="dxa"/>
          </w:tcPr>
          <w:p w14:paraId="75CCE5D1" w14:textId="77777777" w:rsidR="00F33A94" w:rsidRPr="000D5072" w:rsidRDefault="00F33A94" w:rsidP="00F06FAF">
            <w:pPr>
              <w:ind w:left="360"/>
              <w:rPr>
                <w:rFonts w:eastAsia="Calibri"/>
              </w:rPr>
            </w:pPr>
            <w:r>
              <w:rPr>
                <w:rFonts w:eastAsia="Calibri"/>
              </w:rPr>
              <w:t>X</w:t>
            </w:r>
          </w:p>
        </w:tc>
        <w:tc>
          <w:tcPr>
            <w:tcW w:w="1607" w:type="dxa"/>
          </w:tcPr>
          <w:p w14:paraId="50998826" w14:textId="77777777" w:rsidR="00F33A94" w:rsidRPr="000D5072" w:rsidRDefault="00F33A94" w:rsidP="00F06FAF">
            <w:pPr>
              <w:ind w:left="360"/>
              <w:rPr>
                <w:rFonts w:eastAsia="Calibri"/>
              </w:rPr>
            </w:pPr>
            <w:r>
              <w:rPr>
                <w:rFonts w:eastAsia="Calibri"/>
              </w:rPr>
              <w:t>X</w:t>
            </w:r>
          </w:p>
        </w:tc>
        <w:tc>
          <w:tcPr>
            <w:tcW w:w="2158" w:type="dxa"/>
          </w:tcPr>
          <w:p w14:paraId="2D08F226" w14:textId="77777777" w:rsidR="00F33A94" w:rsidRPr="000D5072" w:rsidRDefault="00F33A94" w:rsidP="00F06FAF">
            <w:pPr>
              <w:ind w:left="360"/>
              <w:rPr>
                <w:rFonts w:eastAsia="Calibri"/>
              </w:rPr>
            </w:pPr>
          </w:p>
        </w:tc>
      </w:tr>
      <w:tr w:rsidR="00F33A94" w:rsidRPr="000D5072" w14:paraId="00BBA1C6" w14:textId="77777777" w:rsidTr="00F06FAF">
        <w:tc>
          <w:tcPr>
            <w:tcW w:w="9576" w:type="dxa"/>
            <w:gridSpan w:val="4"/>
          </w:tcPr>
          <w:p w14:paraId="3157649D" w14:textId="77777777" w:rsidR="00F33A94" w:rsidRPr="00FD2268" w:rsidRDefault="00F33A94" w:rsidP="00F06FAF">
            <w:pPr>
              <w:rPr>
                <w:b/>
              </w:rPr>
            </w:pPr>
            <w:r w:rsidRPr="00FD2268">
              <w:rPr>
                <w:b/>
              </w:rPr>
              <w:t>Additional Measures</w:t>
            </w:r>
          </w:p>
        </w:tc>
      </w:tr>
      <w:tr w:rsidR="00F33A94" w:rsidRPr="000D5072" w14:paraId="7E754C3F" w14:textId="77777777" w:rsidTr="00F06FAF">
        <w:tc>
          <w:tcPr>
            <w:tcW w:w="4155" w:type="dxa"/>
          </w:tcPr>
          <w:p w14:paraId="3939C807" w14:textId="77777777" w:rsidR="00F33A94" w:rsidRPr="000D5072" w:rsidRDefault="00F33A94" w:rsidP="00F06FAF">
            <w:pPr>
              <w:ind w:left="360"/>
            </w:pPr>
            <w:r w:rsidRPr="000D5072">
              <w:t>Additional Somatosensation Questions</w:t>
            </w:r>
          </w:p>
        </w:tc>
        <w:tc>
          <w:tcPr>
            <w:tcW w:w="1656" w:type="dxa"/>
          </w:tcPr>
          <w:p w14:paraId="78BB76A1" w14:textId="77777777" w:rsidR="00F33A94" w:rsidRPr="000D5072" w:rsidRDefault="00F33A94" w:rsidP="00F06FAF">
            <w:pPr>
              <w:ind w:left="360"/>
            </w:pPr>
            <w:r>
              <w:t>X</w:t>
            </w:r>
          </w:p>
        </w:tc>
        <w:tc>
          <w:tcPr>
            <w:tcW w:w="1607" w:type="dxa"/>
          </w:tcPr>
          <w:p w14:paraId="4AC2EBBC" w14:textId="77777777" w:rsidR="00F33A94" w:rsidRPr="000D5072" w:rsidRDefault="00C2247D" w:rsidP="00F06FAF">
            <w:pPr>
              <w:ind w:left="360"/>
            </w:pPr>
            <w:r>
              <w:t>X(13-17)</w:t>
            </w:r>
          </w:p>
        </w:tc>
        <w:tc>
          <w:tcPr>
            <w:tcW w:w="2158" w:type="dxa"/>
          </w:tcPr>
          <w:p w14:paraId="32DA5ED8" w14:textId="77777777" w:rsidR="00F33A94" w:rsidRPr="000D5072" w:rsidRDefault="00F33A94" w:rsidP="00F06FAF">
            <w:pPr>
              <w:ind w:left="360"/>
            </w:pPr>
            <w:r>
              <w:t>X</w:t>
            </w:r>
            <w:r w:rsidR="00C2247D">
              <w:t>(3-17)</w:t>
            </w:r>
          </w:p>
        </w:tc>
      </w:tr>
      <w:tr w:rsidR="00F33A94" w:rsidRPr="000D5072" w14:paraId="134605C9" w14:textId="77777777" w:rsidTr="00F06FAF">
        <w:tc>
          <w:tcPr>
            <w:tcW w:w="4155" w:type="dxa"/>
          </w:tcPr>
          <w:p w14:paraId="74FB0D89" w14:textId="77777777" w:rsidR="00F33A94" w:rsidRPr="000D5072" w:rsidRDefault="00F33A94" w:rsidP="00F06FAF">
            <w:pPr>
              <w:ind w:left="360"/>
            </w:pPr>
            <w:r w:rsidRPr="000D5072">
              <w:t xml:space="preserve">Additional Audition Olfaction Taste </w:t>
            </w:r>
            <w:r w:rsidRPr="000D5072">
              <w:lastRenderedPageBreak/>
              <w:t>Questions</w:t>
            </w:r>
          </w:p>
        </w:tc>
        <w:tc>
          <w:tcPr>
            <w:tcW w:w="1656" w:type="dxa"/>
          </w:tcPr>
          <w:p w14:paraId="5E433C53" w14:textId="77777777" w:rsidR="00F33A94" w:rsidRPr="000D5072" w:rsidRDefault="00F33A94" w:rsidP="00F06FAF">
            <w:pPr>
              <w:ind w:left="360"/>
            </w:pPr>
            <w:r>
              <w:lastRenderedPageBreak/>
              <w:t>X</w:t>
            </w:r>
          </w:p>
        </w:tc>
        <w:tc>
          <w:tcPr>
            <w:tcW w:w="1607" w:type="dxa"/>
          </w:tcPr>
          <w:p w14:paraId="546E2A39" w14:textId="77777777" w:rsidR="00F33A94" w:rsidRPr="000D5072" w:rsidRDefault="006B4237" w:rsidP="00F06FAF">
            <w:pPr>
              <w:ind w:left="360"/>
            </w:pPr>
            <w:r>
              <w:t>X(10-17)</w:t>
            </w:r>
          </w:p>
        </w:tc>
        <w:tc>
          <w:tcPr>
            <w:tcW w:w="2158" w:type="dxa"/>
          </w:tcPr>
          <w:p w14:paraId="2156A008" w14:textId="77777777" w:rsidR="00F33A94" w:rsidRPr="000D5072" w:rsidRDefault="00F33A94" w:rsidP="00F06FAF">
            <w:pPr>
              <w:ind w:left="360"/>
            </w:pPr>
            <w:r>
              <w:t>X</w:t>
            </w:r>
            <w:r w:rsidR="006B4237">
              <w:t>(3-17)</w:t>
            </w:r>
          </w:p>
        </w:tc>
      </w:tr>
      <w:tr w:rsidR="00A53CA1" w:rsidRPr="000D5072" w:rsidDel="006B4237" w14:paraId="1971A5A7" w14:textId="77777777" w:rsidTr="00F06FAF">
        <w:tc>
          <w:tcPr>
            <w:tcW w:w="4155" w:type="dxa"/>
          </w:tcPr>
          <w:p w14:paraId="0058B050" w14:textId="77777777" w:rsidR="00A53CA1" w:rsidRPr="001F21D9" w:rsidDel="006B4237" w:rsidRDefault="00A53CA1" w:rsidP="00F06FAF">
            <w:pPr>
              <w:ind w:left="360"/>
            </w:pPr>
            <w:r>
              <w:lastRenderedPageBreak/>
              <w:t>Handedness Assessment</w:t>
            </w:r>
          </w:p>
        </w:tc>
        <w:tc>
          <w:tcPr>
            <w:tcW w:w="1656" w:type="dxa"/>
          </w:tcPr>
          <w:p w14:paraId="65709AB1" w14:textId="77777777" w:rsidR="00A53CA1" w:rsidDel="006B4237" w:rsidRDefault="00A53CA1" w:rsidP="00F06FAF">
            <w:pPr>
              <w:ind w:left="360"/>
            </w:pPr>
            <w:r>
              <w:t>X</w:t>
            </w:r>
          </w:p>
        </w:tc>
        <w:tc>
          <w:tcPr>
            <w:tcW w:w="1607" w:type="dxa"/>
          </w:tcPr>
          <w:p w14:paraId="2BEB69E5" w14:textId="77777777" w:rsidR="00A53CA1" w:rsidDel="006B4237" w:rsidRDefault="00A53CA1" w:rsidP="00EC7151">
            <w:pPr>
              <w:ind w:left="360"/>
            </w:pPr>
            <w:r>
              <w:t>X(3-17)</w:t>
            </w:r>
          </w:p>
        </w:tc>
        <w:tc>
          <w:tcPr>
            <w:tcW w:w="2158" w:type="dxa"/>
          </w:tcPr>
          <w:p w14:paraId="014A4625" w14:textId="77777777" w:rsidR="00A53CA1" w:rsidRPr="000D5072" w:rsidDel="006B4237" w:rsidRDefault="00A53CA1" w:rsidP="00F06FAF">
            <w:pPr>
              <w:ind w:left="360"/>
            </w:pPr>
            <w:r>
              <w:t>X(When needed)</w:t>
            </w:r>
          </w:p>
        </w:tc>
      </w:tr>
      <w:tr w:rsidR="00F33A94" w:rsidRPr="000D5072" w14:paraId="2DAF26E5" w14:textId="77777777" w:rsidTr="00F06FAF">
        <w:tc>
          <w:tcPr>
            <w:tcW w:w="4155" w:type="dxa"/>
          </w:tcPr>
          <w:p w14:paraId="37ECB197" w14:textId="77777777" w:rsidR="00F33A94" w:rsidRPr="000D5072" w:rsidRDefault="00F33A94" w:rsidP="00F06FAF">
            <w:pPr>
              <w:ind w:left="360"/>
            </w:pPr>
            <w:r w:rsidRPr="000D5072">
              <w:t>Cognition Information Form</w:t>
            </w:r>
          </w:p>
        </w:tc>
        <w:tc>
          <w:tcPr>
            <w:tcW w:w="1656" w:type="dxa"/>
          </w:tcPr>
          <w:p w14:paraId="0E65BC7F" w14:textId="77777777" w:rsidR="00F33A94" w:rsidRPr="000D5072" w:rsidRDefault="00F33A94" w:rsidP="00F06FAF">
            <w:pPr>
              <w:ind w:left="360"/>
            </w:pPr>
            <w:r>
              <w:t>X</w:t>
            </w:r>
          </w:p>
        </w:tc>
        <w:tc>
          <w:tcPr>
            <w:tcW w:w="1607" w:type="dxa"/>
          </w:tcPr>
          <w:p w14:paraId="6FFD0CA1" w14:textId="77777777" w:rsidR="00F33A94" w:rsidRPr="000D5072" w:rsidRDefault="00F33A94" w:rsidP="00F06FAF">
            <w:pPr>
              <w:ind w:left="360"/>
            </w:pPr>
          </w:p>
        </w:tc>
        <w:tc>
          <w:tcPr>
            <w:tcW w:w="2158" w:type="dxa"/>
          </w:tcPr>
          <w:p w14:paraId="59DA7B0A" w14:textId="77777777" w:rsidR="00F33A94" w:rsidRPr="000D5072" w:rsidRDefault="00F33A94" w:rsidP="00F06FAF">
            <w:pPr>
              <w:ind w:left="360"/>
            </w:pPr>
            <w:r>
              <w:t>X</w:t>
            </w:r>
            <w:r w:rsidR="006B4237">
              <w:t>(3-17)</w:t>
            </w:r>
          </w:p>
        </w:tc>
      </w:tr>
      <w:tr w:rsidR="00F33A94" w:rsidRPr="000D5072" w14:paraId="000BD082" w14:textId="77777777" w:rsidTr="00F06FAF">
        <w:tc>
          <w:tcPr>
            <w:tcW w:w="4155" w:type="dxa"/>
          </w:tcPr>
          <w:p w14:paraId="3373E720" w14:textId="77777777" w:rsidR="00F33A94" w:rsidRPr="000D5072" w:rsidRDefault="00F33A94" w:rsidP="00F06FAF">
            <w:pPr>
              <w:ind w:left="360"/>
            </w:pPr>
            <w:r w:rsidRPr="000D5072">
              <w:t>Health Care Access and Utilization</w:t>
            </w:r>
          </w:p>
        </w:tc>
        <w:tc>
          <w:tcPr>
            <w:tcW w:w="1656" w:type="dxa"/>
          </w:tcPr>
          <w:p w14:paraId="0076787E" w14:textId="77777777" w:rsidR="00F33A94" w:rsidRPr="000D5072" w:rsidRDefault="00F33A94" w:rsidP="00F06FAF">
            <w:pPr>
              <w:ind w:left="360"/>
            </w:pPr>
            <w:r>
              <w:t>X</w:t>
            </w:r>
          </w:p>
        </w:tc>
        <w:tc>
          <w:tcPr>
            <w:tcW w:w="1607" w:type="dxa"/>
          </w:tcPr>
          <w:p w14:paraId="5BF92049" w14:textId="77777777" w:rsidR="00F33A94" w:rsidRPr="000D5072" w:rsidRDefault="00F33A94" w:rsidP="00F06FAF">
            <w:pPr>
              <w:ind w:left="360"/>
            </w:pPr>
          </w:p>
        </w:tc>
        <w:tc>
          <w:tcPr>
            <w:tcW w:w="2158" w:type="dxa"/>
          </w:tcPr>
          <w:p w14:paraId="7F58784B" w14:textId="77777777" w:rsidR="00F33A94" w:rsidRPr="000D5072" w:rsidRDefault="00EC7151" w:rsidP="00F06FAF">
            <w:pPr>
              <w:ind w:left="360"/>
            </w:pPr>
            <w:r>
              <w:t>X</w:t>
            </w:r>
            <w:r w:rsidR="005E65EB">
              <w:t>(3-17)</w:t>
            </w:r>
          </w:p>
        </w:tc>
      </w:tr>
      <w:tr w:rsidR="00F33A94" w:rsidRPr="000D5072" w14:paraId="228DE41E" w14:textId="77777777" w:rsidTr="00F06FAF">
        <w:tc>
          <w:tcPr>
            <w:tcW w:w="4155" w:type="dxa"/>
          </w:tcPr>
          <w:p w14:paraId="604AB70F" w14:textId="77777777" w:rsidR="00F33A94" w:rsidRPr="000D5072" w:rsidRDefault="00F33A94" w:rsidP="00F06FAF">
            <w:pPr>
              <w:ind w:left="360"/>
            </w:pPr>
            <w:r w:rsidRPr="000D5072">
              <w:t>Instrumental Activities of Daily Living (IADLs) Adults</w:t>
            </w:r>
          </w:p>
        </w:tc>
        <w:tc>
          <w:tcPr>
            <w:tcW w:w="1656" w:type="dxa"/>
          </w:tcPr>
          <w:p w14:paraId="2D5D9E42" w14:textId="77777777" w:rsidR="00F33A94" w:rsidRPr="000D5072" w:rsidRDefault="00F33A94" w:rsidP="00F06FAF">
            <w:pPr>
              <w:ind w:left="360"/>
            </w:pPr>
            <w:r>
              <w:t>X</w:t>
            </w:r>
          </w:p>
        </w:tc>
        <w:tc>
          <w:tcPr>
            <w:tcW w:w="1607" w:type="dxa"/>
          </w:tcPr>
          <w:p w14:paraId="7B8D08FD" w14:textId="77777777" w:rsidR="00F33A94" w:rsidRPr="000D5072" w:rsidRDefault="00F33A94" w:rsidP="00F06FAF">
            <w:pPr>
              <w:ind w:left="360"/>
            </w:pPr>
          </w:p>
        </w:tc>
        <w:tc>
          <w:tcPr>
            <w:tcW w:w="2158" w:type="dxa"/>
          </w:tcPr>
          <w:p w14:paraId="6C9EC8E5" w14:textId="77777777" w:rsidR="00F33A94" w:rsidRPr="000D5072" w:rsidRDefault="00F33A94" w:rsidP="00F06FAF">
            <w:pPr>
              <w:ind w:left="360"/>
            </w:pPr>
          </w:p>
        </w:tc>
      </w:tr>
      <w:tr w:rsidR="00F33A94" w:rsidRPr="000D5072" w14:paraId="7AC98164" w14:textId="77777777" w:rsidTr="00F06FAF">
        <w:tc>
          <w:tcPr>
            <w:tcW w:w="4155" w:type="dxa"/>
          </w:tcPr>
          <w:p w14:paraId="38750E2B" w14:textId="77777777" w:rsidR="00F33A94" w:rsidRPr="000D5072" w:rsidRDefault="00F33A94" w:rsidP="00F06FAF">
            <w:pPr>
              <w:ind w:left="360"/>
            </w:pPr>
            <w:r w:rsidRPr="000D5072">
              <w:t>Occupation</w:t>
            </w:r>
          </w:p>
        </w:tc>
        <w:tc>
          <w:tcPr>
            <w:tcW w:w="1656" w:type="dxa"/>
          </w:tcPr>
          <w:p w14:paraId="7DAD5518" w14:textId="77777777" w:rsidR="00F33A94" w:rsidRPr="000D5072" w:rsidRDefault="00F33A94" w:rsidP="00F06FAF">
            <w:pPr>
              <w:ind w:left="360"/>
            </w:pPr>
            <w:r>
              <w:t>X</w:t>
            </w:r>
          </w:p>
        </w:tc>
        <w:tc>
          <w:tcPr>
            <w:tcW w:w="1607" w:type="dxa"/>
          </w:tcPr>
          <w:p w14:paraId="7DA672E0" w14:textId="77777777" w:rsidR="00F33A94" w:rsidRPr="000D5072" w:rsidRDefault="00F33A94" w:rsidP="00F06FAF">
            <w:pPr>
              <w:ind w:left="360"/>
            </w:pPr>
          </w:p>
        </w:tc>
        <w:tc>
          <w:tcPr>
            <w:tcW w:w="2158" w:type="dxa"/>
          </w:tcPr>
          <w:p w14:paraId="7591F0A3" w14:textId="77777777" w:rsidR="00F33A94" w:rsidRPr="000D5072" w:rsidRDefault="00F33A94" w:rsidP="00F06FAF">
            <w:pPr>
              <w:ind w:left="360"/>
            </w:pPr>
          </w:p>
        </w:tc>
      </w:tr>
      <w:tr w:rsidR="00F33A94" w:rsidRPr="000D5072" w14:paraId="07DEADA1" w14:textId="77777777" w:rsidTr="00F06FAF">
        <w:tc>
          <w:tcPr>
            <w:tcW w:w="4155" w:type="dxa"/>
          </w:tcPr>
          <w:p w14:paraId="1F75D3FD" w14:textId="77777777" w:rsidR="00F33A94" w:rsidRPr="000D5072" w:rsidRDefault="005E65EB" w:rsidP="00F06FAF">
            <w:pPr>
              <w:ind w:left="360"/>
            </w:pPr>
            <w:r>
              <w:t>Applied Cognition</w:t>
            </w:r>
            <w:r w:rsidR="00F33A94" w:rsidRPr="000D5072">
              <w:t xml:space="preserve"> Adult</w:t>
            </w:r>
          </w:p>
        </w:tc>
        <w:tc>
          <w:tcPr>
            <w:tcW w:w="1656" w:type="dxa"/>
          </w:tcPr>
          <w:p w14:paraId="065251BA" w14:textId="77777777" w:rsidR="00F33A94" w:rsidRPr="000D5072" w:rsidRDefault="00F33A94" w:rsidP="00F06FAF">
            <w:pPr>
              <w:ind w:left="360"/>
            </w:pPr>
            <w:r>
              <w:t>X</w:t>
            </w:r>
          </w:p>
        </w:tc>
        <w:tc>
          <w:tcPr>
            <w:tcW w:w="1607" w:type="dxa"/>
          </w:tcPr>
          <w:p w14:paraId="1F16049E" w14:textId="77777777" w:rsidR="00F33A94" w:rsidRPr="000D5072" w:rsidRDefault="00F33A94" w:rsidP="00F06FAF">
            <w:pPr>
              <w:ind w:left="360"/>
            </w:pPr>
          </w:p>
        </w:tc>
        <w:tc>
          <w:tcPr>
            <w:tcW w:w="2158" w:type="dxa"/>
          </w:tcPr>
          <w:p w14:paraId="2ABBF625" w14:textId="77777777" w:rsidR="00F33A94" w:rsidRPr="000D5072" w:rsidRDefault="00F33A94" w:rsidP="00F06FAF">
            <w:pPr>
              <w:ind w:left="360"/>
            </w:pPr>
          </w:p>
        </w:tc>
      </w:tr>
      <w:tr w:rsidR="00F33A94" w:rsidRPr="000D5072" w14:paraId="057E16B4" w14:textId="77777777" w:rsidTr="00F06FAF">
        <w:tc>
          <w:tcPr>
            <w:tcW w:w="4155" w:type="dxa"/>
          </w:tcPr>
          <w:p w14:paraId="04B7B835" w14:textId="77777777" w:rsidR="00F33A94" w:rsidRPr="002E1648" w:rsidRDefault="00F33A94" w:rsidP="00F06FAF">
            <w:pPr>
              <w:ind w:left="360"/>
            </w:pPr>
            <w:r w:rsidRPr="002E1648">
              <w:t>Pediatric Perceived Cognitive Function (PCF) Child</w:t>
            </w:r>
          </w:p>
        </w:tc>
        <w:tc>
          <w:tcPr>
            <w:tcW w:w="1656" w:type="dxa"/>
          </w:tcPr>
          <w:p w14:paraId="17227E02" w14:textId="77777777" w:rsidR="00F33A94" w:rsidRPr="000D5072" w:rsidRDefault="00F33A94" w:rsidP="00F06FAF">
            <w:pPr>
              <w:ind w:left="360"/>
            </w:pPr>
          </w:p>
        </w:tc>
        <w:tc>
          <w:tcPr>
            <w:tcW w:w="1607" w:type="dxa"/>
          </w:tcPr>
          <w:p w14:paraId="2148C169" w14:textId="77777777" w:rsidR="00F33A94" w:rsidRPr="000D5072" w:rsidRDefault="00F33A94" w:rsidP="005E65EB">
            <w:pPr>
              <w:ind w:left="360"/>
            </w:pPr>
            <w:r>
              <w:t>X (</w:t>
            </w:r>
            <w:r w:rsidR="005E65EB">
              <w:t>8</w:t>
            </w:r>
            <w:r>
              <w:t>-17)</w:t>
            </w:r>
          </w:p>
        </w:tc>
        <w:tc>
          <w:tcPr>
            <w:tcW w:w="2158" w:type="dxa"/>
          </w:tcPr>
          <w:p w14:paraId="7F3092D6" w14:textId="77777777" w:rsidR="00F33A94" w:rsidRPr="000D5072" w:rsidRDefault="005E65EB" w:rsidP="00F06FAF">
            <w:pPr>
              <w:ind w:left="360"/>
            </w:pPr>
            <w:r>
              <w:t>X(8-17)</w:t>
            </w:r>
          </w:p>
        </w:tc>
      </w:tr>
      <w:tr w:rsidR="00F33A94" w:rsidRPr="000D5072" w14:paraId="3AC817F6" w14:textId="77777777" w:rsidTr="00F06FAF">
        <w:tc>
          <w:tcPr>
            <w:tcW w:w="4155" w:type="dxa"/>
          </w:tcPr>
          <w:p w14:paraId="5139ADB7" w14:textId="77777777" w:rsidR="00F33A94" w:rsidRPr="000D5072" w:rsidRDefault="00F33A94" w:rsidP="00F06FAF">
            <w:pPr>
              <w:ind w:left="360"/>
            </w:pPr>
            <w:r w:rsidRPr="000D5072">
              <w:t>Pediatric PROMIS Physical Function Upper Extremity</w:t>
            </w:r>
          </w:p>
        </w:tc>
        <w:tc>
          <w:tcPr>
            <w:tcW w:w="1656" w:type="dxa"/>
          </w:tcPr>
          <w:p w14:paraId="2CCA1368" w14:textId="77777777" w:rsidR="00F33A94" w:rsidRPr="000D5072" w:rsidRDefault="00F33A94" w:rsidP="00F06FAF">
            <w:pPr>
              <w:ind w:left="360"/>
            </w:pPr>
          </w:p>
        </w:tc>
        <w:tc>
          <w:tcPr>
            <w:tcW w:w="1607" w:type="dxa"/>
          </w:tcPr>
          <w:p w14:paraId="5F575306" w14:textId="77777777" w:rsidR="00F33A94" w:rsidRPr="000D5072" w:rsidRDefault="00F33A94" w:rsidP="00F06FAF">
            <w:pPr>
              <w:ind w:left="360"/>
            </w:pPr>
            <w:r>
              <w:t>X (8-17)</w:t>
            </w:r>
          </w:p>
        </w:tc>
        <w:tc>
          <w:tcPr>
            <w:tcW w:w="2158" w:type="dxa"/>
          </w:tcPr>
          <w:p w14:paraId="3418E9A4" w14:textId="77777777" w:rsidR="00F33A94" w:rsidRPr="000D5072" w:rsidRDefault="00F33A94" w:rsidP="00F06FAF">
            <w:pPr>
              <w:ind w:left="360"/>
            </w:pPr>
          </w:p>
        </w:tc>
      </w:tr>
      <w:tr w:rsidR="00F33A94" w:rsidRPr="000D5072" w14:paraId="5364ED37" w14:textId="77777777" w:rsidTr="00F06FAF">
        <w:tc>
          <w:tcPr>
            <w:tcW w:w="4155" w:type="dxa"/>
          </w:tcPr>
          <w:p w14:paraId="294C1AF9" w14:textId="77777777" w:rsidR="00F33A94" w:rsidRPr="000D5072" w:rsidRDefault="00F33A94" w:rsidP="00F06FAF">
            <w:pPr>
              <w:ind w:left="360"/>
            </w:pPr>
            <w:r w:rsidRPr="000D5072">
              <w:t>Pediatric PROMIS Physical Function Mobility</w:t>
            </w:r>
          </w:p>
        </w:tc>
        <w:tc>
          <w:tcPr>
            <w:tcW w:w="1656" w:type="dxa"/>
          </w:tcPr>
          <w:p w14:paraId="67B39DCB" w14:textId="77777777" w:rsidR="00F33A94" w:rsidRPr="000D5072" w:rsidRDefault="00F33A94" w:rsidP="00F06FAF">
            <w:pPr>
              <w:ind w:left="360"/>
            </w:pPr>
          </w:p>
        </w:tc>
        <w:tc>
          <w:tcPr>
            <w:tcW w:w="1607" w:type="dxa"/>
          </w:tcPr>
          <w:p w14:paraId="70B95EB1" w14:textId="77777777" w:rsidR="00F33A94" w:rsidRPr="000D5072" w:rsidRDefault="00F33A94" w:rsidP="00F06FAF">
            <w:pPr>
              <w:ind w:left="360"/>
            </w:pPr>
            <w:r>
              <w:t>X (8-17)</w:t>
            </w:r>
          </w:p>
        </w:tc>
        <w:tc>
          <w:tcPr>
            <w:tcW w:w="2158" w:type="dxa"/>
          </w:tcPr>
          <w:p w14:paraId="1272A65D" w14:textId="77777777" w:rsidR="00F33A94" w:rsidRPr="000D5072" w:rsidRDefault="00F33A94" w:rsidP="00F06FAF">
            <w:pPr>
              <w:ind w:left="360"/>
            </w:pPr>
          </w:p>
        </w:tc>
      </w:tr>
      <w:tr w:rsidR="00F33A94" w:rsidRPr="000D5072" w14:paraId="6BF46715" w14:textId="77777777" w:rsidTr="00F06FAF">
        <w:tc>
          <w:tcPr>
            <w:tcW w:w="4155" w:type="dxa"/>
          </w:tcPr>
          <w:p w14:paraId="61ED2FFE" w14:textId="77777777" w:rsidR="00F33A94" w:rsidRPr="000D5072" w:rsidRDefault="00F33A94" w:rsidP="00F06FAF">
            <w:pPr>
              <w:ind w:left="360"/>
            </w:pPr>
            <w:r w:rsidRPr="000D5072">
              <w:t>Pediatric Functional Assessment of Chronic Illness Therapy Fatigue (FACIT-F)</w:t>
            </w:r>
          </w:p>
        </w:tc>
        <w:tc>
          <w:tcPr>
            <w:tcW w:w="1656" w:type="dxa"/>
          </w:tcPr>
          <w:p w14:paraId="63571B62" w14:textId="77777777" w:rsidR="00F33A94" w:rsidRPr="000D5072" w:rsidRDefault="00F33A94" w:rsidP="00F06FAF">
            <w:pPr>
              <w:ind w:left="360"/>
            </w:pPr>
          </w:p>
        </w:tc>
        <w:tc>
          <w:tcPr>
            <w:tcW w:w="1607" w:type="dxa"/>
          </w:tcPr>
          <w:p w14:paraId="1FC25EF6" w14:textId="77777777" w:rsidR="00F33A94" w:rsidRPr="000D5072" w:rsidRDefault="00F33A94" w:rsidP="005E65EB">
            <w:pPr>
              <w:ind w:left="360"/>
            </w:pPr>
            <w:r>
              <w:t>X (</w:t>
            </w:r>
            <w:r w:rsidR="005E65EB">
              <w:t>8</w:t>
            </w:r>
            <w:r>
              <w:t>-17)</w:t>
            </w:r>
          </w:p>
        </w:tc>
        <w:tc>
          <w:tcPr>
            <w:tcW w:w="2158" w:type="dxa"/>
          </w:tcPr>
          <w:p w14:paraId="7EC1CD78" w14:textId="77777777" w:rsidR="00F33A94" w:rsidRPr="000D5072" w:rsidRDefault="00F33A94" w:rsidP="005E65EB">
            <w:pPr>
              <w:ind w:left="360"/>
            </w:pPr>
            <w:r>
              <w:t>X (</w:t>
            </w:r>
            <w:r w:rsidR="005E65EB">
              <w:t>8-17</w:t>
            </w:r>
            <w:r>
              <w:t>)</w:t>
            </w:r>
          </w:p>
        </w:tc>
      </w:tr>
      <w:tr w:rsidR="00F33A94" w:rsidRPr="000D5072" w14:paraId="454C6230" w14:textId="77777777" w:rsidTr="00F06FAF">
        <w:tc>
          <w:tcPr>
            <w:tcW w:w="4155" w:type="dxa"/>
          </w:tcPr>
          <w:p w14:paraId="1A237F73" w14:textId="77777777" w:rsidR="00F33A94" w:rsidRPr="000D5072" w:rsidRDefault="00F33A94" w:rsidP="00F06FAF">
            <w:pPr>
              <w:ind w:left="360"/>
            </w:pPr>
            <w:r w:rsidRPr="000D5072">
              <w:t>PROMIS 29 Participant</w:t>
            </w:r>
          </w:p>
        </w:tc>
        <w:tc>
          <w:tcPr>
            <w:tcW w:w="1656" w:type="dxa"/>
          </w:tcPr>
          <w:p w14:paraId="5EDD2B21" w14:textId="77777777" w:rsidR="00F33A94" w:rsidRPr="000D5072" w:rsidRDefault="00F33A94" w:rsidP="00F06FAF">
            <w:pPr>
              <w:ind w:left="360"/>
            </w:pPr>
            <w:r>
              <w:t>X</w:t>
            </w:r>
          </w:p>
        </w:tc>
        <w:tc>
          <w:tcPr>
            <w:tcW w:w="1607" w:type="dxa"/>
          </w:tcPr>
          <w:p w14:paraId="65CC6E59" w14:textId="77777777" w:rsidR="00F33A94" w:rsidRPr="000D5072" w:rsidRDefault="00EC7151" w:rsidP="00F06FAF">
            <w:pPr>
              <w:ind w:left="360"/>
            </w:pPr>
            <w:r>
              <w:t>X (13-17)</w:t>
            </w:r>
          </w:p>
        </w:tc>
        <w:tc>
          <w:tcPr>
            <w:tcW w:w="2158" w:type="dxa"/>
          </w:tcPr>
          <w:p w14:paraId="6EB2329B" w14:textId="77777777" w:rsidR="00F33A94" w:rsidRPr="000D5072" w:rsidRDefault="00F33A94" w:rsidP="00F06FAF">
            <w:pPr>
              <w:ind w:left="360"/>
            </w:pPr>
          </w:p>
        </w:tc>
      </w:tr>
      <w:tr w:rsidR="00F33A94" w:rsidRPr="000D5072" w14:paraId="6E8D1C2E" w14:textId="77777777" w:rsidTr="00F06FAF">
        <w:tc>
          <w:tcPr>
            <w:tcW w:w="4155" w:type="dxa"/>
          </w:tcPr>
          <w:p w14:paraId="1E5FAB46" w14:textId="77777777" w:rsidR="00F33A94" w:rsidRPr="000D5072" w:rsidRDefault="00F33A94" w:rsidP="00F06FAF">
            <w:pPr>
              <w:ind w:left="360"/>
            </w:pPr>
            <w:r w:rsidRPr="000D5072">
              <w:t>Safety, Disability, Medical Condition and Miscellaneous Questions</w:t>
            </w:r>
          </w:p>
        </w:tc>
        <w:tc>
          <w:tcPr>
            <w:tcW w:w="1656" w:type="dxa"/>
          </w:tcPr>
          <w:p w14:paraId="573A5C1E" w14:textId="77777777" w:rsidR="00F33A94" w:rsidRPr="000D5072" w:rsidRDefault="00F33A94" w:rsidP="00F06FAF">
            <w:pPr>
              <w:ind w:left="360"/>
            </w:pPr>
            <w:r>
              <w:t>X</w:t>
            </w:r>
          </w:p>
        </w:tc>
        <w:tc>
          <w:tcPr>
            <w:tcW w:w="1607" w:type="dxa"/>
          </w:tcPr>
          <w:p w14:paraId="74ECD3DF" w14:textId="77777777" w:rsidR="00F33A94" w:rsidRPr="000D5072" w:rsidRDefault="00F33A94" w:rsidP="00F06FAF">
            <w:pPr>
              <w:ind w:left="360"/>
            </w:pPr>
          </w:p>
        </w:tc>
        <w:tc>
          <w:tcPr>
            <w:tcW w:w="2158" w:type="dxa"/>
          </w:tcPr>
          <w:p w14:paraId="3C88FE35" w14:textId="77777777" w:rsidR="00F33A94" w:rsidRPr="000D5072" w:rsidRDefault="00F33A94" w:rsidP="00F06FAF">
            <w:pPr>
              <w:ind w:left="360"/>
            </w:pPr>
            <w:r>
              <w:t>X</w:t>
            </w:r>
            <w:r w:rsidR="005E65EB">
              <w:t>(3-17)</w:t>
            </w:r>
          </w:p>
        </w:tc>
      </w:tr>
      <w:tr w:rsidR="00F33A94" w:rsidRPr="000D5072" w14:paraId="6689B6C8" w14:textId="77777777" w:rsidTr="00F06FAF">
        <w:tc>
          <w:tcPr>
            <w:tcW w:w="4155" w:type="dxa"/>
          </w:tcPr>
          <w:p w14:paraId="367F0440" w14:textId="77777777" w:rsidR="00F33A94" w:rsidRPr="000D5072" w:rsidRDefault="00F33A94" w:rsidP="00F06FAF">
            <w:pPr>
              <w:ind w:left="360"/>
            </w:pPr>
            <w:r w:rsidRPr="001F21D9">
              <w:t>School Performance and Activities</w:t>
            </w:r>
          </w:p>
        </w:tc>
        <w:tc>
          <w:tcPr>
            <w:tcW w:w="1656" w:type="dxa"/>
          </w:tcPr>
          <w:p w14:paraId="41D2E8B0" w14:textId="77777777" w:rsidR="00F33A94" w:rsidRPr="000D5072" w:rsidRDefault="00F33A94" w:rsidP="00F06FAF">
            <w:pPr>
              <w:ind w:left="360"/>
            </w:pPr>
          </w:p>
        </w:tc>
        <w:tc>
          <w:tcPr>
            <w:tcW w:w="1607" w:type="dxa"/>
          </w:tcPr>
          <w:p w14:paraId="53356ED2" w14:textId="77777777" w:rsidR="00F33A94" w:rsidRPr="000D5072" w:rsidRDefault="00EC7151" w:rsidP="00F06FAF">
            <w:pPr>
              <w:ind w:left="360"/>
            </w:pPr>
            <w:r>
              <w:t>X (13-17)</w:t>
            </w:r>
          </w:p>
        </w:tc>
        <w:tc>
          <w:tcPr>
            <w:tcW w:w="2158" w:type="dxa"/>
          </w:tcPr>
          <w:p w14:paraId="43E941AF" w14:textId="77777777" w:rsidR="00F33A94" w:rsidRPr="000D5072" w:rsidRDefault="00F33A94" w:rsidP="00F06FAF">
            <w:pPr>
              <w:ind w:left="360"/>
            </w:pPr>
            <w:r>
              <w:t>X (3-17)</w:t>
            </w:r>
          </w:p>
        </w:tc>
      </w:tr>
      <w:tr w:rsidR="00481241" w:rsidRPr="000D5072" w14:paraId="4462562F" w14:textId="77777777" w:rsidTr="00F06FAF">
        <w:tc>
          <w:tcPr>
            <w:tcW w:w="4155" w:type="dxa"/>
          </w:tcPr>
          <w:p w14:paraId="4C35F930" w14:textId="77777777" w:rsidR="00481241" w:rsidRDefault="00481241" w:rsidP="00A53CA1">
            <w:pPr>
              <w:ind w:left="360"/>
            </w:pPr>
            <w:r>
              <w:t>Alcohol Use Questions</w:t>
            </w:r>
          </w:p>
        </w:tc>
        <w:tc>
          <w:tcPr>
            <w:tcW w:w="1656" w:type="dxa"/>
          </w:tcPr>
          <w:p w14:paraId="4DA57ACE" w14:textId="77777777" w:rsidR="00481241" w:rsidRDefault="00481241" w:rsidP="00F06FAF">
            <w:pPr>
              <w:ind w:left="360"/>
            </w:pPr>
            <w:r>
              <w:t>X</w:t>
            </w:r>
          </w:p>
        </w:tc>
        <w:tc>
          <w:tcPr>
            <w:tcW w:w="1607" w:type="dxa"/>
          </w:tcPr>
          <w:p w14:paraId="60651EE7" w14:textId="77777777" w:rsidR="00481241" w:rsidRPr="000D5072" w:rsidRDefault="00481241" w:rsidP="00F06FAF">
            <w:pPr>
              <w:ind w:left="360"/>
            </w:pPr>
            <w:r>
              <w:t>X(13-17)</w:t>
            </w:r>
          </w:p>
        </w:tc>
        <w:tc>
          <w:tcPr>
            <w:tcW w:w="2158" w:type="dxa"/>
          </w:tcPr>
          <w:p w14:paraId="225F7D9B" w14:textId="77777777" w:rsidR="00481241" w:rsidRDefault="00481241" w:rsidP="00F06FAF">
            <w:pPr>
              <w:ind w:left="360"/>
            </w:pPr>
          </w:p>
        </w:tc>
      </w:tr>
      <w:tr w:rsidR="00481241" w:rsidRPr="000D5072" w14:paraId="268DD1D6" w14:textId="77777777" w:rsidTr="00F06FAF">
        <w:tc>
          <w:tcPr>
            <w:tcW w:w="4155" w:type="dxa"/>
          </w:tcPr>
          <w:p w14:paraId="0B912FBB" w14:textId="77777777" w:rsidR="00481241" w:rsidRDefault="00481241" w:rsidP="00A53CA1">
            <w:pPr>
              <w:ind w:left="360"/>
            </w:pPr>
            <w:r>
              <w:t>Education Questions</w:t>
            </w:r>
          </w:p>
        </w:tc>
        <w:tc>
          <w:tcPr>
            <w:tcW w:w="1656" w:type="dxa"/>
          </w:tcPr>
          <w:p w14:paraId="5BE0C690" w14:textId="77777777" w:rsidR="00481241" w:rsidRDefault="00481241" w:rsidP="00F06FAF">
            <w:pPr>
              <w:ind w:left="360"/>
            </w:pPr>
            <w:r>
              <w:t>X</w:t>
            </w:r>
          </w:p>
        </w:tc>
        <w:tc>
          <w:tcPr>
            <w:tcW w:w="1607" w:type="dxa"/>
          </w:tcPr>
          <w:p w14:paraId="592E73E7" w14:textId="77777777" w:rsidR="00481241" w:rsidRPr="000D5072" w:rsidRDefault="00481241" w:rsidP="00F06FAF">
            <w:pPr>
              <w:ind w:left="360"/>
            </w:pPr>
          </w:p>
        </w:tc>
        <w:tc>
          <w:tcPr>
            <w:tcW w:w="2158" w:type="dxa"/>
          </w:tcPr>
          <w:p w14:paraId="66214CD7" w14:textId="77777777" w:rsidR="00481241" w:rsidRDefault="00481241" w:rsidP="00F06FAF">
            <w:pPr>
              <w:ind w:left="360"/>
            </w:pPr>
            <w:r>
              <w:t>X (3-17)</w:t>
            </w:r>
          </w:p>
        </w:tc>
      </w:tr>
      <w:tr w:rsidR="00F33A94" w:rsidRPr="000D5072" w14:paraId="3E16E63B" w14:textId="77777777" w:rsidTr="00F06FAF">
        <w:tc>
          <w:tcPr>
            <w:tcW w:w="4155" w:type="dxa"/>
          </w:tcPr>
          <w:p w14:paraId="29B7D0A4" w14:textId="77777777" w:rsidR="00F33A94" w:rsidRPr="000D5072" w:rsidRDefault="00AE5723" w:rsidP="00A53CA1">
            <w:pPr>
              <w:ind w:left="360"/>
            </w:pPr>
            <w:proofErr w:type="spellStart"/>
            <w:r>
              <w:t>Sociodemographic</w:t>
            </w:r>
            <w:proofErr w:type="spellEnd"/>
            <w:r w:rsidR="00F33A94" w:rsidRPr="000D5072">
              <w:t xml:space="preserve"> Form, </w:t>
            </w:r>
          </w:p>
        </w:tc>
        <w:tc>
          <w:tcPr>
            <w:tcW w:w="1656" w:type="dxa"/>
          </w:tcPr>
          <w:p w14:paraId="0BCBEB83" w14:textId="77777777" w:rsidR="00F33A94" w:rsidRDefault="00F33A94" w:rsidP="00F06FAF">
            <w:pPr>
              <w:ind w:left="360"/>
            </w:pPr>
            <w:r>
              <w:t>X</w:t>
            </w:r>
          </w:p>
        </w:tc>
        <w:tc>
          <w:tcPr>
            <w:tcW w:w="1607" w:type="dxa"/>
          </w:tcPr>
          <w:p w14:paraId="2916C274" w14:textId="77777777" w:rsidR="00F33A94" w:rsidRPr="000D5072" w:rsidRDefault="00F33A94" w:rsidP="00F06FAF">
            <w:pPr>
              <w:ind w:left="360"/>
            </w:pPr>
          </w:p>
        </w:tc>
        <w:tc>
          <w:tcPr>
            <w:tcW w:w="2158" w:type="dxa"/>
          </w:tcPr>
          <w:p w14:paraId="692EA904" w14:textId="77777777" w:rsidR="00F33A94" w:rsidRDefault="00A53CA1" w:rsidP="00F06FAF">
            <w:pPr>
              <w:ind w:left="360"/>
            </w:pPr>
            <w:r>
              <w:t>X(3-17)</w:t>
            </w:r>
          </w:p>
        </w:tc>
      </w:tr>
      <w:tr w:rsidR="00F33A94" w:rsidRPr="000D5072" w14:paraId="479FE309" w14:textId="77777777" w:rsidTr="00F06FAF">
        <w:tc>
          <w:tcPr>
            <w:tcW w:w="4155" w:type="dxa"/>
          </w:tcPr>
          <w:p w14:paraId="0F8B2EDE" w14:textId="77777777" w:rsidR="00F33A94" w:rsidRPr="000D5072" w:rsidRDefault="00F33A94" w:rsidP="00A53CA1">
            <w:pPr>
              <w:ind w:left="360"/>
            </w:pPr>
            <w:r w:rsidRPr="000D5072">
              <w:t xml:space="preserve">Toolbox Language Screener </w:t>
            </w:r>
          </w:p>
        </w:tc>
        <w:tc>
          <w:tcPr>
            <w:tcW w:w="1656" w:type="dxa"/>
          </w:tcPr>
          <w:p w14:paraId="6991AE6C" w14:textId="77777777" w:rsidR="00F33A94" w:rsidRPr="000D5072" w:rsidRDefault="00F33A94" w:rsidP="00F06FAF">
            <w:pPr>
              <w:ind w:left="360"/>
            </w:pPr>
            <w:r>
              <w:t>X</w:t>
            </w:r>
          </w:p>
        </w:tc>
        <w:tc>
          <w:tcPr>
            <w:tcW w:w="1607" w:type="dxa"/>
          </w:tcPr>
          <w:p w14:paraId="14DD52C8" w14:textId="77777777" w:rsidR="00F33A94" w:rsidRPr="000D5072" w:rsidRDefault="00A53CA1" w:rsidP="00F06FAF">
            <w:pPr>
              <w:ind w:left="360"/>
            </w:pPr>
            <w:r>
              <w:t>X (8-17)</w:t>
            </w:r>
          </w:p>
        </w:tc>
        <w:tc>
          <w:tcPr>
            <w:tcW w:w="2158" w:type="dxa"/>
          </w:tcPr>
          <w:p w14:paraId="09BD8B91" w14:textId="77777777" w:rsidR="00F33A94" w:rsidRPr="000D5072" w:rsidRDefault="00A53CA1" w:rsidP="00F06FAF">
            <w:pPr>
              <w:ind w:left="360"/>
            </w:pPr>
            <w:r>
              <w:t>X (3-7)</w:t>
            </w:r>
          </w:p>
        </w:tc>
      </w:tr>
      <w:tr w:rsidR="00F33A94" w:rsidRPr="000D5072" w14:paraId="0827DDBF" w14:textId="77777777" w:rsidTr="00F06FAF">
        <w:tc>
          <w:tcPr>
            <w:tcW w:w="4155" w:type="dxa"/>
          </w:tcPr>
          <w:p w14:paraId="5BD5B44C" w14:textId="77777777" w:rsidR="00F33A94" w:rsidRPr="000D5072" w:rsidRDefault="00F33A94" w:rsidP="00F06FAF">
            <w:pPr>
              <w:ind w:left="360"/>
            </w:pPr>
            <w:r w:rsidRPr="000D5072">
              <w:t>Test Anxiety Scale (TAS)</w:t>
            </w:r>
          </w:p>
        </w:tc>
        <w:tc>
          <w:tcPr>
            <w:tcW w:w="1656" w:type="dxa"/>
          </w:tcPr>
          <w:p w14:paraId="3072B442" w14:textId="77777777" w:rsidR="00F33A94" w:rsidRPr="000D5072" w:rsidRDefault="00F33A94" w:rsidP="00F06FAF">
            <w:pPr>
              <w:ind w:left="360"/>
            </w:pPr>
            <w:r>
              <w:t>X</w:t>
            </w:r>
          </w:p>
        </w:tc>
        <w:tc>
          <w:tcPr>
            <w:tcW w:w="1607" w:type="dxa"/>
          </w:tcPr>
          <w:p w14:paraId="3B7A09FD" w14:textId="77777777" w:rsidR="00F33A94" w:rsidRPr="000D5072" w:rsidRDefault="00F33A94" w:rsidP="00F06FAF">
            <w:pPr>
              <w:ind w:left="360"/>
            </w:pPr>
            <w:r w:rsidRPr="00BC344F">
              <w:t>X</w:t>
            </w:r>
            <w:r>
              <w:t xml:space="preserve"> (</w:t>
            </w:r>
            <w:r w:rsidR="00EC7151">
              <w:t>13</w:t>
            </w:r>
            <w:r>
              <w:t>-17)</w:t>
            </w:r>
          </w:p>
        </w:tc>
        <w:tc>
          <w:tcPr>
            <w:tcW w:w="2158" w:type="dxa"/>
          </w:tcPr>
          <w:p w14:paraId="53DE09B9" w14:textId="77777777" w:rsidR="00F33A94" w:rsidRPr="000D5072" w:rsidRDefault="00F33A94" w:rsidP="00F06FAF">
            <w:pPr>
              <w:ind w:left="360"/>
            </w:pPr>
          </w:p>
        </w:tc>
      </w:tr>
      <w:tr w:rsidR="00F33A94" w:rsidRPr="000D5072" w14:paraId="7DB20EE4" w14:textId="77777777" w:rsidTr="00F06FAF">
        <w:tc>
          <w:tcPr>
            <w:tcW w:w="4155" w:type="dxa"/>
          </w:tcPr>
          <w:p w14:paraId="7C728C33" w14:textId="77777777" w:rsidR="00F33A94" w:rsidRPr="000D5072" w:rsidRDefault="00F33A94" w:rsidP="00F06FAF">
            <w:pPr>
              <w:ind w:left="360"/>
            </w:pPr>
            <w:r w:rsidRPr="000D5072">
              <w:t>Falls Efficacy Scale-International (Short FES-I)</w:t>
            </w:r>
          </w:p>
        </w:tc>
        <w:tc>
          <w:tcPr>
            <w:tcW w:w="1656" w:type="dxa"/>
          </w:tcPr>
          <w:p w14:paraId="517979FC" w14:textId="77777777" w:rsidR="00F33A94" w:rsidRPr="000D5072" w:rsidRDefault="00F33A94" w:rsidP="00F06FAF">
            <w:pPr>
              <w:ind w:left="360"/>
            </w:pPr>
            <w:r>
              <w:t>X</w:t>
            </w:r>
          </w:p>
        </w:tc>
        <w:tc>
          <w:tcPr>
            <w:tcW w:w="1607" w:type="dxa"/>
          </w:tcPr>
          <w:p w14:paraId="3C49A352" w14:textId="77777777" w:rsidR="00F33A94" w:rsidRPr="000D5072" w:rsidRDefault="00F33A94" w:rsidP="00F06FAF">
            <w:pPr>
              <w:ind w:left="360"/>
            </w:pPr>
          </w:p>
        </w:tc>
        <w:tc>
          <w:tcPr>
            <w:tcW w:w="2158" w:type="dxa"/>
          </w:tcPr>
          <w:p w14:paraId="700B5468" w14:textId="77777777" w:rsidR="00F33A94" w:rsidRPr="000D5072" w:rsidRDefault="00F33A94" w:rsidP="00F06FAF">
            <w:pPr>
              <w:ind w:left="360"/>
            </w:pPr>
          </w:p>
        </w:tc>
      </w:tr>
    </w:tbl>
    <w:p w14:paraId="32F23D6F" w14:textId="77777777" w:rsidR="00F33A94" w:rsidRDefault="00F33A94"/>
    <w:p w14:paraId="122BA7DD" w14:textId="77777777" w:rsidR="009C1C62" w:rsidRPr="009C1C62" w:rsidRDefault="009C1C62" w:rsidP="009C1C62">
      <w:pPr>
        <w:rPr>
          <w:sz w:val="22"/>
          <w:szCs w:val="22"/>
        </w:rPr>
      </w:pPr>
      <w:r w:rsidRPr="009C1C62">
        <w:rPr>
          <w:sz w:val="22"/>
          <w:szCs w:val="22"/>
          <w:vertAlign w:val="superscript"/>
        </w:rPr>
        <w:t>*</w:t>
      </w:r>
      <w:r w:rsidRPr="009C1C62">
        <w:rPr>
          <w:sz w:val="22"/>
          <w:szCs w:val="22"/>
        </w:rPr>
        <w:t>Note that if an adult participant is also serving as the proxy for a participating child, that adult’s burden will be the combination of those two columns.</w:t>
      </w:r>
    </w:p>
    <w:p w14:paraId="2FD38946" w14:textId="77777777" w:rsidR="00D77AB4" w:rsidRPr="008C0603" w:rsidRDefault="00D77AB4" w:rsidP="008C0603">
      <w:pPr>
        <w:pStyle w:val="Heading2"/>
      </w:pPr>
      <w:bookmarkStart w:id="58" w:name="_Toc248639046"/>
      <w:r w:rsidRPr="008C0603">
        <w:t>A.13</w:t>
      </w:r>
      <w:r w:rsidRPr="008C0603">
        <w:tab/>
        <w:t>Estimate of Other Total Annual Cost Burden to Respondents or Record Keepers</w:t>
      </w:r>
      <w:bookmarkEnd w:id="54"/>
      <w:bookmarkEnd w:id="55"/>
      <w:bookmarkEnd w:id="56"/>
      <w:bookmarkEnd w:id="57"/>
      <w:bookmarkEnd w:id="58"/>
    </w:p>
    <w:p w14:paraId="614620EA" w14:textId="77777777" w:rsidR="00D77AB4" w:rsidRPr="00CB349B" w:rsidRDefault="00D77AB4" w:rsidP="004C576D">
      <w:pPr>
        <w:pStyle w:val="StyleLinespacingDouble"/>
      </w:pPr>
      <w:r w:rsidRPr="00CB349B">
        <w:t>There are no costs to respondents other than their time to respond.  Therefore, respondents are not expected to incur any capital and start-up costs or system maintenance costs in responding. </w:t>
      </w:r>
    </w:p>
    <w:p w14:paraId="5A698CB8" w14:textId="77777777" w:rsidR="00D77AB4" w:rsidRPr="00D047FD" w:rsidRDefault="00D77AB4" w:rsidP="004347BB">
      <w:pPr>
        <w:pStyle w:val="Heading2"/>
        <w:rPr>
          <w:szCs w:val="24"/>
        </w:rPr>
      </w:pPr>
      <w:bookmarkStart w:id="59" w:name="_Toc443881757"/>
      <w:bookmarkStart w:id="60" w:name="_Toc451592244"/>
      <w:bookmarkStart w:id="61" w:name="_Toc5610285"/>
      <w:bookmarkStart w:id="62" w:name="_Toc99178791"/>
      <w:bookmarkStart w:id="63" w:name="_Toc248639047"/>
      <w:r w:rsidRPr="004347BB">
        <w:lastRenderedPageBreak/>
        <w:t>A.14</w:t>
      </w:r>
      <w:r w:rsidRPr="004347BB">
        <w:tab/>
      </w:r>
      <w:r w:rsidRPr="00D047FD">
        <w:rPr>
          <w:szCs w:val="24"/>
        </w:rPr>
        <w:t>Annualized Cost to the Federal Government</w:t>
      </w:r>
      <w:bookmarkEnd w:id="59"/>
      <w:bookmarkEnd w:id="60"/>
      <w:bookmarkEnd w:id="61"/>
      <w:bookmarkEnd w:id="62"/>
      <w:bookmarkEnd w:id="63"/>
      <w:r w:rsidRPr="00D047FD">
        <w:rPr>
          <w:szCs w:val="24"/>
        </w:rPr>
        <w:t xml:space="preserve">  </w:t>
      </w:r>
    </w:p>
    <w:p w14:paraId="1E485546" w14:textId="77777777" w:rsidR="00E668E9" w:rsidRDefault="00E668E9">
      <w:pPr>
        <w:pStyle w:val="P1-StandPara"/>
        <w:ind w:firstLine="0"/>
        <w:jc w:val="both"/>
        <w:rPr>
          <w:sz w:val="24"/>
          <w:szCs w:val="24"/>
        </w:rPr>
      </w:pPr>
      <w:r w:rsidRPr="00E668E9">
        <w:rPr>
          <w:sz w:val="24"/>
          <w:szCs w:val="24"/>
        </w:rPr>
        <w:t>The total cost of the entire Toolbox project is $</w:t>
      </w:r>
      <w:r w:rsidR="00D67D9D">
        <w:rPr>
          <w:sz w:val="24"/>
          <w:szCs w:val="24"/>
        </w:rPr>
        <w:t>25,185,667</w:t>
      </w:r>
      <w:r w:rsidRPr="00E668E9">
        <w:rPr>
          <w:sz w:val="24"/>
          <w:szCs w:val="24"/>
        </w:rPr>
        <w:t xml:space="preserve"> over 5 years, or approximately $</w:t>
      </w:r>
      <w:r w:rsidR="00D67D9D">
        <w:rPr>
          <w:sz w:val="24"/>
          <w:szCs w:val="24"/>
        </w:rPr>
        <w:t>5,062,318</w:t>
      </w:r>
      <w:r w:rsidRPr="00E668E9">
        <w:rPr>
          <w:sz w:val="24"/>
          <w:szCs w:val="24"/>
        </w:rPr>
        <w:t xml:space="preserve"> per year.  This includes all developmental phases of the project, </w:t>
      </w:r>
      <w:r w:rsidRPr="00E668E9">
        <w:rPr>
          <w:sz w:val="24"/>
          <w:szCs w:val="24"/>
          <w:u w:val="single"/>
        </w:rPr>
        <w:t>including this proposed data collection</w:t>
      </w:r>
      <w:r w:rsidRPr="00E668E9">
        <w:rPr>
          <w:sz w:val="24"/>
          <w:szCs w:val="24"/>
        </w:rPr>
        <w:t xml:space="preserve">, and the deliverable of the final instrument package, related software, and operating procedures manual.  The cost of this proposed one time data collection is </w:t>
      </w:r>
      <w:r w:rsidR="007A28A2" w:rsidRPr="00590A2E">
        <w:t>$2,360,980</w:t>
      </w:r>
      <w:r w:rsidRPr="00590A2E">
        <w:rPr>
          <w:sz w:val="24"/>
          <w:szCs w:val="24"/>
        </w:rPr>
        <w:t xml:space="preserve">, expected </w:t>
      </w:r>
      <w:r w:rsidRPr="00E668E9">
        <w:rPr>
          <w:sz w:val="24"/>
          <w:szCs w:val="24"/>
        </w:rPr>
        <w:t>to be completed within one year, and includes the costs of subject recruitment, all data collection and follow-up, compensation payments to subjects, and other miscellaneous costs such as supplies, postage,  and telecommunications.</w:t>
      </w:r>
    </w:p>
    <w:p w14:paraId="57FC1D85" w14:textId="77777777" w:rsidR="00D77AB4" w:rsidRPr="00D047FD" w:rsidRDefault="00D77AB4" w:rsidP="004347BB">
      <w:pPr>
        <w:pStyle w:val="Heading2"/>
        <w:rPr>
          <w:szCs w:val="24"/>
        </w:rPr>
      </w:pPr>
      <w:bookmarkStart w:id="64" w:name="_Toc443881758"/>
      <w:bookmarkStart w:id="65" w:name="_Toc451592245"/>
      <w:bookmarkStart w:id="66" w:name="_Toc5610286"/>
      <w:bookmarkStart w:id="67" w:name="_Toc99178792"/>
      <w:bookmarkStart w:id="68" w:name="_Toc248639048"/>
      <w:r w:rsidRPr="00D047FD">
        <w:rPr>
          <w:szCs w:val="24"/>
        </w:rPr>
        <w:t>A.15</w:t>
      </w:r>
      <w:r w:rsidRPr="00D047FD">
        <w:rPr>
          <w:szCs w:val="24"/>
        </w:rPr>
        <w:tab/>
        <w:t>Explanation for Program Changes or Adjustments</w:t>
      </w:r>
      <w:bookmarkEnd w:id="64"/>
      <w:bookmarkEnd w:id="65"/>
      <w:bookmarkEnd w:id="66"/>
      <w:bookmarkEnd w:id="67"/>
      <w:bookmarkEnd w:id="68"/>
    </w:p>
    <w:p w14:paraId="7E054EE7" w14:textId="77777777" w:rsidR="00D77AB4" w:rsidRPr="00CB349B" w:rsidRDefault="00D77AB4" w:rsidP="004C576D">
      <w:pPr>
        <w:pStyle w:val="StyleLinespacingDouble"/>
      </w:pPr>
      <w:bookmarkStart w:id="69" w:name="_Toc443881759"/>
      <w:bookmarkStart w:id="70" w:name="_Toc451592246"/>
      <w:bookmarkStart w:id="71" w:name="_Toc5610287"/>
      <w:bookmarkStart w:id="72" w:name="_Toc99178793"/>
      <w:r w:rsidRPr="00CB349B">
        <w:t xml:space="preserve">This is a new collection of information. </w:t>
      </w:r>
    </w:p>
    <w:p w14:paraId="2CB10116" w14:textId="77777777" w:rsidR="00D77AB4" w:rsidRPr="004347BB" w:rsidRDefault="00D77AB4" w:rsidP="004347BB">
      <w:pPr>
        <w:pStyle w:val="Heading2"/>
      </w:pPr>
      <w:bookmarkStart w:id="73" w:name="_Toc248639049"/>
      <w:r w:rsidRPr="004347BB">
        <w:t>A.16</w:t>
      </w:r>
      <w:r w:rsidRPr="004347BB">
        <w:tab/>
        <w:t>Plans for Tabulation and Publication and Project Time Schedule</w:t>
      </w:r>
      <w:bookmarkEnd w:id="69"/>
      <w:bookmarkEnd w:id="70"/>
      <w:bookmarkEnd w:id="71"/>
      <w:bookmarkEnd w:id="72"/>
      <w:bookmarkEnd w:id="73"/>
    </w:p>
    <w:p w14:paraId="1D836490" w14:textId="77777777" w:rsidR="00D77AB4" w:rsidRDefault="00D77AB4" w:rsidP="00C8789B">
      <w:pPr>
        <w:pStyle w:val="P1-StandPara"/>
        <w:spacing w:line="240" w:lineRule="auto"/>
        <w:ind w:firstLine="0"/>
      </w:pPr>
    </w:p>
    <w:tbl>
      <w:tblPr>
        <w:tblW w:w="0" w:type="auto"/>
        <w:jc w:val="center"/>
        <w:tblInd w:w="-1828" w:type="dxa"/>
        <w:tblLayout w:type="fixed"/>
        <w:tblCellMar>
          <w:left w:w="120" w:type="dxa"/>
          <w:right w:w="120" w:type="dxa"/>
        </w:tblCellMar>
        <w:tblLook w:val="04A0" w:firstRow="1" w:lastRow="0" w:firstColumn="1" w:lastColumn="0" w:noHBand="0" w:noVBand="1"/>
      </w:tblPr>
      <w:tblGrid>
        <w:gridCol w:w="5270"/>
        <w:gridCol w:w="3240"/>
      </w:tblGrid>
      <w:tr w:rsidR="00640B3E" w:rsidRPr="00CB349B" w14:paraId="58796B48" w14:textId="77777777" w:rsidTr="00382805">
        <w:trPr>
          <w:cantSplit/>
          <w:trHeight w:val="403"/>
          <w:jc w:val="center"/>
        </w:trPr>
        <w:tc>
          <w:tcPr>
            <w:tcW w:w="8510" w:type="dxa"/>
            <w:gridSpan w:val="2"/>
            <w:tcBorders>
              <w:top w:val="single" w:sz="24" w:space="0" w:color="auto"/>
              <w:left w:val="single" w:sz="24" w:space="0" w:color="auto"/>
              <w:bottom w:val="single" w:sz="6" w:space="0" w:color="auto"/>
              <w:right w:val="single" w:sz="24" w:space="0" w:color="auto"/>
            </w:tcBorders>
            <w:shd w:val="clear" w:color="auto" w:fill="E6E6E6"/>
            <w:vAlign w:val="center"/>
          </w:tcPr>
          <w:p w14:paraId="54B5AB4C" w14:textId="77777777" w:rsidR="00640B3E" w:rsidRPr="00CB349B" w:rsidRDefault="00640B3E" w:rsidP="00382805">
            <w:pPr>
              <w:jc w:val="center"/>
              <w:rPr>
                <w:sz w:val="22"/>
                <w:szCs w:val="22"/>
              </w:rPr>
            </w:pPr>
            <w:r w:rsidRPr="00894F42">
              <w:rPr>
                <w:b/>
                <w:sz w:val="22"/>
                <w:szCs w:val="22"/>
              </w:rPr>
              <w:t>A.16 – 1  Project Time Schedule</w:t>
            </w:r>
          </w:p>
        </w:tc>
      </w:tr>
      <w:tr w:rsidR="00640B3E" w:rsidRPr="00CB349B" w14:paraId="0494E9FF" w14:textId="77777777" w:rsidTr="00382805">
        <w:trPr>
          <w:cantSplit/>
          <w:trHeight w:val="403"/>
          <w:jc w:val="center"/>
        </w:trPr>
        <w:tc>
          <w:tcPr>
            <w:tcW w:w="5270" w:type="dxa"/>
            <w:tcBorders>
              <w:top w:val="single" w:sz="6" w:space="0" w:color="auto"/>
              <w:left w:val="single" w:sz="24" w:space="0" w:color="auto"/>
              <w:bottom w:val="single" w:sz="6" w:space="0" w:color="auto"/>
              <w:right w:val="nil"/>
            </w:tcBorders>
            <w:shd w:val="pct5" w:color="auto" w:fill="auto"/>
          </w:tcPr>
          <w:p w14:paraId="45159FD8" w14:textId="77777777" w:rsidR="00640B3E" w:rsidRPr="00CB349B" w:rsidRDefault="00640B3E" w:rsidP="00382805">
            <w:pPr>
              <w:rPr>
                <w:sz w:val="22"/>
                <w:szCs w:val="22"/>
              </w:rPr>
            </w:pPr>
            <w:r w:rsidRPr="00CB349B">
              <w:rPr>
                <w:b/>
                <w:sz w:val="22"/>
                <w:szCs w:val="22"/>
              </w:rPr>
              <w:tab/>
              <w:t>Activity</w:t>
            </w:r>
          </w:p>
        </w:tc>
        <w:tc>
          <w:tcPr>
            <w:tcW w:w="3240" w:type="dxa"/>
            <w:tcBorders>
              <w:top w:val="single" w:sz="6" w:space="0" w:color="auto"/>
              <w:left w:val="single" w:sz="6" w:space="0" w:color="auto"/>
              <w:bottom w:val="single" w:sz="6" w:space="0" w:color="auto"/>
              <w:right w:val="single" w:sz="24" w:space="0" w:color="auto"/>
            </w:tcBorders>
            <w:shd w:val="pct5" w:color="auto" w:fill="auto"/>
          </w:tcPr>
          <w:p w14:paraId="69A1F084" w14:textId="77777777" w:rsidR="00640B3E" w:rsidRPr="00CB349B" w:rsidRDefault="00640B3E" w:rsidP="00382805">
            <w:pPr>
              <w:rPr>
                <w:sz w:val="22"/>
                <w:szCs w:val="22"/>
              </w:rPr>
            </w:pPr>
            <w:r w:rsidRPr="00CB349B">
              <w:rPr>
                <w:b/>
                <w:sz w:val="22"/>
                <w:szCs w:val="22"/>
              </w:rPr>
              <w:tab/>
              <w:t>Time Schedule</w:t>
            </w:r>
          </w:p>
        </w:tc>
      </w:tr>
      <w:tr w:rsidR="00640B3E" w:rsidRPr="00CB349B" w14:paraId="48961E0F" w14:textId="77777777" w:rsidTr="00382805">
        <w:trPr>
          <w:cantSplit/>
          <w:trHeight w:val="403"/>
          <w:jc w:val="center"/>
        </w:trPr>
        <w:tc>
          <w:tcPr>
            <w:tcW w:w="5270" w:type="dxa"/>
            <w:tcBorders>
              <w:top w:val="single" w:sz="6" w:space="0" w:color="auto"/>
              <w:left w:val="single" w:sz="24" w:space="0" w:color="auto"/>
              <w:bottom w:val="nil"/>
              <w:right w:val="nil"/>
            </w:tcBorders>
            <w:shd w:val="clear" w:color="auto" w:fill="FFFFFF"/>
          </w:tcPr>
          <w:p w14:paraId="5FE1A0A5" w14:textId="77777777" w:rsidR="00640B3E" w:rsidRPr="00CB349B" w:rsidRDefault="00640B3E" w:rsidP="00382805">
            <w:pPr>
              <w:rPr>
                <w:sz w:val="22"/>
                <w:szCs w:val="22"/>
              </w:rPr>
            </w:pPr>
            <w:r w:rsidRPr="00CB349B">
              <w:rPr>
                <w:sz w:val="22"/>
                <w:szCs w:val="22"/>
              </w:rPr>
              <w:t>Selection of potential participants</w:t>
            </w:r>
          </w:p>
        </w:tc>
        <w:tc>
          <w:tcPr>
            <w:tcW w:w="3240" w:type="dxa"/>
            <w:tcBorders>
              <w:top w:val="single" w:sz="6" w:space="0" w:color="auto"/>
              <w:left w:val="single" w:sz="6" w:space="0" w:color="auto"/>
              <w:bottom w:val="nil"/>
              <w:right w:val="single" w:sz="24" w:space="0" w:color="auto"/>
            </w:tcBorders>
            <w:shd w:val="clear" w:color="auto" w:fill="FFFFFF"/>
          </w:tcPr>
          <w:p w14:paraId="6DDCBEF1" w14:textId="77777777" w:rsidR="00640B3E" w:rsidRPr="00CB349B" w:rsidRDefault="000B61F3" w:rsidP="00894F42">
            <w:pPr>
              <w:rPr>
                <w:sz w:val="22"/>
                <w:szCs w:val="22"/>
              </w:rPr>
            </w:pPr>
            <w:r>
              <w:rPr>
                <w:sz w:val="22"/>
                <w:szCs w:val="22"/>
              </w:rPr>
              <w:t xml:space="preserve">immediately </w:t>
            </w:r>
            <w:r w:rsidR="00640B3E">
              <w:rPr>
                <w:sz w:val="22"/>
                <w:szCs w:val="22"/>
              </w:rPr>
              <w:t xml:space="preserve"> after OMB approval</w:t>
            </w:r>
          </w:p>
        </w:tc>
      </w:tr>
      <w:tr w:rsidR="00640B3E" w:rsidRPr="00CB349B" w14:paraId="04BC50DB" w14:textId="77777777" w:rsidTr="00382805">
        <w:trPr>
          <w:cantSplit/>
          <w:trHeight w:val="403"/>
          <w:jc w:val="center"/>
        </w:trPr>
        <w:tc>
          <w:tcPr>
            <w:tcW w:w="5270" w:type="dxa"/>
            <w:tcBorders>
              <w:top w:val="single" w:sz="6" w:space="0" w:color="auto"/>
              <w:left w:val="single" w:sz="24" w:space="0" w:color="auto"/>
              <w:bottom w:val="nil"/>
              <w:right w:val="nil"/>
            </w:tcBorders>
            <w:shd w:val="clear" w:color="auto" w:fill="FFFFFF"/>
          </w:tcPr>
          <w:p w14:paraId="420BFEB0" w14:textId="77777777" w:rsidR="00640B3E" w:rsidRPr="00CB349B" w:rsidRDefault="00640B3E" w:rsidP="00382805">
            <w:pPr>
              <w:rPr>
                <w:sz w:val="22"/>
                <w:szCs w:val="22"/>
              </w:rPr>
            </w:pPr>
            <w:r w:rsidRPr="00CB349B">
              <w:rPr>
                <w:sz w:val="22"/>
                <w:szCs w:val="22"/>
              </w:rPr>
              <w:t>Administration of Toolbox measures to scheduled participants, initial assessment and test-retest reliability</w:t>
            </w:r>
          </w:p>
        </w:tc>
        <w:tc>
          <w:tcPr>
            <w:tcW w:w="3240" w:type="dxa"/>
            <w:tcBorders>
              <w:top w:val="single" w:sz="6" w:space="0" w:color="auto"/>
              <w:left w:val="single" w:sz="6" w:space="0" w:color="auto"/>
              <w:bottom w:val="nil"/>
              <w:right w:val="single" w:sz="24" w:space="0" w:color="auto"/>
            </w:tcBorders>
            <w:shd w:val="clear" w:color="auto" w:fill="FFFFFF"/>
          </w:tcPr>
          <w:p w14:paraId="61368C96" w14:textId="77777777" w:rsidR="00640B3E" w:rsidRPr="00CB349B" w:rsidRDefault="000B61F3" w:rsidP="00C80677">
            <w:pPr>
              <w:rPr>
                <w:sz w:val="22"/>
                <w:szCs w:val="22"/>
              </w:rPr>
            </w:pPr>
            <w:r>
              <w:rPr>
                <w:sz w:val="22"/>
                <w:szCs w:val="22"/>
              </w:rPr>
              <w:t>1</w:t>
            </w:r>
            <w:r w:rsidR="00640B3E">
              <w:rPr>
                <w:sz w:val="22"/>
                <w:szCs w:val="22"/>
              </w:rPr>
              <w:t xml:space="preserve"> month after OMB approval</w:t>
            </w:r>
          </w:p>
        </w:tc>
      </w:tr>
      <w:tr w:rsidR="00640B3E" w:rsidRPr="00CB349B" w14:paraId="5D0B8D42" w14:textId="77777777" w:rsidTr="00382805">
        <w:trPr>
          <w:cantSplit/>
          <w:trHeight w:val="403"/>
          <w:jc w:val="center"/>
        </w:trPr>
        <w:tc>
          <w:tcPr>
            <w:tcW w:w="5270" w:type="dxa"/>
            <w:tcBorders>
              <w:top w:val="single" w:sz="6" w:space="0" w:color="auto"/>
              <w:left w:val="single" w:sz="24" w:space="0" w:color="auto"/>
              <w:bottom w:val="nil"/>
              <w:right w:val="nil"/>
            </w:tcBorders>
            <w:shd w:val="clear" w:color="auto" w:fill="FFFFFF"/>
          </w:tcPr>
          <w:p w14:paraId="4776866C" w14:textId="77777777" w:rsidR="00640B3E" w:rsidRPr="00CB349B" w:rsidRDefault="00407DA3" w:rsidP="00382805">
            <w:pPr>
              <w:rPr>
                <w:sz w:val="22"/>
                <w:szCs w:val="22"/>
              </w:rPr>
            </w:pPr>
            <w:r>
              <w:rPr>
                <w:sz w:val="22"/>
                <w:szCs w:val="22"/>
              </w:rPr>
              <w:t>3</w:t>
            </w:r>
            <w:r w:rsidR="00640B3E" w:rsidRPr="00CB349B">
              <w:rPr>
                <w:sz w:val="22"/>
                <w:szCs w:val="22"/>
              </w:rPr>
              <w:t>-month follow-up assessments</w:t>
            </w:r>
          </w:p>
        </w:tc>
        <w:tc>
          <w:tcPr>
            <w:tcW w:w="3240" w:type="dxa"/>
            <w:tcBorders>
              <w:top w:val="single" w:sz="6" w:space="0" w:color="auto"/>
              <w:left w:val="single" w:sz="6" w:space="0" w:color="auto"/>
              <w:bottom w:val="nil"/>
              <w:right w:val="single" w:sz="24" w:space="0" w:color="auto"/>
            </w:tcBorders>
            <w:shd w:val="clear" w:color="auto" w:fill="FFFFFF"/>
          </w:tcPr>
          <w:p w14:paraId="290FC529" w14:textId="77777777" w:rsidR="00640B3E" w:rsidRPr="00CB349B" w:rsidRDefault="000B61F3" w:rsidP="00382805">
            <w:pPr>
              <w:rPr>
                <w:sz w:val="22"/>
                <w:szCs w:val="22"/>
              </w:rPr>
            </w:pPr>
            <w:r>
              <w:rPr>
                <w:sz w:val="22"/>
                <w:szCs w:val="22"/>
              </w:rPr>
              <w:t xml:space="preserve">4 </w:t>
            </w:r>
            <w:r w:rsidR="00640B3E">
              <w:rPr>
                <w:sz w:val="22"/>
                <w:szCs w:val="22"/>
              </w:rPr>
              <w:t>months after OMB approval</w:t>
            </w:r>
          </w:p>
        </w:tc>
      </w:tr>
      <w:tr w:rsidR="00640B3E" w:rsidRPr="00CB349B" w14:paraId="0ACF9396" w14:textId="77777777" w:rsidTr="00382805">
        <w:trPr>
          <w:cantSplit/>
          <w:trHeight w:val="403"/>
          <w:jc w:val="center"/>
        </w:trPr>
        <w:tc>
          <w:tcPr>
            <w:tcW w:w="5270" w:type="dxa"/>
            <w:tcBorders>
              <w:top w:val="single" w:sz="6" w:space="0" w:color="auto"/>
              <w:left w:val="single" w:sz="24" w:space="0" w:color="auto"/>
              <w:bottom w:val="single" w:sz="6" w:space="0" w:color="auto"/>
              <w:right w:val="nil"/>
            </w:tcBorders>
            <w:shd w:val="clear" w:color="auto" w:fill="FFFFFF"/>
          </w:tcPr>
          <w:p w14:paraId="1F37153D" w14:textId="77777777" w:rsidR="00640B3E" w:rsidRPr="00CB349B" w:rsidRDefault="00640B3E" w:rsidP="00382805">
            <w:pPr>
              <w:rPr>
                <w:sz w:val="22"/>
                <w:szCs w:val="22"/>
              </w:rPr>
            </w:pPr>
            <w:r w:rsidRPr="00CB349B">
              <w:rPr>
                <w:sz w:val="22"/>
                <w:szCs w:val="22"/>
              </w:rPr>
              <w:t>Calculate weights</w:t>
            </w:r>
          </w:p>
        </w:tc>
        <w:tc>
          <w:tcPr>
            <w:tcW w:w="3240" w:type="dxa"/>
            <w:tcBorders>
              <w:top w:val="single" w:sz="6" w:space="0" w:color="auto"/>
              <w:left w:val="single" w:sz="6" w:space="0" w:color="auto"/>
              <w:bottom w:val="single" w:sz="6" w:space="0" w:color="auto"/>
              <w:right w:val="single" w:sz="24" w:space="0" w:color="auto"/>
            </w:tcBorders>
            <w:shd w:val="clear" w:color="auto" w:fill="FFFFFF"/>
          </w:tcPr>
          <w:p w14:paraId="1F368D18" w14:textId="77777777" w:rsidR="00640B3E" w:rsidRPr="00C80677" w:rsidRDefault="002F20B8" w:rsidP="00382805">
            <w:pPr>
              <w:rPr>
                <w:sz w:val="22"/>
                <w:szCs w:val="22"/>
              </w:rPr>
            </w:pPr>
            <w:r w:rsidRPr="00C80677">
              <w:rPr>
                <w:sz w:val="22"/>
                <w:szCs w:val="22"/>
              </w:rPr>
              <w:t>5</w:t>
            </w:r>
            <w:r w:rsidR="00640B3E" w:rsidRPr="00C80677">
              <w:rPr>
                <w:sz w:val="22"/>
                <w:szCs w:val="22"/>
              </w:rPr>
              <w:t xml:space="preserve"> months after OMB approval</w:t>
            </w:r>
          </w:p>
        </w:tc>
      </w:tr>
      <w:tr w:rsidR="00640B3E" w:rsidRPr="00CB349B" w14:paraId="45BC0C82" w14:textId="77777777" w:rsidTr="00382805">
        <w:trPr>
          <w:cantSplit/>
          <w:trHeight w:val="403"/>
          <w:jc w:val="center"/>
        </w:trPr>
        <w:tc>
          <w:tcPr>
            <w:tcW w:w="5270" w:type="dxa"/>
            <w:tcBorders>
              <w:top w:val="single" w:sz="6" w:space="0" w:color="auto"/>
              <w:left w:val="single" w:sz="24" w:space="0" w:color="auto"/>
              <w:bottom w:val="single" w:sz="6" w:space="0" w:color="auto"/>
              <w:right w:val="nil"/>
            </w:tcBorders>
            <w:shd w:val="clear" w:color="auto" w:fill="FFFFFF"/>
          </w:tcPr>
          <w:p w14:paraId="585D8801" w14:textId="77777777" w:rsidR="00640B3E" w:rsidRPr="00CB349B" w:rsidRDefault="00640B3E" w:rsidP="00382805">
            <w:pPr>
              <w:rPr>
                <w:sz w:val="22"/>
                <w:szCs w:val="22"/>
              </w:rPr>
            </w:pPr>
            <w:r w:rsidRPr="00CB349B">
              <w:rPr>
                <w:sz w:val="22"/>
                <w:szCs w:val="22"/>
              </w:rPr>
              <w:t>Analysis</w:t>
            </w:r>
          </w:p>
        </w:tc>
        <w:tc>
          <w:tcPr>
            <w:tcW w:w="3240" w:type="dxa"/>
            <w:tcBorders>
              <w:top w:val="single" w:sz="6" w:space="0" w:color="auto"/>
              <w:left w:val="single" w:sz="6" w:space="0" w:color="auto"/>
              <w:bottom w:val="single" w:sz="6" w:space="0" w:color="auto"/>
              <w:right w:val="single" w:sz="24" w:space="0" w:color="auto"/>
            </w:tcBorders>
            <w:shd w:val="clear" w:color="auto" w:fill="FFFFFF"/>
          </w:tcPr>
          <w:p w14:paraId="17377624" w14:textId="77777777" w:rsidR="00640B3E" w:rsidRPr="00C80677" w:rsidRDefault="002F20B8" w:rsidP="00382805">
            <w:pPr>
              <w:rPr>
                <w:sz w:val="22"/>
                <w:szCs w:val="22"/>
              </w:rPr>
            </w:pPr>
            <w:r w:rsidRPr="00C80677">
              <w:rPr>
                <w:sz w:val="22"/>
                <w:szCs w:val="22"/>
              </w:rPr>
              <w:t>5-</w:t>
            </w:r>
            <w:r w:rsidR="004A72A9">
              <w:rPr>
                <w:sz w:val="22"/>
                <w:szCs w:val="22"/>
              </w:rPr>
              <w:t>12</w:t>
            </w:r>
            <w:r w:rsidR="00640B3E" w:rsidRPr="00C80677">
              <w:rPr>
                <w:sz w:val="22"/>
                <w:szCs w:val="22"/>
              </w:rPr>
              <w:t xml:space="preserve"> months after OMB approval</w:t>
            </w:r>
          </w:p>
        </w:tc>
      </w:tr>
      <w:tr w:rsidR="00640B3E" w:rsidRPr="00CB349B" w14:paraId="30D9C7C9" w14:textId="77777777" w:rsidTr="00382805">
        <w:trPr>
          <w:cantSplit/>
          <w:trHeight w:val="403"/>
          <w:jc w:val="center"/>
        </w:trPr>
        <w:tc>
          <w:tcPr>
            <w:tcW w:w="5270" w:type="dxa"/>
            <w:tcBorders>
              <w:top w:val="single" w:sz="6" w:space="0" w:color="auto"/>
              <w:left w:val="single" w:sz="24" w:space="0" w:color="auto"/>
              <w:bottom w:val="single" w:sz="24" w:space="0" w:color="auto"/>
              <w:right w:val="nil"/>
            </w:tcBorders>
            <w:shd w:val="clear" w:color="auto" w:fill="FFFFFF"/>
          </w:tcPr>
          <w:p w14:paraId="5A38B15D" w14:textId="77777777" w:rsidR="00640B3E" w:rsidRPr="00CB349B" w:rsidRDefault="00640B3E" w:rsidP="00382805">
            <w:pPr>
              <w:rPr>
                <w:sz w:val="22"/>
                <w:szCs w:val="22"/>
              </w:rPr>
            </w:pPr>
            <w:r w:rsidRPr="00CB349B">
              <w:rPr>
                <w:sz w:val="22"/>
                <w:szCs w:val="22"/>
              </w:rPr>
              <w:t>Presentation of Final Toolbox</w:t>
            </w:r>
          </w:p>
        </w:tc>
        <w:tc>
          <w:tcPr>
            <w:tcW w:w="3240" w:type="dxa"/>
            <w:tcBorders>
              <w:top w:val="single" w:sz="6" w:space="0" w:color="auto"/>
              <w:left w:val="single" w:sz="6" w:space="0" w:color="auto"/>
              <w:bottom w:val="single" w:sz="24" w:space="0" w:color="auto"/>
              <w:right w:val="single" w:sz="24" w:space="0" w:color="auto"/>
            </w:tcBorders>
            <w:shd w:val="clear" w:color="auto" w:fill="FFFFFF"/>
          </w:tcPr>
          <w:p w14:paraId="4BF92A54" w14:textId="77777777" w:rsidR="00640B3E" w:rsidRPr="00C80677" w:rsidRDefault="004A72A9" w:rsidP="00894F42">
            <w:pPr>
              <w:rPr>
                <w:sz w:val="22"/>
                <w:szCs w:val="22"/>
                <w:highlight w:val="yellow"/>
              </w:rPr>
            </w:pPr>
            <w:r>
              <w:rPr>
                <w:sz w:val="22"/>
                <w:szCs w:val="22"/>
              </w:rPr>
              <w:t>13-14</w:t>
            </w:r>
            <w:r w:rsidR="002F20B8" w:rsidRPr="00C80677">
              <w:rPr>
                <w:sz w:val="22"/>
                <w:szCs w:val="22"/>
              </w:rPr>
              <w:t xml:space="preserve"> </w:t>
            </w:r>
            <w:r w:rsidR="00640B3E" w:rsidRPr="00C80677">
              <w:rPr>
                <w:sz w:val="22"/>
                <w:szCs w:val="22"/>
              </w:rPr>
              <w:t>months after OMB approval</w:t>
            </w:r>
          </w:p>
        </w:tc>
      </w:tr>
    </w:tbl>
    <w:p w14:paraId="2DD239BF" w14:textId="77777777" w:rsidR="00E362C7" w:rsidRDefault="00E362C7" w:rsidP="00E362C7">
      <w:pPr>
        <w:pStyle w:val="P1-StandPara"/>
        <w:spacing w:line="240" w:lineRule="auto"/>
        <w:ind w:firstLine="0"/>
      </w:pPr>
    </w:p>
    <w:p w14:paraId="74FE120D" w14:textId="77777777" w:rsidR="00D77AB4" w:rsidRPr="00CB349B" w:rsidRDefault="00E668E9" w:rsidP="00C8789B">
      <w:pPr>
        <w:pStyle w:val="P1-StandPara"/>
        <w:spacing w:line="240" w:lineRule="auto"/>
        <w:ind w:firstLine="0"/>
      </w:pPr>
      <w:r>
        <w:t xml:space="preserve"> </w:t>
      </w:r>
    </w:p>
    <w:p w14:paraId="5207695E" w14:textId="77777777" w:rsidR="00D77AB4" w:rsidRPr="00CB349B" w:rsidRDefault="00D77AB4" w:rsidP="004C576D">
      <w:pPr>
        <w:pStyle w:val="StyleLinespacingDouble"/>
      </w:pPr>
      <w:r w:rsidRPr="00894F42">
        <w:rPr>
          <w:szCs w:val="24"/>
        </w:rPr>
        <w:t xml:space="preserve">Sample weighting will be completed by statistical weighting experts. </w:t>
      </w:r>
      <w:r w:rsidR="00894F42" w:rsidRPr="00894F42">
        <w:rPr>
          <w:szCs w:val="24"/>
        </w:rPr>
        <w:t xml:space="preserve">As a post-stratification adjustment, weights will be calculated by the method of iterative proportional fitting, or raking, such that the weighted sample will have the same distribution of demographic variables as that in </w:t>
      </w:r>
      <w:r w:rsidR="00894F42" w:rsidRPr="00894F42">
        <w:rPr>
          <w:szCs w:val="24"/>
        </w:rPr>
        <w:lastRenderedPageBreak/>
        <w:t>the U.S. Census</w:t>
      </w:r>
      <w:r w:rsidR="00894F42">
        <w:rPr>
          <w:szCs w:val="24"/>
        </w:rPr>
        <w:t xml:space="preserve">. </w:t>
      </w:r>
      <w:r w:rsidRPr="00CB349B">
        <w:t>Descriptive statistics will be calculated for the Toolbox measures to form the general population normative reference values. Weighted adjustments will allow the values collected in this sample to generalize to the target population defined in B.1. Summary tables for each of the Toolbox instruments will be prepared by age, sex and language. Descriptive statistics presented in the summary tables will include means and standard deviations, percentiles (</w:t>
      </w:r>
      <w:r>
        <w:t xml:space="preserve">e.g., </w:t>
      </w:r>
      <w:r w:rsidRPr="00CB349B">
        <w:t>minimum, 5</w:t>
      </w:r>
      <w:r w:rsidRPr="00CB349B">
        <w:rPr>
          <w:vertAlign w:val="superscript"/>
        </w:rPr>
        <w:t>th</w:t>
      </w:r>
      <w:r w:rsidRPr="00CB349B">
        <w:t xml:space="preserve"> percentile, 25</w:t>
      </w:r>
      <w:r w:rsidRPr="00CB349B">
        <w:rPr>
          <w:vertAlign w:val="superscript"/>
        </w:rPr>
        <w:t>th</w:t>
      </w:r>
      <w:r w:rsidRPr="00CB349B">
        <w:t xml:space="preserve"> percentile, median, 75</w:t>
      </w:r>
      <w:r w:rsidRPr="00CB349B">
        <w:rPr>
          <w:vertAlign w:val="superscript"/>
        </w:rPr>
        <w:t>th</w:t>
      </w:r>
      <w:r w:rsidRPr="00CB349B">
        <w:t xml:space="preserve"> percentile, 95</w:t>
      </w:r>
      <w:r w:rsidRPr="00CB349B">
        <w:rPr>
          <w:vertAlign w:val="superscript"/>
        </w:rPr>
        <w:t>th</w:t>
      </w:r>
      <w:r w:rsidRPr="00CB349B">
        <w:t xml:space="preserve"> percentile, maximum) and the frequency of respo</w:t>
      </w:r>
      <w:r>
        <w:t>ndents at the floor and ceiling</w:t>
      </w:r>
      <w:r w:rsidRPr="00CB349B">
        <w:t>. An explanatory document will be prepared to be used as a user’s guide for the normative reference tables.</w:t>
      </w:r>
    </w:p>
    <w:p w14:paraId="016223AD" w14:textId="77777777" w:rsidR="00D77AB4" w:rsidRPr="004347BB" w:rsidRDefault="00D77AB4" w:rsidP="004347BB">
      <w:pPr>
        <w:pStyle w:val="Heading2"/>
      </w:pPr>
      <w:bookmarkStart w:id="74" w:name="_Toc443881760"/>
      <w:bookmarkStart w:id="75" w:name="_Toc451592247"/>
      <w:bookmarkStart w:id="76" w:name="_Toc5610288"/>
      <w:bookmarkStart w:id="77" w:name="_Toc99178794"/>
      <w:bookmarkStart w:id="78" w:name="_Toc248639050"/>
      <w:r w:rsidRPr="004347BB">
        <w:t>A.17</w:t>
      </w:r>
      <w:r w:rsidRPr="004347BB">
        <w:tab/>
        <w:t>Reason(s) Display of OMB Expiration Date is Inappropriate</w:t>
      </w:r>
      <w:bookmarkEnd w:id="74"/>
      <w:bookmarkEnd w:id="75"/>
      <w:bookmarkEnd w:id="76"/>
      <w:bookmarkEnd w:id="77"/>
      <w:bookmarkEnd w:id="78"/>
    </w:p>
    <w:p w14:paraId="2CFF663C" w14:textId="77777777" w:rsidR="00D77AB4" w:rsidRPr="00CB349B" w:rsidRDefault="00D77AB4" w:rsidP="004C576D">
      <w:pPr>
        <w:pStyle w:val="StyleLinespacingDouble"/>
      </w:pPr>
      <w:r w:rsidRPr="00CB349B">
        <w:t>This study will display the expiration date for OMB approval of the information collection.</w:t>
      </w:r>
    </w:p>
    <w:p w14:paraId="5D01E317" w14:textId="77777777" w:rsidR="00D77AB4" w:rsidRPr="004347BB" w:rsidRDefault="00D77AB4" w:rsidP="004347BB">
      <w:pPr>
        <w:pStyle w:val="Heading2"/>
      </w:pPr>
      <w:bookmarkStart w:id="79" w:name="_Toc443881761"/>
      <w:bookmarkStart w:id="80" w:name="_Toc451592248"/>
      <w:bookmarkStart w:id="81" w:name="_Toc5610289"/>
      <w:bookmarkStart w:id="82" w:name="_Toc99178795"/>
      <w:bookmarkStart w:id="83" w:name="_Toc248639051"/>
      <w:r w:rsidRPr="004347BB">
        <w:t>A.18</w:t>
      </w:r>
      <w:r w:rsidRPr="004347BB">
        <w:tab/>
        <w:t>Exceptions to Certification for Paperwork Reduction Act Submissions</w:t>
      </w:r>
      <w:bookmarkEnd w:id="79"/>
      <w:bookmarkEnd w:id="80"/>
      <w:bookmarkEnd w:id="81"/>
      <w:bookmarkEnd w:id="82"/>
      <w:bookmarkEnd w:id="83"/>
    </w:p>
    <w:p w14:paraId="2C71BFC9" w14:textId="77777777" w:rsidR="00D77AB4" w:rsidRPr="00CB349B" w:rsidRDefault="00D77AB4" w:rsidP="004C576D">
      <w:pPr>
        <w:pStyle w:val="StyleLinespacingDouble"/>
      </w:pPr>
      <w:r w:rsidRPr="00CB349B">
        <w:t>The study complies with 5 CFR 1320.9, the Certification for Paperwork Reduction Act Submissions.</w:t>
      </w:r>
    </w:p>
    <w:sectPr w:rsidR="00D77AB4" w:rsidRPr="00CB349B" w:rsidSect="001A570D">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06FCF" w14:textId="77777777" w:rsidR="004C3629" w:rsidRDefault="004C3629">
      <w:r>
        <w:separator/>
      </w:r>
    </w:p>
  </w:endnote>
  <w:endnote w:type="continuationSeparator" w:id="0">
    <w:p w14:paraId="3DED88F6" w14:textId="77777777" w:rsidR="004C3629" w:rsidRDefault="004C3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dobe Jenson Pro">
    <w:altName w:val="Times New Roman"/>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2FC72" w14:textId="77777777" w:rsidR="00E0392A" w:rsidRDefault="00E0392A"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0B4680" w14:textId="77777777" w:rsidR="00E0392A" w:rsidRDefault="00E039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31CE1" w14:textId="77777777" w:rsidR="00E0392A" w:rsidRDefault="00E0392A"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1352">
      <w:rPr>
        <w:rStyle w:val="PageNumber"/>
        <w:noProof/>
      </w:rPr>
      <w:t>27</w:t>
    </w:r>
    <w:r>
      <w:rPr>
        <w:rStyle w:val="PageNumber"/>
      </w:rPr>
      <w:fldChar w:fldCharType="end"/>
    </w:r>
  </w:p>
  <w:p w14:paraId="4467DD1F" w14:textId="77777777" w:rsidR="00E0392A" w:rsidRDefault="00E0392A"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65260" w14:textId="77777777" w:rsidR="004C3629" w:rsidRDefault="004C3629">
      <w:r>
        <w:separator/>
      </w:r>
    </w:p>
  </w:footnote>
  <w:footnote w:type="continuationSeparator" w:id="0">
    <w:p w14:paraId="660B4299" w14:textId="77777777" w:rsidR="004C3629" w:rsidRDefault="004C36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0BE4"/>
    <w:multiLevelType w:val="hybridMultilevel"/>
    <w:tmpl w:val="CF8E2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A521E7"/>
    <w:multiLevelType w:val="hybridMultilevel"/>
    <w:tmpl w:val="F222AB8A"/>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2F3D7096"/>
    <w:multiLevelType w:val="hybridMultilevel"/>
    <w:tmpl w:val="12384BA2"/>
    <w:lvl w:ilvl="0" w:tplc="C5969714">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5">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7494578"/>
    <w:multiLevelType w:val="hybridMultilevel"/>
    <w:tmpl w:val="86249F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8FE2097"/>
    <w:multiLevelType w:val="hybridMultilevel"/>
    <w:tmpl w:val="12384BA2"/>
    <w:lvl w:ilvl="0" w:tplc="C5969714">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5"/>
  </w:num>
  <w:num w:numId="7">
    <w:abstractNumId w:val="2"/>
  </w:num>
  <w:num w:numId="8">
    <w:abstractNumId w:val="0"/>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0E"/>
    <w:rsid w:val="0004340F"/>
    <w:rsid w:val="0005035B"/>
    <w:rsid w:val="00052D6D"/>
    <w:rsid w:val="00054389"/>
    <w:rsid w:val="00061E76"/>
    <w:rsid w:val="00065137"/>
    <w:rsid w:val="0006684F"/>
    <w:rsid w:val="00067402"/>
    <w:rsid w:val="000835CC"/>
    <w:rsid w:val="00094FEA"/>
    <w:rsid w:val="000B4E93"/>
    <w:rsid w:val="000B61F3"/>
    <w:rsid w:val="000D39AD"/>
    <w:rsid w:val="000D7BCD"/>
    <w:rsid w:val="000F0475"/>
    <w:rsid w:val="00106CA2"/>
    <w:rsid w:val="00113244"/>
    <w:rsid w:val="00125D51"/>
    <w:rsid w:val="00143685"/>
    <w:rsid w:val="00156D85"/>
    <w:rsid w:val="00160928"/>
    <w:rsid w:val="00173D41"/>
    <w:rsid w:val="001851E6"/>
    <w:rsid w:val="0019124A"/>
    <w:rsid w:val="001A4640"/>
    <w:rsid w:val="001A570D"/>
    <w:rsid w:val="001B48F5"/>
    <w:rsid w:val="001B7BBF"/>
    <w:rsid w:val="001D0067"/>
    <w:rsid w:val="001E2C04"/>
    <w:rsid w:val="001F2281"/>
    <w:rsid w:val="002111DB"/>
    <w:rsid w:val="002236CD"/>
    <w:rsid w:val="00226EDF"/>
    <w:rsid w:val="0024029C"/>
    <w:rsid w:val="00253C78"/>
    <w:rsid w:val="00267C16"/>
    <w:rsid w:val="002708E5"/>
    <w:rsid w:val="00284A1D"/>
    <w:rsid w:val="002A5AB0"/>
    <w:rsid w:val="002C1D0C"/>
    <w:rsid w:val="002D043A"/>
    <w:rsid w:val="002D2CA0"/>
    <w:rsid w:val="002E1B5D"/>
    <w:rsid w:val="002E2AB3"/>
    <w:rsid w:val="002F20B8"/>
    <w:rsid w:val="002F68CC"/>
    <w:rsid w:val="002F7BE3"/>
    <w:rsid w:val="002F7E38"/>
    <w:rsid w:val="00323B89"/>
    <w:rsid w:val="0032794C"/>
    <w:rsid w:val="003312D9"/>
    <w:rsid w:val="00347B58"/>
    <w:rsid w:val="0035530F"/>
    <w:rsid w:val="00371C28"/>
    <w:rsid w:val="00374088"/>
    <w:rsid w:val="00382805"/>
    <w:rsid w:val="003839FB"/>
    <w:rsid w:val="003842C7"/>
    <w:rsid w:val="00385EA9"/>
    <w:rsid w:val="0039110B"/>
    <w:rsid w:val="00392A84"/>
    <w:rsid w:val="00396342"/>
    <w:rsid w:val="003A25B2"/>
    <w:rsid w:val="003A4E66"/>
    <w:rsid w:val="003A66F3"/>
    <w:rsid w:val="003A7790"/>
    <w:rsid w:val="003B1F25"/>
    <w:rsid w:val="003C39DD"/>
    <w:rsid w:val="003C77A3"/>
    <w:rsid w:val="003D07BA"/>
    <w:rsid w:val="003E5D3E"/>
    <w:rsid w:val="003F08FA"/>
    <w:rsid w:val="00407DA3"/>
    <w:rsid w:val="00413238"/>
    <w:rsid w:val="00414E5E"/>
    <w:rsid w:val="00420F07"/>
    <w:rsid w:val="00424776"/>
    <w:rsid w:val="00430252"/>
    <w:rsid w:val="004347BB"/>
    <w:rsid w:val="00434EB3"/>
    <w:rsid w:val="004426DB"/>
    <w:rsid w:val="004500EE"/>
    <w:rsid w:val="00464028"/>
    <w:rsid w:val="004762ED"/>
    <w:rsid w:val="00481241"/>
    <w:rsid w:val="00497856"/>
    <w:rsid w:val="004A340F"/>
    <w:rsid w:val="004A70E1"/>
    <w:rsid w:val="004A72A9"/>
    <w:rsid w:val="004C3629"/>
    <w:rsid w:val="004C576D"/>
    <w:rsid w:val="004D1951"/>
    <w:rsid w:val="00503FAE"/>
    <w:rsid w:val="005162AB"/>
    <w:rsid w:val="00526DB3"/>
    <w:rsid w:val="00534B36"/>
    <w:rsid w:val="00543B94"/>
    <w:rsid w:val="0055368E"/>
    <w:rsid w:val="0055542F"/>
    <w:rsid w:val="00580B2D"/>
    <w:rsid w:val="00581673"/>
    <w:rsid w:val="00590A2E"/>
    <w:rsid w:val="00590E62"/>
    <w:rsid w:val="00597476"/>
    <w:rsid w:val="005974BD"/>
    <w:rsid w:val="005A13F7"/>
    <w:rsid w:val="005A4050"/>
    <w:rsid w:val="005B5708"/>
    <w:rsid w:val="005C3DC2"/>
    <w:rsid w:val="005C5FB4"/>
    <w:rsid w:val="005D3103"/>
    <w:rsid w:val="005D3D34"/>
    <w:rsid w:val="005E2E62"/>
    <w:rsid w:val="005E65EB"/>
    <w:rsid w:val="005F7471"/>
    <w:rsid w:val="00603A0E"/>
    <w:rsid w:val="0060737C"/>
    <w:rsid w:val="00614A2E"/>
    <w:rsid w:val="00635A6D"/>
    <w:rsid w:val="00640B3E"/>
    <w:rsid w:val="006411D9"/>
    <w:rsid w:val="00673417"/>
    <w:rsid w:val="006769B4"/>
    <w:rsid w:val="00680E77"/>
    <w:rsid w:val="00694490"/>
    <w:rsid w:val="006A6B5E"/>
    <w:rsid w:val="006B07C7"/>
    <w:rsid w:val="006B35B9"/>
    <w:rsid w:val="006B4237"/>
    <w:rsid w:val="006C2778"/>
    <w:rsid w:val="006D0DB8"/>
    <w:rsid w:val="006D65B4"/>
    <w:rsid w:val="006D7520"/>
    <w:rsid w:val="006E383D"/>
    <w:rsid w:val="006E3BF0"/>
    <w:rsid w:val="006E557B"/>
    <w:rsid w:val="006F42A5"/>
    <w:rsid w:val="00702A06"/>
    <w:rsid w:val="00717E89"/>
    <w:rsid w:val="00732889"/>
    <w:rsid w:val="00741EE3"/>
    <w:rsid w:val="007564F3"/>
    <w:rsid w:val="00772DD9"/>
    <w:rsid w:val="007828CA"/>
    <w:rsid w:val="00783DCE"/>
    <w:rsid w:val="00784815"/>
    <w:rsid w:val="00793D3B"/>
    <w:rsid w:val="007A28A2"/>
    <w:rsid w:val="007B09C1"/>
    <w:rsid w:val="007B1EBF"/>
    <w:rsid w:val="007B46B1"/>
    <w:rsid w:val="007B5BEF"/>
    <w:rsid w:val="007C0D92"/>
    <w:rsid w:val="007C0DD4"/>
    <w:rsid w:val="007C16BD"/>
    <w:rsid w:val="007D1F73"/>
    <w:rsid w:val="007E063A"/>
    <w:rsid w:val="007E6F07"/>
    <w:rsid w:val="007E7970"/>
    <w:rsid w:val="007F0F84"/>
    <w:rsid w:val="008051E8"/>
    <w:rsid w:val="0080594D"/>
    <w:rsid w:val="00807E31"/>
    <w:rsid w:val="00811352"/>
    <w:rsid w:val="00823F85"/>
    <w:rsid w:val="008343BF"/>
    <w:rsid w:val="0085671F"/>
    <w:rsid w:val="00874036"/>
    <w:rsid w:val="008740D3"/>
    <w:rsid w:val="008744AD"/>
    <w:rsid w:val="00874E03"/>
    <w:rsid w:val="00882596"/>
    <w:rsid w:val="00882C68"/>
    <w:rsid w:val="008937E1"/>
    <w:rsid w:val="00894F42"/>
    <w:rsid w:val="008A3425"/>
    <w:rsid w:val="008B5E2C"/>
    <w:rsid w:val="008B70B3"/>
    <w:rsid w:val="008C0603"/>
    <w:rsid w:val="008C061D"/>
    <w:rsid w:val="008C310E"/>
    <w:rsid w:val="008D5287"/>
    <w:rsid w:val="008E0158"/>
    <w:rsid w:val="008E15B7"/>
    <w:rsid w:val="008F048F"/>
    <w:rsid w:val="008F64FC"/>
    <w:rsid w:val="009139AB"/>
    <w:rsid w:val="00915A6B"/>
    <w:rsid w:val="0092023C"/>
    <w:rsid w:val="009318FE"/>
    <w:rsid w:val="0093431F"/>
    <w:rsid w:val="00935A82"/>
    <w:rsid w:val="00945F5C"/>
    <w:rsid w:val="009473C6"/>
    <w:rsid w:val="0095467F"/>
    <w:rsid w:val="00983F55"/>
    <w:rsid w:val="00991612"/>
    <w:rsid w:val="009965F7"/>
    <w:rsid w:val="009B0FC1"/>
    <w:rsid w:val="009C1C62"/>
    <w:rsid w:val="009C3698"/>
    <w:rsid w:val="009C4240"/>
    <w:rsid w:val="009E2700"/>
    <w:rsid w:val="009E5584"/>
    <w:rsid w:val="00A10AC6"/>
    <w:rsid w:val="00A177D6"/>
    <w:rsid w:val="00A25D57"/>
    <w:rsid w:val="00A30E46"/>
    <w:rsid w:val="00A3607D"/>
    <w:rsid w:val="00A518A6"/>
    <w:rsid w:val="00A53CA1"/>
    <w:rsid w:val="00A64C20"/>
    <w:rsid w:val="00A71760"/>
    <w:rsid w:val="00A772D1"/>
    <w:rsid w:val="00A90C9F"/>
    <w:rsid w:val="00AA0A3B"/>
    <w:rsid w:val="00AB42AF"/>
    <w:rsid w:val="00AC5F21"/>
    <w:rsid w:val="00AD679A"/>
    <w:rsid w:val="00AE4E57"/>
    <w:rsid w:val="00AE5723"/>
    <w:rsid w:val="00B079F2"/>
    <w:rsid w:val="00B100AB"/>
    <w:rsid w:val="00B2189A"/>
    <w:rsid w:val="00B24ADF"/>
    <w:rsid w:val="00B336C4"/>
    <w:rsid w:val="00B370D7"/>
    <w:rsid w:val="00B37F43"/>
    <w:rsid w:val="00B41EC6"/>
    <w:rsid w:val="00B424FB"/>
    <w:rsid w:val="00B75A70"/>
    <w:rsid w:val="00B8365B"/>
    <w:rsid w:val="00B87B27"/>
    <w:rsid w:val="00B926BA"/>
    <w:rsid w:val="00B97129"/>
    <w:rsid w:val="00BA5B14"/>
    <w:rsid w:val="00BC4E67"/>
    <w:rsid w:val="00BD50CF"/>
    <w:rsid w:val="00BE4E48"/>
    <w:rsid w:val="00BF4ED9"/>
    <w:rsid w:val="00C00F32"/>
    <w:rsid w:val="00C07D7C"/>
    <w:rsid w:val="00C146BE"/>
    <w:rsid w:val="00C2247D"/>
    <w:rsid w:val="00C249BF"/>
    <w:rsid w:val="00C27DA5"/>
    <w:rsid w:val="00C60798"/>
    <w:rsid w:val="00C80677"/>
    <w:rsid w:val="00C8789B"/>
    <w:rsid w:val="00C94EE3"/>
    <w:rsid w:val="00CA02BF"/>
    <w:rsid w:val="00CB20F8"/>
    <w:rsid w:val="00CB349B"/>
    <w:rsid w:val="00CB59BD"/>
    <w:rsid w:val="00CB7B14"/>
    <w:rsid w:val="00CC1F44"/>
    <w:rsid w:val="00CC2016"/>
    <w:rsid w:val="00CD679B"/>
    <w:rsid w:val="00CE444F"/>
    <w:rsid w:val="00CF201C"/>
    <w:rsid w:val="00CF2AB2"/>
    <w:rsid w:val="00CF7A44"/>
    <w:rsid w:val="00CF7DE4"/>
    <w:rsid w:val="00D047FD"/>
    <w:rsid w:val="00D104E4"/>
    <w:rsid w:val="00D11B54"/>
    <w:rsid w:val="00D27656"/>
    <w:rsid w:val="00D37B12"/>
    <w:rsid w:val="00D42531"/>
    <w:rsid w:val="00D5162B"/>
    <w:rsid w:val="00D67D9D"/>
    <w:rsid w:val="00D777FA"/>
    <w:rsid w:val="00D77AB4"/>
    <w:rsid w:val="00DA137E"/>
    <w:rsid w:val="00DA37A9"/>
    <w:rsid w:val="00DC044A"/>
    <w:rsid w:val="00DC5977"/>
    <w:rsid w:val="00DC7723"/>
    <w:rsid w:val="00DE02E7"/>
    <w:rsid w:val="00DF12E0"/>
    <w:rsid w:val="00DF6C25"/>
    <w:rsid w:val="00E0392A"/>
    <w:rsid w:val="00E313E4"/>
    <w:rsid w:val="00E362C7"/>
    <w:rsid w:val="00E36A07"/>
    <w:rsid w:val="00E47AC6"/>
    <w:rsid w:val="00E47E31"/>
    <w:rsid w:val="00E53F83"/>
    <w:rsid w:val="00E57EBA"/>
    <w:rsid w:val="00E60933"/>
    <w:rsid w:val="00E668E9"/>
    <w:rsid w:val="00E66CA2"/>
    <w:rsid w:val="00E82F8C"/>
    <w:rsid w:val="00E8457F"/>
    <w:rsid w:val="00E921C7"/>
    <w:rsid w:val="00E92293"/>
    <w:rsid w:val="00EA7D7E"/>
    <w:rsid w:val="00EC7151"/>
    <w:rsid w:val="00EE3F6A"/>
    <w:rsid w:val="00EF1E11"/>
    <w:rsid w:val="00EF60AF"/>
    <w:rsid w:val="00F03C7F"/>
    <w:rsid w:val="00F042D0"/>
    <w:rsid w:val="00F06FAF"/>
    <w:rsid w:val="00F32C10"/>
    <w:rsid w:val="00F33A94"/>
    <w:rsid w:val="00F437EE"/>
    <w:rsid w:val="00F460A8"/>
    <w:rsid w:val="00F75292"/>
    <w:rsid w:val="00F81423"/>
    <w:rsid w:val="00F86D04"/>
    <w:rsid w:val="00FC07E1"/>
    <w:rsid w:val="00FD7C3B"/>
    <w:rsid w:val="00FF6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4E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89"/>
    <w:rPr>
      <w:sz w:val="24"/>
      <w:szCs w:val="24"/>
    </w:rPr>
  </w:style>
  <w:style w:type="paragraph" w:styleId="Heading1">
    <w:name w:val="heading 1"/>
    <w:basedOn w:val="Normal"/>
    <w:next w:val="Normal"/>
    <w:link w:val="Heading1Char"/>
    <w:uiPriority w:val="9"/>
    <w:qFormat/>
    <w:rsid w:val="001F2281"/>
    <w:pPr>
      <w:keepNext/>
      <w:spacing w:before="120" w:after="480"/>
      <w:outlineLvl w:val="0"/>
    </w:pPr>
    <w:rPr>
      <w:rFonts w:cs="Arial"/>
      <w:b/>
      <w:bCs/>
      <w:smallCaps/>
      <w:kern w:val="32"/>
      <w:szCs w:val="32"/>
    </w:rPr>
  </w:style>
  <w:style w:type="paragraph" w:styleId="Heading2">
    <w:name w:val="heading 2"/>
    <w:aliases w:val="H2-Sec. Head"/>
    <w:basedOn w:val="Normal"/>
    <w:next w:val="P1-StandPara"/>
    <w:link w:val="Heading2Char"/>
    <w:qFormat/>
    <w:rsid w:val="004347BB"/>
    <w:pPr>
      <w:keepNext/>
      <w:tabs>
        <w:tab w:val="left" w:pos="1152"/>
      </w:tabs>
      <w:spacing w:before="360" w:after="360"/>
      <w:ind w:left="720" w:hanging="720"/>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8E8"/>
    <w:rPr>
      <w:rFonts w:asciiTheme="majorHAnsi" w:eastAsiaTheme="majorEastAsia" w:hAnsiTheme="majorHAnsi" w:cstheme="majorBidi"/>
      <w:b/>
      <w:bCs/>
      <w:kern w:val="32"/>
      <w:sz w:val="32"/>
      <w:szCs w:val="32"/>
    </w:rPr>
  </w:style>
  <w:style w:type="character" w:customStyle="1" w:styleId="Heading2Char">
    <w:name w:val="Heading 2 Char"/>
    <w:aliases w:val="H2-Sec. Head Char"/>
    <w:basedOn w:val="DefaultParagraphFont"/>
    <w:link w:val="Heading2"/>
    <w:uiPriority w:val="9"/>
    <w:semiHidden/>
    <w:rsid w:val="004308E8"/>
    <w:rPr>
      <w:rFonts w:asciiTheme="majorHAnsi" w:eastAsiaTheme="majorEastAsia" w:hAnsiTheme="majorHAnsi" w:cstheme="majorBidi"/>
      <w:b/>
      <w:bCs/>
      <w:i/>
      <w:iCs/>
      <w:sz w:val="28"/>
      <w:szCs w:val="28"/>
    </w:rPr>
  </w:style>
  <w:style w:type="paragraph" w:styleId="TOC1">
    <w:name w:val="toc 1"/>
    <w:basedOn w:val="Normal"/>
    <w:autoRedefine/>
    <w:uiPriority w:val="39"/>
    <w:rsid w:val="006A6B5E"/>
    <w:pPr>
      <w:tabs>
        <w:tab w:val="left" w:pos="0"/>
        <w:tab w:val="left" w:pos="720"/>
        <w:tab w:val="right" w:leader="dot" w:pos="9494"/>
      </w:tabs>
      <w:spacing w:before="120" w:after="120" w:line="480" w:lineRule="auto"/>
      <w:jc w:val="center"/>
    </w:pPr>
    <w:rPr>
      <w:b/>
      <w:caps/>
      <w:noProof/>
    </w:rPr>
  </w:style>
  <w:style w:type="paragraph" w:styleId="TOC2">
    <w:name w:val="toc 2"/>
    <w:basedOn w:val="Normal"/>
    <w:autoRedefine/>
    <w:uiPriority w:val="39"/>
    <w:rsid w:val="004C576D"/>
    <w:pPr>
      <w:tabs>
        <w:tab w:val="left" w:pos="720"/>
        <w:tab w:val="right" w:leader="dot" w:pos="9494"/>
      </w:tabs>
      <w:spacing w:before="120" w:after="120" w:line="240" w:lineRule="atLeast"/>
      <w:ind w:left="720" w:hanging="720"/>
    </w:pPr>
    <w:rPr>
      <w:smallCaps/>
      <w:szCs w:val="20"/>
    </w:rPr>
  </w:style>
  <w:style w:type="paragraph" w:customStyle="1" w:styleId="P1-StandPara">
    <w:name w:val="P1-Stand Para"/>
    <w:rsid w:val="004A70E1"/>
    <w:pPr>
      <w:spacing w:line="480" w:lineRule="auto"/>
      <w:ind w:firstLine="720"/>
    </w:pPr>
    <w:rPr>
      <w:sz w:val="22"/>
    </w:rPr>
  </w:style>
  <w:style w:type="paragraph" w:styleId="Footer">
    <w:name w:val="footer"/>
    <w:basedOn w:val="Normal"/>
    <w:link w:val="FooterChar"/>
    <w:uiPriority w:val="99"/>
    <w:rsid w:val="004A70E1"/>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semiHidden/>
    <w:rsid w:val="004308E8"/>
    <w:rPr>
      <w:sz w:val="24"/>
      <w:szCs w:val="24"/>
    </w:rPr>
  </w:style>
  <w:style w:type="character" w:styleId="PageNumber">
    <w:name w:val="page number"/>
    <w:basedOn w:val="DefaultParagraphFont"/>
    <w:uiPriority w:val="99"/>
    <w:rsid w:val="004A70E1"/>
    <w:rPr>
      <w:rFonts w:cs="Times New Roman"/>
    </w:rPr>
  </w:style>
  <w:style w:type="paragraph" w:customStyle="1" w:styleId="a">
    <w:name w:val="_"/>
    <w:rsid w:val="00B41EC6"/>
    <w:pPr>
      <w:widowControl w:val="0"/>
      <w:ind w:left="720"/>
    </w:pPr>
    <w:rPr>
      <w:sz w:val="24"/>
    </w:rPr>
  </w:style>
  <w:style w:type="paragraph" w:styleId="NormalWeb">
    <w:name w:val="Normal (Web)"/>
    <w:basedOn w:val="Normal"/>
    <w:uiPriority w:val="99"/>
    <w:semiHidden/>
    <w:unhideWhenUsed/>
    <w:rsid w:val="006D65B4"/>
    <w:pPr>
      <w:spacing w:after="180"/>
      <w:ind w:right="75"/>
    </w:pPr>
  </w:style>
  <w:style w:type="paragraph" w:styleId="CommentText">
    <w:name w:val="annotation text"/>
    <w:basedOn w:val="Normal"/>
    <w:link w:val="CommentTextChar"/>
    <w:uiPriority w:val="99"/>
    <w:semiHidden/>
    <w:unhideWhenUsed/>
    <w:rsid w:val="00C8789B"/>
    <w:rPr>
      <w:sz w:val="20"/>
      <w:szCs w:val="20"/>
    </w:rPr>
  </w:style>
  <w:style w:type="character" w:customStyle="1" w:styleId="CommentTextChar">
    <w:name w:val="Comment Text Char"/>
    <w:basedOn w:val="DefaultParagraphFont"/>
    <w:link w:val="CommentText"/>
    <w:uiPriority w:val="99"/>
    <w:semiHidden/>
    <w:locked/>
    <w:rsid w:val="00C8789B"/>
    <w:rPr>
      <w:rFonts w:cs="Times New Roman"/>
    </w:rPr>
  </w:style>
  <w:style w:type="character" w:styleId="CommentReference">
    <w:name w:val="annotation reference"/>
    <w:basedOn w:val="DefaultParagraphFont"/>
    <w:uiPriority w:val="99"/>
    <w:semiHidden/>
    <w:unhideWhenUsed/>
    <w:rsid w:val="00C8789B"/>
    <w:rPr>
      <w:rFonts w:cs="Times New Roman"/>
      <w:sz w:val="16"/>
      <w:szCs w:val="16"/>
    </w:rPr>
  </w:style>
  <w:style w:type="paragraph" w:styleId="BalloonText">
    <w:name w:val="Balloon Text"/>
    <w:basedOn w:val="Normal"/>
    <w:link w:val="BalloonTextChar"/>
    <w:uiPriority w:val="99"/>
    <w:semiHidden/>
    <w:unhideWhenUsed/>
    <w:rsid w:val="00C8789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789B"/>
    <w:rPr>
      <w:rFonts w:ascii="Tahoma" w:hAnsi="Tahoma" w:cs="Tahoma"/>
      <w:sz w:val="16"/>
      <w:szCs w:val="16"/>
    </w:rPr>
  </w:style>
  <w:style w:type="paragraph" w:customStyle="1" w:styleId="StyleLinespacingDouble">
    <w:name w:val="Style Line spacing:  Double"/>
    <w:basedOn w:val="Normal"/>
    <w:rsid w:val="004C576D"/>
    <w:pPr>
      <w:spacing w:after="240" w:line="480" w:lineRule="auto"/>
      <w:jc w:val="both"/>
    </w:pPr>
    <w:rPr>
      <w:szCs w:val="20"/>
    </w:rPr>
  </w:style>
  <w:style w:type="paragraph" w:styleId="CommentSubject">
    <w:name w:val="annotation subject"/>
    <w:basedOn w:val="CommentText"/>
    <w:next w:val="CommentText"/>
    <w:link w:val="CommentSubjectChar"/>
    <w:uiPriority w:val="99"/>
    <w:semiHidden/>
    <w:rsid w:val="00054389"/>
    <w:rPr>
      <w:b/>
      <w:bCs/>
    </w:rPr>
  </w:style>
  <w:style w:type="character" w:customStyle="1" w:styleId="CommentSubjectChar">
    <w:name w:val="Comment Subject Char"/>
    <w:basedOn w:val="CommentTextChar"/>
    <w:link w:val="CommentSubject"/>
    <w:uiPriority w:val="99"/>
    <w:semiHidden/>
    <w:rsid w:val="004308E8"/>
    <w:rPr>
      <w:rFonts w:cs="Times New Roman"/>
      <w:b/>
      <w:bCs/>
    </w:rPr>
  </w:style>
  <w:style w:type="character" w:customStyle="1" w:styleId="A6">
    <w:name w:val="A6"/>
    <w:rsid w:val="00052D6D"/>
    <w:rPr>
      <w:color w:val="000000"/>
      <w:sz w:val="22"/>
    </w:rPr>
  </w:style>
  <w:style w:type="paragraph" w:customStyle="1" w:styleId="Default">
    <w:name w:val="Default"/>
    <w:rsid w:val="00052D6D"/>
    <w:pPr>
      <w:autoSpaceDE w:val="0"/>
      <w:autoSpaceDN w:val="0"/>
      <w:adjustRightInd w:val="0"/>
    </w:pPr>
    <w:rPr>
      <w:rFonts w:ascii="Adobe Jenson Pro" w:hAnsi="Adobe Jenson Pro" w:cs="Adobe Jenson Pro"/>
      <w:color w:val="000000"/>
      <w:sz w:val="24"/>
      <w:szCs w:val="24"/>
    </w:rPr>
  </w:style>
  <w:style w:type="character" w:customStyle="1" w:styleId="A2">
    <w:name w:val="A2"/>
    <w:rsid w:val="00052D6D"/>
    <w:rPr>
      <w:color w:val="000000"/>
    </w:rPr>
  </w:style>
  <w:style w:type="paragraph" w:customStyle="1" w:styleId="Pa1">
    <w:name w:val="Pa1"/>
    <w:basedOn w:val="Default"/>
    <w:next w:val="Default"/>
    <w:rsid w:val="00052D6D"/>
    <w:pPr>
      <w:spacing w:after="20" w:line="361" w:lineRule="atLeast"/>
    </w:pPr>
    <w:rPr>
      <w:rFonts w:cs="Times New Roman"/>
      <w:color w:val="auto"/>
    </w:rPr>
  </w:style>
  <w:style w:type="character" w:customStyle="1" w:styleId="A3">
    <w:name w:val="A3"/>
    <w:rsid w:val="00052D6D"/>
    <w:rPr>
      <w:color w:val="000000"/>
    </w:rPr>
  </w:style>
  <w:style w:type="paragraph" w:styleId="ListParagraph">
    <w:name w:val="List Paragraph"/>
    <w:basedOn w:val="Normal"/>
    <w:uiPriority w:val="34"/>
    <w:qFormat/>
    <w:rsid w:val="00E47E31"/>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9139A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89"/>
    <w:rPr>
      <w:sz w:val="24"/>
      <w:szCs w:val="24"/>
    </w:rPr>
  </w:style>
  <w:style w:type="paragraph" w:styleId="Heading1">
    <w:name w:val="heading 1"/>
    <w:basedOn w:val="Normal"/>
    <w:next w:val="Normal"/>
    <w:link w:val="Heading1Char"/>
    <w:uiPriority w:val="9"/>
    <w:qFormat/>
    <w:rsid w:val="001F2281"/>
    <w:pPr>
      <w:keepNext/>
      <w:spacing w:before="120" w:after="480"/>
      <w:outlineLvl w:val="0"/>
    </w:pPr>
    <w:rPr>
      <w:rFonts w:cs="Arial"/>
      <w:b/>
      <w:bCs/>
      <w:smallCaps/>
      <w:kern w:val="32"/>
      <w:szCs w:val="32"/>
    </w:rPr>
  </w:style>
  <w:style w:type="paragraph" w:styleId="Heading2">
    <w:name w:val="heading 2"/>
    <w:aliases w:val="H2-Sec. Head"/>
    <w:basedOn w:val="Normal"/>
    <w:next w:val="P1-StandPara"/>
    <w:link w:val="Heading2Char"/>
    <w:qFormat/>
    <w:rsid w:val="004347BB"/>
    <w:pPr>
      <w:keepNext/>
      <w:tabs>
        <w:tab w:val="left" w:pos="1152"/>
      </w:tabs>
      <w:spacing w:before="360" w:after="360"/>
      <w:ind w:left="720" w:hanging="720"/>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8E8"/>
    <w:rPr>
      <w:rFonts w:asciiTheme="majorHAnsi" w:eastAsiaTheme="majorEastAsia" w:hAnsiTheme="majorHAnsi" w:cstheme="majorBidi"/>
      <w:b/>
      <w:bCs/>
      <w:kern w:val="32"/>
      <w:sz w:val="32"/>
      <w:szCs w:val="32"/>
    </w:rPr>
  </w:style>
  <w:style w:type="character" w:customStyle="1" w:styleId="Heading2Char">
    <w:name w:val="Heading 2 Char"/>
    <w:aliases w:val="H2-Sec. Head Char"/>
    <w:basedOn w:val="DefaultParagraphFont"/>
    <w:link w:val="Heading2"/>
    <w:uiPriority w:val="9"/>
    <w:semiHidden/>
    <w:rsid w:val="004308E8"/>
    <w:rPr>
      <w:rFonts w:asciiTheme="majorHAnsi" w:eastAsiaTheme="majorEastAsia" w:hAnsiTheme="majorHAnsi" w:cstheme="majorBidi"/>
      <w:b/>
      <w:bCs/>
      <w:i/>
      <w:iCs/>
      <w:sz w:val="28"/>
      <w:szCs w:val="28"/>
    </w:rPr>
  </w:style>
  <w:style w:type="paragraph" w:styleId="TOC1">
    <w:name w:val="toc 1"/>
    <w:basedOn w:val="Normal"/>
    <w:autoRedefine/>
    <w:uiPriority w:val="39"/>
    <w:rsid w:val="006A6B5E"/>
    <w:pPr>
      <w:tabs>
        <w:tab w:val="left" w:pos="0"/>
        <w:tab w:val="left" w:pos="720"/>
        <w:tab w:val="right" w:leader="dot" w:pos="9494"/>
      </w:tabs>
      <w:spacing w:before="120" w:after="120" w:line="480" w:lineRule="auto"/>
      <w:jc w:val="center"/>
    </w:pPr>
    <w:rPr>
      <w:b/>
      <w:caps/>
      <w:noProof/>
    </w:rPr>
  </w:style>
  <w:style w:type="paragraph" w:styleId="TOC2">
    <w:name w:val="toc 2"/>
    <w:basedOn w:val="Normal"/>
    <w:autoRedefine/>
    <w:uiPriority w:val="39"/>
    <w:rsid w:val="004C576D"/>
    <w:pPr>
      <w:tabs>
        <w:tab w:val="left" w:pos="720"/>
        <w:tab w:val="right" w:leader="dot" w:pos="9494"/>
      </w:tabs>
      <w:spacing w:before="120" w:after="120" w:line="240" w:lineRule="atLeast"/>
      <w:ind w:left="720" w:hanging="720"/>
    </w:pPr>
    <w:rPr>
      <w:smallCaps/>
      <w:szCs w:val="20"/>
    </w:rPr>
  </w:style>
  <w:style w:type="paragraph" w:customStyle="1" w:styleId="P1-StandPara">
    <w:name w:val="P1-Stand Para"/>
    <w:rsid w:val="004A70E1"/>
    <w:pPr>
      <w:spacing w:line="480" w:lineRule="auto"/>
      <w:ind w:firstLine="720"/>
    </w:pPr>
    <w:rPr>
      <w:sz w:val="22"/>
    </w:rPr>
  </w:style>
  <w:style w:type="paragraph" w:styleId="Footer">
    <w:name w:val="footer"/>
    <w:basedOn w:val="Normal"/>
    <w:link w:val="FooterChar"/>
    <w:uiPriority w:val="99"/>
    <w:rsid w:val="004A70E1"/>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semiHidden/>
    <w:rsid w:val="004308E8"/>
    <w:rPr>
      <w:sz w:val="24"/>
      <w:szCs w:val="24"/>
    </w:rPr>
  </w:style>
  <w:style w:type="character" w:styleId="PageNumber">
    <w:name w:val="page number"/>
    <w:basedOn w:val="DefaultParagraphFont"/>
    <w:uiPriority w:val="99"/>
    <w:rsid w:val="004A70E1"/>
    <w:rPr>
      <w:rFonts w:cs="Times New Roman"/>
    </w:rPr>
  </w:style>
  <w:style w:type="paragraph" w:customStyle="1" w:styleId="a">
    <w:name w:val="_"/>
    <w:rsid w:val="00B41EC6"/>
    <w:pPr>
      <w:widowControl w:val="0"/>
      <w:ind w:left="720"/>
    </w:pPr>
    <w:rPr>
      <w:sz w:val="24"/>
    </w:rPr>
  </w:style>
  <w:style w:type="paragraph" w:styleId="NormalWeb">
    <w:name w:val="Normal (Web)"/>
    <w:basedOn w:val="Normal"/>
    <w:uiPriority w:val="99"/>
    <w:semiHidden/>
    <w:unhideWhenUsed/>
    <w:rsid w:val="006D65B4"/>
    <w:pPr>
      <w:spacing w:after="180"/>
      <w:ind w:right="75"/>
    </w:pPr>
  </w:style>
  <w:style w:type="paragraph" w:styleId="CommentText">
    <w:name w:val="annotation text"/>
    <w:basedOn w:val="Normal"/>
    <w:link w:val="CommentTextChar"/>
    <w:uiPriority w:val="99"/>
    <w:semiHidden/>
    <w:unhideWhenUsed/>
    <w:rsid w:val="00C8789B"/>
    <w:rPr>
      <w:sz w:val="20"/>
      <w:szCs w:val="20"/>
    </w:rPr>
  </w:style>
  <w:style w:type="character" w:customStyle="1" w:styleId="CommentTextChar">
    <w:name w:val="Comment Text Char"/>
    <w:basedOn w:val="DefaultParagraphFont"/>
    <w:link w:val="CommentText"/>
    <w:uiPriority w:val="99"/>
    <w:semiHidden/>
    <w:locked/>
    <w:rsid w:val="00C8789B"/>
    <w:rPr>
      <w:rFonts w:cs="Times New Roman"/>
    </w:rPr>
  </w:style>
  <w:style w:type="character" w:styleId="CommentReference">
    <w:name w:val="annotation reference"/>
    <w:basedOn w:val="DefaultParagraphFont"/>
    <w:uiPriority w:val="99"/>
    <w:semiHidden/>
    <w:unhideWhenUsed/>
    <w:rsid w:val="00C8789B"/>
    <w:rPr>
      <w:rFonts w:cs="Times New Roman"/>
      <w:sz w:val="16"/>
      <w:szCs w:val="16"/>
    </w:rPr>
  </w:style>
  <w:style w:type="paragraph" w:styleId="BalloonText">
    <w:name w:val="Balloon Text"/>
    <w:basedOn w:val="Normal"/>
    <w:link w:val="BalloonTextChar"/>
    <w:uiPriority w:val="99"/>
    <w:semiHidden/>
    <w:unhideWhenUsed/>
    <w:rsid w:val="00C8789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789B"/>
    <w:rPr>
      <w:rFonts w:ascii="Tahoma" w:hAnsi="Tahoma" w:cs="Tahoma"/>
      <w:sz w:val="16"/>
      <w:szCs w:val="16"/>
    </w:rPr>
  </w:style>
  <w:style w:type="paragraph" w:customStyle="1" w:styleId="StyleLinespacingDouble">
    <w:name w:val="Style Line spacing:  Double"/>
    <w:basedOn w:val="Normal"/>
    <w:rsid w:val="004C576D"/>
    <w:pPr>
      <w:spacing w:after="240" w:line="480" w:lineRule="auto"/>
      <w:jc w:val="both"/>
    </w:pPr>
    <w:rPr>
      <w:szCs w:val="20"/>
    </w:rPr>
  </w:style>
  <w:style w:type="paragraph" w:styleId="CommentSubject">
    <w:name w:val="annotation subject"/>
    <w:basedOn w:val="CommentText"/>
    <w:next w:val="CommentText"/>
    <w:link w:val="CommentSubjectChar"/>
    <w:uiPriority w:val="99"/>
    <w:semiHidden/>
    <w:rsid w:val="00054389"/>
    <w:rPr>
      <w:b/>
      <w:bCs/>
    </w:rPr>
  </w:style>
  <w:style w:type="character" w:customStyle="1" w:styleId="CommentSubjectChar">
    <w:name w:val="Comment Subject Char"/>
    <w:basedOn w:val="CommentTextChar"/>
    <w:link w:val="CommentSubject"/>
    <w:uiPriority w:val="99"/>
    <w:semiHidden/>
    <w:rsid w:val="004308E8"/>
    <w:rPr>
      <w:rFonts w:cs="Times New Roman"/>
      <w:b/>
      <w:bCs/>
    </w:rPr>
  </w:style>
  <w:style w:type="character" w:customStyle="1" w:styleId="A6">
    <w:name w:val="A6"/>
    <w:rsid w:val="00052D6D"/>
    <w:rPr>
      <w:color w:val="000000"/>
      <w:sz w:val="22"/>
    </w:rPr>
  </w:style>
  <w:style w:type="paragraph" w:customStyle="1" w:styleId="Default">
    <w:name w:val="Default"/>
    <w:rsid w:val="00052D6D"/>
    <w:pPr>
      <w:autoSpaceDE w:val="0"/>
      <w:autoSpaceDN w:val="0"/>
      <w:adjustRightInd w:val="0"/>
    </w:pPr>
    <w:rPr>
      <w:rFonts w:ascii="Adobe Jenson Pro" w:hAnsi="Adobe Jenson Pro" w:cs="Adobe Jenson Pro"/>
      <w:color w:val="000000"/>
      <w:sz w:val="24"/>
      <w:szCs w:val="24"/>
    </w:rPr>
  </w:style>
  <w:style w:type="character" w:customStyle="1" w:styleId="A2">
    <w:name w:val="A2"/>
    <w:rsid w:val="00052D6D"/>
    <w:rPr>
      <w:color w:val="000000"/>
    </w:rPr>
  </w:style>
  <w:style w:type="paragraph" w:customStyle="1" w:styleId="Pa1">
    <w:name w:val="Pa1"/>
    <w:basedOn w:val="Default"/>
    <w:next w:val="Default"/>
    <w:rsid w:val="00052D6D"/>
    <w:pPr>
      <w:spacing w:after="20" w:line="361" w:lineRule="atLeast"/>
    </w:pPr>
    <w:rPr>
      <w:rFonts w:cs="Times New Roman"/>
      <w:color w:val="auto"/>
    </w:rPr>
  </w:style>
  <w:style w:type="character" w:customStyle="1" w:styleId="A3">
    <w:name w:val="A3"/>
    <w:rsid w:val="00052D6D"/>
    <w:rPr>
      <w:color w:val="000000"/>
    </w:rPr>
  </w:style>
  <w:style w:type="paragraph" w:styleId="ListParagraph">
    <w:name w:val="List Paragraph"/>
    <w:basedOn w:val="Normal"/>
    <w:uiPriority w:val="34"/>
    <w:qFormat/>
    <w:rsid w:val="00E47E31"/>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9139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90310">
      <w:bodyDiv w:val="1"/>
      <w:marLeft w:val="0"/>
      <w:marRight w:val="0"/>
      <w:marTop w:val="0"/>
      <w:marBottom w:val="0"/>
      <w:divBdr>
        <w:top w:val="none" w:sz="0" w:space="0" w:color="auto"/>
        <w:left w:val="none" w:sz="0" w:space="0" w:color="auto"/>
        <w:bottom w:val="none" w:sz="0" w:space="0" w:color="auto"/>
        <w:right w:val="none" w:sz="0" w:space="0" w:color="auto"/>
      </w:divBdr>
    </w:div>
    <w:div w:id="1674453260">
      <w:marLeft w:val="0"/>
      <w:marRight w:val="0"/>
      <w:marTop w:val="0"/>
      <w:marBottom w:val="0"/>
      <w:divBdr>
        <w:top w:val="none" w:sz="0" w:space="0" w:color="auto"/>
        <w:left w:val="none" w:sz="0" w:space="0" w:color="auto"/>
        <w:bottom w:val="none" w:sz="0" w:space="0" w:color="auto"/>
        <w:right w:val="none" w:sz="0" w:space="0" w:color="auto"/>
      </w:divBdr>
    </w:div>
    <w:div w:id="1674453261">
      <w:marLeft w:val="0"/>
      <w:marRight w:val="0"/>
      <w:marTop w:val="0"/>
      <w:marBottom w:val="0"/>
      <w:divBdr>
        <w:top w:val="none" w:sz="0" w:space="0" w:color="auto"/>
        <w:left w:val="none" w:sz="0" w:space="0" w:color="auto"/>
        <w:bottom w:val="none" w:sz="0" w:space="0" w:color="auto"/>
        <w:right w:val="none" w:sz="0" w:space="0" w:color="auto"/>
      </w:divBdr>
    </w:div>
    <w:div w:id="1674453262">
      <w:marLeft w:val="0"/>
      <w:marRight w:val="0"/>
      <w:marTop w:val="0"/>
      <w:marBottom w:val="0"/>
      <w:divBdr>
        <w:top w:val="none" w:sz="0" w:space="0" w:color="auto"/>
        <w:left w:val="none" w:sz="0" w:space="0" w:color="auto"/>
        <w:bottom w:val="none" w:sz="0" w:space="0" w:color="auto"/>
        <w:right w:val="none" w:sz="0" w:space="0" w:color="auto"/>
      </w:divBdr>
    </w:div>
    <w:div w:id="1674453263">
      <w:marLeft w:val="0"/>
      <w:marRight w:val="0"/>
      <w:marTop w:val="0"/>
      <w:marBottom w:val="0"/>
      <w:divBdr>
        <w:top w:val="none" w:sz="0" w:space="0" w:color="auto"/>
        <w:left w:val="none" w:sz="0" w:space="0" w:color="auto"/>
        <w:bottom w:val="none" w:sz="0" w:space="0" w:color="auto"/>
        <w:right w:val="none" w:sz="0" w:space="0" w:color="auto"/>
      </w:divBdr>
    </w:div>
    <w:div w:id="1674453264">
      <w:marLeft w:val="0"/>
      <w:marRight w:val="0"/>
      <w:marTop w:val="0"/>
      <w:marBottom w:val="0"/>
      <w:divBdr>
        <w:top w:val="none" w:sz="0" w:space="0" w:color="auto"/>
        <w:left w:val="none" w:sz="0" w:space="0" w:color="auto"/>
        <w:bottom w:val="none" w:sz="0" w:space="0" w:color="auto"/>
        <w:right w:val="none" w:sz="0" w:space="0" w:color="auto"/>
      </w:divBdr>
    </w:div>
    <w:div w:id="1674453265">
      <w:marLeft w:val="0"/>
      <w:marRight w:val="0"/>
      <w:marTop w:val="0"/>
      <w:marBottom w:val="0"/>
      <w:divBdr>
        <w:top w:val="none" w:sz="0" w:space="0" w:color="auto"/>
        <w:left w:val="none" w:sz="0" w:space="0" w:color="auto"/>
        <w:bottom w:val="none" w:sz="0" w:space="0" w:color="auto"/>
        <w:right w:val="none" w:sz="0" w:space="0" w:color="auto"/>
      </w:divBdr>
    </w:div>
    <w:div w:id="1674453266">
      <w:marLeft w:val="0"/>
      <w:marRight w:val="0"/>
      <w:marTop w:val="0"/>
      <w:marBottom w:val="0"/>
      <w:divBdr>
        <w:top w:val="none" w:sz="0" w:space="0" w:color="auto"/>
        <w:left w:val="none" w:sz="0" w:space="0" w:color="auto"/>
        <w:bottom w:val="none" w:sz="0" w:space="0" w:color="auto"/>
        <w:right w:val="none" w:sz="0" w:space="0" w:color="auto"/>
      </w:divBdr>
    </w:div>
    <w:div w:id="1674453267">
      <w:marLeft w:val="0"/>
      <w:marRight w:val="0"/>
      <w:marTop w:val="0"/>
      <w:marBottom w:val="0"/>
      <w:divBdr>
        <w:top w:val="none" w:sz="0" w:space="0" w:color="auto"/>
        <w:left w:val="none" w:sz="0" w:space="0" w:color="auto"/>
        <w:bottom w:val="none" w:sz="0" w:space="0" w:color="auto"/>
        <w:right w:val="none" w:sz="0" w:space="0" w:color="auto"/>
      </w:divBdr>
    </w:div>
    <w:div w:id="16744532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wagsterm@nia.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43ACE-29E1-4F80-B7F4-4554EF65E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6151</Words>
  <Characters>35064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2011-07-25T18:04:00Z</dcterms:created>
  <dcterms:modified xsi:type="dcterms:W3CDTF">2011-07-25T18:04:00Z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