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50" w:rsidRPr="00931449" w:rsidRDefault="0077566C" w:rsidP="000E3A50">
      <w:pPr>
        <w:rPr>
          <w:rFonts w:asciiTheme="majorHAnsi" w:hAnsiTheme="majorHAnsi" w:cstheme="majorHAnsi"/>
          <w:b/>
          <w:sz w:val="24"/>
          <w:szCs w:val="24"/>
        </w:rPr>
      </w:pPr>
      <w:proofErr w:type="gramStart"/>
      <w:r w:rsidRPr="00584FA2">
        <w:rPr>
          <w:rFonts w:ascii="Times New Roman" w:hAnsi="Times New Roman" w:cs="Times New Roman"/>
          <w:b/>
        </w:rPr>
        <w:t xml:space="preserve">Attachment </w:t>
      </w:r>
      <w:r w:rsidR="00584FA2" w:rsidRPr="00584FA2">
        <w:rPr>
          <w:rFonts w:ascii="Times New Roman" w:hAnsi="Times New Roman" w:cs="Times New Roman"/>
          <w:b/>
        </w:rPr>
        <w:t>A-1</w:t>
      </w:r>
      <w:r w:rsidRPr="00584FA2">
        <w:rPr>
          <w:rFonts w:ascii="Times New Roman" w:hAnsi="Times New Roman" w:cs="Times New Roman"/>
          <w:b/>
        </w:rPr>
        <w:t>.</w:t>
      </w:r>
      <w:proofErr w:type="gramEnd"/>
      <w:r w:rsidRPr="00584FA2">
        <w:rPr>
          <w:rFonts w:ascii="Times New Roman" w:hAnsi="Times New Roman" w:cs="Times New Roman"/>
          <w:b/>
        </w:rPr>
        <w:t xml:space="preserve"> </w:t>
      </w:r>
      <w:r w:rsidR="000E3A50" w:rsidRPr="00931449">
        <w:rPr>
          <w:rFonts w:asciiTheme="majorHAnsi" w:hAnsiTheme="majorHAnsi" w:cstheme="majorHAnsi"/>
          <w:b/>
          <w:sz w:val="24"/>
          <w:szCs w:val="24"/>
        </w:rPr>
        <w:t xml:space="preserve">Process Evaluation of the NIH Roadmap </w:t>
      </w:r>
      <w:proofErr w:type="spellStart"/>
      <w:r w:rsidR="000E3A50" w:rsidRPr="00931449">
        <w:rPr>
          <w:rFonts w:asciiTheme="majorHAnsi" w:hAnsiTheme="majorHAnsi" w:cstheme="majorHAnsi"/>
          <w:b/>
          <w:sz w:val="24"/>
          <w:szCs w:val="24"/>
        </w:rPr>
        <w:t>Epigenomics</w:t>
      </w:r>
      <w:proofErr w:type="spellEnd"/>
      <w:r w:rsidR="000E3A50" w:rsidRPr="00931449">
        <w:rPr>
          <w:rFonts w:asciiTheme="majorHAnsi" w:hAnsiTheme="majorHAnsi" w:cstheme="majorHAnsi"/>
          <w:b/>
          <w:sz w:val="24"/>
          <w:szCs w:val="24"/>
        </w:rPr>
        <w:t xml:space="preserve"> Program</w:t>
      </w:r>
      <w:r w:rsidR="000E3A50">
        <w:rPr>
          <w:rFonts w:asciiTheme="majorHAnsi" w:hAnsiTheme="majorHAnsi" w:cstheme="majorHAnsi"/>
          <w:b/>
          <w:sz w:val="24"/>
          <w:szCs w:val="24"/>
        </w:rPr>
        <w:t xml:space="preserve"> (NIDA) </w:t>
      </w:r>
    </w:p>
    <w:p w:rsidR="0077566C" w:rsidRPr="00584FA2" w:rsidRDefault="0077566C" w:rsidP="00584FA2">
      <w:pPr>
        <w:jc w:val="center"/>
        <w:rPr>
          <w:rFonts w:ascii="Times New Roman" w:hAnsi="Times New Roman" w:cs="Times New Roman"/>
          <w:b/>
        </w:rPr>
      </w:pPr>
      <w:r w:rsidRPr="00584FA2">
        <w:rPr>
          <w:rFonts w:ascii="Times New Roman" w:hAnsi="Times New Roman" w:cs="Times New Roman"/>
          <w:b/>
        </w:rPr>
        <w:t xml:space="preserve">Roadmap </w:t>
      </w:r>
      <w:proofErr w:type="spellStart"/>
      <w:r w:rsidRPr="00584FA2">
        <w:rPr>
          <w:rFonts w:ascii="Times New Roman" w:hAnsi="Times New Roman" w:cs="Times New Roman"/>
          <w:b/>
        </w:rPr>
        <w:t>Epigenomics</w:t>
      </w:r>
      <w:proofErr w:type="spellEnd"/>
      <w:r w:rsidRPr="00584FA2">
        <w:rPr>
          <w:rFonts w:ascii="Times New Roman" w:hAnsi="Times New Roman" w:cs="Times New Roman"/>
          <w:b/>
        </w:rPr>
        <w:t xml:space="preserve"> Program </w:t>
      </w:r>
      <w:r w:rsidR="007D2787" w:rsidRPr="00584FA2">
        <w:rPr>
          <w:rFonts w:ascii="Times New Roman" w:hAnsi="Times New Roman" w:cs="Times New Roman"/>
          <w:b/>
        </w:rPr>
        <w:t xml:space="preserve">RFA </w:t>
      </w:r>
      <w:r w:rsidRPr="00584FA2">
        <w:rPr>
          <w:rFonts w:ascii="Times New Roman" w:hAnsi="Times New Roman" w:cs="Times New Roman"/>
          <w:b/>
        </w:rPr>
        <w:t>Require</w:t>
      </w:r>
      <w:bookmarkStart w:id="0" w:name="_GoBack"/>
      <w:bookmarkEnd w:id="0"/>
      <w:r w:rsidRPr="00584FA2">
        <w:rPr>
          <w:rFonts w:ascii="Times New Roman" w:hAnsi="Times New Roman" w:cs="Times New Roman"/>
          <w:b/>
        </w:rPr>
        <w:t>ment</w:t>
      </w:r>
      <w:r w:rsidR="007D2787" w:rsidRPr="00584FA2">
        <w:rPr>
          <w:rFonts w:ascii="Times New Roman" w:hAnsi="Times New Roman" w:cs="Times New Roman"/>
          <w:b/>
        </w:rPr>
        <w:t>s</w:t>
      </w:r>
      <w:r w:rsidRPr="00584FA2">
        <w:rPr>
          <w:rFonts w:ascii="Times New Roman" w:hAnsi="Times New Roman" w:cs="Times New Roman"/>
          <w:b/>
        </w:rPr>
        <w:t xml:space="preserve"> for Evaluation</w:t>
      </w:r>
    </w:p>
    <w:tbl>
      <w:tblPr>
        <w:tblStyle w:val="TableGrid"/>
        <w:tblW w:w="9270" w:type="dxa"/>
        <w:jc w:val="center"/>
        <w:tblLook w:val="04A0"/>
      </w:tblPr>
      <w:tblGrid>
        <w:gridCol w:w="1866"/>
        <w:gridCol w:w="1779"/>
        <w:gridCol w:w="5625"/>
      </w:tblGrid>
      <w:tr w:rsidR="00A215B3" w:rsidRPr="00584FA2" w:rsidTr="00FB4AC1">
        <w:trPr>
          <w:cantSplit/>
          <w:tblHeader/>
          <w:jc w:val="center"/>
        </w:trPr>
        <w:tc>
          <w:tcPr>
            <w:tcW w:w="1866" w:type="dxa"/>
            <w:vMerge w:val="restart"/>
            <w:shd w:val="clear" w:color="auto" w:fill="D9D9D9" w:themeFill="background1" w:themeFillShade="D9"/>
          </w:tcPr>
          <w:p w:rsidR="00A215B3" w:rsidRPr="00584FA2" w:rsidRDefault="00A215B3" w:rsidP="00A215B3">
            <w:pPr>
              <w:jc w:val="center"/>
              <w:rPr>
                <w:rFonts w:ascii="Times New Roman" w:hAnsi="Times New Roman" w:cs="Times New Roman"/>
                <w:b/>
                <w:sz w:val="20"/>
                <w:szCs w:val="20"/>
              </w:rPr>
            </w:pPr>
            <w:r w:rsidRPr="00584FA2">
              <w:rPr>
                <w:rFonts w:ascii="Times New Roman" w:hAnsi="Times New Roman" w:cs="Times New Roman"/>
                <w:b/>
                <w:sz w:val="20"/>
                <w:szCs w:val="20"/>
              </w:rPr>
              <w:t>RFA Title and Number</w:t>
            </w:r>
          </w:p>
        </w:tc>
        <w:tc>
          <w:tcPr>
            <w:tcW w:w="7404" w:type="dxa"/>
            <w:gridSpan w:val="2"/>
            <w:shd w:val="clear" w:color="auto" w:fill="D9D9D9" w:themeFill="background1" w:themeFillShade="D9"/>
          </w:tcPr>
          <w:p w:rsidR="00A215B3" w:rsidRPr="00584FA2" w:rsidRDefault="00A215B3" w:rsidP="00A215B3">
            <w:pPr>
              <w:jc w:val="center"/>
              <w:rPr>
                <w:rFonts w:ascii="Times New Roman" w:hAnsi="Times New Roman" w:cs="Times New Roman"/>
                <w:b/>
                <w:sz w:val="20"/>
                <w:szCs w:val="20"/>
              </w:rPr>
            </w:pPr>
            <w:r w:rsidRPr="00584FA2">
              <w:rPr>
                <w:rFonts w:ascii="Times New Roman" w:hAnsi="Times New Roman" w:cs="Times New Roman"/>
                <w:b/>
                <w:sz w:val="20"/>
                <w:szCs w:val="20"/>
              </w:rPr>
              <w:t>RFA Requirement for Evaluation</w:t>
            </w:r>
          </w:p>
        </w:tc>
      </w:tr>
      <w:tr w:rsidR="00A215B3" w:rsidRPr="00584FA2" w:rsidTr="00FB4AC1">
        <w:trPr>
          <w:cantSplit/>
          <w:tblHeader/>
          <w:jc w:val="center"/>
        </w:trPr>
        <w:tc>
          <w:tcPr>
            <w:tcW w:w="1866" w:type="dxa"/>
            <w:vMerge/>
            <w:shd w:val="clear" w:color="auto" w:fill="D9D9D9" w:themeFill="background1" w:themeFillShade="D9"/>
          </w:tcPr>
          <w:p w:rsidR="00A215B3" w:rsidRPr="00584FA2" w:rsidRDefault="00A215B3" w:rsidP="00A215B3">
            <w:pPr>
              <w:jc w:val="center"/>
              <w:rPr>
                <w:rFonts w:ascii="Times New Roman" w:hAnsi="Times New Roman" w:cs="Times New Roman"/>
                <w:sz w:val="20"/>
                <w:szCs w:val="20"/>
              </w:rPr>
            </w:pPr>
          </w:p>
        </w:tc>
        <w:tc>
          <w:tcPr>
            <w:tcW w:w="1779" w:type="dxa"/>
            <w:shd w:val="clear" w:color="auto" w:fill="D9D9D9" w:themeFill="background1" w:themeFillShade="D9"/>
          </w:tcPr>
          <w:p w:rsidR="00A215B3" w:rsidRPr="00584FA2" w:rsidRDefault="00A215B3" w:rsidP="00A215B3">
            <w:pPr>
              <w:spacing w:before="100" w:beforeAutospacing="1" w:after="100" w:afterAutospacing="1" w:line="336" w:lineRule="atLeast"/>
              <w:jc w:val="center"/>
              <w:rPr>
                <w:rFonts w:ascii="Times New Roman" w:eastAsia="Times New Roman" w:hAnsi="Times New Roman" w:cs="Times New Roman"/>
                <w:b/>
                <w:bCs/>
                <w:color w:val="000000"/>
                <w:spacing w:val="3"/>
                <w:sz w:val="20"/>
                <w:szCs w:val="20"/>
              </w:rPr>
            </w:pPr>
            <w:r w:rsidRPr="00584FA2">
              <w:rPr>
                <w:rFonts w:ascii="Times New Roman" w:eastAsia="Times New Roman" w:hAnsi="Times New Roman" w:cs="Times New Roman"/>
                <w:b/>
                <w:bCs/>
                <w:color w:val="000000"/>
                <w:spacing w:val="3"/>
                <w:sz w:val="20"/>
                <w:szCs w:val="20"/>
              </w:rPr>
              <w:t>RFA Location</w:t>
            </w:r>
          </w:p>
        </w:tc>
        <w:tc>
          <w:tcPr>
            <w:tcW w:w="5625" w:type="dxa"/>
            <w:shd w:val="clear" w:color="auto" w:fill="D9D9D9" w:themeFill="background1" w:themeFillShade="D9"/>
          </w:tcPr>
          <w:p w:rsidR="00A215B3" w:rsidRPr="00584FA2" w:rsidRDefault="00A215B3" w:rsidP="00A215B3">
            <w:pPr>
              <w:spacing w:before="100" w:beforeAutospacing="1" w:after="100" w:afterAutospacing="1" w:line="336" w:lineRule="atLeast"/>
              <w:jc w:val="center"/>
              <w:rPr>
                <w:rFonts w:ascii="Times New Roman" w:eastAsia="Times New Roman" w:hAnsi="Times New Roman" w:cs="Times New Roman"/>
                <w:b/>
                <w:bCs/>
                <w:color w:val="000000"/>
                <w:spacing w:val="3"/>
                <w:sz w:val="20"/>
                <w:szCs w:val="20"/>
              </w:rPr>
            </w:pPr>
            <w:r w:rsidRPr="00584FA2">
              <w:rPr>
                <w:rFonts w:ascii="Times New Roman" w:eastAsia="Times New Roman" w:hAnsi="Times New Roman" w:cs="Times New Roman"/>
                <w:b/>
                <w:bCs/>
                <w:color w:val="000000"/>
                <w:spacing w:val="3"/>
                <w:sz w:val="20"/>
                <w:szCs w:val="20"/>
              </w:rPr>
              <w:t>RFA Referenced Text</w:t>
            </w:r>
          </w:p>
        </w:tc>
      </w:tr>
      <w:tr w:rsidR="00A215B3" w:rsidRPr="00584FA2" w:rsidTr="00701190">
        <w:trPr>
          <w:jc w:val="center"/>
        </w:trPr>
        <w:tc>
          <w:tcPr>
            <w:tcW w:w="1866" w:type="dxa"/>
          </w:tcPr>
          <w:p w:rsidR="00A215B3" w:rsidRPr="00584FA2" w:rsidRDefault="00A215B3" w:rsidP="003335A5">
            <w:pPr>
              <w:rPr>
                <w:rFonts w:ascii="Times New Roman" w:hAnsi="Times New Roman" w:cs="Times New Roman"/>
                <w:sz w:val="20"/>
                <w:szCs w:val="20"/>
              </w:rPr>
            </w:pPr>
            <w:r w:rsidRPr="00584FA2">
              <w:rPr>
                <w:rFonts w:ascii="Times New Roman" w:hAnsi="Times New Roman" w:cs="Times New Roman"/>
                <w:sz w:val="20"/>
                <w:szCs w:val="20"/>
              </w:rPr>
              <w:t>Epigenomics Data Analysis and Coordination Center – EDACC (U01)</w:t>
            </w:r>
          </w:p>
          <w:p w:rsidR="00A215B3" w:rsidRPr="00584FA2" w:rsidRDefault="00A215B3" w:rsidP="003335A5">
            <w:pPr>
              <w:rPr>
                <w:rFonts w:ascii="Times New Roman" w:hAnsi="Times New Roman" w:cs="Times New Roman"/>
                <w:sz w:val="20"/>
                <w:szCs w:val="20"/>
              </w:rPr>
            </w:pPr>
          </w:p>
          <w:p w:rsidR="00A215B3" w:rsidRPr="00584FA2" w:rsidRDefault="00A215B3" w:rsidP="003335A5">
            <w:pPr>
              <w:rPr>
                <w:rFonts w:ascii="Times New Roman" w:hAnsi="Times New Roman" w:cs="Times New Roman"/>
                <w:sz w:val="20"/>
                <w:szCs w:val="20"/>
              </w:rPr>
            </w:pPr>
            <w:r w:rsidRPr="00584FA2">
              <w:rPr>
                <w:rFonts w:ascii="Times New Roman" w:hAnsi="Times New Roman" w:cs="Times New Roman"/>
                <w:sz w:val="20"/>
                <w:szCs w:val="20"/>
              </w:rPr>
              <w:t>RFA-RM-07-014</w:t>
            </w:r>
          </w:p>
        </w:tc>
        <w:tc>
          <w:tcPr>
            <w:tcW w:w="1779" w:type="dxa"/>
          </w:tcPr>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Part II, Section I.1</w:t>
            </w:r>
          </w:p>
          <w:p w:rsidR="00A215B3" w:rsidRPr="00584FA2" w:rsidRDefault="00A215B3" w:rsidP="003335A5">
            <w:pPr>
              <w:pStyle w:val="regulartext"/>
              <w:spacing w:line="336" w:lineRule="atLeast"/>
              <w:rPr>
                <w:rFonts w:ascii="Times New Roman" w:hAnsi="Times New Roman" w:cs="Times New Roman"/>
                <w:spacing w:val="3"/>
                <w:sz w:val="20"/>
                <w:szCs w:val="20"/>
              </w:rPr>
            </w:pPr>
            <w:r w:rsidRPr="00584FA2">
              <w:rPr>
                <w:rFonts w:ascii="Times New Roman" w:hAnsi="Times New Roman" w:cs="Times New Roman"/>
                <w:bCs/>
                <w:spacing w:val="3"/>
                <w:sz w:val="20"/>
                <w:szCs w:val="20"/>
              </w:rPr>
              <w:t>Evaluation</w:t>
            </w:r>
            <w:r w:rsidRPr="00584FA2">
              <w:rPr>
                <w:rFonts w:ascii="Times New Roman" w:hAnsi="Times New Roman" w:cs="Times New Roman"/>
                <w:spacing w:val="3"/>
                <w:sz w:val="20"/>
                <w:szCs w:val="20"/>
              </w:rPr>
              <w:t xml:space="preserve"> </w:t>
            </w:r>
          </w:p>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p>
        </w:tc>
        <w:tc>
          <w:tcPr>
            <w:tcW w:w="5625" w:type="dxa"/>
          </w:tcPr>
          <w:p w:rsidR="00A215B3" w:rsidRPr="00584FA2" w:rsidRDefault="00A215B3" w:rsidP="003335A5">
            <w:pPr>
              <w:pStyle w:val="regulartext"/>
              <w:spacing w:after="0" w:afterAutospacing="0"/>
              <w:rPr>
                <w:rFonts w:ascii="Times New Roman" w:hAnsi="Times New Roman" w:cs="Times New Roman"/>
                <w:spacing w:val="3"/>
                <w:sz w:val="20"/>
                <w:szCs w:val="20"/>
              </w:rPr>
            </w:pPr>
            <w:r w:rsidRPr="00584FA2">
              <w:rPr>
                <w:rFonts w:ascii="Times New Roman" w:hAnsi="Times New Roman" w:cs="Times New Roman"/>
                <w:spacing w:val="3"/>
                <w:sz w:val="20"/>
                <w:szCs w:val="20"/>
              </w:rPr>
              <w:t xml:space="preserve">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EDACC, as well as the “Mid-Course” review of the entire Roadmap Epigenomics Program. Note that the Roadmap Epigenomics Program Mid-Course evaluation will be directed by the Epigenomics Working Group (EWG). </w:t>
            </w:r>
            <w:r w:rsidRPr="00584FA2">
              <w:rPr>
                <w:rFonts w:ascii="Times New Roman" w:hAnsi="Times New Roman" w:cs="Times New Roman"/>
                <w:bCs/>
                <w:spacing w:val="3"/>
                <w:sz w:val="20"/>
                <w:szCs w:val="20"/>
              </w:rPr>
              <w:t>Applicants are advised to review the additional details on evaluation that are provided in Section IV.6. Application and Submission Information, “Other Submission Requirements.”</w:t>
            </w:r>
          </w:p>
        </w:tc>
      </w:tr>
      <w:tr w:rsidR="00A215B3" w:rsidRPr="00584FA2" w:rsidTr="00701190">
        <w:trPr>
          <w:jc w:val="center"/>
        </w:trPr>
        <w:tc>
          <w:tcPr>
            <w:tcW w:w="1866" w:type="dxa"/>
          </w:tcPr>
          <w:p w:rsidR="00A215B3" w:rsidRPr="00584FA2" w:rsidRDefault="00A215B3" w:rsidP="003335A5">
            <w:pPr>
              <w:rPr>
                <w:rFonts w:ascii="Times New Roman" w:hAnsi="Times New Roman" w:cs="Times New Roman"/>
                <w:sz w:val="20"/>
                <w:szCs w:val="20"/>
              </w:rPr>
            </w:pPr>
          </w:p>
        </w:tc>
        <w:tc>
          <w:tcPr>
            <w:tcW w:w="1779" w:type="dxa"/>
          </w:tcPr>
          <w:p w:rsidR="00A215B3" w:rsidRPr="00584FA2" w:rsidRDefault="00A215B3" w:rsidP="003335A5">
            <w:pPr>
              <w:spacing w:before="100" w:beforeAutospacing="1" w:after="100" w:afterAutospacing="1" w:line="336" w:lineRule="atLeast"/>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Section VI.3</w:t>
            </w:r>
          </w:p>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color w:val="000000"/>
                <w:spacing w:val="3"/>
                <w:sz w:val="20"/>
                <w:szCs w:val="20"/>
              </w:rPr>
              <w:t>Reporting</w:t>
            </w:r>
          </w:p>
        </w:tc>
        <w:tc>
          <w:tcPr>
            <w:tcW w:w="5625" w:type="dxa"/>
          </w:tcPr>
          <w:p w:rsidR="00A215B3" w:rsidRPr="00584FA2" w:rsidRDefault="00A215B3" w:rsidP="003335A5">
            <w:pPr>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Periodically, throughout the life of the program, awardees may be required to provide data that can be used to evaluate program progress, such as (but not limited to) the following: </w:t>
            </w:r>
          </w:p>
          <w:p w:rsidR="00A215B3" w:rsidRPr="00584FA2" w:rsidRDefault="00A215B3" w:rsidP="003335A5">
            <w:pPr>
              <w:pStyle w:val="ListParagraph"/>
              <w:numPr>
                <w:ilvl w:val="0"/>
                <w:numId w:val="2"/>
              </w:numPr>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Completion of reference epigenome maps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Submission of REMCs/EDACCs products to a public database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Examples of how new technologies (e.g., methods, software) are used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Examples of innovations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Collaboration with other Roadmap Epigenomics Program participants (REMCs, NCBI, Technology RFA awardees, demonstration project RFA awardees)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Multi-REMC/EDACC authored publications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Communication of EDACC methods and results in a variety of settings </w:t>
            </w:r>
          </w:p>
          <w:p w:rsidR="00A215B3" w:rsidRPr="00584FA2" w:rsidRDefault="00A215B3" w:rsidP="003335A5">
            <w:pPr>
              <w:pStyle w:val="ListParagraph"/>
              <w:numPr>
                <w:ilvl w:val="0"/>
                <w:numId w:val="2"/>
              </w:numPr>
              <w:spacing w:before="100" w:before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Adoption of cutting edge methods, algorithms </w:t>
            </w:r>
          </w:p>
          <w:p w:rsidR="00A215B3" w:rsidRPr="00584FA2" w:rsidRDefault="00A215B3" w:rsidP="003335A5">
            <w:pPr>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Such information may be used in evaluations of the EDACC as well as the “Mid-Course” review of the entire Roadmap Epigenomics Program.</w:t>
            </w:r>
          </w:p>
        </w:tc>
      </w:tr>
      <w:tr w:rsidR="00A215B3" w:rsidRPr="00584FA2" w:rsidTr="00701190">
        <w:trPr>
          <w:jc w:val="center"/>
        </w:trPr>
        <w:tc>
          <w:tcPr>
            <w:tcW w:w="1866" w:type="dxa"/>
          </w:tcPr>
          <w:p w:rsidR="00A215B3" w:rsidRPr="00584FA2" w:rsidRDefault="00A215B3" w:rsidP="003335A5">
            <w:pPr>
              <w:rPr>
                <w:rFonts w:ascii="Times New Roman" w:hAnsi="Times New Roman" w:cs="Times New Roman"/>
                <w:sz w:val="20"/>
                <w:szCs w:val="20"/>
              </w:rPr>
            </w:pPr>
            <w:r w:rsidRPr="00584FA2">
              <w:rPr>
                <w:rFonts w:ascii="Times New Roman" w:hAnsi="Times New Roman" w:cs="Times New Roman"/>
                <w:sz w:val="20"/>
                <w:szCs w:val="20"/>
              </w:rPr>
              <w:t>Reference Epigenome Mapping Centers (U01)</w:t>
            </w:r>
          </w:p>
          <w:p w:rsidR="00A215B3" w:rsidRPr="00584FA2" w:rsidRDefault="00A215B3" w:rsidP="003335A5">
            <w:pPr>
              <w:rPr>
                <w:rFonts w:ascii="Times New Roman" w:hAnsi="Times New Roman" w:cs="Times New Roman"/>
                <w:sz w:val="20"/>
                <w:szCs w:val="20"/>
              </w:rPr>
            </w:pPr>
          </w:p>
          <w:p w:rsidR="00A215B3" w:rsidRPr="00584FA2" w:rsidRDefault="00A215B3" w:rsidP="003335A5">
            <w:pPr>
              <w:rPr>
                <w:rFonts w:ascii="Times New Roman" w:hAnsi="Times New Roman" w:cs="Times New Roman"/>
                <w:sz w:val="20"/>
                <w:szCs w:val="20"/>
              </w:rPr>
            </w:pPr>
            <w:r w:rsidRPr="00584FA2">
              <w:rPr>
                <w:rFonts w:ascii="Times New Roman" w:hAnsi="Times New Roman" w:cs="Times New Roman"/>
                <w:sz w:val="20"/>
                <w:szCs w:val="20"/>
              </w:rPr>
              <w:t>RFA-RM-07-013</w:t>
            </w:r>
          </w:p>
        </w:tc>
        <w:tc>
          <w:tcPr>
            <w:tcW w:w="1779" w:type="dxa"/>
          </w:tcPr>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Part II, Section I.1</w:t>
            </w:r>
          </w:p>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Evaluation</w:t>
            </w:r>
          </w:p>
        </w:tc>
        <w:tc>
          <w:tcPr>
            <w:tcW w:w="5625" w:type="dxa"/>
          </w:tcPr>
          <w:p w:rsidR="00A215B3" w:rsidRPr="00584FA2" w:rsidRDefault="00A215B3" w:rsidP="003335A5">
            <w:pPr>
              <w:spacing w:before="100" w:beforeAutospacing="1" w:after="100" w:afterAutospacing="1"/>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REMCs as well as the “Mid-Course” review of the entire Roadmap Epigenomics Program. Note that the Roadmap Epigenomics Program Mid-Course evaluation will be directed by the Epigenomics Working Group (EWG). Applicants are advised to review the additional details on evaluation that are provided in Section IV.6. Application and Submission Information, “Other Submission Requirements.”</w:t>
            </w:r>
          </w:p>
        </w:tc>
      </w:tr>
      <w:tr w:rsidR="00A215B3" w:rsidRPr="00584FA2" w:rsidTr="00701190">
        <w:trPr>
          <w:jc w:val="center"/>
        </w:trPr>
        <w:tc>
          <w:tcPr>
            <w:tcW w:w="1866" w:type="dxa"/>
          </w:tcPr>
          <w:p w:rsidR="00A215B3" w:rsidRPr="00584FA2" w:rsidRDefault="00A215B3" w:rsidP="003335A5">
            <w:pPr>
              <w:rPr>
                <w:rFonts w:ascii="Times New Roman" w:hAnsi="Times New Roman" w:cs="Times New Roman"/>
                <w:sz w:val="20"/>
                <w:szCs w:val="20"/>
              </w:rPr>
            </w:pPr>
          </w:p>
        </w:tc>
        <w:tc>
          <w:tcPr>
            <w:tcW w:w="1779" w:type="dxa"/>
          </w:tcPr>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 xml:space="preserve">IV.6. </w:t>
            </w:r>
          </w:p>
          <w:p w:rsidR="00A215B3" w:rsidRPr="00584FA2" w:rsidRDefault="00A215B3"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Other Submission Requirements</w:t>
            </w:r>
          </w:p>
        </w:tc>
        <w:tc>
          <w:tcPr>
            <w:tcW w:w="5625" w:type="dxa"/>
          </w:tcPr>
          <w:p w:rsidR="00A215B3" w:rsidRPr="00584FA2" w:rsidRDefault="00A215B3" w:rsidP="003335A5">
            <w:pPr>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 xml:space="preserve">Applicants must plan to submit progress reports twice per year-once at the time of the non-competing continuation and once at a time to be determined by program staff. Program staff will use information from reports, site visits, etc. to evaluate each grantees progress and the success of the overall program; this </w:t>
            </w:r>
            <w:r w:rsidRPr="00584FA2">
              <w:rPr>
                <w:rFonts w:ascii="Times New Roman" w:eastAsia="Times New Roman" w:hAnsi="Times New Roman" w:cs="Times New Roman"/>
                <w:bCs/>
                <w:color w:val="000000"/>
                <w:spacing w:val="3"/>
                <w:sz w:val="20"/>
                <w:szCs w:val="20"/>
              </w:rPr>
              <w:lastRenderedPageBreak/>
              <w:t>information will be used to determine if funding levels should be increased or decreased for future years, for each grant and for the program. Progress will also be evaluated with the assistance of external advisors at the biannual meeting and at the mid-course review of the entire Roadmap Epigenomics Program (see “Management and Evaluation” below).</w:t>
            </w:r>
          </w:p>
        </w:tc>
      </w:tr>
      <w:tr w:rsidR="00A215B3" w:rsidRPr="00584FA2" w:rsidTr="00701190">
        <w:trPr>
          <w:jc w:val="center"/>
        </w:trPr>
        <w:tc>
          <w:tcPr>
            <w:tcW w:w="1866" w:type="dxa"/>
          </w:tcPr>
          <w:p w:rsidR="00A215B3" w:rsidRPr="00584FA2" w:rsidRDefault="00A215B3">
            <w:pPr>
              <w:rPr>
                <w:rFonts w:ascii="Times New Roman" w:hAnsi="Times New Roman" w:cs="Times New Roman"/>
                <w:sz w:val="20"/>
                <w:szCs w:val="20"/>
              </w:rPr>
            </w:pPr>
            <w:r w:rsidRPr="00584FA2">
              <w:rPr>
                <w:rFonts w:ascii="Times New Roman" w:hAnsi="Times New Roman" w:cs="Times New Roman"/>
                <w:sz w:val="20"/>
                <w:szCs w:val="20"/>
              </w:rPr>
              <w:lastRenderedPageBreak/>
              <w:t>Technology Development in Epigenetics (R01)</w:t>
            </w:r>
          </w:p>
          <w:p w:rsidR="00A215B3" w:rsidRPr="00584FA2" w:rsidRDefault="00A215B3" w:rsidP="009916AF">
            <w:pPr>
              <w:rPr>
                <w:rFonts w:ascii="Times New Roman" w:hAnsi="Times New Roman" w:cs="Times New Roman"/>
                <w:sz w:val="20"/>
                <w:szCs w:val="20"/>
              </w:rPr>
            </w:pPr>
            <w:r w:rsidRPr="00584FA2">
              <w:rPr>
                <w:rFonts w:ascii="Times New Roman" w:hAnsi="Times New Roman" w:cs="Times New Roman"/>
                <w:sz w:val="20"/>
                <w:szCs w:val="20"/>
              </w:rPr>
              <w:br/>
              <w:t>RFA-RM-07-011</w:t>
            </w:r>
          </w:p>
        </w:tc>
        <w:tc>
          <w:tcPr>
            <w:tcW w:w="1779" w:type="dxa"/>
          </w:tcPr>
          <w:p w:rsidR="00A215B3" w:rsidRPr="00584FA2" w:rsidRDefault="00A215B3" w:rsidP="009916AF">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Part II, Section I.1</w:t>
            </w:r>
          </w:p>
          <w:p w:rsidR="00A215B3" w:rsidRPr="00584FA2" w:rsidRDefault="00A215B3" w:rsidP="009916AF">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Evaluation</w:t>
            </w:r>
          </w:p>
        </w:tc>
        <w:tc>
          <w:tcPr>
            <w:tcW w:w="5625" w:type="dxa"/>
          </w:tcPr>
          <w:p w:rsidR="00A215B3" w:rsidRPr="00584FA2" w:rsidRDefault="00A215B3" w:rsidP="002C5274">
            <w:pPr>
              <w:rPr>
                <w:rFonts w:ascii="Times New Roman" w:hAnsi="Times New Roman" w:cs="Times New Roman"/>
                <w:sz w:val="20"/>
                <w:szCs w:val="20"/>
              </w:rPr>
            </w:pPr>
            <w:r w:rsidRPr="00584FA2">
              <w:rPr>
                <w:rFonts w:ascii="Times New Roman" w:hAnsi="Times New Roman" w:cs="Times New Roman"/>
                <w:sz w:val="20"/>
                <w:szCs w:val="20"/>
              </w:rPr>
              <w:t xml:space="preserve">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Technology Development projects, as well as the “Mid-Course” review of the entire Roadmap Epigenomics Program. Note that the Roadmap Epigenomics Program Mid-Course evaluation will be directed by the Epigenomics Working Group (EWG). </w:t>
            </w:r>
            <w:r w:rsidRPr="00584FA2">
              <w:rPr>
                <w:rFonts w:ascii="Times New Roman" w:eastAsia="Times New Roman" w:hAnsi="Times New Roman" w:cs="Times New Roman"/>
                <w:bCs/>
                <w:color w:val="000000"/>
                <w:spacing w:val="3"/>
                <w:sz w:val="20"/>
                <w:szCs w:val="20"/>
              </w:rPr>
              <w:t>Applicants are advised to review the additional details on evaluation that are provided in Section IV.6. Application and Submission Information, “Other Submission Requirements.”</w:t>
            </w:r>
          </w:p>
        </w:tc>
      </w:tr>
      <w:tr w:rsidR="00A215B3" w:rsidRPr="00584FA2" w:rsidTr="00701190">
        <w:trPr>
          <w:jc w:val="center"/>
        </w:trPr>
        <w:tc>
          <w:tcPr>
            <w:tcW w:w="1866" w:type="dxa"/>
          </w:tcPr>
          <w:p w:rsidR="00A215B3" w:rsidRPr="00584FA2" w:rsidRDefault="00A215B3">
            <w:pPr>
              <w:rPr>
                <w:rFonts w:ascii="Times New Roman" w:hAnsi="Times New Roman" w:cs="Times New Roman"/>
                <w:sz w:val="20"/>
                <w:szCs w:val="20"/>
              </w:rPr>
            </w:pPr>
          </w:p>
        </w:tc>
        <w:tc>
          <w:tcPr>
            <w:tcW w:w="1779" w:type="dxa"/>
          </w:tcPr>
          <w:p w:rsidR="00A215B3" w:rsidRPr="00584FA2" w:rsidRDefault="00A215B3" w:rsidP="003963B1">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 xml:space="preserve">IV.6. </w:t>
            </w:r>
          </w:p>
          <w:p w:rsidR="00A215B3" w:rsidRPr="00584FA2" w:rsidRDefault="00A215B3" w:rsidP="003963B1">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Other Submission Requirements</w:t>
            </w:r>
          </w:p>
        </w:tc>
        <w:tc>
          <w:tcPr>
            <w:tcW w:w="5625" w:type="dxa"/>
          </w:tcPr>
          <w:p w:rsidR="00A215B3" w:rsidRPr="00584FA2" w:rsidRDefault="00A215B3" w:rsidP="003963B1">
            <w:pPr>
              <w:pStyle w:val="regulartext"/>
              <w:spacing w:after="0"/>
              <w:rPr>
                <w:rStyle w:val="regulartext1"/>
                <w:rFonts w:ascii="Times New Roman" w:hAnsi="Times New Roman" w:cs="Times New Roman"/>
                <w:spacing w:val="3"/>
                <w:sz w:val="20"/>
                <w:szCs w:val="20"/>
              </w:rPr>
            </w:pPr>
            <w:r w:rsidRPr="00584FA2">
              <w:rPr>
                <w:rStyle w:val="regulartext1"/>
                <w:rFonts w:ascii="Times New Roman" w:hAnsi="Times New Roman" w:cs="Times New Roman"/>
                <w:spacing w:val="3"/>
                <w:sz w:val="20"/>
                <w:szCs w:val="20"/>
              </w:rPr>
              <w:t>This initiative is part of a broader program in Epigenomics funded as part of the NIH Roadmap.  In order to fulfill requirements for oversight of the Epigenomics Program as a whole, NIH staff may have to present status reports on individual initiatives to coincide with NIH Office of the Director timeframes.  Thus, in addition to the annual progress report required at the time of submission of the noncompeting continuation application, awardees may be required to submit additional progress updates at a time to be determined by NIH. Program staff will use information from reports, site visits, etc. to evaluate each grantee’s progress and the success of the overall program. Progress will also be evaluated with the assistance of external advisors at the annual meeting and at the mid-course review of the entire Roadmap Epigenomics Program (see “Management and Evaluation” below).</w:t>
            </w:r>
          </w:p>
        </w:tc>
      </w:tr>
      <w:tr w:rsidR="00C741CD" w:rsidRPr="00584FA2" w:rsidTr="00701190">
        <w:trPr>
          <w:jc w:val="center"/>
        </w:trPr>
        <w:tc>
          <w:tcPr>
            <w:tcW w:w="1866" w:type="dxa"/>
          </w:tcPr>
          <w:p w:rsidR="00C741CD" w:rsidRPr="00584FA2" w:rsidRDefault="00C741CD" w:rsidP="003335A5">
            <w:pPr>
              <w:rPr>
                <w:rFonts w:ascii="Times New Roman" w:hAnsi="Times New Roman" w:cs="Times New Roman"/>
                <w:sz w:val="20"/>
                <w:szCs w:val="20"/>
              </w:rPr>
            </w:pPr>
            <w:r w:rsidRPr="00584FA2">
              <w:rPr>
                <w:rFonts w:ascii="Times New Roman" w:hAnsi="Times New Roman" w:cs="Times New Roman"/>
                <w:sz w:val="20"/>
                <w:szCs w:val="20"/>
              </w:rPr>
              <w:t>Technology Development in Epigenetics (R21)</w:t>
            </w:r>
          </w:p>
          <w:p w:rsidR="00C741CD" w:rsidRPr="00584FA2" w:rsidRDefault="00C741CD" w:rsidP="003335A5">
            <w:pPr>
              <w:rPr>
                <w:rFonts w:ascii="Times New Roman" w:hAnsi="Times New Roman" w:cs="Times New Roman"/>
                <w:sz w:val="20"/>
                <w:szCs w:val="20"/>
              </w:rPr>
            </w:pPr>
          </w:p>
          <w:p w:rsidR="00C741CD" w:rsidRPr="00584FA2" w:rsidRDefault="00C741CD" w:rsidP="003335A5">
            <w:pPr>
              <w:rPr>
                <w:rFonts w:ascii="Times New Roman" w:hAnsi="Times New Roman" w:cs="Times New Roman"/>
                <w:sz w:val="20"/>
                <w:szCs w:val="20"/>
              </w:rPr>
            </w:pPr>
            <w:r w:rsidRPr="00584FA2">
              <w:rPr>
                <w:rFonts w:ascii="Times New Roman" w:hAnsi="Times New Roman" w:cs="Times New Roman"/>
                <w:sz w:val="20"/>
                <w:szCs w:val="20"/>
              </w:rPr>
              <w:t>RFA-RM-07-012</w:t>
            </w:r>
          </w:p>
        </w:tc>
        <w:tc>
          <w:tcPr>
            <w:tcW w:w="1779" w:type="dxa"/>
          </w:tcPr>
          <w:p w:rsidR="00C741CD" w:rsidRPr="00584FA2" w:rsidRDefault="00C741CD"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Part II, Section I.1</w:t>
            </w:r>
          </w:p>
          <w:p w:rsidR="00C741CD" w:rsidRPr="00584FA2" w:rsidRDefault="00C741CD"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Evaluation</w:t>
            </w:r>
          </w:p>
        </w:tc>
        <w:tc>
          <w:tcPr>
            <w:tcW w:w="5625" w:type="dxa"/>
          </w:tcPr>
          <w:p w:rsidR="00C741CD" w:rsidRPr="00584FA2" w:rsidRDefault="00C741CD" w:rsidP="003335A5">
            <w:pPr>
              <w:spacing w:before="100" w:beforeAutospacing="1" w:after="100" w:afterAutospacing="1"/>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Technology Development projects, as well as the “Mid-Course” review of the entire Roadmap Epigenomics Program. Note that the Roadmap Epigenomics Program Mid-Course evaluation will be directed by the Epigenomics Working Group (EWG). Applicants are advised to review the additional details on evaluation that are provided in Section IV.6. Application and Submission Information, “Other Submission Requirements.”</w:t>
            </w:r>
          </w:p>
        </w:tc>
      </w:tr>
      <w:tr w:rsidR="00C741CD" w:rsidRPr="00584FA2" w:rsidTr="00701190">
        <w:trPr>
          <w:jc w:val="center"/>
        </w:trPr>
        <w:tc>
          <w:tcPr>
            <w:tcW w:w="1866" w:type="dxa"/>
          </w:tcPr>
          <w:p w:rsidR="00C741CD" w:rsidRPr="00584FA2" w:rsidRDefault="00C741CD" w:rsidP="003335A5">
            <w:pPr>
              <w:rPr>
                <w:rFonts w:ascii="Times New Roman" w:hAnsi="Times New Roman" w:cs="Times New Roman"/>
                <w:sz w:val="20"/>
                <w:szCs w:val="20"/>
              </w:rPr>
            </w:pPr>
          </w:p>
        </w:tc>
        <w:tc>
          <w:tcPr>
            <w:tcW w:w="1779" w:type="dxa"/>
          </w:tcPr>
          <w:p w:rsidR="00C741CD" w:rsidRPr="00584FA2" w:rsidRDefault="00C741CD"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 xml:space="preserve">IV.6. </w:t>
            </w:r>
          </w:p>
          <w:p w:rsidR="00C741CD" w:rsidRPr="00584FA2" w:rsidRDefault="00C741CD" w:rsidP="003335A5">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Other Submission Requirements</w:t>
            </w:r>
          </w:p>
        </w:tc>
        <w:tc>
          <w:tcPr>
            <w:tcW w:w="5625" w:type="dxa"/>
          </w:tcPr>
          <w:p w:rsidR="00C741CD" w:rsidRPr="00584FA2" w:rsidRDefault="00C741CD" w:rsidP="003335A5">
            <w:pPr>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This initiative is part of a broader program in Epigenomics funded as part of the NIH Roadmap.  In order to fulfill requirements for oversight of the Epigenomics Program as a whole, NIH staff may have to present status reports on individual initiatives to coincide with NIH Office of the Director timeframes.  Thus, in addition to the annual progress report required at the time of submission of the noncompeting </w:t>
            </w:r>
            <w:r w:rsidRPr="00584FA2">
              <w:rPr>
                <w:rFonts w:ascii="Times New Roman" w:eastAsia="Times New Roman" w:hAnsi="Times New Roman" w:cs="Times New Roman"/>
                <w:color w:val="000000"/>
                <w:spacing w:val="3"/>
                <w:sz w:val="20"/>
                <w:szCs w:val="20"/>
              </w:rPr>
              <w:lastRenderedPageBreak/>
              <w:t>continuation application, awardees may be required to submit additional progress updates at a time to be determined by NIH. Program staff will use information from reports, site visits, etc. to evaluate each grantee’s progress and the success of the overall program. Progress will also be evaluated with the assistance of external advisors at the annual meeting and at the mid-course review of the entire Roadmap Epigenomics Program (see “Management and Evaluation” below).</w:t>
            </w:r>
          </w:p>
        </w:tc>
      </w:tr>
      <w:tr w:rsidR="00C741CD" w:rsidRPr="00584FA2" w:rsidTr="00701190">
        <w:trPr>
          <w:jc w:val="center"/>
        </w:trPr>
        <w:tc>
          <w:tcPr>
            <w:tcW w:w="1866" w:type="dxa"/>
          </w:tcPr>
          <w:p w:rsidR="00C741CD" w:rsidRPr="00584FA2" w:rsidRDefault="00C741CD">
            <w:pPr>
              <w:rPr>
                <w:rFonts w:ascii="Times New Roman" w:hAnsi="Times New Roman" w:cs="Times New Roman"/>
                <w:sz w:val="20"/>
                <w:szCs w:val="20"/>
              </w:rPr>
            </w:pPr>
            <w:r w:rsidRPr="00584FA2">
              <w:rPr>
                <w:rFonts w:ascii="Times New Roman" w:hAnsi="Times New Roman" w:cs="Times New Roman"/>
                <w:sz w:val="20"/>
                <w:szCs w:val="20"/>
              </w:rPr>
              <w:lastRenderedPageBreak/>
              <w:t xml:space="preserve">Epigenomics of Human Health and Disease (R01) </w:t>
            </w:r>
          </w:p>
          <w:p w:rsidR="00C741CD" w:rsidRPr="00584FA2" w:rsidRDefault="00C741CD">
            <w:pPr>
              <w:rPr>
                <w:rFonts w:ascii="Times New Roman" w:hAnsi="Times New Roman" w:cs="Times New Roman"/>
                <w:sz w:val="20"/>
                <w:szCs w:val="20"/>
              </w:rPr>
            </w:pPr>
          </w:p>
          <w:p w:rsidR="00C741CD" w:rsidRPr="00584FA2" w:rsidRDefault="00C741CD">
            <w:pPr>
              <w:rPr>
                <w:rFonts w:ascii="Times New Roman" w:hAnsi="Times New Roman" w:cs="Times New Roman"/>
                <w:sz w:val="20"/>
                <w:szCs w:val="20"/>
              </w:rPr>
            </w:pPr>
            <w:r w:rsidRPr="00584FA2">
              <w:rPr>
                <w:rFonts w:ascii="Times New Roman" w:hAnsi="Times New Roman" w:cs="Times New Roman"/>
                <w:sz w:val="20"/>
                <w:szCs w:val="20"/>
              </w:rPr>
              <w:t>RFA-RM-08-017</w:t>
            </w:r>
          </w:p>
          <w:p w:rsidR="00C741CD" w:rsidRPr="00584FA2" w:rsidRDefault="00C741CD">
            <w:pPr>
              <w:rPr>
                <w:rFonts w:ascii="Times New Roman" w:hAnsi="Times New Roman" w:cs="Times New Roman"/>
                <w:sz w:val="20"/>
                <w:szCs w:val="20"/>
              </w:rPr>
            </w:pPr>
          </w:p>
        </w:tc>
        <w:tc>
          <w:tcPr>
            <w:tcW w:w="1779" w:type="dxa"/>
          </w:tcPr>
          <w:p w:rsidR="00C741CD" w:rsidRPr="00584FA2" w:rsidRDefault="00C741CD" w:rsidP="009916AF">
            <w:pPr>
              <w:spacing w:before="100" w:beforeAutospacing="1" w:after="100" w:afterAutospacing="1"/>
              <w:rPr>
                <w:rFonts w:ascii="Times New Roman" w:eastAsia="Times New Roman" w:hAnsi="Times New Roman" w:cs="Times New Roman"/>
                <w:bCs/>
                <w:color w:val="000000"/>
                <w:sz w:val="20"/>
                <w:szCs w:val="20"/>
              </w:rPr>
            </w:pPr>
            <w:r w:rsidRPr="00584FA2">
              <w:rPr>
                <w:rFonts w:ascii="Times New Roman" w:eastAsia="Times New Roman" w:hAnsi="Times New Roman" w:cs="Times New Roman"/>
                <w:bCs/>
                <w:color w:val="000000"/>
                <w:sz w:val="20"/>
                <w:szCs w:val="20"/>
              </w:rPr>
              <w:t>Part II. Section I.1.</w:t>
            </w:r>
          </w:p>
          <w:p w:rsidR="00C741CD" w:rsidRPr="00584FA2" w:rsidRDefault="00C741CD" w:rsidP="002C5274">
            <w:pPr>
              <w:spacing w:before="100" w:beforeAutospacing="1" w:after="100" w:afterAutospacing="1"/>
              <w:rPr>
                <w:rFonts w:ascii="Times New Roman" w:eastAsia="Times New Roman" w:hAnsi="Times New Roman" w:cs="Times New Roman"/>
                <w:color w:val="000000"/>
                <w:sz w:val="20"/>
                <w:szCs w:val="20"/>
              </w:rPr>
            </w:pPr>
            <w:r w:rsidRPr="00584FA2">
              <w:rPr>
                <w:rFonts w:ascii="Times New Roman" w:eastAsia="Times New Roman" w:hAnsi="Times New Roman" w:cs="Times New Roman"/>
                <w:bCs/>
                <w:color w:val="000000"/>
                <w:sz w:val="20"/>
                <w:szCs w:val="20"/>
              </w:rPr>
              <w:t>Evaluation</w:t>
            </w:r>
          </w:p>
        </w:tc>
        <w:tc>
          <w:tcPr>
            <w:tcW w:w="5625" w:type="dxa"/>
          </w:tcPr>
          <w:p w:rsidR="00C741CD" w:rsidRPr="00584FA2" w:rsidRDefault="00C741CD" w:rsidP="009916AF">
            <w:pPr>
              <w:spacing w:before="100" w:beforeAutospacing="1" w:after="100" w:afterAutospacing="1"/>
              <w:rPr>
                <w:rFonts w:ascii="Times New Roman" w:eastAsia="Times New Roman" w:hAnsi="Times New Roman" w:cs="Times New Roman"/>
                <w:color w:val="000000"/>
                <w:sz w:val="20"/>
                <w:szCs w:val="20"/>
              </w:rPr>
            </w:pPr>
            <w:r w:rsidRPr="00584FA2">
              <w:rPr>
                <w:rFonts w:ascii="Times New Roman" w:eastAsia="Times New Roman" w:hAnsi="Times New Roman" w:cs="Times New Roman"/>
                <w:color w:val="000000"/>
                <w:sz w:val="20"/>
                <w:szCs w:val="20"/>
              </w:rPr>
              <w:t xml:space="preserve">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initiative as well as the “Mid-Course” review of the entire Roadmap Epigenomics Program. Note that the Roadmap Epigenomics Program mid-course evaluation will be directed by the Roadmap Epigenomics Working Group. </w:t>
            </w:r>
            <w:r w:rsidRPr="00584FA2">
              <w:rPr>
                <w:rFonts w:ascii="Times New Roman" w:eastAsia="Times New Roman" w:hAnsi="Times New Roman" w:cs="Times New Roman"/>
                <w:bCs/>
                <w:color w:val="000000"/>
                <w:spacing w:val="3"/>
                <w:sz w:val="20"/>
                <w:szCs w:val="20"/>
              </w:rPr>
              <w:t>Applicants are advised to review the additional details on evaluation that are provided in Section IV.6. Application and Submission Information, “Other Submission Requirements.”</w:t>
            </w:r>
          </w:p>
        </w:tc>
      </w:tr>
      <w:tr w:rsidR="00C741CD" w:rsidRPr="00584FA2" w:rsidTr="00701190">
        <w:trPr>
          <w:jc w:val="center"/>
        </w:trPr>
        <w:tc>
          <w:tcPr>
            <w:tcW w:w="1866" w:type="dxa"/>
          </w:tcPr>
          <w:p w:rsidR="00C741CD" w:rsidRPr="00584FA2" w:rsidRDefault="00C741CD">
            <w:pPr>
              <w:rPr>
                <w:rFonts w:ascii="Times New Roman" w:hAnsi="Times New Roman" w:cs="Times New Roman"/>
                <w:sz w:val="20"/>
                <w:szCs w:val="20"/>
              </w:rPr>
            </w:pPr>
          </w:p>
        </w:tc>
        <w:tc>
          <w:tcPr>
            <w:tcW w:w="1779" w:type="dxa"/>
          </w:tcPr>
          <w:p w:rsidR="00C741CD" w:rsidRPr="00584FA2" w:rsidRDefault="00C741CD" w:rsidP="00123472">
            <w:pPr>
              <w:rPr>
                <w:rFonts w:ascii="Times New Roman" w:hAnsi="Times New Roman" w:cs="Times New Roman"/>
                <w:sz w:val="20"/>
                <w:szCs w:val="20"/>
              </w:rPr>
            </w:pPr>
            <w:r w:rsidRPr="00584FA2">
              <w:rPr>
                <w:rFonts w:ascii="Times New Roman" w:hAnsi="Times New Roman" w:cs="Times New Roman"/>
                <w:sz w:val="20"/>
                <w:szCs w:val="20"/>
              </w:rPr>
              <w:t>Section IV.6</w:t>
            </w:r>
          </w:p>
          <w:p w:rsidR="00C741CD" w:rsidRPr="00584FA2" w:rsidRDefault="00C741CD" w:rsidP="00123472">
            <w:pPr>
              <w:spacing w:before="100" w:beforeAutospacing="1" w:after="100" w:afterAutospacing="1"/>
              <w:rPr>
                <w:rFonts w:ascii="Times New Roman" w:eastAsia="Times New Roman" w:hAnsi="Times New Roman" w:cs="Times New Roman"/>
                <w:bCs/>
                <w:color w:val="000000"/>
                <w:sz w:val="20"/>
                <w:szCs w:val="20"/>
              </w:rPr>
            </w:pPr>
            <w:r w:rsidRPr="00584FA2">
              <w:rPr>
                <w:rStyle w:val="heading31"/>
                <w:rFonts w:ascii="Times New Roman" w:hAnsi="Times New Roman" w:cs="Times New Roman"/>
                <w:b w:val="0"/>
                <w:spacing w:val="3"/>
                <w:sz w:val="20"/>
                <w:szCs w:val="20"/>
              </w:rPr>
              <w:t>Other Submission Requirements</w:t>
            </w:r>
          </w:p>
        </w:tc>
        <w:tc>
          <w:tcPr>
            <w:tcW w:w="5625" w:type="dxa"/>
          </w:tcPr>
          <w:p w:rsidR="00C741CD" w:rsidRPr="00584FA2" w:rsidRDefault="00C741CD" w:rsidP="00A215B3">
            <w:pPr>
              <w:rPr>
                <w:rFonts w:ascii="Times New Roman" w:eastAsia="Times New Roman" w:hAnsi="Times New Roman" w:cs="Times New Roman"/>
                <w:color w:val="000000"/>
                <w:sz w:val="20"/>
                <w:szCs w:val="20"/>
              </w:rPr>
            </w:pPr>
            <w:r w:rsidRPr="00584FA2">
              <w:rPr>
                <w:rFonts w:ascii="Times New Roman" w:eastAsia="Times New Roman" w:hAnsi="Times New Roman" w:cs="Times New Roman"/>
                <w:color w:val="000000"/>
                <w:sz w:val="20"/>
                <w:szCs w:val="20"/>
              </w:rPr>
              <w:t>This initiative is part of a broader program in Epigenomics funded as part of the NIH Roadmap. In order to fulfill requirements for oversight of the Roadmap Epigenomics Program as a whole, NIH staff may need to present status reports on individual initiatives to coincide with NIH Office of the Director timeframes. Thus, in addition to the annual Non-Competing Grant Process Report (PHS 2590, http://grants.nih.gov/grants/funding/2590/2590.htm), awardees may be required to submit additional progress updates at a time to be determined by NIH. Program staff will use information from reports, site visits, etc. to evaluate each grantee’s progress and the success of the overall program. Progress will also be evaluated with the assistance of external advisors at the annual meeting and at the mid-course review of the entire Roadmap Epigenomics Program (see “Management and Evaluation” below).</w:t>
            </w:r>
          </w:p>
        </w:tc>
      </w:tr>
      <w:tr w:rsidR="00C741CD" w:rsidRPr="00584FA2" w:rsidTr="00701190">
        <w:trPr>
          <w:jc w:val="center"/>
        </w:trPr>
        <w:tc>
          <w:tcPr>
            <w:tcW w:w="1866" w:type="dxa"/>
          </w:tcPr>
          <w:p w:rsidR="00C741CD" w:rsidRPr="00584FA2" w:rsidRDefault="00C741CD">
            <w:pPr>
              <w:rPr>
                <w:rFonts w:ascii="Times New Roman" w:hAnsi="Times New Roman" w:cs="Times New Roman"/>
                <w:sz w:val="20"/>
                <w:szCs w:val="20"/>
              </w:rPr>
            </w:pPr>
            <w:r w:rsidRPr="00584FA2">
              <w:rPr>
                <w:rFonts w:ascii="Times New Roman" w:hAnsi="Times New Roman" w:cs="Times New Roman"/>
                <w:sz w:val="20"/>
                <w:szCs w:val="20"/>
              </w:rPr>
              <w:t>Discovery of Novel Epigenetic Marks in Mammalian Cells (R01)</w:t>
            </w:r>
          </w:p>
          <w:p w:rsidR="00C741CD" w:rsidRPr="00584FA2" w:rsidRDefault="00C741CD">
            <w:pPr>
              <w:rPr>
                <w:rFonts w:ascii="Times New Roman" w:hAnsi="Times New Roman" w:cs="Times New Roman"/>
                <w:sz w:val="20"/>
                <w:szCs w:val="20"/>
              </w:rPr>
            </w:pPr>
          </w:p>
          <w:p w:rsidR="00C741CD" w:rsidRPr="00584FA2" w:rsidRDefault="00C741CD">
            <w:pPr>
              <w:rPr>
                <w:rFonts w:ascii="Times New Roman" w:hAnsi="Times New Roman" w:cs="Times New Roman"/>
                <w:sz w:val="20"/>
                <w:szCs w:val="20"/>
              </w:rPr>
            </w:pPr>
            <w:r w:rsidRPr="00584FA2">
              <w:rPr>
                <w:rFonts w:ascii="Times New Roman" w:hAnsi="Times New Roman" w:cs="Times New Roman"/>
                <w:sz w:val="20"/>
                <w:szCs w:val="20"/>
              </w:rPr>
              <w:t>RFA-RM-07-015</w:t>
            </w:r>
          </w:p>
        </w:tc>
        <w:tc>
          <w:tcPr>
            <w:tcW w:w="1779" w:type="dxa"/>
          </w:tcPr>
          <w:p w:rsidR="00C741CD" w:rsidRPr="00584FA2" w:rsidRDefault="00C741CD" w:rsidP="009916AF">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Part II, Section I.1</w:t>
            </w:r>
          </w:p>
          <w:p w:rsidR="00C741CD" w:rsidRPr="00584FA2" w:rsidRDefault="00C741CD" w:rsidP="00A215B3">
            <w:pPr>
              <w:spacing w:before="100" w:beforeAutospacing="1" w:after="100" w:afterAutospacing="1"/>
              <w:rPr>
                <w:rFonts w:ascii="Times New Roman" w:eastAsia="Times New Roman" w:hAnsi="Times New Roman" w:cs="Times New Roman"/>
                <w:color w:val="000000"/>
                <w:sz w:val="20"/>
                <w:szCs w:val="20"/>
              </w:rPr>
            </w:pPr>
            <w:r w:rsidRPr="00584FA2">
              <w:rPr>
                <w:rFonts w:ascii="Times New Roman" w:eastAsia="Times New Roman" w:hAnsi="Times New Roman" w:cs="Times New Roman"/>
                <w:bCs/>
                <w:color w:val="000000"/>
                <w:sz w:val="20"/>
                <w:szCs w:val="20"/>
              </w:rPr>
              <w:t>Evaluation</w:t>
            </w:r>
          </w:p>
        </w:tc>
        <w:tc>
          <w:tcPr>
            <w:tcW w:w="5625" w:type="dxa"/>
          </w:tcPr>
          <w:p w:rsidR="00C741CD" w:rsidRPr="00584FA2" w:rsidRDefault="00C741CD" w:rsidP="009916AF">
            <w:pPr>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Epigenetic Mark Discovery projects, as well as the “Mid-Course” review of the entire Roadmap Epigenomics Program. Note that the Roadmap Epigenomics Program Mid-Course evaluation will be directed by the Epigenomics Working Group (EWG). </w:t>
            </w:r>
            <w:r w:rsidRPr="00584FA2">
              <w:rPr>
                <w:rFonts w:ascii="Times New Roman" w:eastAsia="Times New Roman" w:hAnsi="Times New Roman" w:cs="Times New Roman"/>
                <w:bCs/>
                <w:color w:val="000000"/>
                <w:spacing w:val="3"/>
                <w:sz w:val="20"/>
                <w:szCs w:val="20"/>
              </w:rPr>
              <w:t>Applicants are advised to review the additional details on evaluation that are provided in Section IV.6. Application and Submission Information, “Other Submission Requirements.”</w:t>
            </w:r>
          </w:p>
        </w:tc>
      </w:tr>
      <w:tr w:rsidR="00C741CD" w:rsidRPr="00584FA2" w:rsidTr="00701190">
        <w:trPr>
          <w:jc w:val="center"/>
        </w:trPr>
        <w:tc>
          <w:tcPr>
            <w:tcW w:w="1866" w:type="dxa"/>
          </w:tcPr>
          <w:p w:rsidR="00C741CD" w:rsidRPr="00584FA2" w:rsidRDefault="00C741CD">
            <w:pPr>
              <w:rPr>
                <w:rFonts w:ascii="Times New Roman" w:hAnsi="Times New Roman" w:cs="Times New Roman"/>
                <w:sz w:val="20"/>
                <w:szCs w:val="20"/>
              </w:rPr>
            </w:pPr>
          </w:p>
        </w:tc>
        <w:tc>
          <w:tcPr>
            <w:tcW w:w="1779" w:type="dxa"/>
          </w:tcPr>
          <w:p w:rsidR="00C741CD" w:rsidRPr="00584FA2" w:rsidRDefault="00C741CD" w:rsidP="009916AF">
            <w:pPr>
              <w:rPr>
                <w:rFonts w:ascii="Times New Roman" w:hAnsi="Times New Roman" w:cs="Times New Roman"/>
                <w:sz w:val="20"/>
                <w:szCs w:val="20"/>
              </w:rPr>
            </w:pPr>
            <w:r w:rsidRPr="00584FA2">
              <w:rPr>
                <w:rFonts w:ascii="Times New Roman" w:hAnsi="Times New Roman" w:cs="Times New Roman"/>
                <w:sz w:val="20"/>
                <w:szCs w:val="20"/>
              </w:rPr>
              <w:t>Section IV.6</w:t>
            </w:r>
          </w:p>
          <w:p w:rsidR="00C741CD" w:rsidRPr="00584FA2" w:rsidRDefault="00C741CD" w:rsidP="00123472">
            <w:pPr>
              <w:rPr>
                <w:rFonts w:ascii="Times New Roman" w:hAnsi="Times New Roman" w:cs="Times New Roman"/>
                <w:bCs/>
                <w:spacing w:val="3"/>
                <w:sz w:val="20"/>
                <w:szCs w:val="20"/>
              </w:rPr>
            </w:pPr>
            <w:r w:rsidRPr="00584FA2">
              <w:rPr>
                <w:rStyle w:val="heading31"/>
                <w:rFonts w:ascii="Times New Roman" w:hAnsi="Times New Roman" w:cs="Times New Roman"/>
                <w:b w:val="0"/>
                <w:spacing w:val="3"/>
                <w:sz w:val="20"/>
                <w:szCs w:val="20"/>
              </w:rPr>
              <w:t>Other Submission Requirements</w:t>
            </w:r>
          </w:p>
        </w:tc>
        <w:tc>
          <w:tcPr>
            <w:tcW w:w="5625" w:type="dxa"/>
          </w:tcPr>
          <w:p w:rsidR="00C741CD" w:rsidRPr="00584FA2" w:rsidRDefault="00C741CD" w:rsidP="009916AF">
            <w:pPr>
              <w:rPr>
                <w:rFonts w:ascii="Times New Roman" w:hAnsi="Times New Roman" w:cs="Times New Roman"/>
                <w:sz w:val="20"/>
                <w:szCs w:val="20"/>
              </w:rPr>
            </w:pPr>
            <w:r w:rsidRPr="00584FA2">
              <w:rPr>
                <w:rFonts w:ascii="Times New Roman" w:hAnsi="Times New Roman" w:cs="Times New Roman"/>
                <w:sz w:val="20"/>
                <w:szCs w:val="20"/>
              </w:rPr>
              <w:t xml:space="preserve">This initiative is part of a broader program in Epigenomics funded as part of the NIH Roadmap.  In order to fulfill requirements for oversight of the Epigenomics Program as a whole, NIH staff may have to present status reports on individual initiatives to coincide with NIH Office of the Director timeframes.  Thus, in addition to the annual progress report required at the time of submission of the </w:t>
            </w:r>
            <w:r w:rsidRPr="00584FA2">
              <w:rPr>
                <w:rFonts w:ascii="Times New Roman" w:hAnsi="Times New Roman" w:cs="Times New Roman"/>
                <w:sz w:val="20"/>
                <w:szCs w:val="20"/>
              </w:rPr>
              <w:lastRenderedPageBreak/>
              <w:t>noncompeting continuation application, awardees may be required to submit additional progress updates at a time to be determined by NIH. Program staff will use information from reports, site visits, etc. to evaluate each grantee’s progress and the success of the overall program. Progress will also be evaluated with the assistance of external advisors at the annual meeting and at the mid-course review of the entire Roadmap Epigenomics Program (see “Management and Evaluation” below).</w:t>
            </w:r>
          </w:p>
        </w:tc>
      </w:tr>
      <w:tr w:rsidR="00C741CD" w:rsidRPr="00584FA2" w:rsidTr="00701190">
        <w:trPr>
          <w:jc w:val="center"/>
        </w:trPr>
        <w:tc>
          <w:tcPr>
            <w:tcW w:w="1866" w:type="dxa"/>
          </w:tcPr>
          <w:p w:rsidR="00C741CD" w:rsidRPr="00584FA2" w:rsidRDefault="00C741CD">
            <w:pPr>
              <w:rPr>
                <w:rFonts w:ascii="Times New Roman" w:hAnsi="Times New Roman" w:cs="Times New Roman"/>
                <w:sz w:val="20"/>
                <w:szCs w:val="20"/>
              </w:rPr>
            </w:pPr>
            <w:r w:rsidRPr="00584FA2">
              <w:rPr>
                <w:rFonts w:ascii="Times New Roman" w:hAnsi="Times New Roman" w:cs="Times New Roman"/>
                <w:sz w:val="20"/>
                <w:szCs w:val="20"/>
              </w:rPr>
              <w:lastRenderedPageBreak/>
              <w:t>Discovery of Novel Epigenetic Marks in Mammalian Cells (R21)</w:t>
            </w:r>
          </w:p>
          <w:p w:rsidR="00C741CD" w:rsidRPr="00584FA2" w:rsidRDefault="00C741CD">
            <w:pPr>
              <w:rPr>
                <w:rFonts w:ascii="Times New Roman" w:hAnsi="Times New Roman" w:cs="Times New Roman"/>
                <w:sz w:val="20"/>
                <w:szCs w:val="20"/>
              </w:rPr>
            </w:pPr>
          </w:p>
          <w:p w:rsidR="00C741CD" w:rsidRPr="00584FA2" w:rsidRDefault="00C741CD">
            <w:pPr>
              <w:rPr>
                <w:rFonts w:ascii="Times New Roman" w:hAnsi="Times New Roman" w:cs="Times New Roman"/>
                <w:sz w:val="20"/>
                <w:szCs w:val="20"/>
              </w:rPr>
            </w:pPr>
            <w:r w:rsidRPr="00584FA2">
              <w:rPr>
                <w:rFonts w:ascii="Times New Roman" w:hAnsi="Times New Roman" w:cs="Times New Roman"/>
                <w:sz w:val="20"/>
                <w:szCs w:val="20"/>
              </w:rPr>
              <w:t>RFA-RM-07-016</w:t>
            </w:r>
          </w:p>
        </w:tc>
        <w:tc>
          <w:tcPr>
            <w:tcW w:w="1779" w:type="dxa"/>
          </w:tcPr>
          <w:p w:rsidR="00C741CD" w:rsidRPr="00584FA2" w:rsidRDefault="00C741CD" w:rsidP="009916AF">
            <w:pPr>
              <w:spacing w:before="100" w:beforeAutospacing="1" w:after="100" w:afterAutospacing="1" w:line="336" w:lineRule="atLeast"/>
              <w:rPr>
                <w:rFonts w:ascii="Times New Roman" w:eastAsia="Times New Roman" w:hAnsi="Times New Roman" w:cs="Times New Roman"/>
                <w:bCs/>
                <w:color w:val="000000"/>
                <w:spacing w:val="3"/>
                <w:sz w:val="20"/>
                <w:szCs w:val="20"/>
              </w:rPr>
            </w:pPr>
            <w:r w:rsidRPr="00584FA2">
              <w:rPr>
                <w:rFonts w:ascii="Times New Roman" w:eastAsia="Times New Roman" w:hAnsi="Times New Roman" w:cs="Times New Roman"/>
                <w:bCs/>
                <w:color w:val="000000"/>
                <w:spacing w:val="3"/>
                <w:sz w:val="20"/>
                <w:szCs w:val="20"/>
              </w:rPr>
              <w:t>Part II, Section I.1</w:t>
            </w:r>
          </w:p>
          <w:p w:rsidR="00C741CD" w:rsidRPr="00584FA2" w:rsidRDefault="00C741CD" w:rsidP="00246BE5">
            <w:pPr>
              <w:spacing w:before="100" w:beforeAutospacing="1" w:after="100" w:afterAutospacing="1" w:line="336" w:lineRule="atLeast"/>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bCs/>
                <w:color w:val="000000"/>
                <w:spacing w:val="3"/>
                <w:sz w:val="20"/>
                <w:szCs w:val="20"/>
              </w:rPr>
              <w:t>Evaluation</w:t>
            </w:r>
          </w:p>
        </w:tc>
        <w:tc>
          <w:tcPr>
            <w:tcW w:w="5625" w:type="dxa"/>
          </w:tcPr>
          <w:p w:rsidR="00C741CD" w:rsidRPr="00584FA2" w:rsidRDefault="00C741CD" w:rsidP="009916AF">
            <w:pPr>
              <w:rPr>
                <w:rFonts w:ascii="Times New Roman" w:eastAsia="Times New Roman" w:hAnsi="Times New Roman" w:cs="Times New Roman"/>
                <w:color w:val="000000"/>
                <w:spacing w:val="3"/>
                <w:sz w:val="20"/>
                <w:szCs w:val="20"/>
              </w:rPr>
            </w:pPr>
            <w:r w:rsidRPr="00584FA2">
              <w:rPr>
                <w:rFonts w:ascii="Times New Roman" w:eastAsia="Times New Roman" w:hAnsi="Times New Roman" w:cs="Times New Roman"/>
                <w:color w:val="000000"/>
                <w:spacing w:val="3"/>
                <w:sz w:val="20"/>
                <w:szCs w:val="20"/>
              </w:rPr>
              <w:t xml:space="preserve">As part of good program management, NIH assesses the implementation and effectiveness of its programs using evaluation tools and techniques. Grantees may be asked to provide information for program evaluation purposes, both locally and at the national level. Such information may be used in evaluations of the Epigenetic Mark Discovery projects, as well as the “Mid-Course” review of the entire Roadmap Epigenomics Program. Note that the Roadmap Epigenomics Program Mid-Course evaluation will be directed by the Epigenomics Working Group (EWG). Applicants are advised to review the additional details on evaluation that are provided in </w:t>
            </w:r>
            <w:hyperlink r:id="rId5" w:anchor="SectionIV6" w:history="1">
              <w:r w:rsidRPr="00584FA2">
                <w:rPr>
                  <w:rFonts w:ascii="Times New Roman" w:eastAsia="Times New Roman" w:hAnsi="Times New Roman" w:cs="Times New Roman"/>
                  <w:color w:val="0000FF"/>
                  <w:spacing w:val="3"/>
                  <w:sz w:val="20"/>
                  <w:szCs w:val="20"/>
                  <w:u w:val="single"/>
                </w:rPr>
                <w:t>Section IV.6.</w:t>
              </w:r>
            </w:hyperlink>
            <w:r w:rsidRPr="00584FA2">
              <w:rPr>
                <w:rFonts w:ascii="Times New Roman" w:eastAsia="Times New Roman" w:hAnsi="Times New Roman" w:cs="Times New Roman"/>
                <w:color w:val="000000"/>
                <w:spacing w:val="3"/>
                <w:sz w:val="20"/>
                <w:szCs w:val="20"/>
              </w:rPr>
              <w:t xml:space="preserve"> Application and Submission Information, “Other Submission Requirements.”</w:t>
            </w:r>
          </w:p>
        </w:tc>
      </w:tr>
      <w:tr w:rsidR="00C741CD" w:rsidRPr="00584FA2" w:rsidTr="00701190">
        <w:trPr>
          <w:jc w:val="center"/>
        </w:trPr>
        <w:tc>
          <w:tcPr>
            <w:tcW w:w="1866" w:type="dxa"/>
          </w:tcPr>
          <w:p w:rsidR="00C741CD" w:rsidRPr="00584FA2" w:rsidRDefault="00C741CD">
            <w:pPr>
              <w:rPr>
                <w:rFonts w:ascii="Times New Roman" w:hAnsi="Times New Roman" w:cs="Times New Roman"/>
                <w:sz w:val="20"/>
                <w:szCs w:val="20"/>
              </w:rPr>
            </w:pPr>
          </w:p>
        </w:tc>
        <w:tc>
          <w:tcPr>
            <w:tcW w:w="1779" w:type="dxa"/>
          </w:tcPr>
          <w:p w:rsidR="00C741CD" w:rsidRPr="00584FA2" w:rsidRDefault="00C741CD" w:rsidP="009916AF">
            <w:pPr>
              <w:rPr>
                <w:rFonts w:ascii="Times New Roman" w:hAnsi="Times New Roman" w:cs="Times New Roman"/>
                <w:sz w:val="20"/>
                <w:szCs w:val="20"/>
              </w:rPr>
            </w:pPr>
            <w:r w:rsidRPr="00584FA2">
              <w:rPr>
                <w:rFonts w:ascii="Times New Roman" w:hAnsi="Times New Roman" w:cs="Times New Roman"/>
                <w:sz w:val="20"/>
                <w:szCs w:val="20"/>
              </w:rPr>
              <w:t>Section IV.6</w:t>
            </w:r>
          </w:p>
          <w:p w:rsidR="00C741CD" w:rsidRPr="00584FA2" w:rsidRDefault="00C741CD" w:rsidP="009916AF">
            <w:pPr>
              <w:rPr>
                <w:rFonts w:ascii="Times New Roman" w:hAnsi="Times New Roman" w:cs="Times New Roman"/>
                <w:bCs/>
                <w:spacing w:val="3"/>
                <w:sz w:val="20"/>
                <w:szCs w:val="20"/>
              </w:rPr>
            </w:pPr>
            <w:r w:rsidRPr="00584FA2">
              <w:rPr>
                <w:rStyle w:val="heading31"/>
                <w:rFonts w:ascii="Times New Roman" w:hAnsi="Times New Roman" w:cs="Times New Roman"/>
                <w:b w:val="0"/>
                <w:spacing w:val="3"/>
                <w:sz w:val="20"/>
                <w:szCs w:val="20"/>
              </w:rPr>
              <w:t>Other Submission Requirements</w:t>
            </w:r>
          </w:p>
        </w:tc>
        <w:tc>
          <w:tcPr>
            <w:tcW w:w="5625" w:type="dxa"/>
          </w:tcPr>
          <w:p w:rsidR="00C741CD" w:rsidRPr="00584FA2" w:rsidRDefault="00C741CD" w:rsidP="00A215B3">
            <w:pPr>
              <w:spacing w:before="100" w:beforeAutospacing="1" w:after="100" w:afterAutospacing="1"/>
              <w:rPr>
                <w:rFonts w:ascii="Times New Roman" w:eastAsia="Times New Roman" w:hAnsi="Times New Roman" w:cs="Times New Roman"/>
                <w:bCs/>
                <w:color w:val="000000"/>
                <w:spacing w:val="3"/>
                <w:sz w:val="20"/>
                <w:szCs w:val="20"/>
              </w:rPr>
            </w:pPr>
            <w:r w:rsidRPr="00584FA2">
              <w:rPr>
                <w:rFonts w:ascii="Times New Roman" w:hAnsi="Times New Roman" w:cs="Times New Roman"/>
                <w:sz w:val="20"/>
                <w:szCs w:val="20"/>
              </w:rPr>
              <w:t>This initiative is part of a broader program in Epigenomics funded as part of the NIH Roadmap.  In order to fulfill requirements for oversight of the Epigenomics Program as a whole, NIH staff may have to present status reports on individual initiatives to coincide with NIH Office of the Director timeframes.  Thus, in addition to the annual progress report required at the time of submission of the noncompeting continuation application, awardees may be required to submit additional progress updates at a time to be determined by NIH. Program staff will use information from reports, site visits, etc. to evaluate each grantee’s progress and the success of the overall program. Progress will also be evaluated with the assistance of external advisors at the annual meeting and at the mid-course review of the entire Roadmap Epigenomics Program (see “Management and Evaluation” below).</w:t>
            </w:r>
          </w:p>
        </w:tc>
      </w:tr>
    </w:tbl>
    <w:p w:rsidR="00BA5992" w:rsidRPr="00584FA2" w:rsidRDefault="000E3A50">
      <w:pPr>
        <w:rPr>
          <w:rFonts w:ascii="Times New Roman" w:hAnsi="Times New Roman" w:cs="Times New Roman"/>
          <w:sz w:val="20"/>
          <w:szCs w:val="20"/>
        </w:rPr>
      </w:pPr>
    </w:p>
    <w:sectPr w:rsidR="00BA5992" w:rsidRPr="00584FA2" w:rsidSect="002F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ADD"/>
    <w:multiLevelType w:val="multilevel"/>
    <w:tmpl w:val="4C105D68"/>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660"/>
        </w:tabs>
        <w:ind w:left="660" w:hanging="360"/>
      </w:pPr>
      <w:rPr>
        <w:rFonts w:ascii="Courier New" w:hAnsi="Courier New" w:hint="default"/>
        <w:sz w:val="20"/>
      </w:rPr>
    </w:lvl>
    <w:lvl w:ilvl="2" w:tentative="1">
      <w:start w:val="1"/>
      <w:numFmt w:val="bullet"/>
      <w:lvlText w:val=""/>
      <w:lvlJc w:val="left"/>
      <w:pPr>
        <w:tabs>
          <w:tab w:val="num" w:pos="1380"/>
        </w:tabs>
        <w:ind w:left="1380" w:hanging="360"/>
      </w:pPr>
      <w:rPr>
        <w:rFonts w:ascii="Wingdings" w:hAnsi="Wingdings" w:hint="default"/>
        <w:sz w:val="20"/>
      </w:rPr>
    </w:lvl>
    <w:lvl w:ilvl="3" w:tentative="1">
      <w:start w:val="1"/>
      <w:numFmt w:val="bullet"/>
      <w:lvlText w:val=""/>
      <w:lvlJc w:val="left"/>
      <w:pPr>
        <w:tabs>
          <w:tab w:val="num" w:pos="2100"/>
        </w:tabs>
        <w:ind w:left="2100" w:hanging="360"/>
      </w:pPr>
      <w:rPr>
        <w:rFonts w:ascii="Wingdings" w:hAnsi="Wingdings" w:hint="default"/>
        <w:sz w:val="20"/>
      </w:rPr>
    </w:lvl>
    <w:lvl w:ilvl="4" w:tentative="1">
      <w:start w:val="1"/>
      <w:numFmt w:val="bullet"/>
      <w:lvlText w:val=""/>
      <w:lvlJc w:val="left"/>
      <w:pPr>
        <w:tabs>
          <w:tab w:val="num" w:pos="2820"/>
        </w:tabs>
        <w:ind w:left="2820" w:hanging="360"/>
      </w:pPr>
      <w:rPr>
        <w:rFonts w:ascii="Wingdings" w:hAnsi="Wingdings" w:hint="default"/>
        <w:sz w:val="20"/>
      </w:rPr>
    </w:lvl>
    <w:lvl w:ilvl="5" w:tentative="1">
      <w:start w:val="1"/>
      <w:numFmt w:val="bullet"/>
      <w:lvlText w:val=""/>
      <w:lvlJc w:val="left"/>
      <w:pPr>
        <w:tabs>
          <w:tab w:val="num" w:pos="3540"/>
        </w:tabs>
        <w:ind w:left="3540" w:hanging="360"/>
      </w:pPr>
      <w:rPr>
        <w:rFonts w:ascii="Wingdings" w:hAnsi="Wingdings" w:hint="default"/>
        <w:sz w:val="20"/>
      </w:rPr>
    </w:lvl>
    <w:lvl w:ilvl="6" w:tentative="1">
      <w:start w:val="1"/>
      <w:numFmt w:val="bullet"/>
      <w:lvlText w:val=""/>
      <w:lvlJc w:val="left"/>
      <w:pPr>
        <w:tabs>
          <w:tab w:val="num" w:pos="4260"/>
        </w:tabs>
        <w:ind w:left="4260" w:hanging="360"/>
      </w:pPr>
      <w:rPr>
        <w:rFonts w:ascii="Wingdings" w:hAnsi="Wingdings" w:hint="default"/>
        <w:sz w:val="20"/>
      </w:rPr>
    </w:lvl>
    <w:lvl w:ilvl="7" w:tentative="1">
      <w:start w:val="1"/>
      <w:numFmt w:val="bullet"/>
      <w:lvlText w:val=""/>
      <w:lvlJc w:val="left"/>
      <w:pPr>
        <w:tabs>
          <w:tab w:val="num" w:pos="4980"/>
        </w:tabs>
        <w:ind w:left="4980" w:hanging="360"/>
      </w:pPr>
      <w:rPr>
        <w:rFonts w:ascii="Wingdings" w:hAnsi="Wingdings" w:hint="default"/>
        <w:sz w:val="20"/>
      </w:rPr>
    </w:lvl>
    <w:lvl w:ilvl="8" w:tentative="1">
      <w:start w:val="1"/>
      <w:numFmt w:val="bullet"/>
      <w:lvlText w:val=""/>
      <w:lvlJc w:val="left"/>
      <w:pPr>
        <w:tabs>
          <w:tab w:val="num" w:pos="5700"/>
        </w:tabs>
        <w:ind w:left="5700" w:hanging="360"/>
      </w:pPr>
      <w:rPr>
        <w:rFonts w:ascii="Wingdings" w:hAnsi="Wingdings" w:hint="default"/>
        <w:sz w:val="20"/>
      </w:rPr>
    </w:lvl>
  </w:abstractNum>
  <w:abstractNum w:abstractNumId="1">
    <w:nsid w:val="122A0AEF"/>
    <w:multiLevelType w:val="hybridMultilevel"/>
    <w:tmpl w:val="F6525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274"/>
    <w:rsid w:val="000E3A50"/>
    <w:rsid w:val="00123472"/>
    <w:rsid w:val="001B429A"/>
    <w:rsid w:val="00246BE5"/>
    <w:rsid w:val="002C5274"/>
    <w:rsid w:val="002F4FB5"/>
    <w:rsid w:val="003963B1"/>
    <w:rsid w:val="003A176E"/>
    <w:rsid w:val="00584FA2"/>
    <w:rsid w:val="00701190"/>
    <w:rsid w:val="00742959"/>
    <w:rsid w:val="0077566C"/>
    <w:rsid w:val="007D2787"/>
    <w:rsid w:val="009916AF"/>
    <w:rsid w:val="00A215B3"/>
    <w:rsid w:val="00C56396"/>
    <w:rsid w:val="00C741CD"/>
    <w:rsid w:val="00FB4AC1"/>
    <w:rsid w:val="00FC1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ulartext">
    <w:name w:val="regulartext"/>
    <w:basedOn w:val="Normal"/>
    <w:rsid w:val="002C5274"/>
    <w:pPr>
      <w:spacing w:before="100" w:beforeAutospacing="1" w:after="100" w:afterAutospacing="1" w:line="240" w:lineRule="auto"/>
    </w:pPr>
    <w:rPr>
      <w:rFonts w:ascii="Arial" w:eastAsia="Times New Roman" w:hAnsi="Arial" w:cs="Arial"/>
      <w:color w:val="000000"/>
      <w:sz w:val="24"/>
      <w:szCs w:val="24"/>
    </w:rPr>
  </w:style>
  <w:style w:type="character" w:customStyle="1" w:styleId="regulartext1">
    <w:name w:val="regulartext1"/>
    <w:basedOn w:val="DefaultParagraphFont"/>
    <w:rsid w:val="002C5274"/>
    <w:rPr>
      <w:rFonts w:ascii="Arial" w:hAnsi="Arial" w:cs="Arial" w:hint="default"/>
      <w:color w:val="000000"/>
      <w:sz w:val="24"/>
      <w:szCs w:val="24"/>
    </w:rPr>
  </w:style>
  <w:style w:type="character" w:styleId="Strong">
    <w:name w:val="Strong"/>
    <w:basedOn w:val="DefaultParagraphFont"/>
    <w:uiPriority w:val="22"/>
    <w:qFormat/>
    <w:rsid w:val="002C5274"/>
    <w:rPr>
      <w:b/>
      <w:bCs/>
    </w:rPr>
  </w:style>
  <w:style w:type="character" w:customStyle="1" w:styleId="heading31">
    <w:name w:val="heading31"/>
    <w:basedOn w:val="DefaultParagraphFont"/>
    <w:rsid w:val="00246BE5"/>
    <w:rPr>
      <w:rFonts w:ascii="Verdana" w:hAnsi="Verdana" w:hint="default"/>
      <w:b/>
      <w:bCs/>
      <w:sz w:val="32"/>
      <w:szCs w:val="32"/>
    </w:rPr>
  </w:style>
  <w:style w:type="character" w:styleId="Hyperlink">
    <w:name w:val="Hyperlink"/>
    <w:basedOn w:val="DefaultParagraphFont"/>
    <w:uiPriority w:val="99"/>
    <w:semiHidden/>
    <w:unhideWhenUsed/>
    <w:rsid w:val="00246BE5"/>
    <w:rPr>
      <w:color w:val="0000FF"/>
      <w:u w:val="single"/>
    </w:rPr>
  </w:style>
  <w:style w:type="paragraph" w:styleId="ListParagraph">
    <w:name w:val="List Paragraph"/>
    <w:basedOn w:val="Normal"/>
    <w:uiPriority w:val="34"/>
    <w:qFormat/>
    <w:rsid w:val="00991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ulartext">
    <w:name w:val="regulartext"/>
    <w:basedOn w:val="Normal"/>
    <w:rsid w:val="002C5274"/>
    <w:pPr>
      <w:spacing w:before="100" w:beforeAutospacing="1" w:after="100" w:afterAutospacing="1" w:line="240" w:lineRule="auto"/>
    </w:pPr>
    <w:rPr>
      <w:rFonts w:ascii="Arial" w:eastAsia="Times New Roman" w:hAnsi="Arial" w:cs="Arial"/>
      <w:color w:val="000000"/>
      <w:sz w:val="24"/>
      <w:szCs w:val="24"/>
    </w:rPr>
  </w:style>
  <w:style w:type="character" w:customStyle="1" w:styleId="regulartext1">
    <w:name w:val="regulartext1"/>
    <w:basedOn w:val="DefaultParagraphFont"/>
    <w:rsid w:val="002C5274"/>
    <w:rPr>
      <w:rFonts w:ascii="Arial" w:hAnsi="Arial" w:cs="Arial" w:hint="default"/>
      <w:color w:val="000000"/>
      <w:sz w:val="24"/>
      <w:szCs w:val="24"/>
    </w:rPr>
  </w:style>
  <w:style w:type="character" w:styleId="Strong">
    <w:name w:val="Strong"/>
    <w:basedOn w:val="DefaultParagraphFont"/>
    <w:uiPriority w:val="22"/>
    <w:qFormat/>
    <w:rsid w:val="002C5274"/>
    <w:rPr>
      <w:b/>
      <w:bCs/>
    </w:rPr>
  </w:style>
  <w:style w:type="character" w:customStyle="1" w:styleId="heading31">
    <w:name w:val="heading31"/>
    <w:basedOn w:val="DefaultParagraphFont"/>
    <w:rsid w:val="00246BE5"/>
    <w:rPr>
      <w:rFonts w:ascii="Verdana" w:hAnsi="Verdana" w:hint="default"/>
      <w:b/>
      <w:bCs/>
      <w:sz w:val="32"/>
      <w:szCs w:val="32"/>
    </w:rPr>
  </w:style>
  <w:style w:type="character" w:styleId="Hyperlink">
    <w:name w:val="Hyperlink"/>
    <w:basedOn w:val="DefaultParagraphFont"/>
    <w:uiPriority w:val="99"/>
    <w:semiHidden/>
    <w:unhideWhenUsed/>
    <w:rsid w:val="00246BE5"/>
    <w:rPr>
      <w:color w:val="0000FF"/>
      <w:u w:val="single"/>
    </w:rPr>
  </w:style>
  <w:style w:type="paragraph" w:styleId="ListParagraph">
    <w:name w:val="List Paragraph"/>
    <w:basedOn w:val="Normal"/>
    <w:uiPriority w:val="34"/>
    <w:qFormat/>
    <w:rsid w:val="009916AF"/>
    <w:pPr>
      <w:ind w:left="720"/>
      <w:contextualSpacing/>
    </w:pPr>
  </w:style>
</w:styles>
</file>

<file path=word/webSettings.xml><?xml version="1.0" encoding="utf-8"?>
<w:webSettings xmlns:r="http://schemas.openxmlformats.org/officeDocument/2006/relationships" xmlns:w="http://schemas.openxmlformats.org/wordprocessingml/2006/main">
  <w:divs>
    <w:div w:id="137965046">
      <w:bodyDiv w:val="1"/>
      <w:marLeft w:val="750"/>
      <w:marRight w:val="750"/>
      <w:marTop w:val="0"/>
      <w:marBottom w:val="0"/>
      <w:divBdr>
        <w:top w:val="none" w:sz="0" w:space="0" w:color="auto"/>
        <w:left w:val="none" w:sz="0" w:space="0" w:color="auto"/>
        <w:bottom w:val="none" w:sz="0" w:space="0" w:color="auto"/>
        <w:right w:val="none" w:sz="0" w:space="0" w:color="auto"/>
      </w:divBdr>
      <w:divsChild>
        <w:div w:id="778574356">
          <w:marLeft w:val="0"/>
          <w:marRight w:val="0"/>
          <w:marTop w:val="0"/>
          <w:marBottom w:val="0"/>
          <w:divBdr>
            <w:top w:val="none" w:sz="0" w:space="0" w:color="auto"/>
            <w:left w:val="none" w:sz="0" w:space="0" w:color="auto"/>
            <w:bottom w:val="none" w:sz="0" w:space="0" w:color="auto"/>
            <w:right w:val="none" w:sz="0" w:space="0" w:color="auto"/>
          </w:divBdr>
        </w:div>
      </w:divsChild>
    </w:div>
    <w:div w:id="165025748">
      <w:bodyDiv w:val="1"/>
      <w:marLeft w:val="0"/>
      <w:marRight w:val="0"/>
      <w:marTop w:val="0"/>
      <w:marBottom w:val="0"/>
      <w:divBdr>
        <w:top w:val="none" w:sz="0" w:space="0" w:color="auto"/>
        <w:left w:val="none" w:sz="0" w:space="0" w:color="auto"/>
        <w:bottom w:val="none" w:sz="0" w:space="0" w:color="auto"/>
        <w:right w:val="none" w:sz="0" w:space="0" w:color="auto"/>
      </w:divBdr>
      <w:divsChild>
        <w:div w:id="1704399660">
          <w:marLeft w:val="0"/>
          <w:marRight w:val="0"/>
          <w:marTop w:val="0"/>
          <w:marBottom w:val="0"/>
          <w:divBdr>
            <w:top w:val="none" w:sz="0" w:space="0" w:color="auto"/>
            <w:left w:val="none" w:sz="0" w:space="0" w:color="auto"/>
            <w:bottom w:val="none" w:sz="0" w:space="0" w:color="auto"/>
            <w:right w:val="none" w:sz="0" w:space="0" w:color="auto"/>
          </w:divBdr>
        </w:div>
      </w:divsChild>
    </w:div>
    <w:div w:id="298073812">
      <w:bodyDiv w:val="1"/>
      <w:marLeft w:val="750"/>
      <w:marRight w:val="750"/>
      <w:marTop w:val="0"/>
      <w:marBottom w:val="0"/>
      <w:divBdr>
        <w:top w:val="none" w:sz="0" w:space="0" w:color="auto"/>
        <w:left w:val="none" w:sz="0" w:space="0" w:color="auto"/>
        <w:bottom w:val="none" w:sz="0" w:space="0" w:color="auto"/>
        <w:right w:val="none" w:sz="0" w:space="0" w:color="auto"/>
      </w:divBdr>
      <w:divsChild>
        <w:div w:id="2011374315">
          <w:marLeft w:val="0"/>
          <w:marRight w:val="0"/>
          <w:marTop w:val="0"/>
          <w:marBottom w:val="0"/>
          <w:divBdr>
            <w:top w:val="none" w:sz="0" w:space="0" w:color="auto"/>
            <w:left w:val="none" w:sz="0" w:space="0" w:color="auto"/>
            <w:bottom w:val="none" w:sz="0" w:space="0" w:color="auto"/>
            <w:right w:val="none" w:sz="0" w:space="0" w:color="auto"/>
          </w:divBdr>
        </w:div>
      </w:divsChild>
    </w:div>
    <w:div w:id="372510288">
      <w:bodyDiv w:val="1"/>
      <w:marLeft w:val="750"/>
      <w:marRight w:val="750"/>
      <w:marTop w:val="0"/>
      <w:marBottom w:val="0"/>
      <w:divBdr>
        <w:top w:val="none" w:sz="0" w:space="0" w:color="auto"/>
        <w:left w:val="none" w:sz="0" w:space="0" w:color="auto"/>
        <w:bottom w:val="none" w:sz="0" w:space="0" w:color="auto"/>
        <w:right w:val="none" w:sz="0" w:space="0" w:color="auto"/>
      </w:divBdr>
      <w:divsChild>
        <w:div w:id="1897932376">
          <w:marLeft w:val="0"/>
          <w:marRight w:val="0"/>
          <w:marTop w:val="0"/>
          <w:marBottom w:val="0"/>
          <w:divBdr>
            <w:top w:val="none" w:sz="0" w:space="0" w:color="auto"/>
            <w:left w:val="none" w:sz="0" w:space="0" w:color="auto"/>
            <w:bottom w:val="none" w:sz="0" w:space="0" w:color="auto"/>
            <w:right w:val="none" w:sz="0" w:space="0" w:color="auto"/>
          </w:divBdr>
        </w:div>
      </w:divsChild>
    </w:div>
    <w:div w:id="1136609066">
      <w:bodyDiv w:val="1"/>
      <w:marLeft w:val="750"/>
      <w:marRight w:val="750"/>
      <w:marTop w:val="0"/>
      <w:marBottom w:val="0"/>
      <w:divBdr>
        <w:top w:val="none" w:sz="0" w:space="0" w:color="auto"/>
        <w:left w:val="none" w:sz="0" w:space="0" w:color="auto"/>
        <w:bottom w:val="none" w:sz="0" w:space="0" w:color="auto"/>
        <w:right w:val="none" w:sz="0" w:space="0" w:color="auto"/>
      </w:divBdr>
      <w:divsChild>
        <w:div w:id="891841485">
          <w:marLeft w:val="0"/>
          <w:marRight w:val="0"/>
          <w:marTop w:val="0"/>
          <w:marBottom w:val="0"/>
          <w:divBdr>
            <w:top w:val="none" w:sz="0" w:space="0" w:color="auto"/>
            <w:left w:val="none" w:sz="0" w:space="0" w:color="auto"/>
            <w:bottom w:val="none" w:sz="0" w:space="0" w:color="auto"/>
            <w:right w:val="none" w:sz="0" w:space="0" w:color="auto"/>
          </w:divBdr>
        </w:div>
      </w:divsChild>
    </w:div>
    <w:div w:id="1283152523">
      <w:bodyDiv w:val="1"/>
      <w:marLeft w:val="750"/>
      <w:marRight w:val="750"/>
      <w:marTop w:val="0"/>
      <w:marBottom w:val="0"/>
      <w:divBdr>
        <w:top w:val="none" w:sz="0" w:space="0" w:color="auto"/>
        <w:left w:val="none" w:sz="0" w:space="0" w:color="auto"/>
        <w:bottom w:val="none" w:sz="0" w:space="0" w:color="auto"/>
        <w:right w:val="none" w:sz="0" w:space="0" w:color="auto"/>
      </w:divBdr>
      <w:divsChild>
        <w:div w:id="1436906092">
          <w:marLeft w:val="0"/>
          <w:marRight w:val="0"/>
          <w:marTop w:val="0"/>
          <w:marBottom w:val="0"/>
          <w:divBdr>
            <w:top w:val="none" w:sz="0" w:space="0" w:color="auto"/>
            <w:left w:val="none" w:sz="0" w:space="0" w:color="auto"/>
            <w:bottom w:val="none" w:sz="0" w:space="0" w:color="auto"/>
            <w:right w:val="none" w:sz="0" w:space="0" w:color="auto"/>
          </w:divBdr>
        </w:div>
      </w:divsChild>
    </w:div>
    <w:div w:id="1290353151">
      <w:bodyDiv w:val="1"/>
      <w:marLeft w:val="750"/>
      <w:marRight w:val="750"/>
      <w:marTop w:val="0"/>
      <w:marBottom w:val="0"/>
      <w:divBdr>
        <w:top w:val="none" w:sz="0" w:space="0" w:color="auto"/>
        <w:left w:val="none" w:sz="0" w:space="0" w:color="auto"/>
        <w:bottom w:val="none" w:sz="0" w:space="0" w:color="auto"/>
        <w:right w:val="none" w:sz="0" w:space="0" w:color="auto"/>
      </w:divBdr>
      <w:divsChild>
        <w:div w:id="1201238193">
          <w:marLeft w:val="0"/>
          <w:marRight w:val="0"/>
          <w:marTop w:val="0"/>
          <w:marBottom w:val="0"/>
          <w:divBdr>
            <w:top w:val="none" w:sz="0" w:space="0" w:color="auto"/>
            <w:left w:val="none" w:sz="0" w:space="0" w:color="auto"/>
            <w:bottom w:val="none" w:sz="0" w:space="0" w:color="auto"/>
            <w:right w:val="none" w:sz="0" w:space="0" w:color="auto"/>
          </w:divBdr>
        </w:div>
      </w:divsChild>
    </w:div>
    <w:div w:id="1681547738">
      <w:bodyDiv w:val="1"/>
      <w:marLeft w:val="750"/>
      <w:marRight w:val="75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
      </w:divsChild>
    </w:div>
    <w:div w:id="1932733938">
      <w:bodyDiv w:val="1"/>
      <w:marLeft w:val="750"/>
      <w:marRight w:val="750"/>
      <w:marTop w:val="0"/>
      <w:marBottom w:val="0"/>
      <w:divBdr>
        <w:top w:val="none" w:sz="0" w:space="0" w:color="auto"/>
        <w:left w:val="none" w:sz="0" w:space="0" w:color="auto"/>
        <w:bottom w:val="none" w:sz="0" w:space="0" w:color="auto"/>
        <w:right w:val="none" w:sz="0" w:space="0" w:color="auto"/>
      </w:divBdr>
      <w:divsChild>
        <w:div w:id="107901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E:\Epigen%20Eval\Docs%20NIH\RFAs\RFA%20R21%20Novel%20MARKS%20RFA-RM-07-01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dealmeig</cp:lastModifiedBy>
  <cp:revision>4</cp:revision>
  <dcterms:created xsi:type="dcterms:W3CDTF">2011-01-29T23:53:00Z</dcterms:created>
  <dcterms:modified xsi:type="dcterms:W3CDTF">2011-05-13T15:41:00Z</dcterms:modified>
</cp:coreProperties>
</file>