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BD" w:rsidRPr="001C6F3B" w:rsidRDefault="00D876BD" w:rsidP="00D876BD">
      <w:pPr>
        <w:jc w:val="center"/>
        <w:rPr>
          <w:b/>
          <w:sz w:val="28"/>
          <w:szCs w:val="28"/>
        </w:rPr>
      </w:pPr>
      <w:r w:rsidRPr="001C6F3B">
        <w:rPr>
          <w:b/>
          <w:noProof/>
          <w:sz w:val="28"/>
          <w:szCs w:val="28"/>
        </w:rPr>
        <w:drawing>
          <wp:inline distT="0" distB="0" distL="0" distR="0">
            <wp:extent cx="5553075" cy="1123950"/>
            <wp:effectExtent l="19050" t="0" r="9525" b="0"/>
            <wp:docPr id="4" name="Picture 1" descr="NCSLett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SLetter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AA5" w:rsidRPr="007A475B" w:rsidRDefault="006F1AA5" w:rsidP="00A52625">
      <w:pPr>
        <w:rPr>
          <w:rFonts w:asciiTheme="minorHAnsi" w:hAnsiTheme="minorHAnsi"/>
          <w:sz w:val="22"/>
          <w:szCs w:val="22"/>
        </w:rPr>
      </w:pPr>
    </w:p>
    <w:p w:rsidR="00A52625" w:rsidRPr="007A475B" w:rsidRDefault="00D876BD" w:rsidP="00A52625">
      <w:pPr>
        <w:rPr>
          <w:rFonts w:asciiTheme="minorHAnsi" w:hAnsiTheme="minorHAnsi"/>
          <w:sz w:val="22"/>
          <w:szCs w:val="22"/>
        </w:rPr>
      </w:pPr>
      <w:r w:rsidRPr="007A475B">
        <w:rPr>
          <w:rFonts w:asciiTheme="minorHAnsi" w:hAnsiTheme="minorHAnsi"/>
          <w:sz w:val="22"/>
          <w:szCs w:val="22"/>
        </w:rPr>
        <w:t>DATE</w:t>
      </w:r>
      <w:r w:rsidR="00A52625" w:rsidRPr="007A475B">
        <w:rPr>
          <w:rFonts w:asciiTheme="minorHAnsi" w:hAnsiTheme="minorHAnsi"/>
          <w:sz w:val="22"/>
          <w:szCs w:val="22"/>
        </w:rPr>
        <w:t>:</w:t>
      </w:r>
      <w:r w:rsidR="00A52625" w:rsidRPr="007A475B">
        <w:rPr>
          <w:rFonts w:asciiTheme="minorHAnsi" w:hAnsiTheme="minorHAnsi"/>
          <w:sz w:val="22"/>
          <w:szCs w:val="22"/>
        </w:rPr>
        <w:tab/>
      </w:r>
      <w:r w:rsidR="00A52625" w:rsidRPr="007A475B">
        <w:rPr>
          <w:rFonts w:asciiTheme="minorHAnsi" w:hAnsiTheme="minorHAnsi"/>
          <w:sz w:val="22"/>
          <w:szCs w:val="22"/>
        </w:rPr>
        <w:tab/>
      </w:r>
      <w:r w:rsidRPr="007A475B">
        <w:rPr>
          <w:rFonts w:asciiTheme="minorHAnsi" w:hAnsiTheme="minorHAnsi"/>
          <w:sz w:val="22"/>
          <w:szCs w:val="22"/>
        </w:rPr>
        <w:tab/>
      </w:r>
      <w:r w:rsidR="005B4ABC">
        <w:rPr>
          <w:rFonts w:asciiTheme="minorHAnsi" w:hAnsiTheme="minorHAnsi"/>
          <w:sz w:val="22"/>
          <w:szCs w:val="22"/>
        </w:rPr>
        <w:t>April 20,</w:t>
      </w:r>
      <w:r w:rsidR="00587FB7" w:rsidRPr="007A475B">
        <w:rPr>
          <w:rFonts w:asciiTheme="minorHAnsi" w:hAnsiTheme="minorHAnsi"/>
          <w:sz w:val="22"/>
          <w:szCs w:val="22"/>
        </w:rPr>
        <w:t xml:space="preserve"> 2011</w:t>
      </w:r>
    </w:p>
    <w:p w:rsidR="00A52625" w:rsidRPr="007A475B" w:rsidRDefault="00A52625" w:rsidP="00A52625">
      <w:pPr>
        <w:rPr>
          <w:rFonts w:asciiTheme="minorHAnsi" w:hAnsiTheme="minorHAnsi"/>
          <w:sz w:val="22"/>
          <w:szCs w:val="22"/>
        </w:rPr>
      </w:pPr>
    </w:p>
    <w:p w:rsidR="00D876BD" w:rsidRPr="007A475B" w:rsidRDefault="00D876BD" w:rsidP="00A52625">
      <w:pPr>
        <w:rPr>
          <w:rFonts w:asciiTheme="minorHAnsi" w:hAnsiTheme="minorHAnsi"/>
          <w:sz w:val="22"/>
          <w:szCs w:val="22"/>
        </w:rPr>
      </w:pPr>
      <w:r w:rsidRPr="007A475B">
        <w:rPr>
          <w:rFonts w:asciiTheme="minorHAnsi" w:hAnsiTheme="minorHAnsi"/>
          <w:sz w:val="22"/>
          <w:szCs w:val="22"/>
        </w:rPr>
        <w:t>TO</w:t>
      </w:r>
      <w:r w:rsidR="00A52625" w:rsidRPr="007A475B">
        <w:rPr>
          <w:rFonts w:asciiTheme="minorHAnsi" w:hAnsiTheme="minorHAnsi"/>
          <w:sz w:val="22"/>
          <w:szCs w:val="22"/>
        </w:rPr>
        <w:t>:</w:t>
      </w:r>
      <w:r w:rsidR="00A52625" w:rsidRPr="007A475B">
        <w:rPr>
          <w:rFonts w:asciiTheme="minorHAnsi" w:hAnsiTheme="minorHAnsi"/>
          <w:sz w:val="22"/>
          <w:szCs w:val="22"/>
        </w:rPr>
        <w:tab/>
      </w:r>
      <w:r w:rsidR="00A52625" w:rsidRPr="007A475B">
        <w:rPr>
          <w:rFonts w:asciiTheme="minorHAnsi" w:hAnsiTheme="minorHAnsi"/>
          <w:sz w:val="22"/>
          <w:szCs w:val="22"/>
        </w:rPr>
        <w:tab/>
      </w:r>
      <w:r w:rsidR="002051D0" w:rsidRPr="007A475B">
        <w:rPr>
          <w:rFonts w:asciiTheme="minorHAnsi" w:hAnsiTheme="minorHAnsi"/>
          <w:sz w:val="22"/>
          <w:szCs w:val="22"/>
        </w:rPr>
        <w:tab/>
        <w:t>Dr. Margo</w:t>
      </w:r>
      <w:r w:rsidRPr="007A475B">
        <w:rPr>
          <w:rFonts w:asciiTheme="minorHAnsi" w:hAnsiTheme="minorHAnsi"/>
          <w:sz w:val="22"/>
          <w:szCs w:val="22"/>
        </w:rPr>
        <w:t xml:space="preserve"> Schwab</w:t>
      </w:r>
      <w:r w:rsidR="00B9606D">
        <w:rPr>
          <w:rFonts w:asciiTheme="minorHAnsi" w:hAnsiTheme="minorHAnsi"/>
          <w:sz w:val="22"/>
          <w:szCs w:val="22"/>
        </w:rPr>
        <w:t>, Dr. Julie Wise</w:t>
      </w:r>
    </w:p>
    <w:p w:rsidR="00A52625" w:rsidRPr="007A475B" w:rsidRDefault="00A52625" w:rsidP="00D876BD">
      <w:pPr>
        <w:ind w:left="1440" w:firstLine="720"/>
        <w:rPr>
          <w:rFonts w:asciiTheme="minorHAnsi" w:hAnsiTheme="minorHAnsi"/>
          <w:sz w:val="22"/>
          <w:szCs w:val="22"/>
        </w:rPr>
      </w:pPr>
      <w:r w:rsidRPr="007A475B">
        <w:rPr>
          <w:rFonts w:asciiTheme="minorHAnsi" w:hAnsiTheme="minorHAnsi"/>
          <w:sz w:val="22"/>
          <w:szCs w:val="22"/>
        </w:rPr>
        <w:t>Office of Management and Budget</w:t>
      </w:r>
    </w:p>
    <w:p w:rsidR="00B361E2" w:rsidRPr="007A475B" w:rsidRDefault="00B361E2" w:rsidP="00A52625">
      <w:pPr>
        <w:rPr>
          <w:rFonts w:asciiTheme="minorHAnsi" w:hAnsiTheme="minorHAnsi"/>
          <w:sz w:val="22"/>
          <w:szCs w:val="22"/>
        </w:rPr>
      </w:pPr>
      <w:r w:rsidRPr="007A475B">
        <w:rPr>
          <w:rFonts w:asciiTheme="minorHAnsi" w:hAnsiTheme="minorHAnsi"/>
          <w:sz w:val="22"/>
          <w:szCs w:val="22"/>
        </w:rPr>
        <w:tab/>
      </w:r>
      <w:r w:rsidRPr="007A475B">
        <w:rPr>
          <w:rFonts w:asciiTheme="minorHAnsi" w:hAnsiTheme="minorHAnsi"/>
          <w:sz w:val="22"/>
          <w:szCs w:val="22"/>
        </w:rPr>
        <w:tab/>
      </w:r>
      <w:r w:rsidR="00D876BD" w:rsidRPr="007A475B">
        <w:rPr>
          <w:rFonts w:asciiTheme="minorHAnsi" w:hAnsiTheme="minorHAnsi"/>
          <w:sz w:val="22"/>
          <w:szCs w:val="22"/>
        </w:rPr>
        <w:tab/>
      </w:r>
      <w:r w:rsidRPr="007A475B">
        <w:rPr>
          <w:rFonts w:asciiTheme="minorHAnsi" w:hAnsiTheme="minorHAnsi"/>
          <w:sz w:val="22"/>
          <w:szCs w:val="22"/>
        </w:rPr>
        <w:t>Office of Information and Regulatory Affairs</w:t>
      </w:r>
    </w:p>
    <w:p w:rsidR="00A52625" w:rsidRPr="007A475B" w:rsidRDefault="00A52625" w:rsidP="00A52625">
      <w:pPr>
        <w:rPr>
          <w:rFonts w:asciiTheme="minorHAnsi" w:hAnsiTheme="minorHAnsi"/>
          <w:sz w:val="22"/>
          <w:szCs w:val="22"/>
        </w:rPr>
      </w:pPr>
    </w:p>
    <w:p w:rsidR="00A52625" w:rsidRPr="007A475B" w:rsidRDefault="00D876BD" w:rsidP="00D876BD">
      <w:pPr>
        <w:tabs>
          <w:tab w:val="left" w:pos="2160"/>
        </w:tabs>
        <w:rPr>
          <w:rFonts w:asciiTheme="minorHAnsi" w:hAnsiTheme="minorHAnsi"/>
          <w:sz w:val="22"/>
          <w:szCs w:val="22"/>
        </w:rPr>
      </w:pPr>
      <w:r w:rsidRPr="007A475B">
        <w:rPr>
          <w:rFonts w:asciiTheme="minorHAnsi" w:hAnsiTheme="minorHAnsi"/>
          <w:sz w:val="22"/>
          <w:szCs w:val="22"/>
        </w:rPr>
        <w:t xml:space="preserve">FROM: </w:t>
      </w:r>
      <w:r w:rsidRPr="007A475B">
        <w:rPr>
          <w:rFonts w:asciiTheme="minorHAnsi" w:hAnsiTheme="minorHAnsi"/>
          <w:sz w:val="22"/>
          <w:szCs w:val="22"/>
        </w:rPr>
        <w:tab/>
        <w:t>Dr. Jennifer Park</w:t>
      </w:r>
    </w:p>
    <w:p w:rsidR="00D876BD" w:rsidRPr="007A475B" w:rsidRDefault="00D876BD" w:rsidP="00A52625">
      <w:pPr>
        <w:rPr>
          <w:rFonts w:asciiTheme="minorHAnsi" w:hAnsiTheme="minorHAnsi"/>
          <w:sz w:val="22"/>
          <w:szCs w:val="22"/>
        </w:rPr>
      </w:pPr>
    </w:p>
    <w:p w:rsidR="00D876BD" w:rsidRPr="007A475B" w:rsidRDefault="00D876BD" w:rsidP="00A52625">
      <w:pPr>
        <w:rPr>
          <w:rFonts w:asciiTheme="minorHAnsi" w:hAnsiTheme="minorHAnsi"/>
          <w:sz w:val="22"/>
          <w:szCs w:val="22"/>
        </w:rPr>
      </w:pPr>
      <w:r w:rsidRPr="007A475B">
        <w:rPr>
          <w:rFonts w:asciiTheme="minorHAnsi" w:hAnsiTheme="minorHAnsi"/>
          <w:sz w:val="22"/>
          <w:szCs w:val="22"/>
        </w:rPr>
        <w:t>THROUGH:</w:t>
      </w:r>
      <w:r w:rsidRPr="007A475B">
        <w:rPr>
          <w:rFonts w:asciiTheme="minorHAnsi" w:hAnsiTheme="minorHAnsi"/>
          <w:sz w:val="22"/>
          <w:szCs w:val="22"/>
        </w:rPr>
        <w:tab/>
      </w:r>
      <w:r w:rsidRPr="007A475B">
        <w:rPr>
          <w:rFonts w:asciiTheme="minorHAnsi" w:hAnsiTheme="minorHAnsi"/>
          <w:sz w:val="22"/>
          <w:szCs w:val="22"/>
        </w:rPr>
        <w:tab/>
        <w:t>Dr. Steven Hirschfeld</w:t>
      </w:r>
    </w:p>
    <w:p w:rsidR="00A52625" w:rsidRPr="007A475B" w:rsidRDefault="00A52625" w:rsidP="00A52625">
      <w:pPr>
        <w:rPr>
          <w:rFonts w:asciiTheme="minorHAnsi" w:hAnsiTheme="minorHAnsi"/>
          <w:sz w:val="22"/>
          <w:szCs w:val="22"/>
        </w:rPr>
      </w:pPr>
    </w:p>
    <w:p w:rsidR="00A52625" w:rsidRPr="007A475B" w:rsidRDefault="00D876BD" w:rsidP="00D876BD">
      <w:pPr>
        <w:ind w:left="2160" w:hanging="2160"/>
        <w:rPr>
          <w:rFonts w:asciiTheme="minorHAnsi" w:hAnsiTheme="minorHAnsi"/>
          <w:sz w:val="22"/>
          <w:szCs w:val="22"/>
        </w:rPr>
      </w:pPr>
      <w:r w:rsidRPr="007A475B">
        <w:rPr>
          <w:rFonts w:asciiTheme="minorHAnsi" w:hAnsiTheme="minorHAnsi"/>
          <w:sz w:val="22"/>
          <w:szCs w:val="22"/>
        </w:rPr>
        <w:t>SUBJECT</w:t>
      </w:r>
      <w:r w:rsidR="00A52625" w:rsidRPr="007A475B">
        <w:rPr>
          <w:rFonts w:asciiTheme="minorHAnsi" w:hAnsiTheme="minorHAnsi"/>
          <w:sz w:val="22"/>
          <w:szCs w:val="22"/>
        </w:rPr>
        <w:t xml:space="preserve">: </w:t>
      </w:r>
      <w:r w:rsidR="00A52625" w:rsidRPr="007A475B">
        <w:rPr>
          <w:rFonts w:asciiTheme="minorHAnsi" w:hAnsiTheme="minorHAnsi"/>
          <w:sz w:val="22"/>
          <w:szCs w:val="22"/>
        </w:rPr>
        <w:tab/>
      </w:r>
      <w:r w:rsidRPr="007A475B">
        <w:rPr>
          <w:rFonts w:asciiTheme="minorHAnsi" w:hAnsiTheme="minorHAnsi"/>
          <w:sz w:val="22"/>
          <w:szCs w:val="22"/>
        </w:rPr>
        <w:t>Request for Non-Substantive Change to National Children’s Study, Vanguard (Pilot) Study (OMB Contro</w:t>
      </w:r>
      <w:r w:rsidR="00587FB7" w:rsidRPr="007A475B">
        <w:rPr>
          <w:rFonts w:asciiTheme="minorHAnsi" w:hAnsiTheme="minorHAnsi"/>
          <w:sz w:val="22"/>
          <w:szCs w:val="22"/>
        </w:rPr>
        <w:t>l #0925-0593, Expiration July 31</w:t>
      </w:r>
      <w:r w:rsidRPr="007A475B">
        <w:rPr>
          <w:rFonts w:asciiTheme="minorHAnsi" w:hAnsiTheme="minorHAnsi"/>
          <w:sz w:val="22"/>
          <w:szCs w:val="22"/>
        </w:rPr>
        <w:t xml:space="preserve">, 2013) </w:t>
      </w:r>
      <w:r w:rsidR="00225C37" w:rsidRPr="007A475B">
        <w:rPr>
          <w:rFonts w:asciiTheme="minorHAnsi" w:hAnsiTheme="minorHAnsi"/>
          <w:sz w:val="22"/>
          <w:szCs w:val="22"/>
        </w:rPr>
        <w:t>–</w:t>
      </w:r>
      <w:r w:rsidR="001C6F3B" w:rsidRPr="007A475B">
        <w:rPr>
          <w:rFonts w:asciiTheme="minorHAnsi" w:hAnsiTheme="minorHAnsi"/>
          <w:sz w:val="22"/>
          <w:szCs w:val="22"/>
        </w:rPr>
        <w:t xml:space="preserve"> </w:t>
      </w:r>
      <w:r w:rsidR="00587FB7" w:rsidRPr="007A475B">
        <w:rPr>
          <w:rFonts w:asciiTheme="minorHAnsi" w:hAnsiTheme="minorHAnsi"/>
          <w:sz w:val="22"/>
          <w:szCs w:val="22"/>
        </w:rPr>
        <w:t>Inclusion of Formative Research Projects</w:t>
      </w:r>
      <w:r w:rsidR="00B9606D">
        <w:rPr>
          <w:rFonts w:asciiTheme="minorHAnsi" w:hAnsiTheme="minorHAnsi"/>
          <w:sz w:val="22"/>
          <w:szCs w:val="22"/>
        </w:rPr>
        <w:t>:</w:t>
      </w:r>
      <w:r w:rsidR="005B4ABC">
        <w:rPr>
          <w:rFonts w:asciiTheme="minorHAnsi" w:hAnsiTheme="minorHAnsi"/>
          <w:sz w:val="22"/>
          <w:szCs w:val="22"/>
        </w:rPr>
        <w:t xml:space="preserve"> </w:t>
      </w:r>
      <w:r w:rsidR="00B9606D">
        <w:rPr>
          <w:rFonts w:asciiTheme="minorHAnsi" w:hAnsiTheme="minorHAnsi"/>
          <w:sz w:val="22"/>
          <w:szCs w:val="22"/>
        </w:rPr>
        <w:t>LOIX</w:t>
      </w:r>
      <w:r w:rsidR="005B4ABC">
        <w:rPr>
          <w:rFonts w:asciiTheme="minorHAnsi" w:hAnsiTheme="minorHAnsi"/>
          <w:sz w:val="22"/>
          <w:szCs w:val="22"/>
        </w:rPr>
        <w:t>-QUEX-01</w:t>
      </w:r>
      <w:r w:rsidR="00AB6D2E">
        <w:rPr>
          <w:rFonts w:asciiTheme="minorHAnsi" w:hAnsiTheme="minorHAnsi"/>
          <w:sz w:val="22"/>
          <w:szCs w:val="22"/>
        </w:rPr>
        <w:t>-B</w:t>
      </w:r>
      <w:r w:rsidR="005B4ABC">
        <w:rPr>
          <w:rFonts w:asciiTheme="minorHAnsi" w:hAnsiTheme="minorHAnsi"/>
          <w:sz w:val="22"/>
          <w:szCs w:val="22"/>
        </w:rPr>
        <w:t xml:space="preserve">, </w:t>
      </w:r>
      <w:r w:rsidR="0009060A">
        <w:rPr>
          <w:rFonts w:asciiTheme="minorHAnsi" w:hAnsiTheme="minorHAnsi"/>
          <w:sz w:val="22"/>
          <w:szCs w:val="22"/>
        </w:rPr>
        <w:t>LOI2-INF-17, LOI3-ENV-01-D</w:t>
      </w:r>
    </w:p>
    <w:p w:rsidR="00D876BD" w:rsidRPr="007A475B" w:rsidRDefault="00D876BD" w:rsidP="00A52625">
      <w:pPr>
        <w:ind w:left="1440" w:hanging="1440"/>
        <w:rPr>
          <w:rFonts w:asciiTheme="minorHAnsi" w:hAnsiTheme="minorHAnsi"/>
          <w:sz w:val="22"/>
          <w:szCs w:val="22"/>
        </w:rPr>
      </w:pPr>
    </w:p>
    <w:p w:rsidR="00D876BD" w:rsidRPr="007A475B" w:rsidRDefault="00D876BD" w:rsidP="00A52625">
      <w:pPr>
        <w:ind w:left="1440" w:hanging="1440"/>
        <w:rPr>
          <w:rFonts w:asciiTheme="minorHAnsi" w:hAnsiTheme="minorHAnsi"/>
          <w:sz w:val="22"/>
          <w:szCs w:val="22"/>
        </w:rPr>
      </w:pPr>
      <w:r w:rsidRPr="007A475B">
        <w:rPr>
          <w:rFonts w:asciiTheme="minorHAnsi" w:hAnsiTheme="minorHAnsi"/>
          <w:sz w:val="22"/>
          <w:szCs w:val="22"/>
        </w:rPr>
        <w:t>CC:</w:t>
      </w:r>
      <w:r w:rsidRPr="007A475B">
        <w:rPr>
          <w:rFonts w:asciiTheme="minorHAnsi" w:hAnsiTheme="minorHAnsi"/>
          <w:sz w:val="22"/>
          <w:szCs w:val="22"/>
        </w:rPr>
        <w:tab/>
      </w:r>
      <w:r w:rsidRPr="007A475B">
        <w:rPr>
          <w:rFonts w:asciiTheme="minorHAnsi" w:hAnsiTheme="minorHAnsi"/>
          <w:sz w:val="22"/>
          <w:szCs w:val="22"/>
        </w:rPr>
        <w:tab/>
        <w:t xml:space="preserve">Dr. Sarah Glavin, Ms. Jamelle Banks, </w:t>
      </w:r>
      <w:r w:rsidR="00B9606D">
        <w:rPr>
          <w:rFonts w:asciiTheme="minorHAnsi" w:hAnsiTheme="minorHAnsi"/>
          <w:sz w:val="22"/>
          <w:szCs w:val="22"/>
        </w:rPr>
        <w:t xml:space="preserve">Ms. Seleda Perryman, </w:t>
      </w:r>
      <w:r w:rsidRPr="007A475B">
        <w:rPr>
          <w:rFonts w:asciiTheme="minorHAnsi" w:hAnsiTheme="minorHAnsi"/>
          <w:sz w:val="22"/>
          <w:szCs w:val="22"/>
        </w:rPr>
        <w:t>Ms. Mikia Currie</w:t>
      </w:r>
    </w:p>
    <w:p w:rsidR="00D876BD" w:rsidRPr="007A475B" w:rsidRDefault="00D876BD" w:rsidP="00A52625">
      <w:pPr>
        <w:pBdr>
          <w:bottom w:val="single" w:sz="12" w:space="1" w:color="auto"/>
        </w:pBdr>
        <w:ind w:left="1440" w:hanging="1440"/>
        <w:rPr>
          <w:rFonts w:asciiTheme="minorHAnsi" w:hAnsiTheme="minorHAnsi"/>
          <w:sz w:val="22"/>
          <w:szCs w:val="22"/>
        </w:rPr>
      </w:pPr>
    </w:p>
    <w:p w:rsidR="00A52625" w:rsidRPr="007A475B" w:rsidRDefault="00A52625" w:rsidP="00A52625">
      <w:pPr>
        <w:rPr>
          <w:rFonts w:asciiTheme="minorHAnsi" w:hAnsiTheme="minorHAnsi"/>
          <w:sz w:val="22"/>
          <w:szCs w:val="22"/>
        </w:rPr>
      </w:pPr>
    </w:p>
    <w:p w:rsidR="00983235" w:rsidRPr="007A475B" w:rsidRDefault="00983235" w:rsidP="00983235">
      <w:pPr>
        <w:rPr>
          <w:rFonts w:asciiTheme="minorHAnsi" w:hAnsiTheme="minorHAnsi"/>
          <w:sz w:val="22"/>
          <w:szCs w:val="22"/>
        </w:rPr>
      </w:pPr>
      <w:r w:rsidRPr="007A475B">
        <w:rPr>
          <w:rFonts w:asciiTheme="minorHAnsi" w:hAnsiTheme="minorHAnsi"/>
          <w:sz w:val="22"/>
          <w:szCs w:val="22"/>
        </w:rPr>
        <w:t xml:space="preserve">We request non-substantive change to the National Children’s Study (NCS) Vanguard (Pilot) Study protocol approved as revised by the Office of Information and Regulatory Affairs (OIRA) on </w:t>
      </w:r>
      <w:r w:rsidR="00B9606D">
        <w:rPr>
          <w:rFonts w:asciiTheme="minorHAnsi" w:hAnsiTheme="minorHAnsi"/>
          <w:sz w:val="22"/>
          <w:szCs w:val="22"/>
        </w:rPr>
        <w:t>April 13, 2011.</w:t>
      </w:r>
      <w:r w:rsidRPr="007A475B">
        <w:rPr>
          <w:rFonts w:asciiTheme="minorHAnsi" w:hAnsiTheme="minorHAnsi"/>
          <w:sz w:val="22"/>
          <w:szCs w:val="22"/>
        </w:rPr>
        <w:t xml:space="preserve">  </w:t>
      </w:r>
    </w:p>
    <w:p w:rsidR="00983235" w:rsidRPr="007A475B" w:rsidRDefault="00983235" w:rsidP="00983235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B9606D" w:rsidRDefault="009D5823" w:rsidP="00983235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request that </w:t>
      </w:r>
      <w:r w:rsidR="00BB453A">
        <w:rPr>
          <w:rFonts w:asciiTheme="minorHAnsi" w:hAnsiTheme="minorHAnsi"/>
          <w:sz w:val="22"/>
          <w:szCs w:val="22"/>
        </w:rPr>
        <w:t>three</w:t>
      </w:r>
      <w:r w:rsidR="00983235" w:rsidRPr="00DB6C96">
        <w:rPr>
          <w:rFonts w:asciiTheme="minorHAnsi" w:hAnsiTheme="minorHAnsi"/>
          <w:sz w:val="22"/>
          <w:szCs w:val="22"/>
        </w:rPr>
        <w:t xml:space="preserve"> formative research projects, </w:t>
      </w:r>
      <w:r w:rsidR="00B9606D">
        <w:rPr>
          <w:rFonts w:asciiTheme="minorHAnsi" w:hAnsiTheme="minorHAnsi"/>
          <w:sz w:val="22"/>
          <w:szCs w:val="22"/>
        </w:rPr>
        <w:t>LOIX</w:t>
      </w:r>
      <w:r w:rsidR="00DB6C96" w:rsidRPr="00DB6C96">
        <w:rPr>
          <w:rFonts w:asciiTheme="minorHAnsi" w:hAnsiTheme="minorHAnsi"/>
          <w:sz w:val="22"/>
          <w:szCs w:val="22"/>
        </w:rPr>
        <w:t>-QUEX-0</w:t>
      </w:r>
      <w:r w:rsidR="00AB6D2E">
        <w:rPr>
          <w:rFonts w:asciiTheme="minorHAnsi" w:hAnsiTheme="minorHAnsi"/>
          <w:sz w:val="22"/>
          <w:szCs w:val="22"/>
        </w:rPr>
        <w:t>1-B</w:t>
      </w:r>
      <w:r w:rsidR="00983235" w:rsidRPr="00DB6C96">
        <w:rPr>
          <w:rFonts w:asciiTheme="minorHAnsi" w:hAnsiTheme="minorHAnsi"/>
          <w:sz w:val="22"/>
          <w:szCs w:val="22"/>
        </w:rPr>
        <w:t xml:space="preserve"> (“</w:t>
      </w:r>
      <w:r w:rsidR="00DB6C96" w:rsidRPr="00DB6C96">
        <w:rPr>
          <w:rFonts w:ascii="Calibri" w:eastAsia="Times New Roman" w:hAnsi="Calibri"/>
          <w:color w:val="000000"/>
          <w:sz w:val="22"/>
          <w:szCs w:val="22"/>
        </w:rPr>
        <w:t>Evaluation of Household Inventory Questionnaire to Increase Response Rate and Efficiency</w:t>
      </w:r>
      <w:r w:rsidR="00983235" w:rsidRPr="00DB6C96">
        <w:rPr>
          <w:rFonts w:ascii="Calibri" w:eastAsia="Times New Roman" w:hAnsi="Calibri"/>
          <w:color w:val="000000"/>
          <w:sz w:val="22"/>
          <w:szCs w:val="22"/>
        </w:rPr>
        <w:t>”)</w:t>
      </w:r>
      <w:r w:rsidR="005B4ABC">
        <w:rPr>
          <w:rFonts w:ascii="Calibri" w:eastAsia="Times New Roman" w:hAnsi="Calibri"/>
          <w:color w:val="000000"/>
          <w:sz w:val="22"/>
          <w:szCs w:val="22"/>
        </w:rPr>
        <w:t xml:space="preserve">, </w:t>
      </w:r>
      <w:r w:rsidR="00247352">
        <w:rPr>
          <w:rFonts w:asciiTheme="minorHAnsi" w:hAnsiTheme="minorHAnsi"/>
          <w:sz w:val="22"/>
          <w:szCs w:val="22"/>
        </w:rPr>
        <w:t>LOI2-INF-17 (“</w:t>
      </w:r>
      <w:r w:rsidR="00247352" w:rsidRPr="00316DC9">
        <w:rPr>
          <w:rFonts w:ascii="Calibri" w:eastAsia="Times New Roman" w:hAnsi="Calibri"/>
          <w:color w:val="000000"/>
          <w:sz w:val="22"/>
          <w:szCs w:val="22"/>
        </w:rPr>
        <w:t>Feasibility and Acceptability of Alternate Methods of Postnatal 3-</w:t>
      </w:r>
      <w:r w:rsidR="00247352">
        <w:rPr>
          <w:rFonts w:ascii="Calibri" w:eastAsia="Times New Roman" w:hAnsi="Calibri"/>
          <w:color w:val="000000"/>
          <w:sz w:val="22"/>
          <w:szCs w:val="22"/>
        </w:rPr>
        <w:t xml:space="preserve"> and 9-</w:t>
      </w:r>
      <w:r w:rsidR="00247352" w:rsidRPr="00316DC9">
        <w:rPr>
          <w:rFonts w:ascii="Calibri" w:eastAsia="Times New Roman" w:hAnsi="Calibri"/>
          <w:color w:val="000000"/>
          <w:sz w:val="22"/>
          <w:szCs w:val="22"/>
        </w:rPr>
        <w:t>Month Phone Interview Data Collection</w:t>
      </w:r>
      <w:r w:rsidR="00247352">
        <w:rPr>
          <w:rFonts w:ascii="Calibri" w:eastAsia="Times New Roman" w:hAnsi="Calibri"/>
          <w:color w:val="000000"/>
          <w:sz w:val="22"/>
          <w:szCs w:val="22"/>
        </w:rPr>
        <w:t>”),</w:t>
      </w:r>
      <w:r w:rsidR="00247352" w:rsidRPr="00DB6C96">
        <w:rPr>
          <w:rFonts w:ascii="Calibri" w:eastAsia="Times New Roman" w:hAnsi="Calibri"/>
          <w:color w:val="000000"/>
          <w:sz w:val="22"/>
          <w:szCs w:val="22"/>
        </w:rPr>
        <w:t xml:space="preserve"> </w:t>
      </w:r>
      <w:r w:rsidR="00247352">
        <w:rPr>
          <w:rFonts w:ascii="Calibri" w:eastAsia="Times New Roman" w:hAnsi="Calibri"/>
          <w:color w:val="000000"/>
          <w:sz w:val="22"/>
          <w:szCs w:val="22"/>
        </w:rPr>
        <w:t xml:space="preserve">and </w:t>
      </w:r>
      <w:r w:rsidR="005B4ABC">
        <w:rPr>
          <w:rFonts w:asciiTheme="minorHAnsi" w:hAnsiTheme="minorHAnsi"/>
          <w:sz w:val="22"/>
          <w:szCs w:val="22"/>
        </w:rPr>
        <w:t>LOI3-ENV-01-D (“</w:t>
      </w:r>
      <w:r w:rsidR="005B4ABC" w:rsidRPr="00316DC9">
        <w:rPr>
          <w:rFonts w:ascii="Calibri" w:eastAsia="Times New Roman" w:hAnsi="Calibri"/>
          <w:color w:val="000000"/>
          <w:sz w:val="22"/>
          <w:szCs w:val="22"/>
        </w:rPr>
        <w:t>Evaluating methods for dust collection to quantify exposure to semivolatile organic compounds (SVOCs)</w:t>
      </w:r>
      <w:r w:rsidR="005B4ABC">
        <w:rPr>
          <w:rFonts w:ascii="Calibri" w:eastAsia="Times New Roman" w:hAnsi="Calibri"/>
          <w:color w:val="000000"/>
          <w:sz w:val="22"/>
          <w:szCs w:val="22"/>
        </w:rPr>
        <w:t>”)</w:t>
      </w:r>
      <w:r w:rsidR="005B4ABC">
        <w:rPr>
          <w:rFonts w:asciiTheme="minorHAnsi" w:hAnsiTheme="minorHAnsi"/>
          <w:sz w:val="22"/>
          <w:szCs w:val="22"/>
        </w:rPr>
        <w:t xml:space="preserve">, </w:t>
      </w:r>
      <w:r w:rsidR="00983235" w:rsidRPr="00DB6C96">
        <w:rPr>
          <w:rFonts w:asciiTheme="minorHAnsi" w:hAnsiTheme="minorHAnsi"/>
          <w:sz w:val="22"/>
          <w:szCs w:val="22"/>
        </w:rPr>
        <w:t>be approved under the NCS Vanguard (Pilot) Study (OMB</w:t>
      </w:r>
      <w:r w:rsidR="00983235" w:rsidRPr="007A475B">
        <w:rPr>
          <w:rFonts w:asciiTheme="minorHAnsi" w:hAnsiTheme="minorHAnsi"/>
          <w:sz w:val="22"/>
          <w:szCs w:val="22"/>
        </w:rPr>
        <w:t xml:space="preserve"> Control #0925-0593, Expiration Date: July 31, 2013).  </w:t>
      </w:r>
    </w:p>
    <w:p w:rsidR="00B9606D" w:rsidRDefault="00B9606D" w:rsidP="00983235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983235" w:rsidRDefault="00F65E9C" w:rsidP="00983235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7D59C5">
        <w:rPr>
          <w:rFonts w:asciiTheme="minorHAnsi" w:hAnsiTheme="minorHAnsi"/>
          <w:sz w:val="22"/>
          <w:szCs w:val="22"/>
        </w:rPr>
        <w:t xml:space="preserve"> </w:t>
      </w:r>
      <w:r w:rsidR="00B9606D">
        <w:rPr>
          <w:rFonts w:asciiTheme="minorHAnsi" w:hAnsiTheme="minorHAnsi"/>
          <w:sz w:val="22"/>
          <w:szCs w:val="22"/>
        </w:rPr>
        <w:t>above</w:t>
      </w:r>
      <w:r>
        <w:rPr>
          <w:rFonts w:asciiTheme="minorHAnsi" w:hAnsiTheme="minorHAnsi"/>
          <w:sz w:val="22"/>
          <w:szCs w:val="22"/>
        </w:rPr>
        <w:t>-</w:t>
      </w:r>
      <w:r w:rsidR="007D59C5">
        <w:rPr>
          <w:rFonts w:asciiTheme="minorHAnsi" w:hAnsiTheme="minorHAnsi"/>
          <w:sz w:val="22"/>
          <w:szCs w:val="22"/>
        </w:rPr>
        <w:t>mentioned formative research projects</w:t>
      </w:r>
      <w:r w:rsidR="00983235" w:rsidRPr="007A47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align with</w:t>
      </w:r>
      <w:r w:rsidR="00983235" w:rsidRPr="007A475B">
        <w:rPr>
          <w:rFonts w:asciiTheme="minorHAnsi" w:hAnsiTheme="minorHAnsi"/>
          <w:sz w:val="22"/>
          <w:szCs w:val="22"/>
        </w:rPr>
        <w:t xml:space="preserve"> the current scope of work for the </w:t>
      </w:r>
      <w:r w:rsidR="00B9606D">
        <w:rPr>
          <w:rFonts w:asciiTheme="minorHAnsi" w:hAnsiTheme="minorHAnsi"/>
          <w:sz w:val="22"/>
          <w:szCs w:val="22"/>
        </w:rPr>
        <w:t xml:space="preserve">NCS </w:t>
      </w:r>
      <w:r w:rsidR="00983235" w:rsidRPr="007A475B">
        <w:rPr>
          <w:rFonts w:asciiTheme="minorHAnsi" w:hAnsiTheme="minorHAnsi"/>
          <w:sz w:val="22"/>
          <w:szCs w:val="22"/>
        </w:rPr>
        <w:t>Van</w:t>
      </w:r>
      <w:r w:rsidR="00B9606D">
        <w:rPr>
          <w:rFonts w:asciiTheme="minorHAnsi" w:hAnsiTheme="minorHAnsi"/>
          <w:sz w:val="22"/>
          <w:szCs w:val="22"/>
        </w:rPr>
        <w:t>guard Study</w:t>
      </w:r>
      <w:r>
        <w:rPr>
          <w:rFonts w:asciiTheme="minorHAnsi" w:hAnsiTheme="minorHAnsi"/>
          <w:sz w:val="22"/>
          <w:szCs w:val="22"/>
        </w:rPr>
        <w:t xml:space="preserve">. Recall the NCS Vanguard Study </w:t>
      </w:r>
      <w:r w:rsidR="00B9606D">
        <w:rPr>
          <w:rFonts w:asciiTheme="minorHAnsi" w:hAnsiTheme="minorHAnsi"/>
          <w:sz w:val="22"/>
          <w:szCs w:val="22"/>
        </w:rPr>
        <w:t>is designed</w:t>
      </w:r>
      <w:r w:rsidR="00983235" w:rsidRPr="007A475B">
        <w:rPr>
          <w:rFonts w:asciiTheme="minorHAnsi" w:hAnsiTheme="minorHAnsi"/>
          <w:sz w:val="22"/>
          <w:szCs w:val="22"/>
        </w:rPr>
        <w:t xml:space="preserve"> to assess the feasibility (technical performance and reliability), acceptability (impact on study participants and study infrastructure), and cost (level of effort, personnel, resources, and mo</w:t>
      </w:r>
      <w:r w:rsidR="00B9606D">
        <w:rPr>
          <w:rFonts w:asciiTheme="minorHAnsi" w:hAnsiTheme="minorHAnsi"/>
          <w:sz w:val="22"/>
          <w:szCs w:val="22"/>
        </w:rPr>
        <w:t xml:space="preserve">ney) of </w:t>
      </w:r>
      <w:r>
        <w:rPr>
          <w:rFonts w:asciiTheme="minorHAnsi" w:hAnsiTheme="minorHAnsi"/>
          <w:sz w:val="22"/>
          <w:szCs w:val="22"/>
        </w:rPr>
        <w:t>recruitment</w:t>
      </w:r>
      <w:r w:rsidR="00983235" w:rsidRPr="007A475B">
        <w:rPr>
          <w:rFonts w:asciiTheme="minorHAnsi" w:hAnsiTheme="minorHAnsi"/>
          <w:sz w:val="22"/>
          <w:szCs w:val="22"/>
        </w:rPr>
        <w:t xml:space="preserve">, study </w:t>
      </w:r>
      <w:r>
        <w:rPr>
          <w:rFonts w:asciiTheme="minorHAnsi" w:hAnsiTheme="minorHAnsi"/>
          <w:sz w:val="22"/>
          <w:szCs w:val="22"/>
        </w:rPr>
        <w:t xml:space="preserve">visit measures, and study </w:t>
      </w:r>
      <w:r w:rsidR="00983235" w:rsidRPr="007A475B">
        <w:rPr>
          <w:rFonts w:asciiTheme="minorHAnsi" w:hAnsiTheme="minorHAnsi"/>
          <w:sz w:val="22"/>
          <w:szCs w:val="22"/>
        </w:rPr>
        <w:t>logistics</w:t>
      </w:r>
      <w:r>
        <w:rPr>
          <w:rFonts w:asciiTheme="minorHAnsi" w:hAnsiTheme="minorHAnsi"/>
          <w:sz w:val="22"/>
          <w:szCs w:val="22"/>
        </w:rPr>
        <w:t xml:space="preserve"> to </w:t>
      </w:r>
      <w:r w:rsidR="00B9606D">
        <w:rPr>
          <w:rFonts w:asciiTheme="minorHAnsi" w:hAnsiTheme="minorHAnsi"/>
          <w:sz w:val="22"/>
          <w:szCs w:val="22"/>
        </w:rPr>
        <w:t xml:space="preserve">inform </w:t>
      </w:r>
      <w:r w:rsidR="00983235" w:rsidRPr="007A475B">
        <w:rPr>
          <w:rFonts w:asciiTheme="minorHAnsi" w:hAnsiTheme="minorHAnsi"/>
          <w:sz w:val="22"/>
          <w:szCs w:val="22"/>
        </w:rPr>
        <w:t xml:space="preserve">the NCS Main Study.  Additionally, </w:t>
      </w:r>
      <w:r>
        <w:rPr>
          <w:rFonts w:asciiTheme="minorHAnsi" w:hAnsiTheme="minorHAnsi"/>
          <w:sz w:val="22"/>
          <w:szCs w:val="22"/>
        </w:rPr>
        <w:t>these</w:t>
      </w:r>
      <w:r w:rsidR="00983235" w:rsidRPr="007A475B">
        <w:rPr>
          <w:rFonts w:asciiTheme="minorHAnsi" w:hAnsiTheme="minorHAnsi"/>
          <w:sz w:val="22"/>
          <w:szCs w:val="22"/>
        </w:rPr>
        <w:t xml:space="preserve"> </w:t>
      </w:r>
      <w:r w:rsidR="00B9606D">
        <w:rPr>
          <w:rFonts w:asciiTheme="minorHAnsi" w:hAnsiTheme="minorHAnsi"/>
          <w:sz w:val="22"/>
          <w:szCs w:val="22"/>
        </w:rPr>
        <w:t xml:space="preserve">formative research </w:t>
      </w:r>
      <w:r w:rsidR="00983235" w:rsidRPr="007A475B">
        <w:rPr>
          <w:rFonts w:asciiTheme="minorHAnsi" w:hAnsiTheme="minorHAnsi"/>
          <w:sz w:val="22"/>
          <w:szCs w:val="22"/>
        </w:rPr>
        <w:t xml:space="preserve">projects </w:t>
      </w:r>
      <w:r w:rsidR="00B9606D">
        <w:rPr>
          <w:rFonts w:asciiTheme="minorHAnsi" w:hAnsiTheme="minorHAnsi"/>
          <w:sz w:val="22"/>
          <w:szCs w:val="22"/>
        </w:rPr>
        <w:t xml:space="preserve">would be implemented with </w:t>
      </w:r>
      <w:r w:rsidR="00983235" w:rsidRPr="007A475B">
        <w:rPr>
          <w:rFonts w:asciiTheme="minorHAnsi" w:hAnsiTheme="minorHAnsi"/>
          <w:sz w:val="22"/>
          <w:szCs w:val="22"/>
        </w:rPr>
        <w:t xml:space="preserve">NCS participants, and do not feature aspects that would interfere with </w:t>
      </w:r>
      <w:r w:rsidR="007D59C5">
        <w:rPr>
          <w:rFonts w:asciiTheme="minorHAnsi" w:hAnsiTheme="minorHAnsi"/>
          <w:sz w:val="22"/>
          <w:szCs w:val="22"/>
        </w:rPr>
        <w:t xml:space="preserve">the </w:t>
      </w:r>
      <w:r w:rsidR="00983235" w:rsidRPr="007A475B">
        <w:rPr>
          <w:rFonts w:asciiTheme="minorHAnsi" w:hAnsiTheme="minorHAnsi"/>
          <w:sz w:val="22"/>
          <w:szCs w:val="22"/>
        </w:rPr>
        <w:t xml:space="preserve">comparison of recruitment and retention strategies </w:t>
      </w:r>
      <w:r w:rsidR="00B9606D">
        <w:rPr>
          <w:rFonts w:asciiTheme="minorHAnsi" w:hAnsiTheme="minorHAnsi"/>
          <w:sz w:val="22"/>
          <w:szCs w:val="22"/>
        </w:rPr>
        <w:t xml:space="preserve">described </w:t>
      </w:r>
      <w:r w:rsidR="00983235" w:rsidRPr="007A475B">
        <w:rPr>
          <w:rFonts w:asciiTheme="minorHAnsi" w:hAnsiTheme="minorHAnsi"/>
          <w:sz w:val="22"/>
          <w:szCs w:val="22"/>
        </w:rPr>
        <w:t xml:space="preserve">in the Alternate Recruitment Substudy of the </w:t>
      </w:r>
      <w:r w:rsidR="00983235">
        <w:rPr>
          <w:rFonts w:asciiTheme="minorHAnsi" w:hAnsiTheme="minorHAnsi"/>
          <w:sz w:val="22"/>
          <w:szCs w:val="22"/>
        </w:rPr>
        <w:t xml:space="preserve">NCS </w:t>
      </w:r>
      <w:r w:rsidR="00983235" w:rsidRPr="007A475B">
        <w:rPr>
          <w:rFonts w:asciiTheme="minorHAnsi" w:hAnsiTheme="minorHAnsi"/>
          <w:sz w:val="22"/>
          <w:szCs w:val="22"/>
        </w:rPr>
        <w:t xml:space="preserve">Vanguard Study.  </w:t>
      </w:r>
    </w:p>
    <w:p w:rsidR="00983235" w:rsidRDefault="00983235" w:rsidP="00983235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E1068C" w:rsidRDefault="00983235" w:rsidP="00983235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  <w:sectPr w:rsidR="00E1068C" w:rsidSect="00311ACC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inorHAnsi" w:hAnsiTheme="minorHAnsi"/>
          <w:sz w:val="22"/>
          <w:szCs w:val="22"/>
        </w:rPr>
        <w:t>The purpose, mode(s) of data collection, and rationale for inclusion in the NCS Vanguard Study for the formative research projects</w:t>
      </w:r>
      <w:r w:rsidR="00BB453A">
        <w:rPr>
          <w:rFonts w:asciiTheme="minorHAnsi" w:hAnsiTheme="minorHAnsi"/>
          <w:sz w:val="22"/>
          <w:szCs w:val="22"/>
        </w:rPr>
        <w:t xml:space="preserve"> mentioned above</w:t>
      </w:r>
      <w:r>
        <w:rPr>
          <w:rFonts w:asciiTheme="minorHAnsi" w:hAnsiTheme="minorHAnsi"/>
          <w:sz w:val="22"/>
          <w:szCs w:val="22"/>
        </w:rPr>
        <w:t xml:space="preserve"> are noted in Table 1.</w:t>
      </w:r>
    </w:p>
    <w:tbl>
      <w:tblPr>
        <w:tblW w:w="13600" w:type="dxa"/>
        <w:tblInd w:w="98" w:type="dxa"/>
        <w:tblLayout w:type="fixed"/>
        <w:tblLook w:val="04A0"/>
      </w:tblPr>
      <w:tblGrid>
        <w:gridCol w:w="1630"/>
        <w:gridCol w:w="2790"/>
        <w:gridCol w:w="2970"/>
        <w:gridCol w:w="2790"/>
        <w:gridCol w:w="2160"/>
        <w:gridCol w:w="1260"/>
      </w:tblGrid>
      <w:tr w:rsidR="00FD0361" w:rsidRPr="00E1068C" w:rsidTr="00E1068C">
        <w:trPr>
          <w:trHeight w:val="300"/>
        </w:trPr>
        <w:tc>
          <w:tcPr>
            <w:tcW w:w="136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0361" w:rsidRPr="00E1068C" w:rsidRDefault="00FD0361" w:rsidP="00E1068C">
            <w:pPr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lastRenderedPageBreak/>
              <w:t xml:space="preserve">Table 1. Candidate Projects for Non-Substantive Change to the NCS Vanguard Study </w:t>
            </w:r>
            <w:r w:rsidR="00E1068C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 xml:space="preserve"> </w:t>
            </w:r>
            <w:r w:rsidRPr="00E1068C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(OMB Collection # 0925-0593, Expiration Date 7/31/2013)</w:t>
            </w:r>
          </w:p>
        </w:tc>
      </w:tr>
      <w:tr w:rsidR="00E1068C" w:rsidRPr="00E1068C" w:rsidTr="00E1068C">
        <w:trPr>
          <w:trHeight w:val="900"/>
        </w:trPr>
        <w:tc>
          <w:tcPr>
            <w:tcW w:w="1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9606D" w:rsidRPr="00E1068C" w:rsidRDefault="00B9606D" w:rsidP="00BB453A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Project ID Number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9606D" w:rsidRPr="00E1068C" w:rsidRDefault="00B9606D" w:rsidP="00BB453A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Project Title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9606D" w:rsidRPr="00E1068C" w:rsidRDefault="00B9606D" w:rsidP="00BB453A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Purpose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9606D" w:rsidRPr="00E1068C" w:rsidRDefault="00B9606D" w:rsidP="00BB453A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Proposed Additional Information Collection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9606D" w:rsidRPr="00E1068C" w:rsidRDefault="00B9606D" w:rsidP="00BB453A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Rationale for Inclusion in Vanguard Study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</w:tcPr>
          <w:p w:rsidR="00B9606D" w:rsidRPr="00E1068C" w:rsidRDefault="00B9606D" w:rsidP="00FD0361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Respondent Burden Hours</w:t>
            </w:r>
          </w:p>
        </w:tc>
      </w:tr>
      <w:tr w:rsidR="00E1068C" w:rsidRPr="00E1068C" w:rsidTr="00E1068C">
        <w:trPr>
          <w:trHeight w:val="1052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LOIX-QUEX-01-B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Evaluation of Household Inventory Questionnaire</w:t>
            </w:r>
            <w:r w:rsidR="00E1068C" w:rsidRPr="00E1068C">
              <w:rPr>
                <w:rFonts w:ascii="Calibri" w:eastAsia="Times New Roman" w:hAnsi="Calibri"/>
                <w:color w:val="000000"/>
                <w:sz w:val="20"/>
              </w:rPr>
              <w:t xml:space="preserve"> (HIQ)</w:t>
            </w:r>
            <w:r w:rsidRPr="00E1068C">
              <w:rPr>
                <w:rFonts w:ascii="Calibri" w:eastAsia="Times New Roman" w:hAnsi="Calibri"/>
                <w:color w:val="000000"/>
                <w:sz w:val="20"/>
              </w:rPr>
              <w:t xml:space="preserve"> to Increase Response Rate and Efficiency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 xml:space="preserve">To evaluate demographic composition of response rates by utilizing a household inventory questionnaire as a supplement to the Pregnancy Screener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Phone or direct mail</w:t>
            </w:r>
            <w:r w:rsidR="00E1068C" w:rsidRPr="00E1068C">
              <w:rPr>
                <w:rFonts w:ascii="Calibri" w:eastAsia="Times New Roman" w:hAnsi="Calibri"/>
                <w:color w:val="000000"/>
                <w:sz w:val="20"/>
              </w:rPr>
              <w:t xml:space="preserve"> administration of HIQ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The data collected will inform the questionnaire and mode design for instruments to be used during the NCS Main Study.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0</w:t>
            </w:r>
          </w:p>
        </w:tc>
      </w:tr>
      <w:tr w:rsidR="00E1068C" w:rsidRPr="00E1068C" w:rsidTr="00E1068C">
        <w:trPr>
          <w:trHeight w:val="2087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LOI2-INF-17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 xml:space="preserve">Feasibility and Acceptability of Alternate Methods of Postnatal 3- and 9-Month Phone Interview Data Collection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To examine the feasibility (completion rates), acceptability, staff time and cost-effectiveness of three modes of data collection for the postnatal 3-month and 9-phone interviews</w:t>
            </w:r>
            <w:r w:rsidR="00E1068C" w:rsidRPr="00E1068C">
              <w:rPr>
                <w:rFonts w:ascii="Calibri" w:eastAsia="Times New Roman" w:hAnsi="Calibri"/>
                <w:color w:val="000000"/>
                <w:sz w:val="20"/>
              </w:rPr>
              <w:t xml:space="preserve"> already approved by OMB/OIRA)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 xml:space="preserve">Current NCS participants will be randomly assigned (a) telephone (b) a secure, web-based data collection, or (c) </w:t>
            </w:r>
            <w:r w:rsidR="00E1068C" w:rsidRPr="00E1068C">
              <w:rPr>
                <w:rFonts w:ascii="Calibri" w:eastAsia="Times New Roman" w:hAnsi="Calibri"/>
                <w:color w:val="000000"/>
                <w:sz w:val="20"/>
              </w:rPr>
              <w:t>a</w:t>
            </w:r>
            <w:r w:rsidRPr="00E1068C">
              <w:rPr>
                <w:rFonts w:ascii="Calibri" w:eastAsia="Times New Roman" w:hAnsi="Calibri"/>
                <w:color w:val="000000"/>
                <w:sz w:val="20"/>
              </w:rPr>
              <w:t xml:space="preserve"> mailed survey. Then, participants will be asked to complete a short questionnaire regarding their preferred mode of response.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The project tests the feasibility, acceptability, and cost of 3 modes of survey administration, which will inform the design of the NCS Main Study.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606D" w:rsidRPr="00E1068C" w:rsidRDefault="00FD0361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20</w:t>
            </w:r>
          </w:p>
        </w:tc>
      </w:tr>
      <w:tr w:rsidR="00E1068C" w:rsidRPr="00E1068C" w:rsidTr="00E1068C">
        <w:trPr>
          <w:trHeight w:val="1772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LOI3-ENV-01-D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Evaluating methods for dust collection to quantify exposure to semivolatile organic compounds (SVOCs)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To evaluate exposure data</w:t>
            </w:r>
            <w:r w:rsidR="00FD0361" w:rsidRPr="00E1068C">
              <w:rPr>
                <w:rFonts w:ascii="Calibri" w:eastAsia="Times New Roman" w:hAnsi="Calibri"/>
                <w:color w:val="000000"/>
                <w:sz w:val="20"/>
              </w:rPr>
              <w:t>,</w:t>
            </w:r>
            <w:r w:rsidRPr="00E1068C">
              <w:rPr>
                <w:rFonts w:ascii="Calibri" w:eastAsia="Times New Roman" w:hAnsi="Calibri"/>
                <w:color w:val="000000"/>
                <w:sz w:val="20"/>
              </w:rPr>
              <w:t xml:space="preserve"> as detected in the household environment, reported by the participant, and stored in participant biomarkers for quality</w:t>
            </w:r>
            <w:r w:rsidR="00FD0361" w:rsidRPr="00E1068C">
              <w:rPr>
                <w:rFonts w:ascii="Calibri" w:eastAsia="Times New Roman" w:hAnsi="Calibri"/>
                <w:color w:val="000000"/>
                <w:sz w:val="20"/>
              </w:rPr>
              <w:t>,</w:t>
            </w:r>
            <w:r w:rsidRPr="00E1068C">
              <w:rPr>
                <w:rFonts w:ascii="Calibri" w:eastAsia="Times New Roman" w:hAnsi="Calibri"/>
                <w:color w:val="000000"/>
                <w:sz w:val="20"/>
              </w:rPr>
              <w:t xml:space="preserve"> and redundancy in measurement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FD0361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Adding an</w:t>
            </w:r>
            <w:r w:rsidR="00B9606D" w:rsidRPr="00E1068C">
              <w:rPr>
                <w:rFonts w:ascii="Calibri" w:eastAsia="Times New Roman" w:hAnsi="Calibri"/>
                <w:color w:val="000000"/>
                <w:sz w:val="20"/>
              </w:rPr>
              <w:t xml:space="preserve"> air sampling device at Pregnancy Visit 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606D" w:rsidRPr="00E1068C" w:rsidRDefault="00B9606D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The projec</w:t>
            </w:r>
            <w:r w:rsidR="00FD0361" w:rsidRPr="00E1068C">
              <w:rPr>
                <w:rFonts w:ascii="Calibri" w:eastAsia="Times New Roman" w:hAnsi="Calibri"/>
                <w:color w:val="000000"/>
                <w:sz w:val="20"/>
              </w:rPr>
              <w:t xml:space="preserve">t evaluates the feasibility, </w:t>
            </w:r>
            <w:r w:rsidRPr="00E1068C">
              <w:rPr>
                <w:rFonts w:ascii="Calibri" w:eastAsia="Times New Roman" w:hAnsi="Calibri"/>
                <w:color w:val="000000"/>
                <w:sz w:val="20"/>
              </w:rPr>
              <w:t>acceptability</w:t>
            </w:r>
            <w:r w:rsidR="00FD0361" w:rsidRPr="00E1068C">
              <w:rPr>
                <w:rFonts w:ascii="Calibri" w:eastAsia="Times New Roman" w:hAnsi="Calibri"/>
                <w:color w:val="000000"/>
                <w:sz w:val="20"/>
              </w:rPr>
              <w:t xml:space="preserve"> and cost of two methods for dust sampling</w:t>
            </w:r>
            <w:r w:rsidRPr="00E1068C">
              <w:rPr>
                <w:rFonts w:ascii="Calibri" w:eastAsia="Times New Roman" w:hAnsi="Calibri"/>
                <w:color w:val="000000"/>
                <w:sz w:val="20"/>
              </w:rPr>
              <w:t xml:space="preserve"> with an aim to reduce overall burden in the NCS Main Study.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606D" w:rsidRPr="00E1068C" w:rsidRDefault="00FD0361" w:rsidP="00E1068C">
            <w:pPr>
              <w:rPr>
                <w:rFonts w:ascii="Calibri" w:eastAsia="Times New Roman" w:hAnsi="Calibri"/>
                <w:color w:val="000000"/>
                <w:sz w:val="20"/>
              </w:rPr>
            </w:pPr>
            <w:r w:rsidRPr="00E1068C">
              <w:rPr>
                <w:rFonts w:ascii="Calibri" w:eastAsia="Times New Roman" w:hAnsi="Calibri"/>
                <w:color w:val="000000"/>
                <w:sz w:val="20"/>
              </w:rPr>
              <w:t>19</w:t>
            </w:r>
          </w:p>
        </w:tc>
      </w:tr>
    </w:tbl>
    <w:p w:rsidR="00BB453A" w:rsidRDefault="00BB453A" w:rsidP="003D6E60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E1068C" w:rsidRDefault="00E1068C" w:rsidP="003D6E60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  <w:sectPr w:rsidR="00E1068C" w:rsidSect="00E1068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B453A" w:rsidRPr="00364478" w:rsidRDefault="00E1068C" w:rsidP="00FD0361">
      <w:pPr>
        <w:pStyle w:val="ListParagraph"/>
        <w:numPr>
          <w:ilvl w:val="0"/>
          <w:numId w:val="14"/>
        </w:numPr>
        <w:tabs>
          <w:tab w:val="left" w:pos="180"/>
        </w:tabs>
        <w:ind w:left="180" w:hanging="180"/>
        <w:rPr>
          <w:rFonts w:ascii="Calibri" w:eastAsia="Times New Roman" w:hAnsi="Calibr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 </w:t>
      </w:r>
      <w:r w:rsidR="00B9606D">
        <w:rPr>
          <w:rFonts w:asciiTheme="minorHAnsi" w:hAnsiTheme="minorHAnsi"/>
          <w:b/>
          <w:sz w:val="22"/>
          <w:szCs w:val="22"/>
        </w:rPr>
        <w:t>LOIX</w:t>
      </w:r>
      <w:r w:rsidR="00364478" w:rsidRPr="00364478">
        <w:rPr>
          <w:rFonts w:asciiTheme="minorHAnsi" w:hAnsiTheme="minorHAnsi"/>
          <w:b/>
          <w:sz w:val="22"/>
          <w:szCs w:val="22"/>
        </w:rPr>
        <w:t xml:space="preserve">-QUEX-01-B:  </w:t>
      </w:r>
      <w:r w:rsidR="00364478" w:rsidRPr="00364478">
        <w:rPr>
          <w:rFonts w:ascii="Calibri" w:eastAsia="Times New Roman" w:hAnsi="Calibri"/>
          <w:b/>
          <w:color w:val="000000"/>
          <w:sz w:val="22"/>
          <w:szCs w:val="22"/>
        </w:rPr>
        <w:t>Evaluation of Household Inventory Questionnaire to Increase Response Rate and Efficiency</w:t>
      </w:r>
    </w:p>
    <w:p w:rsidR="00364478" w:rsidRDefault="00364478" w:rsidP="003D6E60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AD694D" w:rsidRPr="00856300" w:rsidRDefault="00FD0361" w:rsidP="00AD694D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364478" w:rsidRPr="00856300">
        <w:rPr>
          <w:rFonts w:asciiTheme="minorHAnsi" w:hAnsiTheme="minorHAnsi"/>
          <w:sz w:val="22"/>
          <w:szCs w:val="22"/>
        </w:rPr>
        <w:t>NCS formative research project</w:t>
      </w:r>
      <w:r>
        <w:rPr>
          <w:rFonts w:asciiTheme="minorHAnsi" w:hAnsiTheme="minorHAnsi"/>
          <w:sz w:val="22"/>
          <w:szCs w:val="22"/>
        </w:rPr>
        <w:t>,</w:t>
      </w:r>
      <w:r w:rsidR="00364478" w:rsidRPr="00856300">
        <w:rPr>
          <w:rFonts w:asciiTheme="minorHAnsi" w:hAnsiTheme="minorHAnsi"/>
          <w:sz w:val="22"/>
          <w:szCs w:val="22"/>
        </w:rPr>
        <w:t xml:space="preserve"> </w:t>
      </w:r>
      <w:r w:rsidR="00B9606D">
        <w:rPr>
          <w:rFonts w:asciiTheme="minorHAnsi" w:hAnsiTheme="minorHAnsi"/>
          <w:sz w:val="22"/>
          <w:szCs w:val="22"/>
        </w:rPr>
        <w:t>LOIX</w:t>
      </w:r>
      <w:r w:rsidR="00364478" w:rsidRPr="00856300">
        <w:rPr>
          <w:rFonts w:asciiTheme="minorHAnsi" w:hAnsiTheme="minorHAnsi"/>
          <w:sz w:val="22"/>
          <w:szCs w:val="22"/>
        </w:rPr>
        <w:t>-QUEX-01-B</w:t>
      </w:r>
      <w:r>
        <w:rPr>
          <w:rFonts w:asciiTheme="minorHAnsi" w:hAnsiTheme="minorHAnsi"/>
          <w:sz w:val="22"/>
          <w:szCs w:val="22"/>
        </w:rPr>
        <w:t>,</w:t>
      </w:r>
      <w:r w:rsidR="00364478" w:rsidRPr="00856300">
        <w:rPr>
          <w:rFonts w:asciiTheme="minorHAnsi" w:hAnsiTheme="minorHAnsi"/>
          <w:sz w:val="22"/>
          <w:szCs w:val="22"/>
        </w:rPr>
        <w:t xml:space="preserve"> </w:t>
      </w:r>
      <w:r w:rsidR="00364478" w:rsidRPr="00856300">
        <w:rPr>
          <w:rFonts w:asciiTheme="minorHAnsi" w:eastAsia="Times New Roman" w:hAnsiTheme="minorHAnsi"/>
          <w:color w:val="000000"/>
          <w:sz w:val="22"/>
          <w:szCs w:val="22"/>
        </w:rPr>
        <w:t xml:space="preserve">aims to </w:t>
      </w:r>
      <w:r>
        <w:rPr>
          <w:rFonts w:asciiTheme="minorHAnsi" w:eastAsia="Times New Roman" w:hAnsiTheme="minorHAnsi"/>
          <w:color w:val="000000"/>
          <w:sz w:val="22"/>
          <w:szCs w:val="22"/>
        </w:rPr>
        <w:t>improve evaluation of</w:t>
      </w:r>
      <w:r w:rsidR="00364478" w:rsidRPr="00856300">
        <w:rPr>
          <w:rFonts w:asciiTheme="minorHAnsi" w:eastAsia="Times New Roman" w:hAnsiTheme="minorHAnsi"/>
          <w:color w:val="000000"/>
          <w:sz w:val="22"/>
          <w:szCs w:val="22"/>
        </w:rPr>
        <w:t xml:space="preserve"> response rates</w:t>
      </w:r>
      <w:r>
        <w:rPr>
          <w:rFonts w:asciiTheme="minorHAnsi" w:eastAsia="Times New Roman" w:hAnsiTheme="minorHAnsi"/>
          <w:color w:val="000000"/>
          <w:sz w:val="22"/>
          <w:szCs w:val="22"/>
        </w:rPr>
        <w:t xml:space="preserve"> among the Two-Tier study locations</w:t>
      </w:r>
      <w:r w:rsidR="004B0EB7">
        <w:rPr>
          <w:rFonts w:asciiTheme="minorHAnsi" w:eastAsia="Times New Roman" w:hAnsiTheme="minorHAnsi"/>
          <w:color w:val="000000"/>
          <w:sz w:val="22"/>
          <w:szCs w:val="22"/>
        </w:rPr>
        <w:t xml:space="preserve"> by utilizing a Household Inventory Q</w:t>
      </w:r>
      <w:r w:rsidR="00364478" w:rsidRPr="00856300">
        <w:rPr>
          <w:rFonts w:asciiTheme="minorHAnsi" w:eastAsia="Times New Roman" w:hAnsiTheme="minorHAnsi"/>
          <w:color w:val="000000"/>
          <w:sz w:val="22"/>
          <w:szCs w:val="22"/>
        </w:rPr>
        <w:t>uestionnaire</w:t>
      </w:r>
      <w:r w:rsidR="004B0EB7">
        <w:rPr>
          <w:rFonts w:asciiTheme="minorHAnsi" w:eastAsia="Times New Roman" w:hAnsiTheme="minorHAnsi"/>
          <w:color w:val="000000"/>
          <w:sz w:val="22"/>
          <w:szCs w:val="22"/>
        </w:rPr>
        <w:t xml:space="preserve"> (HIQ)</w:t>
      </w:r>
      <w:r w:rsidR="00364478" w:rsidRPr="00856300">
        <w:rPr>
          <w:rFonts w:asciiTheme="minorHAnsi" w:eastAsia="Times New Roman" w:hAnsiTheme="minorHAnsi"/>
          <w:color w:val="000000"/>
          <w:sz w:val="22"/>
          <w:szCs w:val="22"/>
        </w:rPr>
        <w:t xml:space="preserve"> as a supplement to the Pregnancy Screener</w:t>
      </w:r>
      <w:r w:rsidR="00643855">
        <w:rPr>
          <w:rFonts w:asciiTheme="minorHAnsi" w:eastAsia="Times New Roman" w:hAnsiTheme="minorHAnsi"/>
          <w:color w:val="000000"/>
          <w:sz w:val="22"/>
          <w:szCs w:val="22"/>
        </w:rPr>
        <w:t xml:space="preserve"> (</w:t>
      </w:r>
      <w:r w:rsidR="004B0EB7">
        <w:rPr>
          <w:rFonts w:asciiTheme="minorHAnsi" w:eastAsia="Times New Roman" w:hAnsiTheme="minorHAnsi"/>
          <w:color w:val="000000"/>
          <w:sz w:val="22"/>
          <w:szCs w:val="22"/>
        </w:rPr>
        <w:t xml:space="preserve">latter </w:t>
      </w:r>
      <w:r w:rsidR="00643855">
        <w:rPr>
          <w:rFonts w:asciiTheme="minorHAnsi" w:eastAsia="Times New Roman" w:hAnsiTheme="minorHAnsi"/>
          <w:color w:val="000000"/>
          <w:sz w:val="22"/>
          <w:szCs w:val="22"/>
        </w:rPr>
        <w:t>approved by OMB/OIRA on April 13, 2011)</w:t>
      </w:r>
      <w:r w:rsidR="00AD694D" w:rsidRPr="00856300">
        <w:rPr>
          <w:rFonts w:asciiTheme="minorHAnsi" w:hAnsiTheme="minorHAnsi"/>
          <w:sz w:val="22"/>
          <w:szCs w:val="22"/>
        </w:rPr>
        <w:t>.</w:t>
      </w:r>
      <w:r w:rsidR="004B0EB7">
        <w:rPr>
          <w:rFonts w:asciiTheme="minorHAnsi" w:hAnsiTheme="minorHAnsi"/>
          <w:sz w:val="22"/>
          <w:szCs w:val="22"/>
        </w:rPr>
        <w:t xml:space="preserve">  The HIQ will provide demographic information of persons who are eligible but decline to enroll in the Study, thus assisting in nonresponse bias</w:t>
      </w:r>
      <w:r w:rsidR="00E1068C">
        <w:rPr>
          <w:rFonts w:asciiTheme="minorHAnsi" w:hAnsiTheme="minorHAnsi"/>
          <w:sz w:val="22"/>
          <w:szCs w:val="22"/>
        </w:rPr>
        <w:t xml:space="preserve"> estimation</w:t>
      </w:r>
      <w:r w:rsidR="004B0EB7">
        <w:rPr>
          <w:rFonts w:asciiTheme="minorHAnsi" w:hAnsiTheme="minorHAnsi"/>
          <w:sz w:val="22"/>
          <w:szCs w:val="22"/>
        </w:rPr>
        <w:t>.</w:t>
      </w:r>
    </w:p>
    <w:p w:rsidR="00AD694D" w:rsidRPr="00856300" w:rsidRDefault="00AD694D" w:rsidP="00AD694D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364478" w:rsidRPr="00643855" w:rsidRDefault="00AD694D" w:rsidP="003D6E60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 w:rsidRPr="00856300">
        <w:rPr>
          <w:rFonts w:asciiTheme="minorHAnsi" w:hAnsiTheme="minorHAnsi"/>
          <w:sz w:val="22"/>
          <w:szCs w:val="22"/>
        </w:rPr>
        <w:t xml:space="preserve">The original NCS enumeration procedure, conducted by in-person field staff, was comprehensive, though resource-intensive, in terms of staff and time. By using the </w:t>
      </w:r>
      <w:r w:rsidR="00E1068C">
        <w:rPr>
          <w:rFonts w:asciiTheme="minorHAnsi" w:hAnsiTheme="minorHAnsi"/>
          <w:sz w:val="22"/>
          <w:szCs w:val="22"/>
        </w:rPr>
        <w:t>HIQ</w:t>
      </w:r>
      <w:r w:rsidR="00856300" w:rsidRPr="00856300">
        <w:rPr>
          <w:rFonts w:asciiTheme="minorHAnsi" w:hAnsiTheme="minorHAnsi"/>
          <w:sz w:val="22"/>
          <w:szCs w:val="22"/>
        </w:rPr>
        <w:t>,</w:t>
      </w:r>
      <w:r w:rsidRPr="00856300">
        <w:rPr>
          <w:rFonts w:asciiTheme="minorHAnsi" w:hAnsiTheme="minorHAnsi"/>
          <w:sz w:val="22"/>
          <w:szCs w:val="22"/>
        </w:rPr>
        <w:t xml:space="preserve"> </w:t>
      </w:r>
      <w:r w:rsidR="00856300">
        <w:rPr>
          <w:rFonts w:asciiTheme="minorHAnsi" w:hAnsiTheme="minorHAnsi"/>
          <w:sz w:val="22"/>
          <w:szCs w:val="22"/>
        </w:rPr>
        <w:t>the NCS</w:t>
      </w:r>
      <w:r w:rsidRPr="00856300">
        <w:rPr>
          <w:rFonts w:asciiTheme="minorHAnsi" w:hAnsiTheme="minorHAnsi"/>
          <w:sz w:val="22"/>
          <w:szCs w:val="22"/>
        </w:rPr>
        <w:t xml:space="preserve"> will be able to estimate the usefulness of this approach in identifying age-eligible women living in eligible households throughout the </w:t>
      </w:r>
      <w:r w:rsidR="00856300">
        <w:rPr>
          <w:rFonts w:asciiTheme="minorHAnsi" w:hAnsiTheme="minorHAnsi"/>
          <w:sz w:val="22"/>
          <w:szCs w:val="22"/>
        </w:rPr>
        <w:t>selected samples within secondary sampling units</w:t>
      </w:r>
      <w:r w:rsidRPr="00856300">
        <w:rPr>
          <w:rFonts w:asciiTheme="minorHAnsi" w:hAnsiTheme="minorHAnsi"/>
          <w:sz w:val="22"/>
          <w:szCs w:val="22"/>
        </w:rPr>
        <w:t xml:space="preserve">. </w:t>
      </w:r>
      <w:r w:rsidR="00364478" w:rsidRPr="00856300">
        <w:rPr>
          <w:rFonts w:asciiTheme="minorHAnsi" w:eastAsia="Times New Roman" w:hAnsiTheme="minorHAnsi"/>
          <w:color w:val="000000"/>
          <w:sz w:val="22"/>
          <w:szCs w:val="22"/>
        </w:rPr>
        <w:t>The data collected will inform the questionnaire and mode design for instruments</w:t>
      </w:r>
      <w:r w:rsidRPr="00856300">
        <w:rPr>
          <w:rFonts w:asciiTheme="minorHAnsi" w:eastAsia="Times New Roman" w:hAnsiTheme="minorHAnsi"/>
          <w:color w:val="000000"/>
          <w:sz w:val="22"/>
          <w:szCs w:val="22"/>
        </w:rPr>
        <w:t xml:space="preserve"> pertaining to screening activities</w:t>
      </w:r>
      <w:r w:rsidR="00364478" w:rsidRPr="00856300">
        <w:rPr>
          <w:rFonts w:asciiTheme="minorHAnsi" w:eastAsia="Times New Roman" w:hAnsiTheme="minorHAnsi"/>
          <w:color w:val="000000"/>
          <w:sz w:val="22"/>
          <w:szCs w:val="22"/>
        </w:rPr>
        <w:t xml:space="preserve"> to be used during the NCS Main Study.</w:t>
      </w:r>
      <w:r w:rsidRPr="00856300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</w:p>
    <w:p w:rsidR="00364478" w:rsidRPr="007A475B" w:rsidRDefault="00364478" w:rsidP="003D6E60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284EE2" w:rsidRDefault="00983235" w:rsidP="00075694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AD694D">
        <w:rPr>
          <w:rFonts w:asciiTheme="minorHAnsi" w:hAnsiTheme="minorHAnsi"/>
          <w:sz w:val="22"/>
          <w:szCs w:val="22"/>
        </w:rPr>
        <w:t>this project</w:t>
      </w:r>
      <w:r>
        <w:rPr>
          <w:rFonts w:asciiTheme="minorHAnsi" w:hAnsiTheme="minorHAnsi"/>
          <w:sz w:val="22"/>
          <w:szCs w:val="22"/>
        </w:rPr>
        <w:t xml:space="preserve">, </w:t>
      </w:r>
      <w:r w:rsidR="005C0EC5">
        <w:rPr>
          <w:rFonts w:asciiTheme="minorHAnsi" w:hAnsiTheme="minorHAnsi"/>
          <w:sz w:val="22"/>
          <w:szCs w:val="22"/>
        </w:rPr>
        <w:t xml:space="preserve">all 10 Study Centers participating in the Two-Tier Recruitment Strategy </w:t>
      </w:r>
      <w:r w:rsidR="004B0EB7">
        <w:rPr>
          <w:rFonts w:asciiTheme="minorHAnsi" w:hAnsiTheme="minorHAnsi"/>
          <w:sz w:val="22"/>
          <w:szCs w:val="22"/>
        </w:rPr>
        <w:t>would</w:t>
      </w:r>
      <w:r w:rsidRPr="00075694">
        <w:rPr>
          <w:rFonts w:asciiTheme="minorHAnsi" w:hAnsiTheme="minorHAnsi"/>
          <w:sz w:val="22"/>
          <w:szCs w:val="22"/>
        </w:rPr>
        <w:t xml:space="preserve"> administer the Household Inventory Questionnaire to a random selection of 50% of their geographically eligible households</w:t>
      </w:r>
      <w:r w:rsidR="00364478">
        <w:rPr>
          <w:rFonts w:asciiTheme="minorHAnsi" w:hAnsiTheme="minorHAnsi"/>
          <w:sz w:val="22"/>
          <w:szCs w:val="22"/>
        </w:rPr>
        <w:t>(N=24,000)</w:t>
      </w:r>
      <w:r w:rsidRPr="00075694">
        <w:rPr>
          <w:rFonts w:asciiTheme="minorHAnsi" w:hAnsiTheme="minorHAnsi"/>
          <w:sz w:val="22"/>
          <w:szCs w:val="22"/>
        </w:rPr>
        <w:t xml:space="preserve"> in phone or by direct mail</w:t>
      </w:r>
      <w:r w:rsidR="006F4801" w:rsidRPr="00075694">
        <w:rPr>
          <w:rFonts w:asciiTheme="minorHAnsi" w:hAnsiTheme="minorHAnsi"/>
          <w:sz w:val="22"/>
          <w:szCs w:val="22"/>
        </w:rPr>
        <w:t xml:space="preserve"> (N=24,000</w:t>
      </w:r>
      <w:r w:rsidR="00E728E1">
        <w:rPr>
          <w:rFonts w:asciiTheme="minorHAnsi" w:hAnsiTheme="minorHAnsi"/>
          <w:sz w:val="22"/>
          <w:szCs w:val="22"/>
        </w:rPr>
        <w:t xml:space="preserve"> respondents</w:t>
      </w:r>
      <w:r w:rsidR="006F4801" w:rsidRPr="00075694">
        <w:rPr>
          <w:rFonts w:asciiTheme="minorHAnsi" w:hAnsiTheme="minorHAnsi"/>
          <w:sz w:val="22"/>
          <w:szCs w:val="22"/>
        </w:rPr>
        <w:t xml:space="preserve"> X</w:t>
      </w:r>
      <w:r w:rsidR="00477D53">
        <w:rPr>
          <w:rFonts w:asciiTheme="minorHAnsi" w:hAnsiTheme="minorHAnsi"/>
          <w:sz w:val="22"/>
          <w:szCs w:val="22"/>
        </w:rPr>
        <w:t xml:space="preserve"> 0.13</w:t>
      </w:r>
      <w:r w:rsidR="00C0590C" w:rsidRPr="00075694">
        <w:rPr>
          <w:rFonts w:asciiTheme="minorHAnsi" w:hAnsiTheme="minorHAnsi"/>
          <w:sz w:val="22"/>
          <w:szCs w:val="22"/>
        </w:rPr>
        <w:t xml:space="preserve"> hours</w:t>
      </w:r>
      <w:r w:rsidR="00E728E1">
        <w:rPr>
          <w:rFonts w:asciiTheme="minorHAnsi" w:hAnsiTheme="minorHAnsi"/>
          <w:sz w:val="22"/>
          <w:szCs w:val="22"/>
        </w:rPr>
        <w:t xml:space="preserve"> per response</w:t>
      </w:r>
      <w:r w:rsidR="00C0590C" w:rsidRPr="00075694">
        <w:rPr>
          <w:rFonts w:asciiTheme="minorHAnsi" w:hAnsiTheme="minorHAnsi"/>
          <w:sz w:val="22"/>
          <w:szCs w:val="22"/>
        </w:rPr>
        <w:t xml:space="preserve"> </w:t>
      </w:r>
      <w:r w:rsidR="00E728E1">
        <w:rPr>
          <w:rFonts w:asciiTheme="minorHAnsi" w:hAnsiTheme="minorHAnsi"/>
          <w:sz w:val="22"/>
          <w:szCs w:val="22"/>
        </w:rPr>
        <w:t xml:space="preserve">= </w:t>
      </w:r>
      <w:r w:rsidR="00477D53">
        <w:rPr>
          <w:rFonts w:asciiTheme="minorHAnsi" w:hAnsiTheme="minorHAnsi"/>
          <w:sz w:val="22"/>
          <w:szCs w:val="22"/>
        </w:rPr>
        <w:t>3,200</w:t>
      </w:r>
      <w:r w:rsidR="004C1586">
        <w:rPr>
          <w:rFonts w:asciiTheme="minorHAnsi" w:hAnsiTheme="minorHAnsi"/>
          <w:sz w:val="22"/>
          <w:szCs w:val="22"/>
        </w:rPr>
        <w:t xml:space="preserve"> hours</w:t>
      </w:r>
      <w:r w:rsidR="00C0590C" w:rsidRPr="00075694">
        <w:rPr>
          <w:rFonts w:asciiTheme="minorHAnsi" w:hAnsiTheme="minorHAnsi"/>
          <w:sz w:val="22"/>
          <w:szCs w:val="22"/>
        </w:rPr>
        <w:t>)</w:t>
      </w:r>
      <w:r w:rsidRPr="00075694">
        <w:rPr>
          <w:rFonts w:asciiTheme="minorHAnsi" w:hAnsiTheme="minorHAnsi"/>
          <w:sz w:val="22"/>
          <w:szCs w:val="22"/>
        </w:rPr>
        <w:t>.</w:t>
      </w:r>
      <w:r w:rsidR="003602C4" w:rsidRPr="00075694">
        <w:rPr>
          <w:rFonts w:asciiTheme="minorHAnsi" w:hAnsiTheme="minorHAnsi"/>
          <w:sz w:val="22"/>
          <w:szCs w:val="22"/>
        </w:rPr>
        <w:t xml:space="preserve">  </w:t>
      </w:r>
      <w:r w:rsidR="004C1586">
        <w:rPr>
          <w:rFonts w:asciiTheme="minorHAnsi" w:hAnsiTheme="minorHAnsi"/>
          <w:sz w:val="22"/>
          <w:szCs w:val="22"/>
        </w:rPr>
        <w:t xml:space="preserve">Among </w:t>
      </w:r>
      <w:r w:rsidR="004B0EB7">
        <w:rPr>
          <w:rFonts w:asciiTheme="minorHAnsi" w:hAnsiTheme="minorHAnsi"/>
          <w:sz w:val="22"/>
          <w:szCs w:val="22"/>
        </w:rPr>
        <w:t>those receiving the HIQ</w:t>
      </w:r>
      <w:r w:rsidR="0055590B">
        <w:rPr>
          <w:rFonts w:asciiTheme="minorHAnsi" w:hAnsiTheme="minorHAnsi"/>
          <w:sz w:val="22"/>
          <w:szCs w:val="22"/>
        </w:rPr>
        <w:t>,</w:t>
      </w:r>
      <w:r w:rsidR="004C1586">
        <w:rPr>
          <w:rFonts w:asciiTheme="minorHAnsi" w:hAnsiTheme="minorHAnsi"/>
          <w:sz w:val="22"/>
          <w:szCs w:val="22"/>
        </w:rPr>
        <w:t xml:space="preserve"> those who respond</w:t>
      </w:r>
      <w:r w:rsidR="004B0EB7">
        <w:rPr>
          <w:rFonts w:asciiTheme="minorHAnsi" w:hAnsiTheme="minorHAnsi"/>
          <w:sz w:val="22"/>
          <w:szCs w:val="22"/>
        </w:rPr>
        <w:t xml:space="preserve"> </w:t>
      </w:r>
      <w:r w:rsidR="00E728E1">
        <w:rPr>
          <w:rFonts w:asciiTheme="minorHAnsi" w:hAnsiTheme="minorHAnsi"/>
          <w:sz w:val="22"/>
          <w:szCs w:val="22"/>
        </w:rPr>
        <w:t>(expected response rate: 60%)</w:t>
      </w:r>
      <w:r w:rsidR="004C1586">
        <w:rPr>
          <w:rFonts w:asciiTheme="minorHAnsi" w:hAnsiTheme="minorHAnsi"/>
          <w:sz w:val="22"/>
          <w:szCs w:val="22"/>
        </w:rPr>
        <w:t xml:space="preserve"> will receive the P</w:t>
      </w:r>
      <w:r w:rsidR="003602C4" w:rsidRPr="00075694">
        <w:rPr>
          <w:rFonts w:asciiTheme="minorHAnsi" w:hAnsiTheme="minorHAnsi"/>
          <w:sz w:val="22"/>
          <w:szCs w:val="22"/>
        </w:rPr>
        <w:t>regnancy Screener</w:t>
      </w:r>
      <w:r w:rsidR="004C1586">
        <w:rPr>
          <w:rFonts w:asciiTheme="minorHAnsi" w:hAnsiTheme="minorHAnsi"/>
          <w:sz w:val="22"/>
          <w:szCs w:val="22"/>
        </w:rPr>
        <w:t xml:space="preserve"> (N=24,000</w:t>
      </w:r>
      <w:r w:rsidR="00E728E1">
        <w:rPr>
          <w:rFonts w:asciiTheme="minorHAnsi" w:hAnsiTheme="minorHAnsi"/>
          <w:sz w:val="22"/>
          <w:szCs w:val="22"/>
        </w:rPr>
        <w:t xml:space="preserve"> respondents</w:t>
      </w:r>
      <w:r w:rsidR="004C1586">
        <w:rPr>
          <w:rFonts w:asciiTheme="minorHAnsi" w:hAnsiTheme="minorHAnsi"/>
          <w:sz w:val="22"/>
          <w:szCs w:val="22"/>
        </w:rPr>
        <w:t xml:space="preserve"> X 60% expected response rate X 0.35 hours</w:t>
      </w:r>
      <w:r w:rsidR="00E728E1">
        <w:rPr>
          <w:rFonts w:asciiTheme="minorHAnsi" w:hAnsiTheme="minorHAnsi"/>
          <w:sz w:val="22"/>
          <w:szCs w:val="22"/>
        </w:rPr>
        <w:t xml:space="preserve"> per response</w:t>
      </w:r>
      <w:r w:rsidR="004C1586">
        <w:rPr>
          <w:rFonts w:asciiTheme="minorHAnsi" w:hAnsiTheme="minorHAnsi"/>
          <w:sz w:val="22"/>
          <w:szCs w:val="22"/>
        </w:rPr>
        <w:t xml:space="preserve"> = 5,040</w:t>
      </w:r>
      <w:r w:rsidR="00E728E1">
        <w:rPr>
          <w:rFonts w:asciiTheme="minorHAnsi" w:hAnsiTheme="minorHAnsi"/>
          <w:sz w:val="22"/>
          <w:szCs w:val="22"/>
        </w:rPr>
        <w:t xml:space="preserve"> hours)</w:t>
      </w:r>
      <w:r w:rsidR="003602C4" w:rsidRPr="00075694">
        <w:rPr>
          <w:rFonts w:asciiTheme="minorHAnsi" w:hAnsiTheme="minorHAnsi"/>
          <w:sz w:val="22"/>
          <w:szCs w:val="22"/>
        </w:rPr>
        <w:t>.</w:t>
      </w:r>
      <w:r w:rsidR="008F3D7C" w:rsidRPr="00075694">
        <w:rPr>
          <w:rFonts w:asciiTheme="minorHAnsi" w:hAnsiTheme="minorHAnsi"/>
          <w:sz w:val="22"/>
          <w:szCs w:val="22"/>
        </w:rPr>
        <w:t xml:space="preserve">  </w:t>
      </w:r>
      <w:r w:rsidR="004B0EB7">
        <w:rPr>
          <w:rFonts w:asciiTheme="minorHAnsi" w:hAnsiTheme="minorHAnsi"/>
          <w:sz w:val="22"/>
          <w:szCs w:val="22"/>
        </w:rPr>
        <w:t>Because of this split-sample design, we will not request additional burden hours for this activity (8,240 expected versus 8,400 approved).</w:t>
      </w:r>
      <w:r w:rsidRPr="00075694">
        <w:rPr>
          <w:rFonts w:asciiTheme="minorHAnsi" w:hAnsiTheme="minorHAnsi"/>
          <w:sz w:val="22"/>
          <w:szCs w:val="22"/>
        </w:rPr>
        <w:t xml:space="preserve">  </w:t>
      </w:r>
    </w:p>
    <w:p w:rsidR="00AD694D" w:rsidRDefault="00AD694D" w:rsidP="00075694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B14737" w:rsidRDefault="00B14737" w:rsidP="00075694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 w:rsidRPr="00B14737">
        <w:rPr>
          <w:rFonts w:asciiTheme="minorHAnsi" w:hAnsiTheme="minorHAnsi"/>
          <w:i/>
          <w:sz w:val="22"/>
          <w:szCs w:val="22"/>
        </w:rPr>
        <w:t xml:space="preserve">IRB </w:t>
      </w:r>
      <w:r>
        <w:rPr>
          <w:rFonts w:asciiTheme="minorHAnsi" w:hAnsiTheme="minorHAnsi"/>
          <w:i/>
          <w:sz w:val="22"/>
          <w:szCs w:val="22"/>
        </w:rPr>
        <w:t>A</w:t>
      </w:r>
      <w:r w:rsidRPr="00B14737">
        <w:rPr>
          <w:rFonts w:asciiTheme="minorHAnsi" w:hAnsiTheme="minorHAnsi"/>
          <w:i/>
          <w:sz w:val="22"/>
          <w:szCs w:val="22"/>
        </w:rPr>
        <w:t>pproval for participating Study Centers:</w:t>
      </w: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  <w:t>Yes</w:t>
      </w:r>
    </w:p>
    <w:p w:rsidR="00B14737" w:rsidRDefault="00B14737" w:rsidP="00075694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 w:rsidRPr="00B14737">
        <w:rPr>
          <w:rFonts w:asciiTheme="minorHAnsi" w:hAnsiTheme="minorHAnsi"/>
          <w:i/>
          <w:sz w:val="22"/>
          <w:szCs w:val="22"/>
        </w:rPr>
        <w:t>Total Requested Participant Burden:</w:t>
      </w:r>
      <w:r w:rsidR="00477D53">
        <w:rPr>
          <w:rFonts w:asciiTheme="minorHAnsi" w:hAnsiTheme="minorHAnsi"/>
          <w:sz w:val="22"/>
          <w:szCs w:val="22"/>
        </w:rPr>
        <w:t xml:space="preserve">  </w:t>
      </w:r>
      <w:r w:rsidR="00477D53">
        <w:rPr>
          <w:rFonts w:asciiTheme="minorHAnsi" w:hAnsiTheme="minorHAnsi"/>
          <w:sz w:val="22"/>
          <w:szCs w:val="22"/>
        </w:rPr>
        <w:tab/>
      </w:r>
      <w:r w:rsidR="00477D53">
        <w:rPr>
          <w:rFonts w:asciiTheme="minorHAnsi" w:hAnsiTheme="minorHAnsi"/>
          <w:sz w:val="22"/>
          <w:szCs w:val="22"/>
        </w:rPr>
        <w:tab/>
        <w:t>0</w:t>
      </w:r>
      <w:r>
        <w:rPr>
          <w:rFonts w:asciiTheme="minorHAnsi" w:hAnsiTheme="minorHAnsi"/>
          <w:sz w:val="22"/>
          <w:szCs w:val="22"/>
        </w:rPr>
        <w:t xml:space="preserve"> hours</w:t>
      </w:r>
    </w:p>
    <w:p w:rsidR="00421E6E" w:rsidRDefault="00421E6E" w:rsidP="00247352">
      <w:pPr>
        <w:pStyle w:val="ListParagraph"/>
        <w:tabs>
          <w:tab w:val="left" w:pos="180"/>
        </w:tabs>
        <w:ind w:left="0"/>
        <w:rPr>
          <w:rFonts w:asciiTheme="minorHAnsi" w:hAnsiTheme="minorHAnsi"/>
          <w:b/>
          <w:sz w:val="22"/>
          <w:szCs w:val="22"/>
        </w:rPr>
      </w:pPr>
    </w:p>
    <w:p w:rsidR="00643855" w:rsidRPr="00643855" w:rsidRDefault="00643855" w:rsidP="004B0EB7">
      <w:pPr>
        <w:pStyle w:val="ListParagraph"/>
        <w:numPr>
          <w:ilvl w:val="0"/>
          <w:numId w:val="14"/>
        </w:numPr>
        <w:tabs>
          <w:tab w:val="left" w:pos="180"/>
        </w:tabs>
        <w:ind w:left="180" w:hanging="180"/>
        <w:rPr>
          <w:rFonts w:asciiTheme="minorHAnsi" w:hAnsiTheme="minorHAnsi"/>
          <w:b/>
          <w:sz w:val="22"/>
          <w:szCs w:val="22"/>
        </w:rPr>
      </w:pPr>
      <w:r w:rsidRPr="00643855">
        <w:rPr>
          <w:rFonts w:asciiTheme="minorHAnsi" w:hAnsiTheme="minorHAnsi"/>
          <w:b/>
          <w:sz w:val="22"/>
          <w:szCs w:val="22"/>
        </w:rPr>
        <w:t xml:space="preserve">LOI2-INF-17: </w:t>
      </w:r>
      <w:r w:rsidRPr="00643855">
        <w:rPr>
          <w:rFonts w:ascii="Calibri" w:eastAsia="Times New Roman" w:hAnsi="Calibri"/>
          <w:b/>
          <w:color w:val="000000"/>
          <w:sz w:val="22"/>
          <w:szCs w:val="22"/>
        </w:rPr>
        <w:t>Feasibility and Acceptability of Alternate Methods of Postnatal 3-and 9-Month Phone Interview Data Collection</w:t>
      </w:r>
    </w:p>
    <w:p w:rsidR="00643855" w:rsidRDefault="00643855" w:rsidP="00247352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B81ED4" w:rsidRPr="002D18A3" w:rsidRDefault="008240BF" w:rsidP="00247352">
      <w:pPr>
        <w:pStyle w:val="ListParagraph"/>
        <w:tabs>
          <w:tab w:val="left" w:pos="180"/>
        </w:tabs>
        <w:ind w:left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AB6D2E">
        <w:rPr>
          <w:rFonts w:asciiTheme="minorHAnsi" w:hAnsiTheme="minorHAnsi"/>
          <w:sz w:val="22"/>
          <w:szCs w:val="22"/>
        </w:rPr>
        <w:t>NCS formative r</w:t>
      </w:r>
      <w:r w:rsidR="005B180A" w:rsidRPr="002D18A3">
        <w:rPr>
          <w:rFonts w:asciiTheme="minorHAnsi" w:hAnsiTheme="minorHAnsi"/>
          <w:sz w:val="22"/>
          <w:szCs w:val="22"/>
        </w:rPr>
        <w:t>esearch project</w:t>
      </w:r>
      <w:r>
        <w:rPr>
          <w:rFonts w:asciiTheme="minorHAnsi" w:hAnsiTheme="minorHAnsi"/>
          <w:sz w:val="22"/>
          <w:szCs w:val="22"/>
        </w:rPr>
        <w:t>,</w:t>
      </w:r>
      <w:r w:rsidR="005B180A" w:rsidRPr="002D18A3">
        <w:rPr>
          <w:rFonts w:asciiTheme="minorHAnsi" w:hAnsiTheme="minorHAnsi"/>
          <w:sz w:val="22"/>
          <w:szCs w:val="22"/>
        </w:rPr>
        <w:t xml:space="preserve"> </w:t>
      </w:r>
      <w:r w:rsidR="00247352" w:rsidRPr="002D18A3">
        <w:rPr>
          <w:rFonts w:asciiTheme="minorHAnsi" w:hAnsiTheme="minorHAnsi"/>
          <w:sz w:val="22"/>
          <w:szCs w:val="22"/>
        </w:rPr>
        <w:t>LOI2-INF-17</w:t>
      </w:r>
      <w:r>
        <w:rPr>
          <w:rFonts w:asciiTheme="minorHAnsi" w:hAnsiTheme="minorHAnsi"/>
          <w:sz w:val="22"/>
          <w:szCs w:val="22"/>
        </w:rPr>
        <w:t>,</w:t>
      </w:r>
      <w:r w:rsidR="00C302B0" w:rsidRPr="002D18A3">
        <w:rPr>
          <w:rFonts w:asciiTheme="minorHAnsi" w:hAnsiTheme="minorHAnsi"/>
          <w:sz w:val="22"/>
          <w:szCs w:val="22"/>
        </w:rPr>
        <w:t xml:space="preserve"> </w:t>
      </w:r>
      <w:r w:rsidR="00247352" w:rsidRPr="002D18A3">
        <w:rPr>
          <w:rFonts w:asciiTheme="minorHAnsi" w:eastAsia="Times New Roman" w:hAnsiTheme="minorHAnsi"/>
          <w:sz w:val="22"/>
          <w:szCs w:val="22"/>
        </w:rPr>
        <w:t>proposes to administer the 3- and 9-month instruments as direct mail and web, in addition to phone (the latter only was previously approved</w:t>
      </w:r>
      <w:r w:rsidR="00C302B0" w:rsidRPr="002D18A3">
        <w:rPr>
          <w:rFonts w:asciiTheme="minorHAnsi" w:eastAsia="Times New Roman" w:hAnsiTheme="minorHAnsi"/>
          <w:sz w:val="22"/>
          <w:szCs w:val="22"/>
        </w:rPr>
        <w:t xml:space="preserve"> by OMB/OIRA on April 13, 2011), to current NCS participants who are willing and have the necessary technica</w:t>
      </w:r>
      <w:r w:rsidR="00DC6A21">
        <w:rPr>
          <w:rFonts w:asciiTheme="minorHAnsi" w:eastAsia="Times New Roman" w:hAnsiTheme="minorHAnsi"/>
          <w:sz w:val="22"/>
          <w:szCs w:val="22"/>
        </w:rPr>
        <w:t>l skills to participate in all three</w:t>
      </w:r>
      <w:r w:rsidR="00C302B0" w:rsidRPr="002D18A3">
        <w:rPr>
          <w:rFonts w:asciiTheme="minorHAnsi" w:eastAsia="Times New Roman" w:hAnsiTheme="minorHAnsi"/>
          <w:sz w:val="22"/>
          <w:szCs w:val="22"/>
        </w:rPr>
        <w:t xml:space="preserve"> data collection modes.  To facilitate recruitment</w:t>
      </w:r>
      <w:r w:rsidR="00DC6A21">
        <w:rPr>
          <w:rFonts w:asciiTheme="minorHAnsi" w:eastAsia="Times New Roman" w:hAnsiTheme="minorHAnsi"/>
          <w:sz w:val="22"/>
          <w:szCs w:val="22"/>
        </w:rPr>
        <w:t xml:space="preserve"> for this project</w:t>
      </w:r>
      <w:r w:rsidR="00C302B0" w:rsidRPr="002D18A3">
        <w:rPr>
          <w:rFonts w:asciiTheme="minorHAnsi" w:eastAsia="Times New Roman" w:hAnsiTheme="minorHAnsi"/>
          <w:sz w:val="22"/>
          <w:szCs w:val="22"/>
        </w:rPr>
        <w:t>, NCS participants</w:t>
      </w:r>
      <w:r w:rsidR="00A32F3C" w:rsidRPr="002D18A3">
        <w:rPr>
          <w:rFonts w:asciiTheme="minorHAnsi" w:eastAsia="Times New Roman" w:hAnsiTheme="minorHAnsi"/>
          <w:sz w:val="22"/>
          <w:szCs w:val="22"/>
        </w:rPr>
        <w:t xml:space="preserve"> </w:t>
      </w:r>
      <w:r w:rsidR="00A32F3C" w:rsidRPr="002D18A3">
        <w:rPr>
          <w:rFonts w:asciiTheme="minorHAnsi" w:hAnsiTheme="minorHAnsi" w:cs="Arial"/>
          <w:sz w:val="22"/>
          <w:szCs w:val="22"/>
        </w:rPr>
        <w:t>will be pre-screened for computer competence and access prior to the survey administration, and asked if they are willing to participate.</w:t>
      </w:r>
      <w:r w:rsidR="00C302B0" w:rsidRPr="002D18A3">
        <w:rPr>
          <w:rFonts w:asciiTheme="minorHAnsi" w:eastAsia="Times New Roman" w:hAnsiTheme="minorHAnsi"/>
          <w:sz w:val="22"/>
          <w:szCs w:val="22"/>
        </w:rPr>
        <w:t xml:space="preserve"> </w:t>
      </w:r>
      <w:r w:rsidR="00247352" w:rsidRPr="002D18A3">
        <w:rPr>
          <w:rFonts w:asciiTheme="minorHAnsi" w:eastAsia="Times New Roman" w:hAnsiTheme="minorHAnsi"/>
          <w:sz w:val="22"/>
          <w:szCs w:val="22"/>
        </w:rPr>
        <w:t xml:space="preserve">  </w:t>
      </w:r>
      <w:r w:rsidR="00A32F3C" w:rsidRPr="002D18A3">
        <w:rPr>
          <w:rFonts w:asciiTheme="minorHAnsi" w:eastAsia="Times New Roman" w:hAnsiTheme="minorHAnsi"/>
          <w:sz w:val="22"/>
          <w:szCs w:val="22"/>
        </w:rPr>
        <w:t>Participants will</w:t>
      </w:r>
      <w:r w:rsidR="00C302B0" w:rsidRPr="002D18A3">
        <w:rPr>
          <w:rFonts w:asciiTheme="minorHAnsi" w:eastAsia="Times New Roman" w:hAnsiTheme="minorHAnsi"/>
          <w:sz w:val="22"/>
          <w:szCs w:val="22"/>
        </w:rPr>
        <w:t xml:space="preserve"> be randomly assigned to receive a telephone, web-based, or self-admin</w:t>
      </w:r>
      <w:r w:rsidR="00A32F3C" w:rsidRPr="002D18A3">
        <w:rPr>
          <w:rFonts w:asciiTheme="minorHAnsi" w:eastAsia="Times New Roman" w:hAnsiTheme="minorHAnsi"/>
          <w:sz w:val="22"/>
          <w:szCs w:val="22"/>
        </w:rPr>
        <w:t xml:space="preserve">istered mail survey.  </w:t>
      </w:r>
    </w:p>
    <w:p w:rsidR="00B81ED4" w:rsidRDefault="00B81ED4" w:rsidP="00B81ED4">
      <w:pPr>
        <w:autoSpaceDE w:val="0"/>
        <w:autoSpaceDN w:val="0"/>
        <w:adjustRightInd w:val="0"/>
        <w:rPr>
          <w:rFonts w:ascii="Arial" w:eastAsiaTheme="minorHAnsi" w:hAnsi="Arial" w:cs="Arial"/>
          <w:szCs w:val="24"/>
        </w:rPr>
      </w:pPr>
    </w:p>
    <w:p w:rsidR="00A32F3C" w:rsidRDefault="00C302B0" w:rsidP="00247352">
      <w:pPr>
        <w:pStyle w:val="ListParagraph"/>
        <w:tabs>
          <w:tab w:val="left" w:pos="180"/>
        </w:tabs>
        <w:ind w:left="0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</w:rPr>
        <w:t xml:space="preserve">In addition to the mode variation for the </w:t>
      </w:r>
      <w:r w:rsidR="008240BF">
        <w:rPr>
          <w:rFonts w:ascii="Calibri" w:eastAsia="Times New Roman" w:hAnsi="Calibri"/>
          <w:color w:val="000000"/>
          <w:sz w:val="22"/>
          <w:szCs w:val="22"/>
        </w:rPr>
        <w:t xml:space="preserve">already OMB-approved </w:t>
      </w:r>
      <w:r>
        <w:rPr>
          <w:rFonts w:ascii="Calibri" w:eastAsia="Times New Roman" w:hAnsi="Calibri"/>
          <w:color w:val="000000"/>
          <w:sz w:val="22"/>
          <w:szCs w:val="22"/>
        </w:rPr>
        <w:t>3- and 9-month instruments, t</w:t>
      </w:r>
      <w:r w:rsidR="00247352">
        <w:rPr>
          <w:rFonts w:ascii="Calibri" w:eastAsia="Times New Roman" w:hAnsi="Calibri"/>
          <w:color w:val="000000"/>
          <w:sz w:val="22"/>
          <w:szCs w:val="22"/>
        </w:rPr>
        <w:t xml:space="preserve">he NCS 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would </w:t>
      </w:r>
      <w:r w:rsidR="00247352">
        <w:rPr>
          <w:rFonts w:ascii="Calibri" w:eastAsia="Times New Roman" w:hAnsi="Calibri"/>
          <w:color w:val="000000"/>
          <w:sz w:val="22"/>
          <w:szCs w:val="22"/>
        </w:rPr>
        <w:t>like to administer the Participant Internet Usa</w:t>
      </w:r>
      <w:r w:rsidR="008240BF">
        <w:rPr>
          <w:rFonts w:ascii="Calibri" w:eastAsia="Times New Roman" w:hAnsi="Calibri"/>
          <w:color w:val="000000"/>
          <w:sz w:val="22"/>
          <w:szCs w:val="22"/>
        </w:rPr>
        <w:t>ge and Contact Preference Survey</w:t>
      </w:r>
      <w:r w:rsidR="00247352">
        <w:rPr>
          <w:rFonts w:ascii="Calibri" w:eastAsia="Times New Roman" w:hAnsi="Calibri"/>
          <w:color w:val="000000"/>
          <w:sz w:val="22"/>
          <w:szCs w:val="22"/>
        </w:rPr>
        <w:t xml:space="preserve"> to a total of 240 respondents, resulting in 20 hours of additional burden hours (240 respondents X 0.08 hours/respondent = 20 hours).  </w:t>
      </w:r>
      <w:r w:rsidR="008240BF">
        <w:rPr>
          <w:rFonts w:ascii="Calibri" w:eastAsia="Times New Roman" w:hAnsi="Calibri"/>
          <w:color w:val="000000"/>
          <w:sz w:val="22"/>
          <w:szCs w:val="22"/>
        </w:rPr>
        <w:t>The Participant Internet Usage and Contact Preference Survey results will be used to evaluate the participant acceptability of these information collection modes with a view to informing the modalities to be offered in the Main Study.</w:t>
      </w:r>
    </w:p>
    <w:p w:rsidR="00A32F3C" w:rsidRDefault="00A32F3C" w:rsidP="00247352">
      <w:pPr>
        <w:pStyle w:val="ListParagraph"/>
        <w:tabs>
          <w:tab w:val="left" w:pos="180"/>
        </w:tabs>
        <w:ind w:left="0"/>
        <w:rPr>
          <w:rFonts w:ascii="Calibri" w:eastAsia="Times New Roman" w:hAnsi="Calibri"/>
          <w:color w:val="000000"/>
          <w:sz w:val="22"/>
          <w:szCs w:val="22"/>
        </w:rPr>
      </w:pPr>
    </w:p>
    <w:p w:rsidR="00B14737" w:rsidRDefault="00B14737" w:rsidP="00B14737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 w:rsidRPr="00B14737">
        <w:rPr>
          <w:rFonts w:asciiTheme="minorHAnsi" w:hAnsiTheme="minorHAnsi"/>
          <w:i/>
          <w:sz w:val="22"/>
          <w:szCs w:val="22"/>
        </w:rPr>
        <w:t xml:space="preserve">IRB </w:t>
      </w:r>
      <w:r>
        <w:rPr>
          <w:rFonts w:asciiTheme="minorHAnsi" w:hAnsiTheme="minorHAnsi"/>
          <w:i/>
          <w:sz w:val="22"/>
          <w:szCs w:val="22"/>
        </w:rPr>
        <w:t>A</w:t>
      </w:r>
      <w:r w:rsidRPr="00B14737">
        <w:rPr>
          <w:rFonts w:asciiTheme="minorHAnsi" w:hAnsiTheme="minorHAnsi"/>
          <w:i/>
          <w:sz w:val="22"/>
          <w:szCs w:val="22"/>
        </w:rPr>
        <w:t>pproval for participating Study Centers:</w:t>
      </w: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 w:rsidR="002678C3">
        <w:rPr>
          <w:rFonts w:asciiTheme="minorHAnsi" w:hAnsiTheme="minorHAnsi"/>
          <w:sz w:val="22"/>
          <w:szCs w:val="22"/>
        </w:rPr>
        <w:t>Yes</w:t>
      </w:r>
    </w:p>
    <w:p w:rsidR="00B14737" w:rsidRDefault="00B14737" w:rsidP="00B14737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 w:rsidRPr="00B14737">
        <w:rPr>
          <w:rFonts w:asciiTheme="minorHAnsi" w:hAnsiTheme="minorHAnsi"/>
          <w:i/>
          <w:sz w:val="22"/>
          <w:szCs w:val="22"/>
        </w:rPr>
        <w:t>Total Requested Participant Burden:</w:t>
      </w: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B6D2E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hours</w:t>
      </w:r>
    </w:p>
    <w:p w:rsidR="00284EE2" w:rsidRDefault="00284EE2" w:rsidP="00284EE2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643855" w:rsidRPr="00B14737" w:rsidRDefault="00B14737" w:rsidP="008240BF">
      <w:pPr>
        <w:pStyle w:val="ListParagraph"/>
        <w:numPr>
          <w:ilvl w:val="0"/>
          <w:numId w:val="14"/>
        </w:numPr>
        <w:tabs>
          <w:tab w:val="left" w:pos="180"/>
        </w:tabs>
        <w:ind w:left="180" w:hanging="180"/>
        <w:rPr>
          <w:rFonts w:asciiTheme="minorHAnsi" w:hAnsiTheme="minorHAnsi"/>
          <w:b/>
          <w:sz w:val="22"/>
          <w:szCs w:val="22"/>
        </w:rPr>
      </w:pPr>
      <w:r w:rsidRPr="00B14737">
        <w:rPr>
          <w:rFonts w:asciiTheme="minorHAnsi" w:hAnsiTheme="minorHAnsi"/>
          <w:b/>
          <w:sz w:val="22"/>
          <w:szCs w:val="22"/>
        </w:rPr>
        <w:lastRenderedPageBreak/>
        <w:t xml:space="preserve">LOI3-ENV-01-D:  </w:t>
      </w:r>
      <w:r w:rsidR="008240BF">
        <w:rPr>
          <w:rFonts w:asciiTheme="minorHAnsi" w:eastAsia="Times New Roman" w:hAnsiTheme="minorHAnsi"/>
          <w:b/>
          <w:color w:val="000000"/>
          <w:sz w:val="22"/>
          <w:szCs w:val="22"/>
        </w:rPr>
        <w:t>Evaluating Methods for Dust Collection to Quantify Exposure to S</w:t>
      </w:r>
      <w:r w:rsidRPr="00B14737">
        <w:rPr>
          <w:rFonts w:asciiTheme="minorHAnsi" w:eastAsia="Times New Roman" w:hAnsiTheme="minorHAnsi"/>
          <w:b/>
          <w:color w:val="000000"/>
          <w:sz w:val="22"/>
          <w:szCs w:val="22"/>
        </w:rPr>
        <w:t xml:space="preserve">emivolatile </w:t>
      </w:r>
      <w:r w:rsidR="008240BF">
        <w:rPr>
          <w:rFonts w:asciiTheme="minorHAnsi" w:eastAsia="Times New Roman" w:hAnsiTheme="minorHAnsi"/>
          <w:b/>
          <w:color w:val="000000"/>
          <w:sz w:val="22"/>
          <w:szCs w:val="22"/>
        </w:rPr>
        <w:t>Organic C</w:t>
      </w:r>
      <w:r w:rsidRPr="00B14737">
        <w:rPr>
          <w:rFonts w:asciiTheme="minorHAnsi" w:eastAsia="Times New Roman" w:hAnsiTheme="minorHAnsi"/>
          <w:b/>
          <w:color w:val="000000"/>
          <w:sz w:val="22"/>
          <w:szCs w:val="22"/>
        </w:rPr>
        <w:t>ompounds (SVOCs)</w:t>
      </w:r>
    </w:p>
    <w:p w:rsidR="00643855" w:rsidRDefault="00643855" w:rsidP="00284EE2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p w:rsidR="00AB6D2E" w:rsidRPr="008240BF" w:rsidRDefault="008240BF" w:rsidP="008240BF">
      <w:pPr>
        <w:pStyle w:val="PlainText"/>
        <w:rPr>
          <w:rFonts w:ascii="Calibri" w:hAnsi="Calibr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AB6D2E">
        <w:rPr>
          <w:rFonts w:asciiTheme="minorHAnsi" w:hAnsiTheme="minorHAnsi"/>
          <w:sz w:val="22"/>
          <w:szCs w:val="22"/>
        </w:rPr>
        <w:t>NCS formative research project</w:t>
      </w:r>
      <w:r>
        <w:rPr>
          <w:rFonts w:asciiTheme="minorHAnsi" w:hAnsiTheme="minorHAnsi"/>
          <w:sz w:val="22"/>
          <w:szCs w:val="22"/>
        </w:rPr>
        <w:t>,</w:t>
      </w:r>
      <w:r w:rsidR="00AB6D2E">
        <w:rPr>
          <w:rFonts w:asciiTheme="minorHAnsi" w:hAnsiTheme="minorHAnsi"/>
          <w:sz w:val="22"/>
          <w:szCs w:val="22"/>
        </w:rPr>
        <w:t xml:space="preserve"> LOI3-ENV-01-D</w:t>
      </w:r>
      <w:r>
        <w:rPr>
          <w:rFonts w:asciiTheme="minorHAnsi" w:hAnsiTheme="minorHAnsi"/>
          <w:sz w:val="22"/>
          <w:szCs w:val="22"/>
        </w:rPr>
        <w:t>,</w:t>
      </w:r>
      <w:r w:rsidR="003E56CC">
        <w:rPr>
          <w:rFonts w:asciiTheme="minorHAnsi" w:hAnsiTheme="minorHAnsi"/>
          <w:sz w:val="22"/>
          <w:szCs w:val="22"/>
        </w:rPr>
        <w:t xml:space="preserve"> </w:t>
      </w:r>
      <w:r w:rsidR="003E56CC">
        <w:rPr>
          <w:rFonts w:ascii="Calibri" w:hAnsi="Calibri"/>
          <w:color w:val="000000"/>
          <w:sz w:val="22"/>
          <w:szCs w:val="22"/>
        </w:rPr>
        <w:t>proposes to</w:t>
      </w:r>
      <w:r w:rsidR="003E56CC" w:rsidRPr="00316DC9">
        <w:rPr>
          <w:rFonts w:ascii="Calibri" w:hAnsi="Calibri"/>
          <w:color w:val="000000"/>
          <w:sz w:val="22"/>
          <w:szCs w:val="22"/>
        </w:rPr>
        <w:t xml:space="preserve"> evaluate exposure data as detected in the household environment, reported by the participant, and stored in participant biomarkers for quality and redundancy in measurement</w:t>
      </w:r>
      <w:r w:rsidR="003E56CC">
        <w:rPr>
          <w:rFonts w:ascii="Calibri" w:hAnsi="Calibri"/>
          <w:color w:val="000000"/>
          <w:sz w:val="22"/>
          <w:szCs w:val="22"/>
        </w:rPr>
        <w:t xml:space="preserve">.  </w:t>
      </w:r>
      <w:r w:rsidR="00AB6D2E">
        <w:rPr>
          <w:rFonts w:ascii="Calibri" w:hAnsi="Calibri"/>
          <w:color w:val="000000"/>
          <w:sz w:val="22"/>
          <w:szCs w:val="22"/>
        </w:rPr>
        <w:t xml:space="preserve">The purpose of the </w:t>
      </w:r>
      <w:r w:rsidR="00DC6A21">
        <w:rPr>
          <w:rFonts w:ascii="Calibri" w:hAnsi="Calibri"/>
          <w:color w:val="000000"/>
          <w:sz w:val="22"/>
          <w:szCs w:val="22"/>
        </w:rPr>
        <w:t>project is</w:t>
      </w:r>
      <w:r w:rsidR="00AB6D2E">
        <w:rPr>
          <w:rFonts w:ascii="Calibri" w:hAnsi="Calibri"/>
          <w:color w:val="000000"/>
          <w:sz w:val="22"/>
          <w:szCs w:val="22"/>
        </w:rPr>
        <w:t xml:space="preserve"> to generate operational data to determine the most appropriate and efficient conditions for collection, pr</w:t>
      </w:r>
      <w:r w:rsidR="00934D67">
        <w:rPr>
          <w:rFonts w:ascii="Calibri" w:hAnsi="Calibri"/>
          <w:color w:val="000000"/>
          <w:sz w:val="22"/>
          <w:szCs w:val="22"/>
        </w:rPr>
        <w:t xml:space="preserve">ocessing, storage, and analysis </w:t>
      </w:r>
      <w:r w:rsidR="00AB6D2E">
        <w:rPr>
          <w:rFonts w:ascii="Calibri" w:hAnsi="Calibri"/>
          <w:color w:val="000000"/>
          <w:sz w:val="22"/>
          <w:szCs w:val="22"/>
        </w:rPr>
        <w:t xml:space="preserve">of dust, air, and urine samples from the homes of study participants.  In addition to </w:t>
      </w:r>
      <w:r w:rsidR="007D59C5">
        <w:rPr>
          <w:rFonts w:ascii="Calibri" w:hAnsi="Calibri"/>
          <w:color w:val="000000"/>
          <w:sz w:val="22"/>
          <w:szCs w:val="22"/>
        </w:rPr>
        <w:t xml:space="preserve">the </w:t>
      </w:r>
      <w:r w:rsidR="00AB6D2E">
        <w:rPr>
          <w:rFonts w:ascii="Calibri" w:hAnsi="Calibri"/>
          <w:color w:val="000000"/>
          <w:sz w:val="22"/>
          <w:szCs w:val="22"/>
        </w:rPr>
        <w:t xml:space="preserve">biological and environmental samples </w:t>
      </w:r>
      <w:r>
        <w:rPr>
          <w:rFonts w:ascii="Calibri" w:hAnsi="Calibri"/>
          <w:color w:val="000000"/>
          <w:sz w:val="22"/>
          <w:szCs w:val="22"/>
        </w:rPr>
        <w:t>already approved to</w:t>
      </w:r>
      <w:r w:rsidR="00AB6D2E">
        <w:rPr>
          <w:rFonts w:ascii="Calibri" w:hAnsi="Calibri"/>
          <w:color w:val="000000"/>
          <w:sz w:val="22"/>
          <w:szCs w:val="22"/>
        </w:rPr>
        <w:t xml:space="preserve"> be collected at </w:t>
      </w:r>
      <w:r w:rsidR="00934D67">
        <w:rPr>
          <w:rFonts w:ascii="Calibri" w:hAnsi="Calibri"/>
          <w:color w:val="000000"/>
          <w:sz w:val="22"/>
          <w:szCs w:val="22"/>
        </w:rPr>
        <w:t xml:space="preserve">the </w:t>
      </w:r>
      <w:r w:rsidR="00AB6D2E">
        <w:rPr>
          <w:rFonts w:ascii="Calibri" w:hAnsi="Calibri"/>
          <w:color w:val="000000"/>
          <w:sz w:val="22"/>
          <w:szCs w:val="22"/>
        </w:rPr>
        <w:t>Pregnancy Visit 1 per the NCS Vanguard Study Phase II protocol (approved by OMB/OIRA on April 13, 2011), LOI3-ENV-01-D proposes</w:t>
      </w:r>
      <w:r>
        <w:rPr>
          <w:rFonts w:ascii="Calibri" w:hAnsi="Calibri"/>
          <w:color w:val="000000"/>
          <w:sz w:val="22"/>
          <w:szCs w:val="22"/>
        </w:rPr>
        <w:t xml:space="preserve"> adding a</w:t>
      </w:r>
      <w:r>
        <w:rPr>
          <w:rFonts w:asciiTheme="minorHAnsi" w:hAnsiTheme="minorHAnsi"/>
          <w:sz w:val="22"/>
          <w:szCs w:val="22"/>
        </w:rPr>
        <w:t>n air sampling device to be</w:t>
      </w:r>
      <w:r w:rsidR="00AB6D2E" w:rsidRPr="00D818AB">
        <w:rPr>
          <w:rFonts w:asciiTheme="minorHAnsi" w:hAnsiTheme="minorHAnsi"/>
          <w:sz w:val="22"/>
          <w:szCs w:val="22"/>
        </w:rPr>
        <w:t xml:space="preserve"> placed in the home for 30 days at Pregnancy Visit 1</w:t>
      </w:r>
      <w:r>
        <w:rPr>
          <w:rFonts w:asciiTheme="minorHAnsi" w:hAnsiTheme="minorHAnsi"/>
          <w:sz w:val="22"/>
          <w:szCs w:val="22"/>
        </w:rPr>
        <w:t xml:space="preserve"> for a subset of NCS participants at up to 10 Study Centers</w:t>
      </w:r>
      <w:r w:rsidR="00AB6D2E" w:rsidRPr="00D818A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The characteristics and placement of the proposed air monit</w:t>
      </w:r>
      <w:r w:rsidR="005E3E88">
        <w:rPr>
          <w:rFonts w:asciiTheme="minorHAnsi" w:hAnsiTheme="minorHAnsi"/>
          <w:sz w:val="22"/>
          <w:szCs w:val="22"/>
        </w:rPr>
        <w:t>oring device were described in</w:t>
      </w:r>
      <w:r>
        <w:rPr>
          <w:rFonts w:asciiTheme="minorHAnsi" w:hAnsiTheme="minorHAnsi"/>
          <w:sz w:val="22"/>
          <w:szCs w:val="22"/>
        </w:rPr>
        <w:t xml:space="preserve"> the Initial </w:t>
      </w:r>
      <w:r w:rsidR="005E3E88">
        <w:rPr>
          <w:rFonts w:asciiTheme="minorHAnsi" w:hAnsiTheme="minorHAnsi"/>
          <w:sz w:val="22"/>
          <w:szCs w:val="22"/>
        </w:rPr>
        <w:t>Vanguard</w:t>
      </w:r>
      <w:r>
        <w:rPr>
          <w:rFonts w:asciiTheme="minorHAnsi" w:hAnsiTheme="minorHAnsi"/>
          <w:sz w:val="22"/>
          <w:szCs w:val="22"/>
        </w:rPr>
        <w:t xml:space="preserve"> Study protocol (approved</w:t>
      </w:r>
      <w:r w:rsidR="005E3E88">
        <w:rPr>
          <w:rFonts w:asciiTheme="minorHAnsi" w:hAnsiTheme="minorHAnsi"/>
          <w:sz w:val="22"/>
          <w:szCs w:val="22"/>
        </w:rPr>
        <w:t xml:space="preserve"> by OMB/OIRA on September 22, 2008).</w:t>
      </w:r>
    </w:p>
    <w:p w:rsidR="00AB6D2E" w:rsidRDefault="00AB6D2E" w:rsidP="00284EE2">
      <w:pPr>
        <w:pStyle w:val="PlainText"/>
        <w:rPr>
          <w:rFonts w:ascii="Calibri" w:hAnsi="Calibri"/>
          <w:color w:val="000000"/>
          <w:sz w:val="22"/>
          <w:szCs w:val="22"/>
        </w:rPr>
      </w:pPr>
    </w:p>
    <w:p w:rsidR="00364478" w:rsidRPr="006A0DCC" w:rsidRDefault="007D59C5" w:rsidP="00284EE2">
      <w:pPr>
        <w:pStyle w:val="Plai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additional data collection </w:t>
      </w:r>
      <w:r w:rsidR="00934D67">
        <w:rPr>
          <w:rFonts w:asciiTheme="minorHAnsi" w:hAnsiTheme="minorHAnsi"/>
          <w:sz w:val="22"/>
          <w:szCs w:val="22"/>
        </w:rPr>
        <w:t xml:space="preserve">described above </w:t>
      </w:r>
      <w:r w:rsidR="00284EE2" w:rsidRPr="006A0DCC">
        <w:rPr>
          <w:rFonts w:asciiTheme="minorHAnsi" w:hAnsiTheme="minorHAnsi"/>
          <w:sz w:val="22"/>
          <w:szCs w:val="22"/>
        </w:rPr>
        <w:t>represent</w:t>
      </w:r>
      <w:r>
        <w:rPr>
          <w:rFonts w:asciiTheme="minorHAnsi" w:hAnsiTheme="minorHAnsi"/>
          <w:sz w:val="22"/>
          <w:szCs w:val="22"/>
        </w:rPr>
        <w:t xml:space="preserve">s a </w:t>
      </w:r>
      <w:r w:rsidR="00284EE2">
        <w:rPr>
          <w:rFonts w:asciiTheme="minorHAnsi" w:hAnsiTheme="minorHAnsi"/>
          <w:sz w:val="22"/>
          <w:szCs w:val="22"/>
        </w:rPr>
        <w:t>minimal amount</w:t>
      </w:r>
      <w:r w:rsidR="00284EE2" w:rsidRPr="006A0DCC">
        <w:rPr>
          <w:rFonts w:asciiTheme="minorHAnsi" w:hAnsiTheme="minorHAnsi"/>
          <w:sz w:val="22"/>
          <w:szCs w:val="22"/>
        </w:rPr>
        <w:t xml:space="preserve"> of additional burden</w:t>
      </w:r>
      <w:r>
        <w:rPr>
          <w:rFonts w:asciiTheme="minorHAnsi" w:hAnsiTheme="minorHAnsi"/>
          <w:sz w:val="22"/>
          <w:szCs w:val="22"/>
        </w:rPr>
        <w:t xml:space="preserve"> (55 respondents</w:t>
      </w:r>
      <w:r w:rsidR="00284EE2">
        <w:rPr>
          <w:rFonts w:asciiTheme="minorHAnsi" w:hAnsiTheme="minorHAnsi"/>
          <w:sz w:val="22"/>
          <w:szCs w:val="22"/>
        </w:rPr>
        <w:t xml:space="preserve"> X 0.35 additional burden hours/ respondent = 19 hours)</w:t>
      </w:r>
      <w:r w:rsidR="00284EE2" w:rsidRPr="006A0DC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316DC9">
        <w:rPr>
          <w:rFonts w:ascii="Calibri" w:hAnsi="Calibri"/>
          <w:color w:val="000000"/>
          <w:sz w:val="22"/>
          <w:szCs w:val="22"/>
        </w:rPr>
        <w:t xml:space="preserve">The project </w:t>
      </w:r>
      <w:r>
        <w:rPr>
          <w:rFonts w:ascii="Calibri" w:hAnsi="Calibri"/>
          <w:color w:val="000000"/>
          <w:sz w:val="22"/>
          <w:szCs w:val="22"/>
        </w:rPr>
        <w:t xml:space="preserve">will test </w:t>
      </w:r>
      <w:r w:rsidRPr="00316DC9">
        <w:rPr>
          <w:rFonts w:ascii="Calibri" w:hAnsi="Calibri"/>
          <w:color w:val="000000"/>
          <w:sz w:val="22"/>
          <w:szCs w:val="22"/>
        </w:rPr>
        <w:t>the feasibility and acceptability of two methods for dust collection</w:t>
      </w:r>
      <w:r w:rsidR="00934D67">
        <w:rPr>
          <w:rFonts w:ascii="Calibri" w:hAnsi="Calibri"/>
          <w:color w:val="000000"/>
          <w:sz w:val="22"/>
          <w:szCs w:val="22"/>
        </w:rPr>
        <w:t xml:space="preserve">, and will apply efficiencies ascertained from the data to </w:t>
      </w:r>
      <w:r w:rsidRPr="00316DC9">
        <w:rPr>
          <w:rFonts w:ascii="Calibri" w:hAnsi="Calibri"/>
          <w:color w:val="000000"/>
          <w:sz w:val="22"/>
          <w:szCs w:val="22"/>
        </w:rPr>
        <w:t>reduce overall burden</w:t>
      </w:r>
      <w:r>
        <w:rPr>
          <w:rFonts w:ascii="Calibri" w:hAnsi="Calibri"/>
          <w:color w:val="000000"/>
          <w:sz w:val="22"/>
          <w:szCs w:val="22"/>
        </w:rPr>
        <w:t xml:space="preserve"> to the participant</w:t>
      </w:r>
      <w:r w:rsidRPr="00316DC9">
        <w:rPr>
          <w:rFonts w:ascii="Calibri" w:hAnsi="Calibri"/>
          <w:color w:val="000000"/>
          <w:sz w:val="22"/>
          <w:szCs w:val="22"/>
        </w:rPr>
        <w:t xml:space="preserve"> in the </w:t>
      </w:r>
      <w:r>
        <w:rPr>
          <w:rFonts w:ascii="Calibri" w:hAnsi="Calibri"/>
          <w:color w:val="000000"/>
          <w:sz w:val="22"/>
          <w:szCs w:val="22"/>
        </w:rPr>
        <w:t xml:space="preserve">NCS </w:t>
      </w:r>
      <w:r w:rsidRPr="00316DC9">
        <w:rPr>
          <w:rFonts w:ascii="Calibri" w:hAnsi="Calibri"/>
          <w:color w:val="000000"/>
          <w:sz w:val="22"/>
          <w:szCs w:val="22"/>
        </w:rPr>
        <w:t>Main Study.</w:t>
      </w:r>
    </w:p>
    <w:p w:rsidR="00A37743" w:rsidRDefault="00A37743" w:rsidP="00983235">
      <w:pPr>
        <w:pStyle w:val="PlainText"/>
      </w:pPr>
    </w:p>
    <w:p w:rsidR="00AB6D2E" w:rsidRDefault="00AB6D2E" w:rsidP="00AB6D2E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 w:rsidRPr="00B14737">
        <w:rPr>
          <w:rFonts w:asciiTheme="minorHAnsi" w:hAnsiTheme="minorHAnsi"/>
          <w:i/>
          <w:sz w:val="22"/>
          <w:szCs w:val="22"/>
        </w:rPr>
        <w:t xml:space="preserve">IRB </w:t>
      </w:r>
      <w:r>
        <w:rPr>
          <w:rFonts w:asciiTheme="minorHAnsi" w:hAnsiTheme="minorHAnsi"/>
          <w:i/>
          <w:sz w:val="22"/>
          <w:szCs w:val="22"/>
        </w:rPr>
        <w:t>A</w:t>
      </w:r>
      <w:r w:rsidRPr="00B14737">
        <w:rPr>
          <w:rFonts w:asciiTheme="minorHAnsi" w:hAnsiTheme="minorHAnsi"/>
          <w:i/>
          <w:sz w:val="22"/>
          <w:szCs w:val="22"/>
        </w:rPr>
        <w:t>pproval for participating Study Centers:</w:t>
      </w: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 w:rsidR="008240BF">
        <w:rPr>
          <w:rFonts w:asciiTheme="minorHAnsi" w:hAnsiTheme="minorHAnsi"/>
          <w:sz w:val="22"/>
          <w:szCs w:val="22"/>
        </w:rPr>
        <w:t>Pending OMB approval (submitted to IRBs of record)</w:t>
      </w:r>
    </w:p>
    <w:p w:rsidR="00AB6D2E" w:rsidRDefault="00AB6D2E" w:rsidP="00AB6D2E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 w:rsidRPr="00B14737">
        <w:rPr>
          <w:rFonts w:asciiTheme="minorHAnsi" w:hAnsiTheme="minorHAnsi"/>
          <w:i/>
          <w:sz w:val="22"/>
          <w:szCs w:val="22"/>
        </w:rPr>
        <w:t>Total Requested Participant Burden:</w:t>
      </w: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 hours</w:t>
      </w:r>
    </w:p>
    <w:p w:rsidR="002A6A82" w:rsidRDefault="002A6A82" w:rsidP="00AB6D2E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779"/>
        <w:gridCol w:w="1862"/>
        <w:gridCol w:w="1903"/>
        <w:gridCol w:w="1344"/>
        <w:gridCol w:w="1344"/>
        <w:gridCol w:w="1344"/>
      </w:tblGrid>
      <w:tr w:rsidR="0090442A" w:rsidTr="0090442A">
        <w:tc>
          <w:tcPr>
            <w:tcW w:w="9576" w:type="dxa"/>
            <w:gridSpan w:val="6"/>
          </w:tcPr>
          <w:p w:rsidR="0090442A" w:rsidRDefault="0090442A" w:rsidP="0090442A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 w:rsidRPr="00E1068C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 xml:space="preserve">Table </w:t>
            </w:r>
            <w:r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2. Respondent Burden Table</w:t>
            </w:r>
            <w:r w:rsidR="00A742DB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 xml:space="preserve"> for Candidate Projects </w:t>
            </w:r>
            <w:r w:rsidR="00A742DB" w:rsidRPr="00E1068C">
              <w:rPr>
                <w:rFonts w:ascii="Calibri" w:eastAsia="Times New Roman" w:hAnsi="Calibri"/>
                <w:b/>
                <w:bCs/>
                <w:color w:val="000000"/>
                <w:sz w:val="20"/>
              </w:rPr>
              <w:t>(OMB Collection # 0925-0593, Expiration Date 7/31/2013)</w:t>
            </w:r>
          </w:p>
        </w:tc>
      </w:tr>
      <w:tr w:rsidR="0090442A" w:rsidTr="0090442A">
        <w:tc>
          <w:tcPr>
            <w:tcW w:w="1779" w:type="dxa"/>
          </w:tcPr>
          <w:p w:rsidR="0090442A" w:rsidRPr="00A742DB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A742DB">
              <w:rPr>
                <w:rFonts w:asciiTheme="minorHAnsi" w:hAnsiTheme="minorHAnsi"/>
                <w:b/>
                <w:szCs w:val="22"/>
              </w:rPr>
              <w:t>Formative Research Project Number</w:t>
            </w:r>
          </w:p>
        </w:tc>
        <w:tc>
          <w:tcPr>
            <w:tcW w:w="1862" w:type="dxa"/>
          </w:tcPr>
          <w:p w:rsidR="0090442A" w:rsidRPr="00A742DB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A742DB">
              <w:rPr>
                <w:rFonts w:asciiTheme="minorHAnsi" w:hAnsiTheme="minorHAnsi"/>
                <w:b/>
                <w:szCs w:val="22"/>
              </w:rPr>
              <w:t>Type of Respondent</w:t>
            </w:r>
          </w:p>
        </w:tc>
        <w:tc>
          <w:tcPr>
            <w:tcW w:w="1903" w:type="dxa"/>
          </w:tcPr>
          <w:p w:rsidR="0090442A" w:rsidRPr="00A742DB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A742DB">
              <w:rPr>
                <w:rFonts w:asciiTheme="minorHAnsi" w:hAnsiTheme="minorHAnsi"/>
                <w:b/>
                <w:szCs w:val="22"/>
              </w:rPr>
              <w:t>Number of Respondents</w:t>
            </w:r>
          </w:p>
        </w:tc>
        <w:tc>
          <w:tcPr>
            <w:tcW w:w="1344" w:type="dxa"/>
          </w:tcPr>
          <w:p w:rsidR="0090442A" w:rsidRPr="00A742DB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A742DB">
              <w:rPr>
                <w:rFonts w:asciiTheme="minorHAnsi" w:hAnsiTheme="minorHAnsi"/>
                <w:b/>
                <w:szCs w:val="22"/>
              </w:rPr>
              <w:t>Responses per Respondent</w:t>
            </w:r>
          </w:p>
        </w:tc>
        <w:tc>
          <w:tcPr>
            <w:tcW w:w="1344" w:type="dxa"/>
          </w:tcPr>
          <w:p w:rsidR="0090442A" w:rsidRPr="00A742DB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A742DB">
              <w:rPr>
                <w:rFonts w:asciiTheme="minorHAnsi" w:hAnsiTheme="minorHAnsi"/>
                <w:b/>
                <w:szCs w:val="22"/>
              </w:rPr>
              <w:t>Hours per Response</w:t>
            </w:r>
          </w:p>
        </w:tc>
        <w:tc>
          <w:tcPr>
            <w:tcW w:w="1344" w:type="dxa"/>
          </w:tcPr>
          <w:p w:rsidR="0090442A" w:rsidRPr="00A742DB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b/>
                <w:szCs w:val="22"/>
              </w:rPr>
            </w:pPr>
            <w:r w:rsidRPr="00A742DB">
              <w:rPr>
                <w:rFonts w:asciiTheme="minorHAnsi" w:hAnsiTheme="minorHAnsi"/>
                <w:b/>
                <w:szCs w:val="22"/>
              </w:rPr>
              <w:t>Hour Burden</w:t>
            </w:r>
          </w:p>
        </w:tc>
      </w:tr>
      <w:tr w:rsidR="00A742DB" w:rsidTr="0090442A">
        <w:tc>
          <w:tcPr>
            <w:tcW w:w="1779" w:type="dxa"/>
            <w:vMerge w:val="restart"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LOIX-QUEX-01-B</w:t>
            </w:r>
          </w:p>
        </w:tc>
        <w:tc>
          <w:tcPr>
            <w:tcW w:w="1862" w:type="dxa"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Household</w:t>
            </w:r>
          </w:p>
        </w:tc>
        <w:tc>
          <w:tcPr>
            <w:tcW w:w="1903" w:type="dxa"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24,000</w:t>
            </w:r>
          </w:p>
        </w:tc>
        <w:tc>
          <w:tcPr>
            <w:tcW w:w="1344" w:type="dxa"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1344" w:type="dxa"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0.13</w:t>
            </w:r>
          </w:p>
        </w:tc>
        <w:tc>
          <w:tcPr>
            <w:tcW w:w="1344" w:type="dxa"/>
            <w:vMerge w:val="restart"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</w:t>
            </w:r>
            <w:r w:rsidRPr="00C1604C">
              <w:rPr>
                <w:rFonts w:asciiTheme="minorHAnsi" w:hAnsiTheme="minorHAnsi"/>
                <w:i/>
                <w:szCs w:val="22"/>
              </w:rPr>
              <w:t xml:space="preserve"> *</w:t>
            </w:r>
          </w:p>
        </w:tc>
      </w:tr>
      <w:tr w:rsidR="00A742DB" w:rsidTr="0090442A">
        <w:tc>
          <w:tcPr>
            <w:tcW w:w="1779" w:type="dxa"/>
            <w:vMerge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62" w:type="dxa"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Age-Eligible Women</w:t>
            </w:r>
          </w:p>
        </w:tc>
        <w:tc>
          <w:tcPr>
            <w:tcW w:w="1903" w:type="dxa"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14,400</w:t>
            </w:r>
          </w:p>
        </w:tc>
        <w:tc>
          <w:tcPr>
            <w:tcW w:w="1344" w:type="dxa"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1344" w:type="dxa"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0.35</w:t>
            </w:r>
          </w:p>
        </w:tc>
        <w:tc>
          <w:tcPr>
            <w:tcW w:w="1344" w:type="dxa"/>
            <w:vMerge/>
          </w:tcPr>
          <w:p w:rsidR="00A742DB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</w:p>
        </w:tc>
      </w:tr>
      <w:tr w:rsidR="0090442A" w:rsidTr="0090442A">
        <w:tc>
          <w:tcPr>
            <w:tcW w:w="1779" w:type="dxa"/>
          </w:tcPr>
          <w:p w:rsidR="0090442A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LOI2-INF-17</w:t>
            </w:r>
          </w:p>
        </w:tc>
        <w:tc>
          <w:tcPr>
            <w:tcW w:w="1862" w:type="dxa"/>
          </w:tcPr>
          <w:p w:rsidR="0090442A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Mother / Baby</w:t>
            </w:r>
          </w:p>
        </w:tc>
        <w:tc>
          <w:tcPr>
            <w:tcW w:w="1903" w:type="dxa"/>
          </w:tcPr>
          <w:p w:rsidR="0090442A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240</w:t>
            </w:r>
          </w:p>
        </w:tc>
        <w:tc>
          <w:tcPr>
            <w:tcW w:w="1344" w:type="dxa"/>
          </w:tcPr>
          <w:p w:rsidR="0090442A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1344" w:type="dxa"/>
          </w:tcPr>
          <w:p w:rsidR="0090442A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0.08</w:t>
            </w:r>
          </w:p>
        </w:tc>
        <w:tc>
          <w:tcPr>
            <w:tcW w:w="1344" w:type="dxa"/>
          </w:tcPr>
          <w:p w:rsidR="0090442A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20</w:t>
            </w:r>
          </w:p>
        </w:tc>
      </w:tr>
      <w:tr w:rsidR="0090442A" w:rsidTr="0090442A">
        <w:tc>
          <w:tcPr>
            <w:tcW w:w="1779" w:type="dxa"/>
          </w:tcPr>
          <w:p w:rsidR="0090442A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LOI3-ENV-01-D</w:t>
            </w:r>
          </w:p>
        </w:tc>
        <w:tc>
          <w:tcPr>
            <w:tcW w:w="1862" w:type="dxa"/>
          </w:tcPr>
          <w:p w:rsidR="0090442A" w:rsidRDefault="00A742DB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Household</w:t>
            </w:r>
          </w:p>
        </w:tc>
        <w:tc>
          <w:tcPr>
            <w:tcW w:w="1903" w:type="dxa"/>
          </w:tcPr>
          <w:p w:rsidR="0090442A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55</w:t>
            </w:r>
          </w:p>
        </w:tc>
        <w:tc>
          <w:tcPr>
            <w:tcW w:w="1344" w:type="dxa"/>
          </w:tcPr>
          <w:p w:rsidR="0090442A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1344" w:type="dxa"/>
          </w:tcPr>
          <w:p w:rsidR="0090442A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0.35</w:t>
            </w:r>
          </w:p>
        </w:tc>
        <w:tc>
          <w:tcPr>
            <w:tcW w:w="1344" w:type="dxa"/>
          </w:tcPr>
          <w:p w:rsidR="0090442A" w:rsidRDefault="0090442A" w:rsidP="00AB6D2E">
            <w:pPr>
              <w:pStyle w:val="ListParagraph"/>
              <w:tabs>
                <w:tab w:val="left" w:pos="180"/>
              </w:tabs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19</w:t>
            </w:r>
          </w:p>
        </w:tc>
      </w:tr>
    </w:tbl>
    <w:p w:rsidR="0090442A" w:rsidRPr="00C1604C" w:rsidRDefault="0090442A" w:rsidP="0090442A">
      <w:pPr>
        <w:tabs>
          <w:tab w:val="left" w:pos="180"/>
        </w:tabs>
        <w:rPr>
          <w:rFonts w:asciiTheme="minorHAnsi" w:hAnsiTheme="minorHAnsi"/>
          <w:i/>
          <w:sz w:val="22"/>
          <w:szCs w:val="22"/>
        </w:rPr>
      </w:pPr>
      <w:r w:rsidRPr="00C1604C">
        <w:rPr>
          <w:rFonts w:asciiTheme="minorHAnsi" w:hAnsiTheme="minorHAnsi"/>
          <w:i/>
          <w:sz w:val="22"/>
          <w:szCs w:val="22"/>
        </w:rPr>
        <w:t>*</w:t>
      </w:r>
      <w:r w:rsidR="00C1604C" w:rsidRPr="00C1604C">
        <w:rPr>
          <w:rFonts w:asciiTheme="minorHAnsi" w:hAnsiTheme="minorHAnsi"/>
          <w:i/>
          <w:sz w:val="22"/>
          <w:szCs w:val="22"/>
        </w:rPr>
        <w:t>See above description on planned variation for LOIX-QUEX-01-B, resulting in no additional burden.</w:t>
      </w:r>
    </w:p>
    <w:p w:rsidR="00AB6D2E" w:rsidRDefault="00AB6D2E" w:rsidP="00983235">
      <w:pPr>
        <w:pStyle w:val="PlainText"/>
      </w:pPr>
    </w:p>
    <w:p w:rsidR="00983235" w:rsidRPr="009F438F" w:rsidRDefault="00983235" w:rsidP="00983235">
      <w:pPr>
        <w:pStyle w:val="ListParagraph"/>
        <w:tabs>
          <w:tab w:val="left" w:pos="180"/>
        </w:tabs>
        <w:ind w:left="0"/>
        <w:rPr>
          <w:rFonts w:asciiTheme="minorHAnsi" w:hAnsiTheme="minorHAnsi"/>
          <w:sz w:val="22"/>
          <w:szCs w:val="22"/>
        </w:rPr>
      </w:pPr>
      <w:r w:rsidRPr="007A475B">
        <w:rPr>
          <w:rFonts w:asciiTheme="minorHAnsi" w:hAnsiTheme="minorHAnsi"/>
          <w:sz w:val="22"/>
          <w:szCs w:val="22"/>
        </w:rPr>
        <w:t xml:space="preserve">For your consideration, please see the </w:t>
      </w:r>
      <w:r>
        <w:rPr>
          <w:rFonts w:asciiTheme="minorHAnsi" w:hAnsiTheme="minorHAnsi"/>
          <w:sz w:val="22"/>
          <w:szCs w:val="22"/>
        </w:rPr>
        <w:t>associated instruments for each project</w:t>
      </w:r>
      <w:r w:rsidR="005E3E88">
        <w:rPr>
          <w:rFonts w:asciiTheme="minorHAnsi" w:hAnsiTheme="minorHAnsi"/>
          <w:sz w:val="22"/>
          <w:szCs w:val="22"/>
        </w:rPr>
        <w:t xml:space="preserve"> that are supplemental to the approved Vanguard Study Phase II submission</w:t>
      </w:r>
      <w:r>
        <w:rPr>
          <w:rFonts w:asciiTheme="minorHAnsi" w:hAnsiTheme="minorHAnsi"/>
          <w:sz w:val="22"/>
          <w:szCs w:val="22"/>
        </w:rPr>
        <w:t>.</w:t>
      </w:r>
    </w:p>
    <w:p w:rsidR="00983235" w:rsidRDefault="00983235" w:rsidP="00983235">
      <w:pPr>
        <w:rPr>
          <w:rFonts w:asciiTheme="minorHAnsi" w:hAnsiTheme="minorHAnsi"/>
          <w:sz w:val="22"/>
          <w:szCs w:val="22"/>
          <w:highlight w:val="yellow"/>
        </w:rPr>
      </w:pPr>
    </w:p>
    <w:p w:rsidR="00983235" w:rsidRPr="00421E6E" w:rsidRDefault="00983235" w:rsidP="00983235">
      <w:pPr>
        <w:rPr>
          <w:rFonts w:asciiTheme="minorHAnsi" w:hAnsiTheme="minorHAnsi"/>
          <w:b/>
          <w:sz w:val="22"/>
          <w:szCs w:val="22"/>
        </w:rPr>
      </w:pPr>
      <w:r w:rsidRPr="00421E6E">
        <w:rPr>
          <w:rFonts w:asciiTheme="minorHAnsi" w:hAnsiTheme="minorHAnsi"/>
          <w:b/>
          <w:sz w:val="22"/>
          <w:szCs w:val="22"/>
        </w:rPr>
        <w:t xml:space="preserve">Attachments </w:t>
      </w:r>
      <w:r w:rsidR="0076769B" w:rsidRPr="00421E6E">
        <w:rPr>
          <w:rFonts w:asciiTheme="minorHAnsi" w:hAnsiTheme="minorHAnsi"/>
          <w:b/>
          <w:sz w:val="22"/>
          <w:szCs w:val="22"/>
        </w:rPr>
        <w:t>(</w:t>
      </w:r>
      <w:r w:rsidR="008240BF">
        <w:rPr>
          <w:rFonts w:asciiTheme="minorHAnsi" w:hAnsiTheme="minorHAnsi"/>
          <w:b/>
          <w:sz w:val="22"/>
          <w:szCs w:val="22"/>
        </w:rPr>
        <w:t>2)</w:t>
      </w:r>
      <w:r w:rsidRPr="00421E6E">
        <w:rPr>
          <w:rFonts w:asciiTheme="minorHAnsi" w:hAnsiTheme="minorHAnsi"/>
          <w:b/>
          <w:sz w:val="22"/>
          <w:szCs w:val="22"/>
        </w:rPr>
        <w:t xml:space="preserve">: </w:t>
      </w:r>
    </w:p>
    <w:p w:rsidR="00F278D9" w:rsidRDefault="00404C64" w:rsidP="002107A7">
      <w:pPr>
        <w:pStyle w:val="ListParagraph"/>
        <w:numPr>
          <w:ilvl w:val="0"/>
          <w:numId w:val="11"/>
        </w:numPr>
        <w:ind w:left="360"/>
        <w:rPr>
          <w:rFonts w:asciiTheme="minorHAnsi" w:hAnsiTheme="minorHAnsi"/>
          <w:sz w:val="22"/>
          <w:szCs w:val="22"/>
        </w:rPr>
      </w:pPr>
      <w:r w:rsidRPr="00A37743">
        <w:rPr>
          <w:rFonts w:asciiTheme="minorHAnsi" w:hAnsiTheme="minorHAnsi"/>
          <w:sz w:val="22"/>
          <w:szCs w:val="22"/>
        </w:rPr>
        <w:t>Household Inventory Questionnaire</w:t>
      </w:r>
      <w:r w:rsidR="00983235" w:rsidRPr="00A37743">
        <w:rPr>
          <w:rFonts w:asciiTheme="minorHAnsi" w:hAnsiTheme="minorHAnsi"/>
          <w:sz w:val="22"/>
          <w:szCs w:val="22"/>
        </w:rPr>
        <w:t xml:space="preserve"> – </w:t>
      </w:r>
      <w:r w:rsidR="00B9606D">
        <w:rPr>
          <w:rFonts w:asciiTheme="minorHAnsi" w:hAnsiTheme="minorHAnsi"/>
          <w:sz w:val="22"/>
          <w:szCs w:val="22"/>
        </w:rPr>
        <w:t>LOIX</w:t>
      </w:r>
      <w:r w:rsidRPr="00A37743">
        <w:rPr>
          <w:rFonts w:asciiTheme="minorHAnsi" w:hAnsiTheme="minorHAnsi"/>
          <w:sz w:val="22"/>
          <w:szCs w:val="22"/>
        </w:rPr>
        <w:t>-QUEX-01</w:t>
      </w:r>
      <w:r w:rsidR="00AB6D2E">
        <w:rPr>
          <w:rFonts w:asciiTheme="minorHAnsi" w:hAnsiTheme="minorHAnsi"/>
          <w:sz w:val="22"/>
          <w:szCs w:val="22"/>
        </w:rPr>
        <w:t>-B</w:t>
      </w:r>
    </w:p>
    <w:p w:rsidR="00364478" w:rsidRDefault="00364478" w:rsidP="00364478">
      <w:pPr>
        <w:pStyle w:val="ListParagraph"/>
        <w:numPr>
          <w:ilvl w:val="0"/>
          <w:numId w:val="11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Participant Internet Usage and Contact Preference Survey  - LOI2-INF-17</w:t>
      </w:r>
    </w:p>
    <w:sectPr w:rsidR="00364478" w:rsidSect="00E10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F5C" w:rsidRDefault="00025F5C" w:rsidP="00E97CB9">
      <w:r>
        <w:separator/>
      </w:r>
    </w:p>
  </w:endnote>
  <w:endnote w:type="continuationSeparator" w:id="0">
    <w:p w:rsidR="00025F5C" w:rsidRDefault="00025F5C" w:rsidP="00E9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2"/>
        <w:szCs w:val="22"/>
      </w:rPr>
      <w:id w:val="706982016"/>
      <w:docPartObj>
        <w:docPartGallery w:val="Page Numbers (Bottom of Page)"/>
        <w:docPartUnique/>
      </w:docPartObj>
    </w:sdtPr>
    <w:sdtContent>
      <w:p w:rsidR="00F617E6" w:rsidRPr="000D7E2D" w:rsidRDefault="00C63979" w:rsidP="000D7E2D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0D7E2D">
          <w:rPr>
            <w:rFonts w:asciiTheme="minorHAnsi" w:hAnsiTheme="minorHAnsi"/>
            <w:sz w:val="22"/>
            <w:szCs w:val="22"/>
          </w:rPr>
          <w:fldChar w:fldCharType="begin"/>
        </w:r>
        <w:r w:rsidR="00F617E6" w:rsidRPr="000D7E2D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0D7E2D">
          <w:rPr>
            <w:rFonts w:asciiTheme="minorHAnsi" w:hAnsiTheme="minorHAnsi"/>
            <w:sz w:val="22"/>
            <w:szCs w:val="22"/>
          </w:rPr>
          <w:fldChar w:fldCharType="separate"/>
        </w:r>
        <w:r w:rsidR="001B6EAF">
          <w:rPr>
            <w:rFonts w:asciiTheme="minorHAnsi" w:hAnsiTheme="minorHAnsi"/>
            <w:noProof/>
            <w:sz w:val="22"/>
            <w:szCs w:val="22"/>
          </w:rPr>
          <w:t>1</w:t>
        </w:r>
        <w:r w:rsidRPr="000D7E2D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F617E6" w:rsidRDefault="00F617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F5C" w:rsidRDefault="00025F5C" w:rsidP="00E97CB9">
      <w:r>
        <w:separator/>
      </w:r>
    </w:p>
  </w:footnote>
  <w:footnote w:type="continuationSeparator" w:id="0">
    <w:p w:rsidR="00025F5C" w:rsidRDefault="00025F5C" w:rsidP="00E97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37B"/>
    <w:multiLevelType w:val="hybridMultilevel"/>
    <w:tmpl w:val="FF6E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08AC"/>
    <w:multiLevelType w:val="hybridMultilevel"/>
    <w:tmpl w:val="E962076C"/>
    <w:lvl w:ilvl="0" w:tplc="8A567B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B62D1"/>
    <w:multiLevelType w:val="hybridMultilevel"/>
    <w:tmpl w:val="961A0D2E"/>
    <w:lvl w:ilvl="0" w:tplc="141A75C6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E6805"/>
    <w:multiLevelType w:val="hybridMultilevel"/>
    <w:tmpl w:val="C3A2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F6271"/>
    <w:multiLevelType w:val="hybridMultilevel"/>
    <w:tmpl w:val="1206E3C2"/>
    <w:lvl w:ilvl="0" w:tplc="7B469E6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25EA4"/>
    <w:multiLevelType w:val="hybridMultilevel"/>
    <w:tmpl w:val="40509F76"/>
    <w:lvl w:ilvl="0" w:tplc="281E687E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31D1A"/>
    <w:multiLevelType w:val="hybridMultilevel"/>
    <w:tmpl w:val="A8EE6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476A6"/>
    <w:multiLevelType w:val="hybridMultilevel"/>
    <w:tmpl w:val="670EFC32"/>
    <w:lvl w:ilvl="0" w:tplc="E9CE366E">
      <w:start w:val="1"/>
      <w:numFmt w:val="upperLetter"/>
      <w:lvlText w:val="%1.1.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D7761"/>
    <w:multiLevelType w:val="hybridMultilevel"/>
    <w:tmpl w:val="CBE23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417FB"/>
    <w:multiLevelType w:val="hybridMultilevel"/>
    <w:tmpl w:val="B4C0ACD0"/>
    <w:lvl w:ilvl="0" w:tplc="4E0A4BF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00546"/>
    <w:multiLevelType w:val="hybridMultilevel"/>
    <w:tmpl w:val="E81E55DA"/>
    <w:lvl w:ilvl="0" w:tplc="A762D9BE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47D4C"/>
    <w:multiLevelType w:val="hybridMultilevel"/>
    <w:tmpl w:val="E6AAB3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665851"/>
    <w:multiLevelType w:val="hybridMultilevel"/>
    <w:tmpl w:val="FE721BD2"/>
    <w:lvl w:ilvl="0" w:tplc="0A220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30733E"/>
    <w:multiLevelType w:val="hybridMultilevel"/>
    <w:tmpl w:val="3F0635F6"/>
    <w:lvl w:ilvl="0" w:tplc="7B68E2B8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967C9"/>
    <w:multiLevelType w:val="hybridMultilevel"/>
    <w:tmpl w:val="41C22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F36D5"/>
    <w:multiLevelType w:val="hybridMultilevel"/>
    <w:tmpl w:val="33DE3360"/>
    <w:lvl w:ilvl="0" w:tplc="0204CDA2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20660"/>
    <w:multiLevelType w:val="hybridMultilevel"/>
    <w:tmpl w:val="7782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5"/>
  </w:num>
  <w:num w:numId="5">
    <w:abstractNumId w:val="13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14"/>
  </w:num>
  <w:num w:numId="12">
    <w:abstractNumId w:val="16"/>
  </w:num>
  <w:num w:numId="13">
    <w:abstractNumId w:val="11"/>
  </w:num>
  <w:num w:numId="14">
    <w:abstractNumId w:val="8"/>
  </w:num>
  <w:num w:numId="15">
    <w:abstractNumId w:val="4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047"/>
    <w:rsid w:val="000003F0"/>
    <w:rsid w:val="0000185E"/>
    <w:rsid w:val="00014A71"/>
    <w:rsid w:val="00015447"/>
    <w:rsid w:val="00025F5C"/>
    <w:rsid w:val="00027DE0"/>
    <w:rsid w:val="00032333"/>
    <w:rsid w:val="000532FD"/>
    <w:rsid w:val="00075694"/>
    <w:rsid w:val="00083D01"/>
    <w:rsid w:val="0009060A"/>
    <w:rsid w:val="00092DBC"/>
    <w:rsid w:val="0009734F"/>
    <w:rsid w:val="000B7F51"/>
    <w:rsid w:val="000D7E2D"/>
    <w:rsid w:val="000F0428"/>
    <w:rsid w:val="000F23D5"/>
    <w:rsid w:val="00101384"/>
    <w:rsid w:val="0011180A"/>
    <w:rsid w:val="0011615C"/>
    <w:rsid w:val="00134F09"/>
    <w:rsid w:val="00150DB1"/>
    <w:rsid w:val="00196CFF"/>
    <w:rsid w:val="00196DA2"/>
    <w:rsid w:val="001B0EB0"/>
    <w:rsid w:val="001B6EAF"/>
    <w:rsid w:val="001C6F3B"/>
    <w:rsid w:val="001C73E7"/>
    <w:rsid w:val="001F6141"/>
    <w:rsid w:val="002051D0"/>
    <w:rsid w:val="00206B19"/>
    <w:rsid w:val="00207A4E"/>
    <w:rsid w:val="002107A7"/>
    <w:rsid w:val="00225C37"/>
    <w:rsid w:val="002344F9"/>
    <w:rsid w:val="00240341"/>
    <w:rsid w:val="00240EAB"/>
    <w:rsid w:val="00247352"/>
    <w:rsid w:val="002475BE"/>
    <w:rsid w:val="0025072D"/>
    <w:rsid w:val="0025588A"/>
    <w:rsid w:val="002624D0"/>
    <w:rsid w:val="002624DC"/>
    <w:rsid w:val="002678C3"/>
    <w:rsid w:val="00284B7D"/>
    <w:rsid w:val="00284EE2"/>
    <w:rsid w:val="002A444E"/>
    <w:rsid w:val="002A5176"/>
    <w:rsid w:val="002A6A82"/>
    <w:rsid w:val="002D18A3"/>
    <w:rsid w:val="002D2875"/>
    <w:rsid w:val="002D6DAF"/>
    <w:rsid w:val="002F05D4"/>
    <w:rsid w:val="002F29E2"/>
    <w:rsid w:val="002F2EDD"/>
    <w:rsid w:val="00311ACC"/>
    <w:rsid w:val="00314862"/>
    <w:rsid w:val="0034569C"/>
    <w:rsid w:val="00345FA9"/>
    <w:rsid w:val="00350203"/>
    <w:rsid w:val="00351058"/>
    <w:rsid w:val="003602C4"/>
    <w:rsid w:val="00364478"/>
    <w:rsid w:val="0037011B"/>
    <w:rsid w:val="00371354"/>
    <w:rsid w:val="00374ED9"/>
    <w:rsid w:val="003754C7"/>
    <w:rsid w:val="00382D55"/>
    <w:rsid w:val="003B633E"/>
    <w:rsid w:val="003D1914"/>
    <w:rsid w:val="003D52CE"/>
    <w:rsid w:val="003D6E60"/>
    <w:rsid w:val="003E56CC"/>
    <w:rsid w:val="003E634C"/>
    <w:rsid w:val="003E72EC"/>
    <w:rsid w:val="00401888"/>
    <w:rsid w:val="00404C64"/>
    <w:rsid w:val="00421E6E"/>
    <w:rsid w:val="004238DF"/>
    <w:rsid w:val="00434B5B"/>
    <w:rsid w:val="0045466D"/>
    <w:rsid w:val="00456B7D"/>
    <w:rsid w:val="004612C4"/>
    <w:rsid w:val="00465573"/>
    <w:rsid w:val="00470345"/>
    <w:rsid w:val="0047666C"/>
    <w:rsid w:val="00477D53"/>
    <w:rsid w:val="004A242F"/>
    <w:rsid w:val="004B0EB7"/>
    <w:rsid w:val="004B462F"/>
    <w:rsid w:val="004C1586"/>
    <w:rsid w:val="004E1493"/>
    <w:rsid w:val="004E6A4C"/>
    <w:rsid w:val="00501EC8"/>
    <w:rsid w:val="00503E2A"/>
    <w:rsid w:val="0055590B"/>
    <w:rsid w:val="00557724"/>
    <w:rsid w:val="005613BD"/>
    <w:rsid w:val="00587FB7"/>
    <w:rsid w:val="005A4FEB"/>
    <w:rsid w:val="005A592C"/>
    <w:rsid w:val="005B180A"/>
    <w:rsid w:val="005B4ABC"/>
    <w:rsid w:val="005C00BB"/>
    <w:rsid w:val="005C0EC5"/>
    <w:rsid w:val="005C2785"/>
    <w:rsid w:val="005D4999"/>
    <w:rsid w:val="005E0DE9"/>
    <w:rsid w:val="005E31D9"/>
    <w:rsid w:val="005E3E88"/>
    <w:rsid w:val="006013E1"/>
    <w:rsid w:val="00625714"/>
    <w:rsid w:val="00643855"/>
    <w:rsid w:val="00671D18"/>
    <w:rsid w:val="006762E9"/>
    <w:rsid w:val="0068481E"/>
    <w:rsid w:val="006973D0"/>
    <w:rsid w:val="006C0F93"/>
    <w:rsid w:val="006C2298"/>
    <w:rsid w:val="006D3581"/>
    <w:rsid w:val="006E0BA8"/>
    <w:rsid w:val="006E724B"/>
    <w:rsid w:val="006F1AA5"/>
    <w:rsid w:val="006F45DF"/>
    <w:rsid w:val="006F4801"/>
    <w:rsid w:val="006F7B2F"/>
    <w:rsid w:val="00704918"/>
    <w:rsid w:val="007051B0"/>
    <w:rsid w:val="00725A3F"/>
    <w:rsid w:val="0074725F"/>
    <w:rsid w:val="0074750F"/>
    <w:rsid w:val="007519D9"/>
    <w:rsid w:val="00757EF6"/>
    <w:rsid w:val="007600A4"/>
    <w:rsid w:val="00760866"/>
    <w:rsid w:val="00764084"/>
    <w:rsid w:val="0076769B"/>
    <w:rsid w:val="007A1848"/>
    <w:rsid w:val="007A475B"/>
    <w:rsid w:val="007B42C9"/>
    <w:rsid w:val="007D59C5"/>
    <w:rsid w:val="00800FB3"/>
    <w:rsid w:val="0081202E"/>
    <w:rsid w:val="008240BF"/>
    <w:rsid w:val="00856300"/>
    <w:rsid w:val="00857892"/>
    <w:rsid w:val="00881B15"/>
    <w:rsid w:val="0088366B"/>
    <w:rsid w:val="0089732E"/>
    <w:rsid w:val="008B179D"/>
    <w:rsid w:val="008B26AD"/>
    <w:rsid w:val="008C008B"/>
    <w:rsid w:val="008E2AF5"/>
    <w:rsid w:val="008F3D7C"/>
    <w:rsid w:val="0090442A"/>
    <w:rsid w:val="0091722A"/>
    <w:rsid w:val="00934D67"/>
    <w:rsid w:val="00946AA2"/>
    <w:rsid w:val="00956EA8"/>
    <w:rsid w:val="00983235"/>
    <w:rsid w:val="0099094F"/>
    <w:rsid w:val="009A2159"/>
    <w:rsid w:val="009D5823"/>
    <w:rsid w:val="009E1E7C"/>
    <w:rsid w:val="009F4EAA"/>
    <w:rsid w:val="00A1319B"/>
    <w:rsid w:val="00A14D34"/>
    <w:rsid w:val="00A32353"/>
    <w:rsid w:val="00A32F3C"/>
    <w:rsid w:val="00A3434C"/>
    <w:rsid w:val="00A37743"/>
    <w:rsid w:val="00A46788"/>
    <w:rsid w:val="00A47C3C"/>
    <w:rsid w:val="00A52625"/>
    <w:rsid w:val="00A65C2F"/>
    <w:rsid w:val="00A742DB"/>
    <w:rsid w:val="00A802EE"/>
    <w:rsid w:val="00A85659"/>
    <w:rsid w:val="00AB274E"/>
    <w:rsid w:val="00AB2CBE"/>
    <w:rsid w:val="00AB6D2E"/>
    <w:rsid w:val="00AD4AEA"/>
    <w:rsid w:val="00AD5CFC"/>
    <w:rsid w:val="00AD694D"/>
    <w:rsid w:val="00B12D8B"/>
    <w:rsid w:val="00B14737"/>
    <w:rsid w:val="00B214FE"/>
    <w:rsid w:val="00B33F67"/>
    <w:rsid w:val="00B361E2"/>
    <w:rsid w:val="00B4643D"/>
    <w:rsid w:val="00B619AF"/>
    <w:rsid w:val="00B621D6"/>
    <w:rsid w:val="00B74F91"/>
    <w:rsid w:val="00B81ED4"/>
    <w:rsid w:val="00B9606D"/>
    <w:rsid w:val="00B96AA3"/>
    <w:rsid w:val="00B97334"/>
    <w:rsid w:val="00BB453A"/>
    <w:rsid w:val="00BC4A93"/>
    <w:rsid w:val="00BE26E3"/>
    <w:rsid w:val="00C0590C"/>
    <w:rsid w:val="00C10326"/>
    <w:rsid w:val="00C1604C"/>
    <w:rsid w:val="00C16714"/>
    <w:rsid w:val="00C17156"/>
    <w:rsid w:val="00C226CA"/>
    <w:rsid w:val="00C302B0"/>
    <w:rsid w:val="00C30E86"/>
    <w:rsid w:val="00C63979"/>
    <w:rsid w:val="00C7098B"/>
    <w:rsid w:val="00C8055D"/>
    <w:rsid w:val="00C821A3"/>
    <w:rsid w:val="00C86B26"/>
    <w:rsid w:val="00C90C9F"/>
    <w:rsid w:val="00CB0773"/>
    <w:rsid w:val="00CC611D"/>
    <w:rsid w:val="00D4504E"/>
    <w:rsid w:val="00D54F6D"/>
    <w:rsid w:val="00D731D6"/>
    <w:rsid w:val="00D876BD"/>
    <w:rsid w:val="00D87777"/>
    <w:rsid w:val="00D913C2"/>
    <w:rsid w:val="00D92F76"/>
    <w:rsid w:val="00DA0E83"/>
    <w:rsid w:val="00DB6C96"/>
    <w:rsid w:val="00DC6A21"/>
    <w:rsid w:val="00E1068C"/>
    <w:rsid w:val="00E156C6"/>
    <w:rsid w:val="00E22E2D"/>
    <w:rsid w:val="00E57574"/>
    <w:rsid w:val="00E728E1"/>
    <w:rsid w:val="00E82BCF"/>
    <w:rsid w:val="00E93B2B"/>
    <w:rsid w:val="00E97CB9"/>
    <w:rsid w:val="00EA18EC"/>
    <w:rsid w:val="00EA600C"/>
    <w:rsid w:val="00ED07DE"/>
    <w:rsid w:val="00EE7FEA"/>
    <w:rsid w:val="00EF31D9"/>
    <w:rsid w:val="00EF7BEB"/>
    <w:rsid w:val="00F00BD6"/>
    <w:rsid w:val="00F10890"/>
    <w:rsid w:val="00F23269"/>
    <w:rsid w:val="00F24EFC"/>
    <w:rsid w:val="00F25A6A"/>
    <w:rsid w:val="00F278D9"/>
    <w:rsid w:val="00F33266"/>
    <w:rsid w:val="00F617E6"/>
    <w:rsid w:val="00F65E9C"/>
    <w:rsid w:val="00F67047"/>
    <w:rsid w:val="00F93901"/>
    <w:rsid w:val="00FB3D11"/>
    <w:rsid w:val="00FB62FA"/>
    <w:rsid w:val="00FC4944"/>
    <w:rsid w:val="00FD0361"/>
    <w:rsid w:val="00FD28E8"/>
    <w:rsid w:val="00FD602B"/>
    <w:rsid w:val="00FF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47"/>
    <w:pPr>
      <w:spacing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694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047"/>
    <w:pPr>
      <w:ind w:left="720"/>
      <w:contextualSpacing/>
    </w:pPr>
  </w:style>
  <w:style w:type="paragraph" w:customStyle="1" w:styleId="Default">
    <w:name w:val="Default"/>
    <w:uiPriority w:val="99"/>
    <w:rsid w:val="00F6704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67047"/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67047"/>
    <w:rPr>
      <w:rFonts w:ascii="Courier New" w:eastAsia="Times New Roman" w:hAnsi="Courier New" w:cs="Times New Roman"/>
      <w:sz w:val="20"/>
      <w:szCs w:val="20"/>
    </w:rPr>
  </w:style>
  <w:style w:type="paragraph" w:customStyle="1" w:styleId="Pa6">
    <w:name w:val="Pa6"/>
    <w:basedOn w:val="Default"/>
    <w:next w:val="Default"/>
    <w:rsid w:val="00F67047"/>
    <w:pPr>
      <w:widowControl w:val="0"/>
      <w:spacing w:after="80" w:line="321" w:lineRule="atLeast"/>
    </w:pPr>
    <w:rPr>
      <w:rFonts w:ascii="GillSans Light" w:eastAsia="Batang" w:hAnsi="GillSans Light"/>
      <w:color w:val="auto"/>
      <w:lang w:eastAsia="ko-KR"/>
    </w:rPr>
  </w:style>
  <w:style w:type="paragraph" w:customStyle="1" w:styleId="Pa8">
    <w:name w:val="Pa8"/>
    <w:basedOn w:val="Default"/>
    <w:next w:val="Default"/>
    <w:rsid w:val="00F67047"/>
    <w:pPr>
      <w:widowControl w:val="0"/>
      <w:spacing w:after="180" w:line="241" w:lineRule="atLeast"/>
    </w:pPr>
    <w:rPr>
      <w:rFonts w:ascii="GillSans Light" w:eastAsia="Batang" w:hAnsi="GillSans Light"/>
      <w:color w:val="auto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E97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CB9"/>
    <w:rPr>
      <w:rFonts w:ascii="Times New Roman" w:eastAsia="Time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7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CB9"/>
    <w:rPr>
      <w:rFonts w:ascii="Times New Roman" w:eastAsia="Times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B9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2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269"/>
    <w:rPr>
      <w:rFonts w:ascii="Times New Roman" w:eastAsia="Times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26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rsid w:val="00AD694D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A6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</dc:creator>
  <cp:keywords/>
  <dc:description/>
  <cp:lastModifiedBy>curriem</cp:lastModifiedBy>
  <cp:revision>2</cp:revision>
  <cp:lastPrinted>2011-04-19T20:13:00Z</cp:lastPrinted>
  <dcterms:created xsi:type="dcterms:W3CDTF">2011-05-11T18:18:00Z</dcterms:created>
  <dcterms:modified xsi:type="dcterms:W3CDTF">2011-05-11T18:18:00Z</dcterms:modified>
</cp:coreProperties>
</file>