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F33" w:rsidRPr="002F4CAD" w:rsidRDefault="00464F33" w:rsidP="00464F33">
      <w:pPr>
        <w:jc w:val="center"/>
        <w:rPr>
          <w:b/>
        </w:rPr>
      </w:pPr>
      <w:r>
        <w:rPr>
          <w:b/>
        </w:rPr>
        <w:t>Q</w:t>
      </w:r>
      <w:r w:rsidRPr="002F4CAD">
        <w:rPr>
          <w:b/>
        </w:rPr>
        <w:t xml:space="preserve">uantitative Survey </w:t>
      </w:r>
      <w:r>
        <w:rPr>
          <w:b/>
        </w:rPr>
        <w:t>of</w:t>
      </w:r>
      <w:r w:rsidRPr="002F4CAD">
        <w:rPr>
          <w:b/>
        </w:rPr>
        <w:t xml:space="preserve"> Physician Practices</w:t>
      </w:r>
      <w:r>
        <w:rPr>
          <w:b/>
        </w:rPr>
        <w:t xml:space="preserve"> in Laboratory Test Ordering and Interpretation</w:t>
      </w:r>
    </w:p>
    <w:p w:rsidR="00464F33" w:rsidRDefault="00464F33" w:rsidP="00464F33">
      <w:pPr>
        <w:ind w:left="1440" w:hanging="1440"/>
        <w:jc w:val="center"/>
        <w:rPr>
          <w:b/>
        </w:rPr>
      </w:pPr>
    </w:p>
    <w:p w:rsidR="00464F33" w:rsidRDefault="00464F33" w:rsidP="00464F33">
      <w:pPr>
        <w:ind w:left="1440" w:hanging="1440"/>
        <w:jc w:val="center"/>
        <w:rPr>
          <w:b/>
          <w:i/>
        </w:rPr>
      </w:pPr>
      <w:r w:rsidRPr="002F4CAD">
        <w:rPr>
          <w:b/>
          <w:i/>
        </w:rPr>
        <w:t>Request for Approval of New Data Collection</w:t>
      </w:r>
    </w:p>
    <w:p w:rsidR="00B4697E" w:rsidRPr="002F4CAD" w:rsidRDefault="00B4697E" w:rsidP="00464F33">
      <w:pPr>
        <w:ind w:left="1440" w:hanging="1440"/>
        <w:jc w:val="center"/>
        <w:rPr>
          <w:b/>
          <w:i/>
        </w:rPr>
      </w:pPr>
      <w:r>
        <w:rPr>
          <w:b/>
          <w:i/>
        </w:rPr>
        <w:t>Supporting Statement A</w:t>
      </w:r>
    </w:p>
    <w:p w:rsidR="00464F33" w:rsidRDefault="00464F33" w:rsidP="00464F33">
      <w:pPr>
        <w:ind w:left="1440" w:hanging="1440"/>
        <w:jc w:val="center"/>
        <w:rPr>
          <w:b/>
        </w:rPr>
      </w:pPr>
    </w:p>
    <w:p w:rsidR="00464F33" w:rsidRPr="0087205F" w:rsidRDefault="0029079C" w:rsidP="00464F33">
      <w:pPr>
        <w:ind w:left="1440" w:hanging="1440"/>
        <w:jc w:val="center"/>
        <w:rPr>
          <w:b/>
        </w:rPr>
      </w:pPr>
      <w:r>
        <w:rPr>
          <w:b/>
        </w:rPr>
        <w:t>July 21</w:t>
      </w:r>
      <w:r w:rsidR="00B4697E">
        <w:rPr>
          <w:b/>
        </w:rPr>
        <w:t>,</w:t>
      </w:r>
      <w:r w:rsidR="007620E1">
        <w:rPr>
          <w:b/>
        </w:rPr>
        <w:t xml:space="preserve"> 2011</w:t>
      </w:r>
    </w:p>
    <w:p w:rsidR="00464F33" w:rsidRDefault="00464F33" w:rsidP="00464F33">
      <w:pPr>
        <w:ind w:left="1440" w:hanging="1440"/>
        <w:rPr>
          <w:b/>
        </w:rPr>
      </w:pPr>
    </w:p>
    <w:p w:rsidR="00464F33" w:rsidRDefault="00464F33" w:rsidP="00464F33">
      <w:pPr>
        <w:ind w:left="1440" w:hanging="1440"/>
        <w:rPr>
          <w:b/>
        </w:rPr>
      </w:pPr>
    </w:p>
    <w:p w:rsidR="00464F33" w:rsidRDefault="00464F33" w:rsidP="00464F33">
      <w:pPr>
        <w:ind w:left="1440" w:hanging="1440"/>
        <w:rPr>
          <w:b/>
        </w:rPr>
      </w:pPr>
    </w:p>
    <w:p w:rsidR="00464F33" w:rsidRDefault="00464F33" w:rsidP="00464F33">
      <w:pPr>
        <w:ind w:left="1440" w:hanging="1440"/>
        <w:rPr>
          <w:b/>
        </w:rPr>
      </w:pPr>
    </w:p>
    <w:p w:rsidR="00464F33" w:rsidRDefault="00464F33" w:rsidP="00464F33">
      <w:pPr>
        <w:ind w:left="1440" w:hanging="1440"/>
        <w:rPr>
          <w:b/>
        </w:rPr>
      </w:pPr>
    </w:p>
    <w:p w:rsidR="00464F33" w:rsidRDefault="00464F33" w:rsidP="00464F33">
      <w:pPr>
        <w:ind w:left="1440" w:hanging="1440"/>
        <w:rPr>
          <w:b/>
        </w:rPr>
      </w:pPr>
    </w:p>
    <w:p w:rsidR="00464F33" w:rsidRDefault="00464F33" w:rsidP="00464F33">
      <w:pPr>
        <w:ind w:left="1440" w:hanging="1440"/>
        <w:outlineLvl w:val="0"/>
        <w:rPr>
          <w:b/>
        </w:rPr>
      </w:pPr>
      <w:r w:rsidRPr="003F70F9">
        <w:rPr>
          <w:b/>
        </w:rPr>
        <w:t>Contact:</w:t>
      </w:r>
    </w:p>
    <w:p w:rsidR="00464F33" w:rsidRPr="00DD0E4E" w:rsidRDefault="00464F33" w:rsidP="00464F33">
      <w:pPr>
        <w:outlineLvl w:val="0"/>
        <w:rPr>
          <w:b/>
        </w:rPr>
      </w:pPr>
      <w:r>
        <w:rPr>
          <w:b/>
        </w:rPr>
        <w:t>Julie Taylor</w:t>
      </w:r>
    </w:p>
    <w:p w:rsidR="00464F33" w:rsidRPr="00DD0E4E" w:rsidRDefault="00464F33" w:rsidP="00464F33">
      <w:pPr>
        <w:outlineLvl w:val="0"/>
        <w:rPr>
          <w:b/>
        </w:rPr>
      </w:pPr>
      <w:r w:rsidRPr="00DD0E4E">
        <w:rPr>
          <w:b/>
        </w:rPr>
        <w:t>Division of Laboratory Science and Standards</w:t>
      </w:r>
    </w:p>
    <w:p w:rsidR="00464F33" w:rsidRDefault="00464F33" w:rsidP="00464F33">
      <w:pPr>
        <w:outlineLvl w:val="0"/>
        <w:rPr>
          <w:b/>
        </w:rPr>
      </w:pPr>
      <w:bookmarkStart w:id="0" w:name="OLE_LINK1"/>
      <w:r w:rsidRPr="00DD0E4E">
        <w:rPr>
          <w:b/>
        </w:rPr>
        <w:t xml:space="preserve">Laboratory Science, Policy, &amp; Practice Program Office </w:t>
      </w:r>
    </w:p>
    <w:bookmarkEnd w:id="0"/>
    <w:p w:rsidR="00464F33" w:rsidRDefault="00464F33" w:rsidP="00464F33">
      <w:pPr>
        <w:outlineLvl w:val="0"/>
        <w:rPr>
          <w:b/>
        </w:rPr>
      </w:pPr>
      <w:r>
        <w:rPr>
          <w:b/>
        </w:rPr>
        <w:t>Centers for Disease Control and Prevention</w:t>
      </w:r>
    </w:p>
    <w:p w:rsidR="00464F33" w:rsidRDefault="00464F33" w:rsidP="00464F33">
      <w:pPr>
        <w:outlineLvl w:val="0"/>
        <w:rPr>
          <w:b/>
        </w:rPr>
      </w:pPr>
      <w:r>
        <w:rPr>
          <w:b/>
        </w:rPr>
        <w:t>1600 Clifton Rd. USPS</w:t>
      </w:r>
    </w:p>
    <w:p w:rsidR="00464F33" w:rsidRDefault="00464F33" w:rsidP="00464F33">
      <w:pPr>
        <w:outlineLvl w:val="0"/>
        <w:rPr>
          <w:b/>
        </w:rPr>
      </w:pPr>
      <w:r w:rsidRPr="00DD0E4E">
        <w:rPr>
          <w:b/>
        </w:rPr>
        <w:t>MS G25</w:t>
      </w:r>
    </w:p>
    <w:p w:rsidR="00464F33" w:rsidRDefault="00464F33" w:rsidP="00464F33">
      <w:pPr>
        <w:outlineLvl w:val="0"/>
        <w:rPr>
          <w:b/>
        </w:rPr>
      </w:pPr>
      <w:r>
        <w:rPr>
          <w:b/>
        </w:rPr>
        <w:t>Atlanta, Georgia 30333</w:t>
      </w:r>
    </w:p>
    <w:p w:rsidR="00464F33" w:rsidRDefault="00464F33" w:rsidP="00464F33">
      <w:pPr>
        <w:outlineLvl w:val="0"/>
        <w:rPr>
          <w:b/>
        </w:rPr>
      </w:pPr>
      <w:r>
        <w:rPr>
          <w:b/>
        </w:rPr>
        <w:t>Phone: 404.</w:t>
      </w:r>
      <w:r w:rsidRPr="00DD0E4E">
        <w:rPr>
          <w:b/>
        </w:rPr>
        <w:t>4</w:t>
      </w:r>
      <w:r>
        <w:rPr>
          <w:b/>
        </w:rPr>
        <w:t>98.</w:t>
      </w:r>
      <w:r w:rsidRPr="00DD0E4E">
        <w:rPr>
          <w:b/>
        </w:rPr>
        <w:t>2291</w:t>
      </w:r>
    </w:p>
    <w:p w:rsidR="00464F33" w:rsidRDefault="00464F33" w:rsidP="00464F33">
      <w:pPr>
        <w:outlineLvl w:val="0"/>
        <w:rPr>
          <w:b/>
        </w:rPr>
      </w:pPr>
      <w:r>
        <w:rPr>
          <w:b/>
        </w:rPr>
        <w:t>Fax</w:t>
      </w:r>
      <w:r w:rsidR="00B4697E" w:rsidRPr="00B4697E">
        <w:rPr>
          <w:b/>
        </w:rPr>
        <w:t>: 404.498.2219</w:t>
      </w:r>
    </w:p>
    <w:p w:rsidR="00464F33" w:rsidRDefault="00464F33" w:rsidP="00464F33">
      <w:pPr>
        <w:outlineLvl w:val="0"/>
        <w:rPr>
          <w:b/>
        </w:rPr>
      </w:pPr>
      <w:r>
        <w:rPr>
          <w:b/>
        </w:rPr>
        <w:t xml:space="preserve">Email: </w:t>
      </w:r>
      <w:hyperlink r:id="rId7" w:history="1">
        <w:r w:rsidRPr="00DC64B0">
          <w:rPr>
            <w:rStyle w:val="Hyperlink"/>
            <w:b/>
          </w:rPr>
          <w:t>czt7@cdc.gov</w:t>
        </w:r>
      </w:hyperlink>
      <w:r>
        <w:rPr>
          <w:b/>
        </w:rPr>
        <w:t xml:space="preserve"> </w:t>
      </w:r>
    </w:p>
    <w:p w:rsidR="00464F33" w:rsidRDefault="00464F33" w:rsidP="00464F33">
      <w:pPr>
        <w:ind w:left="1440" w:hanging="1440"/>
        <w:outlineLvl w:val="0"/>
      </w:pPr>
      <w:r>
        <w:t xml:space="preserve"> </w:t>
      </w:r>
      <w:r>
        <w:tab/>
      </w:r>
    </w:p>
    <w:p w:rsidR="00464F33" w:rsidRDefault="00464F33" w:rsidP="00464F33">
      <w:r>
        <w:br w:type="page"/>
      </w:r>
    </w:p>
    <w:p w:rsidR="00464F33" w:rsidRDefault="00464F33" w:rsidP="00464F33">
      <w:pPr>
        <w:jc w:val="center"/>
        <w:rPr>
          <w:b/>
        </w:rPr>
      </w:pPr>
      <w:r>
        <w:rPr>
          <w:b/>
        </w:rPr>
        <w:lastRenderedPageBreak/>
        <w:t>Q</w:t>
      </w:r>
      <w:r w:rsidRPr="002F4CAD">
        <w:rPr>
          <w:b/>
        </w:rPr>
        <w:t xml:space="preserve">uantitative Survey </w:t>
      </w:r>
      <w:r>
        <w:rPr>
          <w:b/>
        </w:rPr>
        <w:t>of</w:t>
      </w:r>
      <w:r w:rsidRPr="002F4CAD">
        <w:rPr>
          <w:b/>
        </w:rPr>
        <w:t xml:space="preserve"> Physician Practices</w:t>
      </w:r>
      <w:r>
        <w:rPr>
          <w:b/>
        </w:rPr>
        <w:t xml:space="preserve"> in Laboratory Test Ordering and Interpretation </w:t>
      </w:r>
    </w:p>
    <w:p w:rsidR="00464F33" w:rsidRPr="002F4CAD" w:rsidRDefault="00464F33" w:rsidP="00464F33">
      <w:pPr>
        <w:jc w:val="center"/>
        <w:rPr>
          <w:b/>
          <w:i/>
        </w:rPr>
      </w:pPr>
      <w:r w:rsidRPr="002F4CAD">
        <w:rPr>
          <w:b/>
          <w:i/>
        </w:rPr>
        <w:t>Request for Approval of New Data Collection</w:t>
      </w:r>
    </w:p>
    <w:p w:rsidR="00464F33" w:rsidRDefault="00464F33" w:rsidP="00464F33">
      <w:pPr>
        <w:ind w:left="1440" w:hanging="1440"/>
        <w:jc w:val="center"/>
        <w:rPr>
          <w:b/>
        </w:rPr>
      </w:pPr>
    </w:p>
    <w:p w:rsidR="00464F33" w:rsidRPr="00EE7469" w:rsidRDefault="00464F33" w:rsidP="00464F33">
      <w:r>
        <w:t xml:space="preserve">This is a request for OMB approval of a new data collection, </w:t>
      </w:r>
      <w:r w:rsidRPr="002D1B4A">
        <w:t>Quantitative Survey of Physician Practices in Laboratory Test Ordering and Interpretation</w:t>
      </w:r>
      <w:r w:rsidR="00732A65">
        <w:t xml:space="preserve">. </w:t>
      </w:r>
      <w:r>
        <w:t xml:space="preserve">CDC is requesting a </w:t>
      </w:r>
      <w:r w:rsidR="009E5697">
        <w:t>twelve month</w:t>
      </w:r>
      <w:r>
        <w:t xml:space="preserve"> approval to collect the data.</w:t>
      </w:r>
    </w:p>
    <w:p w:rsidR="00464F33" w:rsidRPr="00EE7469" w:rsidRDefault="00464F33" w:rsidP="00464F33">
      <w:pPr>
        <w:rPr>
          <w:b/>
          <w:u w:val="single"/>
        </w:rPr>
      </w:pPr>
    </w:p>
    <w:p w:rsidR="00464F33" w:rsidRDefault="00464F33" w:rsidP="00464F33">
      <w:pPr>
        <w:rPr>
          <w:b/>
          <w:u w:val="single"/>
        </w:rPr>
      </w:pPr>
      <w:bookmarkStart w:id="1" w:name="OLE_LINK2"/>
      <w:r>
        <w:rPr>
          <w:b/>
          <w:u w:val="single"/>
        </w:rPr>
        <w:t xml:space="preserve">A.  </w:t>
      </w:r>
      <w:r w:rsidRPr="00544C10">
        <w:rPr>
          <w:b/>
          <w:u w:val="single"/>
        </w:rPr>
        <w:t>Justification</w:t>
      </w:r>
      <w:bookmarkEnd w:id="1"/>
    </w:p>
    <w:p w:rsidR="00464F33" w:rsidRDefault="00464F33" w:rsidP="00464F33">
      <w:pPr>
        <w:rPr>
          <w:b/>
        </w:rPr>
      </w:pPr>
    </w:p>
    <w:p w:rsidR="00464F33" w:rsidRDefault="00464F33" w:rsidP="00464F33">
      <w:pPr>
        <w:rPr>
          <w:b/>
        </w:rPr>
      </w:pPr>
      <w:r w:rsidRPr="006712F9">
        <w:rPr>
          <w:b/>
        </w:rPr>
        <w:t>1.</w:t>
      </w:r>
      <w:r>
        <w:rPr>
          <w:b/>
        </w:rPr>
        <w:t xml:space="preserve">  </w:t>
      </w:r>
      <w:r w:rsidRPr="006712F9">
        <w:rPr>
          <w:b/>
        </w:rPr>
        <w:t>Circumstances Making the Collection of Information Necessary</w:t>
      </w:r>
    </w:p>
    <w:p w:rsidR="0074257B" w:rsidRDefault="0074257B" w:rsidP="00464F33">
      <w:pPr>
        <w:rPr>
          <w:b/>
        </w:rPr>
      </w:pPr>
    </w:p>
    <w:p w:rsidR="0074257B" w:rsidRPr="004F2001" w:rsidRDefault="0074257B" w:rsidP="0074257B">
      <w:r>
        <w:rPr>
          <w:u w:val="single"/>
        </w:rPr>
        <w:t>Background</w:t>
      </w:r>
    </w:p>
    <w:p w:rsidR="0074257B" w:rsidRDefault="0074257B" w:rsidP="00464F33">
      <w:pPr>
        <w:rPr>
          <w:b/>
        </w:rPr>
      </w:pPr>
    </w:p>
    <w:p w:rsidR="00464F33" w:rsidRPr="004A0DF0" w:rsidRDefault="00464F33" w:rsidP="00464F33">
      <w:r>
        <w:t xml:space="preserve">The effective use of laboratory testing is an important component of the diagnostic process within physician practices.  The field of laboratory medicine is undergoing rapid change with the continuing introduction of new tests, increased focus on evidence-based medicine, the deployment of Electronic Health Records, and the wide availability to physicians of electronic information resources, interactive diagnostic tools, and computerized order entry systems.  To date, there has been no systematic study investigating how this rapid evolution in laboratory medicine is affecting primary care practice and if physicians are effectively incorporating laboratory testing innovations into their day-to-day practices.   This proposed survey </w:t>
      </w:r>
      <w:r w:rsidR="00BD4060">
        <w:t xml:space="preserve">(Attachment C) </w:t>
      </w:r>
      <w:r>
        <w:t xml:space="preserve">follows a series of </w:t>
      </w:r>
      <w:r w:rsidR="00055659">
        <w:t xml:space="preserve">three </w:t>
      </w:r>
      <w:r>
        <w:t>qualitative focus groups</w:t>
      </w:r>
      <w:r w:rsidR="00702087">
        <w:t xml:space="preserve"> involving nine or fewer</w:t>
      </w:r>
      <w:r>
        <w:t xml:space="preserve"> primary care physicians</w:t>
      </w:r>
      <w:r w:rsidR="00702087">
        <w:t>: one concerning test ordering, one concerning communication with the lab and one concerning test interpretation</w:t>
      </w:r>
      <w:r>
        <w:t xml:space="preserve">.  This survey will quantify the prevalence and impact of the issues identified within the focus groups.   Understanding the relative importance of physician issues in the effective and efficient use of laboratory medicine in diagnosis will guide future efforts of the CDC to improve primary care practice and improve health outcomes of the American public. </w:t>
      </w:r>
    </w:p>
    <w:p w:rsidR="00464F33" w:rsidRDefault="00464F33" w:rsidP="00464F33">
      <w:pPr>
        <w:ind w:firstLine="720"/>
      </w:pPr>
    </w:p>
    <w:p w:rsidR="00464F33" w:rsidRPr="004F2001" w:rsidRDefault="00464F33" w:rsidP="00464F33">
      <w:r w:rsidRPr="00B54544">
        <w:rPr>
          <w:u w:val="single"/>
        </w:rPr>
        <w:t>Privacy Impact Assessment</w:t>
      </w:r>
    </w:p>
    <w:p w:rsidR="00464F33" w:rsidRDefault="00464F33" w:rsidP="00464F33">
      <w:pPr>
        <w:rPr>
          <w:i/>
        </w:rPr>
      </w:pPr>
    </w:p>
    <w:p w:rsidR="00464F33" w:rsidRPr="00B54544" w:rsidRDefault="00464F33" w:rsidP="00464F33">
      <w:pPr>
        <w:rPr>
          <w:i/>
        </w:rPr>
      </w:pPr>
      <w:r w:rsidRPr="00B54544">
        <w:rPr>
          <w:i/>
        </w:rPr>
        <w:t>Overview of the Data Collection System</w:t>
      </w:r>
    </w:p>
    <w:p w:rsidR="00464F33" w:rsidRDefault="00464F33" w:rsidP="00464F33">
      <w:r>
        <w:t>The survey</w:t>
      </w:r>
      <w:r w:rsidR="00BD4060">
        <w:t xml:space="preserve"> </w:t>
      </w:r>
      <w:r>
        <w:t xml:space="preserve">will be administered to physician respondents using a Web-based survey system administered by Altarum Institute, a non-profit health systems research organization.   The Web-based survey system uses a standard commercial software package from the Datstat </w:t>
      </w:r>
      <w:proofErr w:type="gramStart"/>
      <w:r>
        <w:t>company</w:t>
      </w:r>
      <w:proofErr w:type="gramEnd"/>
      <w:r>
        <w:t>; this system is widely used by survey researchers and includes extensive confidentiality protections.   Physicians will receive an emailed message</w:t>
      </w:r>
      <w:r w:rsidR="00702087">
        <w:t xml:space="preserve"> (Attachment E)</w:t>
      </w:r>
      <w:r>
        <w:t xml:space="preserve"> explaining the purpose of the research and containing a link to the Web survey site.   The Web-based survey system generates an internal and anonymous identifier that is used to track responses to the survey request, and up to three subsequent emailed reminders </w:t>
      </w:r>
      <w:r w:rsidR="00270B27">
        <w:t xml:space="preserve">(Attachment </w:t>
      </w:r>
      <w:r w:rsidR="001C3D18">
        <w:t>E</w:t>
      </w:r>
      <w:r w:rsidR="00270B27">
        <w:t xml:space="preserve">) </w:t>
      </w:r>
      <w:r>
        <w:t xml:space="preserve">are sent to non-responders.  The identifier is internal to the survey system and is not exported with the completed data, thus protecting the anonymity of respondents.  The Web-based survey site is designed to be visually appealing, easy to navigate, and is fully compliant with Section 508 of the Rehabilitation Act. </w:t>
      </w:r>
    </w:p>
    <w:p w:rsidR="00464F33" w:rsidRPr="008D4FB3" w:rsidRDefault="00464F33" w:rsidP="00464F33"/>
    <w:p w:rsidR="00464F33" w:rsidRPr="00B54544" w:rsidRDefault="00464F33" w:rsidP="00464F33">
      <w:pPr>
        <w:rPr>
          <w:i/>
        </w:rPr>
      </w:pPr>
      <w:r w:rsidRPr="00B54544">
        <w:rPr>
          <w:i/>
        </w:rPr>
        <w:lastRenderedPageBreak/>
        <w:t>Items of Information to be Collected</w:t>
      </w:r>
    </w:p>
    <w:p w:rsidR="00464F33" w:rsidRPr="00B54544" w:rsidRDefault="00464F33" w:rsidP="00464F33">
      <w:r>
        <w:t xml:space="preserve">The information collected will be survey responses to a questionnaire </w:t>
      </w:r>
      <w:r w:rsidR="00270B27">
        <w:t xml:space="preserve">(Attachment C) </w:t>
      </w:r>
      <w:r>
        <w:t xml:space="preserve">with topics related to physician laboratory interaction and utilization.  Basic physician demographic characteristics will be collected including </w:t>
      </w:r>
      <w:r w:rsidR="00660AB2" w:rsidRPr="00660AB2">
        <w:t>year of birth, gender, years in practice, physician specialty, professional memberships, practice size and practice setting</w:t>
      </w:r>
      <w:r w:rsidRPr="00270B27">
        <w:t>.</w:t>
      </w:r>
      <w:r>
        <w:t xml:space="preserve">  Other practice-related questions will include number and type of patients seen weekly.  The majority of the questions request information about physician decision making processes involved in test ordering and interpretation.  No sensitive information or personal health information is requested at any point in the survey.</w:t>
      </w:r>
    </w:p>
    <w:p w:rsidR="00464F33" w:rsidRPr="00B54544" w:rsidRDefault="00464F33" w:rsidP="00464F33"/>
    <w:p w:rsidR="00464F33" w:rsidRPr="004363EF" w:rsidRDefault="00464F33" w:rsidP="00464F33">
      <w:pPr>
        <w:rPr>
          <w:i/>
        </w:rPr>
      </w:pPr>
      <w:r w:rsidRPr="00B54544">
        <w:rPr>
          <w:i/>
        </w:rPr>
        <w:t xml:space="preserve">Identification of Website(s) and Website Content Directed at Children </w:t>
      </w:r>
      <w:proofErr w:type="gramStart"/>
      <w:r w:rsidRPr="00B54544">
        <w:rPr>
          <w:i/>
        </w:rPr>
        <w:t>Under</w:t>
      </w:r>
      <w:proofErr w:type="gramEnd"/>
      <w:r w:rsidRPr="00B54544">
        <w:rPr>
          <w:i/>
        </w:rPr>
        <w:t xml:space="preserve"> 13 Years of Age</w:t>
      </w:r>
      <w:r>
        <w:t xml:space="preserve"> The information c</w:t>
      </w:r>
      <w:r w:rsidRPr="00B54544">
        <w:t>ollection will not involve a website with content directed at children less than 13 years of age.</w:t>
      </w:r>
    </w:p>
    <w:p w:rsidR="00464F33" w:rsidRDefault="00464F33" w:rsidP="00464F33"/>
    <w:p w:rsidR="00464F33" w:rsidRPr="00FD343E" w:rsidRDefault="00464F33" w:rsidP="00464F33">
      <w:pPr>
        <w:rPr>
          <w:b/>
        </w:rPr>
      </w:pPr>
      <w:r>
        <w:rPr>
          <w:b/>
        </w:rPr>
        <w:t xml:space="preserve">2.  </w:t>
      </w:r>
      <w:r w:rsidRPr="00245111">
        <w:rPr>
          <w:b/>
        </w:rPr>
        <w:t>Purpose and Use of Information Collection</w:t>
      </w:r>
    </w:p>
    <w:p w:rsidR="00C17E3B" w:rsidRDefault="00C17E3B" w:rsidP="00464F33">
      <w:pPr>
        <w:rPr>
          <w:color w:val="000000"/>
        </w:rPr>
      </w:pPr>
    </w:p>
    <w:p w:rsidR="00164B60" w:rsidRPr="00121CE7" w:rsidRDefault="00164B60" w:rsidP="00164B60">
      <w:r w:rsidRPr="00121CE7">
        <w:t>The purpose of this information collection is to begin to acquire data on the extent and severity of issues that physicians face with clinical laboratory testing including the selection of appropriate laboratory tests and interpretation of test results. The findings of the survey will be used both to inform further interventions and studies into clinical laboratory utilization as well as raise awareness with publications, presentations, and other outreach among the physician community to improve laboratory test selection, test result interpretation, and patient care.</w:t>
      </w:r>
    </w:p>
    <w:p w:rsidR="00311B04" w:rsidRPr="00121CE7" w:rsidRDefault="00311B04" w:rsidP="00464F33">
      <w:pPr>
        <w:rPr>
          <w:u w:val="single"/>
        </w:rPr>
      </w:pPr>
    </w:p>
    <w:p w:rsidR="00464F33" w:rsidRDefault="00464F33" w:rsidP="00464F33">
      <w:pPr>
        <w:rPr>
          <w:color w:val="000000"/>
          <w:u w:val="single"/>
        </w:rPr>
      </w:pPr>
      <w:r w:rsidRPr="00246B21">
        <w:rPr>
          <w:color w:val="000000"/>
          <w:u w:val="single"/>
        </w:rPr>
        <w:t>Privacy Impact Assessment</w:t>
      </w:r>
    </w:p>
    <w:p w:rsidR="0074257B" w:rsidRDefault="0074257B" w:rsidP="00464F33">
      <w:pPr>
        <w:rPr>
          <w:color w:val="000000"/>
          <w:u w:val="single"/>
        </w:rPr>
      </w:pPr>
    </w:p>
    <w:p w:rsidR="00464F33" w:rsidRPr="003A622B" w:rsidRDefault="00464F33" w:rsidP="00464F33">
      <w:pPr>
        <w:rPr>
          <w:color w:val="000000"/>
        </w:rPr>
      </w:pPr>
      <w:r>
        <w:rPr>
          <w:color w:val="000000"/>
        </w:rPr>
        <w:t xml:space="preserve">During the data collection process, respondent information will be kept </w:t>
      </w:r>
      <w:r w:rsidR="00667194">
        <w:rPr>
          <w:color w:val="000000"/>
        </w:rPr>
        <w:t>secure</w:t>
      </w:r>
      <w:r>
        <w:rPr>
          <w:color w:val="000000"/>
        </w:rPr>
        <w:t xml:space="preserve">.  </w:t>
      </w:r>
      <w:r w:rsidR="003B5EE7">
        <w:rPr>
          <w:color w:val="000000"/>
        </w:rPr>
        <w:t>No IIF is being collected from respondents</w:t>
      </w:r>
      <w:r>
        <w:rPr>
          <w:color w:val="000000"/>
        </w:rPr>
        <w:t xml:space="preserve">. The survey does not ask for any information related to individual patients.  The survey primarily asks for information regarding physician’s work and interaction with laboratories.  Survey responses will be submitted via a Web-based survey system, and neither the survey operations staff nor subsequent data analysts will have access to the identities of the respondents.  No patient </w:t>
      </w:r>
      <w:proofErr w:type="gramStart"/>
      <w:r>
        <w:rPr>
          <w:color w:val="000000"/>
        </w:rPr>
        <w:t>nor</w:t>
      </w:r>
      <w:proofErr w:type="gramEnd"/>
      <w:r>
        <w:rPr>
          <w:color w:val="000000"/>
        </w:rPr>
        <w:t xml:space="preserve"> physician identifiers will be retained in the final survey dataset.</w:t>
      </w:r>
    </w:p>
    <w:p w:rsidR="00464F33" w:rsidRDefault="00464F33" w:rsidP="00464F33"/>
    <w:p w:rsidR="00464F33" w:rsidRDefault="00464F33" w:rsidP="00464F33">
      <w:pPr>
        <w:rPr>
          <w:b/>
        </w:rPr>
      </w:pPr>
      <w:r>
        <w:rPr>
          <w:b/>
        </w:rPr>
        <w:t xml:space="preserve">3.  </w:t>
      </w:r>
      <w:r w:rsidRPr="00245111">
        <w:rPr>
          <w:b/>
        </w:rPr>
        <w:t>Use of Improved Information Technology and Burden Reduction</w:t>
      </w:r>
    </w:p>
    <w:p w:rsidR="0056744B" w:rsidRPr="00FD343E" w:rsidRDefault="0056744B" w:rsidP="00464F33">
      <w:pPr>
        <w:rPr>
          <w:b/>
        </w:rPr>
      </w:pPr>
    </w:p>
    <w:p w:rsidR="00464F33" w:rsidRDefault="00464F33" w:rsidP="00464F33">
      <w:r>
        <w:t>The survey will use the Internet for Web-based data collection, as most physicians have ready access to computer systems.  Respondents will receive a survey notification letter</w:t>
      </w:r>
      <w:r w:rsidR="00BD4060">
        <w:t xml:space="preserve"> (Attachment D)</w:t>
      </w:r>
      <w:r>
        <w:t xml:space="preserve"> via ordinary postal mail, and the actual survey invitation will be sent via electronic mail</w:t>
      </w:r>
      <w:r w:rsidR="00BD4060">
        <w:t xml:space="preserve"> (Attachment E)</w:t>
      </w:r>
      <w:r>
        <w:t xml:space="preserve">, in order to reduce paper usage and shipping costs.  All data will be stored in and accessed from an electronic data management system.  No paper forms will be submitted to CDC. </w:t>
      </w:r>
    </w:p>
    <w:p w:rsidR="00464F33" w:rsidRDefault="00464F33" w:rsidP="00464F33"/>
    <w:p w:rsidR="0056744B" w:rsidRDefault="00464F33" w:rsidP="00464F33">
      <w:pPr>
        <w:rPr>
          <w:b/>
        </w:rPr>
      </w:pPr>
      <w:r>
        <w:rPr>
          <w:b/>
        </w:rPr>
        <w:t xml:space="preserve">4.  </w:t>
      </w:r>
      <w:r w:rsidRPr="003B5D61">
        <w:rPr>
          <w:b/>
        </w:rPr>
        <w:t>Efforts to Identify Duplication and Use of Similar Information</w:t>
      </w:r>
    </w:p>
    <w:p w:rsidR="00464F33" w:rsidRDefault="00464F33" w:rsidP="00464F33">
      <w:r>
        <w:br/>
        <w:t xml:space="preserve"> </w:t>
      </w:r>
      <w:r>
        <w:rPr>
          <w:lang w:val="en-CA"/>
        </w:rPr>
        <w:t xml:space="preserve">The CDC group that designed the original focus group research and has authored the quantitative survey questionnaire </w:t>
      </w:r>
      <w:r w:rsidR="002126BC">
        <w:rPr>
          <w:lang w:val="en-CA"/>
        </w:rPr>
        <w:t>include</w:t>
      </w:r>
      <w:r>
        <w:rPr>
          <w:lang w:val="en-CA"/>
        </w:rPr>
        <w:t xml:space="preserve"> professionals and leaders in the field of laboratory </w:t>
      </w:r>
      <w:r>
        <w:rPr>
          <w:lang w:val="en-CA"/>
        </w:rPr>
        <w:lastRenderedPageBreak/>
        <w:t>medicine both in the public and private sectors</w:t>
      </w:r>
      <w:r w:rsidR="002126BC">
        <w:rPr>
          <w:lang w:val="en-CA"/>
        </w:rPr>
        <w:t xml:space="preserve">; these experts include </w:t>
      </w:r>
      <w:r w:rsidR="007B4FA9">
        <w:rPr>
          <w:lang w:val="en-CA"/>
        </w:rPr>
        <w:t xml:space="preserve">Brian Jackson, MD, John Hickner, MD, and Paul Epner, and their full associations are provided in Section 8 below. </w:t>
      </w:r>
      <w:r w:rsidR="00164B60" w:rsidRPr="00164B60">
        <w:rPr>
          <w:lang w:val="en-CA"/>
        </w:rPr>
        <w:fldChar w:fldCharType="begin"/>
      </w:r>
      <w:r w:rsidRPr="00050F77">
        <w:rPr>
          <w:lang w:val="en-CA"/>
        </w:rPr>
        <w:instrText xml:space="preserve"> SEQ CHAPTER \h \r 1</w:instrText>
      </w:r>
      <w:r w:rsidR="00164B60" w:rsidRPr="00050F77">
        <w:fldChar w:fldCharType="end"/>
      </w:r>
      <w:r>
        <w:t>Large-scale literature reviews have been performed on the topics the survey intends to cover.  The CDC Institute for Laboratory Medicine has been integrally involved in the design of the survey.  Throughout a thorough review of all these sources of information, no work has been found to comprehensively study the physician attitudes and characteristics that this survey is designed to examine.  We are confident that this work is sufficiently distinct as to not be duplicating other efforts.</w:t>
      </w:r>
    </w:p>
    <w:p w:rsidR="00464F33" w:rsidRDefault="00464F33" w:rsidP="00464F33"/>
    <w:p w:rsidR="00464F33" w:rsidRPr="00FD343E" w:rsidRDefault="00464F33" w:rsidP="00464F33">
      <w:pPr>
        <w:rPr>
          <w:b/>
        </w:rPr>
      </w:pPr>
      <w:r>
        <w:rPr>
          <w:b/>
        </w:rPr>
        <w:t xml:space="preserve">5.  </w:t>
      </w:r>
      <w:r w:rsidRPr="0051234A">
        <w:rPr>
          <w:b/>
        </w:rPr>
        <w:t>Impact on Small Businesses or Other Small Entities</w:t>
      </w:r>
    </w:p>
    <w:p w:rsidR="00AB11FD" w:rsidRDefault="00464F33" w:rsidP="00464F33">
      <w:r>
        <w:t xml:space="preserve">Some survey respondents will be </w:t>
      </w:r>
      <w:r w:rsidRPr="00A41729">
        <w:t xml:space="preserve">physicians in small practices. </w:t>
      </w:r>
      <w:r w:rsidR="00AB11FD">
        <w:t>For purposes of estimating the impact on small businesses, we have designated physicians in solo practice or in practice with one other physician as representing a small business.  Approximately 35% of physicians fall into this category.  Our overall target sample size is 1600, and therefore approximately 570 respondents could be characterized as a small business.</w:t>
      </w:r>
    </w:p>
    <w:p w:rsidR="00AB11FD" w:rsidRDefault="00AB11FD" w:rsidP="00464F33"/>
    <w:tbl>
      <w:tblPr>
        <w:tblW w:w="9555" w:type="dxa"/>
        <w:tblInd w:w="93" w:type="dxa"/>
        <w:tblLayout w:type="fixed"/>
        <w:tblLook w:val="04A0"/>
      </w:tblPr>
      <w:tblGrid>
        <w:gridCol w:w="4540"/>
        <w:gridCol w:w="740"/>
        <w:gridCol w:w="640"/>
        <w:gridCol w:w="640"/>
        <w:gridCol w:w="640"/>
        <w:gridCol w:w="640"/>
        <w:gridCol w:w="640"/>
        <w:gridCol w:w="640"/>
        <w:gridCol w:w="435"/>
      </w:tblGrid>
      <w:tr w:rsidR="00AB11FD" w:rsidRPr="00AB11FD" w:rsidTr="001C3D18">
        <w:trPr>
          <w:trHeight w:val="1185"/>
        </w:trPr>
        <w:tc>
          <w:tcPr>
            <w:tcW w:w="528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AB11FD" w:rsidRPr="00AB11FD" w:rsidRDefault="00AB11FD" w:rsidP="00AB11FD">
            <w:pPr>
              <w:jc w:val="center"/>
              <w:rPr>
                <w:rFonts w:ascii="Calibri" w:hAnsi="Calibri"/>
                <w:color w:val="000000"/>
              </w:rPr>
            </w:pPr>
            <w:r w:rsidRPr="00AB11FD">
              <w:rPr>
                <w:rFonts w:ascii="Calibri" w:hAnsi="Calibri"/>
                <w:color w:val="000000"/>
              </w:rPr>
              <w:t>Distribution of Primary Care Physicians by Practice Size and Type*</w:t>
            </w:r>
          </w:p>
        </w:tc>
        <w:tc>
          <w:tcPr>
            <w:tcW w:w="640" w:type="dxa"/>
            <w:tcBorders>
              <w:top w:val="single" w:sz="4" w:space="0" w:color="000000"/>
              <w:left w:val="nil"/>
              <w:bottom w:val="nil"/>
              <w:right w:val="single" w:sz="4" w:space="0" w:color="000000"/>
            </w:tcBorders>
            <w:shd w:val="clear" w:color="auto" w:fill="auto"/>
            <w:textDirection w:val="btLr"/>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Solo or 2 physicians</w:t>
            </w:r>
            <w:r w:rsidRPr="00AB11FD">
              <w:rPr>
                <w:color w:val="000000"/>
                <w:sz w:val="22"/>
                <w:szCs w:val="22"/>
              </w:rPr>
              <w:t> </w:t>
            </w:r>
          </w:p>
        </w:tc>
        <w:tc>
          <w:tcPr>
            <w:tcW w:w="640" w:type="dxa"/>
            <w:tcBorders>
              <w:top w:val="single" w:sz="4" w:space="0" w:color="000000"/>
              <w:left w:val="nil"/>
              <w:bottom w:val="nil"/>
              <w:right w:val="single" w:sz="4" w:space="0" w:color="000000"/>
            </w:tcBorders>
            <w:shd w:val="clear" w:color="auto" w:fill="auto"/>
            <w:textDirection w:val="btLr"/>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Group (3 or more)</w:t>
            </w:r>
            <w:r w:rsidRPr="00AB11FD">
              <w:rPr>
                <w:rFonts w:ascii="Calibri" w:hAnsi="Calibri"/>
                <w:color w:val="000000"/>
                <w:sz w:val="22"/>
                <w:szCs w:val="22"/>
              </w:rPr>
              <w:t> </w:t>
            </w:r>
          </w:p>
        </w:tc>
        <w:tc>
          <w:tcPr>
            <w:tcW w:w="640" w:type="dxa"/>
            <w:tcBorders>
              <w:top w:val="single" w:sz="4" w:space="0" w:color="000000"/>
              <w:left w:val="nil"/>
              <w:bottom w:val="nil"/>
              <w:right w:val="single" w:sz="4" w:space="0" w:color="000000"/>
            </w:tcBorders>
            <w:shd w:val="clear" w:color="auto" w:fill="auto"/>
            <w:textDirection w:val="btLr"/>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Group /Staff HMO</w:t>
            </w:r>
            <w:r w:rsidRPr="00AB11FD">
              <w:rPr>
                <w:rFonts w:ascii="Calibri" w:hAnsi="Calibri"/>
                <w:color w:val="000000"/>
                <w:sz w:val="22"/>
                <w:szCs w:val="22"/>
              </w:rPr>
              <w:t> </w:t>
            </w:r>
          </w:p>
        </w:tc>
        <w:tc>
          <w:tcPr>
            <w:tcW w:w="640" w:type="dxa"/>
            <w:tcBorders>
              <w:top w:val="single" w:sz="4" w:space="0" w:color="000000"/>
              <w:left w:val="nil"/>
              <w:bottom w:val="nil"/>
              <w:right w:val="single" w:sz="4" w:space="0" w:color="000000"/>
            </w:tcBorders>
            <w:shd w:val="clear" w:color="auto" w:fill="auto"/>
            <w:textDirection w:val="btLr"/>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Medical School</w:t>
            </w:r>
            <w:r w:rsidRPr="00AB11FD">
              <w:rPr>
                <w:rFonts w:ascii="Calibri" w:hAnsi="Calibri"/>
                <w:color w:val="000000"/>
                <w:sz w:val="22"/>
                <w:szCs w:val="22"/>
              </w:rPr>
              <w:t> </w:t>
            </w:r>
          </w:p>
        </w:tc>
        <w:tc>
          <w:tcPr>
            <w:tcW w:w="640" w:type="dxa"/>
            <w:tcBorders>
              <w:top w:val="single" w:sz="4" w:space="0" w:color="000000"/>
              <w:left w:val="nil"/>
              <w:bottom w:val="nil"/>
              <w:right w:val="single" w:sz="4" w:space="0" w:color="000000"/>
            </w:tcBorders>
            <w:shd w:val="clear" w:color="auto" w:fill="auto"/>
            <w:textDirection w:val="btLr"/>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Hospital Based</w:t>
            </w:r>
            <w:r w:rsidRPr="00AB11FD">
              <w:rPr>
                <w:rFonts w:ascii="Calibri" w:hAnsi="Calibri"/>
                <w:color w:val="000000"/>
                <w:sz w:val="22"/>
                <w:szCs w:val="22"/>
              </w:rPr>
              <w:t> </w:t>
            </w:r>
          </w:p>
        </w:tc>
        <w:tc>
          <w:tcPr>
            <w:tcW w:w="640" w:type="dxa"/>
            <w:tcBorders>
              <w:top w:val="single" w:sz="4" w:space="0" w:color="000000"/>
              <w:left w:val="nil"/>
              <w:bottom w:val="nil"/>
              <w:right w:val="single" w:sz="4" w:space="0" w:color="000000"/>
            </w:tcBorders>
            <w:shd w:val="clear" w:color="auto" w:fill="auto"/>
            <w:textDirection w:val="btLr"/>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Other</w:t>
            </w:r>
            <w:r w:rsidRPr="00AB11FD">
              <w:rPr>
                <w:rFonts w:ascii="Calibri" w:hAnsi="Calibri"/>
                <w:color w:val="000000"/>
                <w:sz w:val="22"/>
                <w:szCs w:val="22"/>
              </w:rPr>
              <w:t> </w:t>
            </w:r>
          </w:p>
        </w:tc>
        <w:tc>
          <w:tcPr>
            <w:tcW w:w="435" w:type="dxa"/>
            <w:tcBorders>
              <w:top w:val="single" w:sz="4" w:space="0" w:color="000000"/>
              <w:left w:val="nil"/>
              <w:bottom w:val="nil"/>
              <w:right w:val="single" w:sz="4" w:space="0" w:color="000000"/>
            </w:tcBorders>
            <w:shd w:val="clear" w:color="auto" w:fill="auto"/>
            <w:textDirection w:val="btLr"/>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Total</w:t>
            </w:r>
          </w:p>
        </w:tc>
      </w:tr>
      <w:tr w:rsidR="00AB11FD" w:rsidRPr="00AB11FD" w:rsidTr="001C3D18">
        <w:trPr>
          <w:trHeight w:val="420"/>
        </w:trPr>
        <w:tc>
          <w:tcPr>
            <w:tcW w:w="4540" w:type="dxa"/>
            <w:tcBorders>
              <w:top w:val="nil"/>
              <w:left w:val="single" w:sz="4" w:space="0" w:color="auto"/>
              <w:bottom w:val="single" w:sz="4" w:space="0" w:color="auto"/>
              <w:right w:val="single" w:sz="4" w:space="0" w:color="auto"/>
            </w:tcBorders>
            <w:shd w:val="clear" w:color="auto" w:fill="auto"/>
            <w:vAlign w:val="center"/>
            <w:hideMark/>
          </w:tcPr>
          <w:p w:rsidR="00AB11FD" w:rsidRPr="00AB11FD" w:rsidRDefault="00AB11FD" w:rsidP="00AB11FD">
            <w:pPr>
              <w:ind w:firstLineChars="100" w:firstLine="200"/>
              <w:rPr>
                <w:rFonts w:ascii="Calibri" w:hAnsi="Calibri"/>
                <w:color w:val="000000"/>
                <w:sz w:val="20"/>
                <w:szCs w:val="20"/>
              </w:rPr>
            </w:pPr>
            <w:r w:rsidRPr="00AB11FD">
              <w:rPr>
                <w:rFonts w:ascii="Calibri" w:hAnsi="Calibri"/>
                <w:color w:val="000000"/>
                <w:sz w:val="20"/>
                <w:szCs w:val="20"/>
              </w:rPr>
              <w:t>Primary Care Physicians by Practice Type / Size</w:t>
            </w:r>
          </w:p>
        </w:tc>
        <w:tc>
          <w:tcPr>
            <w:tcW w:w="740" w:type="dxa"/>
            <w:tcBorders>
              <w:top w:val="nil"/>
              <w:left w:val="nil"/>
              <w:bottom w:val="single" w:sz="4" w:space="0" w:color="auto"/>
              <w:right w:val="single" w:sz="4" w:space="0" w:color="auto"/>
            </w:tcBorders>
            <w:shd w:val="clear" w:color="auto" w:fill="auto"/>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AB11FD" w:rsidRPr="00A07508" w:rsidRDefault="00AB11FD" w:rsidP="00AB11FD">
            <w:pPr>
              <w:jc w:val="center"/>
              <w:rPr>
                <w:rFonts w:ascii="Calibri" w:hAnsi="Calibri"/>
                <w:b/>
                <w:bCs/>
                <w:sz w:val="20"/>
                <w:szCs w:val="20"/>
              </w:rPr>
            </w:pPr>
            <w:r w:rsidRPr="00A07508">
              <w:rPr>
                <w:rFonts w:ascii="Calibri" w:hAnsi="Calibri"/>
                <w:b/>
                <w:bCs/>
                <w:sz w:val="20"/>
                <w:szCs w:val="20"/>
              </w:rPr>
              <w:t xml:space="preserve">35.6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 xml:space="preserve">27.7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 xml:space="preserve">5.9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 xml:space="preserve">5.1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 xml:space="preserve">13.3 </w:t>
            </w:r>
          </w:p>
        </w:tc>
        <w:tc>
          <w:tcPr>
            <w:tcW w:w="640" w:type="dxa"/>
            <w:tcBorders>
              <w:top w:val="single" w:sz="4" w:space="0" w:color="auto"/>
              <w:left w:val="nil"/>
              <w:bottom w:val="single" w:sz="4" w:space="0" w:color="auto"/>
              <w:right w:val="single" w:sz="4" w:space="0" w:color="auto"/>
            </w:tcBorders>
            <w:shd w:val="clear" w:color="auto" w:fill="auto"/>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 xml:space="preserve">12.4 </w:t>
            </w:r>
          </w:p>
        </w:tc>
        <w:tc>
          <w:tcPr>
            <w:tcW w:w="435" w:type="dxa"/>
            <w:tcBorders>
              <w:top w:val="single" w:sz="4" w:space="0" w:color="auto"/>
              <w:left w:val="nil"/>
              <w:bottom w:val="single" w:sz="4" w:space="0" w:color="auto"/>
              <w:right w:val="single" w:sz="4" w:space="0" w:color="auto"/>
            </w:tcBorders>
            <w:shd w:val="clear" w:color="auto" w:fill="auto"/>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 xml:space="preserve">100.0 </w:t>
            </w:r>
          </w:p>
        </w:tc>
      </w:tr>
      <w:tr w:rsidR="00AB11FD" w:rsidRPr="00AB11FD" w:rsidTr="001C3D18">
        <w:trPr>
          <w:trHeight w:val="465"/>
        </w:trPr>
        <w:tc>
          <w:tcPr>
            <w:tcW w:w="4540" w:type="dxa"/>
            <w:tcBorders>
              <w:top w:val="nil"/>
              <w:left w:val="single" w:sz="4" w:space="0" w:color="auto"/>
              <w:bottom w:val="single" w:sz="4" w:space="0" w:color="auto"/>
              <w:right w:val="single" w:sz="4" w:space="0" w:color="auto"/>
            </w:tcBorders>
            <w:shd w:val="clear" w:color="auto" w:fill="auto"/>
            <w:noWrap/>
            <w:vAlign w:val="center"/>
            <w:hideMark/>
          </w:tcPr>
          <w:p w:rsidR="00AB11FD" w:rsidRPr="00AB11FD" w:rsidRDefault="00AB11FD" w:rsidP="00AB11FD">
            <w:pPr>
              <w:ind w:firstLineChars="100" w:firstLine="200"/>
              <w:rPr>
                <w:rFonts w:ascii="Calibri" w:hAnsi="Calibri"/>
                <w:color w:val="000000"/>
                <w:sz w:val="20"/>
                <w:szCs w:val="20"/>
              </w:rPr>
            </w:pPr>
            <w:r w:rsidRPr="00AB11FD">
              <w:rPr>
                <w:rFonts w:ascii="Calibri" w:hAnsi="Calibri"/>
                <w:color w:val="000000"/>
                <w:sz w:val="20"/>
                <w:szCs w:val="20"/>
              </w:rPr>
              <w:t>Sample Sizes: Total and by Practice Type/Size</w:t>
            </w:r>
          </w:p>
        </w:tc>
        <w:tc>
          <w:tcPr>
            <w:tcW w:w="740" w:type="dxa"/>
            <w:tcBorders>
              <w:top w:val="nil"/>
              <w:left w:val="nil"/>
              <w:bottom w:val="single" w:sz="4" w:space="0" w:color="auto"/>
              <w:right w:val="single" w:sz="4" w:space="0" w:color="auto"/>
            </w:tcBorders>
            <w:shd w:val="clear" w:color="auto" w:fill="auto"/>
            <w:noWrap/>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1600</w:t>
            </w:r>
          </w:p>
        </w:tc>
        <w:tc>
          <w:tcPr>
            <w:tcW w:w="640" w:type="dxa"/>
            <w:tcBorders>
              <w:top w:val="nil"/>
              <w:left w:val="nil"/>
              <w:bottom w:val="single" w:sz="4" w:space="0" w:color="auto"/>
              <w:right w:val="single" w:sz="4" w:space="0" w:color="auto"/>
            </w:tcBorders>
            <w:shd w:val="clear" w:color="auto" w:fill="auto"/>
            <w:noWrap/>
            <w:vAlign w:val="center"/>
            <w:hideMark/>
          </w:tcPr>
          <w:p w:rsidR="00AB11FD" w:rsidRPr="00A07508" w:rsidRDefault="00AB11FD" w:rsidP="00AB11FD">
            <w:pPr>
              <w:jc w:val="center"/>
              <w:rPr>
                <w:rFonts w:ascii="Calibri" w:hAnsi="Calibri"/>
                <w:b/>
                <w:bCs/>
                <w:sz w:val="20"/>
                <w:szCs w:val="20"/>
              </w:rPr>
            </w:pPr>
            <w:r w:rsidRPr="00A07508">
              <w:rPr>
                <w:rFonts w:ascii="Calibri" w:hAnsi="Calibri"/>
                <w:b/>
                <w:bCs/>
                <w:sz w:val="20"/>
                <w:szCs w:val="20"/>
              </w:rPr>
              <w:t>570</w:t>
            </w:r>
          </w:p>
        </w:tc>
        <w:tc>
          <w:tcPr>
            <w:tcW w:w="640" w:type="dxa"/>
            <w:tcBorders>
              <w:top w:val="nil"/>
              <w:left w:val="nil"/>
              <w:bottom w:val="single" w:sz="4" w:space="0" w:color="auto"/>
              <w:right w:val="single" w:sz="4" w:space="0" w:color="auto"/>
            </w:tcBorders>
            <w:shd w:val="clear" w:color="auto" w:fill="auto"/>
            <w:noWrap/>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443</w:t>
            </w:r>
          </w:p>
        </w:tc>
        <w:tc>
          <w:tcPr>
            <w:tcW w:w="640" w:type="dxa"/>
            <w:tcBorders>
              <w:top w:val="nil"/>
              <w:left w:val="nil"/>
              <w:bottom w:val="single" w:sz="4" w:space="0" w:color="auto"/>
              <w:right w:val="single" w:sz="4" w:space="0" w:color="auto"/>
            </w:tcBorders>
            <w:shd w:val="clear" w:color="auto" w:fill="auto"/>
            <w:noWrap/>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94</w:t>
            </w:r>
          </w:p>
        </w:tc>
        <w:tc>
          <w:tcPr>
            <w:tcW w:w="640" w:type="dxa"/>
            <w:tcBorders>
              <w:top w:val="nil"/>
              <w:left w:val="nil"/>
              <w:bottom w:val="single" w:sz="4" w:space="0" w:color="auto"/>
              <w:right w:val="single" w:sz="4" w:space="0" w:color="auto"/>
            </w:tcBorders>
            <w:shd w:val="clear" w:color="auto" w:fill="auto"/>
            <w:noWrap/>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82</w:t>
            </w:r>
          </w:p>
        </w:tc>
        <w:tc>
          <w:tcPr>
            <w:tcW w:w="640" w:type="dxa"/>
            <w:tcBorders>
              <w:top w:val="nil"/>
              <w:left w:val="nil"/>
              <w:bottom w:val="single" w:sz="4" w:space="0" w:color="auto"/>
              <w:right w:val="single" w:sz="4" w:space="0" w:color="auto"/>
            </w:tcBorders>
            <w:shd w:val="clear" w:color="auto" w:fill="auto"/>
            <w:noWrap/>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213</w:t>
            </w:r>
          </w:p>
        </w:tc>
        <w:tc>
          <w:tcPr>
            <w:tcW w:w="640" w:type="dxa"/>
            <w:tcBorders>
              <w:top w:val="nil"/>
              <w:left w:val="nil"/>
              <w:bottom w:val="single" w:sz="4" w:space="0" w:color="auto"/>
              <w:right w:val="single" w:sz="4" w:space="0" w:color="auto"/>
            </w:tcBorders>
            <w:shd w:val="clear" w:color="auto" w:fill="auto"/>
            <w:noWrap/>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198</w:t>
            </w:r>
          </w:p>
        </w:tc>
        <w:tc>
          <w:tcPr>
            <w:tcW w:w="435" w:type="dxa"/>
            <w:tcBorders>
              <w:top w:val="nil"/>
              <w:left w:val="nil"/>
              <w:bottom w:val="single" w:sz="4" w:space="0" w:color="auto"/>
              <w:right w:val="single" w:sz="4" w:space="0" w:color="auto"/>
            </w:tcBorders>
            <w:shd w:val="clear" w:color="auto" w:fill="auto"/>
            <w:noWrap/>
            <w:vAlign w:val="center"/>
            <w:hideMark/>
          </w:tcPr>
          <w:p w:rsidR="00AB11FD" w:rsidRPr="00AB11FD" w:rsidRDefault="00AB11FD" w:rsidP="00AB11FD">
            <w:pPr>
              <w:jc w:val="center"/>
              <w:rPr>
                <w:rFonts w:ascii="Calibri" w:hAnsi="Calibri"/>
                <w:color w:val="000000"/>
                <w:sz w:val="20"/>
                <w:szCs w:val="20"/>
              </w:rPr>
            </w:pPr>
            <w:r w:rsidRPr="00AB11FD">
              <w:rPr>
                <w:rFonts w:ascii="Calibri" w:hAnsi="Calibri"/>
                <w:color w:val="000000"/>
                <w:sz w:val="20"/>
                <w:szCs w:val="20"/>
              </w:rPr>
              <w:t>1600</w:t>
            </w:r>
          </w:p>
        </w:tc>
      </w:tr>
      <w:tr w:rsidR="00AB11FD" w:rsidRPr="00AB11FD" w:rsidTr="001C3D18">
        <w:trPr>
          <w:trHeight w:val="450"/>
        </w:trPr>
        <w:tc>
          <w:tcPr>
            <w:tcW w:w="9555" w:type="dxa"/>
            <w:gridSpan w:val="9"/>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11FD" w:rsidRPr="00AB11FD" w:rsidRDefault="00AB11FD" w:rsidP="00AB11FD">
            <w:pPr>
              <w:ind w:firstLineChars="200" w:firstLine="320"/>
              <w:rPr>
                <w:rFonts w:ascii="Calibri" w:hAnsi="Calibri"/>
                <w:i/>
                <w:iCs/>
                <w:color w:val="000000"/>
                <w:sz w:val="16"/>
                <w:szCs w:val="16"/>
              </w:rPr>
            </w:pPr>
            <w:r w:rsidRPr="00AB11FD">
              <w:rPr>
                <w:rFonts w:ascii="Calibri" w:hAnsi="Calibri"/>
                <w:i/>
                <w:iCs/>
                <w:color w:val="000000"/>
                <w:sz w:val="16"/>
                <w:szCs w:val="16"/>
              </w:rPr>
              <w:t>* Source: 2004-2005 Community Tracking Study Physician Survey, Center for Studying Health System Change</w:t>
            </w:r>
          </w:p>
        </w:tc>
      </w:tr>
    </w:tbl>
    <w:p w:rsidR="00AB11FD" w:rsidRDefault="00AB11FD" w:rsidP="00464F33"/>
    <w:p w:rsidR="00464F33" w:rsidRDefault="00464F33" w:rsidP="00464F33">
      <w:r w:rsidRPr="00A41729">
        <w:t xml:space="preserve"> In order to reduce respondent burden for these and all respondents,</w:t>
      </w:r>
      <w:r>
        <w:t xml:space="preserve"> a simple and accessible survey format will be used.  The survey will be accessible via the Internet, using conventional software, and will be available for respondents to take at their convenience, either at home or in the office.  The Web-based survey site will be available for several weeks and will accessible 24 hours per day.   The questionnaire authors have reduced the survey length as much as possible, to reduce survey burden on respondents.  Respondents are not asked to provide any extraneous information other than the core survey questions related to laboratory medicine practices.</w:t>
      </w:r>
    </w:p>
    <w:p w:rsidR="00464F33" w:rsidRDefault="00464F33" w:rsidP="00464F33"/>
    <w:p w:rsidR="00464F33" w:rsidRDefault="00464F33" w:rsidP="00464F33">
      <w:pPr>
        <w:rPr>
          <w:b/>
        </w:rPr>
      </w:pPr>
      <w:r>
        <w:rPr>
          <w:b/>
        </w:rPr>
        <w:t xml:space="preserve">6.  </w:t>
      </w:r>
      <w:r w:rsidRPr="00254C1F">
        <w:rPr>
          <w:b/>
        </w:rPr>
        <w:t>Consequences of Collecting the Information Less Frequently</w:t>
      </w:r>
    </w:p>
    <w:p w:rsidR="0056744B" w:rsidRDefault="0056744B" w:rsidP="00464F33">
      <w:pPr>
        <w:rPr>
          <w:b/>
        </w:rPr>
      </w:pPr>
    </w:p>
    <w:p w:rsidR="00464F33" w:rsidRPr="00F3074D" w:rsidRDefault="00464F33" w:rsidP="00464F33">
      <w:pPr>
        <w:rPr>
          <w:b/>
        </w:rPr>
      </w:pPr>
      <w:r>
        <w:t xml:space="preserve">This survey will be fielded only once under the research plan.  </w:t>
      </w:r>
    </w:p>
    <w:p w:rsidR="00464F33" w:rsidRDefault="00464F33" w:rsidP="00464F33">
      <w:r>
        <w:tab/>
      </w:r>
    </w:p>
    <w:p w:rsidR="00464F33" w:rsidRDefault="00464F33" w:rsidP="00464F33">
      <w:pPr>
        <w:rPr>
          <w:b/>
        </w:rPr>
      </w:pPr>
      <w:r>
        <w:rPr>
          <w:b/>
        </w:rPr>
        <w:t xml:space="preserve">7.  </w:t>
      </w:r>
      <w:r w:rsidRPr="004E1E68">
        <w:rPr>
          <w:b/>
        </w:rPr>
        <w:t>Special Circumstances Relating to the Guidelines of 5 CFR 1320.5</w:t>
      </w:r>
    </w:p>
    <w:p w:rsidR="0056744B" w:rsidRPr="00FD343E" w:rsidRDefault="0056744B" w:rsidP="00464F33">
      <w:pPr>
        <w:rPr>
          <w:b/>
        </w:rPr>
      </w:pPr>
    </w:p>
    <w:p w:rsidR="00464F33" w:rsidRDefault="00464F33" w:rsidP="00464F33">
      <w:r>
        <w:t>There are no special circumstances that require the information to be collected in any of the formats identified, and the request fully complies with regulations.</w:t>
      </w:r>
    </w:p>
    <w:p w:rsidR="00464F33" w:rsidRDefault="00464F33" w:rsidP="00464F33"/>
    <w:p w:rsidR="00464F33" w:rsidRDefault="00464F33" w:rsidP="00464F33">
      <w:pPr>
        <w:rPr>
          <w:b/>
        </w:rPr>
      </w:pPr>
      <w:r>
        <w:rPr>
          <w:b/>
        </w:rPr>
        <w:t xml:space="preserve">8.  </w:t>
      </w:r>
      <w:r w:rsidRPr="006712F9">
        <w:rPr>
          <w:b/>
        </w:rPr>
        <w:t>Comments in Response to the Federal Register Notice and Efforts to Consult Outside</w:t>
      </w:r>
      <w:r>
        <w:rPr>
          <w:b/>
        </w:rPr>
        <w:t xml:space="preserve"> </w:t>
      </w:r>
      <w:r w:rsidRPr="006712F9">
        <w:rPr>
          <w:b/>
        </w:rPr>
        <w:t>the Agency</w:t>
      </w:r>
    </w:p>
    <w:p w:rsidR="00464F33" w:rsidRDefault="00464F33" w:rsidP="00464F33">
      <w:pPr>
        <w:rPr>
          <w:b/>
        </w:rPr>
      </w:pPr>
    </w:p>
    <w:p w:rsidR="00464F33" w:rsidRDefault="00464F33" w:rsidP="00464F33">
      <w:r>
        <w:t xml:space="preserve">A.  </w:t>
      </w:r>
      <w:r w:rsidRPr="00DF2683">
        <w:t>As required by 5 CFR 1320.8</w:t>
      </w:r>
      <w:r>
        <w:t xml:space="preserve"> </w:t>
      </w:r>
      <w:r w:rsidRPr="00DF2683">
        <w:t>(d), a notice of this proposed data collection appeared in the Federal Register, Vol</w:t>
      </w:r>
      <w:r>
        <w:t>.</w:t>
      </w:r>
      <w:r w:rsidRPr="00DF2683">
        <w:t xml:space="preserve"> </w:t>
      </w:r>
      <w:r w:rsidR="00BD4060">
        <w:t>76</w:t>
      </w:r>
      <w:r w:rsidRPr="00A866A4">
        <w:t xml:space="preserve">, No. </w:t>
      </w:r>
      <w:r w:rsidR="00BD4060">
        <w:t>26</w:t>
      </w:r>
      <w:r w:rsidRPr="00A866A4">
        <w:t xml:space="preserve">, pp. </w:t>
      </w:r>
      <w:r w:rsidR="00BD4060">
        <w:t>6796</w:t>
      </w:r>
      <w:r w:rsidRPr="00A866A4">
        <w:t>-</w:t>
      </w:r>
      <w:r w:rsidR="00BD4060">
        <w:t>6797</w:t>
      </w:r>
      <w:r w:rsidRPr="00A866A4">
        <w:t xml:space="preserve"> on </w:t>
      </w:r>
      <w:r w:rsidR="00BD4060">
        <w:t>Tuesday</w:t>
      </w:r>
      <w:r w:rsidRPr="00A866A4">
        <w:t xml:space="preserve">, </w:t>
      </w:r>
      <w:r w:rsidR="00BD4060">
        <w:t>February 8, 2011</w:t>
      </w:r>
      <w:r w:rsidRPr="00A866A4">
        <w:t xml:space="preserve"> (Attachment </w:t>
      </w:r>
      <w:r w:rsidR="00BD4060">
        <w:t>B</w:t>
      </w:r>
      <w:r w:rsidRPr="00A866A4">
        <w:t xml:space="preserve">).  </w:t>
      </w:r>
      <w:r w:rsidR="00BD4060">
        <w:t xml:space="preserve">One </w:t>
      </w:r>
      <w:r w:rsidR="00270B27" w:rsidRPr="00270B27">
        <w:t>non</w:t>
      </w:r>
      <w:r w:rsidR="001C3D18">
        <w:t>-</w:t>
      </w:r>
      <w:r w:rsidR="00270B27" w:rsidRPr="00270B27">
        <w:t>substantive</w:t>
      </w:r>
      <w:r w:rsidR="00270B27">
        <w:t xml:space="preserve"> </w:t>
      </w:r>
      <w:r w:rsidR="00BD4060">
        <w:t>comment</w:t>
      </w:r>
      <w:r>
        <w:t xml:space="preserve"> </w:t>
      </w:r>
      <w:r w:rsidR="00BD4060">
        <w:t>was</w:t>
      </w:r>
      <w:r>
        <w:t xml:space="preserve"> received from the public</w:t>
      </w:r>
      <w:r w:rsidR="00270B27">
        <w:t xml:space="preserve"> and no response was given</w:t>
      </w:r>
      <w:r>
        <w:t>.</w:t>
      </w:r>
    </w:p>
    <w:p w:rsidR="00464F33" w:rsidRDefault="00464F33" w:rsidP="00464F33"/>
    <w:p w:rsidR="00464F33" w:rsidRDefault="00464F33" w:rsidP="00464F33">
      <w:r>
        <w:t xml:space="preserve">B.  </w:t>
      </w:r>
      <w:r w:rsidRPr="00D12DA4">
        <w:t xml:space="preserve">The following </w:t>
      </w:r>
      <w:r>
        <w:t>individuals</w:t>
      </w:r>
      <w:r w:rsidRPr="00D12DA4">
        <w:t xml:space="preserve"> were consulted during the development of th</w:t>
      </w:r>
      <w:r>
        <w:t>e</w:t>
      </w:r>
      <w:r w:rsidRPr="00D12DA4">
        <w:t xml:space="preserve"> study methods and data collection instruments</w:t>
      </w:r>
      <w:r>
        <w:t xml:space="preserve">.  </w:t>
      </w:r>
    </w:p>
    <w:p w:rsidR="00464F33" w:rsidRDefault="00464F33" w:rsidP="00464F33">
      <w:pPr>
        <w:ind w:left="720" w:hanging="720"/>
      </w:pPr>
    </w:p>
    <w:p w:rsidR="00464F33" w:rsidRDefault="00464F33" w:rsidP="00464F33">
      <w:pPr>
        <w:ind w:left="720" w:hanging="720"/>
      </w:pPr>
      <w:r>
        <w:tab/>
        <w:t>Tom Wilkinson</w:t>
      </w:r>
    </w:p>
    <w:p w:rsidR="00464F33" w:rsidRDefault="00464F33" w:rsidP="00464F33">
      <w:pPr>
        <w:ind w:left="720" w:hanging="720"/>
      </w:pPr>
      <w:r>
        <w:tab/>
        <w:t>Lead Survey Methodologist</w:t>
      </w:r>
    </w:p>
    <w:p w:rsidR="00464F33" w:rsidRDefault="00464F33" w:rsidP="00464F33">
      <w:pPr>
        <w:ind w:left="720" w:hanging="720"/>
      </w:pPr>
      <w:r>
        <w:tab/>
        <w:t>Altarum Institute</w:t>
      </w:r>
      <w:r>
        <w:tab/>
      </w:r>
      <w:r>
        <w:tab/>
      </w:r>
    </w:p>
    <w:p w:rsidR="00464F33" w:rsidRDefault="00464F33" w:rsidP="00464F33">
      <w:pPr>
        <w:ind w:left="720" w:hanging="720"/>
      </w:pPr>
      <w:r>
        <w:tab/>
        <w:t>3520 Green Court, Suite 300</w:t>
      </w:r>
    </w:p>
    <w:p w:rsidR="00464F33" w:rsidRDefault="00464F33" w:rsidP="00464F33">
      <w:pPr>
        <w:ind w:left="720"/>
      </w:pPr>
      <w:r>
        <w:t>Ann Arbor, MI 48105</w:t>
      </w:r>
    </w:p>
    <w:p w:rsidR="00464F33" w:rsidRDefault="00164B60" w:rsidP="00464F33">
      <w:pPr>
        <w:ind w:left="720"/>
      </w:pPr>
      <w:hyperlink r:id="rId8" w:history="1">
        <w:r w:rsidR="00464F33" w:rsidRPr="00DC64B0">
          <w:rPr>
            <w:rStyle w:val="Hyperlink"/>
          </w:rPr>
          <w:t>tom.wilkinson@altarum.org</w:t>
        </w:r>
      </w:hyperlink>
      <w:r w:rsidR="00464F33">
        <w:t xml:space="preserve"> </w:t>
      </w:r>
    </w:p>
    <w:p w:rsidR="00464F33" w:rsidRDefault="00464F33" w:rsidP="00464F33"/>
    <w:p w:rsidR="00464F33" w:rsidRDefault="00464F33" w:rsidP="00464F33">
      <w:pPr>
        <w:ind w:left="720" w:hanging="720"/>
      </w:pPr>
      <w:r>
        <w:tab/>
        <w:t>Brian Jackson, MD</w:t>
      </w:r>
    </w:p>
    <w:p w:rsidR="00464F33" w:rsidRDefault="00464F33" w:rsidP="00464F33">
      <w:pPr>
        <w:ind w:left="720"/>
      </w:pPr>
      <w:r>
        <w:t>A</w:t>
      </w:r>
      <w:r w:rsidRPr="00A41729">
        <w:t>ssistant Professor of Pathology</w:t>
      </w:r>
    </w:p>
    <w:p w:rsidR="00464F33" w:rsidRDefault="00464F33" w:rsidP="00464F33">
      <w:pPr>
        <w:ind w:firstLine="720"/>
        <w:rPr>
          <w:bCs/>
        </w:rPr>
      </w:pPr>
      <w:r>
        <w:rPr>
          <w:bCs/>
        </w:rPr>
        <w:t>Department of Pathology</w:t>
      </w:r>
    </w:p>
    <w:p w:rsidR="00464F33" w:rsidRDefault="00464F33" w:rsidP="00464F33">
      <w:pPr>
        <w:ind w:firstLine="720"/>
        <w:rPr>
          <w:bCs/>
        </w:rPr>
      </w:pPr>
      <w:r>
        <w:rPr>
          <w:bCs/>
        </w:rPr>
        <w:t>University of Utah</w:t>
      </w:r>
    </w:p>
    <w:p w:rsidR="00464F33" w:rsidRDefault="00464F33" w:rsidP="00464F33">
      <w:pPr>
        <w:ind w:firstLine="720"/>
        <w:rPr>
          <w:bCs/>
        </w:rPr>
      </w:pPr>
      <w:r w:rsidRPr="0093119B">
        <w:rPr>
          <w:bCs/>
        </w:rPr>
        <w:t>15 N</w:t>
      </w:r>
      <w:r>
        <w:rPr>
          <w:bCs/>
        </w:rPr>
        <w:t>orth</w:t>
      </w:r>
      <w:r w:rsidRPr="0093119B">
        <w:rPr>
          <w:bCs/>
        </w:rPr>
        <w:t xml:space="preserve"> M</w:t>
      </w:r>
      <w:r>
        <w:rPr>
          <w:bCs/>
        </w:rPr>
        <w:t>edical</w:t>
      </w:r>
      <w:r w:rsidRPr="0093119B">
        <w:rPr>
          <w:bCs/>
        </w:rPr>
        <w:t xml:space="preserve"> D</w:t>
      </w:r>
      <w:r>
        <w:rPr>
          <w:bCs/>
        </w:rPr>
        <w:t>rive</w:t>
      </w:r>
      <w:r w:rsidRPr="0093119B">
        <w:rPr>
          <w:bCs/>
        </w:rPr>
        <w:t xml:space="preserve"> E</w:t>
      </w:r>
      <w:r>
        <w:rPr>
          <w:bCs/>
        </w:rPr>
        <w:t>ast</w:t>
      </w:r>
    </w:p>
    <w:p w:rsidR="00464F33" w:rsidRPr="0093119B" w:rsidRDefault="00464F33" w:rsidP="00464F33">
      <w:pPr>
        <w:ind w:firstLine="720"/>
        <w:rPr>
          <w:bCs/>
        </w:rPr>
      </w:pPr>
      <w:r w:rsidRPr="0093119B">
        <w:rPr>
          <w:bCs/>
        </w:rPr>
        <w:t>S</w:t>
      </w:r>
      <w:r>
        <w:rPr>
          <w:bCs/>
        </w:rPr>
        <w:t>alt</w:t>
      </w:r>
      <w:r w:rsidRPr="0093119B">
        <w:rPr>
          <w:bCs/>
        </w:rPr>
        <w:t xml:space="preserve"> L</w:t>
      </w:r>
      <w:r>
        <w:rPr>
          <w:bCs/>
        </w:rPr>
        <w:t>ake</w:t>
      </w:r>
      <w:r w:rsidRPr="0093119B">
        <w:rPr>
          <w:bCs/>
        </w:rPr>
        <w:t xml:space="preserve"> C</w:t>
      </w:r>
      <w:r>
        <w:rPr>
          <w:bCs/>
        </w:rPr>
        <w:t>ity</w:t>
      </w:r>
      <w:r w:rsidRPr="0093119B">
        <w:rPr>
          <w:bCs/>
        </w:rPr>
        <w:t>, UT 84112</w:t>
      </w:r>
    </w:p>
    <w:p w:rsidR="00464F33" w:rsidRDefault="00464F33" w:rsidP="00464F33">
      <w:pPr>
        <w:ind w:hanging="720"/>
      </w:pPr>
      <w:r w:rsidRPr="0093119B">
        <w:tab/>
      </w:r>
      <w:r w:rsidRPr="0093119B">
        <w:tab/>
      </w:r>
      <w:hyperlink r:id="rId9" w:history="1">
        <w:r w:rsidRPr="00DC64B0">
          <w:rPr>
            <w:rStyle w:val="Hyperlink"/>
          </w:rPr>
          <w:t>brian.jackson@aruplab.com</w:t>
        </w:r>
      </w:hyperlink>
      <w:r>
        <w:t xml:space="preserve"> </w:t>
      </w:r>
    </w:p>
    <w:p w:rsidR="00464F33" w:rsidRDefault="00464F33" w:rsidP="00464F33">
      <w:pPr>
        <w:ind w:left="720" w:hanging="720"/>
      </w:pPr>
    </w:p>
    <w:p w:rsidR="00464F33" w:rsidRDefault="00464F33" w:rsidP="00464F33">
      <w:pPr>
        <w:ind w:left="720" w:hanging="720"/>
      </w:pPr>
      <w:r>
        <w:tab/>
        <w:t>John Hickner, MD</w:t>
      </w:r>
    </w:p>
    <w:p w:rsidR="00464F33" w:rsidRDefault="00464F33" w:rsidP="00464F33">
      <w:pPr>
        <w:ind w:left="720" w:hanging="720"/>
      </w:pPr>
      <w:r>
        <w:tab/>
        <w:t>Chairman – Department of Family Medicine</w:t>
      </w:r>
    </w:p>
    <w:p w:rsidR="00464F33" w:rsidRDefault="00464F33" w:rsidP="00464F33">
      <w:pPr>
        <w:ind w:left="1440" w:hanging="720"/>
        <w:rPr>
          <w:color w:val="333333"/>
        </w:rPr>
      </w:pPr>
      <w:r>
        <w:rPr>
          <w:rStyle w:val="org"/>
          <w:color w:val="333333"/>
          <w:bdr w:val="none" w:sz="0" w:space="0" w:color="auto" w:frame="1"/>
        </w:rPr>
        <w:t>Cleveland Clinic</w:t>
      </w:r>
    </w:p>
    <w:p w:rsidR="00464F33" w:rsidRDefault="00464F33" w:rsidP="00464F33">
      <w:pPr>
        <w:ind w:left="720"/>
        <w:rPr>
          <w:rStyle w:val="postal-code"/>
          <w:color w:val="333333"/>
          <w:bdr w:val="none" w:sz="0" w:space="0" w:color="auto" w:frame="1"/>
        </w:rPr>
      </w:pPr>
      <w:r w:rsidRPr="001C52FC">
        <w:rPr>
          <w:rStyle w:val="street-address"/>
          <w:color w:val="333333"/>
          <w:bdr w:val="none" w:sz="0" w:space="0" w:color="auto" w:frame="1"/>
        </w:rPr>
        <w:t>2570 SOM Center Road</w:t>
      </w:r>
      <w:r w:rsidRPr="001C52FC">
        <w:rPr>
          <w:color w:val="333333"/>
        </w:rPr>
        <w:br/>
      </w:r>
      <w:r w:rsidRPr="001C52FC">
        <w:rPr>
          <w:rStyle w:val="locality"/>
          <w:color w:val="333333"/>
          <w:bdr w:val="none" w:sz="0" w:space="0" w:color="auto" w:frame="1"/>
        </w:rPr>
        <w:t>Willoughby Hills</w:t>
      </w:r>
      <w:r w:rsidRPr="001C52FC">
        <w:rPr>
          <w:rStyle w:val="apple-style-span"/>
          <w:color w:val="333333"/>
        </w:rPr>
        <w:t>,</w:t>
      </w:r>
      <w:r w:rsidRPr="001C52FC">
        <w:rPr>
          <w:rStyle w:val="apple-converted-space"/>
          <w:color w:val="333333"/>
        </w:rPr>
        <w:t> </w:t>
      </w:r>
      <w:r w:rsidRPr="001C52FC">
        <w:rPr>
          <w:rStyle w:val="region"/>
          <w:color w:val="333333"/>
          <w:bdr w:val="none" w:sz="0" w:space="0" w:color="auto" w:frame="1"/>
        </w:rPr>
        <w:t>OH</w:t>
      </w:r>
      <w:r w:rsidRPr="001C52FC">
        <w:rPr>
          <w:rStyle w:val="apple-converted-space"/>
          <w:color w:val="333333"/>
        </w:rPr>
        <w:t> </w:t>
      </w:r>
      <w:r w:rsidRPr="001C52FC">
        <w:rPr>
          <w:rStyle w:val="postal-code"/>
          <w:color w:val="333333"/>
          <w:bdr w:val="none" w:sz="0" w:space="0" w:color="auto" w:frame="1"/>
        </w:rPr>
        <w:t>44094</w:t>
      </w:r>
    </w:p>
    <w:p w:rsidR="00464F33" w:rsidRDefault="00164B60" w:rsidP="00464F33">
      <w:pPr>
        <w:ind w:left="720"/>
        <w:rPr>
          <w:rStyle w:val="postal-code"/>
          <w:color w:val="333333"/>
          <w:bdr w:val="none" w:sz="0" w:space="0" w:color="auto" w:frame="1"/>
        </w:rPr>
      </w:pPr>
      <w:hyperlink r:id="rId10" w:history="1">
        <w:r w:rsidR="00464F33" w:rsidRPr="00DC64B0">
          <w:rPr>
            <w:rStyle w:val="Hyperlink"/>
            <w:bdr w:val="none" w:sz="0" w:space="0" w:color="auto" w:frame="1"/>
          </w:rPr>
          <w:t>hicknej@ccf.org</w:t>
        </w:r>
      </w:hyperlink>
      <w:r w:rsidR="00464F33">
        <w:rPr>
          <w:rStyle w:val="postal-code"/>
          <w:color w:val="333333"/>
          <w:bdr w:val="none" w:sz="0" w:space="0" w:color="auto" w:frame="1"/>
        </w:rPr>
        <w:t xml:space="preserve"> </w:t>
      </w:r>
    </w:p>
    <w:p w:rsidR="00464F33" w:rsidRDefault="00464F33" w:rsidP="00464F33">
      <w:pPr>
        <w:ind w:left="1440" w:hanging="720"/>
        <w:rPr>
          <w:rStyle w:val="postal-code"/>
          <w:color w:val="333333"/>
          <w:bdr w:val="none" w:sz="0" w:space="0" w:color="auto" w:frame="1"/>
        </w:rPr>
      </w:pPr>
    </w:p>
    <w:p w:rsidR="00464F33" w:rsidRDefault="00464F33" w:rsidP="00464F33">
      <w:pPr>
        <w:ind w:left="1440" w:hanging="720"/>
        <w:rPr>
          <w:rStyle w:val="postal-code"/>
          <w:color w:val="333333"/>
          <w:bdr w:val="none" w:sz="0" w:space="0" w:color="auto" w:frame="1"/>
        </w:rPr>
      </w:pPr>
      <w:r>
        <w:rPr>
          <w:rStyle w:val="postal-code"/>
          <w:color w:val="333333"/>
          <w:bdr w:val="none" w:sz="0" w:space="0" w:color="auto" w:frame="1"/>
        </w:rPr>
        <w:t xml:space="preserve">Paul Epner </w:t>
      </w:r>
    </w:p>
    <w:p w:rsidR="00B2065C" w:rsidRPr="00B2065C" w:rsidRDefault="00B2065C" w:rsidP="00B2065C">
      <w:pPr>
        <w:ind w:left="1440" w:hanging="720"/>
        <w:rPr>
          <w:rStyle w:val="postal-code"/>
          <w:color w:val="333333"/>
          <w:bdr w:val="none" w:sz="0" w:space="0" w:color="auto" w:frame="1"/>
        </w:rPr>
      </w:pPr>
      <w:r w:rsidRPr="00B2065C">
        <w:rPr>
          <w:rStyle w:val="postal-code"/>
          <w:color w:val="333333"/>
          <w:bdr w:val="none" w:sz="0" w:space="0" w:color="auto" w:frame="1"/>
        </w:rPr>
        <w:t>Principal</w:t>
      </w:r>
    </w:p>
    <w:p w:rsidR="00B2065C" w:rsidRPr="00B2065C" w:rsidRDefault="00B2065C" w:rsidP="00B2065C">
      <w:pPr>
        <w:ind w:left="1440" w:hanging="720"/>
        <w:rPr>
          <w:rStyle w:val="postal-code"/>
          <w:color w:val="333333"/>
          <w:bdr w:val="none" w:sz="0" w:space="0" w:color="auto" w:frame="1"/>
        </w:rPr>
      </w:pPr>
      <w:r w:rsidRPr="00B2065C">
        <w:rPr>
          <w:rStyle w:val="postal-code"/>
          <w:color w:val="333333"/>
          <w:bdr w:val="none" w:sz="0" w:space="0" w:color="auto" w:frame="1"/>
        </w:rPr>
        <w:t>Paul Epner LLC</w:t>
      </w:r>
    </w:p>
    <w:p w:rsidR="00B2065C" w:rsidRDefault="00B2065C" w:rsidP="00B2065C">
      <w:pPr>
        <w:ind w:left="1440" w:hanging="720"/>
        <w:rPr>
          <w:rStyle w:val="postal-code"/>
          <w:color w:val="333333"/>
          <w:bdr w:val="none" w:sz="0" w:space="0" w:color="auto" w:frame="1"/>
        </w:rPr>
      </w:pPr>
      <w:r w:rsidRPr="00B2065C">
        <w:rPr>
          <w:rStyle w:val="postal-code"/>
          <w:color w:val="333333"/>
          <w:bdr w:val="none" w:sz="0" w:space="0" w:color="auto" w:frame="1"/>
        </w:rPr>
        <w:t xml:space="preserve">Evanston, IL </w:t>
      </w:r>
    </w:p>
    <w:p w:rsidR="00464F33" w:rsidRPr="001C52FC" w:rsidRDefault="00164B60" w:rsidP="00B2065C">
      <w:pPr>
        <w:ind w:left="1440" w:hanging="720"/>
      </w:pPr>
      <w:hyperlink r:id="rId11" w:history="1">
        <w:r w:rsidR="00464F33" w:rsidRPr="00DC64B0">
          <w:rPr>
            <w:rStyle w:val="Hyperlink"/>
            <w:bdr w:val="none" w:sz="0" w:space="0" w:color="auto" w:frame="1"/>
          </w:rPr>
          <w:t>pepner@chicagobooth.edu</w:t>
        </w:r>
      </w:hyperlink>
      <w:r w:rsidR="00464F33">
        <w:rPr>
          <w:rStyle w:val="postal-code"/>
          <w:color w:val="333333"/>
          <w:bdr w:val="none" w:sz="0" w:space="0" w:color="auto" w:frame="1"/>
        </w:rPr>
        <w:t xml:space="preserve"> </w:t>
      </w:r>
    </w:p>
    <w:p w:rsidR="00464F33" w:rsidRDefault="00464F33" w:rsidP="00464F33">
      <w:pPr>
        <w:ind w:left="720" w:hanging="720"/>
      </w:pPr>
    </w:p>
    <w:p w:rsidR="00464F33" w:rsidRDefault="00464F33" w:rsidP="00464F33"/>
    <w:p w:rsidR="00464F33" w:rsidRDefault="00464F33" w:rsidP="00464F33">
      <w:pPr>
        <w:rPr>
          <w:b/>
        </w:rPr>
      </w:pPr>
      <w:r>
        <w:rPr>
          <w:b/>
        </w:rPr>
        <w:t xml:space="preserve">9.  </w:t>
      </w:r>
      <w:r w:rsidRPr="006712F9">
        <w:rPr>
          <w:b/>
        </w:rPr>
        <w:t>Explanation of Any Payment or Gift to Respondents</w:t>
      </w:r>
    </w:p>
    <w:p w:rsidR="0056744B" w:rsidRPr="00FD343E" w:rsidRDefault="0056744B" w:rsidP="00464F33">
      <w:pPr>
        <w:rPr>
          <w:b/>
        </w:rPr>
      </w:pPr>
    </w:p>
    <w:p w:rsidR="00464F33" w:rsidRDefault="00464F33" w:rsidP="00464F33">
      <w:pPr>
        <w:outlineLvl w:val="0"/>
      </w:pPr>
      <w:r>
        <w:t xml:space="preserve">In order to encourage response, physicians completing the survey will be offered the option of having Altarum Institute, the survey vendor, contribute $10.00 on their behalf to their choice of one of several charitable organizations.  The charitable organization choices will all be United States-based 501(c) non-profit organizations.   This amount was selected to be sufficiently small as to not represent an undue compensation or possibly coercive influence on respondents.  </w:t>
      </w:r>
    </w:p>
    <w:p w:rsidR="00464F33" w:rsidRDefault="00464F33" w:rsidP="00464F33">
      <w:pPr>
        <w:ind w:left="720" w:hanging="720"/>
      </w:pPr>
    </w:p>
    <w:p w:rsidR="00464F33" w:rsidRPr="00FD343E" w:rsidRDefault="00464F33" w:rsidP="00464F33">
      <w:pPr>
        <w:ind w:left="720" w:hanging="720"/>
        <w:rPr>
          <w:b/>
        </w:rPr>
      </w:pPr>
      <w:r>
        <w:rPr>
          <w:b/>
        </w:rPr>
        <w:t xml:space="preserve">10.  </w:t>
      </w:r>
      <w:r w:rsidRPr="00245111">
        <w:rPr>
          <w:b/>
        </w:rPr>
        <w:t>Assurance of Confidentiality Provided to Respondents</w:t>
      </w:r>
    </w:p>
    <w:p w:rsidR="00464F33" w:rsidRDefault="00464F33" w:rsidP="00464F33"/>
    <w:p w:rsidR="00464F33" w:rsidRDefault="00464F33" w:rsidP="00464F33">
      <w:pPr>
        <w:rPr>
          <w:u w:val="single"/>
        </w:rPr>
      </w:pPr>
      <w:r w:rsidRPr="00323420">
        <w:rPr>
          <w:u w:val="single"/>
        </w:rPr>
        <w:t>Privacy Impact Assessment</w:t>
      </w:r>
    </w:p>
    <w:p w:rsidR="0056744B" w:rsidRPr="00323420" w:rsidRDefault="0056744B" w:rsidP="00464F33">
      <w:pPr>
        <w:rPr>
          <w:u w:val="single"/>
        </w:rPr>
      </w:pPr>
    </w:p>
    <w:p w:rsidR="00464F33" w:rsidRPr="00323420" w:rsidRDefault="00464F33" w:rsidP="00464F33">
      <w:r w:rsidRPr="00323420">
        <w:t>A</w:t>
      </w:r>
      <w:r w:rsidRPr="00735D38">
        <w:t xml:space="preserve">) This information collection request has been reviewed </w:t>
      </w:r>
      <w:r w:rsidRPr="00A866A4">
        <w:t xml:space="preserve">by </w:t>
      </w:r>
      <w:r w:rsidR="00667194">
        <w:t>our PRA contact</w:t>
      </w:r>
      <w:r w:rsidRPr="00A866A4">
        <w:t xml:space="preserve"> who</w:t>
      </w:r>
      <w:r w:rsidRPr="00735D38">
        <w:t xml:space="preserve"> has determined that the Privacy Act does not apply.  Respondents included in the survey will be assigned anonymous identification codes; these codes will not contain identifying information</w:t>
      </w:r>
      <w:r>
        <w:t xml:space="preserve"> and will be removed from the final dataset that is distributed to researchers for analysis.  </w:t>
      </w:r>
    </w:p>
    <w:p w:rsidR="00464F33" w:rsidRDefault="00464F33" w:rsidP="00464F33">
      <w:r w:rsidRPr="00323420">
        <w:t xml:space="preserve">B) </w:t>
      </w:r>
      <w:r>
        <w:t xml:space="preserve">Survey responses </w:t>
      </w:r>
      <w:r w:rsidRPr="00323420">
        <w:t xml:space="preserve">received by </w:t>
      </w:r>
      <w:r>
        <w:t>Altarum Institute</w:t>
      </w:r>
      <w:r w:rsidRPr="00323420">
        <w:t xml:space="preserve"> will be stored in a secure, password-protected database</w:t>
      </w:r>
      <w:r w:rsidRPr="007A6765">
        <w:t>.</w:t>
      </w:r>
      <w:r w:rsidRPr="00323420">
        <w:t xml:space="preserve"> </w:t>
      </w:r>
      <w:r>
        <w:t xml:space="preserve">  As a task within construction of the final survey dataset for use by analysts and research, all identifying information </w:t>
      </w:r>
      <w:r w:rsidRPr="00323420">
        <w:t xml:space="preserve">will be </w:t>
      </w:r>
      <w:r>
        <w:t xml:space="preserve">removed by Altarum Institute technical staff. </w:t>
      </w:r>
    </w:p>
    <w:p w:rsidR="007620E1" w:rsidRDefault="007620E1" w:rsidP="00464F33">
      <w:r>
        <w:t>C) Since no identifiable information will be collected or used, consent will not be necessary.</w:t>
      </w:r>
    </w:p>
    <w:p w:rsidR="007620E1" w:rsidRDefault="007620E1" w:rsidP="00464F33">
      <w:r>
        <w:t>D) The survey will inform all respondents that all responses are voluntary.</w:t>
      </w:r>
    </w:p>
    <w:p w:rsidR="00464F33" w:rsidRDefault="00464F33" w:rsidP="00464F33"/>
    <w:p w:rsidR="00464F33" w:rsidRDefault="00464F33" w:rsidP="00464F33"/>
    <w:p w:rsidR="00464F33" w:rsidRPr="00D93F67" w:rsidRDefault="00464F33" w:rsidP="00464F33">
      <w:pPr>
        <w:ind w:left="720" w:hanging="720"/>
        <w:rPr>
          <w:b/>
        </w:rPr>
      </w:pPr>
      <w:r>
        <w:rPr>
          <w:b/>
        </w:rPr>
        <w:t xml:space="preserve">11.  </w:t>
      </w:r>
      <w:r w:rsidRPr="00245111">
        <w:rPr>
          <w:b/>
        </w:rPr>
        <w:t>Justification for Sensitive Questions</w:t>
      </w:r>
    </w:p>
    <w:p w:rsidR="00667194" w:rsidRDefault="00667194" w:rsidP="00464F33"/>
    <w:p w:rsidR="00464F33" w:rsidRDefault="00464F33" w:rsidP="00464F33">
      <w:r>
        <w:t>Information on criminal behavior, sexual behavior and attitudes, alcohol or drug use, religious beliefs, and race and ethnicity will not be collected.  Data security will be assured as described above.</w:t>
      </w:r>
    </w:p>
    <w:p w:rsidR="00464F33" w:rsidRDefault="00464F33" w:rsidP="00464F33"/>
    <w:p w:rsidR="00464F33" w:rsidRPr="00853898" w:rsidRDefault="00464F33" w:rsidP="00464F33">
      <w:pPr>
        <w:ind w:left="720" w:hanging="720"/>
        <w:rPr>
          <w:b/>
        </w:rPr>
      </w:pPr>
      <w:r w:rsidRPr="00853898">
        <w:rPr>
          <w:b/>
        </w:rPr>
        <w:t>12.  Estimates of Annualized Burden Hours and Costs</w:t>
      </w:r>
    </w:p>
    <w:p w:rsidR="007620E1" w:rsidRDefault="007620E1" w:rsidP="00464F33"/>
    <w:p w:rsidR="007620E1" w:rsidRDefault="007620E1" w:rsidP="007620E1">
      <w:r>
        <w:t xml:space="preserve">A. </w:t>
      </w:r>
      <w:r w:rsidR="00464F33">
        <w:t>This survey program</w:t>
      </w:r>
      <w:r w:rsidR="00464F33" w:rsidRPr="00853898">
        <w:t xml:space="preserve"> </w:t>
      </w:r>
      <w:r w:rsidR="00464F33">
        <w:t xml:space="preserve">will collect a total of 1600 completed interviews, divided evenly between respondents who are Family Practice physicians (n=800) and General Internal Medicine physicians (n=800).   Each physician will only be asked to respond once.  Preliminary testing indicates that the average respondents will require 14 minutes to complete the entire questionnaire. </w:t>
      </w:r>
      <w:r w:rsidR="007759B3">
        <w:t xml:space="preserve"> In order to converge the final overall sample to 800 completed interviews from each type of physician (Family Practice and Internal Medicine) , we will stratify the initial starting sample list by physician type and then construct a series of separate smaller replicate samples by type.   These smaller replicates can be slowly released into the data collection process individually.  Thus we can control the number of completed cases by managing the release of sample.  If one physician type generates a higher response rate, then obtaining our target 800 completed cases would require fewer replicates.  This is a common technique for telephone surveys, but it transfers directly to Web surveys as well. </w:t>
      </w:r>
    </w:p>
    <w:p w:rsidR="007620E1" w:rsidRDefault="007620E1" w:rsidP="007620E1"/>
    <w:p w:rsidR="007620E1" w:rsidRPr="007620E1" w:rsidRDefault="007620E1" w:rsidP="007620E1">
      <w:pPr>
        <w:rPr>
          <w:b/>
        </w:rPr>
      </w:pPr>
      <w:r>
        <w:t xml:space="preserve">     </w:t>
      </w:r>
      <w:r w:rsidRPr="007620E1">
        <w:rPr>
          <w:b/>
        </w:rPr>
        <w:t>Burden Hours</w:t>
      </w:r>
    </w:p>
    <w:tbl>
      <w:tblPr>
        <w:tblW w:w="7780" w:type="dxa"/>
        <w:tblInd w:w="432" w:type="dxa"/>
        <w:tblLook w:val="04A0"/>
      </w:tblPr>
      <w:tblGrid>
        <w:gridCol w:w="1494"/>
        <w:gridCol w:w="1220"/>
        <w:gridCol w:w="1306"/>
        <w:gridCol w:w="1300"/>
        <w:gridCol w:w="1340"/>
        <w:gridCol w:w="1120"/>
      </w:tblGrid>
      <w:tr w:rsidR="00464F33" w:rsidTr="001C3D18">
        <w:trPr>
          <w:trHeight w:val="1440"/>
        </w:trPr>
        <w:tc>
          <w:tcPr>
            <w:tcW w:w="149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Type of Respondent</w:t>
            </w:r>
          </w:p>
        </w:tc>
        <w:tc>
          <w:tcPr>
            <w:tcW w:w="1220" w:type="dxa"/>
            <w:tcBorders>
              <w:top w:val="single" w:sz="4" w:space="0" w:color="auto"/>
              <w:left w:val="nil"/>
              <w:bottom w:val="single" w:sz="4" w:space="0" w:color="auto"/>
              <w:right w:val="single" w:sz="4" w:space="0" w:color="auto"/>
            </w:tcBorders>
            <w:shd w:val="clear" w:color="000000" w:fill="auto"/>
            <w:noWrap/>
            <w:vAlign w:val="center"/>
            <w:hideMark/>
          </w:tcPr>
          <w:p w:rsidR="00464F33" w:rsidRDefault="00464F33" w:rsidP="0074257B">
            <w:pPr>
              <w:jc w:val="center"/>
              <w:rPr>
                <w:b/>
                <w:bCs/>
                <w:color w:val="000000"/>
                <w:sz w:val="20"/>
                <w:szCs w:val="20"/>
              </w:rPr>
            </w:pPr>
            <w:r>
              <w:rPr>
                <w:b/>
                <w:bCs/>
                <w:color w:val="000000"/>
                <w:sz w:val="20"/>
                <w:szCs w:val="20"/>
              </w:rPr>
              <w:t>Form Name</w:t>
            </w:r>
          </w:p>
        </w:tc>
        <w:tc>
          <w:tcPr>
            <w:tcW w:w="1306"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Number of Respondents</w:t>
            </w:r>
          </w:p>
        </w:tc>
        <w:tc>
          <w:tcPr>
            <w:tcW w:w="1300"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Number of Responses per Respondent</w:t>
            </w:r>
          </w:p>
        </w:tc>
        <w:tc>
          <w:tcPr>
            <w:tcW w:w="1340"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Average Burden per Response (hours)</w:t>
            </w:r>
          </w:p>
        </w:tc>
        <w:tc>
          <w:tcPr>
            <w:tcW w:w="1120"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Total Burden Hours</w:t>
            </w:r>
          </w:p>
        </w:tc>
      </w:tr>
      <w:tr w:rsidR="00464F33" w:rsidTr="009A4BF1">
        <w:trPr>
          <w:trHeight w:val="555"/>
        </w:trPr>
        <w:tc>
          <w:tcPr>
            <w:tcW w:w="1494" w:type="dxa"/>
            <w:tcBorders>
              <w:top w:val="nil"/>
              <w:left w:val="single" w:sz="4" w:space="0" w:color="auto"/>
              <w:bottom w:val="single" w:sz="4" w:space="0" w:color="auto"/>
              <w:right w:val="single" w:sz="4" w:space="0" w:color="auto"/>
            </w:tcBorders>
            <w:shd w:val="clear" w:color="auto" w:fill="auto"/>
            <w:vAlign w:val="bottom"/>
            <w:hideMark/>
          </w:tcPr>
          <w:p w:rsidR="00464F33" w:rsidRDefault="00464F33" w:rsidP="0074257B">
            <w:pPr>
              <w:rPr>
                <w:color w:val="000000"/>
                <w:sz w:val="20"/>
                <w:szCs w:val="20"/>
              </w:rPr>
            </w:pPr>
            <w:r>
              <w:rPr>
                <w:color w:val="000000"/>
                <w:sz w:val="20"/>
                <w:szCs w:val="20"/>
              </w:rPr>
              <w:t>Family Practice Physicians</w:t>
            </w:r>
            <w:r w:rsidR="009A4BF1">
              <w:rPr>
                <w:color w:val="000000"/>
                <w:sz w:val="20"/>
                <w:szCs w:val="20"/>
              </w:rPr>
              <w:t xml:space="preserve"> &amp; Internal Medicine Generalists</w:t>
            </w:r>
          </w:p>
        </w:tc>
        <w:tc>
          <w:tcPr>
            <w:tcW w:w="1220" w:type="dxa"/>
            <w:tcBorders>
              <w:top w:val="nil"/>
              <w:left w:val="nil"/>
              <w:bottom w:val="single" w:sz="4" w:space="0" w:color="auto"/>
              <w:right w:val="single" w:sz="4" w:space="0" w:color="auto"/>
            </w:tcBorders>
            <w:shd w:val="clear" w:color="auto" w:fill="auto"/>
            <w:vAlign w:val="center"/>
            <w:hideMark/>
          </w:tcPr>
          <w:p w:rsidR="00464F33" w:rsidRDefault="00464F33" w:rsidP="009A4BF1">
            <w:pPr>
              <w:jc w:val="center"/>
              <w:rPr>
                <w:color w:val="000000"/>
                <w:sz w:val="20"/>
                <w:szCs w:val="20"/>
              </w:rPr>
            </w:pPr>
            <w:r>
              <w:rPr>
                <w:color w:val="000000"/>
                <w:sz w:val="20"/>
                <w:szCs w:val="20"/>
              </w:rPr>
              <w:t>Laboratory Practices</w:t>
            </w:r>
          </w:p>
        </w:tc>
        <w:tc>
          <w:tcPr>
            <w:tcW w:w="1306" w:type="dxa"/>
            <w:tcBorders>
              <w:top w:val="nil"/>
              <w:left w:val="nil"/>
              <w:bottom w:val="single" w:sz="4" w:space="0" w:color="auto"/>
              <w:right w:val="single" w:sz="4" w:space="0" w:color="auto"/>
            </w:tcBorders>
            <w:shd w:val="clear" w:color="auto" w:fill="auto"/>
            <w:noWrap/>
            <w:vAlign w:val="center"/>
            <w:hideMark/>
          </w:tcPr>
          <w:p w:rsidR="00464F33" w:rsidRDefault="009A4BF1" w:rsidP="0074257B">
            <w:pPr>
              <w:jc w:val="center"/>
              <w:rPr>
                <w:color w:val="000000"/>
                <w:sz w:val="20"/>
                <w:szCs w:val="20"/>
              </w:rPr>
            </w:pPr>
            <w:r>
              <w:rPr>
                <w:color w:val="000000"/>
                <w:sz w:val="20"/>
                <w:szCs w:val="20"/>
              </w:rPr>
              <w:t>1,600</w:t>
            </w:r>
          </w:p>
        </w:tc>
        <w:tc>
          <w:tcPr>
            <w:tcW w:w="1300" w:type="dxa"/>
            <w:tcBorders>
              <w:top w:val="nil"/>
              <w:left w:val="nil"/>
              <w:bottom w:val="single" w:sz="4" w:space="0" w:color="auto"/>
              <w:right w:val="single" w:sz="4" w:space="0" w:color="auto"/>
            </w:tcBorders>
            <w:shd w:val="clear" w:color="auto" w:fill="auto"/>
            <w:noWrap/>
            <w:vAlign w:val="center"/>
            <w:hideMark/>
          </w:tcPr>
          <w:p w:rsidR="00464F33" w:rsidRDefault="00464F33" w:rsidP="0074257B">
            <w:pPr>
              <w:jc w:val="center"/>
              <w:rPr>
                <w:color w:val="000000"/>
                <w:sz w:val="20"/>
                <w:szCs w:val="20"/>
              </w:rPr>
            </w:pPr>
            <w:r>
              <w:rPr>
                <w:color w:val="000000"/>
                <w:sz w:val="20"/>
                <w:szCs w:val="20"/>
              </w:rPr>
              <w:t>1</w:t>
            </w:r>
          </w:p>
        </w:tc>
        <w:tc>
          <w:tcPr>
            <w:tcW w:w="1340" w:type="dxa"/>
            <w:tcBorders>
              <w:top w:val="nil"/>
              <w:left w:val="nil"/>
              <w:bottom w:val="single" w:sz="4" w:space="0" w:color="auto"/>
              <w:right w:val="single" w:sz="4" w:space="0" w:color="auto"/>
            </w:tcBorders>
            <w:shd w:val="clear" w:color="auto" w:fill="auto"/>
            <w:noWrap/>
            <w:vAlign w:val="center"/>
            <w:hideMark/>
          </w:tcPr>
          <w:p w:rsidR="00464F33" w:rsidRDefault="009A4BF1" w:rsidP="0074257B">
            <w:pPr>
              <w:jc w:val="center"/>
              <w:rPr>
                <w:color w:val="000000"/>
                <w:sz w:val="20"/>
                <w:szCs w:val="20"/>
              </w:rPr>
            </w:pPr>
            <w:r>
              <w:rPr>
                <w:color w:val="000000"/>
                <w:sz w:val="20"/>
                <w:szCs w:val="20"/>
              </w:rPr>
              <w:t>14/60</w:t>
            </w:r>
          </w:p>
        </w:tc>
        <w:tc>
          <w:tcPr>
            <w:tcW w:w="1120" w:type="dxa"/>
            <w:tcBorders>
              <w:top w:val="nil"/>
              <w:left w:val="nil"/>
              <w:bottom w:val="single" w:sz="4" w:space="0" w:color="auto"/>
              <w:right w:val="single" w:sz="4" w:space="0" w:color="auto"/>
            </w:tcBorders>
            <w:shd w:val="clear" w:color="auto" w:fill="auto"/>
            <w:noWrap/>
            <w:vAlign w:val="center"/>
            <w:hideMark/>
          </w:tcPr>
          <w:p w:rsidR="00464F33" w:rsidRDefault="009A4BF1" w:rsidP="0074257B">
            <w:pPr>
              <w:jc w:val="center"/>
              <w:rPr>
                <w:color w:val="000000"/>
                <w:sz w:val="20"/>
                <w:szCs w:val="20"/>
              </w:rPr>
            </w:pPr>
            <w:r>
              <w:rPr>
                <w:color w:val="000000"/>
                <w:sz w:val="20"/>
                <w:szCs w:val="20"/>
              </w:rPr>
              <w:t>373</w:t>
            </w:r>
          </w:p>
        </w:tc>
      </w:tr>
      <w:tr w:rsidR="00464F33" w:rsidTr="009A4BF1">
        <w:trPr>
          <w:trHeight w:val="555"/>
        </w:trPr>
        <w:tc>
          <w:tcPr>
            <w:tcW w:w="2714"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rsidR="00464F33" w:rsidRDefault="00464F33" w:rsidP="0074257B">
            <w:pPr>
              <w:jc w:val="center"/>
              <w:rPr>
                <w:color w:val="000000"/>
                <w:sz w:val="20"/>
                <w:szCs w:val="20"/>
              </w:rPr>
            </w:pPr>
            <w:r>
              <w:rPr>
                <w:color w:val="000000"/>
                <w:sz w:val="20"/>
                <w:szCs w:val="20"/>
              </w:rPr>
              <w:lastRenderedPageBreak/>
              <w:t>Total</w:t>
            </w:r>
          </w:p>
        </w:tc>
        <w:tc>
          <w:tcPr>
            <w:tcW w:w="1306" w:type="dxa"/>
            <w:tcBorders>
              <w:top w:val="nil"/>
              <w:left w:val="nil"/>
              <w:bottom w:val="single" w:sz="4" w:space="0" w:color="auto"/>
              <w:right w:val="single" w:sz="4" w:space="0" w:color="auto"/>
            </w:tcBorders>
            <w:shd w:val="clear" w:color="auto" w:fill="auto"/>
            <w:noWrap/>
            <w:vAlign w:val="center"/>
            <w:hideMark/>
          </w:tcPr>
          <w:p w:rsidR="00464F33" w:rsidRDefault="00464F33" w:rsidP="0074257B">
            <w:pPr>
              <w:jc w:val="center"/>
              <w:rPr>
                <w:color w:val="000000"/>
                <w:sz w:val="20"/>
                <w:szCs w:val="20"/>
              </w:rPr>
            </w:pPr>
            <w:r>
              <w:rPr>
                <w:color w:val="000000"/>
                <w:sz w:val="20"/>
                <w:szCs w:val="20"/>
              </w:rPr>
              <w:t>1600</w:t>
            </w:r>
          </w:p>
        </w:tc>
        <w:tc>
          <w:tcPr>
            <w:tcW w:w="1300" w:type="dxa"/>
            <w:tcBorders>
              <w:top w:val="nil"/>
              <w:left w:val="nil"/>
              <w:bottom w:val="single" w:sz="4" w:space="0" w:color="auto"/>
              <w:right w:val="single" w:sz="4" w:space="0" w:color="auto"/>
            </w:tcBorders>
            <w:shd w:val="clear" w:color="auto" w:fill="auto"/>
            <w:noWrap/>
            <w:vAlign w:val="center"/>
            <w:hideMark/>
          </w:tcPr>
          <w:p w:rsidR="00464F33" w:rsidRDefault="00464F33" w:rsidP="0074257B">
            <w:pPr>
              <w:jc w:val="center"/>
              <w:rPr>
                <w:color w:val="000000"/>
                <w:sz w:val="20"/>
                <w:szCs w:val="20"/>
              </w:rPr>
            </w:pPr>
            <w:r>
              <w:rPr>
                <w:color w:val="000000"/>
                <w:sz w:val="20"/>
                <w:szCs w:val="20"/>
              </w:rPr>
              <w:t> </w:t>
            </w:r>
          </w:p>
        </w:tc>
        <w:tc>
          <w:tcPr>
            <w:tcW w:w="1340" w:type="dxa"/>
            <w:tcBorders>
              <w:top w:val="nil"/>
              <w:left w:val="nil"/>
              <w:bottom w:val="single" w:sz="4" w:space="0" w:color="auto"/>
              <w:right w:val="single" w:sz="4" w:space="0" w:color="auto"/>
            </w:tcBorders>
            <w:shd w:val="clear" w:color="auto" w:fill="auto"/>
            <w:noWrap/>
            <w:vAlign w:val="center"/>
            <w:hideMark/>
          </w:tcPr>
          <w:p w:rsidR="00464F33" w:rsidRDefault="00464F33" w:rsidP="0074257B">
            <w:pPr>
              <w:jc w:val="center"/>
              <w:rPr>
                <w:color w:val="000000"/>
                <w:sz w:val="20"/>
                <w:szCs w:val="20"/>
              </w:rPr>
            </w:pPr>
            <w:r>
              <w:rPr>
                <w:color w:val="000000"/>
                <w:sz w:val="20"/>
                <w:szCs w:val="20"/>
              </w:rPr>
              <w:t> </w:t>
            </w:r>
          </w:p>
        </w:tc>
        <w:tc>
          <w:tcPr>
            <w:tcW w:w="1120" w:type="dxa"/>
            <w:tcBorders>
              <w:top w:val="nil"/>
              <w:left w:val="nil"/>
              <w:bottom w:val="single" w:sz="4" w:space="0" w:color="auto"/>
              <w:right w:val="single" w:sz="4" w:space="0" w:color="auto"/>
            </w:tcBorders>
            <w:shd w:val="clear" w:color="auto" w:fill="auto"/>
            <w:noWrap/>
            <w:vAlign w:val="center"/>
            <w:hideMark/>
          </w:tcPr>
          <w:p w:rsidR="00464F33" w:rsidRDefault="00464F33" w:rsidP="0074257B">
            <w:pPr>
              <w:jc w:val="center"/>
              <w:rPr>
                <w:color w:val="000000"/>
                <w:sz w:val="20"/>
                <w:szCs w:val="20"/>
              </w:rPr>
            </w:pPr>
            <w:r>
              <w:rPr>
                <w:color w:val="000000"/>
                <w:sz w:val="20"/>
                <w:szCs w:val="20"/>
              </w:rPr>
              <w:t>373</w:t>
            </w:r>
          </w:p>
        </w:tc>
      </w:tr>
    </w:tbl>
    <w:p w:rsidR="00464F33" w:rsidRPr="00885631" w:rsidRDefault="00464F33" w:rsidP="00464F33">
      <w:pPr>
        <w:outlineLvl w:val="0"/>
        <w:rPr>
          <w:highlight w:val="yellow"/>
        </w:rPr>
      </w:pPr>
    </w:p>
    <w:p w:rsidR="00464F33" w:rsidRPr="00885631" w:rsidRDefault="00464F33" w:rsidP="00464F33">
      <w:pPr>
        <w:rPr>
          <w:highlight w:val="yellow"/>
        </w:rPr>
      </w:pPr>
    </w:p>
    <w:p w:rsidR="00464F33" w:rsidRDefault="00464F33" w:rsidP="00464F33">
      <w:r w:rsidRPr="00FD585B">
        <w:t xml:space="preserve">B.  The total cost burden for respondents is estimated as follows: </w:t>
      </w:r>
      <w:r>
        <w:t>w</w:t>
      </w:r>
      <w:r w:rsidRPr="00FD585B">
        <w:t xml:space="preserve">ith a total annual burden of </w:t>
      </w:r>
      <w:r w:rsidR="00756DF6">
        <w:t>373</w:t>
      </w:r>
      <w:r>
        <w:t xml:space="preserve"> </w:t>
      </w:r>
      <w:r w:rsidRPr="00FD585B">
        <w:t>hours, the total cost of the</w:t>
      </w:r>
      <w:r>
        <w:t xml:space="preserve"> respondents’</w:t>
      </w:r>
      <w:r w:rsidRPr="00FD585B">
        <w:t xml:space="preserve"> time to respond to the proposed survey is estimated to be $</w:t>
      </w:r>
      <w:r>
        <w:t>31,6</w:t>
      </w:r>
      <w:r w:rsidR="00756DF6">
        <w:t>12</w:t>
      </w:r>
      <w:r>
        <w:t xml:space="preserve">.  </w:t>
      </w:r>
      <w:r w:rsidRPr="00FD585B">
        <w:t xml:space="preserve"> The average hourly wage</w:t>
      </w:r>
      <w:r>
        <w:t xml:space="preserve"> rate</w:t>
      </w:r>
      <w:r w:rsidRPr="00FD585B">
        <w:t xml:space="preserve"> for </w:t>
      </w:r>
      <w:r>
        <w:t>Family Practice and General Internal Medicine physicians</w:t>
      </w:r>
      <w:r w:rsidRPr="00FD585B">
        <w:t xml:space="preserve"> was obtained from the Bureau of Labor Statistics, Occupational and Employment Statistics Section May 200</w:t>
      </w:r>
      <w:r>
        <w:t>9</w:t>
      </w:r>
      <w:r w:rsidRPr="00FD585B">
        <w:t xml:space="preserve"> data (access</w:t>
      </w:r>
      <w:r>
        <w:t>ed</w:t>
      </w:r>
      <w:r w:rsidRPr="00FD585B">
        <w:t xml:space="preserve"> </w:t>
      </w:r>
      <w:r>
        <w:t>December 10</w:t>
      </w:r>
      <w:r w:rsidRPr="00FD585B">
        <w:t>, 20</w:t>
      </w:r>
      <w:r>
        <w:t>10</w:t>
      </w:r>
      <w:r w:rsidRPr="00FD585B">
        <w:t xml:space="preserve"> at</w:t>
      </w:r>
      <w:r>
        <w:t xml:space="preserve"> </w:t>
      </w:r>
      <w:hyperlink r:id="rId12" w:history="1">
        <w:r>
          <w:rPr>
            <w:rStyle w:val="Hyperlink"/>
          </w:rPr>
          <w:t>http://www.bls.gov/oes/current/oes_nat.htm</w:t>
        </w:r>
      </w:hyperlink>
      <w:r w:rsidRPr="00FD585B">
        <w:t>).</w:t>
      </w:r>
      <w:r w:rsidRPr="00043A7E">
        <w:t xml:space="preserve"> </w:t>
      </w:r>
      <w:r>
        <w:t xml:space="preserve"> </w:t>
      </w:r>
    </w:p>
    <w:p w:rsidR="007620E1" w:rsidRDefault="007620E1" w:rsidP="007620E1">
      <w:pPr>
        <w:outlineLvl w:val="0"/>
      </w:pPr>
    </w:p>
    <w:p w:rsidR="00464F33" w:rsidRPr="00555DFB" w:rsidRDefault="007620E1" w:rsidP="007620E1">
      <w:pPr>
        <w:outlineLvl w:val="0"/>
        <w:rPr>
          <w:b/>
        </w:rPr>
      </w:pPr>
      <w:r>
        <w:t xml:space="preserve">   </w:t>
      </w:r>
      <w:r w:rsidR="00464F33" w:rsidRPr="00555DFB">
        <w:rPr>
          <w:b/>
        </w:rPr>
        <w:t>Estimated Annualized Burden Costs</w:t>
      </w:r>
    </w:p>
    <w:tbl>
      <w:tblPr>
        <w:tblW w:w="4760" w:type="dxa"/>
        <w:tblInd w:w="288" w:type="dxa"/>
        <w:tblLook w:val="04A0"/>
      </w:tblPr>
      <w:tblGrid>
        <w:gridCol w:w="1843"/>
        <w:gridCol w:w="1017"/>
        <w:gridCol w:w="960"/>
        <w:gridCol w:w="940"/>
      </w:tblGrid>
      <w:tr w:rsidR="00464F33" w:rsidTr="001C3D18">
        <w:trPr>
          <w:trHeight w:val="863"/>
        </w:trPr>
        <w:tc>
          <w:tcPr>
            <w:tcW w:w="1843"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Type of Respondent</w:t>
            </w:r>
          </w:p>
        </w:tc>
        <w:tc>
          <w:tcPr>
            <w:tcW w:w="1017"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Response Burden (hours)</w:t>
            </w:r>
          </w:p>
        </w:tc>
        <w:tc>
          <w:tcPr>
            <w:tcW w:w="960"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Average Hourly Wage</w:t>
            </w:r>
          </w:p>
        </w:tc>
        <w:tc>
          <w:tcPr>
            <w:tcW w:w="940"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Total Cost</w:t>
            </w:r>
          </w:p>
        </w:tc>
      </w:tr>
      <w:tr w:rsidR="00464F33" w:rsidTr="00756DF6">
        <w:trPr>
          <w:trHeight w:val="555"/>
        </w:trPr>
        <w:tc>
          <w:tcPr>
            <w:tcW w:w="1843" w:type="dxa"/>
            <w:tcBorders>
              <w:top w:val="nil"/>
              <w:left w:val="single" w:sz="4" w:space="0" w:color="auto"/>
              <w:bottom w:val="single" w:sz="4" w:space="0" w:color="auto"/>
              <w:right w:val="single" w:sz="4" w:space="0" w:color="auto"/>
            </w:tcBorders>
            <w:shd w:val="clear" w:color="auto" w:fill="auto"/>
            <w:vAlign w:val="bottom"/>
            <w:hideMark/>
          </w:tcPr>
          <w:p w:rsidR="00464F33" w:rsidRDefault="00464F33" w:rsidP="0074257B">
            <w:pPr>
              <w:rPr>
                <w:color w:val="000000"/>
                <w:sz w:val="20"/>
                <w:szCs w:val="20"/>
              </w:rPr>
            </w:pPr>
            <w:r>
              <w:rPr>
                <w:color w:val="000000"/>
                <w:sz w:val="20"/>
                <w:szCs w:val="20"/>
              </w:rPr>
              <w:t>Family Practice Physicians</w:t>
            </w:r>
            <w:r w:rsidR="009A4BF1">
              <w:rPr>
                <w:color w:val="000000"/>
                <w:sz w:val="20"/>
                <w:szCs w:val="20"/>
              </w:rPr>
              <w:t xml:space="preserve"> &amp; Internal Medicine Generalists</w:t>
            </w:r>
          </w:p>
        </w:tc>
        <w:tc>
          <w:tcPr>
            <w:tcW w:w="1017" w:type="dxa"/>
            <w:tcBorders>
              <w:top w:val="nil"/>
              <w:left w:val="nil"/>
              <w:bottom w:val="single" w:sz="4" w:space="0" w:color="auto"/>
              <w:right w:val="single" w:sz="4" w:space="0" w:color="auto"/>
            </w:tcBorders>
            <w:shd w:val="clear" w:color="auto" w:fill="auto"/>
            <w:vAlign w:val="center"/>
            <w:hideMark/>
          </w:tcPr>
          <w:p w:rsidR="00464F33" w:rsidRDefault="009A4BF1" w:rsidP="0074257B">
            <w:pPr>
              <w:jc w:val="center"/>
              <w:rPr>
                <w:color w:val="000000"/>
                <w:sz w:val="20"/>
                <w:szCs w:val="20"/>
              </w:rPr>
            </w:pPr>
            <w:r>
              <w:rPr>
                <w:color w:val="000000"/>
                <w:sz w:val="20"/>
                <w:szCs w:val="20"/>
              </w:rPr>
              <w:t>373</w:t>
            </w:r>
          </w:p>
        </w:tc>
        <w:tc>
          <w:tcPr>
            <w:tcW w:w="960" w:type="dxa"/>
            <w:tcBorders>
              <w:top w:val="nil"/>
              <w:left w:val="nil"/>
              <w:bottom w:val="single" w:sz="4" w:space="0" w:color="auto"/>
              <w:right w:val="single" w:sz="4" w:space="0" w:color="auto"/>
            </w:tcBorders>
            <w:shd w:val="clear" w:color="auto" w:fill="auto"/>
            <w:noWrap/>
            <w:vAlign w:val="center"/>
            <w:hideMark/>
          </w:tcPr>
          <w:p w:rsidR="00464F33" w:rsidRDefault="00464F33" w:rsidP="009A4BF1">
            <w:pPr>
              <w:jc w:val="center"/>
              <w:rPr>
                <w:color w:val="000000"/>
                <w:sz w:val="20"/>
                <w:szCs w:val="20"/>
              </w:rPr>
            </w:pPr>
            <w:r>
              <w:rPr>
                <w:color w:val="000000"/>
                <w:sz w:val="20"/>
                <w:szCs w:val="20"/>
              </w:rPr>
              <w:t>$</w:t>
            </w:r>
            <w:r w:rsidR="009A4BF1">
              <w:rPr>
                <w:color w:val="000000"/>
                <w:sz w:val="20"/>
                <w:szCs w:val="20"/>
              </w:rPr>
              <w:t>84.75</w:t>
            </w:r>
          </w:p>
        </w:tc>
        <w:tc>
          <w:tcPr>
            <w:tcW w:w="940" w:type="dxa"/>
            <w:tcBorders>
              <w:top w:val="nil"/>
              <w:left w:val="nil"/>
              <w:bottom w:val="single" w:sz="4" w:space="0" w:color="auto"/>
              <w:right w:val="single" w:sz="4" w:space="0" w:color="auto"/>
            </w:tcBorders>
            <w:shd w:val="clear" w:color="auto" w:fill="auto"/>
            <w:noWrap/>
            <w:vAlign w:val="center"/>
            <w:hideMark/>
          </w:tcPr>
          <w:p w:rsidR="00464F33" w:rsidRDefault="00464F33" w:rsidP="00756DF6">
            <w:pPr>
              <w:jc w:val="center"/>
              <w:rPr>
                <w:color w:val="000000"/>
                <w:sz w:val="20"/>
                <w:szCs w:val="20"/>
              </w:rPr>
            </w:pPr>
            <w:r>
              <w:rPr>
                <w:color w:val="000000"/>
                <w:sz w:val="20"/>
                <w:szCs w:val="20"/>
              </w:rPr>
              <w:t>$</w:t>
            </w:r>
            <w:r w:rsidR="00756DF6">
              <w:rPr>
                <w:color w:val="000000"/>
                <w:sz w:val="20"/>
                <w:szCs w:val="20"/>
              </w:rPr>
              <w:t>31,612</w:t>
            </w:r>
          </w:p>
        </w:tc>
      </w:tr>
      <w:tr w:rsidR="00464F33" w:rsidTr="0074257B">
        <w:trPr>
          <w:trHeight w:val="555"/>
        </w:trPr>
        <w:tc>
          <w:tcPr>
            <w:tcW w:w="3820"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464F33" w:rsidRDefault="00464F33" w:rsidP="0074257B">
            <w:pPr>
              <w:jc w:val="center"/>
              <w:rPr>
                <w:color w:val="000000"/>
                <w:sz w:val="20"/>
                <w:szCs w:val="20"/>
              </w:rPr>
            </w:pPr>
            <w:r>
              <w:rPr>
                <w:color w:val="000000"/>
                <w:sz w:val="20"/>
                <w:szCs w:val="20"/>
              </w:rPr>
              <w:t>Total</w:t>
            </w:r>
          </w:p>
        </w:tc>
        <w:tc>
          <w:tcPr>
            <w:tcW w:w="940" w:type="dxa"/>
            <w:tcBorders>
              <w:top w:val="nil"/>
              <w:left w:val="nil"/>
              <w:bottom w:val="single" w:sz="4" w:space="0" w:color="auto"/>
              <w:right w:val="single" w:sz="4" w:space="0" w:color="auto"/>
            </w:tcBorders>
            <w:shd w:val="clear" w:color="auto" w:fill="auto"/>
            <w:noWrap/>
            <w:vAlign w:val="center"/>
            <w:hideMark/>
          </w:tcPr>
          <w:p w:rsidR="00464F33" w:rsidRDefault="00756DF6" w:rsidP="0074257B">
            <w:pPr>
              <w:jc w:val="center"/>
              <w:rPr>
                <w:color w:val="000000"/>
                <w:sz w:val="20"/>
                <w:szCs w:val="20"/>
              </w:rPr>
            </w:pPr>
            <w:r>
              <w:rPr>
                <w:color w:val="000000"/>
                <w:sz w:val="20"/>
                <w:szCs w:val="20"/>
              </w:rPr>
              <w:t>$31,612</w:t>
            </w:r>
          </w:p>
        </w:tc>
      </w:tr>
    </w:tbl>
    <w:p w:rsidR="00464F33" w:rsidRDefault="00464F33" w:rsidP="00464F33">
      <w:pPr>
        <w:ind w:left="720" w:hanging="720"/>
      </w:pPr>
    </w:p>
    <w:p w:rsidR="00464F33" w:rsidRDefault="00464F33" w:rsidP="00464F33">
      <w:pPr>
        <w:ind w:left="720" w:hanging="720"/>
      </w:pPr>
    </w:p>
    <w:p w:rsidR="00464F33" w:rsidRDefault="00464F33" w:rsidP="00464F33">
      <w:pPr>
        <w:ind w:left="720" w:hanging="720"/>
        <w:rPr>
          <w:b/>
        </w:rPr>
      </w:pPr>
      <w:r>
        <w:rPr>
          <w:b/>
        </w:rPr>
        <w:t xml:space="preserve">13.  </w:t>
      </w:r>
      <w:r w:rsidRPr="00245111">
        <w:rPr>
          <w:b/>
        </w:rPr>
        <w:t>Estimates of Other Total Annual Cost Burden to Respondents or Record Keepers</w:t>
      </w:r>
    </w:p>
    <w:p w:rsidR="007620E1" w:rsidRDefault="007620E1" w:rsidP="00464F33">
      <w:pPr>
        <w:ind w:left="720" w:hanging="720"/>
        <w:rPr>
          <w:b/>
        </w:rPr>
      </w:pPr>
    </w:p>
    <w:p w:rsidR="00464F33" w:rsidRPr="00FD343E" w:rsidRDefault="00464F33" w:rsidP="00464F33">
      <w:pPr>
        <w:outlineLvl w:val="0"/>
      </w:pPr>
      <w:r>
        <w:t xml:space="preserve"> </w:t>
      </w:r>
      <w:r w:rsidR="007620E1">
        <w:t>There will be no other annual cost burdens.</w:t>
      </w:r>
      <w:r>
        <w:t xml:space="preserve"> </w:t>
      </w:r>
    </w:p>
    <w:p w:rsidR="00464F33" w:rsidRDefault="00464F33" w:rsidP="00464F33">
      <w:pPr>
        <w:ind w:left="720" w:hanging="720"/>
        <w:rPr>
          <w:b/>
        </w:rPr>
      </w:pPr>
    </w:p>
    <w:p w:rsidR="00464F33" w:rsidRDefault="00464F33" w:rsidP="00464F33">
      <w:pPr>
        <w:ind w:left="720" w:hanging="720"/>
        <w:rPr>
          <w:b/>
        </w:rPr>
      </w:pPr>
      <w:r w:rsidRPr="0045756D">
        <w:rPr>
          <w:b/>
        </w:rPr>
        <w:t>14.  Annualized Cost to the Government</w:t>
      </w:r>
    </w:p>
    <w:p w:rsidR="007620E1" w:rsidRDefault="007620E1" w:rsidP="00464F33">
      <w:pPr>
        <w:ind w:left="720" w:hanging="720"/>
        <w:rPr>
          <w:b/>
        </w:rPr>
      </w:pPr>
    </w:p>
    <w:p w:rsidR="00464F33" w:rsidRDefault="00464F33" w:rsidP="00464F33">
      <w:pPr>
        <w:outlineLvl w:val="0"/>
      </w:pPr>
      <w:r>
        <w:t>The total annualized cost to the Government of this survey is composed of CDC staff support and consultation throughout the design, survey administration</w:t>
      </w:r>
      <w:r w:rsidR="00F1080A">
        <w:t xml:space="preserve">, and analysis and reporting. </w:t>
      </w:r>
      <w:r>
        <w:t xml:space="preserve">CDC staff costs are estimated using </w:t>
      </w:r>
      <w:r w:rsidR="00F1080A">
        <w:t>the estimated hours of time of su</w:t>
      </w:r>
      <w:r w:rsidR="00D20607">
        <w:t>pport and pay rates from the GS pay scale for Atlanta (</w:t>
      </w:r>
      <w:hyperlink r:id="rId13" w:history="1">
        <w:r w:rsidR="00283431" w:rsidRPr="001616DD">
          <w:rPr>
            <w:rStyle w:val="Hyperlink"/>
          </w:rPr>
          <w:t>http://www.opm.gov/oca/11tables/html/atl_h.asp</w:t>
        </w:r>
      </w:hyperlink>
      <w:r w:rsidR="00D20607">
        <w:t>)</w:t>
      </w:r>
      <w:r w:rsidR="00F87698">
        <w:t xml:space="preserve"> and assumed an average pay rate of a grade 13 step 1 </w:t>
      </w:r>
      <w:r w:rsidR="00283431">
        <w:t>($40.97</w:t>
      </w:r>
      <w:r w:rsidR="00A15B90">
        <w:t xml:space="preserve"> per hour</w:t>
      </w:r>
      <w:r w:rsidR="00283431">
        <w:t xml:space="preserve">) </w:t>
      </w:r>
      <w:r w:rsidR="00B33412">
        <w:t xml:space="preserve">among the four FTEs involved </w:t>
      </w:r>
      <w:r w:rsidR="00F87698">
        <w:t xml:space="preserve">for </w:t>
      </w:r>
      <w:r w:rsidR="00B33412">
        <w:t xml:space="preserve">a total of </w:t>
      </w:r>
      <w:r w:rsidR="00F87698">
        <w:t xml:space="preserve">90 hours plus $950 in additional </w:t>
      </w:r>
      <w:r w:rsidR="00B33412">
        <w:t>material costs</w:t>
      </w:r>
      <w:r w:rsidR="00F1080A">
        <w:t>.</w:t>
      </w:r>
    </w:p>
    <w:p w:rsidR="00464F33" w:rsidRDefault="00464F33" w:rsidP="00464F33">
      <w:pPr>
        <w:outlineLvl w:val="0"/>
      </w:pPr>
    </w:p>
    <w:tbl>
      <w:tblPr>
        <w:tblW w:w="5780" w:type="dxa"/>
        <w:tblInd w:w="288" w:type="dxa"/>
        <w:tblLook w:val="04A0"/>
      </w:tblPr>
      <w:tblGrid>
        <w:gridCol w:w="3840"/>
        <w:gridCol w:w="1940"/>
      </w:tblGrid>
      <w:tr w:rsidR="00464F33" w:rsidTr="001C3D18">
        <w:trPr>
          <w:trHeight w:val="450"/>
        </w:trPr>
        <w:tc>
          <w:tcPr>
            <w:tcW w:w="3840"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 xml:space="preserve">Cost Component </w:t>
            </w:r>
          </w:p>
        </w:tc>
        <w:tc>
          <w:tcPr>
            <w:tcW w:w="1940" w:type="dxa"/>
            <w:tcBorders>
              <w:top w:val="single" w:sz="4" w:space="0" w:color="auto"/>
              <w:left w:val="nil"/>
              <w:bottom w:val="single" w:sz="4" w:space="0" w:color="auto"/>
              <w:right w:val="single" w:sz="4" w:space="0" w:color="auto"/>
            </w:tcBorders>
            <w:shd w:val="clear" w:color="000000" w:fill="auto"/>
            <w:vAlign w:val="center"/>
            <w:hideMark/>
          </w:tcPr>
          <w:p w:rsidR="00464F33" w:rsidRDefault="00464F33" w:rsidP="0074257B">
            <w:pPr>
              <w:jc w:val="center"/>
              <w:rPr>
                <w:b/>
                <w:bCs/>
                <w:color w:val="000000"/>
                <w:sz w:val="20"/>
                <w:szCs w:val="20"/>
              </w:rPr>
            </w:pPr>
            <w:r>
              <w:rPr>
                <w:b/>
                <w:bCs/>
                <w:color w:val="000000"/>
                <w:sz w:val="20"/>
                <w:szCs w:val="20"/>
              </w:rPr>
              <w:t>Total Cost</w:t>
            </w:r>
          </w:p>
        </w:tc>
      </w:tr>
      <w:tr w:rsidR="00464F33" w:rsidTr="0074257B">
        <w:trPr>
          <w:trHeight w:val="450"/>
        </w:trPr>
        <w:tc>
          <w:tcPr>
            <w:tcW w:w="3840" w:type="dxa"/>
            <w:tcBorders>
              <w:top w:val="nil"/>
              <w:left w:val="single" w:sz="4" w:space="0" w:color="auto"/>
              <w:bottom w:val="single" w:sz="4" w:space="0" w:color="auto"/>
              <w:right w:val="single" w:sz="4" w:space="0" w:color="auto"/>
            </w:tcBorders>
            <w:shd w:val="clear" w:color="auto" w:fill="auto"/>
            <w:vAlign w:val="center"/>
            <w:hideMark/>
          </w:tcPr>
          <w:p w:rsidR="00464F33" w:rsidRDefault="00464F33" w:rsidP="0074257B">
            <w:pPr>
              <w:rPr>
                <w:color w:val="000000"/>
                <w:sz w:val="20"/>
                <w:szCs w:val="20"/>
              </w:rPr>
            </w:pPr>
            <w:r>
              <w:rPr>
                <w:color w:val="000000"/>
                <w:sz w:val="20"/>
                <w:szCs w:val="20"/>
              </w:rPr>
              <w:t>CDC staff salaries and overhead</w:t>
            </w:r>
          </w:p>
        </w:tc>
        <w:tc>
          <w:tcPr>
            <w:tcW w:w="1940" w:type="dxa"/>
            <w:tcBorders>
              <w:top w:val="nil"/>
              <w:left w:val="nil"/>
              <w:bottom w:val="single" w:sz="4" w:space="0" w:color="auto"/>
              <w:right w:val="single" w:sz="4" w:space="0" w:color="auto"/>
            </w:tcBorders>
            <w:shd w:val="clear" w:color="auto" w:fill="auto"/>
            <w:noWrap/>
            <w:vAlign w:val="center"/>
            <w:hideMark/>
          </w:tcPr>
          <w:p w:rsidR="00464F33" w:rsidRPr="009D54EB" w:rsidRDefault="00D20607" w:rsidP="0074257B">
            <w:pPr>
              <w:jc w:val="center"/>
              <w:rPr>
                <w:color w:val="000000"/>
                <w:sz w:val="20"/>
                <w:szCs w:val="20"/>
                <w:highlight w:val="yellow"/>
              </w:rPr>
            </w:pPr>
            <w:r w:rsidRPr="00D20607">
              <w:rPr>
                <w:color w:val="000000"/>
                <w:sz w:val="20"/>
                <w:szCs w:val="20"/>
              </w:rPr>
              <w:t>$4,650</w:t>
            </w:r>
          </w:p>
        </w:tc>
      </w:tr>
      <w:tr w:rsidR="00464F33" w:rsidTr="0074257B">
        <w:trPr>
          <w:trHeight w:val="450"/>
        </w:trPr>
        <w:tc>
          <w:tcPr>
            <w:tcW w:w="3840" w:type="dxa"/>
            <w:tcBorders>
              <w:top w:val="nil"/>
              <w:left w:val="single" w:sz="4" w:space="0" w:color="auto"/>
              <w:bottom w:val="single" w:sz="4" w:space="0" w:color="auto"/>
              <w:right w:val="nil"/>
            </w:tcBorders>
            <w:shd w:val="clear" w:color="auto" w:fill="auto"/>
            <w:vAlign w:val="center"/>
            <w:hideMark/>
          </w:tcPr>
          <w:p w:rsidR="00464F33" w:rsidRDefault="00464F33" w:rsidP="0074257B">
            <w:pPr>
              <w:jc w:val="center"/>
              <w:rPr>
                <w:b/>
                <w:bCs/>
                <w:color w:val="000000"/>
                <w:sz w:val="20"/>
                <w:szCs w:val="20"/>
              </w:rPr>
            </w:pPr>
            <w:r>
              <w:rPr>
                <w:b/>
                <w:bCs/>
                <w:color w:val="000000"/>
                <w:sz w:val="20"/>
                <w:szCs w:val="20"/>
              </w:rPr>
              <w:t>Total</w:t>
            </w:r>
          </w:p>
        </w:tc>
        <w:tc>
          <w:tcPr>
            <w:tcW w:w="1940" w:type="dxa"/>
            <w:tcBorders>
              <w:top w:val="nil"/>
              <w:left w:val="single" w:sz="4" w:space="0" w:color="auto"/>
              <w:bottom w:val="single" w:sz="4" w:space="0" w:color="auto"/>
              <w:right w:val="single" w:sz="4" w:space="0" w:color="auto"/>
            </w:tcBorders>
            <w:shd w:val="clear" w:color="auto" w:fill="auto"/>
            <w:noWrap/>
            <w:vAlign w:val="center"/>
            <w:hideMark/>
          </w:tcPr>
          <w:p w:rsidR="00464F33" w:rsidRPr="009D54EB" w:rsidRDefault="00D20607" w:rsidP="0074257B">
            <w:pPr>
              <w:jc w:val="center"/>
              <w:rPr>
                <w:color w:val="000000"/>
                <w:sz w:val="20"/>
                <w:szCs w:val="20"/>
                <w:highlight w:val="yellow"/>
              </w:rPr>
            </w:pPr>
            <w:r w:rsidRPr="00D20607">
              <w:rPr>
                <w:color w:val="000000"/>
                <w:sz w:val="20"/>
                <w:szCs w:val="20"/>
              </w:rPr>
              <w:t>$4,650</w:t>
            </w:r>
          </w:p>
        </w:tc>
      </w:tr>
    </w:tbl>
    <w:p w:rsidR="00464F33" w:rsidRPr="00BA4EE2" w:rsidRDefault="00464F33" w:rsidP="00464F33">
      <w:pPr>
        <w:outlineLvl w:val="0"/>
      </w:pPr>
    </w:p>
    <w:p w:rsidR="00464F33" w:rsidRDefault="00464F33" w:rsidP="00464F33">
      <w:pPr>
        <w:ind w:left="120" w:hanging="120"/>
      </w:pPr>
    </w:p>
    <w:p w:rsidR="00464F33" w:rsidRDefault="00464F33" w:rsidP="00464F33">
      <w:pPr>
        <w:ind w:left="120" w:hanging="120"/>
        <w:rPr>
          <w:b/>
        </w:rPr>
      </w:pPr>
      <w:r>
        <w:rPr>
          <w:b/>
        </w:rPr>
        <w:t xml:space="preserve">15.  </w:t>
      </w:r>
      <w:r w:rsidRPr="006712F9">
        <w:rPr>
          <w:b/>
        </w:rPr>
        <w:t>Explanation for Program Changes or Adjustments</w:t>
      </w:r>
    </w:p>
    <w:p w:rsidR="007620E1" w:rsidRPr="00BA4EE2" w:rsidRDefault="007620E1" w:rsidP="00464F33">
      <w:pPr>
        <w:ind w:left="120" w:hanging="120"/>
      </w:pPr>
    </w:p>
    <w:p w:rsidR="00464F33" w:rsidRPr="005A2E28" w:rsidRDefault="00464F33" w:rsidP="00464F33">
      <w:r>
        <w:t>This is a new data collection.</w:t>
      </w:r>
    </w:p>
    <w:p w:rsidR="00464F33" w:rsidRDefault="00464F33" w:rsidP="00464F33">
      <w:pPr>
        <w:ind w:left="720" w:hanging="720"/>
      </w:pPr>
    </w:p>
    <w:p w:rsidR="00464F33" w:rsidRDefault="00464F33" w:rsidP="00464F33">
      <w:pPr>
        <w:ind w:left="720" w:hanging="720"/>
        <w:rPr>
          <w:b/>
        </w:rPr>
      </w:pPr>
      <w:r>
        <w:rPr>
          <w:b/>
        </w:rPr>
        <w:lastRenderedPageBreak/>
        <w:t xml:space="preserve">16.  </w:t>
      </w:r>
      <w:r w:rsidRPr="006712F9">
        <w:rPr>
          <w:b/>
        </w:rPr>
        <w:t>Plans for Tabulation and Publication and Project Time Schedule</w:t>
      </w:r>
      <w:r>
        <w:rPr>
          <w:b/>
        </w:rPr>
        <w:t xml:space="preserve"> </w:t>
      </w:r>
    </w:p>
    <w:p w:rsidR="00464F33" w:rsidRDefault="00464F33" w:rsidP="00464F33"/>
    <w:p w:rsidR="00464F33" w:rsidRPr="00B33412" w:rsidRDefault="00464F33" w:rsidP="00464F33">
      <w:pPr>
        <w:outlineLvl w:val="0"/>
        <w:rPr>
          <w:u w:val="single"/>
        </w:rPr>
      </w:pPr>
      <w:r w:rsidRPr="00B33412">
        <w:rPr>
          <w:u w:val="single"/>
        </w:rPr>
        <w:t>Publication</w:t>
      </w:r>
    </w:p>
    <w:p w:rsidR="00464F33" w:rsidRDefault="00464F33" w:rsidP="00464F33">
      <w:pPr>
        <w:outlineLvl w:val="0"/>
        <w:rPr>
          <w:b/>
        </w:rPr>
      </w:pPr>
      <w:r>
        <w:t xml:space="preserve">Results from this survey </w:t>
      </w:r>
      <w:r w:rsidR="00B33412">
        <w:t>are planned to</w:t>
      </w:r>
      <w:r>
        <w:t xml:space="preserve"> be pre</w:t>
      </w:r>
      <w:r w:rsidR="00B33412">
        <w:t>sented at national meetings and</w:t>
      </w:r>
      <w:r>
        <w:t xml:space="preserve"> a manuscript </w:t>
      </w:r>
      <w:r w:rsidR="00B33412">
        <w:t>containing the findings will be submitted to a</w:t>
      </w:r>
      <w:r>
        <w:t xml:space="preserve"> peer-reviewed scientific journal.  </w:t>
      </w:r>
      <w:r w:rsidR="00B33412">
        <w:t>Manuscripts</w:t>
      </w:r>
      <w:r>
        <w:t xml:space="preserve"> will include a discussion of potential biases and other limitations of the project.  Additionally, results </w:t>
      </w:r>
      <w:r w:rsidR="00B33412">
        <w:t>may</w:t>
      </w:r>
      <w:r>
        <w:t xml:space="preserve"> be used for ongoing planning requirements of the CDC </w:t>
      </w:r>
      <w:r w:rsidRPr="009D54EB">
        <w:t>Laboratory Science, Policy, &amp; Practice Program Office</w:t>
      </w:r>
      <w:r>
        <w:t>.</w:t>
      </w:r>
      <w:r w:rsidRPr="00DD0E4E">
        <w:rPr>
          <w:b/>
        </w:rPr>
        <w:t xml:space="preserve"> </w:t>
      </w:r>
    </w:p>
    <w:p w:rsidR="00464F33" w:rsidRDefault="00464F33" w:rsidP="00464F33"/>
    <w:p w:rsidR="00464F33" w:rsidRPr="00B33412" w:rsidRDefault="00464F33" w:rsidP="00464F33">
      <w:pPr>
        <w:outlineLvl w:val="0"/>
        <w:rPr>
          <w:u w:val="single"/>
        </w:rPr>
      </w:pPr>
      <w:r w:rsidRPr="00B33412">
        <w:rPr>
          <w:u w:val="single"/>
        </w:rPr>
        <w:t>Project time schedule</w:t>
      </w:r>
    </w:p>
    <w:p w:rsidR="00464F33" w:rsidRDefault="00464F33" w:rsidP="00464F33">
      <w:r>
        <w:t xml:space="preserve">The Survey will be conducted as soon as possible following OMB approval.  The following time schedule includes research steps through preparation and approval of the survey results final report; subsequent publication of results in peer-reviewed scientific journals is not included as part of the basic survey operations time schedule.  </w:t>
      </w:r>
    </w:p>
    <w:p w:rsidR="00464F33" w:rsidRDefault="00464F33" w:rsidP="00464F33">
      <w:pPr>
        <w:ind w:left="720" w:hanging="720"/>
        <w:rPr>
          <w:b/>
        </w:rPr>
      </w:pPr>
    </w:p>
    <w:tbl>
      <w:tblPr>
        <w:tblW w:w="6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80"/>
        <w:gridCol w:w="2060"/>
      </w:tblGrid>
      <w:tr w:rsidR="00667194" w:rsidTr="001C3D18">
        <w:trPr>
          <w:trHeight w:val="1165"/>
        </w:trPr>
        <w:tc>
          <w:tcPr>
            <w:tcW w:w="4480" w:type="dxa"/>
            <w:shd w:val="clear" w:color="auto" w:fill="auto"/>
            <w:noWrap/>
            <w:vAlign w:val="center"/>
            <w:hideMark/>
          </w:tcPr>
          <w:p w:rsidR="00667194" w:rsidRDefault="00667194" w:rsidP="0074257B">
            <w:pPr>
              <w:jc w:val="center"/>
              <w:rPr>
                <w:b/>
                <w:bCs/>
                <w:color w:val="000000"/>
              </w:rPr>
            </w:pPr>
            <w:r>
              <w:rPr>
                <w:b/>
                <w:bCs/>
                <w:color w:val="000000"/>
                <w:sz w:val="22"/>
                <w:szCs w:val="22"/>
              </w:rPr>
              <w:t xml:space="preserve">Project Time Schedule </w:t>
            </w:r>
          </w:p>
        </w:tc>
        <w:tc>
          <w:tcPr>
            <w:tcW w:w="2060" w:type="dxa"/>
            <w:shd w:val="clear" w:color="auto" w:fill="auto"/>
            <w:noWrap/>
            <w:vAlign w:val="center"/>
            <w:hideMark/>
          </w:tcPr>
          <w:p w:rsidR="00667194" w:rsidRDefault="00667194" w:rsidP="0074257B">
            <w:pPr>
              <w:jc w:val="center"/>
              <w:rPr>
                <w:b/>
                <w:bCs/>
                <w:color w:val="000000"/>
                <w:sz w:val="20"/>
                <w:szCs w:val="20"/>
              </w:rPr>
            </w:pPr>
            <w:r>
              <w:rPr>
                <w:b/>
                <w:bCs/>
                <w:color w:val="000000"/>
                <w:sz w:val="20"/>
                <w:szCs w:val="20"/>
              </w:rPr>
              <w:t>Date</w:t>
            </w:r>
          </w:p>
        </w:tc>
      </w:tr>
      <w:tr w:rsidR="00464F33" w:rsidTr="00667194">
        <w:trPr>
          <w:trHeight w:val="435"/>
        </w:trPr>
        <w:tc>
          <w:tcPr>
            <w:tcW w:w="4480" w:type="dxa"/>
            <w:shd w:val="clear" w:color="auto" w:fill="auto"/>
            <w:vAlign w:val="center"/>
            <w:hideMark/>
          </w:tcPr>
          <w:p w:rsidR="00464F33" w:rsidRDefault="00464F33" w:rsidP="0074257B">
            <w:pPr>
              <w:ind w:firstLineChars="200" w:firstLine="400"/>
              <w:rPr>
                <w:color w:val="000000"/>
                <w:sz w:val="20"/>
                <w:szCs w:val="20"/>
              </w:rPr>
            </w:pPr>
            <w:r>
              <w:rPr>
                <w:color w:val="000000"/>
                <w:sz w:val="20"/>
                <w:szCs w:val="20"/>
              </w:rPr>
              <w:t>Finalize web survey programming</w:t>
            </w:r>
          </w:p>
        </w:tc>
        <w:tc>
          <w:tcPr>
            <w:tcW w:w="2060" w:type="dxa"/>
            <w:shd w:val="clear" w:color="auto" w:fill="auto"/>
            <w:vAlign w:val="center"/>
            <w:hideMark/>
          </w:tcPr>
          <w:p w:rsidR="00464F33" w:rsidRDefault="009A4BF1" w:rsidP="0074257B">
            <w:pPr>
              <w:jc w:val="center"/>
              <w:rPr>
                <w:color w:val="000000"/>
                <w:sz w:val="20"/>
                <w:szCs w:val="20"/>
              </w:rPr>
            </w:pPr>
            <w:r>
              <w:rPr>
                <w:color w:val="000000"/>
                <w:sz w:val="20"/>
                <w:szCs w:val="20"/>
              </w:rPr>
              <w:t>1 month</w:t>
            </w:r>
            <w:r w:rsidR="009E5697">
              <w:rPr>
                <w:color w:val="000000"/>
                <w:sz w:val="20"/>
                <w:szCs w:val="20"/>
              </w:rPr>
              <w:t xml:space="preserve"> after OMB approval</w:t>
            </w:r>
          </w:p>
        </w:tc>
      </w:tr>
      <w:tr w:rsidR="00464F33" w:rsidTr="00667194">
        <w:trPr>
          <w:trHeight w:val="435"/>
        </w:trPr>
        <w:tc>
          <w:tcPr>
            <w:tcW w:w="4480" w:type="dxa"/>
            <w:shd w:val="clear" w:color="auto" w:fill="auto"/>
            <w:vAlign w:val="center"/>
            <w:hideMark/>
          </w:tcPr>
          <w:p w:rsidR="00464F33" w:rsidRDefault="00464F33" w:rsidP="0074257B">
            <w:pPr>
              <w:ind w:firstLineChars="200" w:firstLine="400"/>
              <w:rPr>
                <w:color w:val="000000"/>
                <w:sz w:val="20"/>
                <w:szCs w:val="20"/>
              </w:rPr>
            </w:pPr>
            <w:r>
              <w:rPr>
                <w:color w:val="000000"/>
                <w:sz w:val="20"/>
                <w:szCs w:val="20"/>
              </w:rPr>
              <w:t>Obtain and construct sample</w:t>
            </w:r>
          </w:p>
        </w:tc>
        <w:tc>
          <w:tcPr>
            <w:tcW w:w="2060" w:type="dxa"/>
            <w:shd w:val="clear" w:color="auto" w:fill="auto"/>
            <w:vAlign w:val="center"/>
            <w:hideMark/>
          </w:tcPr>
          <w:p w:rsidR="00464F33" w:rsidRDefault="009A4BF1" w:rsidP="0074257B">
            <w:pPr>
              <w:jc w:val="center"/>
              <w:rPr>
                <w:color w:val="000000"/>
                <w:sz w:val="20"/>
                <w:szCs w:val="20"/>
              </w:rPr>
            </w:pPr>
            <w:r>
              <w:rPr>
                <w:color w:val="000000"/>
                <w:sz w:val="20"/>
                <w:szCs w:val="20"/>
              </w:rPr>
              <w:t>2 months</w:t>
            </w:r>
            <w:r w:rsidR="009E5697">
              <w:rPr>
                <w:color w:val="000000"/>
                <w:sz w:val="20"/>
                <w:szCs w:val="20"/>
              </w:rPr>
              <w:t xml:space="preserve"> after OMB approval</w:t>
            </w:r>
          </w:p>
        </w:tc>
      </w:tr>
      <w:tr w:rsidR="00464F33" w:rsidTr="00667194">
        <w:trPr>
          <w:trHeight w:val="435"/>
        </w:trPr>
        <w:tc>
          <w:tcPr>
            <w:tcW w:w="4480" w:type="dxa"/>
            <w:shd w:val="clear" w:color="auto" w:fill="auto"/>
            <w:vAlign w:val="center"/>
            <w:hideMark/>
          </w:tcPr>
          <w:p w:rsidR="00464F33" w:rsidRDefault="009E5697" w:rsidP="0074257B">
            <w:pPr>
              <w:ind w:firstLineChars="200" w:firstLine="400"/>
              <w:rPr>
                <w:color w:val="000000"/>
                <w:sz w:val="20"/>
                <w:szCs w:val="20"/>
              </w:rPr>
            </w:pPr>
            <w:r>
              <w:rPr>
                <w:color w:val="000000"/>
                <w:sz w:val="20"/>
                <w:szCs w:val="20"/>
              </w:rPr>
              <w:t>Start survey</w:t>
            </w:r>
          </w:p>
        </w:tc>
        <w:tc>
          <w:tcPr>
            <w:tcW w:w="2060" w:type="dxa"/>
            <w:shd w:val="clear" w:color="auto" w:fill="auto"/>
            <w:vAlign w:val="center"/>
            <w:hideMark/>
          </w:tcPr>
          <w:p w:rsidR="00464F33" w:rsidRDefault="009A4BF1" w:rsidP="0074257B">
            <w:pPr>
              <w:jc w:val="center"/>
              <w:rPr>
                <w:color w:val="000000"/>
                <w:sz w:val="20"/>
                <w:szCs w:val="20"/>
              </w:rPr>
            </w:pPr>
            <w:r>
              <w:rPr>
                <w:color w:val="000000"/>
                <w:sz w:val="20"/>
                <w:szCs w:val="20"/>
              </w:rPr>
              <w:t>4</w:t>
            </w:r>
            <w:r w:rsidR="009E5697">
              <w:rPr>
                <w:color w:val="000000"/>
                <w:sz w:val="20"/>
                <w:szCs w:val="20"/>
              </w:rPr>
              <w:t xml:space="preserve"> months after OMB approval</w:t>
            </w:r>
          </w:p>
        </w:tc>
      </w:tr>
      <w:tr w:rsidR="00464F33" w:rsidTr="00667194">
        <w:trPr>
          <w:trHeight w:val="435"/>
        </w:trPr>
        <w:tc>
          <w:tcPr>
            <w:tcW w:w="4480" w:type="dxa"/>
            <w:shd w:val="clear" w:color="auto" w:fill="auto"/>
            <w:vAlign w:val="center"/>
            <w:hideMark/>
          </w:tcPr>
          <w:p w:rsidR="00464F33" w:rsidRDefault="009E5697" w:rsidP="0074257B">
            <w:pPr>
              <w:ind w:firstLineChars="200" w:firstLine="400"/>
              <w:rPr>
                <w:color w:val="000000"/>
                <w:sz w:val="20"/>
                <w:szCs w:val="20"/>
              </w:rPr>
            </w:pPr>
            <w:r>
              <w:rPr>
                <w:color w:val="000000"/>
                <w:sz w:val="20"/>
                <w:szCs w:val="20"/>
              </w:rPr>
              <w:t>Complete data collection</w:t>
            </w:r>
          </w:p>
        </w:tc>
        <w:tc>
          <w:tcPr>
            <w:tcW w:w="2060" w:type="dxa"/>
            <w:shd w:val="clear" w:color="auto" w:fill="auto"/>
            <w:vAlign w:val="center"/>
            <w:hideMark/>
          </w:tcPr>
          <w:p w:rsidR="00464F33" w:rsidRDefault="009A4BF1" w:rsidP="0074257B">
            <w:pPr>
              <w:jc w:val="center"/>
              <w:rPr>
                <w:color w:val="000000"/>
                <w:sz w:val="20"/>
                <w:szCs w:val="20"/>
              </w:rPr>
            </w:pPr>
            <w:r>
              <w:rPr>
                <w:color w:val="000000"/>
                <w:sz w:val="20"/>
                <w:szCs w:val="20"/>
              </w:rPr>
              <w:t>5</w:t>
            </w:r>
            <w:r w:rsidR="009E5697">
              <w:rPr>
                <w:color w:val="000000"/>
                <w:sz w:val="20"/>
                <w:szCs w:val="20"/>
              </w:rPr>
              <w:t xml:space="preserve"> months after OMB approval</w:t>
            </w:r>
          </w:p>
        </w:tc>
      </w:tr>
      <w:tr w:rsidR="00464F33" w:rsidTr="00667194">
        <w:trPr>
          <w:trHeight w:val="435"/>
        </w:trPr>
        <w:tc>
          <w:tcPr>
            <w:tcW w:w="4480" w:type="dxa"/>
            <w:shd w:val="clear" w:color="auto" w:fill="auto"/>
            <w:vAlign w:val="center"/>
            <w:hideMark/>
          </w:tcPr>
          <w:p w:rsidR="00464F33" w:rsidRDefault="00464F33" w:rsidP="0074257B">
            <w:pPr>
              <w:ind w:firstLineChars="200" w:firstLine="400"/>
              <w:rPr>
                <w:color w:val="000000"/>
                <w:sz w:val="20"/>
                <w:szCs w:val="20"/>
              </w:rPr>
            </w:pPr>
            <w:r>
              <w:rPr>
                <w:color w:val="000000"/>
                <w:sz w:val="20"/>
                <w:szCs w:val="20"/>
              </w:rPr>
              <w:t>Initial data analysis results</w:t>
            </w:r>
          </w:p>
        </w:tc>
        <w:tc>
          <w:tcPr>
            <w:tcW w:w="2060" w:type="dxa"/>
            <w:shd w:val="clear" w:color="auto" w:fill="auto"/>
            <w:vAlign w:val="center"/>
            <w:hideMark/>
          </w:tcPr>
          <w:p w:rsidR="00464F33" w:rsidRDefault="009A4BF1" w:rsidP="0074257B">
            <w:pPr>
              <w:jc w:val="center"/>
              <w:rPr>
                <w:color w:val="000000"/>
                <w:sz w:val="20"/>
                <w:szCs w:val="20"/>
              </w:rPr>
            </w:pPr>
            <w:r>
              <w:rPr>
                <w:color w:val="000000"/>
                <w:sz w:val="20"/>
                <w:szCs w:val="20"/>
              </w:rPr>
              <w:t>6</w:t>
            </w:r>
            <w:r w:rsidR="009E5697">
              <w:rPr>
                <w:color w:val="000000"/>
                <w:sz w:val="20"/>
                <w:szCs w:val="20"/>
              </w:rPr>
              <w:t xml:space="preserve"> months after OMB approval</w:t>
            </w:r>
          </w:p>
        </w:tc>
      </w:tr>
      <w:tr w:rsidR="00464F33" w:rsidTr="00667194">
        <w:trPr>
          <w:trHeight w:val="435"/>
        </w:trPr>
        <w:tc>
          <w:tcPr>
            <w:tcW w:w="4480" w:type="dxa"/>
            <w:shd w:val="clear" w:color="auto" w:fill="auto"/>
            <w:vAlign w:val="center"/>
            <w:hideMark/>
          </w:tcPr>
          <w:p w:rsidR="00464F33" w:rsidRDefault="00464F33" w:rsidP="0074257B">
            <w:pPr>
              <w:ind w:firstLineChars="200" w:firstLine="400"/>
              <w:rPr>
                <w:color w:val="000000"/>
                <w:sz w:val="20"/>
                <w:szCs w:val="20"/>
              </w:rPr>
            </w:pPr>
            <w:r>
              <w:rPr>
                <w:color w:val="000000"/>
                <w:sz w:val="20"/>
                <w:szCs w:val="20"/>
              </w:rPr>
              <w:t>Draft survey report</w:t>
            </w:r>
          </w:p>
        </w:tc>
        <w:tc>
          <w:tcPr>
            <w:tcW w:w="2060" w:type="dxa"/>
            <w:shd w:val="clear" w:color="auto" w:fill="auto"/>
            <w:vAlign w:val="center"/>
            <w:hideMark/>
          </w:tcPr>
          <w:p w:rsidR="00464F33" w:rsidRDefault="009A4BF1" w:rsidP="0074257B">
            <w:pPr>
              <w:jc w:val="center"/>
              <w:rPr>
                <w:color w:val="000000"/>
                <w:sz w:val="20"/>
                <w:szCs w:val="20"/>
              </w:rPr>
            </w:pPr>
            <w:r>
              <w:rPr>
                <w:color w:val="000000"/>
                <w:sz w:val="20"/>
                <w:szCs w:val="20"/>
              </w:rPr>
              <w:t>8</w:t>
            </w:r>
            <w:r w:rsidR="009E5697">
              <w:rPr>
                <w:color w:val="000000"/>
                <w:sz w:val="20"/>
                <w:szCs w:val="20"/>
              </w:rPr>
              <w:t xml:space="preserve"> months after OMB approval</w:t>
            </w:r>
          </w:p>
        </w:tc>
      </w:tr>
      <w:tr w:rsidR="00464F33" w:rsidTr="00667194">
        <w:trPr>
          <w:trHeight w:val="435"/>
        </w:trPr>
        <w:tc>
          <w:tcPr>
            <w:tcW w:w="4480" w:type="dxa"/>
            <w:shd w:val="clear" w:color="auto" w:fill="auto"/>
            <w:vAlign w:val="center"/>
            <w:hideMark/>
          </w:tcPr>
          <w:p w:rsidR="00464F33" w:rsidRDefault="00464F33" w:rsidP="0074257B">
            <w:pPr>
              <w:ind w:firstLineChars="200" w:firstLine="400"/>
              <w:rPr>
                <w:color w:val="000000"/>
                <w:sz w:val="20"/>
                <w:szCs w:val="20"/>
              </w:rPr>
            </w:pPr>
            <w:r>
              <w:rPr>
                <w:color w:val="000000"/>
                <w:sz w:val="20"/>
                <w:szCs w:val="20"/>
              </w:rPr>
              <w:t>Finalize survey report</w:t>
            </w:r>
          </w:p>
        </w:tc>
        <w:tc>
          <w:tcPr>
            <w:tcW w:w="2060" w:type="dxa"/>
            <w:shd w:val="clear" w:color="auto" w:fill="auto"/>
            <w:vAlign w:val="center"/>
            <w:hideMark/>
          </w:tcPr>
          <w:p w:rsidR="00464F33" w:rsidRDefault="009A4BF1" w:rsidP="0074257B">
            <w:pPr>
              <w:jc w:val="center"/>
              <w:rPr>
                <w:color w:val="000000"/>
                <w:sz w:val="20"/>
                <w:szCs w:val="20"/>
              </w:rPr>
            </w:pPr>
            <w:r>
              <w:rPr>
                <w:color w:val="000000"/>
                <w:sz w:val="20"/>
                <w:szCs w:val="20"/>
              </w:rPr>
              <w:t>12</w:t>
            </w:r>
            <w:r w:rsidR="009E5697">
              <w:rPr>
                <w:color w:val="000000"/>
                <w:sz w:val="20"/>
                <w:szCs w:val="20"/>
              </w:rPr>
              <w:t xml:space="preserve"> months after OMB approval</w:t>
            </w:r>
          </w:p>
        </w:tc>
      </w:tr>
    </w:tbl>
    <w:p w:rsidR="00464F33" w:rsidRDefault="00464F33" w:rsidP="00464F33">
      <w:pPr>
        <w:ind w:left="720" w:hanging="720"/>
        <w:rPr>
          <w:b/>
        </w:rPr>
      </w:pPr>
    </w:p>
    <w:p w:rsidR="00464F33" w:rsidRDefault="00464F33" w:rsidP="00464F33">
      <w:pPr>
        <w:ind w:left="720" w:hanging="720"/>
        <w:rPr>
          <w:b/>
        </w:rPr>
      </w:pPr>
    </w:p>
    <w:p w:rsidR="00464F33" w:rsidRDefault="00464F33" w:rsidP="00464F33">
      <w:pPr>
        <w:ind w:left="720" w:hanging="720"/>
        <w:rPr>
          <w:b/>
        </w:rPr>
      </w:pPr>
      <w:r>
        <w:rPr>
          <w:b/>
        </w:rPr>
        <w:t xml:space="preserve">17.  </w:t>
      </w:r>
      <w:r w:rsidRPr="006712F9">
        <w:rPr>
          <w:b/>
        </w:rPr>
        <w:t>Reason(s) Display of OMB Expiration Date is Inappropriate</w:t>
      </w:r>
    </w:p>
    <w:p w:rsidR="007620E1" w:rsidRDefault="007620E1" w:rsidP="00464F33">
      <w:pPr>
        <w:ind w:left="720" w:hanging="720"/>
        <w:rPr>
          <w:b/>
        </w:rPr>
      </w:pPr>
    </w:p>
    <w:p w:rsidR="00464F33" w:rsidRPr="005A2E28" w:rsidRDefault="00464F33" w:rsidP="00464F33">
      <w:r>
        <w:t>The proposed survey instrument will display the expiration date.</w:t>
      </w:r>
    </w:p>
    <w:p w:rsidR="00464F33" w:rsidRDefault="00464F33" w:rsidP="00464F33"/>
    <w:p w:rsidR="00464F33" w:rsidRDefault="00464F33" w:rsidP="00464F33">
      <w:pPr>
        <w:ind w:left="720" w:hanging="720"/>
        <w:rPr>
          <w:b/>
        </w:rPr>
      </w:pPr>
      <w:r>
        <w:rPr>
          <w:b/>
        </w:rPr>
        <w:t xml:space="preserve">18.  </w:t>
      </w:r>
      <w:r w:rsidRPr="006712F9">
        <w:rPr>
          <w:b/>
        </w:rPr>
        <w:t>Exceptions to Certification for Paperwork Reduction Act Submissions</w:t>
      </w:r>
    </w:p>
    <w:p w:rsidR="007620E1" w:rsidRPr="005C4E27" w:rsidRDefault="007620E1" w:rsidP="00464F33">
      <w:pPr>
        <w:ind w:left="720" w:hanging="720"/>
        <w:rPr>
          <w:b/>
        </w:rPr>
      </w:pPr>
    </w:p>
    <w:p w:rsidR="00464F33" w:rsidRDefault="00464F33" w:rsidP="00464F33">
      <w:r>
        <w:t xml:space="preserve">This data collection has been designed in accordance with the requirements specified in Item 19 of the OMB 83-I.  No exceptions to certification are requested. </w:t>
      </w:r>
    </w:p>
    <w:p w:rsidR="00464F33" w:rsidRDefault="00464F33" w:rsidP="00F141F8">
      <w:r>
        <w:t xml:space="preserve"> </w:t>
      </w:r>
    </w:p>
    <w:p w:rsidR="0074257B" w:rsidRDefault="0074257B"/>
    <w:sectPr w:rsidR="0074257B" w:rsidSect="00667194">
      <w:footerReference w:type="defaul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B04" w:rsidRDefault="00311B04" w:rsidP="004864B4">
      <w:r>
        <w:separator/>
      </w:r>
    </w:p>
  </w:endnote>
  <w:endnote w:type="continuationSeparator" w:id="0">
    <w:p w:rsidR="00311B04" w:rsidRDefault="00311B04" w:rsidP="00486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9647579"/>
      <w:docPartObj>
        <w:docPartGallery w:val="Page Numbers (Bottom of Page)"/>
        <w:docPartUnique/>
      </w:docPartObj>
    </w:sdtPr>
    <w:sdtContent>
      <w:p w:rsidR="00311B04" w:rsidRDefault="00164B60">
        <w:pPr>
          <w:pStyle w:val="Footer"/>
          <w:jc w:val="right"/>
        </w:pPr>
        <w:fldSimple w:instr=" PAGE   \* MERGEFORMAT ">
          <w:r w:rsidR="00121CE7">
            <w:rPr>
              <w:noProof/>
            </w:rPr>
            <w:t>8</w:t>
          </w:r>
        </w:fldSimple>
      </w:p>
    </w:sdtContent>
  </w:sdt>
  <w:p w:rsidR="00311B04" w:rsidRDefault="00311B0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B04" w:rsidRDefault="00311B04" w:rsidP="004864B4">
      <w:r>
        <w:separator/>
      </w:r>
    </w:p>
  </w:footnote>
  <w:footnote w:type="continuationSeparator" w:id="0">
    <w:p w:rsidR="00311B04" w:rsidRDefault="00311B04" w:rsidP="004864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391866"/>
    <w:multiLevelType w:val="hybridMultilevel"/>
    <w:tmpl w:val="77CEA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82614B2"/>
    <w:multiLevelType w:val="hybridMultilevel"/>
    <w:tmpl w:val="5BA88E26"/>
    <w:lvl w:ilvl="0" w:tplc="F76EF6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hdrShapeDefaults>
    <o:shapedefaults v:ext="edit" spidmax="34817"/>
  </w:hdrShapeDefaults>
  <w:footnotePr>
    <w:footnote w:id="-1"/>
    <w:footnote w:id="0"/>
  </w:footnotePr>
  <w:endnotePr>
    <w:endnote w:id="-1"/>
    <w:endnote w:id="0"/>
  </w:endnotePr>
  <w:compat/>
  <w:rsids>
    <w:rsidRoot w:val="00464F33"/>
    <w:rsid w:val="00055659"/>
    <w:rsid w:val="00104202"/>
    <w:rsid w:val="00121CE7"/>
    <w:rsid w:val="00131FCA"/>
    <w:rsid w:val="00141587"/>
    <w:rsid w:val="00164B60"/>
    <w:rsid w:val="001B59C2"/>
    <w:rsid w:val="001C3D18"/>
    <w:rsid w:val="001D6637"/>
    <w:rsid w:val="002126BC"/>
    <w:rsid w:val="00270B27"/>
    <w:rsid w:val="00283431"/>
    <w:rsid w:val="0029079C"/>
    <w:rsid w:val="002F2901"/>
    <w:rsid w:val="00311B04"/>
    <w:rsid w:val="003B5EE7"/>
    <w:rsid w:val="00461B65"/>
    <w:rsid w:val="00464F33"/>
    <w:rsid w:val="004864B4"/>
    <w:rsid w:val="004E3685"/>
    <w:rsid w:val="00566B06"/>
    <w:rsid w:val="0056744B"/>
    <w:rsid w:val="0059787B"/>
    <w:rsid w:val="005C187D"/>
    <w:rsid w:val="005C1CD8"/>
    <w:rsid w:val="00660AB2"/>
    <w:rsid w:val="00667194"/>
    <w:rsid w:val="00692E3E"/>
    <w:rsid w:val="00702087"/>
    <w:rsid w:val="00732A65"/>
    <w:rsid w:val="0074257B"/>
    <w:rsid w:val="00756DF6"/>
    <w:rsid w:val="007573CB"/>
    <w:rsid w:val="007620E1"/>
    <w:rsid w:val="007759B3"/>
    <w:rsid w:val="007B4FA9"/>
    <w:rsid w:val="007B5B14"/>
    <w:rsid w:val="007F6EEE"/>
    <w:rsid w:val="00800DF0"/>
    <w:rsid w:val="008033B2"/>
    <w:rsid w:val="00854B81"/>
    <w:rsid w:val="00882B1D"/>
    <w:rsid w:val="00883564"/>
    <w:rsid w:val="00926D47"/>
    <w:rsid w:val="00942D5E"/>
    <w:rsid w:val="009748E3"/>
    <w:rsid w:val="009A4BF1"/>
    <w:rsid w:val="009C0169"/>
    <w:rsid w:val="009E5697"/>
    <w:rsid w:val="00A07508"/>
    <w:rsid w:val="00A15B90"/>
    <w:rsid w:val="00A866A4"/>
    <w:rsid w:val="00AB11FD"/>
    <w:rsid w:val="00B0737C"/>
    <w:rsid w:val="00B2065C"/>
    <w:rsid w:val="00B33412"/>
    <w:rsid w:val="00B4697E"/>
    <w:rsid w:val="00B62B8C"/>
    <w:rsid w:val="00B82143"/>
    <w:rsid w:val="00BD4060"/>
    <w:rsid w:val="00BF0A0F"/>
    <w:rsid w:val="00C17E3B"/>
    <w:rsid w:val="00C768CC"/>
    <w:rsid w:val="00C96AC3"/>
    <w:rsid w:val="00CC6054"/>
    <w:rsid w:val="00CF536A"/>
    <w:rsid w:val="00D20607"/>
    <w:rsid w:val="00D33F07"/>
    <w:rsid w:val="00E16FFA"/>
    <w:rsid w:val="00E24341"/>
    <w:rsid w:val="00E52693"/>
    <w:rsid w:val="00E52F4F"/>
    <w:rsid w:val="00F1080A"/>
    <w:rsid w:val="00F141F8"/>
    <w:rsid w:val="00F834BE"/>
    <w:rsid w:val="00F87698"/>
    <w:rsid w:val="00FB2A08"/>
    <w:rsid w:val="00FE7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F3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64F33"/>
    <w:rPr>
      <w:color w:val="0000FF"/>
      <w:u w:val="single"/>
    </w:rPr>
  </w:style>
  <w:style w:type="character" w:customStyle="1" w:styleId="apple-style-span">
    <w:name w:val="apple-style-span"/>
    <w:basedOn w:val="DefaultParagraphFont"/>
    <w:rsid w:val="00464F33"/>
  </w:style>
  <w:style w:type="character" w:customStyle="1" w:styleId="org">
    <w:name w:val="org"/>
    <w:basedOn w:val="DefaultParagraphFont"/>
    <w:rsid w:val="00464F33"/>
  </w:style>
  <w:style w:type="character" w:customStyle="1" w:styleId="apple-converted-space">
    <w:name w:val="apple-converted-space"/>
    <w:basedOn w:val="DefaultParagraphFont"/>
    <w:rsid w:val="00464F33"/>
  </w:style>
  <w:style w:type="character" w:customStyle="1" w:styleId="street-address">
    <w:name w:val="street-address"/>
    <w:basedOn w:val="DefaultParagraphFont"/>
    <w:rsid w:val="00464F33"/>
  </w:style>
  <w:style w:type="character" w:customStyle="1" w:styleId="locality">
    <w:name w:val="locality"/>
    <w:basedOn w:val="DefaultParagraphFont"/>
    <w:rsid w:val="00464F33"/>
  </w:style>
  <w:style w:type="character" w:customStyle="1" w:styleId="region">
    <w:name w:val="region"/>
    <w:basedOn w:val="DefaultParagraphFont"/>
    <w:rsid w:val="00464F33"/>
  </w:style>
  <w:style w:type="character" w:customStyle="1" w:styleId="postal-code">
    <w:name w:val="postal-code"/>
    <w:basedOn w:val="DefaultParagraphFont"/>
    <w:rsid w:val="00464F33"/>
  </w:style>
  <w:style w:type="paragraph" w:styleId="ListParagraph">
    <w:name w:val="List Paragraph"/>
    <w:basedOn w:val="Normal"/>
    <w:uiPriority w:val="34"/>
    <w:qFormat/>
    <w:rsid w:val="0074257B"/>
    <w:pPr>
      <w:ind w:left="720"/>
      <w:contextualSpacing/>
    </w:pPr>
  </w:style>
  <w:style w:type="paragraph" w:styleId="Header">
    <w:name w:val="header"/>
    <w:basedOn w:val="Normal"/>
    <w:link w:val="HeaderChar"/>
    <w:uiPriority w:val="99"/>
    <w:semiHidden/>
    <w:unhideWhenUsed/>
    <w:rsid w:val="004864B4"/>
    <w:pPr>
      <w:tabs>
        <w:tab w:val="center" w:pos="4680"/>
        <w:tab w:val="right" w:pos="9360"/>
      </w:tabs>
    </w:pPr>
  </w:style>
  <w:style w:type="character" w:customStyle="1" w:styleId="HeaderChar">
    <w:name w:val="Header Char"/>
    <w:basedOn w:val="DefaultParagraphFont"/>
    <w:link w:val="Header"/>
    <w:uiPriority w:val="99"/>
    <w:semiHidden/>
    <w:rsid w:val="004864B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64B4"/>
    <w:pPr>
      <w:tabs>
        <w:tab w:val="center" w:pos="4680"/>
        <w:tab w:val="right" w:pos="9360"/>
      </w:tabs>
    </w:pPr>
  </w:style>
  <w:style w:type="character" w:customStyle="1" w:styleId="FooterChar">
    <w:name w:val="Footer Char"/>
    <w:basedOn w:val="DefaultParagraphFont"/>
    <w:link w:val="Footer"/>
    <w:uiPriority w:val="99"/>
    <w:rsid w:val="004864B4"/>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67194"/>
    <w:rPr>
      <w:color w:val="800080" w:themeColor="followedHyperlink"/>
      <w:u w:val="single"/>
    </w:rPr>
  </w:style>
  <w:style w:type="paragraph" w:styleId="BalloonText">
    <w:name w:val="Balloon Text"/>
    <w:basedOn w:val="Normal"/>
    <w:link w:val="BalloonTextChar"/>
    <w:uiPriority w:val="99"/>
    <w:semiHidden/>
    <w:unhideWhenUsed/>
    <w:rsid w:val="00A07508"/>
    <w:rPr>
      <w:rFonts w:ascii="Tahoma" w:hAnsi="Tahoma" w:cs="Tahoma"/>
      <w:sz w:val="16"/>
      <w:szCs w:val="16"/>
    </w:rPr>
  </w:style>
  <w:style w:type="character" w:customStyle="1" w:styleId="BalloonTextChar">
    <w:name w:val="Balloon Text Char"/>
    <w:basedOn w:val="DefaultParagraphFont"/>
    <w:link w:val="BalloonText"/>
    <w:uiPriority w:val="99"/>
    <w:semiHidden/>
    <w:rsid w:val="00A0750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9546452">
      <w:bodyDiv w:val="1"/>
      <w:marLeft w:val="0"/>
      <w:marRight w:val="0"/>
      <w:marTop w:val="0"/>
      <w:marBottom w:val="0"/>
      <w:divBdr>
        <w:top w:val="none" w:sz="0" w:space="0" w:color="auto"/>
        <w:left w:val="none" w:sz="0" w:space="0" w:color="auto"/>
        <w:bottom w:val="none" w:sz="0" w:space="0" w:color="auto"/>
        <w:right w:val="none" w:sz="0" w:space="0" w:color="auto"/>
      </w:divBdr>
    </w:div>
    <w:div w:id="1447236134">
      <w:bodyDiv w:val="1"/>
      <w:marLeft w:val="0"/>
      <w:marRight w:val="0"/>
      <w:marTop w:val="0"/>
      <w:marBottom w:val="0"/>
      <w:divBdr>
        <w:top w:val="none" w:sz="0" w:space="0" w:color="auto"/>
        <w:left w:val="none" w:sz="0" w:space="0" w:color="auto"/>
        <w:bottom w:val="none" w:sz="0" w:space="0" w:color="auto"/>
        <w:right w:val="none" w:sz="0" w:space="0" w:color="auto"/>
      </w:divBdr>
    </w:div>
    <w:div w:id="145309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wilkinson@altarum.org" TargetMode="External"/><Relationship Id="rId13" Type="http://schemas.openxmlformats.org/officeDocument/2006/relationships/hyperlink" Target="http://www.opm.gov/oca/11tables/html/atl_h.asp" TargetMode="External"/><Relationship Id="rId3" Type="http://schemas.openxmlformats.org/officeDocument/2006/relationships/settings" Target="settings.xml"/><Relationship Id="rId7" Type="http://schemas.openxmlformats.org/officeDocument/2006/relationships/hyperlink" Target="mailto:czt7@cdc.gov" TargetMode="External"/><Relationship Id="rId12" Type="http://schemas.openxmlformats.org/officeDocument/2006/relationships/hyperlink" Target="http://www.bls.gov/oes/current/oes_nat.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epner@chicagobooth.ed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hicknej@ccf.org" TargetMode="External"/><Relationship Id="rId4" Type="http://schemas.openxmlformats.org/officeDocument/2006/relationships/webSettings" Target="webSettings.xml"/><Relationship Id="rId9" Type="http://schemas.openxmlformats.org/officeDocument/2006/relationships/hyperlink" Target="mailto:brian.jackson@aruplab.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2478</Words>
  <Characters>14126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Centers for Disease Control &amp; Prevention</dc:creator>
  <cp:keywords/>
  <dc:description/>
  <cp:lastModifiedBy>Centers for Disease Control &amp; Prevention</cp:lastModifiedBy>
  <cp:revision>2</cp:revision>
  <cp:lastPrinted>2011-01-24T13:30:00Z</cp:lastPrinted>
  <dcterms:created xsi:type="dcterms:W3CDTF">2011-07-25T12:37:00Z</dcterms:created>
  <dcterms:modified xsi:type="dcterms:W3CDTF">2011-07-25T12:37:00Z</dcterms:modified>
</cp:coreProperties>
</file>