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B473F6" w:rsidRDefault="00B473F6" w:rsidP="00B473F6">
      <w:pPr>
        <w:jc w:val="center"/>
      </w:pPr>
    </w:p>
    <w:p w:rsidR="004D367F" w:rsidRPr="00B473F6" w:rsidRDefault="00962407" w:rsidP="00B473F6">
      <w:pPr>
        <w:jc w:val="center"/>
      </w:pPr>
      <w:r>
        <w:t>Final</w:t>
      </w:r>
    </w:p>
    <w:p w:rsidR="00832233" w:rsidRDefault="00832233" w:rsidP="00B473F6">
      <w:pPr>
        <w:jc w:val="center"/>
      </w:pPr>
      <w:r w:rsidRPr="00B473F6">
        <w:t>Supporting</w:t>
      </w:r>
      <w:r w:rsidR="00B473F6" w:rsidRPr="00B473F6">
        <w:t xml:space="preserve"> </w:t>
      </w:r>
      <w:r w:rsidRPr="00B473F6">
        <w:t>Statement</w:t>
      </w:r>
      <w:r w:rsidRPr="00B473F6">
        <w:br/>
        <w:t>for</w:t>
      </w:r>
      <w:r w:rsidRPr="00B473F6">
        <w:br/>
        <w:t>Information Collection Request</w:t>
      </w:r>
    </w:p>
    <w:p w:rsidR="00567DA4" w:rsidRPr="00B473F6" w:rsidRDefault="00567DA4" w:rsidP="00B473F6">
      <w:pPr>
        <w:jc w:val="center"/>
      </w:pPr>
      <w:r>
        <w:t>Motor Vehicle Emissions:</w:t>
      </w:r>
    </w:p>
    <w:p w:rsidR="00CF4D5C" w:rsidRPr="00B473F6" w:rsidRDefault="00F867BC" w:rsidP="00B473F6">
      <w:pPr>
        <w:jc w:val="center"/>
      </w:pPr>
      <w:r w:rsidRPr="00B473F6">
        <w:t xml:space="preserve">Revisions to </w:t>
      </w:r>
      <w:r w:rsidR="00093706">
        <w:t xml:space="preserve">Certification of Alternative Fuels Conversions </w:t>
      </w:r>
    </w:p>
    <w:p w:rsidR="00FA634C" w:rsidRPr="00B473F6" w:rsidRDefault="00F867BC" w:rsidP="00B473F6">
      <w:pPr>
        <w:jc w:val="center"/>
      </w:pPr>
      <w:r w:rsidRPr="00B473F6">
        <w:t>EPA ICR 0783.</w:t>
      </w:r>
      <w:r w:rsidR="0086482D">
        <w:t>5</w:t>
      </w:r>
      <w:r w:rsidR="00962407">
        <w:t>9</w:t>
      </w:r>
    </w:p>
    <w:p w:rsidR="00FA634C" w:rsidRDefault="00FA634C" w:rsidP="00692526">
      <w:pPr>
        <w:pStyle w:val="Style13"/>
        <w:spacing w:line="240" w:lineRule="auto"/>
        <w:rPr>
          <w:spacing w:val="8"/>
        </w:rPr>
      </w:pPr>
    </w:p>
    <w:p w:rsidR="00962407" w:rsidRDefault="00832233" w:rsidP="00692526">
      <w:pPr>
        <w:pStyle w:val="Style13"/>
        <w:spacing w:line="240" w:lineRule="auto"/>
        <w:rPr>
          <w:spacing w:val="8"/>
        </w:rPr>
      </w:pPr>
      <w:r w:rsidRPr="005379F3">
        <w:rPr>
          <w:spacing w:val="8"/>
        </w:rPr>
        <w:br/>
      </w:r>
    </w:p>
    <w:p w:rsidR="00962407" w:rsidRDefault="00962407" w:rsidP="00692526">
      <w:pPr>
        <w:pStyle w:val="Style13"/>
        <w:spacing w:line="240" w:lineRule="auto"/>
        <w:rPr>
          <w:spacing w:val="8"/>
        </w:rPr>
      </w:pPr>
    </w:p>
    <w:p w:rsidR="00962407" w:rsidRDefault="00962407" w:rsidP="00692526">
      <w:pPr>
        <w:pStyle w:val="Style13"/>
        <w:spacing w:line="240" w:lineRule="auto"/>
        <w:rPr>
          <w:spacing w:val="8"/>
        </w:rPr>
      </w:pPr>
    </w:p>
    <w:p w:rsidR="00FA634C" w:rsidRDefault="00FA634C" w:rsidP="00692526">
      <w:pPr>
        <w:pStyle w:val="Style13"/>
        <w:spacing w:line="240" w:lineRule="auto"/>
        <w:rPr>
          <w:spacing w:val="8"/>
        </w:rPr>
      </w:pPr>
    </w:p>
    <w:p w:rsidR="00C170DD" w:rsidRDefault="00C170DD" w:rsidP="00692526">
      <w:pPr>
        <w:pStyle w:val="Style13"/>
        <w:spacing w:line="240" w:lineRule="auto"/>
        <w:rPr>
          <w:spacing w:val="8"/>
        </w:rPr>
      </w:pPr>
    </w:p>
    <w:p w:rsidR="00FA634C" w:rsidRDefault="00FA634C"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1141C8" w:rsidRDefault="001141C8" w:rsidP="00692526">
      <w:pPr>
        <w:pStyle w:val="Style13"/>
        <w:spacing w:line="240" w:lineRule="auto"/>
        <w:rPr>
          <w:spacing w:val="8"/>
        </w:rPr>
      </w:pPr>
    </w:p>
    <w:p w:rsidR="009925D1" w:rsidRDefault="009925D1" w:rsidP="00692526">
      <w:pPr>
        <w:pStyle w:val="Style13"/>
        <w:spacing w:line="240" w:lineRule="auto"/>
        <w:rPr>
          <w:spacing w:val="8"/>
        </w:rPr>
      </w:pPr>
    </w:p>
    <w:p w:rsidR="009925D1" w:rsidRDefault="009925D1" w:rsidP="00692526">
      <w:pPr>
        <w:pStyle w:val="Style13"/>
        <w:spacing w:line="240" w:lineRule="auto"/>
        <w:rPr>
          <w:spacing w:val="8"/>
        </w:rPr>
      </w:pPr>
    </w:p>
    <w:p w:rsidR="009925D1" w:rsidRDefault="009925D1" w:rsidP="00692526">
      <w:pPr>
        <w:pStyle w:val="Style13"/>
        <w:spacing w:line="240" w:lineRule="auto"/>
        <w:rPr>
          <w:spacing w:val="8"/>
        </w:rPr>
      </w:pPr>
    </w:p>
    <w:p w:rsidR="009925D1" w:rsidRDefault="009925D1" w:rsidP="00692526">
      <w:pPr>
        <w:pStyle w:val="Style13"/>
        <w:spacing w:line="240" w:lineRule="auto"/>
        <w:rPr>
          <w:spacing w:val="8"/>
        </w:rPr>
      </w:pPr>
    </w:p>
    <w:p w:rsidR="001141C8" w:rsidRDefault="001141C8" w:rsidP="00692526">
      <w:pPr>
        <w:pStyle w:val="Style13"/>
        <w:spacing w:line="240" w:lineRule="auto"/>
        <w:rPr>
          <w:spacing w:val="8"/>
        </w:rPr>
      </w:pPr>
    </w:p>
    <w:p w:rsidR="00F867BC" w:rsidRDefault="00832233" w:rsidP="002A4BA7">
      <w:pPr>
        <w:jc w:val="center"/>
      </w:pPr>
      <w:r w:rsidRPr="005379F3">
        <w:t>C</w:t>
      </w:r>
      <w:r w:rsidR="00F867BC">
        <w:t>ompliance</w:t>
      </w:r>
      <w:r w:rsidRPr="005379F3">
        <w:t xml:space="preserve"> and </w:t>
      </w:r>
      <w:r w:rsidR="00F867BC">
        <w:t>Innovative Strategies Division</w:t>
      </w:r>
    </w:p>
    <w:p w:rsidR="00832233" w:rsidRPr="005379F3" w:rsidRDefault="00832233" w:rsidP="00F867BC">
      <w:pPr>
        <w:pStyle w:val="Style14"/>
        <w:spacing w:before="0"/>
        <w:rPr>
          <w:spacing w:val="8"/>
        </w:rPr>
      </w:pPr>
      <w:r w:rsidRPr="005379F3">
        <w:rPr>
          <w:spacing w:val="8"/>
        </w:rPr>
        <w:t>Office of Transportation and Air Quality</w:t>
      </w:r>
      <w:r w:rsidRPr="005379F3">
        <w:rPr>
          <w:spacing w:val="8"/>
        </w:rPr>
        <w:br/>
        <w:t>Office of Air and Radiation</w:t>
      </w:r>
      <w:r w:rsidRPr="005379F3">
        <w:rPr>
          <w:spacing w:val="8"/>
        </w:rPr>
        <w:br/>
        <w:t>U.S. Environmental Protection Agency</w:t>
      </w:r>
    </w:p>
    <w:p w:rsidR="00832233" w:rsidRPr="005379F3" w:rsidRDefault="00832233" w:rsidP="00692526">
      <w:pPr>
        <w:pStyle w:val="Style14"/>
        <w:jc w:val="left"/>
        <w:sectPr w:rsidR="00832233" w:rsidRPr="005379F3" w:rsidSect="004E7552">
          <w:footerReference w:type="even" r:id="rId7"/>
          <w:footerReference w:type="default" r:id="rId8"/>
          <w:pgSz w:w="12240" w:h="15840"/>
          <w:pgMar w:top="1440" w:right="2572" w:bottom="1440" w:left="2141" w:header="720" w:footer="720" w:gutter="0"/>
          <w:cols w:space="720"/>
          <w:noEndnote/>
          <w:titlePg/>
        </w:sectPr>
      </w:pPr>
    </w:p>
    <w:p w:rsidR="005379F3" w:rsidRPr="005379F3" w:rsidRDefault="00832233" w:rsidP="00C72055">
      <w:pPr>
        <w:spacing w:line="480" w:lineRule="auto"/>
        <w:ind w:right="3456" w:firstLine="3456"/>
        <w:rPr>
          <w:spacing w:val="6"/>
          <w:u w:val="single"/>
        </w:rPr>
      </w:pPr>
      <w:r w:rsidRPr="005379F3">
        <w:rPr>
          <w:spacing w:val="6"/>
        </w:rPr>
        <w:lastRenderedPageBreak/>
        <w:t xml:space="preserve">Part A SUBMISSION </w:t>
      </w:r>
      <w:r w:rsidR="003F4388">
        <w:rPr>
          <w:spacing w:val="6"/>
          <w:u w:val="single"/>
        </w:rPr>
        <w:t xml:space="preserve">Section 1: Identification </w:t>
      </w:r>
      <w:proofErr w:type="gramStart"/>
      <w:r w:rsidR="003F4388">
        <w:rPr>
          <w:spacing w:val="6"/>
          <w:u w:val="single"/>
        </w:rPr>
        <w:t>Of</w:t>
      </w:r>
      <w:proofErr w:type="gramEnd"/>
      <w:r w:rsidR="003F4388">
        <w:rPr>
          <w:spacing w:val="6"/>
          <w:u w:val="single"/>
        </w:rPr>
        <w:t xml:space="preserve"> T</w:t>
      </w:r>
      <w:r w:rsidRPr="005379F3">
        <w:rPr>
          <w:spacing w:val="6"/>
          <w:u w:val="single"/>
        </w:rPr>
        <w:t>he Information Collection</w:t>
      </w:r>
    </w:p>
    <w:p w:rsidR="00244D11" w:rsidRDefault="005379F3" w:rsidP="00244D11">
      <w:pPr>
        <w:outlineLvl w:val="0"/>
      </w:pPr>
      <w:r w:rsidRPr="005379F3">
        <w:t xml:space="preserve">1(a) </w:t>
      </w:r>
      <w:r w:rsidR="003F4388">
        <w:rPr>
          <w:u w:val="single"/>
        </w:rPr>
        <w:t xml:space="preserve">Title </w:t>
      </w:r>
      <w:proofErr w:type="gramStart"/>
      <w:r w:rsidR="003F4388">
        <w:rPr>
          <w:u w:val="single"/>
        </w:rPr>
        <w:t>A</w:t>
      </w:r>
      <w:r w:rsidR="00832233" w:rsidRPr="005379F3">
        <w:rPr>
          <w:u w:val="single"/>
        </w:rPr>
        <w:t>nd</w:t>
      </w:r>
      <w:proofErr w:type="gramEnd"/>
      <w:r w:rsidR="003F4388">
        <w:rPr>
          <w:u w:val="single"/>
        </w:rPr>
        <w:t xml:space="preserve"> Number Of T</w:t>
      </w:r>
      <w:r w:rsidR="00832233" w:rsidRPr="005379F3">
        <w:rPr>
          <w:u w:val="single"/>
        </w:rPr>
        <w:t>he Information Collect</w:t>
      </w:r>
      <w:r w:rsidR="00244D11">
        <w:rPr>
          <w:u w:val="single"/>
        </w:rPr>
        <w:t>ion</w:t>
      </w:r>
      <w:r w:rsidR="00BC5FE0">
        <w:tab/>
      </w:r>
      <w:r w:rsidR="00F04661" w:rsidRPr="007D7227">
        <w:t xml:space="preserve"> </w:t>
      </w:r>
    </w:p>
    <w:p w:rsidR="00244D11" w:rsidRDefault="00244D11" w:rsidP="00244D11">
      <w:pPr>
        <w:outlineLvl w:val="0"/>
      </w:pPr>
    </w:p>
    <w:p w:rsidR="00832233" w:rsidRPr="007D7227" w:rsidRDefault="00244D11" w:rsidP="00244D11">
      <w:pPr>
        <w:outlineLvl w:val="0"/>
      </w:pPr>
      <w:r>
        <w:tab/>
      </w:r>
      <w:r w:rsidR="00567DA4">
        <w:t xml:space="preserve">Motor Vehicle Emissions: </w:t>
      </w:r>
      <w:r w:rsidR="00093706" w:rsidRPr="00B473F6">
        <w:t xml:space="preserve">Revisions to </w:t>
      </w:r>
      <w:r w:rsidR="00093706">
        <w:t>Certification of Alternative Fuels Conversions</w:t>
      </w:r>
      <w:r>
        <w:t>;</w:t>
      </w:r>
      <w:r w:rsidRPr="00244D11">
        <w:t xml:space="preserve"> </w:t>
      </w:r>
      <w:r w:rsidR="00F04661" w:rsidRPr="007D7227">
        <w:t xml:space="preserve">EPA </w:t>
      </w:r>
      <w:r w:rsidR="00832233" w:rsidRPr="007D7227">
        <w:t xml:space="preserve">ICR number </w:t>
      </w:r>
      <w:r w:rsidR="00832233" w:rsidRPr="00962407">
        <w:t>0783.</w:t>
      </w:r>
      <w:r w:rsidR="00695CAE" w:rsidRPr="00962407">
        <w:t>5</w:t>
      </w:r>
      <w:r w:rsidR="00962407">
        <w:t>9</w:t>
      </w:r>
      <w:r w:rsidR="00832233" w:rsidRPr="00962407">
        <w:t>, OMB control number 2060-</w:t>
      </w:r>
      <w:r w:rsidR="00093706" w:rsidRPr="00962407">
        <w:t>0</w:t>
      </w:r>
      <w:r w:rsidR="00832233" w:rsidRPr="00962407">
        <w:t>104.</w:t>
      </w:r>
    </w:p>
    <w:p w:rsidR="00EF655F" w:rsidRPr="005379F3" w:rsidRDefault="00EF655F" w:rsidP="00692526">
      <w:pPr>
        <w:pStyle w:val="Style6"/>
        <w:jc w:val="left"/>
        <w:rPr>
          <w:spacing w:val="6"/>
        </w:rPr>
      </w:pPr>
    </w:p>
    <w:p w:rsidR="00832233" w:rsidRDefault="005379F3" w:rsidP="00692526">
      <w:pPr>
        <w:rPr>
          <w:spacing w:val="6"/>
          <w:u w:val="single"/>
        </w:rPr>
      </w:pPr>
      <w:r w:rsidRPr="005379F3">
        <w:rPr>
          <w:spacing w:val="6"/>
        </w:rPr>
        <w:t xml:space="preserve">1(b) </w:t>
      </w:r>
      <w:r w:rsidR="00832233" w:rsidRPr="005379F3">
        <w:rPr>
          <w:spacing w:val="6"/>
          <w:u w:val="single"/>
        </w:rPr>
        <w:t>Short Characterization/Abstract</w:t>
      </w:r>
    </w:p>
    <w:p w:rsidR="00EF655F" w:rsidRPr="005379F3" w:rsidRDefault="00EF655F" w:rsidP="00692526">
      <w:pPr>
        <w:rPr>
          <w:spacing w:val="6"/>
        </w:rPr>
      </w:pPr>
    </w:p>
    <w:p w:rsidR="00B473F6" w:rsidRDefault="00BC5FE0" w:rsidP="00C72055">
      <w:pPr>
        <w:pStyle w:val="Style6"/>
        <w:jc w:val="left"/>
        <w:rPr>
          <w:spacing w:val="6"/>
        </w:rPr>
      </w:pPr>
      <w:r>
        <w:rPr>
          <w:spacing w:val="6"/>
        </w:rPr>
        <w:tab/>
      </w:r>
      <w:r w:rsidR="002F57D8" w:rsidRPr="002F57D8">
        <w:rPr>
          <w:spacing w:val="6"/>
        </w:rPr>
        <w:t xml:space="preserve">The Environmental Protection Agency </w:t>
      </w:r>
      <w:r w:rsidR="00093706">
        <w:rPr>
          <w:spacing w:val="6"/>
        </w:rPr>
        <w:t xml:space="preserve">is </w:t>
      </w:r>
      <w:r w:rsidR="007B36A9">
        <w:rPr>
          <w:spacing w:val="6"/>
        </w:rPr>
        <w:t xml:space="preserve">finalizing a rule that is </w:t>
      </w:r>
      <w:r w:rsidR="00244D11">
        <w:rPr>
          <w:spacing w:val="6"/>
        </w:rPr>
        <w:t xml:space="preserve">designed to </w:t>
      </w:r>
      <w:r w:rsidR="00093706">
        <w:rPr>
          <w:spacing w:val="6"/>
        </w:rPr>
        <w:t xml:space="preserve">simplify and lessen the burdens for </w:t>
      </w:r>
      <w:r w:rsidR="007B36A9">
        <w:rPr>
          <w:spacing w:val="6"/>
        </w:rPr>
        <w:t xml:space="preserve">conversion </w:t>
      </w:r>
      <w:r w:rsidR="00093706">
        <w:rPr>
          <w:spacing w:val="6"/>
        </w:rPr>
        <w:t xml:space="preserve">manufacturers seeking </w:t>
      </w:r>
      <w:r w:rsidR="00895D21">
        <w:rPr>
          <w:spacing w:val="6"/>
        </w:rPr>
        <w:t>approval to introduce into commerce in the U.S.</w:t>
      </w:r>
      <w:r w:rsidR="00093706">
        <w:rPr>
          <w:spacing w:val="6"/>
        </w:rPr>
        <w:t xml:space="preserve"> </w:t>
      </w:r>
      <w:r w:rsidR="00673A7E">
        <w:rPr>
          <w:spacing w:val="6"/>
        </w:rPr>
        <w:t>light-duty</w:t>
      </w:r>
      <w:r w:rsidR="00093706">
        <w:rPr>
          <w:spacing w:val="6"/>
        </w:rPr>
        <w:t xml:space="preserve"> vehicles</w:t>
      </w:r>
      <w:r w:rsidR="00C6626F">
        <w:rPr>
          <w:spacing w:val="6"/>
        </w:rPr>
        <w:t>,</w:t>
      </w:r>
      <w:r w:rsidR="00093706">
        <w:rPr>
          <w:spacing w:val="6"/>
        </w:rPr>
        <w:t xml:space="preserve"> </w:t>
      </w:r>
      <w:r w:rsidR="00673A7E">
        <w:rPr>
          <w:spacing w:val="6"/>
        </w:rPr>
        <w:t>light-duty</w:t>
      </w:r>
      <w:r w:rsidR="00093706">
        <w:rPr>
          <w:spacing w:val="6"/>
        </w:rPr>
        <w:t xml:space="preserve"> trucks</w:t>
      </w:r>
      <w:r w:rsidR="00C6626F">
        <w:rPr>
          <w:spacing w:val="6"/>
        </w:rPr>
        <w:t xml:space="preserve">, </w:t>
      </w:r>
      <w:r w:rsidR="00673A7E">
        <w:rPr>
          <w:spacing w:val="6"/>
        </w:rPr>
        <w:t>medium-duty</w:t>
      </w:r>
      <w:r w:rsidR="00C6626F">
        <w:rPr>
          <w:spacing w:val="6"/>
        </w:rPr>
        <w:t xml:space="preserve"> passenger vehicles, and </w:t>
      </w:r>
      <w:r w:rsidR="00C6626F" w:rsidRPr="00C6626F">
        <w:rPr>
          <w:spacing w:val="6"/>
        </w:rPr>
        <w:t>heavy-duty vehicles and engines</w:t>
      </w:r>
      <w:r w:rsidR="00093706">
        <w:rPr>
          <w:spacing w:val="6"/>
        </w:rPr>
        <w:t xml:space="preserve"> </w:t>
      </w:r>
      <w:r w:rsidR="00DD4A6A">
        <w:rPr>
          <w:spacing w:val="6"/>
        </w:rPr>
        <w:t xml:space="preserve">that have been converted </w:t>
      </w:r>
      <w:r w:rsidR="00093706">
        <w:rPr>
          <w:spacing w:val="6"/>
        </w:rPr>
        <w:t xml:space="preserve">for use of fuels that the original models were not designed for, such as </w:t>
      </w:r>
      <w:r w:rsidR="00DD4A6A">
        <w:rPr>
          <w:spacing w:val="6"/>
        </w:rPr>
        <w:t xml:space="preserve">from gasoline to </w:t>
      </w:r>
      <w:r w:rsidR="00093706">
        <w:rPr>
          <w:spacing w:val="6"/>
        </w:rPr>
        <w:t>liquid propane gas (LPG) or compressed natural gas (CNG)</w:t>
      </w:r>
      <w:r w:rsidR="00244D11">
        <w:rPr>
          <w:spacing w:val="6"/>
        </w:rPr>
        <w:t xml:space="preserve">. </w:t>
      </w:r>
      <w:r w:rsidR="00673A7E">
        <w:rPr>
          <w:spacing w:val="6"/>
        </w:rPr>
        <w:t xml:space="preserve">This ICR covers the light-duty portion of the </w:t>
      </w:r>
      <w:r w:rsidR="007B36A9">
        <w:rPr>
          <w:spacing w:val="6"/>
        </w:rPr>
        <w:t>rule</w:t>
      </w:r>
      <w:r w:rsidR="00673A7E">
        <w:rPr>
          <w:spacing w:val="6"/>
        </w:rPr>
        <w:t xml:space="preserve">. </w:t>
      </w:r>
      <w:r w:rsidR="00244D11">
        <w:rPr>
          <w:spacing w:val="6"/>
        </w:rPr>
        <w:t>Th</w:t>
      </w:r>
      <w:r w:rsidR="00093706">
        <w:rPr>
          <w:spacing w:val="6"/>
        </w:rPr>
        <w:t xml:space="preserve">ese applications are </w:t>
      </w:r>
      <w:r w:rsidR="00895D21">
        <w:rPr>
          <w:spacing w:val="6"/>
        </w:rPr>
        <w:t xml:space="preserve">currently </w:t>
      </w:r>
      <w:r w:rsidR="00093706">
        <w:rPr>
          <w:spacing w:val="6"/>
        </w:rPr>
        <w:t xml:space="preserve">administratively handled as a part of </w:t>
      </w:r>
      <w:r w:rsidR="00244D11">
        <w:rPr>
          <w:spacing w:val="6"/>
        </w:rPr>
        <w:t xml:space="preserve">EPA’s motor vehicle and engine certification program, covered by the ICR 0783 series. </w:t>
      </w:r>
    </w:p>
    <w:p w:rsidR="004B4F86" w:rsidRDefault="004B4F86" w:rsidP="00C72055">
      <w:pPr>
        <w:pStyle w:val="Style6"/>
        <w:jc w:val="left"/>
        <w:rPr>
          <w:spacing w:val="6"/>
        </w:rPr>
      </w:pPr>
    </w:p>
    <w:p w:rsidR="0078545E" w:rsidRDefault="00BC5FE0" w:rsidP="00C72055">
      <w:pPr>
        <w:pStyle w:val="Style6"/>
        <w:jc w:val="left"/>
        <w:rPr>
          <w:spacing w:val="6"/>
        </w:rPr>
      </w:pPr>
      <w:r>
        <w:rPr>
          <w:spacing w:val="6"/>
        </w:rPr>
        <w:tab/>
      </w:r>
      <w:r w:rsidR="002F57D8" w:rsidRPr="002F57D8">
        <w:rPr>
          <w:spacing w:val="6"/>
        </w:rPr>
        <w:t xml:space="preserve">These changes </w:t>
      </w:r>
      <w:r w:rsidR="00546868">
        <w:rPr>
          <w:spacing w:val="6"/>
        </w:rPr>
        <w:t>would start taking</w:t>
      </w:r>
      <w:r w:rsidR="002F57D8" w:rsidRPr="002F57D8">
        <w:rPr>
          <w:spacing w:val="6"/>
        </w:rPr>
        <w:t xml:space="preserve"> effect with 20</w:t>
      </w:r>
      <w:r w:rsidR="00244D11">
        <w:rPr>
          <w:spacing w:val="6"/>
        </w:rPr>
        <w:t>1</w:t>
      </w:r>
      <w:r w:rsidR="0086482D">
        <w:rPr>
          <w:spacing w:val="6"/>
        </w:rPr>
        <w:t>1</w:t>
      </w:r>
      <w:r w:rsidR="002F57D8" w:rsidRPr="002F57D8">
        <w:rPr>
          <w:spacing w:val="6"/>
        </w:rPr>
        <w:t xml:space="preserve"> model year </w:t>
      </w:r>
      <w:r w:rsidR="00673A7E">
        <w:rPr>
          <w:spacing w:val="6"/>
        </w:rPr>
        <w:t>light-duty</w:t>
      </w:r>
      <w:r w:rsidR="00B6778A">
        <w:rPr>
          <w:spacing w:val="6"/>
        </w:rPr>
        <w:t xml:space="preserve"> or medium-duty </w:t>
      </w:r>
      <w:r w:rsidR="002F57D8" w:rsidRPr="002F57D8">
        <w:rPr>
          <w:spacing w:val="6"/>
        </w:rPr>
        <w:t>vehicles</w:t>
      </w:r>
      <w:r w:rsidR="00DD4A6A">
        <w:rPr>
          <w:spacing w:val="6"/>
        </w:rPr>
        <w:t xml:space="preserve"> and trucks</w:t>
      </w:r>
      <w:r w:rsidR="00F22CCA">
        <w:rPr>
          <w:spacing w:val="6"/>
        </w:rPr>
        <w:t xml:space="preserve"> or upon the effective date of the final rule</w:t>
      </w:r>
      <w:r w:rsidR="002F57D8" w:rsidRPr="002F57D8">
        <w:rPr>
          <w:spacing w:val="6"/>
        </w:rPr>
        <w:t xml:space="preserve">.  </w:t>
      </w:r>
      <w:r w:rsidR="00244D11">
        <w:rPr>
          <w:spacing w:val="6"/>
        </w:rPr>
        <w:t xml:space="preserve">Starting </w:t>
      </w:r>
      <w:r w:rsidR="00F22CCA">
        <w:rPr>
          <w:spacing w:val="6"/>
        </w:rPr>
        <w:t>then</w:t>
      </w:r>
      <w:r w:rsidR="00244D11">
        <w:rPr>
          <w:spacing w:val="6"/>
        </w:rPr>
        <w:t xml:space="preserve">, </w:t>
      </w:r>
      <w:r w:rsidR="005B3909">
        <w:rPr>
          <w:spacing w:val="6"/>
        </w:rPr>
        <w:t xml:space="preserve">manufacturers will </w:t>
      </w:r>
      <w:r w:rsidR="00DD4A6A">
        <w:rPr>
          <w:spacing w:val="6"/>
        </w:rPr>
        <w:t xml:space="preserve">be given expanded options for submitting </w:t>
      </w:r>
      <w:r w:rsidR="0087386A">
        <w:rPr>
          <w:spacing w:val="6"/>
        </w:rPr>
        <w:t xml:space="preserve">a </w:t>
      </w:r>
      <w:r w:rsidR="00DD4A6A">
        <w:rPr>
          <w:spacing w:val="6"/>
        </w:rPr>
        <w:t xml:space="preserve">simplified </w:t>
      </w:r>
      <w:r w:rsidR="0087386A">
        <w:rPr>
          <w:spacing w:val="6"/>
        </w:rPr>
        <w:t xml:space="preserve">notification </w:t>
      </w:r>
      <w:r w:rsidR="0087386A" w:rsidRPr="00225FAC">
        <w:rPr>
          <w:spacing w:val="6"/>
        </w:rPr>
        <w:t>process</w:t>
      </w:r>
      <w:r w:rsidR="00882F99" w:rsidRPr="00225FAC">
        <w:rPr>
          <w:spacing w:val="6"/>
        </w:rPr>
        <w:t xml:space="preserve"> in some cases</w:t>
      </w:r>
      <w:r w:rsidR="00DD4A6A" w:rsidRPr="00225FAC">
        <w:rPr>
          <w:spacing w:val="6"/>
        </w:rPr>
        <w:t>.</w:t>
      </w:r>
      <w:r w:rsidR="00DD4A6A">
        <w:rPr>
          <w:spacing w:val="6"/>
        </w:rPr>
        <w:t xml:space="preserve"> </w:t>
      </w:r>
      <w:r w:rsidR="005B3909">
        <w:rPr>
          <w:spacing w:val="6"/>
        </w:rPr>
        <w:t xml:space="preserve">ICRs normally have a three year time horizon. </w:t>
      </w:r>
      <w:r w:rsidR="00F22CCA">
        <w:rPr>
          <w:spacing w:val="6"/>
        </w:rPr>
        <w:t>T</w:t>
      </w:r>
      <w:r w:rsidR="003D3185">
        <w:rPr>
          <w:spacing w:val="6"/>
        </w:rPr>
        <w:t>his ICR w</w:t>
      </w:r>
      <w:r w:rsidR="00F22CCA">
        <w:rPr>
          <w:spacing w:val="6"/>
        </w:rPr>
        <w:t>ill</w:t>
      </w:r>
      <w:r w:rsidR="003D3185">
        <w:rPr>
          <w:spacing w:val="6"/>
        </w:rPr>
        <w:t xml:space="preserve"> </w:t>
      </w:r>
      <w:r w:rsidR="005B3909">
        <w:rPr>
          <w:spacing w:val="6"/>
        </w:rPr>
        <w:t>cover the expected paperwork burden</w:t>
      </w:r>
      <w:r w:rsidR="00F22CCA">
        <w:rPr>
          <w:spacing w:val="6"/>
        </w:rPr>
        <w:t xml:space="preserve"> changes</w:t>
      </w:r>
      <w:r w:rsidR="005B3909">
        <w:rPr>
          <w:spacing w:val="6"/>
        </w:rPr>
        <w:t xml:space="preserve"> for </w:t>
      </w:r>
      <w:r w:rsidR="00F22CCA">
        <w:rPr>
          <w:spacing w:val="6"/>
        </w:rPr>
        <w:t>the three years after the effective date of the final rule</w:t>
      </w:r>
      <w:r w:rsidR="005B3909">
        <w:rPr>
          <w:spacing w:val="6"/>
        </w:rPr>
        <w:t xml:space="preserve">. </w:t>
      </w:r>
    </w:p>
    <w:p w:rsidR="00F22CCA" w:rsidRDefault="00F22CCA" w:rsidP="00C72055">
      <w:pPr>
        <w:pStyle w:val="Style6"/>
        <w:jc w:val="left"/>
        <w:rPr>
          <w:spacing w:val="6"/>
        </w:rPr>
      </w:pPr>
    </w:p>
    <w:p w:rsidR="00832233" w:rsidRDefault="00BC5FE0" w:rsidP="00C72055">
      <w:pPr>
        <w:pStyle w:val="Style6"/>
        <w:jc w:val="left"/>
        <w:rPr>
          <w:spacing w:val="6"/>
        </w:rPr>
      </w:pPr>
      <w:r>
        <w:rPr>
          <w:spacing w:val="6"/>
        </w:rPr>
        <w:tab/>
      </w:r>
      <w:r w:rsidR="00832233" w:rsidRPr="00C72055">
        <w:rPr>
          <w:spacing w:val="6"/>
        </w:rPr>
        <w:t xml:space="preserve">Information collected </w:t>
      </w:r>
      <w:r w:rsidR="00404085" w:rsidRPr="00C72055">
        <w:rPr>
          <w:spacing w:val="6"/>
        </w:rPr>
        <w:t xml:space="preserve">under </w:t>
      </w:r>
      <w:r w:rsidR="00895D21">
        <w:rPr>
          <w:spacing w:val="6"/>
        </w:rPr>
        <w:t xml:space="preserve">the </w:t>
      </w:r>
      <w:r w:rsidR="00E8138C">
        <w:rPr>
          <w:spacing w:val="6"/>
        </w:rPr>
        <w:t xml:space="preserve">previous </w:t>
      </w:r>
      <w:r w:rsidR="00895D21">
        <w:rPr>
          <w:spacing w:val="6"/>
        </w:rPr>
        <w:t>alternative fuels conversion</w:t>
      </w:r>
      <w:r w:rsidR="00161466">
        <w:rPr>
          <w:spacing w:val="6"/>
        </w:rPr>
        <w:t xml:space="preserve"> program</w:t>
      </w:r>
      <w:r w:rsidR="004B1C3E">
        <w:rPr>
          <w:spacing w:val="6"/>
        </w:rPr>
        <w:t xml:space="preserve"> </w:t>
      </w:r>
      <w:r w:rsidR="00FB0731">
        <w:rPr>
          <w:spacing w:val="6"/>
        </w:rPr>
        <w:t>consist</w:t>
      </w:r>
      <w:r w:rsidR="00E8138C">
        <w:rPr>
          <w:spacing w:val="6"/>
        </w:rPr>
        <w:t>ed</w:t>
      </w:r>
      <w:r w:rsidR="00FB0731">
        <w:rPr>
          <w:spacing w:val="6"/>
        </w:rPr>
        <w:t xml:space="preserve"> of </w:t>
      </w:r>
      <w:r w:rsidR="00E41B02">
        <w:rPr>
          <w:spacing w:val="6"/>
        </w:rPr>
        <w:t>t</w:t>
      </w:r>
      <w:r w:rsidR="00EA3E50">
        <w:rPr>
          <w:spacing w:val="6"/>
        </w:rPr>
        <w:t xml:space="preserve">est results and related </w:t>
      </w:r>
      <w:r w:rsidR="00710138">
        <w:rPr>
          <w:spacing w:val="6"/>
        </w:rPr>
        <w:t>submissions</w:t>
      </w:r>
      <w:r w:rsidR="00EA3E50">
        <w:rPr>
          <w:spacing w:val="6"/>
        </w:rPr>
        <w:t xml:space="preserve"> under existi</w:t>
      </w:r>
      <w:r w:rsidR="00FB0731">
        <w:rPr>
          <w:spacing w:val="6"/>
        </w:rPr>
        <w:t>ng procedures for the EPA light-</w:t>
      </w:r>
      <w:r w:rsidR="00EA3E50">
        <w:rPr>
          <w:spacing w:val="6"/>
        </w:rPr>
        <w:t xml:space="preserve">duty vehicle certification program. </w:t>
      </w:r>
      <w:r w:rsidR="00FB0731">
        <w:rPr>
          <w:spacing w:val="6"/>
        </w:rPr>
        <w:t xml:space="preserve"> </w:t>
      </w:r>
      <w:r w:rsidR="00710138">
        <w:rPr>
          <w:spacing w:val="6"/>
        </w:rPr>
        <w:t>A</w:t>
      </w:r>
      <w:r w:rsidR="00710138" w:rsidRPr="00E4121A">
        <w:rPr>
          <w:spacing w:val="6"/>
        </w:rPr>
        <w:t xml:space="preserve">ll information </w:t>
      </w:r>
      <w:r w:rsidR="00710138">
        <w:rPr>
          <w:spacing w:val="6"/>
        </w:rPr>
        <w:t xml:space="preserve">from converter applicants </w:t>
      </w:r>
      <w:r w:rsidR="00895D21">
        <w:rPr>
          <w:spacing w:val="6"/>
        </w:rPr>
        <w:t>is currently</w:t>
      </w:r>
      <w:r w:rsidR="00710138">
        <w:rPr>
          <w:spacing w:val="6"/>
        </w:rPr>
        <w:t xml:space="preserve"> submitted </w:t>
      </w:r>
      <w:r w:rsidR="00710138" w:rsidRPr="00E4121A">
        <w:rPr>
          <w:spacing w:val="6"/>
        </w:rPr>
        <w:t xml:space="preserve">electronically directly </w:t>
      </w:r>
      <w:r w:rsidR="00710138">
        <w:rPr>
          <w:spacing w:val="6"/>
        </w:rPr>
        <w:t>to</w:t>
      </w:r>
      <w:r w:rsidR="00710138" w:rsidRPr="00E4121A">
        <w:rPr>
          <w:spacing w:val="6"/>
        </w:rPr>
        <w:t xml:space="preserve"> the V</w:t>
      </w:r>
      <w:r w:rsidR="00710138">
        <w:rPr>
          <w:spacing w:val="6"/>
        </w:rPr>
        <w:t>erify</w:t>
      </w:r>
      <w:r w:rsidR="00710138" w:rsidRPr="00E4121A">
        <w:rPr>
          <w:spacing w:val="6"/>
        </w:rPr>
        <w:t xml:space="preserve"> system. </w:t>
      </w:r>
      <w:r w:rsidR="00710138">
        <w:rPr>
          <w:spacing w:val="6"/>
        </w:rPr>
        <w:t xml:space="preserve"> </w:t>
      </w:r>
      <w:r w:rsidR="00D379B2" w:rsidRPr="00C72055">
        <w:rPr>
          <w:spacing w:val="6"/>
        </w:rPr>
        <w:t xml:space="preserve">Subject to confidentiality claims, this information </w:t>
      </w:r>
      <w:r w:rsidR="00832233" w:rsidRPr="00C72055">
        <w:rPr>
          <w:spacing w:val="6"/>
        </w:rPr>
        <w:t>is made available to interested</w:t>
      </w:r>
      <w:r w:rsidR="00832233" w:rsidRPr="005379F3">
        <w:rPr>
          <w:spacing w:val="6"/>
        </w:rPr>
        <w:t xml:space="preserve"> parties upon request. </w:t>
      </w:r>
      <w:r w:rsidR="005074ED">
        <w:rPr>
          <w:spacing w:val="6"/>
        </w:rPr>
        <w:t xml:space="preserve"> </w:t>
      </w:r>
      <w:r w:rsidR="00CE2910">
        <w:rPr>
          <w:spacing w:val="6"/>
        </w:rPr>
        <w:t>E</w:t>
      </w:r>
      <w:r w:rsidR="00832233" w:rsidRPr="005379F3">
        <w:rPr>
          <w:spacing w:val="6"/>
        </w:rPr>
        <w:t>mission test i</w:t>
      </w:r>
      <w:r w:rsidR="005F3E33">
        <w:rPr>
          <w:spacing w:val="6"/>
        </w:rPr>
        <w:t xml:space="preserve">nformation </w:t>
      </w:r>
      <w:r w:rsidR="00CE2910">
        <w:rPr>
          <w:spacing w:val="6"/>
        </w:rPr>
        <w:t>is</w:t>
      </w:r>
      <w:r w:rsidR="005F3E33">
        <w:rPr>
          <w:spacing w:val="6"/>
        </w:rPr>
        <w:t xml:space="preserve"> available on the i</w:t>
      </w:r>
      <w:r w:rsidR="00832233" w:rsidRPr="005379F3">
        <w:rPr>
          <w:spacing w:val="6"/>
        </w:rPr>
        <w:t>nternet.</w:t>
      </w:r>
    </w:p>
    <w:p w:rsidR="00B70FF8" w:rsidRDefault="00B70FF8" w:rsidP="00C72055">
      <w:pPr>
        <w:pStyle w:val="Style6"/>
        <w:jc w:val="left"/>
        <w:rPr>
          <w:spacing w:val="6"/>
        </w:rPr>
      </w:pPr>
    </w:p>
    <w:p w:rsidR="00B70FF8" w:rsidRDefault="00B70FF8" w:rsidP="00C72055">
      <w:pPr>
        <w:pStyle w:val="Style6"/>
        <w:jc w:val="left"/>
        <w:rPr>
          <w:spacing w:val="6"/>
        </w:rPr>
      </w:pPr>
      <w:r>
        <w:rPr>
          <w:spacing w:val="6"/>
        </w:rPr>
        <w:tab/>
        <w:t xml:space="preserve">The burden analysis in this ICR differs from the cost analysis in the preamble to the rule in </w:t>
      </w:r>
      <w:r w:rsidR="00E96CB9">
        <w:rPr>
          <w:spacing w:val="6"/>
        </w:rPr>
        <w:t>important</w:t>
      </w:r>
      <w:r>
        <w:rPr>
          <w:spacing w:val="6"/>
        </w:rPr>
        <w:t xml:space="preserve"> respects. First, ICRs are concerned with paperwork burdens</w:t>
      </w:r>
      <w:r w:rsidR="00E96CB9">
        <w:rPr>
          <w:spacing w:val="6"/>
        </w:rPr>
        <w:t>, a subset of all business costs</w:t>
      </w:r>
      <w:r w:rsidR="006262C8">
        <w:rPr>
          <w:spacing w:val="6"/>
        </w:rPr>
        <w:t>;</w:t>
      </w:r>
      <w:r>
        <w:rPr>
          <w:spacing w:val="6"/>
        </w:rPr>
        <w:t xml:space="preserve"> </w:t>
      </w:r>
      <w:r w:rsidR="00710138">
        <w:rPr>
          <w:spacing w:val="6"/>
        </w:rPr>
        <w:t>this</w:t>
      </w:r>
      <w:r w:rsidR="005B683F">
        <w:rPr>
          <w:spacing w:val="6"/>
        </w:rPr>
        <w:t xml:space="preserve"> ICR covers </w:t>
      </w:r>
      <w:r>
        <w:rPr>
          <w:spacing w:val="6"/>
        </w:rPr>
        <w:t xml:space="preserve">the costs and labor hours of providing information to EPA, including both the paperwork itself and the costs and labor to develop the information, such as testing to provide test results, and facilities to carry out that testing. It is not concerned with the costs of compliance in general, nor with </w:t>
      </w:r>
      <w:r w:rsidR="004040AD">
        <w:rPr>
          <w:spacing w:val="6"/>
        </w:rPr>
        <w:t xml:space="preserve">general business overhead or profits. </w:t>
      </w:r>
      <w:r w:rsidR="005B683F">
        <w:rPr>
          <w:spacing w:val="6"/>
        </w:rPr>
        <w:t xml:space="preserve"> </w:t>
      </w:r>
      <w:r w:rsidR="004040AD">
        <w:rPr>
          <w:spacing w:val="6"/>
        </w:rPr>
        <w:t xml:space="preserve">The preamble, on the other hand, focuses on costs incurred </w:t>
      </w:r>
      <w:r w:rsidR="00A44C47">
        <w:rPr>
          <w:spacing w:val="6"/>
        </w:rPr>
        <w:t xml:space="preserve">by conversion manufacturers </w:t>
      </w:r>
      <w:r w:rsidR="00833858">
        <w:rPr>
          <w:spacing w:val="6"/>
        </w:rPr>
        <w:t>such as</w:t>
      </w:r>
      <w:r w:rsidR="00A44C47">
        <w:rPr>
          <w:spacing w:val="6"/>
        </w:rPr>
        <w:t xml:space="preserve"> </w:t>
      </w:r>
      <w:r w:rsidR="004040AD">
        <w:rPr>
          <w:spacing w:val="6"/>
        </w:rPr>
        <w:t xml:space="preserve">contracts </w:t>
      </w:r>
      <w:r w:rsidR="00E96CB9">
        <w:rPr>
          <w:spacing w:val="6"/>
        </w:rPr>
        <w:t xml:space="preserve">by converters </w:t>
      </w:r>
      <w:r w:rsidR="004040AD">
        <w:rPr>
          <w:spacing w:val="6"/>
        </w:rPr>
        <w:t>with testing companies</w:t>
      </w:r>
      <w:r w:rsidR="00E96CB9">
        <w:rPr>
          <w:spacing w:val="6"/>
        </w:rPr>
        <w:t>, which include overhead</w:t>
      </w:r>
      <w:r w:rsidR="006262C8">
        <w:rPr>
          <w:spacing w:val="6"/>
        </w:rPr>
        <w:t>,</w:t>
      </w:r>
      <w:r w:rsidR="00E96CB9">
        <w:rPr>
          <w:spacing w:val="6"/>
        </w:rPr>
        <w:t xml:space="preserve"> profit </w:t>
      </w:r>
      <w:r w:rsidR="006262C8" w:rsidRPr="00225FAC">
        <w:rPr>
          <w:spacing w:val="6"/>
        </w:rPr>
        <w:t>and possibly compliance</w:t>
      </w:r>
      <w:r w:rsidR="006262C8">
        <w:rPr>
          <w:spacing w:val="6"/>
        </w:rPr>
        <w:t xml:space="preserve"> </w:t>
      </w:r>
      <w:r w:rsidR="00E96CB9">
        <w:rPr>
          <w:spacing w:val="6"/>
        </w:rPr>
        <w:t>elements not counted in the 0783 series</w:t>
      </w:r>
      <w:r w:rsidR="004040AD">
        <w:rPr>
          <w:spacing w:val="6"/>
        </w:rPr>
        <w:t xml:space="preserve">. </w:t>
      </w:r>
      <w:r w:rsidR="009D7978">
        <w:rPr>
          <w:spacing w:val="6"/>
        </w:rPr>
        <w:t xml:space="preserve">The analysis in this ICR uses the traditional capital cost, O&amp;M cost, and labor cost assumptions in this ICR series, so that, for example, facility costs that would be recovered as part of a consulting firm's contract are here allocated to capital costs. </w:t>
      </w:r>
      <w:r w:rsidR="004040AD">
        <w:rPr>
          <w:spacing w:val="6"/>
        </w:rPr>
        <w:t xml:space="preserve">Second, the </w:t>
      </w:r>
      <w:r w:rsidR="004040AD">
        <w:rPr>
          <w:spacing w:val="6"/>
        </w:rPr>
        <w:lastRenderedPageBreak/>
        <w:t>preamble focuses on the burden for a single converter enterprise of interest</w:t>
      </w:r>
      <w:r w:rsidR="00A44C47">
        <w:rPr>
          <w:spacing w:val="6"/>
        </w:rPr>
        <w:t xml:space="preserve">, </w:t>
      </w:r>
      <w:r w:rsidR="003A3B8C">
        <w:rPr>
          <w:spacing w:val="6"/>
        </w:rPr>
        <w:t xml:space="preserve">whereas </w:t>
      </w:r>
      <w:r w:rsidR="00A44C47">
        <w:rPr>
          <w:spacing w:val="6"/>
        </w:rPr>
        <w:t>the</w:t>
      </w:r>
      <w:r w:rsidR="004040AD">
        <w:rPr>
          <w:spacing w:val="6"/>
        </w:rPr>
        <w:t xml:space="preserve"> ICR attempts to </w:t>
      </w:r>
      <w:r w:rsidR="005B683F">
        <w:rPr>
          <w:spacing w:val="6"/>
        </w:rPr>
        <w:t>generalize the analysis to the industry as a whole</w:t>
      </w:r>
      <w:r w:rsidR="004040AD">
        <w:rPr>
          <w:spacing w:val="6"/>
        </w:rPr>
        <w:t>.</w:t>
      </w:r>
      <w:r w:rsidR="005B683F">
        <w:rPr>
          <w:spacing w:val="6"/>
        </w:rPr>
        <w:t xml:space="preserve"> </w:t>
      </w:r>
    </w:p>
    <w:p w:rsidR="005F3E33" w:rsidRPr="005379F3" w:rsidRDefault="005F3E33" w:rsidP="00C72055">
      <w:pPr>
        <w:pStyle w:val="Style6"/>
        <w:rPr>
          <w:spacing w:val="6"/>
        </w:rPr>
      </w:pPr>
    </w:p>
    <w:p w:rsidR="00FE111D" w:rsidRDefault="00BC5FE0" w:rsidP="00C72055">
      <w:pPr>
        <w:pStyle w:val="Style6"/>
        <w:jc w:val="left"/>
        <w:rPr>
          <w:spacing w:val="6"/>
        </w:rPr>
      </w:pPr>
      <w:r>
        <w:rPr>
          <w:spacing w:val="6"/>
        </w:rPr>
        <w:tab/>
      </w:r>
      <w:r w:rsidR="00CE2910">
        <w:rPr>
          <w:spacing w:val="6"/>
        </w:rPr>
        <w:t xml:space="preserve">The existing baseline estimates </w:t>
      </w:r>
      <w:r w:rsidR="00AB789F">
        <w:rPr>
          <w:spacing w:val="6"/>
        </w:rPr>
        <w:t xml:space="preserve">that </w:t>
      </w:r>
      <w:r w:rsidR="00E41B02">
        <w:rPr>
          <w:spacing w:val="6"/>
        </w:rPr>
        <w:t xml:space="preserve">certification applications for </w:t>
      </w:r>
      <w:r w:rsidR="00CE2910">
        <w:rPr>
          <w:spacing w:val="6"/>
        </w:rPr>
        <w:t xml:space="preserve">36 test groups from five converter respondents are submitted annually. </w:t>
      </w:r>
      <w:r w:rsidR="008543D4">
        <w:rPr>
          <w:spacing w:val="6"/>
        </w:rPr>
        <w:t xml:space="preserve">During the proposal phase of this rule, </w:t>
      </w:r>
      <w:r w:rsidR="00056677">
        <w:rPr>
          <w:spacing w:val="6"/>
        </w:rPr>
        <w:t>t</w:t>
      </w:r>
      <w:r w:rsidR="00710138">
        <w:rPr>
          <w:spacing w:val="6"/>
        </w:rPr>
        <w:t>he most recent model year data available (model year 2008)</w:t>
      </w:r>
      <w:r w:rsidR="008543D4">
        <w:rPr>
          <w:spacing w:val="6"/>
        </w:rPr>
        <w:t xml:space="preserve"> showed</w:t>
      </w:r>
      <w:r w:rsidR="00710138">
        <w:rPr>
          <w:spacing w:val="6"/>
        </w:rPr>
        <w:t xml:space="preserve"> 18 </w:t>
      </w:r>
      <w:r w:rsidR="005E3F68">
        <w:rPr>
          <w:spacing w:val="6"/>
        </w:rPr>
        <w:t>light-duty vehicle conversions, and the draft ICR (0783.55) baseline was adjusted accordingly</w:t>
      </w:r>
      <w:r w:rsidR="00056677">
        <w:rPr>
          <w:spacing w:val="6"/>
        </w:rPr>
        <w:t>.</w:t>
      </w:r>
      <w:r w:rsidR="00710138">
        <w:rPr>
          <w:spacing w:val="6"/>
        </w:rPr>
        <w:t xml:space="preserve"> </w:t>
      </w:r>
      <w:r w:rsidR="008543D4">
        <w:rPr>
          <w:spacing w:val="6"/>
        </w:rPr>
        <w:t xml:space="preserve">However, the number of certificates steadily increased in 2009 and 2010.  In 2010, there were 42 </w:t>
      </w:r>
      <w:r w:rsidR="00056677">
        <w:rPr>
          <w:spacing w:val="6"/>
        </w:rPr>
        <w:t xml:space="preserve">new </w:t>
      </w:r>
      <w:r w:rsidR="008543D4">
        <w:rPr>
          <w:spacing w:val="6"/>
        </w:rPr>
        <w:t>certificates issued for 7 different conversion manufacturers. Following this upward trend, t</w:t>
      </w:r>
      <w:r w:rsidR="00FE111D">
        <w:rPr>
          <w:spacing w:val="6"/>
        </w:rPr>
        <w:t xml:space="preserve">his ICR adjusts the baseline to </w:t>
      </w:r>
      <w:r w:rsidR="003A3B8C">
        <w:rPr>
          <w:spacing w:val="6"/>
        </w:rPr>
        <w:t xml:space="preserve">50 </w:t>
      </w:r>
      <w:r w:rsidR="00056677">
        <w:rPr>
          <w:spacing w:val="6"/>
        </w:rPr>
        <w:t xml:space="preserve">new </w:t>
      </w:r>
      <w:r w:rsidR="00FE111D">
        <w:rPr>
          <w:spacing w:val="6"/>
        </w:rPr>
        <w:t xml:space="preserve">conversions </w:t>
      </w:r>
      <w:r w:rsidR="003A3B8C">
        <w:rPr>
          <w:spacing w:val="6"/>
        </w:rPr>
        <w:t>from 8 con</w:t>
      </w:r>
      <w:r w:rsidR="008543D4">
        <w:rPr>
          <w:spacing w:val="6"/>
        </w:rPr>
        <w:t>version manufacturer</w:t>
      </w:r>
      <w:r w:rsidR="003A3B8C">
        <w:rPr>
          <w:spacing w:val="6"/>
        </w:rPr>
        <w:t xml:space="preserve">s </w:t>
      </w:r>
      <w:r w:rsidR="00FE111D">
        <w:rPr>
          <w:spacing w:val="6"/>
        </w:rPr>
        <w:t xml:space="preserve">and calculates industry savings against that number. </w:t>
      </w:r>
      <w:r w:rsidR="00056677" w:rsidRPr="00225FAC">
        <w:rPr>
          <w:spacing w:val="6"/>
        </w:rPr>
        <w:t>The adjusted baseline also assumes 50 carryover applications.</w:t>
      </w:r>
      <w:r w:rsidR="00056677">
        <w:rPr>
          <w:spacing w:val="6"/>
        </w:rPr>
        <w:t xml:space="preserve"> </w:t>
      </w:r>
      <w:r w:rsidR="00FE111D">
        <w:rPr>
          <w:spacing w:val="6"/>
        </w:rPr>
        <w:t>The analysis also gives the change in the 0783 ICR overall collection</w:t>
      </w:r>
      <w:r w:rsidR="005E3F68">
        <w:rPr>
          <w:spacing w:val="6"/>
        </w:rPr>
        <w:t xml:space="preserve"> with the adjusted baseline after savings</w:t>
      </w:r>
      <w:r w:rsidR="00B63738">
        <w:rPr>
          <w:spacing w:val="6"/>
        </w:rPr>
        <w:t xml:space="preserve">. </w:t>
      </w:r>
    </w:p>
    <w:p w:rsidR="00FE111D" w:rsidRDefault="00FE111D" w:rsidP="00C72055">
      <w:pPr>
        <w:pStyle w:val="Style6"/>
        <w:jc w:val="left"/>
        <w:rPr>
          <w:spacing w:val="6"/>
        </w:rPr>
      </w:pPr>
    </w:p>
    <w:p w:rsidR="00655323" w:rsidRDefault="00FE111D" w:rsidP="00C72055">
      <w:pPr>
        <w:pStyle w:val="Style6"/>
        <w:jc w:val="left"/>
        <w:rPr>
          <w:spacing w:val="6"/>
        </w:rPr>
      </w:pPr>
      <w:r>
        <w:rPr>
          <w:spacing w:val="6"/>
        </w:rPr>
        <w:tab/>
      </w:r>
      <w:r w:rsidR="00710138">
        <w:rPr>
          <w:spacing w:val="6"/>
        </w:rPr>
        <w:t>T</w:t>
      </w:r>
      <w:r w:rsidR="00CE2910">
        <w:rPr>
          <w:spacing w:val="6"/>
        </w:rPr>
        <w:t xml:space="preserve">hese test groups consist of conversion </w:t>
      </w:r>
      <w:r w:rsidR="00087EA7">
        <w:rPr>
          <w:spacing w:val="6"/>
        </w:rPr>
        <w:t xml:space="preserve">systems </w:t>
      </w:r>
      <w:r w:rsidR="00CE2910">
        <w:rPr>
          <w:spacing w:val="6"/>
        </w:rPr>
        <w:t xml:space="preserve">that apply to a specific certified OEM (original equipment manufacturer) vehicle </w:t>
      </w:r>
      <w:r w:rsidR="00087EA7">
        <w:rPr>
          <w:spacing w:val="6"/>
        </w:rPr>
        <w:t>test group</w:t>
      </w:r>
      <w:r>
        <w:rPr>
          <w:spacing w:val="6"/>
        </w:rPr>
        <w:t>,</w:t>
      </w:r>
      <w:r w:rsidR="00710138">
        <w:rPr>
          <w:spacing w:val="6"/>
        </w:rPr>
        <w:t xml:space="preserve"> or in some cases </w:t>
      </w:r>
      <w:r w:rsidR="00087EA7">
        <w:rPr>
          <w:spacing w:val="6"/>
        </w:rPr>
        <w:t>combinations of OEM test groups</w:t>
      </w:r>
      <w:r w:rsidR="00CE2910">
        <w:rPr>
          <w:spacing w:val="6"/>
        </w:rPr>
        <w:t xml:space="preserve">. As with OEM certifications, the biggest </w:t>
      </w:r>
      <w:r w:rsidR="00A12614">
        <w:rPr>
          <w:spacing w:val="6"/>
        </w:rPr>
        <w:t xml:space="preserve">paperwork </w:t>
      </w:r>
      <w:r w:rsidR="00CE2910">
        <w:rPr>
          <w:spacing w:val="6"/>
        </w:rPr>
        <w:t xml:space="preserve">cost component for converters is testing. However, estimating testing costs </w:t>
      </w:r>
      <w:r w:rsidR="003A5C52">
        <w:rPr>
          <w:spacing w:val="6"/>
        </w:rPr>
        <w:t xml:space="preserve">under the existing regulations </w:t>
      </w:r>
      <w:r w:rsidR="004040AD">
        <w:rPr>
          <w:spacing w:val="6"/>
        </w:rPr>
        <w:t>has been</w:t>
      </w:r>
      <w:r w:rsidR="00CE2910">
        <w:rPr>
          <w:spacing w:val="6"/>
        </w:rPr>
        <w:t xml:space="preserve"> difficult because </w:t>
      </w:r>
      <w:proofErr w:type="gramStart"/>
      <w:r w:rsidR="00CE2910">
        <w:rPr>
          <w:spacing w:val="6"/>
        </w:rPr>
        <w:t>the  fuel</w:t>
      </w:r>
      <w:proofErr w:type="gramEnd"/>
      <w:r w:rsidR="00CE2910">
        <w:rPr>
          <w:spacing w:val="6"/>
        </w:rPr>
        <w:t xml:space="preserve"> conver</w:t>
      </w:r>
      <w:r w:rsidR="00833858">
        <w:rPr>
          <w:spacing w:val="6"/>
        </w:rPr>
        <w:t>sion</w:t>
      </w:r>
      <w:r w:rsidR="00CE2910">
        <w:rPr>
          <w:spacing w:val="6"/>
        </w:rPr>
        <w:t xml:space="preserve"> program encompasses a diverse range of circumstances. </w:t>
      </w:r>
      <w:r w:rsidR="000626C3">
        <w:rPr>
          <w:spacing w:val="6"/>
        </w:rPr>
        <w:t xml:space="preserve">Many of the tests are </w:t>
      </w:r>
      <w:r w:rsidR="003A5C52">
        <w:rPr>
          <w:spacing w:val="6"/>
        </w:rPr>
        <w:t xml:space="preserve">currently </w:t>
      </w:r>
      <w:r w:rsidR="000626C3">
        <w:rPr>
          <w:spacing w:val="6"/>
        </w:rPr>
        <w:t xml:space="preserve">waived in certain situations. For example, </w:t>
      </w:r>
      <w:r w:rsidR="000F072F">
        <w:rPr>
          <w:spacing w:val="6"/>
        </w:rPr>
        <w:t xml:space="preserve">currently, </w:t>
      </w:r>
      <w:r w:rsidR="000626C3">
        <w:rPr>
          <w:spacing w:val="6"/>
        </w:rPr>
        <w:t>evaporative testing may or may not be waived depending on whether a closed fuel system is used. Exhaust and evaporative emission</w:t>
      </w:r>
      <w:r w:rsidR="000F072F">
        <w:rPr>
          <w:spacing w:val="6"/>
        </w:rPr>
        <w:t xml:space="preserve"> testing can be waived for dual-</w:t>
      </w:r>
      <w:r w:rsidR="000626C3">
        <w:rPr>
          <w:spacing w:val="6"/>
        </w:rPr>
        <w:t xml:space="preserve">fueled gasoline/LPG or gasoline/CNG vehicles if the modification doesn’t increase the weight more than 500 pounds and no increase in emissions is expected. </w:t>
      </w:r>
      <w:r w:rsidR="00655323">
        <w:rPr>
          <w:spacing w:val="6"/>
        </w:rPr>
        <w:t xml:space="preserve">(Assumptions for dealing with these complexities both in the existing program and under the </w:t>
      </w:r>
      <w:r w:rsidR="00B6778A">
        <w:rPr>
          <w:spacing w:val="6"/>
        </w:rPr>
        <w:t>final rule</w:t>
      </w:r>
      <w:r w:rsidR="00655323">
        <w:rPr>
          <w:spacing w:val="6"/>
        </w:rPr>
        <w:t xml:space="preserve"> are discussed in Section 6.) </w:t>
      </w:r>
    </w:p>
    <w:p w:rsidR="00655323" w:rsidRDefault="00655323" w:rsidP="00C72055">
      <w:pPr>
        <w:pStyle w:val="Style6"/>
        <w:jc w:val="left"/>
        <w:rPr>
          <w:spacing w:val="6"/>
        </w:rPr>
      </w:pPr>
    </w:p>
    <w:p w:rsidR="000626C3" w:rsidRDefault="008511B8" w:rsidP="00C72055">
      <w:pPr>
        <w:pStyle w:val="Style6"/>
        <w:jc w:val="left"/>
        <w:rPr>
          <w:spacing w:val="6"/>
        </w:rPr>
      </w:pPr>
      <w:r>
        <w:rPr>
          <w:spacing w:val="6"/>
        </w:rPr>
        <w:tab/>
      </w:r>
      <w:r w:rsidR="000626C3">
        <w:rPr>
          <w:spacing w:val="6"/>
        </w:rPr>
        <w:t xml:space="preserve">The current baseline </w:t>
      </w:r>
      <w:r w:rsidR="001A34B4">
        <w:rPr>
          <w:spacing w:val="6"/>
        </w:rPr>
        <w:t xml:space="preserve">program costs </w:t>
      </w:r>
      <w:r w:rsidR="00710138">
        <w:rPr>
          <w:spacing w:val="6"/>
        </w:rPr>
        <w:t xml:space="preserve">applied to </w:t>
      </w:r>
      <w:r w:rsidR="005E3F68" w:rsidRPr="005E3F68">
        <w:rPr>
          <w:spacing w:val="6"/>
        </w:rPr>
        <w:t>50</w:t>
      </w:r>
      <w:r w:rsidR="00710138" w:rsidRPr="005E3F68">
        <w:rPr>
          <w:spacing w:val="6"/>
        </w:rPr>
        <w:t xml:space="preserve"> </w:t>
      </w:r>
      <w:r w:rsidR="00056677">
        <w:rPr>
          <w:spacing w:val="6"/>
        </w:rPr>
        <w:t xml:space="preserve">new </w:t>
      </w:r>
      <w:r w:rsidR="00710138" w:rsidRPr="005E3F68">
        <w:rPr>
          <w:spacing w:val="6"/>
        </w:rPr>
        <w:t>test</w:t>
      </w:r>
      <w:r w:rsidR="00710138">
        <w:rPr>
          <w:spacing w:val="6"/>
        </w:rPr>
        <w:t xml:space="preserve"> group</w:t>
      </w:r>
      <w:r w:rsidR="001A34B4">
        <w:rPr>
          <w:spacing w:val="6"/>
        </w:rPr>
        <w:t xml:space="preserve"> applications</w:t>
      </w:r>
      <w:r w:rsidR="00710138">
        <w:rPr>
          <w:spacing w:val="6"/>
        </w:rPr>
        <w:t xml:space="preserve"> </w:t>
      </w:r>
      <w:r w:rsidR="000626C3">
        <w:rPr>
          <w:spacing w:val="6"/>
        </w:rPr>
        <w:t xml:space="preserve">estimates </w:t>
      </w:r>
      <w:r w:rsidR="00291BAD">
        <w:rPr>
          <w:spacing w:val="6"/>
        </w:rPr>
        <w:t>an industry total</w:t>
      </w:r>
      <w:r w:rsidR="000626C3">
        <w:rPr>
          <w:spacing w:val="6"/>
        </w:rPr>
        <w:t xml:space="preserve"> </w:t>
      </w:r>
      <w:r w:rsidR="005F2ACB">
        <w:rPr>
          <w:spacing w:val="6"/>
        </w:rPr>
        <w:t xml:space="preserve">paperwork </w:t>
      </w:r>
      <w:r w:rsidR="000626C3">
        <w:rPr>
          <w:spacing w:val="6"/>
        </w:rPr>
        <w:t xml:space="preserve">cost of </w:t>
      </w:r>
      <w:r w:rsidR="000626C3" w:rsidRPr="00225FAC">
        <w:rPr>
          <w:spacing w:val="6"/>
        </w:rPr>
        <w:t>$</w:t>
      </w:r>
      <w:r w:rsidR="005E3F68" w:rsidRPr="00225FAC">
        <w:rPr>
          <w:spacing w:val="6"/>
        </w:rPr>
        <w:t>380,828</w:t>
      </w:r>
      <w:r w:rsidR="000626C3">
        <w:rPr>
          <w:spacing w:val="6"/>
        </w:rPr>
        <w:t xml:space="preserve">. </w:t>
      </w:r>
      <w:r w:rsidR="00143188">
        <w:rPr>
          <w:spacing w:val="6"/>
        </w:rPr>
        <w:t xml:space="preserve">As with the main </w:t>
      </w:r>
      <w:r w:rsidR="00673A7E">
        <w:rPr>
          <w:spacing w:val="6"/>
        </w:rPr>
        <w:t>light-duty</w:t>
      </w:r>
      <w:r w:rsidR="00143188">
        <w:rPr>
          <w:spacing w:val="6"/>
        </w:rPr>
        <w:t xml:space="preserve"> program, this does not include development costs (such as repeated testing needed to perfect </w:t>
      </w:r>
      <w:r w:rsidR="00291BAD">
        <w:rPr>
          <w:spacing w:val="6"/>
        </w:rPr>
        <w:t>a</w:t>
      </w:r>
      <w:r w:rsidR="00143188">
        <w:rPr>
          <w:spacing w:val="6"/>
        </w:rPr>
        <w:t xml:space="preserve"> conversion kit</w:t>
      </w:r>
      <w:r w:rsidR="00291BAD">
        <w:rPr>
          <w:spacing w:val="6"/>
        </w:rPr>
        <w:t xml:space="preserve"> that can meet emission </w:t>
      </w:r>
      <w:r w:rsidR="000808AB">
        <w:rPr>
          <w:spacing w:val="6"/>
        </w:rPr>
        <w:t xml:space="preserve">and OBD </w:t>
      </w:r>
      <w:r w:rsidR="00291BAD">
        <w:rPr>
          <w:spacing w:val="6"/>
        </w:rPr>
        <w:t>standards</w:t>
      </w:r>
      <w:r w:rsidR="005E3F68">
        <w:rPr>
          <w:spacing w:val="6"/>
        </w:rPr>
        <w:t xml:space="preserve">), </w:t>
      </w:r>
      <w:r w:rsidR="00143188">
        <w:rPr>
          <w:spacing w:val="6"/>
        </w:rPr>
        <w:t xml:space="preserve">which are not </w:t>
      </w:r>
      <w:r w:rsidR="00291BAD">
        <w:rPr>
          <w:spacing w:val="6"/>
        </w:rPr>
        <w:t xml:space="preserve">directly </w:t>
      </w:r>
      <w:r w:rsidR="00143188">
        <w:rPr>
          <w:spacing w:val="6"/>
        </w:rPr>
        <w:t>mandated by the Clean Air Act</w:t>
      </w:r>
      <w:r w:rsidR="00291BAD">
        <w:rPr>
          <w:spacing w:val="6"/>
        </w:rPr>
        <w:t xml:space="preserve"> but which can be considerable</w:t>
      </w:r>
      <w:r w:rsidR="00143188">
        <w:rPr>
          <w:spacing w:val="6"/>
        </w:rPr>
        <w:t xml:space="preserve">. </w:t>
      </w:r>
      <w:r w:rsidR="000626C3">
        <w:rPr>
          <w:spacing w:val="6"/>
        </w:rPr>
        <w:t xml:space="preserve">Other elements of the </w:t>
      </w:r>
      <w:r w:rsidR="005E3F68">
        <w:rPr>
          <w:spacing w:val="6"/>
        </w:rPr>
        <w:t>alternative</w:t>
      </w:r>
      <w:r w:rsidR="000626C3">
        <w:rPr>
          <w:spacing w:val="6"/>
        </w:rPr>
        <w:t xml:space="preserve"> fuels certification process covered by this ICR are listed in Part 4 below</w:t>
      </w:r>
      <w:r w:rsidR="009F51C2">
        <w:rPr>
          <w:spacing w:val="6"/>
        </w:rPr>
        <w:t>, including paperwork filing burdens, which are budgeted in the ICR as O&amp;M costs and labor hours</w:t>
      </w:r>
      <w:r w:rsidR="000626C3">
        <w:rPr>
          <w:spacing w:val="6"/>
        </w:rPr>
        <w:t xml:space="preserve">. </w:t>
      </w:r>
      <w:r w:rsidR="009F51C2">
        <w:rPr>
          <w:spacing w:val="6"/>
        </w:rPr>
        <w:t>Converted vehicles are also, as with other certified vehicles, subject to EPA</w:t>
      </w:r>
      <w:r w:rsidR="00A12614">
        <w:rPr>
          <w:spacing w:val="6"/>
        </w:rPr>
        <w:t>'s</w:t>
      </w:r>
      <w:r w:rsidR="009F51C2">
        <w:rPr>
          <w:spacing w:val="6"/>
        </w:rPr>
        <w:t xml:space="preserve"> confirmatory testing program</w:t>
      </w:r>
      <w:r w:rsidR="00525224">
        <w:rPr>
          <w:spacing w:val="6"/>
        </w:rPr>
        <w:t xml:space="preserve">, durability demonstration, </w:t>
      </w:r>
      <w:r w:rsidR="000808AB">
        <w:rPr>
          <w:spacing w:val="6"/>
        </w:rPr>
        <w:t xml:space="preserve">Vehicle Emission Control Information (VECI) labeling, </w:t>
      </w:r>
      <w:r w:rsidR="002B6346">
        <w:rPr>
          <w:spacing w:val="6"/>
        </w:rPr>
        <w:t xml:space="preserve">defect and voluntary emission recall reporting, </w:t>
      </w:r>
      <w:r w:rsidR="00627DE7">
        <w:rPr>
          <w:spacing w:val="6"/>
        </w:rPr>
        <w:t>and other light-</w:t>
      </w:r>
      <w:r w:rsidR="00525224">
        <w:rPr>
          <w:spacing w:val="6"/>
        </w:rPr>
        <w:t>duty requirements</w:t>
      </w:r>
      <w:r w:rsidR="00A12614">
        <w:rPr>
          <w:spacing w:val="6"/>
        </w:rPr>
        <w:t xml:space="preserve"> </w:t>
      </w:r>
      <w:r w:rsidR="009F51C2">
        <w:rPr>
          <w:spacing w:val="6"/>
        </w:rPr>
        <w:t>(</w:t>
      </w:r>
      <w:r w:rsidR="00525224">
        <w:rPr>
          <w:spacing w:val="6"/>
        </w:rPr>
        <w:t xml:space="preserve">all </w:t>
      </w:r>
      <w:r w:rsidR="009F51C2">
        <w:rPr>
          <w:spacing w:val="6"/>
        </w:rPr>
        <w:t>covered in ICR 0783)</w:t>
      </w:r>
      <w:r w:rsidR="00655323">
        <w:rPr>
          <w:spacing w:val="6"/>
        </w:rPr>
        <w:t>.</w:t>
      </w:r>
      <w:r w:rsidR="009F51C2">
        <w:rPr>
          <w:spacing w:val="6"/>
        </w:rPr>
        <w:t xml:space="preserve"> </w:t>
      </w:r>
      <w:r w:rsidR="00655323">
        <w:rPr>
          <w:spacing w:val="6"/>
        </w:rPr>
        <w:t xml:space="preserve">In addition, </w:t>
      </w:r>
      <w:r w:rsidR="0070498A">
        <w:rPr>
          <w:spacing w:val="6"/>
        </w:rPr>
        <w:t xml:space="preserve">they are subject to </w:t>
      </w:r>
      <w:r w:rsidR="00655323">
        <w:rPr>
          <w:spacing w:val="6"/>
        </w:rPr>
        <w:t>EPA’s certification fee requirements (ICR</w:t>
      </w:r>
      <w:r w:rsidR="00E16C87">
        <w:rPr>
          <w:spacing w:val="6"/>
        </w:rPr>
        <w:t xml:space="preserve"> </w:t>
      </w:r>
      <w:r w:rsidR="00655323">
        <w:rPr>
          <w:spacing w:val="6"/>
        </w:rPr>
        <w:t xml:space="preserve">2080; OMB 2060-0545) </w:t>
      </w:r>
      <w:r w:rsidR="009F51C2">
        <w:rPr>
          <w:spacing w:val="6"/>
        </w:rPr>
        <w:t>but burden changes in th</w:t>
      </w:r>
      <w:r w:rsidR="0070498A">
        <w:rPr>
          <w:spacing w:val="6"/>
        </w:rPr>
        <w:t>is program is</w:t>
      </w:r>
      <w:r w:rsidR="009F51C2">
        <w:rPr>
          <w:spacing w:val="6"/>
        </w:rPr>
        <w:t xml:space="preserve"> </w:t>
      </w:r>
      <w:r w:rsidR="005F2ACB">
        <w:rPr>
          <w:spacing w:val="6"/>
        </w:rPr>
        <w:t xml:space="preserve">de </w:t>
      </w:r>
      <w:proofErr w:type="spellStart"/>
      <w:r w:rsidR="005F2ACB">
        <w:rPr>
          <w:spacing w:val="6"/>
        </w:rPr>
        <w:t>minimis</w:t>
      </w:r>
      <w:proofErr w:type="spellEnd"/>
      <w:r w:rsidR="005F2ACB">
        <w:rPr>
          <w:spacing w:val="6"/>
        </w:rPr>
        <w:t xml:space="preserve"> (the number of fee forms affected is small and will be reflected in the next fees ICR renewal)</w:t>
      </w:r>
      <w:r w:rsidR="009F51C2">
        <w:rPr>
          <w:spacing w:val="6"/>
        </w:rPr>
        <w:t xml:space="preserve">. </w:t>
      </w:r>
      <w:r w:rsidR="000626C3">
        <w:rPr>
          <w:spacing w:val="6"/>
        </w:rPr>
        <w:t xml:space="preserve">All </w:t>
      </w:r>
      <w:r w:rsidR="009F51C2">
        <w:rPr>
          <w:spacing w:val="6"/>
        </w:rPr>
        <w:t xml:space="preserve">burden </w:t>
      </w:r>
      <w:r w:rsidR="000626C3">
        <w:rPr>
          <w:spacing w:val="6"/>
        </w:rPr>
        <w:t xml:space="preserve">elements </w:t>
      </w:r>
      <w:r w:rsidR="009F51C2">
        <w:rPr>
          <w:spacing w:val="6"/>
        </w:rPr>
        <w:t xml:space="preserve">in this ICR </w:t>
      </w:r>
      <w:r w:rsidR="000626C3">
        <w:rPr>
          <w:spacing w:val="6"/>
        </w:rPr>
        <w:t xml:space="preserve">are in the Emissions </w:t>
      </w:r>
      <w:r w:rsidR="00EB1690">
        <w:rPr>
          <w:spacing w:val="6"/>
        </w:rPr>
        <w:t xml:space="preserve">(Certification) </w:t>
      </w:r>
      <w:r w:rsidR="000626C3">
        <w:rPr>
          <w:spacing w:val="6"/>
        </w:rPr>
        <w:t xml:space="preserve">IC. </w:t>
      </w:r>
    </w:p>
    <w:p w:rsidR="00E41B02" w:rsidRDefault="00E41B02" w:rsidP="00C72055">
      <w:pPr>
        <w:pStyle w:val="Style6"/>
        <w:jc w:val="left"/>
        <w:rPr>
          <w:spacing w:val="6"/>
        </w:rPr>
      </w:pPr>
    </w:p>
    <w:p w:rsidR="009F51C2" w:rsidRPr="00895D21" w:rsidRDefault="008511B8" w:rsidP="00C72055">
      <w:pPr>
        <w:pStyle w:val="Style6"/>
        <w:jc w:val="left"/>
        <w:rPr>
          <w:spacing w:val="6"/>
        </w:rPr>
      </w:pPr>
      <w:r>
        <w:rPr>
          <w:spacing w:val="6"/>
        </w:rPr>
        <w:tab/>
      </w:r>
      <w:r w:rsidR="00203629">
        <w:rPr>
          <w:spacing w:val="6"/>
        </w:rPr>
        <w:t xml:space="preserve">The </w:t>
      </w:r>
      <w:r w:rsidR="009F51C2">
        <w:rPr>
          <w:spacing w:val="6"/>
        </w:rPr>
        <w:t xml:space="preserve">changes will recognize three classes of conversions: </w:t>
      </w:r>
      <w:r w:rsidR="00E41B02">
        <w:rPr>
          <w:spacing w:val="6"/>
        </w:rPr>
        <w:t xml:space="preserve">to </w:t>
      </w:r>
      <w:r w:rsidR="00E96CB9">
        <w:rPr>
          <w:spacing w:val="6"/>
        </w:rPr>
        <w:t>(1)</w:t>
      </w:r>
      <w:r w:rsidR="00E41B02">
        <w:rPr>
          <w:spacing w:val="6"/>
        </w:rPr>
        <w:t xml:space="preserve"> </w:t>
      </w:r>
      <w:r w:rsidR="009F51C2" w:rsidRPr="009F51C2">
        <w:rPr>
          <w:spacing w:val="6"/>
        </w:rPr>
        <w:t xml:space="preserve">vehicles that are new or relatively new, </w:t>
      </w:r>
      <w:r w:rsidR="00E96CB9">
        <w:rPr>
          <w:spacing w:val="6"/>
        </w:rPr>
        <w:t xml:space="preserve">(2) </w:t>
      </w:r>
      <w:r w:rsidR="009F51C2" w:rsidRPr="009F51C2">
        <w:rPr>
          <w:spacing w:val="6"/>
        </w:rPr>
        <w:t xml:space="preserve">vehicles within EPA’s definition of useful life but </w:t>
      </w:r>
      <w:r w:rsidR="00E41B02">
        <w:rPr>
          <w:spacing w:val="6"/>
        </w:rPr>
        <w:t>which</w:t>
      </w:r>
      <w:r w:rsidR="00655323">
        <w:rPr>
          <w:spacing w:val="6"/>
        </w:rPr>
        <w:t xml:space="preserve"> </w:t>
      </w:r>
      <w:r w:rsidR="009F51C2" w:rsidRPr="009F51C2">
        <w:rPr>
          <w:spacing w:val="6"/>
        </w:rPr>
        <w:t xml:space="preserve">are neither new nor relatively new (“intermediate </w:t>
      </w:r>
      <w:r w:rsidR="00807621">
        <w:rPr>
          <w:spacing w:val="6"/>
        </w:rPr>
        <w:t>age</w:t>
      </w:r>
      <w:r w:rsidR="009F51C2" w:rsidRPr="009F51C2">
        <w:rPr>
          <w:spacing w:val="6"/>
        </w:rPr>
        <w:t xml:space="preserve"> vehicles”), and </w:t>
      </w:r>
      <w:r w:rsidR="00E96CB9">
        <w:rPr>
          <w:spacing w:val="6"/>
        </w:rPr>
        <w:t xml:space="preserve">(3) </w:t>
      </w:r>
      <w:r w:rsidR="009F51C2" w:rsidRPr="009F51C2">
        <w:rPr>
          <w:spacing w:val="6"/>
        </w:rPr>
        <w:t xml:space="preserve">vehicles </w:t>
      </w:r>
      <w:r w:rsidR="00E41B02">
        <w:rPr>
          <w:spacing w:val="6"/>
        </w:rPr>
        <w:t>that</w:t>
      </w:r>
      <w:r w:rsidR="009F51C2" w:rsidRPr="009F51C2">
        <w:rPr>
          <w:spacing w:val="6"/>
        </w:rPr>
        <w:t xml:space="preserve"> are outside </w:t>
      </w:r>
      <w:r w:rsidR="009F51C2" w:rsidRPr="009F51C2">
        <w:rPr>
          <w:spacing w:val="6"/>
        </w:rPr>
        <w:lastRenderedPageBreak/>
        <w:t>EPA’s definition of useful life.  For the newest vehicles</w:t>
      </w:r>
      <w:r w:rsidR="00655323">
        <w:rPr>
          <w:spacing w:val="6"/>
        </w:rPr>
        <w:t>,</w:t>
      </w:r>
      <w:r w:rsidR="009F51C2" w:rsidRPr="009F51C2">
        <w:rPr>
          <w:spacing w:val="6"/>
        </w:rPr>
        <w:t xml:space="preserve"> certification</w:t>
      </w:r>
      <w:r w:rsidR="0064500C">
        <w:rPr>
          <w:spacing w:val="6"/>
        </w:rPr>
        <w:t xml:space="preserve"> will still be required, but with </w:t>
      </w:r>
      <w:r w:rsidR="009F51C2" w:rsidRPr="009F51C2">
        <w:rPr>
          <w:spacing w:val="6"/>
        </w:rPr>
        <w:t xml:space="preserve">some additional flexibilities and expansion of options.  </w:t>
      </w:r>
      <w:r w:rsidR="0064500C">
        <w:rPr>
          <w:spacing w:val="6"/>
        </w:rPr>
        <w:t xml:space="preserve">Conversion of </w:t>
      </w:r>
      <w:r w:rsidR="009F51C2" w:rsidRPr="009F51C2">
        <w:rPr>
          <w:spacing w:val="6"/>
        </w:rPr>
        <w:t xml:space="preserve">intermediate </w:t>
      </w:r>
      <w:r w:rsidR="007A6345">
        <w:rPr>
          <w:spacing w:val="6"/>
        </w:rPr>
        <w:t>age</w:t>
      </w:r>
      <w:r w:rsidR="007A6345" w:rsidRPr="009F51C2">
        <w:rPr>
          <w:spacing w:val="6"/>
        </w:rPr>
        <w:t xml:space="preserve"> </w:t>
      </w:r>
      <w:r w:rsidR="009F51C2" w:rsidRPr="009F51C2">
        <w:rPr>
          <w:spacing w:val="6"/>
        </w:rPr>
        <w:t xml:space="preserve">vehicles </w:t>
      </w:r>
      <w:r w:rsidR="0064500C">
        <w:rPr>
          <w:spacing w:val="6"/>
        </w:rPr>
        <w:t xml:space="preserve">will be </w:t>
      </w:r>
      <w:r w:rsidR="00655323">
        <w:rPr>
          <w:spacing w:val="6"/>
        </w:rPr>
        <w:t xml:space="preserve">not be </w:t>
      </w:r>
      <w:r w:rsidR="0064500C">
        <w:rPr>
          <w:spacing w:val="6"/>
        </w:rPr>
        <w:t xml:space="preserve">certified </w:t>
      </w:r>
      <w:r w:rsidR="00655323">
        <w:rPr>
          <w:spacing w:val="6"/>
        </w:rPr>
        <w:t xml:space="preserve">but audited through reporting of </w:t>
      </w:r>
      <w:r w:rsidR="0064500C">
        <w:rPr>
          <w:spacing w:val="6"/>
        </w:rPr>
        <w:t xml:space="preserve">a testing </w:t>
      </w:r>
      <w:r w:rsidR="009F51C2" w:rsidRPr="009F51C2">
        <w:rPr>
          <w:spacing w:val="6"/>
        </w:rPr>
        <w:t>demonstration that the converted</w:t>
      </w:r>
      <w:r w:rsidR="00E41B02">
        <w:rPr>
          <w:spacing w:val="6"/>
        </w:rPr>
        <w:t xml:space="preserve"> vehicle </w:t>
      </w:r>
      <w:r w:rsidR="00A12614">
        <w:rPr>
          <w:spacing w:val="6"/>
        </w:rPr>
        <w:t xml:space="preserve">family </w:t>
      </w:r>
      <w:r w:rsidR="00E41B02">
        <w:rPr>
          <w:spacing w:val="6"/>
        </w:rPr>
        <w:t xml:space="preserve">still meets </w:t>
      </w:r>
      <w:r w:rsidR="006B21F5">
        <w:rPr>
          <w:spacing w:val="6"/>
        </w:rPr>
        <w:t xml:space="preserve">emissions </w:t>
      </w:r>
      <w:r w:rsidR="009F51C2" w:rsidRPr="009F51C2">
        <w:rPr>
          <w:spacing w:val="6"/>
        </w:rPr>
        <w:t>standards</w:t>
      </w:r>
      <w:r w:rsidR="00E41B02">
        <w:rPr>
          <w:spacing w:val="6"/>
        </w:rPr>
        <w:t xml:space="preserve"> certified for the OEM vehicle</w:t>
      </w:r>
      <w:r w:rsidR="00A12614">
        <w:rPr>
          <w:spacing w:val="6"/>
        </w:rPr>
        <w:t xml:space="preserve"> family</w:t>
      </w:r>
      <w:r w:rsidR="009F51C2" w:rsidRPr="009F51C2">
        <w:rPr>
          <w:spacing w:val="6"/>
        </w:rPr>
        <w:t xml:space="preserve">. </w:t>
      </w:r>
      <w:r w:rsidR="00895D21">
        <w:rPr>
          <w:spacing w:val="6"/>
        </w:rPr>
        <w:t xml:space="preserve">For conversion of outside useful life vehicles </w:t>
      </w:r>
      <w:r w:rsidR="00895D21" w:rsidRPr="00895D21">
        <w:rPr>
          <w:spacing w:val="6"/>
        </w:rPr>
        <w:t xml:space="preserve">EPA </w:t>
      </w:r>
      <w:r w:rsidR="00022CDC">
        <w:rPr>
          <w:spacing w:val="6"/>
        </w:rPr>
        <w:t xml:space="preserve">is finalizing a requirement for </w:t>
      </w:r>
      <w:r w:rsidR="00022CDC" w:rsidRPr="009F51C2">
        <w:rPr>
          <w:spacing w:val="6"/>
        </w:rPr>
        <w:t xml:space="preserve">information submission </w:t>
      </w:r>
      <w:r w:rsidR="00022CDC">
        <w:rPr>
          <w:spacing w:val="6"/>
        </w:rPr>
        <w:t xml:space="preserve">demonstrating </w:t>
      </w:r>
      <w:r w:rsidR="00022CDC" w:rsidRPr="009F51C2">
        <w:rPr>
          <w:spacing w:val="6"/>
        </w:rPr>
        <w:t>that the conversion is technically viable and will not increase emissions.</w:t>
      </w:r>
      <w:r w:rsidR="00DC2575">
        <w:rPr>
          <w:spacing w:val="6"/>
        </w:rPr>
        <w:t xml:space="preserve"> </w:t>
      </w:r>
    </w:p>
    <w:p w:rsidR="009F51C2" w:rsidRDefault="009F51C2" w:rsidP="00C72055">
      <w:pPr>
        <w:pStyle w:val="Style6"/>
        <w:jc w:val="left"/>
        <w:rPr>
          <w:spacing w:val="6"/>
        </w:rPr>
      </w:pPr>
    </w:p>
    <w:p w:rsidR="00C72055" w:rsidRDefault="00C72055" w:rsidP="00203629">
      <w:pPr>
        <w:pStyle w:val="Style6"/>
        <w:jc w:val="left"/>
        <w:rPr>
          <w:u w:val="single"/>
        </w:rPr>
      </w:pPr>
    </w:p>
    <w:p w:rsidR="000930A1" w:rsidRDefault="00832233" w:rsidP="00692526">
      <w:pPr>
        <w:pStyle w:val="Style6"/>
        <w:jc w:val="left"/>
        <w:outlineLvl w:val="0"/>
      </w:pPr>
      <w:r w:rsidRPr="005379F3">
        <w:rPr>
          <w:u w:val="single"/>
        </w:rPr>
        <w:t xml:space="preserve">Section 2: Need </w:t>
      </w:r>
      <w:r w:rsidR="005F3E33">
        <w:rPr>
          <w:u w:val="single"/>
        </w:rPr>
        <w:t xml:space="preserve">For </w:t>
      </w:r>
      <w:proofErr w:type="gramStart"/>
      <w:r w:rsidR="005F3E33">
        <w:rPr>
          <w:u w:val="single"/>
        </w:rPr>
        <w:t>A</w:t>
      </w:r>
      <w:r w:rsidRPr="005379F3">
        <w:rPr>
          <w:u w:val="single"/>
        </w:rPr>
        <w:t>nd</w:t>
      </w:r>
      <w:proofErr w:type="gramEnd"/>
      <w:r w:rsidRPr="005379F3">
        <w:rPr>
          <w:u w:val="single"/>
        </w:rPr>
        <w:t xml:space="preserve"> Use of the Collection</w:t>
      </w:r>
      <w:r w:rsidRPr="005379F3">
        <w:t xml:space="preserve"> </w:t>
      </w:r>
    </w:p>
    <w:p w:rsidR="008B3D18" w:rsidRDefault="008B3D18" w:rsidP="00692526">
      <w:pPr>
        <w:pStyle w:val="Style6"/>
        <w:jc w:val="left"/>
        <w:outlineLvl w:val="0"/>
      </w:pPr>
    </w:p>
    <w:p w:rsidR="00832233" w:rsidRDefault="00832233" w:rsidP="00692526">
      <w:pPr>
        <w:pStyle w:val="Style6"/>
        <w:jc w:val="left"/>
        <w:outlineLvl w:val="0"/>
        <w:rPr>
          <w:spacing w:val="6"/>
          <w:u w:val="single"/>
        </w:rPr>
      </w:pPr>
      <w:r w:rsidRPr="005379F3">
        <w:rPr>
          <w:spacing w:val="6"/>
        </w:rPr>
        <w:t xml:space="preserve">2(a) </w:t>
      </w:r>
      <w:r w:rsidRPr="005379F3">
        <w:rPr>
          <w:spacing w:val="6"/>
          <w:u w:val="single"/>
        </w:rPr>
        <w:t xml:space="preserve">Need/Authority </w:t>
      </w:r>
      <w:proofErr w:type="gramStart"/>
      <w:r w:rsidR="005F3E33">
        <w:rPr>
          <w:spacing w:val="6"/>
          <w:u w:val="single"/>
        </w:rPr>
        <w:t>For</w:t>
      </w:r>
      <w:proofErr w:type="gramEnd"/>
      <w:r w:rsidR="005F3E33">
        <w:rPr>
          <w:spacing w:val="6"/>
          <w:u w:val="single"/>
        </w:rPr>
        <w:t xml:space="preserve"> T</w:t>
      </w:r>
      <w:r w:rsidRPr="005379F3">
        <w:rPr>
          <w:spacing w:val="6"/>
          <w:u w:val="single"/>
        </w:rPr>
        <w:t>he Collection</w:t>
      </w:r>
    </w:p>
    <w:p w:rsidR="008B3D18" w:rsidRDefault="008B3D18" w:rsidP="00692526">
      <w:pPr>
        <w:pStyle w:val="Style6"/>
        <w:jc w:val="left"/>
        <w:outlineLvl w:val="0"/>
        <w:rPr>
          <w:spacing w:val="6"/>
          <w:u w:val="single"/>
        </w:rPr>
      </w:pPr>
    </w:p>
    <w:p w:rsidR="007E7ADF" w:rsidRDefault="00BC5FE0" w:rsidP="00692526">
      <w:pPr>
        <w:pStyle w:val="Style6"/>
        <w:jc w:val="left"/>
        <w:rPr>
          <w:spacing w:val="6"/>
        </w:rPr>
      </w:pPr>
      <w:r>
        <w:rPr>
          <w:spacing w:val="6"/>
        </w:rPr>
        <w:tab/>
      </w:r>
      <w:r w:rsidR="00832233" w:rsidRPr="00C72055">
        <w:rPr>
          <w:spacing w:val="6"/>
        </w:rPr>
        <w:t>Unde</w:t>
      </w:r>
      <w:r w:rsidR="005F3E33" w:rsidRPr="00C72055">
        <w:rPr>
          <w:spacing w:val="6"/>
        </w:rPr>
        <w:t>r Title II of the Clean Air Act</w:t>
      </w:r>
      <w:r w:rsidR="00832233" w:rsidRPr="00C72055">
        <w:rPr>
          <w:spacing w:val="6"/>
        </w:rPr>
        <w:t xml:space="preserve"> (42 U.S.C. 7521 et seq.), EPA is charged with issuing certificates of conformity for motor vehicle designs </w:t>
      </w:r>
      <w:r w:rsidR="005F3E33" w:rsidRPr="00C72055">
        <w:rPr>
          <w:spacing w:val="6"/>
        </w:rPr>
        <w:t>that</w:t>
      </w:r>
      <w:r w:rsidR="00832233" w:rsidRPr="00C72055">
        <w:rPr>
          <w:spacing w:val="6"/>
        </w:rPr>
        <w:t xml:space="preserve"> comply with applicable emission standards</w:t>
      </w:r>
      <w:r w:rsidR="009B3F59">
        <w:rPr>
          <w:spacing w:val="6"/>
        </w:rPr>
        <w:t xml:space="preserve"> set under section 202(a)(1)</w:t>
      </w:r>
      <w:r w:rsidR="00DD4934">
        <w:rPr>
          <w:spacing w:val="6"/>
        </w:rPr>
        <w:t xml:space="preserve"> of the Act</w:t>
      </w:r>
      <w:r w:rsidR="00832233" w:rsidRPr="00C72055">
        <w:rPr>
          <w:spacing w:val="6"/>
        </w:rPr>
        <w:t>.</w:t>
      </w:r>
      <w:r w:rsidR="005074ED">
        <w:rPr>
          <w:spacing w:val="6"/>
        </w:rPr>
        <w:t xml:space="preserve"> </w:t>
      </w:r>
      <w:r w:rsidR="00832233" w:rsidRPr="00C72055">
        <w:rPr>
          <w:spacing w:val="6"/>
        </w:rPr>
        <w:t xml:space="preserve"> A manufacturer must have a certificate before vehicles may be legally introduced into commerce. </w:t>
      </w:r>
      <w:r w:rsidR="005074ED">
        <w:rPr>
          <w:spacing w:val="6"/>
        </w:rPr>
        <w:t xml:space="preserve"> </w:t>
      </w:r>
      <w:r w:rsidR="00AD652C">
        <w:rPr>
          <w:spacing w:val="6"/>
        </w:rPr>
        <w:t>To i</w:t>
      </w:r>
      <w:r w:rsidR="00832233" w:rsidRPr="00C72055">
        <w:rPr>
          <w:spacing w:val="6"/>
        </w:rPr>
        <w:t xml:space="preserve">nsure compliance with </w:t>
      </w:r>
      <w:r w:rsidR="007158BF">
        <w:rPr>
          <w:spacing w:val="6"/>
        </w:rPr>
        <w:t>the Act</w:t>
      </w:r>
      <w:r w:rsidR="00832233" w:rsidRPr="00C72055">
        <w:rPr>
          <w:spacing w:val="6"/>
        </w:rPr>
        <w:t xml:space="preserve">, EPA reviews product information and manufacturer test results; EPA also tests some vehicles to confirm manufacturer results. </w:t>
      </w:r>
      <w:r w:rsidR="005074ED">
        <w:rPr>
          <w:spacing w:val="6"/>
        </w:rPr>
        <w:t xml:space="preserve"> </w:t>
      </w:r>
    </w:p>
    <w:p w:rsidR="00DE3CCD" w:rsidRDefault="00DE3CCD" w:rsidP="00692526">
      <w:pPr>
        <w:pStyle w:val="Style6"/>
        <w:jc w:val="left"/>
        <w:rPr>
          <w:spacing w:val="6"/>
        </w:rPr>
      </w:pPr>
    </w:p>
    <w:p w:rsidR="007E7ADF" w:rsidRPr="007E7ADF" w:rsidRDefault="007E7ADF" w:rsidP="00692526">
      <w:pPr>
        <w:pStyle w:val="Style6"/>
        <w:jc w:val="left"/>
        <w:rPr>
          <w:spacing w:val="6"/>
        </w:rPr>
      </w:pPr>
      <w:r>
        <w:rPr>
          <w:spacing w:val="6"/>
        </w:rPr>
        <w:tab/>
        <w:t xml:space="preserve">Section 203 of the Clean Air Act contains “anti-tampering” provisions prohibiting alteration of OEM vehicle components relevant to the vehicle’s certification under the Act.  Regulations at </w:t>
      </w:r>
      <w:r w:rsidRPr="007E7ADF">
        <w:rPr>
          <w:spacing w:val="6"/>
        </w:rPr>
        <w:t>40 CFR, Part 85, Subpart F</w:t>
      </w:r>
      <w:r w:rsidR="0098188C">
        <w:rPr>
          <w:spacing w:val="6"/>
        </w:rPr>
        <w:t>,</w:t>
      </w:r>
      <w:r>
        <w:rPr>
          <w:spacing w:val="6"/>
        </w:rPr>
        <w:t xml:space="preserve"> provide exemption for aftermarket conversion systems from these tampering prohibitions for those converters complying with the regulations of that Part. </w:t>
      </w:r>
      <w:r w:rsidR="00232A51">
        <w:rPr>
          <w:spacing w:val="6"/>
        </w:rPr>
        <w:t xml:space="preserve">Under Subpart F, these exemptions are </w:t>
      </w:r>
      <w:r w:rsidR="00A12614">
        <w:rPr>
          <w:spacing w:val="6"/>
        </w:rPr>
        <w:t xml:space="preserve">currently </w:t>
      </w:r>
      <w:r w:rsidR="00232A51">
        <w:rPr>
          <w:spacing w:val="6"/>
        </w:rPr>
        <w:t xml:space="preserve">administered through a certification process that is modeled on the OEM certification provisions: converters submit certification requests for engine families, and those </w:t>
      </w:r>
      <w:r w:rsidR="006B21F5">
        <w:rPr>
          <w:spacing w:val="6"/>
        </w:rPr>
        <w:t>that</w:t>
      </w:r>
      <w:r w:rsidR="00232A51">
        <w:rPr>
          <w:spacing w:val="6"/>
        </w:rPr>
        <w:t xml:space="preserve"> satisfy EPA’s </w:t>
      </w:r>
      <w:r w:rsidR="006B21F5">
        <w:rPr>
          <w:spacing w:val="6"/>
        </w:rPr>
        <w:t xml:space="preserve">regulations upon </w:t>
      </w:r>
      <w:r w:rsidR="00232A51">
        <w:rPr>
          <w:spacing w:val="6"/>
        </w:rPr>
        <w:t xml:space="preserve">review are granted certificates of conformity for one model year. </w:t>
      </w:r>
    </w:p>
    <w:p w:rsidR="008B3D18" w:rsidRPr="005379F3" w:rsidRDefault="008B3D18" w:rsidP="00692526">
      <w:pPr>
        <w:pStyle w:val="Style6"/>
        <w:jc w:val="left"/>
        <w:rPr>
          <w:spacing w:val="6"/>
        </w:rPr>
      </w:pPr>
    </w:p>
    <w:p w:rsidR="00832233" w:rsidRDefault="00832233" w:rsidP="00692526">
      <w:pPr>
        <w:pStyle w:val="Style6"/>
        <w:jc w:val="left"/>
        <w:rPr>
          <w:u w:val="single"/>
        </w:rPr>
      </w:pPr>
      <w:r w:rsidRPr="005379F3">
        <w:t xml:space="preserve">2(b) </w:t>
      </w:r>
      <w:r w:rsidRPr="00224A1E">
        <w:rPr>
          <w:u w:val="single"/>
        </w:rPr>
        <w:t>Practical Utility/Users of the Data</w:t>
      </w:r>
    </w:p>
    <w:p w:rsidR="00FA7812" w:rsidRDefault="00FA7812" w:rsidP="00692526">
      <w:pPr>
        <w:pStyle w:val="Style6"/>
        <w:jc w:val="left"/>
      </w:pPr>
    </w:p>
    <w:p w:rsidR="00E26DCD" w:rsidRPr="00E26DCD" w:rsidRDefault="00BC5FE0" w:rsidP="00AD652C">
      <w:pPr>
        <w:pStyle w:val="Style6"/>
        <w:jc w:val="left"/>
        <w:rPr>
          <w:spacing w:val="6"/>
        </w:rPr>
      </w:pPr>
      <w:r>
        <w:rPr>
          <w:spacing w:val="6"/>
        </w:rPr>
        <w:tab/>
      </w:r>
      <w:r w:rsidR="00E26DCD">
        <w:rPr>
          <w:spacing w:val="6"/>
        </w:rPr>
        <w:t xml:space="preserve">The information collection </w:t>
      </w:r>
      <w:r w:rsidR="00360F7B">
        <w:rPr>
          <w:spacing w:val="6"/>
        </w:rPr>
        <w:t xml:space="preserve">under the </w:t>
      </w:r>
      <w:r>
        <w:rPr>
          <w:spacing w:val="6"/>
        </w:rPr>
        <w:t xml:space="preserve">rule </w:t>
      </w:r>
      <w:r w:rsidR="00E26DCD">
        <w:rPr>
          <w:spacing w:val="6"/>
        </w:rPr>
        <w:t xml:space="preserve">would </w:t>
      </w:r>
      <w:r w:rsidR="00360F7B">
        <w:rPr>
          <w:spacing w:val="6"/>
        </w:rPr>
        <w:t xml:space="preserve">be used to determine whether the </w:t>
      </w:r>
      <w:r w:rsidR="0078545E">
        <w:rPr>
          <w:spacing w:val="6"/>
        </w:rPr>
        <w:t>new requirements</w:t>
      </w:r>
      <w:r w:rsidR="00360F7B">
        <w:rPr>
          <w:spacing w:val="6"/>
        </w:rPr>
        <w:t xml:space="preserve"> have been complied with </w:t>
      </w:r>
      <w:r w:rsidR="0078545E">
        <w:rPr>
          <w:spacing w:val="6"/>
        </w:rPr>
        <w:t>by means of the</w:t>
      </w:r>
      <w:r w:rsidR="00360F7B">
        <w:rPr>
          <w:spacing w:val="6"/>
        </w:rPr>
        <w:t xml:space="preserve"> </w:t>
      </w:r>
      <w:r w:rsidR="00A12614">
        <w:rPr>
          <w:spacing w:val="6"/>
        </w:rPr>
        <w:t xml:space="preserve">revised </w:t>
      </w:r>
      <w:r w:rsidR="00360F7B">
        <w:rPr>
          <w:spacing w:val="6"/>
        </w:rPr>
        <w:t>ce</w:t>
      </w:r>
      <w:r w:rsidR="0078545E">
        <w:rPr>
          <w:spacing w:val="6"/>
        </w:rPr>
        <w:t xml:space="preserve">rtification </w:t>
      </w:r>
      <w:r w:rsidR="00A12614">
        <w:rPr>
          <w:spacing w:val="6"/>
        </w:rPr>
        <w:t xml:space="preserve">and compliance </w:t>
      </w:r>
      <w:r w:rsidR="006B21F5">
        <w:rPr>
          <w:spacing w:val="6"/>
        </w:rPr>
        <w:t>program</w:t>
      </w:r>
      <w:r w:rsidR="0078545E">
        <w:rPr>
          <w:spacing w:val="6"/>
        </w:rPr>
        <w:t xml:space="preserve">. </w:t>
      </w:r>
    </w:p>
    <w:p w:rsidR="00A81CC3" w:rsidRDefault="00A81CC3" w:rsidP="00AD652C">
      <w:pPr>
        <w:ind w:right="72"/>
        <w:rPr>
          <w:spacing w:val="6"/>
        </w:rPr>
      </w:pPr>
    </w:p>
    <w:p w:rsidR="00F04661" w:rsidRDefault="00832233" w:rsidP="00692526">
      <w:pPr>
        <w:ind w:right="72"/>
        <w:rPr>
          <w:spacing w:val="4"/>
        </w:rPr>
      </w:pPr>
      <w:r w:rsidRPr="005379F3">
        <w:rPr>
          <w:spacing w:val="4"/>
          <w:u w:val="single"/>
        </w:rPr>
        <w:t xml:space="preserve">Section 3: </w:t>
      </w:r>
      <w:proofErr w:type="spellStart"/>
      <w:r w:rsidRPr="005379F3">
        <w:rPr>
          <w:spacing w:val="4"/>
          <w:u w:val="single"/>
        </w:rPr>
        <w:t>Nonduplication</w:t>
      </w:r>
      <w:proofErr w:type="spellEnd"/>
      <w:r w:rsidRPr="005379F3">
        <w:rPr>
          <w:spacing w:val="4"/>
          <w:u w:val="single"/>
        </w:rPr>
        <w:t>, Consultations, and Other Collection Criteria</w:t>
      </w:r>
      <w:r w:rsidRPr="005379F3">
        <w:rPr>
          <w:spacing w:val="4"/>
        </w:rPr>
        <w:t xml:space="preserve"> </w:t>
      </w:r>
    </w:p>
    <w:p w:rsidR="008B3D18" w:rsidRPr="005379F3" w:rsidRDefault="008B3D18" w:rsidP="00692526">
      <w:pPr>
        <w:ind w:right="72"/>
        <w:rPr>
          <w:spacing w:val="4"/>
        </w:rPr>
      </w:pPr>
    </w:p>
    <w:p w:rsidR="00832233" w:rsidRDefault="00F04661" w:rsidP="00692526">
      <w:pPr>
        <w:spacing w:line="0" w:lineRule="atLeast"/>
        <w:ind w:right="2448"/>
        <w:rPr>
          <w:spacing w:val="6"/>
          <w:u w:val="single"/>
        </w:rPr>
      </w:pPr>
      <w:r w:rsidRPr="005379F3">
        <w:rPr>
          <w:spacing w:val="4"/>
        </w:rPr>
        <w:t>3</w:t>
      </w:r>
      <w:r w:rsidR="00832233" w:rsidRPr="005379F3">
        <w:rPr>
          <w:spacing w:val="6"/>
        </w:rPr>
        <w:t>(a)</w:t>
      </w:r>
      <w:r w:rsidR="0013395B">
        <w:rPr>
          <w:spacing w:val="6"/>
        </w:rPr>
        <w:t xml:space="preserve"> </w:t>
      </w:r>
      <w:proofErr w:type="spellStart"/>
      <w:r w:rsidR="00832233" w:rsidRPr="0013395B">
        <w:rPr>
          <w:spacing w:val="6"/>
          <w:u w:val="single"/>
        </w:rPr>
        <w:t>Nonduplication</w:t>
      </w:r>
      <w:proofErr w:type="spellEnd"/>
    </w:p>
    <w:p w:rsidR="00D6586F" w:rsidRPr="00D6586F" w:rsidRDefault="00D6586F" w:rsidP="00692526">
      <w:pPr>
        <w:spacing w:line="0" w:lineRule="atLeast"/>
        <w:ind w:right="2448"/>
        <w:rPr>
          <w:spacing w:val="6"/>
        </w:rPr>
      </w:pPr>
    </w:p>
    <w:p w:rsidR="008B3D18" w:rsidRDefault="00D6586F" w:rsidP="006B21F5">
      <w:pPr>
        <w:spacing w:line="0" w:lineRule="atLeast"/>
        <w:rPr>
          <w:spacing w:val="6"/>
        </w:rPr>
      </w:pPr>
      <w:r>
        <w:rPr>
          <w:spacing w:val="6"/>
        </w:rPr>
        <w:tab/>
        <w:t>The information collection, reporting, and storage provisions of the proposed rule rely to the maximum extent possible on EPA’s existing certification program</w:t>
      </w:r>
      <w:r w:rsidR="00A12614">
        <w:rPr>
          <w:spacing w:val="6"/>
        </w:rPr>
        <w:t>, while simplifying that program to reflect the needs of this industry</w:t>
      </w:r>
      <w:r w:rsidR="006B21F5">
        <w:rPr>
          <w:spacing w:val="6"/>
        </w:rPr>
        <w:t>.</w:t>
      </w:r>
      <w:r>
        <w:rPr>
          <w:spacing w:val="6"/>
        </w:rPr>
        <w:t xml:space="preserve"> </w:t>
      </w:r>
    </w:p>
    <w:p w:rsidR="006B21F5" w:rsidRPr="005379F3" w:rsidRDefault="006B21F5" w:rsidP="006B21F5">
      <w:pPr>
        <w:spacing w:line="0" w:lineRule="atLeast"/>
        <w:rPr>
          <w:spacing w:val="6"/>
        </w:rPr>
      </w:pPr>
    </w:p>
    <w:p w:rsidR="00980201" w:rsidRPr="004D5102" w:rsidRDefault="00BC5FE0" w:rsidP="004D5102">
      <w:pPr>
        <w:pStyle w:val="Style6"/>
        <w:jc w:val="left"/>
        <w:rPr>
          <w:spacing w:val="6"/>
        </w:rPr>
      </w:pPr>
      <w:r>
        <w:rPr>
          <w:spacing w:val="6"/>
        </w:rPr>
        <w:tab/>
      </w:r>
      <w:r w:rsidR="00832233" w:rsidRPr="004D5102">
        <w:rPr>
          <w:spacing w:val="6"/>
        </w:rPr>
        <w:t xml:space="preserve">Efforts have been made to eliminate duplication in this information collection. </w:t>
      </w:r>
      <w:r w:rsidR="004D5D22">
        <w:rPr>
          <w:spacing w:val="6"/>
        </w:rPr>
        <w:t xml:space="preserve"> </w:t>
      </w:r>
      <w:r w:rsidR="000A12E5" w:rsidRPr="004D5102">
        <w:rPr>
          <w:spacing w:val="6"/>
        </w:rPr>
        <w:t xml:space="preserve"> </w:t>
      </w:r>
      <w:r w:rsidR="004D5D22">
        <w:rPr>
          <w:spacing w:val="6"/>
        </w:rPr>
        <w:t xml:space="preserve"> </w:t>
      </w:r>
      <w:r w:rsidR="00980201" w:rsidRPr="004D5102">
        <w:rPr>
          <w:spacing w:val="6"/>
        </w:rPr>
        <w:t>EPA</w:t>
      </w:r>
      <w:r w:rsidR="00067C24">
        <w:rPr>
          <w:spacing w:val="6"/>
        </w:rPr>
        <w:t>-CISD</w:t>
      </w:r>
      <w:r w:rsidR="00980201" w:rsidRPr="004D5102">
        <w:rPr>
          <w:spacing w:val="6"/>
        </w:rPr>
        <w:t xml:space="preserve"> </w:t>
      </w:r>
      <w:r w:rsidR="000174DA">
        <w:rPr>
          <w:spacing w:val="6"/>
        </w:rPr>
        <w:t xml:space="preserve">(Compliance and Innovative Strategies Division) </w:t>
      </w:r>
      <w:r w:rsidR="00360F7B">
        <w:rPr>
          <w:spacing w:val="6"/>
        </w:rPr>
        <w:t>is currently using</w:t>
      </w:r>
      <w:r w:rsidR="00921790">
        <w:rPr>
          <w:spacing w:val="6"/>
        </w:rPr>
        <w:t>,</w:t>
      </w:r>
      <w:r w:rsidR="00980201" w:rsidRPr="004D5102">
        <w:rPr>
          <w:spacing w:val="6"/>
        </w:rPr>
        <w:t xml:space="preserve"> </w:t>
      </w:r>
      <w:r w:rsidR="00360F7B">
        <w:rPr>
          <w:spacing w:val="6"/>
        </w:rPr>
        <w:t>for light-duty vehicles</w:t>
      </w:r>
      <w:r w:rsidR="00921790">
        <w:rPr>
          <w:spacing w:val="6"/>
        </w:rPr>
        <w:t>,</w:t>
      </w:r>
      <w:r w:rsidR="00360F7B">
        <w:rPr>
          <w:spacing w:val="6"/>
        </w:rPr>
        <w:t xml:space="preserve"> </w:t>
      </w:r>
      <w:r w:rsidR="00067C24">
        <w:rPr>
          <w:spacing w:val="6"/>
        </w:rPr>
        <w:t>a new information management</w:t>
      </w:r>
      <w:r w:rsidR="00913761">
        <w:rPr>
          <w:spacing w:val="6"/>
        </w:rPr>
        <w:t xml:space="preserve"> </w:t>
      </w:r>
      <w:r w:rsidR="00980201" w:rsidRPr="004D5102">
        <w:rPr>
          <w:spacing w:val="6"/>
        </w:rPr>
        <w:t>system</w:t>
      </w:r>
      <w:r w:rsidR="00913761">
        <w:rPr>
          <w:spacing w:val="6"/>
        </w:rPr>
        <w:t xml:space="preserve"> (Verify)</w:t>
      </w:r>
      <w:r w:rsidR="00980201" w:rsidRPr="004D5102">
        <w:rPr>
          <w:spacing w:val="6"/>
        </w:rPr>
        <w:t xml:space="preserve">, under which the </w:t>
      </w:r>
      <w:r w:rsidR="00980201" w:rsidRPr="004D5102">
        <w:rPr>
          <w:spacing w:val="6"/>
        </w:rPr>
        <w:lastRenderedPageBreak/>
        <w:t>manufacturer submission process will occur within a Central Data Exchange (CDX) environment that should further help minimize duplication in submissions</w:t>
      </w:r>
      <w:r w:rsidR="006D162F" w:rsidRPr="004D5102">
        <w:rPr>
          <w:spacing w:val="6"/>
        </w:rPr>
        <w:t>.</w:t>
      </w:r>
      <w:r w:rsidR="00980201" w:rsidRPr="004D5102">
        <w:rPr>
          <w:spacing w:val="6"/>
        </w:rPr>
        <w:t xml:space="preserve"> </w:t>
      </w:r>
    </w:p>
    <w:p w:rsidR="00980201" w:rsidRPr="004D5102" w:rsidRDefault="00980201" w:rsidP="004D5102">
      <w:pPr>
        <w:pStyle w:val="Style6"/>
        <w:jc w:val="left"/>
        <w:rPr>
          <w:spacing w:val="6"/>
        </w:rPr>
      </w:pPr>
    </w:p>
    <w:p w:rsidR="00980201" w:rsidRPr="004D5102" w:rsidRDefault="00BC5FE0" w:rsidP="004D5102">
      <w:pPr>
        <w:pStyle w:val="Style6"/>
        <w:jc w:val="left"/>
        <w:rPr>
          <w:spacing w:val="6"/>
        </w:rPr>
      </w:pPr>
      <w:r>
        <w:rPr>
          <w:spacing w:val="6"/>
        </w:rPr>
        <w:tab/>
      </w:r>
      <w:r w:rsidR="00832233" w:rsidRPr="004D5102">
        <w:rPr>
          <w:spacing w:val="6"/>
        </w:rPr>
        <w:t xml:space="preserve">Because of its specialized nature and the fact that product plans and emission performance information must be submitted to EPA prior to the start of production, </w:t>
      </w:r>
      <w:r w:rsidR="003935C9" w:rsidRPr="004D5102">
        <w:rPr>
          <w:spacing w:val="6"/>
        </w:rPr>
        <w:t xml:space="preserve">this information </w:t>
      </w:r>
      <w:r w:rsidR="00832233" w:rsidRPr="004D5102">
        <w:rPr>
          <w:spacing w:val="6"/>
        </w:rPr>
        <w:t>is not available from any source other than the manufacturer.</w:t>
      </w:r>
    </w:p>
    <w:p w:rsidR="008B3D18" w:rsidRPr="005379F3" w:rsidRDefault="00980201" w:rsidP="00692526">
      <w:pPr>
        <w:ind w:right="72"/>
        <w:rPr>
          <w:spacing w:val="6"/>
        </w:rPr>
      </w:pPr>
      <w:r>
        <w:rPr>
          <w:spacing w:val="6"/>
        </w:rPr>
        <w:t xml:space="preserve"> </w:t>
      </w:r>
    </w:p>
    <w:p w:rsidR="00832233" w:rsidRDefault="00F04661" w:rsidP="00692526">
      <w:pPr>
        <w:rPr>
          <w:spacing w:val="6"/>
          <w:u w:val="single"/>
        </w:rPr>
      </w:pPr>
      <w:r w:rsidRPr="005379F3">
        <w:rPr>
          <w:spacing w:val="6"/>
        </w:rPr>
        <w:t xml:space="preserve">3(b) </w:t>
      </w:r>
      <w:r w:rsidR="00832233" w:rsidRPr="005379F3">
        <w:rPr>
          <w:spacing w:val="6"/>
          <w:u w:val="single"/>
        </w:rPr>
        <w:t>Public Notice Prior to ICR Submission to OMB</w:t>
      </w:r>
    </w:p>
    <w:p w:rsidR="008B3D18" w:rsidRPr="005379F3" w:rsidRDefault="008B3D18" w:rsidP="00692526">
      <w:pPr>
        <w:rPr>
          <w:spacing w:val="6"/>
        </w:rPr>
      </w:pPr>
    </w:p>
    <w:p w:rsidR="00360F7B" w:rsidRDefault="00BC5FE0" w:rsidP="00BA10A8">
      <w:pPr>
        <w:pStyle w:val="Style6"/>
        <w:jc w:val="left"/>
      </w:pPr>
      <w:r>
        <w:tab/>
      </w:r>
      <w:r w:rsidR="00832233" w:rsidRPr="00E4121A">
        <w:t xml:space="preserve">EPA solicited public comment by means of </w:t>
      </w:r>
      <w:r w:rsidR="00203629">
        <w:t>the preamble to the proposed rule.</w:t>
      </w:r>
    </w:p>
    <w:p w:rsidR="00203629" w:rsidRPr="00BA10A8" w:rsidRDefault="00203629" w:rsidP="00BA10A8">
      <w:pPr>
        <w:pStyle w:val="Style6"/>
        <w:jc w:val="left"/>
        <w:rPr>
          <w:spacing w:val="6"/>
        </w:rPr>
      </w:pPr>
    </w:p>
    <w:p w:rsidR="00832233" w:rsidRDefault="0074424B" w:rsidP="00692526">
      <w:pPr>
        <w:rPr>
          <w:spacing w:val="6"/>
          <w:u w:val="single"/>
        </w:rPr>
      </w:pPr>
      <w:r w:rsidRPr="005379F3">
        <w:rPr>
          <w:spacing w:val="6"/>
        </w:rPr>
        <w:t>3</w:t>
      </w:r>
      <w:r w:rsidR="008B3D18">
        <w:rPr>
          <w:spacing w:val="6"/>
        </w:rPr>
        <w:t xml:space="preserve">(c) </w:t>
      </w:r>
      <w:r w:rsidR="00832233" w:rsidRPr="005379F3">
        <w:rPr>
          <w:spacing w:val="6"/>
          <w:u w:val="single"/>
        </w:rPr>
        <w:t>Consultations</w:t>
      </w:r>
    </w:p>
    <w:p w:rsidR="00E4121A" w:rsidRPr="005379F3" w:rsidRDefault="00E4121A" w:rsidP="00692526">
      <w:pPr>
        <w:rPr>
          <w:spacing w:val="6"/>
        </w:rPr>
      </w:pPr>
    </w:p>
    <w:p w:rsidR="00232A51" w:rsidRDefault="00BC5FE0" w:rsidP="00E4121A">
      <w:pPr>
        <w:pStyle w:val="Style6"/>
        <w:jc w:val="left"/>
        <w:rPr>
          <w:spacing w:val="6"/>
        </w:rPr>
      </w:pPr>
      <w:r>
        <w:rPr>
          <w:spacing w:val="6"/>
        </w:rPr>
        <w:tab/>
      </w:r>
      <w:r w:rsidR="00C32E47">
        <w:rPr>
          <w:spacing w:val="6"/>
        </w:rPr>
        <w:t xml:space="preserve">The </w:t>
      </w:r>
      <w:r w:rsidR="0003210C">
        <w:rPr>
          <w:spacing w:val="6"/>
        </w:rPr>
        <w:t xml:space="preserve">proposed </w:t>
      </w:r>
      <w:r w:rsidR="00C32E47">
        <w:rPr>
          <w:spacing w:val="6"/>
        </w:rPr>
        <w:t xml:space="preserve">regulations, including the cost analysis that is reflected in this ICR, were developed </w:t>
      </w:r>
      <w:r w:rsidR="0003210C">
        <w:rPr>
          <w:spacing w:val="6"/>
        </w:rPr>
        <w:t xml:space="preserve">based on experience with similar regulations developed in the past </w:t>
      </w:r>
      <w:r w:rsidR="00C32E47">
        <w:rPr>
          <w:spacing w:val="6"/>
        </w:rPr>
        <w:t>in close consultation with the affected industry.</w:t>
      </w:r>
      <w:r w:rsidR="004D5D22">
        <w:rPr>
          <w:spacing w:val="6"/>
        </w:rPr>
        <w:t xml:space="preserve"> </w:t>
      </w:r>
      <w:r w:rsidR="00C32E47">
        <w:rPr>
          <w:spacing w:val="6"/>
        </w:rPr>
        <w:t xml:space="preserve"> </w:t>
      </w:r>
      <w:r w:rsidR="00097E92" w:rsidRPr="00097E92">
        <w:rPr>
          <w:spacing w:val="6"/>
        </w:rPr>
        <w:t xml:space="preserve">EPA sought and received significant input and feedback from the fuel conversion community.  </w:t>
      </w:r>
    </w:p>
    <w:p w:rsidR="00C32E47" w:rsidRPr="00097E92" w:rsidRDefault="00097E92" w:rsidP="00E4121A">
      <w:pPr>
        <w:pStyle w:val="Style6"/>
        <w:jc w:val="left"/>
        <w:rPr>
          <w:spacing w:val="6"/>
        </w:rPr>
      </w:pPr>
      <w:r w:rsidRPr="00097E92">
        <w:rPr>
          <w:spacing w:val="6"/>
        </w:rPr>
        <w:t xml:space="preserve"> </w:t>
      </w:r>
    </w:p>
    <w:p w:rsidR="00832233" w:rsidRDefault="00BC5FE0" w:rsidP="00E4121A">
      <w:pPr>
        <w:pStyle w:val="Style6"/>
        <w:jc w:val="left"/>
        <w:rPr>
          <w:spacing w:val="6"/>
        </w:rPr>
      </w:pPr>
      <w:r>
        <w:rPr>
          <w:spacing w:val="6"/>
        </w:rPr>
        <w:tab/>
      </w:r>
      <w:r w:rsidR="00832233" w:rsidRPr="00E4121A">
        <w:rPr>
          <w:spacing w:val="6"/>
        </w:rPr>
        <w:t>In preparing th</w:t>
      </w:r>
      <w:r w:rsidR="007F343C">
        <w:rPr>
          <w:spacing w:val="6"/>
        </w:rPr>
        <w:t>e proposed rule</w:t>
      </w:r>
      <w:r w:rsidR="00832233" w:rsidRPr="00E4121A">
        <w:rPr>
          <w:spacing w:val="6"/>
        </w:rPr>
        <w:t xml:space="preserve">, EPA </w:t>
      </w:r>
      <w:r w:rsidR="00A12614">
        <w:rPr>
          <w:spacing w:val="6"/>
        </w:rPr>
        <w:t xml:space="preserve">made use of </w:t>
      </w:r>
      <w:r w:rsidR="00832233" w:rsidRPr="00E4121A">
        <w:rPr>
          <w:spacing w:val="6"/>
        </w:rPr>
        <w:t>consult</w:t>
      </w:r>
      <w:r w:rsidR="00A12614">
        <w:rPr>
          <w:spacing w:val="6"/>
        </w:rPr>
        <w:t>ations</w:t>
      </w:r>
      <w:r w:rsidR="00832233" w:rsidRPr="00E4121A">
        <w:rPr>
          <w:spacing w:val="6"/>
        </w:rPr>
        <w:t xml:space="preserve"> with </w:t>
      </w:r>
      <w:r w:rsidR="007C12AA">
        <w:rPr>
          <w:spacing w:val="6"/>
        </w:rPr>
        <w:t xml:space="preserve">several converters and an independent test lab </w:t>
      </w:r>
      <w:r w:rsidR="00832233" w:rsidRPr="00E4121A">
        <w:rPr>
          <w:spacing w:val="6"/>
        </w:rPr>
        <w:t>working in the regulated industry</w:t>
      </w:r>
      <w:r w:rsidR="00BC1A5C">
        <w:rPr>
          <w:spacing w:val="6"/>
        </w:rPr>
        <w:t>.</w:t>
      </w:r>
    </w:p>
    <w:p w:rsidR="00DC057A" w:rsidRDefault="00DC057A" w:rsidP="00E4121A">
      <w:pPr>
        <w:pStyle w:val="Style6"/>
        <w:jc w:val="left"/>
        <w:rPr>
          <w:spacing w:val="6"/>
        </w:rPr>
      </w:pPr>
    </w:p>
    <w:p w:rsidR="0074424B" w:rsidRPr="004D5102" w:rsidRDefault="00BC5FE0" w:rsidP="004D5102">
      <w:pPr>
        <w:pStyle w:val="Style6"/>
        <w:jc w:val="left"/>
        <w:rPr>
          <w:spacing w:val="6"/>
        </w:rPr>
      </w:pPr>
      <w:r>
        <w:rPr>
          <w:spacing w:val="6"/>
        </w:rPr>
        <w:tab/>
      </w:r>
      <w:r w:rsidR="00832233" w:rsidRPr="004D5102">
        <w:rPr>
          <w:spacing w:val="6"/>
        </w:rPr>
        <w:t xml:space="preserve">Their comments have been </w:t>
      </w:r>
      <w:r w:rsidR="006B21F5">
        <w:rPr>
          <w:spacing w:val="6"/>
        </w:rPr>
        <w:t>considered</w:t>
      </w:r>
      <w:r w:rsidR="00832233" w:rsidRPr="004D5102">
        <w:rPr>
          <w:spacing w:val="6"/>
        </w:rPr>
        <w:t xml:space="preserve"> in </w:t>
      </w:r>
      <w:r w:rsidR="006B21F5">
        <w:rPr>
          <w:spacing w:val="6"/>
        </w:rPr>
        <w:t xml:space="preserve">developing </w:t>
      </w:r>
      <w:r w:rsidR="00832233" w:rsidRPr="004D5102">
        <w:rPr>
          <w:spacing w:val="6"/>
        </w:rPr>
        <w:t>the burden estimates discussed below. EPA wishes to thank them and their colleagues for their assistance in preparing this report.</w:t>
      </w:r>
    </w:p>
    <w:p w:rsidR="00F8395A" w:rsidRDefault="00F8395A" w:rsidP="00692526">
      <w:pPr>
        <w:outlineLvl w:val="0"/>
        <w:rPr>
          <w:spacing w:val="6"/>
        </w:rPr>
      </w:pPr>
    </w:p>
    <w:p w:rsidR="00CB21D5" w:rsidRDefault="00832233" w:rsidP="00692526">
      <w:pPr>
        <w:outlineLvl w:val="0"/>
        <w:rPr>
          <w:spacing w:val="6"/>
          <w:u w:val="single"/>
        </w:rPr>
      </w:pPr>
      <w:r w:rsidRPr="005379F3">
        <w:rPr>
          <w:spacing w:val="6"/>
        </w:rPr>
        <w:t xml:space="preserve">3(d) </w:t>
      </w:r>
      <w:r w:rsidRPr="005379F3">
        <w:rPr>
          <w:spacing w:val="6"/>
          <w:u w:val="single"/>
        </w:rPr>
        <w:t>Effects of Less Frequent Collection</w:t>
      </w:r>
    </w:p>
    <w:p w:rsidR="008B3D18" w:rsidRDefault="008B3D18" w:rsidP="00692526">
      <w:pPr>
        <w:outlineLvl w:val="0"/>
        <w:rPr>
          <w:spacing w:val="6"/>
          <w:u w:val="single"/>
        </w:rPr>
      </w:pPr>
    </w:p>
    <w:p w:rsidR="00147EF7" w:rsidRPr="004D5102" w:rsidRDefault="00147EF7" w:rsidP="00147EF7">
      <w:pPr>
        <w:pStyle w:val="Style6"/>
        <w:ind w:firstLine="720"/>
        <w:jc w:val="left"/>
        <w:rPr>
          <w:spacing w:val="6"/>
        </w:rPr>
      </w:pPr>
      <w:r w:rsidRPr="004D5102">
        <w:rPr>
          <w:spacing w:val="6"/>
        </w:rPr>
        <w:t xml:space="preserve">As required by the Clean Air Act </w:t>
      </w:r>
      <w:proofErr w:type="gramStart"/>
      <w:r w:rsidRPr="004D5102">
        <w:rPr>
          <w:spacing w:val="6"/>
        </w:rPr>
        <w:t>(</w:t>
      </w:r>
      <w:r w:rsidR="005E3F68">
        <w:rPr>
          <w:spacing w:val="6"/>
        </w:rPr>
        <w:t xml:space="preserve"> at</w:t>
      </w:r>
      <w:proofErr w:type="gramEnd"/>
      <w:r w:rsidR="005E3F68">
        <w:rPr>
          <w:spacing w:val="6"/>
        </w:rPr>
        <w:t xml:space="preserve"> </w:t>
      </w:r>
      <w:r w:rsidRPr="004D5102">
        <w:rPr>
          <w:spacing w:val="6"/>
        </w:rPr>
        <w:t xml:space="preserve">42 USC 7525(a)), emission information is </w:t>
      </w:r>
      <w:r>
        <w:rPr>
          <w:spacing w:val="6"/>
        </w:rPr>
        <w:t xml:space="preserve">currently </w:t>
      </w:r>
      <w:r w:rsidRPr="004D5102">
        <w:rPr>
          <w:spacing w:val="6"/>
        </w:rPr>
        <w:t xml:space="preserve">submitted on a yearly basis coinciding with the manufacturer’s “model year.” </w:t>
      </w:r>
      <w:r>
        <w:rPr>
          <w:spacing w:val="6"/>
        </w:rPr>
        <w:t xml:space="preserve"> </w:t>
      </w:r>
      <w:r w:rsidRPr="004D5102">
        <w:rPr>
          <w:spacing w:val="6"/>
        </w:rPr>
        <w:t xml:space="preserve">EPA allows applicants to define their own “model year”, thus granting some flexibility in this regard. </w:t>
      </w:r>
      <w:r>
        <w:rPr>
          <w:spacing w:val="6"/>
        </w:rPr>
        <w:t xml:space="preserve"> </w:t>
      </w:r>
      <w:r w:rsidRPr="004D5102">
        <w:rPr>
          <w:spacing w:val="6"/>
        </w:rPr>
        <w:t xml:space="preserve">Major product changes typically occur at the start of a model year. For these reasons, a collection frequency longer than a model year is not </w:t>
      </w:r>
      <w:r>
        <w:rPr>
          <w:spacing w:val="6"/>
        </w:rPr>
        <w:t>normally possible</w:t>
      </w:r>
      <w:r w:rsidRPr="004D5102">
        <w:rPr>
          <w:spacing w:val="6"/>
        </w:rPr>
        <w:t xml:space="preserve">. </w:t>
      </w:r>
      <w:r>
        <w:rPr>
          <w:spacing w:val="6"/>
        </w:rPr>
        <w:t xml:space="preserve"> However, this rule would replace the annual application process with a one-time submittal for intermediate age and outside useful life vehicles, only requiring an end</w:t>
      </w:r>
      <w:r w:rsidR="00613B48">
        <w:rPr>
          <w:spacing w:val="6"/>
        </w:rPr>
        <w:t>-</w:t>
      </w:r>
      <w:r>
        <w:rPr>
          <w:spacing w:val="6"/>
        </w:rPr>
        <w:t>of</w:t>
      </w:r>
      <w:r w:rsidR="00613B48">
        <w:rPr>
          <w:spacing w:val="6"/>
        </w:rPr>
        <w:t>-</w:t>
      </w:r>
      <w:r>
        <w:rPr>
          <w:spacing w:val="6"/>
        </w:rPr>
        <w:t>year sales volume submission. In addition many conversion manufacturers will no longer need to renew t</w:t>
      </w:r>
      <w:r w:rsidR="00B6778A">
        <w:rPr>
          <w:spacing w:val="6"/>
        </w:rPr>
        <w:t xml:space="preserve">heir certificate of conformity; </w:t>
      </w:r>
      <w:r>
        <w:rPr>
          <w:spacing w:val="6"/>
        </w:rPr>
        <w:t xml:space="preserve">if the OEM </w:t>
      </w:r>
      <w:r w:rsidRPr="004D5102">
        <w:rPr>
          <w:spacing w:val="6"/>
        </w:rPr>
        <w:t>vehicle design is “carried over” to a subsequent model year, the amount of new information required is substantially reduced</w:t>
      </w:r>
      <w:r w:rsidR="00B6778A">
        <w:rPr>
          <w:spacing w:val="6"/>
        </w:rPr>
        <w:t xml:space="preserve"> or eliminated</w:t>
      </w:r>
      <w:r w:rsidRPr="004D5102">
        <w:rPr>
          <w:spacing w:val="6"/>
        </w:rPr>
        <w:t xml:space="preserve">.  </w:t>
      </w:r>
    </w:p>
    <w:p w:rsidR="008B3D18" w:rsidRPr="005379F3" w:rsidRDefault="008B3D18" w:rsidP="00692526">
      <w:pPr>
        <w:outlineLvl w:val="0"/>
        <w:rPr>
          <w:spacing w:val="6"/>
        </w:rPr>
      </w:pPr>
    </w:p>
    <w:p w:rsidR="008B3D18" w:rsidRDefault="00B90DAB" w:rsidP="00692526">
      <w:pPr>
        <w:spacing w:line="264" w:lineRule="atLeast"/>
        <w:rPr>
          <w:spacing w:val="6"/>
        </w:rPr>
      </w:pPr>
      <w:r w:rsidRPr="00B90DAB">
        <w:rPr>
          <w:spacing w:val="6"/>
        </w:rPr>
        <w:t>3</w:t>
      </w:r>
      <w:r w:rsidR="00832233" w:rsidRPr="00B90DAB">
        <w:rPr>
          <w:spacing w:val="6"/>
        </w:rPr>
        <w:t xml:space="preserve">(e) </w:t>
      </w:r>
      <w:r w:rsidR="00832233" w:rsidRPr="005379F3">
        <w:rPr>
          <w:spacing w:val="6"/>
          <w:u w:val="single"/>
        </w:rPr>
        <w:t>General Guidelines</w:t>
      </w:r>
    </w:p>
    <w:p w:rsidR="008B3D18" w:rsidRDefault="008B3D18" w:rsidP="00692526">
      <w:pPr>
        <w:spacing w:line="264" w:lineRule="atLeast"/>
        <w:rPr>
          <w:spacing w:val="6"/>
        </w:rPr>
      </w:pPr>
    </w:p>
    <w:p w:rsidR="008B3D18" w:rsidRDefault="00201499" w:rsidP="004D5102">
      <w:pPr>
        <w:pStyle w:val="Style6"/>
        <w:jc w:val="left"/>
        <w:rPr>
          <w:spacing w:val="6"/>
        </w:rPr>
      </w:pPr>
      <w:r>
        <w:rPr>
          <w:spacing w:val="6"/>
        </w:rPr>
        <w:tab/>
      </w:r>
      <w:r w:rsidR="00832233" w:rsidRPr="004D5102">
        <w:rPr>
          <w:spacing w:val="6"/>
        </w:rPr>
        <w:t>Manufacturers are required to keep some records for periods longer than three years</w:t>
      </w:r>
      <w:r w:rsidR="00BC1A5C">
        <w:rPr>
          <w:spacing w:val="6"/>
        </w:rPr>
        <w:t>.</w:t>
      </w:r>
      <w:r w:rsidR="00F235BA">
        <w:rPr>
          <w:spacing w:val="6"/>
        </w:rPr>
        <w:t xml:space="preserve"> </w:t>
      </w:r>
      <w:r w:rsidR="00832233" w:rsidRPr="004D5102">
        <w:rPr>
          <w:spacing w:val="6"/>
        </w:rPr>
        <w:t>This requirement stems from the statutory requirement that manufacturer</w:t>
      </w:r>
      <w:r w:rsidR="000E5E47" w:rsidRPr="004D5102">
        <w:rPr>
          <w:spacing w:val="6"/>
        </w:rPr>
        <w:t>s</w:t>
      </w:r>
      <w:r w:rsidR="00832233" w:rsidRPr="004D5102">
        <w:rPr>
          <w:spacing w:val="6"/>
        </w:rPr>
        <w:t xml:space="preserve"> warrant some items for periods longer than 3 years. </w:t>
      </w:r>
    </w:p>
    <w:p w:rsidR="003B5D5B" w:rsidRPr="004D5102" w:rsidRDefault="003B5D5B" w:rsidP="004D5102">
      <w:pPr>
        <w:pStyle w:val="Style6"/>
        <w:jc w:val="left"/>
        <w:rPr>
          <w:spacing w:val="6"/>
        </w:rPr>
      </w:pPr>
    </w:p>
    <w:p w:rsidR="00832233" w:rsidRPr="004D5102" w:rsidRDefault="00201499" w:rsidP="004D5102">
      <w:pPr>
        <w:pStyle w:val="Style6"/>
        <w:jc w:val="left"/>
        <w:rPr>
          <w:spacing w:val="6"/>
        </w:rPr>
      </w:pPr>
      <w:r>
        <w:rPr>
          <w:spacing w:val="6"/>
        </w:rPr>
        <w:tab/>
      </w:r>
      <w:r w:rsidR="00832233" w:rsidRPr="004D5102">
        <w:rPr>
          <w:spacing w:val="6"/>
        </w:rPr>
        <w:t xml:space="preserve">This information collection activity complies with the remaining guidelines in 5 </w:t>
      </w:r>
      <w:r w:rsidR="00832233" w:rsidRPr="004D5102">
        <w:rPr>
          <w:spacing w:val="6"/>
        </w:rPr>
        <w:lastRenderedPageBreak/>
        <w:t>CFR 1320.5</w:t>
      </w:r>
      <w:r w:rsidR="00C24561" w:rsidRPr="004D5102">
        <w:rPr>
          <w:spacing w:val="6"/>
        </w:rPr>
        <w:t>.</w:t>
      </w:r>
      <w:r w:rsidR="003B5D5B">
        <w:rPr>
          <w:spacing w:val="6"/>
        </w:rPr>
        <w:t xml:space="preserve"> </w:t>
      </w:r>
      <w:r w:rsidR="004D5D22">
        <w:rPr>
          <w:spacing w:val="6"/>
        </w:rPr>
        <w:t xml:space="preserve"> </w:t>
      </w:r>
      <w:r w:rsidR="003B5D5B">
        <w:rPr>
          <w:spacing w:val="6"/>
        </w:rPr>
        <w:t>The proposal makes no changes in the reporting and recordkeeping provisions that impact any of the guidelines for information collections as approved in the existing approved collection.</w:t>
      </w:r>
    </w:p>
    <w:p w:rsidR="00FB1AB1" w:rsidRDefault="00FB1AB1" w:rsidP="00692526">
      <w:pPr>
        <w:rPr>
          <w:spacing w:val="6"/>
        </w:rPr>
      </w:pPr>
    </w:p>
    <w:p w:rsidR="008B3D18" w:rsidRDefault="00832233" w:rsidP="00692526">
      <w:pPr>
        <w:spacing w:line="264" w:lineRule="atLeast"/>
        <w:rPr>
          <w:spacing w:val="6"/>
          <w:u w:val="single"/>
        </w:rPr>
      </w:pPr>
      <w:r w:rsidRPr="00B90DAB">
        <w:rPr>
          <w:spacing w:val="6"/>
        </w:rPr>
        <w:t>3</w:t>
      </w:r>
      <w:r w:rsidR="00CB21D5" w:rsidRPr="00B90DAB">
        <w:rPr>
          <w:spacing w:val="6"/>
        </w:rPr>
        <w:t>(f)</w:t>
      </w:r>
      <w:r w:rsidRPr="00B90DAB">
        <w:rPr>
          <w:spacing w:val="6"/>
        </w:rPr>
        <w:t xml:space="preserve"> </w:t>
      </w:r>
      <w:r w:rsidRPr="005379F3">
        <w:rPr>
          <w:spacing w:val="6"/>
          <w:u w:val="single"/>
        </w:rPr>
        <w:t>Confidentiality</w:t>
      </w:r>
    </w:p>
    <w:p w:rsidR="008B3D18" w:rsidRPr="005379F3" w:rsidRDefault="008B3D18" w:rsidP="00692526">
      <w:pPr>
        <w:spacing w:line="264" w:lineRule="atLeast"/>
        <w:rPr>
          <w:spacing w:val="6"/>
        </w:rPr>
      </w:pPr>
    </w:p>
    <w:p w:rsidR="00832233" w:rsidRPr="004D5102" w:rsidRDefault="00201499" w:rsidP="004D5102">
      <w:pPr>
        <w:pStyle w:val="Style6"/>
        <w:jc w:val="left"/>
        <w:rPr>
          <w:spacing w:val="6"/>
        </w:rPr>
      </w:pPr>
      <w:r>
        <w:rPr>
          <w:spacing w:val="6"/>
        </w:rPr>
        <w:tab/>
      </w:r>
      <w:r w:rsidR="00832233" w:rsidRPr="004D5102">
        <w:rPr>
          <w:spacing w:val="6"/>
        </w:rPr>
        <w:t xml:space="preserve">Information submitted by manufacturers is held as confidential until the specific vehicle to which it pertains is available for purchase. </w:t>
      </w:r>
      <w:r w:rsidR="004D5D22">
        <w:rPr>
          <w:spacing w:val="6"/>
        </w:rPr>
        <w:t xml:space="preserve"> </w:t>
      </w:r>
      <w:r w:rsidR="00832233" w:rsidRPr="004D5102">
        <w:rPr>
          <w:spacing w:val="6"/>
        </w:rPr>
        <w:t>After vehicles are available, most information associated with the manufacturer</w:t>
      </w:r>
      <w:r w:rsidR="00EF655F" w:rsidRPr="004D5102">
        <w:rPr>
          <w:spacing w:val="6"/>
        </w:rPr>
        <w:t>’</w:t>
      </w:r>
      <w:r w:rsidR="00832233" w:rsidRPr="004D5102">
        <w:rPr>
          <w:spacing w:val="6"/>
        </w:rPr>
        <w:t xml:space="preserve">s application is available to the public. </w:t>
      </w:r>
      <w:r w:rsidR="004D5D22">
        <w:rPr>
          <w:spacing w:val="6"/>
        </w:rPr>
        <w:t xml:space="preserve"> </w:t>
      </w:r>
      <w:r w:rsidR="00832233" w:rsidRPr="004D5102">
        <w:rPr>
          <w:spacing w:val="6"/>
        </w:rPr>
        <w:t>Under section 208 of the Clean Air Act (42 USC 7542</w:t>
      </w:r>
      <w:r w:rsidR="008B3D18" w:rsidRPr="004D5102">
        <w:rPr>
          <w:spacing w:val="6"/>
        </w:rPr>
        <w:t>(c)</w:t>
      </w:r>
      <w:r w:rsidR="00832233" w:rsidRPr="004D5102">
        <w:rPr>
          <w:spacing w:val="6"/>
        </w:rPr>
        <w:t xml:space="preserve">) all information, other than trade secret processes or methods, must be </w:t>
      </w:r>
      <w:r w:rsidR="00C45DF8" w:rsidRPr="004D5102">
        <w:rPr>
          <w:spacing w:val="6"/>
        </w:rPr>
        <w:t>publicly</w:t>
      </w:r>
      <w:r w:rsidR="00832233" w:rsidRPr="004D5102">
        <w:rPr>
          <w:spacing w:val="6"/>
        </w:rPr>
        <w:t xml:space="preserve"> </w:t>
      </w:r>
      <w:r w:rsidR="00C24561" w:rsidRPr="004D5102">
        <w:rPr>
          <w:spacing w:val="6"/>
        </w:rPr>
        <w:t xml:space="preserve">available. </w:t>
      </w:r>
      <w:r w:rsidR="004D5D22">
        <w:rPr>
          <w:spacing w:val="6"/>
        </w:rPr>
        <w:t xml:space="preserve"> </w:t>
      </w:r>
      <w:r w:rsidR="00C24561" w:rsidRPr="004D5102">
        <w:rPr>
          <w:spacing w:val="6"/>
        </w:rPr>
        <w:t>P</w:t>
      </w:r>
      <w:r w:rsidR="00832233" w:rsidRPr="004D5102">
        <w:rPr>
          <w:spacing w:val="6"/>
        </w:rPr>
        <w:t>roprietary information is granted confidentiality in accordance with the Freedom of Information Act, EPA regulations at 40 CFR Part 2, and class determinations issued by EPA</w:t>
      </w:r>
      <w:r w:rsidR="00EF655F" w:rsidRPr="004D5102">
        <w:rPr>
          <w:spacing w:val="6"/>
        </w:rPr>
        <w:t>’</w:t>
      </w:r>
      <w:r w:rsidR="00832233" w:rsidRPr="004D5102">
        <w:rPr>
          <w:spacing w:val="6"/>
        </w:rPr>
        <w:t>s Office of General Counsel.</w:t>
      </w:r>
    </w:p>
    <w:p w:rsidR="008B3D18" w:rsidRPr="005379F3" w:rsidRDefault="008B3D18" w:rsidP="00692526">
      <w:pPr>
        <w:rPr>
          <w:spacing w:val="6"/>
        </w:rPr>
      </w:pPr>
    </w:p>
    <w:p w:rsidR="00832233" w:rsidRDefault="00832233" w:rsidP="00692526">
      <w:pPr>
        <w:rPr>
          <w:spacing w:val="6"/>
          <w:u w:val="single"/>
        </w:rPr>
      </w:pPr>
      <w:r w:rsidRPr="00B90DAB">
        <w:rPr>
          <w:spacing w:val="6"/>
        </w:rPr>
        <w:t xml:space="preserve">3(g) </w:t>
      </w:r>
      <w:r w:rsidRPr="005379F3">
        <w:rPr>
          <w:spacing w:val="6"/>
          <w:u w:val="single"/>
        </w:rPr>
        <w:t>Sensitive Questions</w:t>
      </w:r>
    </w:p>
    <w:p w:rsidR="008B3D18" w:rsidRPr="005379F3" w:rsidRDefault="008B3D18" w:rsidP="00692526">
      <w:pPr>
        <w:rPr>
          <w:spacing w:val="6"/>
        </w:rPr>
      </w:pPr>
    </w:p>
    <w:p w:rsidR="00832233" w:rsidRPr="004D5102" w:rsidRDefault="00201499" w:rsidP="004D5102">
      <w:pPr>
        <w:pStyle w:val="Style6"/>
        <w:jc w:val="left"/>
        <w:rPr>
          <w:spacing w:val="6"/>
        </w:rPr>
      </w:pPr>
      <w:r>
        <w:rPr>
          <w:spacing w:val="6"/>
        </w:rPr>
        <w:tab/>
      </w:r>
      <w:r w:rsidR="00832233" w:rsidRPr="004D5102">
        <w:rPr>
          <w:spacing w:val="6"/>
        </w:rPr>
        <w:t xml:space="preserve">No sensitive questions are asked in this information collection. </w:t>
      </w:r>
      <w:r w:rsidR="004D5D22">
        <w:rPr>
          <w:spacing w:val="6"/>
        </w:rPr>
        <w:t xml:space="preserve"> </w:t>
      </w:r>
      <w:r w:rsidR="00832233" w:rsidRPr="004D5102">
        <w:rPr>
          <w:spacing w:val="6"/>
        </w:rPr>
        <w:t>This collection complies with the Privacy Act and OMB Circular A-</w:t>
      </w:r>
      <w:r w:rsidR="00500D44">
        <w:rPr>
          <w:spacing w:val="6"/>
        </w:rPr>
        <w:t>1</w:t>
      </w:r>
      <w:r w:rsidR="00832233" w:rsidRPr="004D5102">
        <w:rPr>
          <w:spacing w:val="6"/>
        </w:rPr>
        <w:t>08.</w:t>
      </w:r>
    </w:p>
    <w:p w:rsidR="008B3D18" w:rsidRDefault="008B3D18" w:rsidP="00692526">
      <w:pPr>
        <w:spacing w:line="264" w:lineRule="atLeast"/>
        <w:outlineLvl w:val="0"/>
        <w:rPr>
          <w:spacing w:val="6"/>
          <w:u w:val="single"/>
        </w:rPr>
      </w:pPr>
    </w:p>
    <w:p w:rsidR="00832233" w:rsidRDefault="00B90DAB" w:rsidP="00692526">
      <w:pPr>
        <w:spacing w:line="264" w:lineRule="atLeast"/>
        <w:outlineLvl w:val="0"/>
        <w:rPr>
          <w:spacing w:val="6"/>
          <w:u w:val="single"/>
        </w:rPr>
      </w:pPr>
      <w:r>
        <w:rPr>
          <w:spacing w:val="6"/>
          <w:u w:val="single"/>
        </w:rPr>
        <w:t xml:space="preserve">Section 4: </w:t>
      </w:r>
      <w:r w:rsidR="00832233" w:rsidRPr="005379F3">
        <w:rPr>
          <w:spacing w:val="6"/>
          <w:u w:val="single"/>
        </w:rPr>
        <w:t>Respondents and Information Requested</w:t>
      </w:r>
    </w:p>
    <w:p w:rsidR="008B3D18" w:rsidRPr="005379F3" w:rsidRDefault="008B3D18" w:rsidP="00692526">
      <w:pPr>
        <w:spacing w:line="264" w:lineRule="atLeast"/>
        <w:outlineLvl w:val="0"/>
        <w:rPr>
          <w:spacing w:val="6"/>
        </w:rPr>
      </w:pPr>
    </w:p>
    <w:p w:rsidR="00CB21D5" w:rsidRDefault="00832233" w:rsidP="00692526">
      <w:pPr>
        <w:rPr>
          <w:spacing w:val="6"/>
          <w:u w:val="single"/>
        </w:rPr>
      </w:pPr>
      <w:r w:rsidRPr="009E5724">
        <w:rPr>
          <w:spacing w:val="6"/>
        </w:rPr>
        <w:t xml:space="preserve">4(a) </w:t>
      </w:r>
      <w:r w:rsidRPr="005379F3">
        <w:rPr>
          <w:spacing w:val="6"/>
          <w:u w:val="single"/>
        </w:rPr>
        <w:t>Respondents/</w:t>
      </w:r>
      <w:r w:rsidR="00813D35">
        <w:rPr>
          <w:spacing w:val="6"/>
          <w:u w:val="single"/>
        </w:rPr>
        <w:t>NA</w:t>
      </w:r>
      <w:r w:rsidRPr="005379F3">
        <w:rPr>
          <w:spacing w:val="6"/>
          <w:u w:val="single"/>
        </w:rPr>
        <w:t>SIC Codes</w:t>
      </w:r>
    </w:p>
    <w:p w:rsidR="004D5102" w:rsidRDefault="004D5102" w:rsidP="00692526">
      <w:pPr>
        <w:rPr>
          <w:spacing w:val="6"/>
          <w:u w:val="single"/>
        </w:rPr>
      </w:pPr>
    </w:p>
    <w:p w:rsidR="00813D35" w:rsidRPr="004D5102" w:rsidRDefault="00201499" w:rsidP="004D5102">
      <w:pPr>
        <w:pStyle w:val="Style6"/>
        <w:jc w:val="left"/>
        <w:rPr>
          <w:spacing w:val="6"/>
        </w:rPr>
      </w:pPr>
      <w:r>
        <w:rPr>
          <w:spacing w:val="6"/>
        </w:rPr>
        <w:tab/>
      </w:r>
      <w:r w:rsidR="00832233" w:rsidRPr="004D5102">
        <w:rPr>
          <w:spacing w:val="6"/>
        </w:rPr>
        <w:t xml:space="preserve">The respondents are </w:t>
      </w:r>
      <w:r w:rsidR="004C01BA">
        <w:rPr>
          <w:spacing w:val="6"/>
        </w:rPr>
        <w:t xml:space="preserve">potentially </w:t>
      </w:r>
      <w:r w:rsidR="00813D35" w:rsidRPr="004D5102">
        <w:rPr>
          <w:spacing w:val="6"/>
        </w:rPr>
        <w:t>involved in the industries shown in the following table:</w:t>
      </w:r>
    </w:p>
    <w:p w:rsidR="00CB21D5" w:rsidRDefault="00CB21D5" w:rsidP="00692526"/>
    <w:tbl>
      <w:tblPr>
        <w:tblW w:w="9360"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1661"/>
        <w:gridCol w:w="1764"/>
        <w:gridCol w:w="5935"/>
      </w:tblGrid>
      <w:tr w:rsidR="004C01BA" w:rsidRPr="00511BC4">
        <w:tblPrEx>
          <w:tblCellMar>
            <w:top w:w="0" w:type="dxa"/>
            <w:bottom w:w="0" w:type="dxa"/>
          </w:tblCellMar>
        </w:tblPrEx>
        <w:trPr>
          <w:cantSplit/>
        </w:trPr>
        <w:tc>
          <w:tcPr>
            <w:tcW w:w="1661" w:type="dxa"/>
            <w:tcBorders>
              <w:top w:val="double" w:sz="7" w:space="0" w:color="000000"/>
              <w:left w:val="double" w:sz="7" w:space="0" w:color="000000"/>
              <w:bottom w:val="double" w:sz="7" w:space="0" w:color="000000"/>
              <w:right w:val="single" w:sz="7" w:space="0" w:color="000000"/>
            </w:tcBorders>
          </w:tcPr>
          <w:p w:rsidR="004C01BA" w:rsidRPr="00EA3E50" w:rsidRDefault="004C01BA" w:rsidP="00F801F4">
            <w:pPr>
              <w:keepNext/>
              <w:keepLines/>
              <w:spacing w:line="480" w:lineRule="auto"/>
            </w:pPr>
            <w:r>
              <w:t>Industry</w:t>
            </w:r>
          </w:p>
        </w:tc>
        <w:tc>
          <w:tcPr>
            <w:tcW w:w="1764" w:type="dxa"/>
            <w:tcBorders>
              <w:top w:val="double" w:sz="7" w:space="0" w:color="000000"/>
              <w:left w:val="single" w:sz="7" w:space="0" w:color="000000"/>
              <w:bottom w:val="double" w:sz="7" w:space="0" w:color="000000"/>
              <w:right w:val="single" w:sz="7" w:space="0" w:color="000000"/>
            </w:tcBorders>
          </w:tcPr>
          <w:p w:rsidR="004C01BA" w:rsidRPr="00761613" w:rsidRDefault="004C01BA" w:rsidP="004C01BA">
            <w:pPr>
              <w:keepNext/>
              <w:keepLines/>
              <w:rPr>
                <w:vertAlign w:val="superscript"/>
              </w:rPr>
            </w:pPr>
            <w:r>
              <w:t>335312</w:t>
            </w:r>
            <w:r w:rsidR="00761613">
              <w:rPr>
                <w:vertAlign w:val="superscript"/>
              </w:rPr>
              <w:t>A</w:t>
            </w:r>
          </w:p>
          <w:p w:rsidR="004C01BA" w:rsidRDefault="004C01BA" w:rsidP="004C01BA">
            <w:pPr>
              <w:keepNext/>
              <w:keepLines/>
            </w:pPr>
            <w:r>
              <w:t>336312</w:t>
            </w:r>
          </w:p>
          <w:p w:rsidR="004C01BA" w:rsidRDefault="004C01BA" w:rsidP="004C01BA">
            <w:pPr>
              <w:keepNext/>
              <w:keepLines/>
            </w:pPr>
            <w:r>
              <w:t>336322</w:t>
            </w:r>
          </w:p>
          <w:p w:rsidR="004C01BA" w:rsidRDefault="004C01BA" w:rsidP="004C01BA">
            <w:pPr>
              <w:keepNext/>
              <w:keepLines/>
            </w:pPr>
            <w:r>
              <w:t>336399</w:t>
            </w:r>
          </w:p>
          <w:p w:rsidR="004C01BA" w:rsidRDefault="004C01BA" w:rsidP="004C01BA">
            <w:pPr>
              <w:keepNext/>
              <w:keepLines/>
            </w:pPr>
            <w:r>
              <w:t>454312</w:t>
            </w:r>
          </w:p>
          <w:p w:rsidR="004C01BA" w:rsidRPr="00EA3E50" w:rsidRDefault="004C01BA" w:rsidP="004C01BA">
            <w:pPr>
              <w:keepNext/>
              <w:keepLines/>
            </w:pPr>
            <w:r>
              <w:t>485310</w:t>
            </w:r>
          </w:p>
        </w:tc>
        <w:tc>
          <w:tcPr>
            <w:tcW w:w="5935" w:type="dxa"/>
            <w:tcBorders>
              <w:top w:val="double" w:sz="7" w:space="0" w:color="000000"/>
              <w:left w:val="single" w:sz="7" w:space="0" w:color="000000"/>
              <w:bottom w:val="double" w:sz="7" w:space="0" w:color="000000"/>
              <w:right w:val="double" w:sz="7" w:space="0" w:color="000000"/>
            </w:tcBorders>
          </w:tcPr>
          <w:p w:rsidR="004C01BA" w:rsidRPr="00EA3E50" w:rsidRDefault="004C01BA" w:rsidP="004C01BA">
            <w:pPr>
              <w:keepNext/>
              <w:keepLines/>
            </w:pPr>
            <w:r>
              <w:t>Alternative fuel vehicle converters</w:t>
            </w:r>
          </w:p>
        </w:tc>
      </w:tr>
    </w:tbl>
    <w:p w:rsidR="002F57D8" w:rsidRDefault="002F57D8" w:rsidP="007B6883">
      <w:r w:rsidRPr="00EA3E50">
        <w:rPr>
          <w:vertAlign w:val="superscript"/>
        </w:rPr>
        <w:t xml:space="preserve">A </w:t>
      </w:r>
      <w:r w:rsidRPr="00EA3E50">
        <w:t>North American Industry Classification System (NAICS)</w:t>
      </w:r>
    </w:p>
    <w:p w:rsidR="007B6883" w:rsidRPr="007B6883" w:rsidRDefault="007B6883" w:rsidP="007B6883">
      <w:pPr>
        <w:rPr>
          <w:rFonts w:ascii="Times" w:hAnsi="Times"/>
        </w:rPr>
      </w:pPr>
    </w:p>
    <w:p w:rsidR="00500D44" w:rsidRDefault="00500D44" w:rsidP="00D7377C"/>
    <w:p w:rsidR="00832233" w:rsidRDefault="00B90DAB" w:rsidP="00D7377C">
      <w:pPr>
        <w:rPr>
          <w:u w:val="single"/>
        </w:rPr>
      </w:pPr>
      <w:r w:rsidRPr="00B90DAB">
        <w:t>4</w:t>
      </w:r>
      <w:r w:rsidR="00832233" w:rsidRPr="00B90DAB">
        <w:t xml:space="preserve">(b) </w:t>
      </w:r>
      <w:r w:rsidR="00832233" w:rsidRPr="005379F3">
        <w:rPr>
          <w:u w:val="single"/>
        </w:rPr>
        <w:t>Information Requested</w:t>
      </w:r>
    </w:p>
    <w:p w:rsidR="008B3D18" w:rsidRPr="005379F3" w:rsidRDefault="008B3D18" w:rsidP="00D7377C"/>
    <w:p w:rsidR="00832233" w:rsidRDefault="00F8395A" w:rsidP="00D7377C">
      <w:pPr>
        <w:rPr>
          <w:spacing w:val="6"/>
        </w:rPr>
      </w:pPr>
      <w:r>
        <w:rPr>
          <w:spacing w:val="6"/>
        </w:rPr>
        <w:t xml:space="preserve">(i) </w:t>
      </w:r>
      <w:r w:rsidR="00832233" w:rsidRPr="008B3D18">
        <w:rPr>
          <w:spacing w:val="6"/>
          <w:u w:val="single"/>
        </w:rPr>
        <w:t>Data items</w:t>
      </w:r>
    </w:p>
    <w:p w:rsidR="008B3D18" w:rsidRPr="005379F3" w:rsidRDefault="008B3D18" w:rsidP="00D7377C">
      <w:pPr>
        <w:rPr>
          <w:spacing w:val="6"/>
        </w:rPr>
      </w:pPr>
    </w:p>
    <w:p w:rsidR="00F66713" w:rsidRDefault="00201499" w:rsidP="00D7377C">
      <w:pPr>
        <w:pStyle w:val="Style6"/>
        <w:jc w:val="left"/>
        <w:rPr>
          <w:spacing w:val="6"/>
        </w:rPr>
      </w:pPr>
      <w:r>
        <w:rPr>
          <w:spacing w:val="6"/>
        </w:rPr>
        <w:tab/>
      </w:r>
      <w:r w:rsidR="004E617F" w:rsidRPr="004E617F">
        <w:rPr>
          <w:spacing w:val="6"/>
        </w:rPr>
        <w:t xml:space="preserve">The information and reporting burden associated with this rule occurs within the context of EPA’s motor vehicle certification </w:t>
      </w:r>
      <w:r w:rsidR="007F343C">
        <w:rPr>
          <w:spacing w:val="6"/>
        </w:rPr>
        <w:t xml:space="preserve">and compliance </w:t>
      </w:r>
      <w:r w:rsidR="004E617F" w:rsidRPr="004E617F">
        <w:rPr>
          <w:spacing w:val="6"/>
        </w:rPr>
        <w:t xml:space="preserve">program. </w:t>
      </w:r>
      <w:r w:rsidR="004D5D22">
        <w:rPr>
          <w:spacing w:val="6"/>
        </w:rPr>
        <w:t xml:space="preserve"> </w:t>
      </w:r>
      <w:r w:rsidR="004E617F" w:rsidRPr="004E617F">
        <w:rPr>
          <w:spacing w:val="6"/>
        </w:rPr>
        <w:t xml:space="preserve">Current regulations require </w:t>
      </w:r>
      <w:r w:rsidR="002E5136">
        <w:rPr>
          <w:spacing w:val="6"/>
        </w:rPr>
        <w:t>converters</w:t>
      </w:r>
      <w:r w:rsidR="004E617F" w:rsidRPr="004E617F">
        <w:rPr>
          <w:spacing w:val="6"/>
        </w:rPr>
        <w:t xml:space="preserve"> to submit </w:t>
      </w:r>
      <w:r w:rsidR="00F52DAC">
        <w:rPr>
          <w:spacing w:val="6"/>
        </w:rPr>
        <w:t xml:space="preserve">emissions </w:t>
      </w:r>
      <w:r w:rsidR="004E617F" w:rsidRPr="004E617F">
        <w:rPr>
          <w:spacing w:val="6"/>
        </w:rPr>
        <w:t xml:space="preserve">information to EPA in conjunction with this program. </w:t>
      </w:r>
      <w:r w:rsidR="004D5D22">
        <w:rPr>
          <w:spacing w:val="6"/>
        </w:rPr>
        <w:t xml:space="preserve"> </w:t>
      </w:r>
      <w:r w:rsidR="002E5136">
        <w:rPr>
          <w:spacing w:val="6"/>
        </w:rPr>
        <w:t>Converters</w:t>
      </w:r>
      <w:r w:rsidR="004E617F" w:rsidRPr="004E617F">
        <w:rPr>
          <w:spacing w:val="6"/>
        </w:rPr>
        <w:t xml:space="preserve"> </w:t>
      </w:r>
      <w:r w:rsidR="002459FE">
        <w:rPr>
          <w:spacing w:val="6"/>
        </w:rPr>
        <w:t xml:space="preserve">of newer vehicles </w:t>
      </w:r>
      <w:r w:rsidR="004E617F" w:rsidRPr="004E617F">
        <w:rPr>
          <w:spacing w:val="6"/>
        </w:rPr>
        <w:t xml:space="preserve">must submit an application for emission certification prior to production. </w:t>
      </w:r>
      <w:r w:rsidR="004D5D22">
        <w:rPr>
          <w:spacing w:val="6"/>
        </w:rPr>
        <w:t xml:space="preserve"> </w:t>
      </w:r>
      <w:r w:rsidR="002459FE">
        <w:rPr>
          <w:spacing w:val="6"/>
        </w:rPr>
        <w:t xml:space="preserve">Intermediately aged vehicle converters will submit a testing demonstration without the burdens of the formal certification application process. </w:t>
      </w:r>
      <w:r w:rsidR="002459FE" w:rsidRPr="009F51C2">
        <w:rPr>
          <w:spacing w:val="6"/>
        </w:rPr>
        <w:t xml:space="preserve">For vehicles </w:t>
      </w:r>
      <w:r w:rsidR="002459FE">
        <w:rPr>
          <w:spacing w:val="6"/>
        </w:rPr>
        <w:t xml:space="preserve">converted outside their </w:t>
      </w:r>
      <w:r w:rsidR="002459FE" w:rsidRPr="009F51C2">
        <w:rPr>
          <w:spacing w:val="6"/>
        </w:rPr>
        <w:t>useful life</w:t>
      </w:r>
      <w:r w:rsidR="002459FE">
        <w:rPr>
          <w:spacing w:val="6"/>
        </w:rPr>
        <w:t xml:space="preserve">, regulation will be </w:t>
      </w:r>
      <w:r w:rsidR="002459FE" w:rsidRPr="009F51C2">
        <w:rPr>
          <w:spacing w:val="6"/>
        </w:rPr>
        <w:t xml:space="preserve">through </w:t>
      </w:r>
      <w:r w:rsidR="002459FE">
        <w:rPr>
          <w:spacing w:val="6"/>
        </w:rPr>
        <w:t xml:space="preserve">an </w:t>
      </w:r>
      <w:r w:rsidR="002459FE" w:rsidRPr="009F51C2">
        <w:rPr>
          <w:spacing w:val="6"/>
        </w:rPr>
        <w:t xml:space="preserve">information </w:t>
      </w:r>
      <w:r w:rsidR="002459FE" w:rsidRPr="009F51C2">
        <w:rPr>
          <w:spacing w:val="6"/>
        </w:rPr>
        <w:lastRenderedPageBreak/>
        <w:t xml:space="preserve">submission that the conversion is technically viable and will not increase emissions.  </w:t>
      </w:r>
      <w:r w:rsidR="004E617F" w:rsidRPr="004E617F">
        <w:rPr>
          <w:spacing w:val="6"/>
        </w:rPr>
        <w:t>The</w:t>
      </w:r>
      <w:r w:rsidR="002459FE">
        <w:rPr>
          <w:spacing w:val="6"/>
        </w:rPr>
        <w:t>se</w:t>
      </w:r>
      <w:r w:rsidR="004E617F" w:rsidRPr="004E617F">
        <w:rPr>
          <w:spacing w:val="6"/>
        </w:rPr>
        <w:t xml:space="preserve"> </w:t>
      </w:r>
      <w:r w:rsidR="002459FE">
        <w:rPr>
          <w:spacing w:val="6"/>
        </w:rPr>
        <w:t>reporting</w:t>
      </w:r>
      <w:r w:rsidR="004E617F" w:rsidRPr="004E617F">
        <w:rPr>
          <w:spacing w:val="6"/>
        </w:rPr>
        <w:t xml:space="preserve"> </w:t>
      </w:r>
      <w:r w:rsidR="002459FE">
        <w:rPr>
          <w:spacing w:val="6"/>
        </w:rPr>
        <w:t xml:space="preserve">formats </w:t>
      </w:r>
      <w:r w:rsidR="004E617F" w:rsidRPr="004E617F">
        <w:rPr>
          <w:spacing w:val="6"/>
        </w:rPr>
        <w:t xml:space="preserve">describe the major aspects of the proposed product line, technical details of the emission control systems, and the results of </w:t>
      </w:r>
      <w:r w:rsidR="002459FE">
        <w:rPr>
          <w:spacing w:val="6"/>
        </w:rPr>
        <w:t xml:space="preserve">any required </w:t>
      </w:r>
      <w:r w:rsidR="004E617F" w:rsidRPr="004E617F">
        <w:rPr>
          <w:spacing w:val="6"/>
        </w:rPr>
        <w:t xml:space="preserve">tests to indicate compliance with the emissions limitations. </w:t>
      </w:r>
      <w:r w:rsidR="004D5D22">
        <w:rPr>
          <w:spacing w:val="6"/>
        </w:rPr>
        <w:t xml:space="preserve"> </w:t>
      </w:r>
      <w:r w:rsidR="004E617F" w:rsidRPr="004E617F">
        <w:rPr>
          <w:spacing w:val="6"/>
        </w:rPr>
        <w:t xml:space="preserve">The </w:t>
      </w:r>
      <w:r w:rsidR="002459FE">
        <w:rPr>
          <w:spacing w:val="6"/>
        </w:rPr>
        <w:t>reports</w:t>
      </w:r>
      <w:r w:rsidR="004E617F" w:rsidRPr="004E617F">
        <w:rPr>
          <w:spacing w:val="6"/>
        </w:rPr>
        <w:t xml:space="preserve"> and supporting test results are reviewed and, if appropriate, a certificate of conformity is issued</w:t>
      </w:r>
      <w:r w:rsidR="002459FE">
        <w:rPr>
          <w:spacing w:val="6"/>
        </w:rPr>
        <w:t>, the applicant is notified of possible noncompliance with anti-tampering provisions, or additional post-production information is requested</w:t>
      </w:r>
      <w:r w:rsidR="004E617F" w:rsidRPr="004E617F">
        <w:rPr>
          <w:spacing w:val="6"/>
        </w:rPr>
        <w:t xml:space="preserve">. </w:t>
      </w:r>
      <w:r w:rsidR="00F66713">
        <w:rPr>
          <w:spacing w:val="6"/>
        </w:rPr>
        <w:t xml:space="preserve"> </w:t>
      </w:r>
    </w:p>
    <w:p w:rsidR="002459FE" w:rsidRDefault="002459FE" w:rsidP="00D7377C">
      <w:pPr>
        <w:pStyle w:val="Style6"/>
        <w:jc w:val="left"/>
        <w:rPr>
          <w:spacing w:val="6"/>
        </w:rPr>
      </w:pPr>
    </w:p>
    <w:p w:rsidR="00F66713" w:rsidRDefault="00F66713" w:rsidP="00D7377C">
      <w:pPr>
        <w:pStyle w:val="Style6"/>
        <w:jc w:val="left"/>
        <w:rPr>
          <w:spacing w:val="6"/>
        </w:rPr>
      </w:pPr>
      <w:r>
        <w:rPr>
          <w:spacing w:val="6"/>
        </w:rPr>
        <w:tab/>
      </w:r>
      <w:r w:rsidR="00274A06">
        <w:rPr>
          <w:spacing w:val="6"/>
        </w:rPr>
        <w:t>New</w:t>
      </w:r>
      <w:r w:rsidR="00AE7B59">
        <w:rPr>
          <w:spacing w:val="6"/>
        </w:rPr>
        <w:t>/revised</w:t>
      </w:r>
      <w:r w:rsidR="00274A06">
        <w:rPr>
          <w:spacing w:val="6"/>
        </w:rPr>
        <w:t xml:space="preserve"> data items:</w:t>
      </w:r>
    </w:p>
    <w:p w:rsidR="00274A06" w:rsidRDefault="00274A06" w:rsidP="00D7377C">
      <w:pPr>
        <w:pStyle w:val="Style6"/>
        <w:jc w:val="left"/>
        <w:rPr>
          <w:spacing w:val="6"/>
        </w:rPr>
      </w:pPr>
    </w:p>
    <w:p w:rsidR="00274A06" w:rsidRDefault="00274A06" w:rsidP="00D7377C">
      <w:pPr>
        <w:pStyle w:val="Style6"/>
        <w:jc w:val="left"/>
        <w:rPr>
          <w:spacing w:val="6"/>
        </w:rPr>
      </w:pPr>
      <w:r>
        <w:rPr>
          <w:spacing w:val="6"/>
        </w:rPr>
        <w:tab/>
      </w:r>
      <w:r w:rsidRPr="000F072F">
        <w:rPr>
          <w:spacing w:val="6"/>
        </w:rPr>
        <w:t>At the time of certification:</w:t>
      </w:r>
    </w:p>
    <w:p w:rsidR="0060051E" w:rsidRDefault="0060051E" w:rsidP="00D7377C">
      <w:pPr>
        <w:pStyle w:val="Style6"/>
        <w:jc w:val="left"/>
        <w:rPr>
          <w:spacing w:val="6"/>
        </w:rPr>
      </w:pPr>
    </w:p>
    <w:p w:rsidR="0060051E" w:rsidRDefault="0060051E" w:rsidP="00D7377C">
      <w:pPr>
        <w:pStyle w:val="Style6"/>
        <w:jc w:val="left"/>
        <w:rPr>
          <w:spacing w:val="6"/>
        </w:rPr>
      </w:pPr>
      <w:r>
        <w:rPr>
          <w:spacing w:val="6"/>
        </w:rPr>
        <w:tab/>
      </w:r>
      <w:r>
        <w:rPr>
          <w:spacing w:val="6"/>
        </w:rPr>
        <w:tab/>
        <w:t>For all vehicles</w:t>
      </w:r>
      <w:r w:rsidR="00C6074E">
        <w:rPr>
          <w:spacing w:val="6"/>
        </w:rPr>
        <w:t xml:space="preserve">: </w:t>
      </w:r>
    </w:p>
    <w:p w:rsidR="0060051E" w:rsidRDefault="0060051E" w:rsidP="0060051E">
      <w:pPr>
        <w:pStyle w:val="Style6"/>
        <w:numPr>
          <w:ilvl w:val="0"/>
          <w:numId w:val="21"/>
        </w:numPr>
        <w:jc w:val="left"/>
        <w:rPr>
          <w:spacing w:val="6"/>
        </w:rPr>
      </w:pPr>
      <w:r>
        <w:rPr>
          <w:spacing w:val="6"/>
        </w:rPr>
        <w:t xml:space="preserve">expanded </w:t>
      </w:r>
      <w:r w:rsidR="00E431B8">
        <w:rPr>
          <w:spacing w:val="6"/>
        </w:rPr>
        <w:t xml:space="preserve"> conversion </w:t>
      </w:r>
      <w:r>
        <w:rPr>
          <w:spacing w:val="6"/>
        </w:rPr>
        <w:t xml:space="preserve">test or </w:t>
      </w:r>
      <w:r w:rsidR="00AE7B59">
        <w:rPr>
          <w:spacing w:val="6"/>
        </w:rPr>
        <w:t>"</w:t>
      </w:r>
      <w:r>
        <w:rPr>
          <w:spacing w:val="6"/>
        </w:rPr>
        <w:t>demonstration</w:t>
      </w:r>
      <w:r w:rsidR="00AE7B59">
        <w:rPr>
          <w:spacing w:val="6"/>
        </w:rPr>
        <w:t>"</w:t>
      </w:r>
      <w:r>
        <w:rPr>
          <w:spacing w:val="6"/>
        </w:rPr>
        <w:t xml:space="preserve"> groups</w:t>
      </w:r>
      <w:r w:rsidR="00441780">
        <w:rPr>
          <w:spacing w:val="6"/>
        </w:rPr>
        <w:t xml:space="preserve"> </w:t>
      </w:r>
    </w:p>
    <w:p w:rsidR="00441780" w:rsidRDefault="00441780" w:rsidP="00441780">
      <w:pPr>
        <w:pStyle w:val="Style6"/>
        <w:numPr>
          <w:ilvl w:val="0"/>
          <w:numId w:val="21"/>
        </w:numPr>
        <w:jc w:val="left"/>
        <w:rPr>
          <w:spacing w:val="6"/>
        </w:rPr>
      </w:pPr>
      <w:r>
        <w:rPr>
          <w:spacing w:val="6"/>
        </w:rPr>
        <w:t xml:space="preserve">exemption from HCHO testing for </w:t>
      </w:r>
      <w:r w:rsidR="00AE7B59">
        <w:rPr>
          <w:spacing w:val="6"/>
        </w:rPr>
        <w:t xml:space="preserve">conversions to </w:t>
      </w:r>
      <w:r>
        <w:rPr>
          <w:spacing w:val="6"/>
        </w:rPr>
        <w:t xml:space="preserve">CNG and LPG </w:t>
      </w:r>
    </w:p>
    <w:p w:rsidR="0060051E" w:rsidRPr="000F072F" w:rsidRDefault="00441780" w:rsidP="00441780">
      <w:pPr>
        <w:pStyle w:val="Style6"/>
        <w:numPr>
          <w:ilvl w:val="0"/>
          <w:numId w:val="21"/>
        </w:numPr>
        <w:jc w:val="left"/>
        <w:rPr>
          <w:spacing w:val="6"/>
        </w:rPr>
      </w:pPr>
      <w:r>
        <w:rPr>
          <w:spacing w:val="6"/>
        </w:rPr>
        <w:t xml:space="preserve">conversion factors for calculating NMOG for conversions to CNG and LPG </w:t>
      </w:r>
    </w:p>
    <w:p w:rsidR="00274A06" w:rsidRDefault="0093506E" w:rsidP="00C051C7">
      <w:pPr>
        <w:pStyle w:val="Style6"/>
        <w:numPr>
          <w:ilvl w:val="0"/>
          <w:numId w:val="16"/>
        </w:numPr>
        <w:jc w:val="left"/>
        <w:rPr>
          <w:spacing w:val="6"/>
        </w:rPr>
      </w:pPr>
      <w:r w:rsidRPr="000F072F">
        <w:rPr>
          <w:spacing w:val="6"/>
        </w:rPr>
        <w:t xml:space="preserve">new </w:t>
      </w:r>
      <w:r w:rsidR="000808AB">
        <w:rPr>
          <w:spacing w:val="6"/>
        </w:rPr>
        <w:t xml:space="preserve">VECI </w:t>
      </w:r>
      <w:r w:rsidRPr="000F072F">
        <w:rPr>
          <w:spacing w:val="6"/>
        </w:rPr>
        <w:t>label requirement describin</w:t>
      </w:r>
      <w:r w:rsidR="000F072F" w:rsidRPr="000F072F">
        <w:rPr>
          <w:spacing w:val="6"/>
        </w:rPr>
        <w:t>g test group, mileage, and date</w:t>
      </w:r>
      <w:r w:rsidR="001D1D15">
        <w:rPr>
          <w:spacing w:val="6"/>
        </w:rPr>
        <w:t xml:space="preserve"> </w:t>
      </w:r>
    </w:p>
    <w:p w:rsidR="00B6778A" w:rsidRPr="000F072F" w:rsidRDefault="00B6778A" w:rsidP="00C051C7">
      <w:pPr>
        <w:pStyle w:val="Style6"/>
        <w:numPr>
          <w:ilvl w:val="0"/>
          <w:numId w:val="16"/>
        </w:numPr>
        <w:jc w:val="left"/>
        <w:rPr>
          <w:spacing w:val="6"/>
        </w:rPr>
      </w:pPr>
      <w:r>
        <w:rPr>
          <w:spacing w:val="6"/>
        </w:rPr>
        <w:t xml:space="preserve">renewal </w:t>
      </w:r>
      <w:r w:rsidR="00C26AD9">
        <w:rPr>
          <w:spacing w:val="6"/>
        </w:rPr>
        <w:t>application for</w:t>
      </w:r>
      <w:r>
        <w:rPr>
          <w:spacing w:val="6"/>
        </w:rPr>
        <w:t xml:space="preserve"> certificates for “carryover” test groups is optional</w:t>
      </w:r>
    </w:p>
    <w:p w:rsidR="00B6778A" w:rsidRDefault="00B6778A" w:rsidP="000F072F">
      <w:pPr>
        <w:pStyle w:val="Style6"/>
        <w:ind w:left="1440"/>
        <w:jc w:val="left"/>
        <w:rPr>
          <w:spacing w:val="6"/>
        </w:rPr>
      </w:pPr>
    </w:p>
    <w:p w:rsidR="000F072F" w:rsidRDefault="000F072F" w:rsidP="000F072F">
      <w:pPr>
        <w:pStyle w:val="Style6"/>
        <w:ind w:left="1440"/>
        <w:jc w:val="left"/>
        <w:rPr>
          <w:spacing w:val="6"/>
        </w:rPr>
      </w:pPr>
      <w:r w:rsidRPr="000F072F">
        <w:rPr>
          <w:spacing w:val="6"/>
        </w:rPr>
        <w:t>For intermediate-age</w:t>
      </w:r>
      <w:r w:rsidR="00250E4E">
        <w:rPr>
          <w:spacing w:val="6"/>
        </w:rPr>
        <w:t xml:space="preserve"> and outside useful-life age</w:t>
      </w:r>
      <w:r w:rsidRPr="000F072F">
        <w:rPr>
          <w:spacing w:val="6"/>
        </w:rPr>
        <w:t xml:space="preserve"> vehicles</w:t>
      </w:r>
      <w:r w:rsidR="00250E4E">
        <w:rPr>
          <w:spacing w:val="6"/>
        </w:rPr>
        <w:t xml:space="preserve"> (25%)</w:t>
      </w:r>
      <w:r w:rsidR="00B6778A">
        <w:rPr>
          <w:spacing w:val="6"/>
        </w:rPr>
        <w:t>:</w:t>
      </w:r>
    </w:p>
    <w:p w:rsidR="00C051C7" w:rsidRDefault="00051027" w:rsidP="00C051C7">
      <w:pPr>
        <w:pStyle w:val="Style6"/>
        <w:numPr>
          <w:ilvl w:val="0"/>
          <w:numId w:val="18"/>
        </w:numPr>
        <w:jc w:val="left"/>
        <w:rPr>
          <w:spacing w:val="6"/>
        </w:rPr>
      </w:pPr>
      <w:r>
        <w:rPr>
          <w:spacing w:val="6"/>
        </w:rPr>
        <w:t xml:space="preserve">online </w:t>
      </w:r>
      <w:r w:rsidR="00C051C7">
        <w:rPr>
          <w:spacing w:val="6"/>
        </w:rPr>
        <w:t>notification</w:t>
      </w:r>
      <w:r>
        <w:rPr>
          <w:spacing w:val="6"/>
        </w:rPr>
        <w:t xml:space="preserve"> and test result report </w:t>
      </w:r>
      <w:r w:rsidR="00C051C7">
        <w:rPr>
          <w:spacing w:val="6"/>
        </w:rPr>
        <w:t>rather than application for certification</w:t>
      </w:r>
      <w:r w:rsidR="009F56A2">
        <w:rPr>
          <w:spacing w:val="6"/>
        </w:rPr>
        <w:t xml:space="preserve"> (savings in “paperwork” burden)</w:t>
      </w:r>
      <w:r w:rsidR="00C6074E">
        <w:rPr>
          <w:spacing w:val="6"/>
        </w:rPr>
        <w:t xml:space="preserve"> or compliance “demonstration” for outside useful-life</w:t>
      </w:r>
      <w:r w:rsidR="00AE7B59">
        <w:rPr>
          <w:spacing w:val="6"/>
        </w:rPr>
        <w:t xml:space="preserve"> conversions</w:t>
      </w:r>
    </w:p>
    <w:p w:rsidR="00C051C7" w:rsidRDefault="00E431B8" w:rsidP="00C051C7">
      <w:pPr>
        <w:pStyle w:val="Style6"/>
        <w:numPr>
          <w:ilvl w:val="0"/>
          <w:numId w:val="18"/>
        </w:numPr>
        <w:jc w:val="left"/>
        <w:rPr>
          <w:spacing w:val="6"/>
        </w:rPr>
      </w:pPr>
      <w:r>
        <w:rPr>
          <w:spacing w:val="6"/>
        </w:rPr>
        <w:t xml:space="preserve">description of OBD compliance strategy </w:t>
      </w:r>
      <w:r w:rsidR="002E19A2">
        <w:rPr>
          <w:spacing w:val="6"/>
        </w:rPr>
        <w:t xml:space="preserve">and </w:t>
      </w:r>
      <w:r w:rsidR="0040567D" w:rsidRPr="001A34B4">
        <w:rPr>
          <w:spacing w:val="6"/>
        </w:rPr>
        <w:t xml:space="preserve">for intermediate-age vehicles an </w:t>
      </w:r>
      <w:r w:rsidR="002E19A2" w:rsidRPr="001A34B4">
        <w:rPr>
          <w:spacing w:val="6"/>
        </w:rPr>
        <w:t>OBD scan tool rep</w:t>
      </w:r>
      <w:r w:rsidR="002E19A2">
        <w:rPr>
          <w:spacing w:val="6"/>
        </w:rPr>
        <w:t xml:space="preserve">ort </w:t>
      </w:r>
      <w:r w:rsidR="00051027">
        <w:rPr>
          <w:spacing w:val="6"/>
        </w:rPr>
        <w:t xml:space="preserve">rather than </w:t>
      </w:r>
      <w:r>
        <w:rPr>
          <w:spacing w:val="6"/>
        </w:rPr>
        <w:t xml:space="preserve">current </w:t>
      </w:r>
      <w:r w:rsidR="00051027">
        <w:rPr>
          <w:spacing w:val="6"/>
        </w:rPr>
        <w:t>OBD test results</w:t>
      </w:r>
    </w:p>
    <w:p w:rsidR="004E617F" w:rsidRPr="004E617F" w:rsidRDefault="00551CFE" w:rsidP="00D7377C">
      <w:pPr>
        <w:pStyle w:val="Style6"/>
        <w:jc w:val="left"/>
        <w:rPr>
          <w:spacing w:val="6"/>
        </w:rPr>
      </w:pPr>
      <w:r>
        <w:rPr>
          <w:spacing w:val="6"/>
        </w:rPr>
        <w:tab/>
      </w:r>
    </w:p>
    <w:p w:rsidR="008B3D18" w:rsidRDefault="00832233" w:rsidP="00692526">
      <w:pPr>
        <w:rPr>
          <w:spacing w:val="6"/>
          <w:u w:val="single"/>
        </w:rPr>
      </w:pPr>
      <w:r w:rsidRPr="00465950">
        <w:rPr>
          <w:spacing w:val="6"/>
        </w:rPr>
        <w:t xml:space="preserve">(ii) </w:t>
      </w:r>
      <w:r w:rsidRPr="005379F3">
        <w:rPr>
          <w:spacing w:val="6"/>
          <w:u w:val="single"/>
        </w:rPr>
        <w:t>Respondent Activities</w:t>
      </w:r>
    </w:p>
    <w:p w:rsidR="008B3D18" w:rsidRPr="005379F3" w:rsidRDefault="008B3D18" w:rsidP="00692526">
      <w:pPr>
        <w:rPr>
          <w:spacing w:val="6"/>
        </w:rPr>
      </w:pPr>
    </w:p>
    <w:p w:rsidR="00832233" w:rsidRPr="004D5102" w:rsidRDefault="00201499" w:rsidP="004D5102">
      <w:pPr>
        <w:pStyle w:val="Style6"/>
        <w:jc w:val="left"/>
        <w:rPr>
          <w:spacing w:val="6"/>
        </w:rPr>
      </w:pPr>
      <w:r>
        <w:rPr>
          <w:spacing w:val="6"/>
        </w:rPr>
        <w:tab/>
      </w:r>
      <w:r w:rsidR="00832233" w:rsidRPr="004D5102">
        <w:rPr>
          <w:spacing w:val="6"/>
        </w:rPr>
        <w:t xml:space="preserve">While there is no </w:t>
      </w:r>
      <w:r w:rsidR="00EF655F" w:rsidRPr="004D5102">
        <w:rPr>
          <w:spacing w:val="6"/>
        </w:rPr>
        <w:t>“</w:t>
      </w:r>
      <w:r w:rsidR="00832233" w:rsidRPr="004D5102">
        <w:rPr>
          <w:spacing w:val="6"/>
        </w:rPr>
        <w:t>typical</w:t>
      </w:r>
      <w:r w:rsidR="00EF655F" w:rsidRPr="004D5102">
        <w:rPr>
          <w:spacing w:val="6"/>
        </w:rPr>
        <w:t>”</w:t>
      </w:r>
      <w:r w:rsidR="00832233" w:rsidRPr="004D5102">
        <w:rPr>
          <w:spacing w:val="6"/>
        </w:rPr>
        <w:t xml:space="preserve"> </w:t>
      </w:r>
      <w:r w:rsidR="00AC1758">
        <w:rPr>
          <w:spacing w:val="6"/>
        </w:rPr>
        <w:t xml:space="preserve">converter </w:t>
      </w:r>
      <w:r w:rsidR="00832233" w:rsidRPr="004D5102">
        <w:rPr>
          <w:spacing w:val="6"/>
        </w:rPr>
        <w:t xml:space="preserve">respondent, all </w:t>
      </w:r>
      <w:r w:rsidR="00AC1758">
        <w:rPr>
          <w:spacing w:val="6"/>
        </w:rPr>
        <w:t xml:space="preserve">converters </w:t>
      </w:r>
      <w:r w:rsidR="00832233" w:rsidRPr="004D5102">
        <w:rPr>
          <w:spacing w:val="6"/>
        </w:rPr>
        <w:t xml:space="preserve">must describe their product and supply test data </w:t>
      </w:r>
      <w:r w:rsidR="00980160" w:rsidRPr="004D5102">
        <w:rPr>
          <w:spacing w:val="6"/>
        </w:rPr>
        <w:t xml:space="preserve">and other information </w:t>
      </w:r>
      <w:r w:rsidR="00500D44">
        <w:rPr>
          <w:spacing w:val="6"/>
        </w:rPr>
        <w:t xml:space="preserve">to verify compliance. </w:t>
      </w:r>
      <w:r w:rsidR="00AC1758">
        <w:rPr>
          <w:spacing w:val="6"/>
        </w:rPr>
        <w:t xml:space="preserve">In some cases the proposal would replace the current application and certification process with a notification and audit process. Applicants for certification submit certification fees, usually “reduced fees” set at 1% of the estimated retail sales value of the conversion package, including labor. </w:t>
      </w:r>
      <w:r w:rsidR="000808AB">
        <w:rPr>
          <w:spacing w:val="6"/>
        </w:rPr>
        <w:t xml:space="preserve">Converters </w:t>
      </w:r>
      <w:r w:rsidR="00336E1F">
        <w:rPr>
          <w:spacing w:val="6"/>
        </w:rPr>
        <w:t xml:space="preserve">or installers of conversion kits </w:t>
      </w:r>
      <w:r w:rsidR="000808AB">
        <w:rPr>
          <w:spacing w:val="6"/>
        </w:rPr>
        <w:t>must install a second VECI label on converted vehicles. Converters</w:t>
      </w:r>
      <w:r w:rsidR="00832233" w:rsidRPr="004D5102">
        <w:rPr>
          <w:spacing w:val="6"/>
        </w:rPr>
        <w:t xml:space="preserve"> must also retain records. </w:t>
      </w:r>
      <w:r w:rsidR="004D5D22">
        <w:rPr>
          <w:spacing w:val="6"/>
        </w:rPr>
        <w:t xml:space="preserve"> </w:t>
      </w:r>
      <w:r w:rsidR="00832233" w:rsidRPr="004D5102">
        <w:rPr>
          <w:spacing w:val="6"/>
        </w:rPr>
        <w:t xml:space="preserve">These tasks </w:t>
      </w:r>
      <w:r w:rsidR="005A7BCC">
        <w:rPr>
          <w:spacing w:val="6"/>
        </w:rPr>
        <w:t xml:space="preserve">may be </w:t>
      </w:r>
      <w:r w:rsidR="00465950" w:rsidRPr="004D5102">
        <w:rPr>
          <w:spacing w:val="6"/>
        </w:rPr>
        <w:t xml:space="preserve">repeated for each </w:t>
      </w:r>
      <w:r w:rsidR="005A7BCC">
        <w:rPr>
          <w:spacing w:val="6"/>
        </w:rPr>
        <w:t>conversion</w:t>
      </w:r>
      <w:r w:rsidR="008C11E7">
        <w:rPr>
          <w:spacing w:val="6"/>
        </w:rPr>
        <w:t xml:space="preserve"> </w:t>
      </w:r>
      <w:r w:rsidR="00465950" w:rsidRPr="004D5102">
        <w:rPr>
          <w:spacing w:val="6"/>
        </w:rPr>
        <w:t>model year, although</w:t>
      </w:r>
      <w:r w:rsidR="00832233" w:rsidRPr="004D5102">
        <w:rPr>
          <w:spacing w:val="6"/>
        </w:rPr>
        <w:t xml:space="preserve"> previous data and information </w:t>
      </w:r>
      <w:r w:rsidR="005A7BCC">
        <w:rPr>
          <w:spacing w:val="6"/>
        </w:rPr>
        <w:t xml:space="preserve">may </w:t>
      </w:r>
      <w:r w:rsidR="00832233" w:rsidRPr="004D5102">
        <w:rPr>
          <w:spacing w:val="6"/>
        </w:rPr>
        <w:t xml:space="preserve">be </w:t>
      </w:r>
      <w:r w:rsidR="00EF655F" w:rsidRPr="004D5102">
        <w:rPr>
          <w:spacing w:val="6"/>
        </w:rPr>
        <w:t>“</w:t>
      </w:r>
      <w:r w:rsidR="00832233" w:rsidRPr="004D5102">
        <w:rPr>
          <w:spacing w:val="6"/>
        </w:rPr>
        <w:t>carried over</w:t>
      </w:r>
      <w:r w:rsidR="00EF655F" w:rsidRPr="004D5102">
        <w:rPr>
          <w:spacing w:val="6"/>
        </w:rPr>
        <w:t>”</w:t>
      </w:r>
      <w:r w:rsidR="00832233" w:rsidRPr="004D5102">
        <w:rPr>
          <w:spacing w:val="6"/>
        </w:rPr>
        <w:t xml:space="preserve"> when no changes have occurred. </w:t>
      </w:r>
      <w:r w:rsidR="00037055">
        <w:rPr>
          <w:spacing w:val="6"/>
        </w:rPr>
        <w:t>Carryover, intermediate and outside usefu</w:t>
      </w:r>
      <w:r w:rsidR="00D15F03">
        <w:rPr>
          <w:spacing w:val="6"/>
        </w:rPr>
        <w:t>l-life test group manufacturers</w:t>
      </w:r>
      <w:r w:rsidR="00037055">
        <w:rPr>
          <w:spacing w:val="6"/>
        </w:rPr>
        <w:t xml:space="preserve"> will continue to be subject to the end-of-model-year sales reporting through the same existing Verify reporting module that applies to </w:t>
      </w:r>
      <w:r w:rsidR="00D15F03">
        <w:rPr>
          <w:spacing w:val="6"/>
        </w:rPr>
        <w:t xml:space="preserve">their </w:t>
      </w:r>
      <w:r w:rsidR="00037055">
        <w:rPr>
          <w:spacing w:val="6"/>
        </w:rPr>
        <w:t xml:space="preserve">new test groups. </w:t>
      </w:r>
    </w:p>
    <w:p w:rsidR="008B3D18" w:rsidRPr="005379F3" w:rsidRDefault="008B3D18" w:rsidP="00692526">
      <w:pPr>
        <w:pStyle w:val="Style6"/>
        <w:jc w:val="left"/>
        <w:rPr>
          <w:spacing w:val="6"/>
        </w:rPr>
      </w:pPr>
    </w:p>
    <w:p w:rsidR="008C11E7" w:rsidRDefault="008C11E7" w:rsidP="00692526">
      <w:pPr>
        <w:pStyle w:val="Style6"/>
        <w:jc w:val="left"/>
        <w:rPr>
          <w:spacing w:val="4"/>
          <w:u w:val="single"/>
        </w:rPr>
      </w:pPr>
    </w:p>
    <w:p w:rsidR="00832233" w:rsidRDefault="00832233" w:rsidP="00692526">
      <w:pPr>
        <w:pStyle w:val="Style6"/>
        <w:jc w:val="left"/>
        <w:rPr>
          <w:spacing w:val="6"/>
          <w:u w:val="single"/>
        </w:rPr>
      </w:pPr>
      <w:r w:rsidRPr="005379F3">
        <w:rPr>
          <w:spacing w:val="4"/>
          <w:u w:val="single"/>
        </w:rPr>
        <w:lastRenderedPageBreak/>
        <w:t>Sectio</w:t>
      </w:r>
      <w:r w:rsidR="00465950">
        <w:rPr>
          <w:spacing w:val="4"/>
          <w:u w:val="single"/>
        </w:rPr>
        <w:t>n 5: The Information Collected</w:t>
      </w:r>
      <w:r w:rsidR="00EF655F">
        <w:rPr>
          <w:spacing w:val="4"/>
          <w:u w:val="single"/>
        </w:rPr>
        <w:t>—</w:t>
      </w:r>
      <w:r w:rsidRPr="005379F3">
        <w:rPr>
          <w:spacing w:val="4"/>
          <w:u w:val="single"/>
        </w:rPr>
        <w:t xml:space="preserve">Agency Activities, Collection Methodology, and </w:t>
      </w:r>
      <w:r w:rsidR="00CB21D5">
        <w:rPr>
          <w:spacing w:val="4"/>
          <w:u w:val="single"/>
        </w:rPr>
        <w:t>I</w:t>
      </w:r>
      <w:r w:rsidRPr="005379F3">
        <w:rPr>
          <w:spacing w:val="4"/>
          <w:u w:val="single"/>
        </w:rPr>
        <w:t>nformation</w:t>
      </w:r>
      <w:r w:rsidRPr="00EF655F">
        <w:rPr>
          <w:spacing w:val="4"/>
          <w:u w:val="single"/>
        </w:rPr>
        <w:t xml:space="preserve"> </w:t>
      </w:r>
      <w:r w:rsidRPr="005379F3">
        <w:rPr>
          <w:spacing w:val="6"/>
          <w:u w:val="single"/>
        </w:rPr>
        <w:t>Management</w:t>
      </w:r>
    </w:p>
    <w:p w:rsidR="00832233" w:rsidRPr="005379F3" w:rsidRDefault="00832233" w:rsidP="00692526">
      <w:pPr>
        <w:pStyle w:val="Style5"/>
        <w:adjustRightInd/>
        <w:rPr>
          <w:spacing w:val="6"/>
        </w:rPr>
      </w:pPr>
    </w:p>
    <w:p w:rsidR="00832233" w:rsidRPr="00EF655F" w:rsidRDefault="00832233" w:rsidP="00692526">
      <w:pPr>
        <w:numPr>
          <w:ilvl w:val="0"/>
          <w:numId w:val="3"/>
        </w:numPr>
        <w:rPr>
          <w:spacing w:val="6"/>
        </w:rPr>
      </w:pPr>
      <w:r w:rsidRPr="005379F3">
        <w:rPr>
          <w:spacing w:val="6"/>
          <w:u w:val="single"/>
        </w:rPr>
        <w:t>Agency Activities</w:t>
      </w:r>
    </w:p>
    <w:p w:rsidR="00EF655F" w:rsidRDefault="00EF655F" w:rsidP="00692526">
      <w:pPr>
        <w:rPr>
          <w:spacing w:val="6"/>
          <w:u w:val="single"/>
        </w:rPr>
      </w:pPr>
    </w:p>
    <w:p w:rsidR="00834D74" w:rsidRDefault="00201499" w:rsidP="00692526">
      <w:pPr>
        <w:pStyle w:val="Style6"/>
        <w:jc w:val="left"/>
        <w:rPr>
          <w:spacing w:val="6"/>
        </w:rPr>
      </w:pPr>
      <w:r>
        <w:rPr>
          <w:spacing w:val="6"/>
        </w:rPr>
        <w:tab/>
      </w:r>
      <w:r w:rsidR="00834D74" w:rsidRPr="00834D74">
        <w:rPr>
          <w:spacing w:val="6"/>
        </w:rPr>
        <w:t xml:space="preserve">The test data used </w:t>
      </w:r>
      <w:r w:rsidR="001E330E">
        <w:rPr>
          <w:spacing w:val="6"/>
        </w:rPr>
        <w:t xml:space="preserve">by EPA </w:t>
      </w:r>
      <w:r w:rsidR="00834D74" w:rsidRPr="00834D74">
        <w:rPr>
          <w:spacing w:val="6"/>
        </w:rPr>
        <w:t xml:space="preserve">to determine </w:t>
      </w:r>
      <w:r w:rsidR="00F52DAC">
        <w:rPr>
          <w:spacing w:val="6"/>
        </w:rPr>
        <w:t xml:space="preserve">compliance with emissions standards </w:t>
      </w:r>
      <w:r w:rsidR="00ED12FC">
        <w:rPr>
          <w:spacing w:val="6"/>
        </w:rPr>
        <w:t>are</w:t>
      </w:r>
      <w:r w:rsidR="00834D74" w:rsidRPr="00834D74">
        <w:rPr>
          <w:spacing w:val="6"/>
        </w:rPr>
        <w:t xml:space="preserve"> derived from vehicle testing done by vehicle </w:t>
      </w:r>
      <w:r w:rsidR="00AC1758">
        <w:rPr>
          <w:spacing w:val="6"/>
        </w:rPr>
        <w:t>converters</w:t>
      </w:r>
      <w:r w:rsidR="00834D74" w:rsidRPr="00834D74">
        <w:rPr>
          <w:spacing w:val="6"/>
        </w:rPr>
        <w:t xml:space="preserve"> who </w:t>
      </w:r>
      <w:r w:rsidR="00834D74">
        <w:rPr>
          <w:spacing w:val="6"/>
        </w:rPr>
        <w:t>report</w:t>
      </w:r>
      <w:r w:rsidR="00834D74" w:rsidRPr="00834D74">
        <w:rPr>
          <w:spacing w:val="6"/>
        </w:rPr>
        <w:t xml:space="preserve"> their own test data to EPA</w:t>
      </w:r>
      <w:r>
        <w:rPr>
          <w:spacing w:val="6"/>
        </w:rPr>
        <w:t xml:space="preserve">, and </w:t>
      </w:r>
      <w:r w:rsidRPr="00834D74">
        <w:rPr>
          <w:spacing w:val="6"/>
        </w:rPr>
        <w:t>at EPA's National Vehicle and Fuel Emissions Labora</w:t>
      </w:r>
      <w:r>
        <w:rPr>
          <w:spacing w:val="6"/>
        </w:rPr>
        <w:t>tory in Ann Arbor, Michigan</w:t>
      </w:r>
      <w:r w:rsidR="00834D74" w:rsidRPr="00834D74">
        <w:rPr>
          <w:spacing w:val="6"/>
        </w:rPr>
        <w:t xml:space="preserve">. </w:t>
      </w:r>
      <w:r w:rsidR="004D5D22">
        <w:rPr>
          <w:spacing w:val="6"/>
        </w:rPr>
        <w:t xml:space="preserve"> </w:t>
      </w:r>
      <w:r w:rsidR="00F76FCA">
        <w:rPr>
          <w:spacing w:val="6"/>
        </w:rPr>
        <w:t xml:space="preserve">EPA staff review applications (or notifications or demonstrations), issue certificates, and oversee the program. </w:t>
      </w:r>
    </w:p>
    <w:p w:rsidR="00F76FCA" w:rsidRPr="00834D74" w:rsidRDefault="00F76FCA" w:rsidP="00692526">
      <w:pPr>
        <w:pStyle w:val="Style6"/>
        <w:jc w:val="left"/>
        <w:rPr>
          <w:spacing w:val="6"/>
        </w:rPr>
      </w:pPr>
    </w:p>
    <w:p w:rsidR="00EF655F" w:rsidRDefault="00EF655F" w:rsidP="00692526">
      <w:pPr>
        <w:pStyle w:val="Style6"/>
        <w:jc w:val="left"/>
        <w:rPr>
          <w:u w:val="single"/>
        </w:rPr>
      </w:pPr>
      <w:r w:rsidRPr="00EF655F">
        <w:t xml:space="preserve">5(b) </w:t>
      </w:r>
      <w:r w:rsidR="00832233" w:rsidRPr="00EF655F">
        <w:rPr>
          <w:u w:val="single"/>
        </w:rPr>
        <w:t>Collection Methodology and Management</w:t>
      </w:r>
    </w:p>
    <w:p w:rsidR="008B3D18" w:rsidRPr="00EF655F" w:rsidRDefault="008B3D18" w:rsidP="00692526">
      <w:pPr>
        <w:pStyle w:val="Style6"/>
        <w:jc w:val="left"/>
        <w:rPr>
          <w:u w:val="single"/>
        </w:rPr>
      </w:pPr>
    </w:p>
    <w:p w:rsidR="008B3D18" w:rsidRDefault="00201499" w:rsidP="00E4121A">
      <w:pPr>
        <w:pStyle w:val="Style6"/>
        <w:jc w:val="left"/>
        <w:rPr>
          <w:spacing w:val="6"/>
        </w:rPr>
      </w:pPr>
      <w:r>
        <w:rPr>
          <w:spacing w:val="6"/>
        </w:rPr>
        <w:tab/>
      </w:r>
      <w:r w:rsidR="00832233" w:rsidRPr="00E4121A">
        <w:rPr>
          <w:spacing w:val="6"/>
        </w:rPr>
        <w:t xml:space="preserve"> </w:t>
      </w:r>
      <w:r w:rsidR="004D5D22">
        <w:rPr>
          <w:spacing w:val="6"/>
        </w:rPr>
        <w:t xml:space="preserve"> </w:t>
      </w:r>
      <w:r w:rsidR="004A01E1">
        <w:rPr>
          <w:spacing w:val="6"/>
        </w:rPr>
        <w:t>A</w:t>
      </w:r>
      <w:r w:rsidR="00832233" w:rsidRPr="00E4121A">
        <w:rPr>
          <w:spacing w:val="6"/>
        </w:rPr>
        <w:t xml:space="preserve">ll information </w:t>
      </w:r>
      <w:r w:rsidR="004A01E1">
        <w:rPr>
          <w:spacing w:val="6"/>
        </w:rPr>
        <w:t xml:space="preserve">from converter applicants will be submitted </w:t>
      </w:r>
      <w:r w:rsidR="00832233" w:rsidRPr="00E4121A">
        <w:rPr>
          <w:spacing w:val="6"/>
        </w:rPr>
        <w:t xml:space="preserve">electronically directly </w:t>
      </w:r>
      <w:r w:rsidR="004A01E1">
        <w:rPr>
          <w:spacing w:val="6"/>
        </w:rPr>
        <w:t>to</w:t>
      </w:r>
      <w:r w:rsidR="004331E3" w:rsidRPr="00E4121A">
        <w:rPr>
          <w:spacing w:val="6"/>
        </w:rPr>
        <w:t xml:space="preserve"> the V</w:t>
      </w:r>
      <w:r w:rsidR="00913761">
        <w:rPr>
          <w:spacing w:val="6"/>
        </w:rPr>
        <w:t>erify</w:t>
      </w:r>
      <w:r w:rsidR="004331E3" w:rsidRPr="00E4121A">
        <w:rPr>
          <w:spacing w:val="6"/>
        </w:rPr>
        <w:t xml:space="preserve"> system</w:t>
      </w:r>
      <w:r w:rsidR="004A01E1">
        <w:rPr>
          <w:spacing w:val="6"/>
        </w:rPr>
        <w:t xml:space="preserve"> by the effective date of the new rule</w:t>
      </w:r>
      <w:r w:rsidR="00832233" w:rsidRPr="00E4121A">
        <w:rPr>
          <w:spacing w:val="6"/>
        </w:rPr>
        <w:t xml:space="preserve">. </w:t>
      </w:r>
      <w:r w:rsidR="004D5D22">
        <w:rPr>
          <w:spacing w:val="6"/>
        </w:rPr>
        <w:t xml:space="preserve"> </w:t>
      </w:r>
      <w:r w:rsidR="004A01E1">
        <w:rPr>
          <w:spacing w:val="6"/>
        </w:rPr>
        <w:t xml:space="preserve">By guidance letter CISD-09-14, vehicle converters </w:t>
      </w:r>
      <w:r w:rsidR="00B63738">
        <w:rPr>
          <w:spacing w:val="6"/>
        </w:rPr>
        <w:t>are</w:t>
      </w:r>
      <w:r w:rsidR="004A01E1">
        <w:rPr>
          <w:spacing w:val="6"/>
        </w:rPr>
        <w:t xml:space="preserve"> required to submit applications for certification through Verify beginning with the 2010 model year. </w:t>
      </w:r>
      <w:r w:rsidR="00834D74" w:rsidRPr="001A34B4">
        <w:rPr>
          <w:spacing w:val="6"/>
        </w:rPr>
        <w:t xml:space="preserve">The </w:t>
      </w:r>
      <w:r w:rsidR="001E330E" w:rsidRPr="001A34B4">
        <w:rPr>
          <w:spacing w:val="6"/>
        </w:rPr>
        <w:t>rule</w:t>
      </w:r>
      <w:r w:rsidR="00834D74" w:rsidRPr="001A34B4">
        <w:rPr>
          <w:spacing w:val="6"/>
        </w:rPr>
        <w:t xml:space="preserve"> makes no changes in this reporting system</w:t>
      </w:r>
      <w:r w:rsidR="00ED12FC" w:rsidRPr="001A34B4">
        <w:rPr>
          <w:spacing w:val="6"/>
        </w:rPr>
        <w:t>, only changing the format and content of some of the information reported within it</w:t>
      </w:r>
      <w:r w:rsidR="00834D74" w:rsidRPr="001A34B4">
        <w:rPr>
          <w:spacing w:val="6"/>
        </w:rPr>
        <w:t>.</w:t>
      </w:r>
      <w:r w:rsidR="001A34B4">
        <w:rPr>
          <w:spacing w:val="6"/>
        </w:rPr>
        <w:t xml:space="preserve"> </w:t>
      </w:r>
      <w:r w:rsidR="00834D74">
        <w:rPr>
          <w:spacing w:val="6"/>
        </w:rPr>
        <w:t xml:space="preserve"> </w:t>
      </w:r>
    </w:p>
    <w:p w:rsidR="00834D74" w:rsidRPr="00E4121A" w:rsidRDefault="00834D74" w:rsidP="00E4121A">
      <w:pPr>
        <w:pStyle w:val="Style6"/>
        <w:jc w:val="left"/>
        <w:rPr>
          <w:spacing w:val="6"/>
        </w:rPr>
      </w:pPr>
    </w:p>
    <w:p w:rsidR="00EF655F" w:rsidRPr="00E4121A" w:rsidRDefault="00201499" w:rsidP="00E4121A">
      <w:pPr>
        <w:pStyle w:val="Style6"/>
        <w:jc w:val="left"/>
        <w:rPr>
          <w:spacing w:val="6"/>
        </w:rPr>
      </w:pPr>
      <w:r>
        <w:rPr>
          <w:spacing w:val="6"/>
        </w:rPr>
        <w:tab/>
      </w:r>
      <w:r w:rsidR="00832233" w:rsidRPr="002E5136">
        <w:rPr>
          <w:spacing w:val="6"/>
        </w:rPr>
        <w:t xml:space="preserve">All information received by EPA is subject to </w:t>
      </w:r>
      <w:r w:rsidR="00347EEF" w:rsidRPr="002E5136">
        <w:rPr>
          <w:spacing w:val="6"/>
        </w:rPr>
        <w:t>review</w:t>
      </w:r>
      <w:r w:rsidR="00832233" w:rsidRPr="002E5136">
        <w:rPr>
          <w:spacing w:val="6"/>
        </w:rPr>
        <w:t xml:space="preserve">. </w:t>
      </w:r>
      <w:r w:rsidR="004D5D22" w:rsidRPr="002E5136">
        <w:rPr>
          <w:spacing w:val="6"/>
        </w:rPr>
        <w:t xml:space="preserve"> </w:t>
      </w:r>
      <w:r w:rsidR="00832233" w:rsidRPr="002E5136">
        <w:rPr>
          <w:spacing w:val="6"/>
        </w:rPr>
        <w:t>D</w:t>
      </w:r>
      <w:r w:rsidR="001E330E" w:rsidRPr="002E5136">
        <w:rPr>
          <w:spacing w:val="6"/>
        </w:rPr>
        <w:t xml:space="preserve">ata submitted are </w:t>
      </w:r>
      <w:r w:rsidR="00832233" w:rsidRPr="002E5136">
        <w:rPr>
          <w:spacing w:val="6"/>
        </w:rPr>
        <w:t>screened</w:t>
      </w:r>
      <w:r w:rsidR="002E5136" w:rsidRPr="002E5136">
        <w:rPr>
          <w:spacing w:val="6"/>
        </w:rPr>
        <w:t xml:space="preserve"> to determine that the </w:t>
      </w:r>
      <w:r w:rsidR="00832233" w:rsidRPr="002E5136">
        <w:rPr>
          <w:spacing w:val="6"/>
        </w:rPr>
        <w:t xml:space="preserve">test results </w:t>
      </w:r>
      <w:r w:rsidR="002E5136" w:rsidRPr="002E5136">
        <w:rPr>
          <w:spacing w:val="6"/>
        </w:rPr>
        <w:t xml:space="preserve">insure compliance with </w:t>
      </w:r>
      <w:r w:rsidR="00832233" w:rsidRPr="002E5136">
        <w:rPr>
          <w:spacing w:val="6"/>
        </w:rPr>
        <w:t xml:space="preserve">emission </w:t>
      </w:r>
      <w:r w:rsidR="00834D74" w:rsidRPr="002E5136">
        <w:rPr>
          <w:spacing w:val="6"/>
        </w:rPr>
        <w:t xml:space="preserve">and fuel economy </w:t>
      </w:r>
      <w:r w:rsidR="00832233" w:rsidRPr="002E5136">
        <w:rPr>
          <w:spacing w:val="6"/>
        </w:rPr>
        <w:t xml:space="preserve">standards. </w:t>
      </w:r>
      <w:r w:rsidR="004D5D22" w:rsidRPr="002E5136">
        <w:rPr>
          <w:spacing w:val="6"/>
        </w:rPr>
        <w:t xml:space="preserve"> </w:t>
      </w:r>
      <w:r w:rsidR="00832233" w:rsidRPr="002E5136">
        <w:rPr>
          <w:spacing w:val="6"/>
        </w:rPr>
        <w:t xml:space="preserve">Narrative descriptions of the proposed product line are checked to verify that the appropriate </w:t>
      </w:r>
      <w:r w:rsidR="000808AB">
        <w:rPr>
          <w:spacing w:val="6"/>
        </w:rPr>
        <w:t xml:space="preserve">"worst case" </w:t>
      </w:r>
      <w:r w:rsidR="00832233" w:rsidRPr="002E5136">
        <w:rPr>
          <w:spacing w:val="6"/>
        </w:rPr>
        <w:t>vehicles have been tested</w:t>
      </w:r>
      <w:r w:rsidR="002E5136" w:rsidRPr="002E5136">
        <w:rPr>
          <w:spacing w:val="6"/>
        </w:rPr>
        <w:t xml:space="preserve">. </w:t>
      </w:r>
      <w:r w:rsidR="00832233" w:rsidRPr="002E5136">
        <w:rPr>
          <w:spacing w:val="6"/>
        </w:rPr>
        <w:t xml:space="preserve">Except for projected sales and a very limited amount of </w:t>
      </w:r>
      <w:r w:rsidR="002E5136" w:rsidRPr="002E5136">
        <w:rPr>
          <w:spacing w:val="6"/>
        </w:rPr>
        <w:t>proprietary product information</w:t>
      </w:r>
      <w:r w:rsidR="00832233" w:rsidRPr="002E5136">
        <w:rPr>
          <w:spacing w:val="6"/>
        </w:rPr>
        <w:t xml:space="preserve">, all information is available to the public as soon as the vehicle is offered for sale. </w:t>
      </w:r>
      <w:r w:rsidR="004D5D22" w:rsidRPr="002E5136">
        <w:rPr>
          <w:spacing w:val="6"/>
        </w:rPr>
        <w:t xml:space="preserve"> </w:t>
      </w:r>
      <w:r w:rsidR="00832233" w:rsidRPr="002E5136">
        <w:rPr>
          <w:spacing w:val="6"/>
        </w:rPr>
        <w:t xml:space="preserve">Emission </w:t>
      </w:r>
      <w:r w:rsidR="002E5136" w:rsidRPr="002E5136">
        <w:rPr>
          <w:spacing w:val="6"/>
        </w:rPr>
        <w:t>d</w:t>
      </w:r>
      <w:r w:rsidR="00832233" w:rsidRPr="002E5136">
        <w:rPr>
          <w:spacing w:val="6"/>
        </w:rPr>
        <w:t xml:space="preserve">ata </w:t>
      </w:r>
      <w:r w:rsidR="009F5227" w:rsidRPr="002E5136">
        <w:rPr>
          <w:spacing w:val="6"/>
        </w:rPr>
        <w:t>are</w:t>
      </w:r>
      <w:r w:rsidR="00832233" w:rsidRPr="002E5136">
        <w:rPr>
          <w:spacing w:val="6"/>
        </w:rPr>
        <w:t xml:space="preserve"> available on the</w:t>
      </w:r>
      <w:r w:rsidR="00EF655F" w:rsidRPr="002E5136">
        <w:rPr>
          <w:spacing w:val="6"/>
        </w:rPr>
        <w:t xml:space="preserve"> internet; </w:t>
      </w:r>
      <w:r w:rsidR="00832233" w:rsidRPr="002E5136">
        <w:rPr>
          <w:spacing w:val="6"/>
        </w:rPr>
        <w:t>other information is available upon request</w:t>
      </w:r>
      <w:r w:rsidR="00CE6D0F" w:rsidRPr="002E5136">
        <w:rPr>
          <w:spacing w:val="6"/>
        </w:rPr>
        <w:t xml:space="preserve"> under the Freedom of Information Act</w:t>
      </w:r>
      <w:r w:rsidR="00832233" w:rsidRPr="00E4121A">
        <w:rPr>
          <w:spacing w:val="6"/>
        </w:rPr>
        <w:t>.</w:t>
      </w:r>
    </w:p>
    <w:p w:rsidR="008B3D18" w:rsidRDefault="008B3D18" w:rsidP="00692526">
      <w:pPr>
        <w:pStyle w:val="Style6"/>
        <w:jc w:val="left"/>
      </w:pPr>
    </w:p>
    <w:p w:rsidR="00832233" w:rsidRDefault="00EF655F" w:rsidP="00692526">
      <w:pPr>
        <w:pStyle w:val="Style6"/>
        <w:jc w:val="left"/>
        <w:rPr>
          <w:u w:val="single"/>
        </w:rPr>
      </w:pPr>
      <w:r>
        <w:t>5</w:t>
      </w:r>
      <w:r w:rsidR="008B3D18">
        <w:t>(c)</w:t>
      </w:r>
      <w:r>
        <w:t xml:space="preserve"> </w:t>
      </w:r>
      <w:r w:rsidR="00832233" w:rsidRPr="005379F3">
        <w:rPr>
          <w:u w:val="single"/>
        </w:rPr>
        <w:t>Small Entity Flexibility</w:t>
      </w:r>
    </w:p>
    <w:p w:rsidR="008B3D18" w:rsidRDefault="008B3D18" w:rsidP="00692526">
      <w:pPr>
        <w:pStyle w:val="Style6"/>
        <w:jc w:val="left"/>
      </w:pPr>
    </w:p>
    <w:p w:rsidR="00F707C6" w:rsidRDefault="00F707C6" w:rsidP="00692526">
      <w:pPr>
        <w:pStyle w:val="Style6"/>
        <w:jc w:val="left"/>
      </w:pPr>
      <w:r>
        <w:rPr>
          <w:spacing w:val="6"/>
        </w:rPr>
        <w:tab/>
      </w:r>
      <w:r w:rsidR="00203629">
        <w:rPr>
          <w:spacing w:val="6"/>
        </w:rPr>
        <w:t>Many conversion manufacturers</w:t>
      </w:r>
      <w:r w:rsidR="00F76FCA">
        <w:rPr>
          <w:spacing w:val="6"/>
        </w:rPr>
        <w:t xml:space="preserve"> </w:t>
      </w:r>
      <w:r w:rsidR="008C11E7">
        <w:rPr>
          <w:spacing w:val="6"/>
        </w:rPr>
        <w:t xml:space="preserve">already </w:t>
      </w:r>
      <w:r w:rsidR="00F76FCA">
        <w:rPr>
          <w:spacing w:val="6"/>
        </w:rPr>
        <w:t>enjoy various exemptions and special provisions tailored to their small entity status and special business needs in contrast to original vehicle manufacturers, such as use of assigned deterioration factors</w:t>
      </w:r>
      <w:r w:rsidR="00E431B8">
        <w:rPr>
          <w:spacing w:val="6"/>
        </w:rPr>
        <w:t>,</w:t>
      </w:r>
      <w:r w:rsidR="00F76FCA">
        <w:rPr>
          <w:spacing w:val="6"/>
        </w:rPr>
        <w:t xml:space="preserve"> exemption from the manufacturers’ in-use vehicle testing program (IUVP) and availability of reduced certification fees. This proposal further extends this flexibility in numerous ways detailed in the proposal and summarized in this Supporting Statement. </w:t>
      </w:r>
      <w:r>
        <w:rPr>
          <w:spacing w:val="6"/>
        </w:rPr>
        <w:t xml:space="preserve"> </w:t>
      </w:r>
      <w:r w:rsidRPr="00E4121A">
        <w:rPr>
          <w:spacing w:val="6"/>
        </w:rPr>
        <w:t xml:space="preserve"> </w:t>
      </w:r>
    </w:p>
    <w:p w:rsidR="00F707C6" w:rsidRPr="005379F3" w:rsidRDefault="00F707C6" w:rsidP="00692526">
      <w:pPr>
        <w:pStyle w:val="Style6"/>
        <w:jc w:val="left"/>
      </w:pPr>
    </w:p>
    <w:p w:rsidR="00832233" w:rsidRPr="005379F3" w:rsidRDefault="008B3D18" w:rsidP="00F707C6">
      <w:pPr>
        <w:pStyle w:val="Style6"/>
        <w:jc w:val="left"/>
      </w:pPr>
      <w:r w:rsidRPr="00190028">
        <w:t xml:space="preserve">5(d) </w:t>
      </w:r>
      <w:r w:rsidR="00832233" w:rsidRPr="000F61C2">
        <w:rPr>
          <w:u w:val="single"/>
        </w:rPr>
        <w:t>Collection Schedule</w:t>
      </w:r>
    </w:p>
    <w:p w:rsidR="00832233" w:rsidRPr="005379F3" w:rsidRDefault="00832233" w:rsidP="00692526">
      <w:pPr>
        <w:pStyle w:val="Style5"/>
        <w:adjustRightInd/>
        <w:rPr>
          <w:spacing w:val="6"/>
        </w:rPr>
      </w:pPr>
    </w:p>
    <w:p w:rsidR="00C16344" w:rsidRPr="007146CE" w:rsidRDefault="00201499" w:rsidP="000174DA">
      <w:pPr>
        <w:pStyle w:val="Style6"/>
        <w:jc w:val="left"/>
        <w:rPr>
          <w:spacing w:val="6"/>
        </w:rPr>
      </w:pPr>
      <w:r>
        <w:rPr>
          <w:spacing w:val="6"/>
        </w:rPr>
        <w:tab/>
      </w:r>
      <w:r w:rsidR="00E431B8">
        <w:rPr>
          <w:spacing w:val="6"/>
        </w:rPr>
        <w:t>Currently, i</w:t>
      </w:r>
      <w:r w:rsidR="00832233" w:rsidRPr="007146CE">
        <w:rPr>
          <w:spacing w:val="6"/>
        </w:rPr>
        <w:t xml:space="preserve">nformation must be submitted for each </w:t>
      </w:r>
      <w:r w:rsidR="00EF655F" w:rsidRPr="007146CE">
        <w:rPr>
          <w:spacing w:val="6"/>
        </w:rPr>
        <w:t>“</w:t>
      </w:r>
      <w:r w:rsidR="00952EC1">
        <w:rPr>
          <w:spacing w:val="6"/>
        </w:rPr>
        <w:t xml:space="preserve">conversion </w:t>
      </w:r>
      <w:r w:rsidR="00832233" w:rsidRPr="007146CE">
        <w:rPr>
          <w:spacing w:val="6"/>
        </w:rPr>
        <w:t>model year</w:t>
      </w:r>
      <w:r w:rsidR="00EF655F" w:rsidRPr="007146CE">
        <w:rPr>
          <w:spacing w:val="6"/>
        </w:rPr>
        <w:t>”</w:t>
      </w:r>
      <w:r w:rsidR="00832233" w:rsidRPr="007146CE">
        <w:rPr>
          <w:spacing w:val="6"/>
        </w:rPr>
        <w:t xml:space="preserve"> that a manufacturer intends to </w:t>
      </w:r>
      <w:r w:rsidR="004C095F">
        <w:rPr>
          <w:spacing w:val="6"/>
        </w:rPr>
        <w:t>convert</w:t>
      </w:r>
      <w:r w:rsidR="001E0D55">
        <w:rPr>
          <w:spacing w:val="6"/>
        </w:rPr>
        <w:t xml:space="preserve"> vehicles. Under the </w:t>
      </w:r>
      <w:r w:rsidR="008C11E7">
        <w:rPr>
          <w:spacing w:val="6"/>
        </w:rPr>
        <w:t>final rule</w:t>
      </w:r>
      <w:r w:rsidR="001E0D55">
        <w:rPr>
          <w:spacing w:val="6"/>
        </w:rPr>
        <w:t xml:space="preserve">, only the newest vehicles will be required to renew annually, </w:t>
      </w:r>
      <w:r w:rsidR="00952EC1">
        <w:rPr>
          <w:spacing w:val="6"/>
        </w:rPr>
        <w:t xml:space="preserve">if a new certificate is desired, </w:t>
      </w:r>
      <w:r w:rsidR="001E0D55">
        <w:rPr>
          <w:spacing w:val="6"/>
        </w:rPr>
        <w:t xml:space="preserve">but all categories will file an end-of-year report (as do </w:t>
      </w:r>
      <w:r w:rsidR="00673A7E">
        <w:rPr>
          <w:spacing w:val="6"/>
        </w:rPr>
        <w:t>light-duty</w:t>
      </w:r>
      <w:r w:rsidR="001E0D55">
        <w:rPr>
          <w:spacing w:val="6"/>
        </w:rPr>
        <w:t xml:space="preserve"> manufacturers). </w:t>
      </w:r>
      <w:r w:rsidR="00AE3FA0">
        <w:rPr>
          <w:spacing w:val="6"/>
        </w:rPr>
        <w:t xml:space="preserve">For </w:t>
      </w:r>
      <w:r w:rsidR="006A307A">
        <w:rPr>
          <w:spacing w:val="6"/>
        </w:rPr>
        <w:t xml:space="preserve">emissions </w:t>
      </w:r>
      <w:r w:rsidR="00AE3FA0">
        <w:rPr>
          <w:spacing w:val="6"/>
        </w:rPr>
        <w:t>purposes, a</w:t>
      </w:r>
      <w:r w:rsidR="00832233" w:rsidRPr="007146CE">
        <w:rPr>
          <w:spacing w:val="6"/>
        </w:rPr>
        <w:t xml:space="preserve"> </w:t>
      </w:r>
      <w:r w:rsidR="00EF655F" w:rsidRPr="007146CE">
        <w:rPr>
          <w:spacing w:val="6"/>
        </w:rPr>
        <w:t>“</w:t>
      </w:r>
      <w:r w:rsidR="00832233" w:rsidRPr="007146CE">
        <w:rPr>
          <w:spacing w:val="6"/>
        </w:rPr>
        <w:t>model year</w:t>
      </w:r>
      <w:r w:rsidR="00EF655F" w:rsidRPr="007146CE">
        <w:rPr>
          <w:spacing w:val="6"/>
        </w:rPr>
        <w:t>”</w:t>
      </w:r>
      <w:r w:rsidR="00832233" w:rsidRPr="007146CE">
        <w:rPr>
          <w:spacing w:val="6"/>
        </w:rPr>
        <w:t xml:space="preserve"> is </w:t>
      </w:r>
      <w:r w:rsidR="00AE3FA0">
        <w:rPr>
          <w:spacing w:val="6"/>
        </w:rPr>
        <w:t xml:space="preserve">statutorily defined as </w:t>
      </w:r>
      <w:r w:rsidR="00AE3FA0" w:rsidRPr="00AE3FA0">
        <w:rPr>
          <w:spacing w:val="6"/>
        </w:rPr>
        <w:t xml:space="preserve">the annual production period of a manufacturer, as decided by the Administrator, that includes January 1 of that calendar year; or  that calendar year if the manufacturer does not have an annual production period. </w:t>
      </w:r>
      <w:r w:rsidR="00AE3FA0">
        <w:rPr>
          <w:spacing w:val="6"/>
        </w:rPr>
        <w:t xml:space="preserve"> </w:t>
      </w:r>
      <w:r w:rsidR="00832233" w:rsidRPr="007146CE">
        <w:rPr>
          <w:spacing w:val="6"/>
        </w:rPr>
        <w:t xml:space="preserve">If a product is unchanged between model years, much of the information can be </w:t>
      </w:r>
      <w:r w:rsidR="00EF655F" w:rsidRPr="007146CE">
        <w:rPr>
          <w:spacing w:val="6"/>
        </w:rPr>
        <w:t>“</w:t>
      </w:r>
      <w:r w:rsidR="00832233" w:rsidRPr="007146CE">
        <w:rPr>
          <w:spacing w:val="6"/>
        </w:rPr>
        <w:t>carried over.</w:t>
      </w:r>
      <w:r w:rsidR="00EF655F" w:rsidRPr="007146CE">
        <w:rPr>
          <w:spacing w:val="6"/>
        </w:rPr>
        <w:t>”</w:t>
      </w:r>
      <w:r w:rsidR="00832233" w:rsidRPr="007146CE">
        <w:rPr>
          <w:spacing w:val="6"/>
        </w:rPr>
        <w:t xml:space="preserve"> </w:t>
      </w:r>
      <w:r w:rsidR="001E330E">
        <w:rPr>
          <w:spacing w:val="6"/>
        </w:rPr>
        <w:t xml:space="preserve"> </w:t>
      </w:r>
      <w:r w:rsidR="00832233" w:rsidRPr="007146CE">
        <w:rPr>
          <w:spacing w:val="6"/>
        </w:rPr>
        <w:t xml:space="preserve">The collection </w:t>
      </w:r>
      <w:r w:rsidR="00832233" w:rsidRPr="007146CE">
        <w:rPr>
          <w:spacing w:val="6"/>
        </w:rPr>
        <w:lastRenderedPageBreak/>
        <w:t>frequency and burden are determined to a large extent by the manufacturer</w:t>
      </w:r>
      <w:r w:rsidR="00EF655F" w:rsidRPr="007146CE">
        <w:rPr>
          <w:spacing w:val="6"/>
        </w:rPr>
        <w:t>’</w:t>
      </w:r>
      <w:r w:rsidR="00832233" w:rsidRPr="007146CE">
        <w:rPr>
          <w:spacing w:val="6"/>
        </w:rPr>
        <w:t>s marketing and product</w:t>
      </w:r>
      <w:r w:rsidR="003F33D3">
        <w:rPr>
          <w:spacing w:val="6"/>
        </w:rPr>
        <w:t>ion</w:t>
      </w:r>
      <w:r w:rsidR="00832233" w:rsidRPr="007146CE">
        <w:rPr>
          <w:spacing w:val="6"/>
        </w:rPr>
        <w:t xml:space="preserve"> plans.</w:t>
      </w:r>
      <w:r w:rsidR="001E330E">
        <w:rPr>
          <w:spacing w:val="6"/>
        </w:rPr>
        <w:t xml:space="preserve"> </w:t>
      </w:r>
      <w:r w:rsidR="00832233" w:rsidRPr="007146CE">
        <w:rPr>
          <w:spacing w:val="6"/>
        </w:rPr>
        <w:t xml:space="preserve"> </w:t>
      </w:r>
    </w:p>
    <w:p w:rsidR="00832233" w:rsidRPr="005379F3" w:rsidRDefault="00832233" w:rsidP="00692526">
      <w:pPr>
        <w:pStyle w:val="Style5"/>
        <w:adjustRightInd/>
        <w:rPr>
          <w:spacing w:val="6"/>
        </w:rPr>
      </w:pPr>
    </w:p>
    <w:p w:rsidR="009E5724" w:rsidRDefault="00E9060A" w:rsidP="00692526">
      <w:pPr>
        <w:spacing w:line="480" w:lineRule="auto"/>
        <w:rPr>
          <w:spacing w:val="6"/>
        </w:rPr>
      </w:pPr>
      <w:r>
        <w:rPr>
          <w:spacing w:val="6"/>
          <w:u w:val="single"/>
        </w:rPr>
        <w:t xml:space="preserve">Section 6: </w:t>
      </w:r>
      <w:r w:rsidR="00832233" w:rsidRPr="005379F3">
        <w:rPr>
          <w:spacing w:val="6"/>
          <w:u w:val="single"/>
        </w:rPr>
        <w:t>Estimating the Burden and Cost of the</w:t>
      </w:r>
      <w:r w:rsidR="009E5724">
        <w:rPr>
          <w:spacing w:val="6"/>
          <w:u w:val="single"/>
        </w:rPr>
        <w:t xml:space="preserve"> Collection</w:t>
      </w:r>
    </w:p>
    <w:p w:rsidR="00CB227E" w:rsidRDefault="00783FA3" w:rsidP="00CB227E">
      <w:pPr>
        <w:pStyle w:val="Style6"/>
        <w:jc w:val="left"/>
        <w:rPr>
          <w:spacing w:val="6"/>
        </w:rPr>
      </w:pPr>
      <w:r>
        <w:rPr>
          <w:spacing w:val="6"/>
        </w:rPr>
        <w:tab/>
      </w:r>
      <w:r w:rsidR="00CB227E">
        <w:rPr>
          <w:spacing w:val="6"/>
        </w:rPr>
        <w:t>The following estimates</w:t>
      </w:r>
      <w:r w:rsidR="007A4020">
        <w:rPr>
          <w:spacing w:val="6"/>
        </w:rPr>
        <w:t xml:space="preserve"> of </w:t>
      </w:r>
      <w:r w:rsidR="003F33D3">
        <w:rPr>
          <w:spacing w:val="6"/>
        </w:rPr>
        <w:t>reduced</w:t>
      </w:r>
      <w:r w:rsidR="007A4020">
        <w:rPr>
          <w:spacing w:val="6"/>
        </w:rPr>
        <w:t xml:space="preserve"> burden use baselines and methodologies developed in the process of continuing updates of the 0783 ICR series, </w:t>
      </w:r>
      <w:r w:rsidR="00473AEC">
        <w:rPr>
          <w:spacing w:val="6"/>
        </w:rPr>
        <w:t>including the last renewal (ICR 0783.</w:t>
      </w:r>
      <w:r w:rsidR="00F76FCA">
        <w:rPr>
          <w:spacing w:val="6"/>
        </w:rPr>
        <w:t>54</w:t>
      </w:r>
      <w:r w:rsidR="00473AEC">
        <w:rPr>
          <w:spacing w:val="6"/>
        </w:rPr>
        <w:t xml:space="preserve">), </w:t>
      </w:r>
      <w:r w:rsidR="003F33D3">
        <w:rPr>
          <w:spacing w:val="6"/>
        </w:rPr>
        <w:t xml:space="preserve">and the greenhouse gasses rule.  </w:t>
      </w:r>
      <w:r w:rsidR="005F6DA8">
        <w:rPr>
          <w:spacing w:val="6"/>
        </w:rPr>
        <w:t xml:space="preserve">The reasoning behind estimates of </w:t>
      </w:r>
      <w:r w:rsidR="003F33D3">
        <w:rPr>
          <w:spacing w:val="6"/>
        </w:rPr>
        <w:t>decreased</w:t>
      </w:r>
      <w:r w:rsidR="005F6DA8">
        <w:rPr>
          <w:spacing w:val="6"/>
        </w:rPr>
        <w:t xml:space="preserve"> burden </w:t>
      </w:r>
      <w:r>
        <w:rPr>
          <w:spacing w:val="6"/>
        </w:rPr>
        <w:t xml:space="preserve">from the </w:t>
      </w:r>
      <w:r w:rsidR="005460B2">
        <w:rPr>
          <w:spacing w:val="6"/>
        </w:rPr>
        <w:t>current baseline</w:t>
      </w:r>
      <w:r>
        <w:rPr>
          <w:spacing w:val="6"/>
        </w:rPr>
        <w:t xml:space="preserve"> </w:t>
      </w:r>
      <w:r w:rsidR="005F6DA8">
        <w:rPr>
          <w:spacing w:val="6"/>
        </w:rPr>
        <w:t xml:space="preserve">are given </w:t>
      </w:r>
      <w:r w:rsidR="009F5227">
        <w:rPr>
          <w:spacing w:val="6"/>
        </w:rPr>
        <w:t xml:space="preserve">below and summarized </w:t>
      </w:r>
      <w:r w:rsidR="005F6DA8">
        <w:rPr>
          <w:spacing w:val="6"/>
        </w:rPr>
        <w:t xml:space="preserve">in Section 6(f). </w:t>
      </w:r>
    </w:p>
    <w:p w:rsidR="00CB227E" w:rsidRPr="00CB227E" w:rsidRDefault="00CB227E" w:rsidP="00CB227E">
      <w:r w:rsidRPr="00CB227E">
        <w:t xml:space="preserve"> </w:t>
      </w:r>
    </w:p>
    <w:p w:rsidR="00190028" w:rsidRDefault="00832233" w:rsidP="00CB227E">
      <w:pPr>
        <w:spacing w:line="480" w:lineRule="auto"/>
        <w:rPr>
          <w:spacing w:val="6"/>
          <w:u w:val="single"/>
        </w:rPr>
      </w:pPr>
      <w:r w:rsidRPr="009E5724">
        <w:rPr>
          <w:spacing w:val="6"/>
        </w:rPr>
        <w:t xml:space="preserve">6(a) </w:t>
      </w:r>
      <w:r w:rsidRPr="005379F3">
        <w:rPr>
          <w:spacing w:val="6"/>
          <w:u w:val="single"/>
        </w:rPr>
        <w:t>Estimating Respondent Burden</w:t>
      </w:r>
      <w:r w:rsidR="007E1D43">
        <w:rPr>
          <w:spacing w:val="6"/>
          <w:u w:val="single"/>
        </w:rPr>
        <w:t xml:space="preserve"> </w:t>
      </w:r>
      <w:r w:rsidR="00D578EC">
        <w:rPr>
          <w:spacing w:val="6"/>
          <w:u w:val="single"/>
        </w:rPr>
        <w:t>(Hours)</w:t>
      </w:r>
    </w:p>
    <w:p w:rsidR="00F1114A" w:rsidRDefault="00F1114A" w:rsidP="004613A2">
      <w:pPr>
        <w:pStyle w:val="Style6"/>
        <w:jc w:val="left"/>
        <w:rPr>
          <w:spacing w:val="6"/>
        </w:rPr>
      </w:pPr>
      <w:r>
        <w:rPr>
          <w:spacing w:val="6"/>
        </w:rPr>
        <w:tab/>
        <w:t>As noted above, the number of converter test groups covered by the ICR is subject to small number fluctuations</w:t>
      </w:r>
      <w:r w:rsidR="0036713A">
        <w:rPr>
          <w:spacing w:val="6"/>
        </w:rPr>
        <w:t xml:space="preserve"> </w:t>
      </w:r>
      <w:r w:rsidR="0036713A" w:rsidRPr="001A34B4">
        <w:rPr>
          <w:spacing w:val="6"/>
        </w:rPr>
        <w:t>as well as a recent upward trend</w:t>
      </w:r>
      <w:r w:rsidRPr="001A34B4">
        <w:rPr>
          <w:spacing w:val="6"/>
        </w:rPr>
        <w:t>.</w:t>
      </w:r>
      <w:r>
        <w:rPr>
          <w:spacing w:val="6"/>
        </w:rPr>
        <w:t xml:space="preserve"> The baseline in the last renewal (ICR 0783.54) was 36 test groups; in the renewal three years before that (ICR 0783.47) it was 15. Following normal practice, the baseline is here adjusted to reflect the most current information available; we </w:t>
      </w:r>
      <w:r w:rsidR="008543D4">
        <w:rPr>
          <w:spacing w:val="6"/>
        </w:rPr>
        <w:t>predict 50</w:t>
      </w:r>
      <w:r>
        <w:rPr>
          <w:spacing w:val="6"/>
        </w:rPr>
        <w:t xml:space="preserve"> </w:t>
      </w:r>
      <w:r w:rsidR="0036713A">
        <w:rPr>
          <w:spacing w:val="6"/>
        </w:rPr>
        <w:t xml:space="preserve">new </w:t>
      </w:r>
      <w:r w:rsidR="00673A7E">
        <w:rPr>
          <w:spacing w:val="6"/>
        </w:rPr>
        <w:t>light-duty</w:t>
      </w:r>
      <w:r>
        <w:rPr>
          <w:spacing w:val="6"/>
        </w:rPr>
        <w:t xml:space="preserve"> conversion test groups for Model Year 20</w:t>
      </w:r>
      <w:r w:rsidR="008543D4">
        <w:rPr>
          <w:spacing w:val="6"/>
        </w:rPr>
        <w:t>11</w:t>
      </w:r>
      <w:r>
        <w:rPr>
          <w:spacing w:val="6"/>
        </w:rPr>
        <w:t xml:space="preserve">. The </w:t>
      </w:r>
      <w:r w:rsidR="00256C8A">
        <w:rPr>
          <w:spacing w:val="6"/>
        </w:rPr>
        <w:t>Emissions</w:t>
      </w:r>
      <w:r>
        <w:rPr>
          <w:spacing w:val="6"/>
        </w:rPr>
        <w:t xml:space="preserve"> IC will reflect this </w:t>
      </w:r>
      <w:r w:rsidR="00256C8A">
        <w:rPr>
          <w:spacing w:val="6"/>
        </w:rPr>
        <w:t xml:space="preserve">adjustment. </w:t>
      </w:r>
      <w:r w:rsidR="00CB4EF8">
        <w:rPr>
          <w:spacing w:val="6"/>
        </w:rPr>
        <w:t xml:space="preserve">The discussions below compare the burdens on </w:t>
      </w:r>
      <w:r w:rsidR="008543D4">
        <w:rPr>
          <w:spacing w:val="6"/>
        </w:rPr>
        <w:t xml:space="preserve">50 </w:t>
      </w:r>
      <w:r w:rsidR="00CB4EF8">
        <w:rPr>
          <w:spacing w:val="6"/>
        </w:rPr>
        <w:t xml:space="preserve">families before and after the proposal. </w:t>
      </w:r>
    </w:p>
    <w:p w:rsidR="00F1114A" w:rsidRDefault="00F1114A" w:rsidP="004613A2">
      <w:pPr>
        <w:pStyle w:val="Style6"/>
        <w:jc w:val="left"/>
        <w:rPr>
          <w:spacing w:val="6"/>
        </w:rPr>
      </w:pPr>
    </w:p>
    <w:p w:rsidR="003F33D3" w:rsidRDefault="005460B2" w:rsidP="004613A2">
      <w:pPr>
        <w:pStyle w:val="Style6"/>
        <w:jc w:val="left"/>
        <w:rPr>
          <w:spacing w:val="6"/>
        </w:rPr>
      </w:pPr>
      <w:r>
        <w:rPr>
          <w:spacing w:val="6"/>
        </w:rPr>
        <w:tab/>
      </w:r>
      <w:r w:rsidR="00256C8A">
        <w:rPr>
          <w:spacing w:val="6"/>
        </w:rPr>
        <w:t>Within the converter program under the adjusted baseline, t</w:t>
      </w:r>
      <w:r>
        <w:rPr>
          <w:spacing w:val="6"/>
        </w:rPr>
        <w:t xml:space="preserve">he respondent </w:t>
      </w:r>
      <w:proofErr w:type="gramStart"/>
      <w:r w:rsidR="002606B8">
        <w:rPr>
          <w:spacing w:val="6"/>
        </w:rPr>
        <w:t>hours</w:t>
      </w:r>
      <w:proofErr w:type="gramEnd"/>
      <w:r w:rsidR="002606B8">
        <w:rPr>
          <w:spacing w:val="6"/>
        </w:rPr>
        <w:t xml:space="preserve"> </w:t>
      </w:r>
      <w:r>
        <w:rPr>
          <w:spacing w:val="6"/>
        </w:rPr>
        <w:t xml:space="preserve">burden </w:t>
      </w:r>
      <w:r w:rsidR="003F33D3">
        <w:rPr>
          <w:spacing w:val="6"/>
        </w:rPr>
        <w:t>decrease</w:t>
      </w:r>
      <w:r>
        <w:rPr>
          <w:spacing w:val="6"/>
        </w:rPr>
        <w:t xml:space="preserve"> for the </w:t>
      </w:r>
      <w:r w:rsidR="00AE0F01">
        <w:rPr>
          <w:spacing w:val="6"/>
        </w:rPr>
        <w:t>Light-Duty Vehicle Emissions</w:t>
      </w:r>
      <w:r>
        <w:rPr>
          <w:spacing w:val="6"/>
        </w:rPr>
        <w:t xml:space="preserve"> Information Collection </w:t>
      </w:r>
      <w:r w:rsidR="003122C3">
        <w:rPr>
          <w:spacing w:val="6"/>
        </w:rPr>
        <w:t xml:space="preserve">reflects </w:t>
      </w:r>
      <w:r w:rsidR="003F33D3">
        <w:rPr>
          <w:spacing w:val="6"/>
        </w:rPr>
        <w:t xml:space="preserve">reduced </w:t>
      </w:r>
      <w:r w:rsidR="003122C3">
        <w:rPr>
          <w:spacing w:val="6"/>
        </w:rPr>
        <w:t xml:space="preserve">labor hours associated with conducting tests and </w:t>
      </w:r>
      <w:r w:rsidR="003F33D3">
        <w:rPr>
          <w:spacing w:val="6"/>
        </w:rPr>
        <w:t xml:space="preserve">reduced </w:t>
      </w:r>
      <w:r w:rsidR="003122C3">
        <w:rPr>
          <w:spacing w:val="6"/>
        </w:rPr>
        <w:t xml:space="preserve">reporting. </w:t>
      </w:r>
      <w:r w:rsidR="00B50AA6">
        <w:rPr>
          <w:spacing w:val="6"/>
        </w:rPr>
        <w:t xml:space="preserve">This is largely due to the broader definition of test groups, since this definition determines how many tests must be conducted. </w:t>
      </w:r>
      <w:r w:rsidR="002606B8">
        <w:rPr>
          <w:spacing w:val="6"/>
        </w:rPr>
        <w:t>The paperwork reporting burdens in particular are significantly reduced for intermediate and out</w:t>
      </w:r>
      <w:r w:rsidR="0036713A">
        <w:rPr>
          <w:spacing w:val="6"/>
        </w:rPr>
        <w:t>side useful-</w:t>
      </w:r>
      <w:r w:rsidR="002606B8">
        <w:rPr>
          <w:spacing w:val="6"/>
        </w:rPr>
        <w:t xml:space="preserve">life conversions. </w:t>
      </w:r>
      <w:r w:rsidR="00B50AA6">
        <w:rPr>
          <w:spacing w:val="6"/>
        </w:rPr>
        <w:t>As converters are a very small subset of the current light-duty baseline (</w:t>
      </w:r>
      <w:r w:rsidR="0036713A">
        <w:rPr>
          <w:spacing w:val="6"/>
        </w:rPr>
        <w:t xml:space="preserve">prior to this ICR, </w:t>
      </w:r>
      <w:r w:rsidR="007104DC">
        <w:rPr>
          <w:spacing w:val="6"/>
        </w:rPr>
        <w:t>36</w:t>
      </w:r>
      <w:r w:rsidR="0036713A">
        <w:rPr>
          <w:spacing w:val="6"/>
        </w:rPr>
        <w:t xml:space="preserve"> out of 427 families, after this ICR, </w:t>
      </w:r>
      <w:r w:rsidR="007104DC">
        <w:rPr>
          <w:spacing w:val="6"/>
        </w:rPr>
        <w:t>50 reduced to 38</w:t>
      </w:r>
      <w:r w:rsidR="0036713A">
        <w:rPr>
          <w:spacing w:val="6"/>
        </w:rPr>
        <w:t xml:space="preserve"> out of 4</w:t>
      </w:r>
      <w:r w:rsidR="007104DC">
        <w:rPr>
          <w:spacing w:val="6"/>
        </w:rPr>
        <w:t>2</w:t>
      </w:r>
      <w:r w:rsidR="0036713A">
        <w:rPr>
          <w:spacing w:val="6"/>
        </w:rPr>
        <w:t>9)</w:t>
      </w:r>
      <w:r w:rsidR="00B50AA6">
        <w:rPr>
          <w:spacing w:val="6"/>
        </w:rPr>
        <w:t>, the decrease in burden is correspondingly small; but for vehicle converters</w:t>
      </w:r>
      <w:r w:rsidR="00E16C87">
        <w:rPr>
          <w:spacing w:val="6"/>
        </w:rPr>
        <w:t xml:space="preserve"> </w:t>
      </w:r>
      <w:r w:rsidR="00B50AA6">
        <w:rPr>
          <w:spacing w:val="6"/>
        </w:rPr>
        <w:t>the hour savings are significant</w:t>
      </w:r>
      <w:r w:rsidR="00544719">
        <w:rPr>
          <w:spacing w:val="6"/>
        </w:rPr>
        <w:t>.</w:t>
      </w:r>
      <w:r w:rsidR="00B50AA6">
        <w:rPr>
          <w:spacing w:val="6"/>
        </w:rPr>
        <w:t xml:space="preserve"> </w:t>
      </w:r>
    </w:p>
    <w:p w:rsidR="00B50AA6" w:rsidRDefault="00B50AA6" w:rsidP="004613A2">
      <w:pPr>
        <w:pStyle w:val="Style6"/>
        <w:jc w:val="left"/>
        <w:rPr>
          <w:spacing w:val="6"/>
        </w:rPr>
      </w:pPr>
    </w:p>
    <w:p w:rsidR="00FC184C" w:rsidRDefault="00B50AA6" w:rsidP="004613A2">
      <w:pPr>
        <w:pStyle w:val="Style6"/>
        <w:jc w:val="left"/>
        <w:rPr>
          <w:spacing w:val="6"/>
        </w:rPr>
      </w:pPr>
      <w:r>
        <w:rPr>
          <w:spacing w:val="6"/>
        </w:rPr>
        <w:tab/>
        <w:t>In particular, the number of test groups requiring any reporting under this rule is estimated to be reduced by</w:t>
      </w:r>
      <w:r w:rsidR="00544719">
        <w:rPr>
          <w:spacing w:val="6"/>
        </w:rPr>
        <w:t xml:space="preserve"> </w:t>
      </w:r>
      <w:r w:rsidR="00544719" w:rsidRPr="001A34B4">
        <w:rPr>
          <w:spacing w:val="6"/>
        </w:rPr>
        <w:t>at least</w:t>
      </w:r>
      <w:r>
        <w:rPr>
          <w:spacing w:val="6"/>
        </w:rPr>
        <w:t xml:space="preserve"> 25 percent. This correspondingly reduces the labor hours associated with conducting emissions tests (including preparation costs, FTP tests, NMOG tests and HFET tests), OBD compliance reporting</w:t>
      </w:r>
      <w:r w:rsidR="00DD1044">
        <w:rPr>
          <w:spacing w:val="6"/>
        </w:rPr>
        <w:t xml:space="preserve">, confirmatory testing costs (including shipment costs), and paperwork reporting and recordkeeping costs associated with preparing this information in </w:t>
      </w:r>
      <w:r w:rsidR="00E7559E">
        <w:rPr>
          <w:spacing w:val="6"/>
        </w:rPr>
        <w:t xml:space="preserve">any of the </w:t>
      </w:r>
      <w:r w:rsidR="00DD1044">
        <w:rPr>
          <w:spacing w:val="6"/>
        </w:rPr>
        <w:t>required form</w:t>
      </w:r>
      <w:r w:rsidR="00E7559E">
        <w:rPr>
          <w:spacing w:val="6"/>
        </w:rPr>
        <w:t>ats</w:t>
      </w:r>
      <w:r w:rsidR="00DD1044">
        <w:rPr>
          <w:spacing w:val="6"/>
        </w:rPr>
        <w:t xml:space="preserve"> and submitting it to EPA for review and saving it for possible submission to EPA upon request. </w:t>
      </w:r>
      <w:r w:rsidR="00FE111D">
        <w:rPr>
          <w:spacing w:val="6"/>
        </w:rPr>
        <w:t xml:space="preserve">Intermediate </w:t>
      </w:r>
      <w:r w:rsidR="00AD360C">
        <w:rPr>
          <w:spacing w:val="6"/>
        </w:rPr>
        <w:t xml:space="preserve">age </w:t>
      </w:r>
      <w:r w:rsidR="00FE111D">
        <w:rPr>
          <w:spacing w:val="6"/>
        </w:rPr>
        <w:t xml:space="preserve">and </w:t>
      </w:r>
      <w:r w:rsidR="00AD360C">
        <w:rPr>
          <w:spacing w:val="6"/>
        </w:rPr>
        <w:t xml:space="preserve">outside </w:t>
      </w:r>
      <w:r w:rsidR="00FE111D">
        <w:rPr>
          <w:spacing w:val="6"/>
        </w:rPr>
        <w:t>useful life conversion test groups are estimated to achieve an additional 80 percent reduction in paperwork reporting</w:t>
      </w:r>
      <w:r w:rsidR="009350B5">
        <w:rPr>
          <w:spacing w:val="6"/>
        </w:rPr>
        <w:t xml:space="preserve"> for those</w:t>
      </w:r>
      <w:r w:rsidR="00AD360C">
        <w:rPr>
          <w:spacing w:val="6"/>
        </w:rPr>
        <w:t xml:space="preserve"> </w:t>
      </w:r>
      <w:r w:rsidR="009350B5">
        <w:rPr>
          <w:spacing w:val="6"/>
        </w:rPr>
        <w:t>qualifying</w:t>
      </w:r>
      <w:r w:rsidR="00FE111D">
        <w:rPr>
          <w:spacing w:val="6"/>
        </w:rPr>
        <w:t>.</w:t>
      </w:r>
    </w:p>
    <w:p w:rsidR="00AE0F01" w:rsidRDefault="00AE0F01" w:rsidP="004613A2">
      <w:pPr>
        <w:pStyle w:val="Style6"/>
        <w:jc w:val="left"/>
        <w:rPr>
          <w:spacing w:val="6"/>
        </w:rPr>
      </w:pPr>
      <w:r>
        <w:rPr>
          <w:spacing w:val="6"/>
        </w:rPr>
        <w:tab/>
      </w:r>
    </w:p>
    <w:p w:rsidR="004613A2" w:rsidRDefault="00B63738" w:rsidP="004613A2">
      <w:pPr>
        <w:pStyle w:val="Style6"/>
        <w:jc w:val="left"/>
      </w:pPr>
      <w:r>
        <w:rPr>
          <w:spacing w:val="6"/>
        </w:rPr>
        <w:tab/>
      </w:r>
      <w:r w:rsidR="00E7559E">
        <w:rPr>
          <w:spacing w:val="6"/>
        </w:rPr>
        <w:t xml:space="preserve">The ICR includes a minor startup cost for implementing new labeling requirements. </w:t>
      </w:r>
      <w:r w:rsidR="004613A2">
        <w:rPr>
          <w:spacing w:val="6"/>
        </w:rPr>
        <w:t>All</w:t>
      </w:r>
      <w:r w:rsidR="00C129FB">
        <w:rPr>
          <w:spacing w:val="6"/>
        </w:rPr>
        <w:t xml:space="preserve"> </w:t>
      </w:r>
      <w:r w:rsidR="0042072E">
        <w:rPr>
          <w:spacing w:val="6"/>
        </w:rPr>
        <w:t xml:space="preserve">labor hours associated with </w:t>
      </w:r>
      <w:r w:rsidR="004613A2">
        <w:rPr>
          <w:spacing w:val="6"/>
        </w:rPr>
        <w:t xml:space="preserve">startup costs </w:t>
      </w:r>
      <w:r w:rsidR="004613A2">
        <w:t xml:space="preserve">are </w:t>
      </w:r>
      <w:r w:rsidR="00E7559E">
        <w:t>treated as</w:t>
      </w:r>
      <w:r w:rsidR="004613A2">
        <w:t xml:space="preserve"> capital/startup costs, </w:t>
      </w:r>
      <w:r w:rsidR="00FC5E93">
        <w:t xml:space="preserve">so </w:t>
      </w:r>
      <w:r w:rsidR="004613A2">
        <w:t>they are inc</w:t>
      </w:r>
      <w:r w:rsidR="00783FA3">
        <w:t>lu</w:t>
      </w:r>
      <w:r w:rsidR="004613A2">
        <w:t xml:space="preserve">ded under that heading, following EPA guidance (EPA ICR Handbook, Rev. 11/05, p. A-31). </w:t>
      </w:r>
      <w:r w:rsidR="000F61C2">
        <w:t xml:space="preserve"> </w:t>
      </w:r>
    </w:p>
    <w:p w:rsidR="000F61C2" w:rsidRDefault="000F61C2" w:rsidP="004613A2">
      <w:pPr>
        <w:pStyle w:val="Style6"/>
        <w:jc w:val="left"/>
      </w:pPr>
    </w:p>
    <w:p w:rsidR="00832233" w:rsidRPr="005379F3" w:rsidRDefault="00832233" w:rsidP="001615D0">
      <w:pPr>
        <w:pStyle w:val="Style6"/>
        <w:jc w:val="left"/>
      </w:pPr>
      <w:r w:rsidRPr="009E5724">
        <w:lastRenderedPageBreak/>
        <w:t xml:space="preserve">6(b) </w:t>
      </w:r>
      <w:r w:rsidRPr="005379F3">
        <w:t>Estimating Respondent Costs</w:t>
      </w:r>
    </w:p>
    <w:p w:rsidR="00DB7A3D" w:rsidRPr="00DB7A3D" w:rsidRDefault="00832233" w:rsidP="00692526">
      <w:pPr>
        <w:numPr>
          <w:ilvl w:val="0"/>
          <w:numId w:val="5"/>
        </w:numPr>
        <w:spacing w:before="216"/>
      </w:pPr>
      <w:r w:rsidRPr="00DB7A3D">
        <w:rPr>
          <w:u w:val="single"/>
        </w:rPr>
        <w:t>Estimating labor costs</w:t>
      </w:r>
    </w:p>
    <w:p w:rsidR="00DB7A3D" w:rsidRDefault="00DB7A3D" w:rsidP="00692526">
      <w:pPr>
        <w:pStyle w:val="Style6"/>
        <w:jc w:val="left"/>
        <w:rPr>
          <w:spacing w:val="6"/>
        </w:rPr>
      </w:pPr>
    </w:p>
    <w:p w:rsidR="00FB3CA0" w:rsidRDefault="00783FA3" w:rsidP="00646861">
      <w:pPr>
        <w:pStyle w:val="Style6"/>
        <w:jc w:val="left"/>
      </w:pPr>
      <w:r>
        <w:tab/>
      </w:r>
      <w:r w:rsidR="000F6A26">
        <w:t xml:space="preserve">Labor costs for testing </w:t>
      </w:r>
      <w:r w:rsidR="006A307A">
        <w:t xml:space="preserve">follow </w:t>
      </w:r>
      <w:r w:rsidR="00D97493">
        <w:t>the testing labor cost assumptions of ICR 0783.</w:t>
      </w:r>
      <w:r w:rsidR="000A78CB">
        <w:t xml:space="preserve">54 and </w:t>
      </w:r>
      <w:r w:rsidR="00FB3CA0">
        <w:t>average out to $5</w:t>
      </w:r>
      <w:r w:rsidR="000A78CB">
        <w:t>9.07</w:t>
      </w:r>
      <w:r w:rsidR="00FB3CA0">
        <w:t xml:space="preserve"> per hour</w:t>
      </w:r>
      <w:r w:rsidR="000A78CB">
        <w:t xml:space="preserve"> across management, technical, and secretarial categories</w:t>
      </w:r>
      <w:r w:rsidR="00FB3CA0">
        <w:t xml:space="preserve">. </w:t>
      </w:r>
      <w:r w:rsidR="0063656D">
        <w:rPr>
          <w:spacing w:val="6"/>
        </w:rPr>
        <w:t xml:space="preserve">This figure, which was initially based on the fees rule cost study of EPA laboratory expenses, matches very closely with an analysis based on </w:t>
      </w:r>
      <w:r w:rsidR="00642801">
        <w:t>r</w:t>
      </w:r>
      <w:r w:rsidR="00FB3CA0" w:rsidRPr="00FB3CA0">
        <w:t>ates for engineering managers, mechanical engineers, and secretaries (except legal, medical, and executive) from the May 2005 BLS National Industry-Specific Occupational Employment and Wage Estimates (http://www.bls.gov/oes/current/naics4_336100.htm , accessed August 22, 2006). With a 160% overhead multiplier, these are $81.38, $49.71, and $33.57, respectively</w:t>
      </w:r>
      <w:r w:rsidR="00FB3CA0">
        <w:t>.</w:t>
      </w:r>
      <w:r w:rsidR="0063656D">
        <w:t xml:space="preserve"> </w:t>
      </w:r>
      <w:r w:rsidR="00544719">
        <w:t xml:space="preserve">The next renewal of the ICR will likely update this figure. </w:t>
      </w:r>
    </w:p>
    <w:p w:rsidR="00544719" w:rsidRPr="00FB3CA0" w:rsidRDefault="00544719" w:rsidP="00646861">
      <w:pPr>
        <w:pStyle w:val="Style6"/>
        <w:jc w:val="left"/>
        <w:rPr>
          <w:szCs w:val="20"/>
        </w:rPr>
      </w:pPr>
    </w:p>
    <w:p w:rsidR="00832233" w:rsidRDefault="00DB7A3D" w:rsidP="00692526">
      <w:pPr>
        <w:rPr>
          <w:spacing w:val="6"/>
          <w:u w:val="single"/>
        </w:rPr>
      </w:pPr>
      <w:r w:rsidRPr="00DB7A3D">
        <w:rPr>
          <w:spacing w:val="6"/>
        </w:rPr>
        <w:t xml:space="preserve">(ii) </w:t>
      </w:r>
      <w:r w:rsidR="00832233" w:rsidRPr="005379F3">
        <w:rPr>
          <w:spacing w:val="6"/>
          <w:u w:val="single"/>
        </w:rPr>
        <w:t>Estimating Operations and Maintenance Costs</w:t>
      </w:r>
    </w:p>
    <w:p w:rsidR="00646861" w:rsidRDefault="00646861" w:rsidP="00692526">
      <w:pPr>
        <w:rPr>
          <w:spacing w:val="6"/>
          <w:u w:val="single"/>
        </w:rPr>
      </w:pPr>
    </w:p>
    <w:p w:rsidR="00E42916" w:rsidRDefault="00783FA3" w:rsidP="00CB489B">
      <w:pPr>
        <w:rPr>
          <w:spacing w:val="6"/>
        </w:rPr>
      </w:pPr>
      <w:r>
        <w:rPr>
          <w:spacing w:val="6"/>
        </w:rPr>
        <w:tab/>
      </w:r>
      <w:r w:rsidR="0019756F">
        <w:rPr>
          <w:spacing w:val="6"/>
        </w:rPr>
        <w:t xml:space="preserve">Operation and Maintenance costs are the non-labor costs associated with conducting the new tests that are anticipated for </w:t>
      </w:r>
      <w:r w:rsidR="000A78CB">
        <w:rPr>
          <w:spacing w:val="6"/>
        </w:rPr>
        <w:t xml:space="preserve">the full </w:t>
      </w:r>
      <w:r w:rsidR="0019756F">
        <w:rPr>
          <w:spacing w:val="6"/>
        </w:rPr>
        <w:t>model year after</w:t>
      </w:r>
      <w:r w:rsidR="000A78CB">
        <w:rPr>
          <w:spacing w:val="6"/>
        </w:rPr>
        <w:t xml:space="preserve"> the effective date of the new regulations</w:t>
      </w:r>
      <w:r w:rsidR="0019756F">
        <w:rPr>
          <w:spacing w:val="6"/>
        </w:rPr>
        <w:t xml:space="preserve">. </w:t>
      </w:r>
      <w:r w:rsidR="00FC2D25">
        <w:rPr>
          <w:spacing w:val="6"/>
        </w:rPr>
        <w:t xml:space="preserve"> </w:t>
      </w:r>
      <w:r w:rsidR="005C298D">
        <w:rPr>
          <w:spacing w:val="6"/>
        </w:rPr>
        <w:t xml:space="preserve">The O&amp;M costs for conducting emissions tests follow the assumptions in prior ICRs in this series, with an improved figure for NMOG and HCHO analysis, totaling about $4,000 per vehicle, with another $3,600 for OBD compliance </w:t>
      </w:r>
      <w:r w:rsidR="009D18A1" w:rsidRPr="00937944">
        <w:rPr>
          <w:spacing w:val="6"/>
        </w:rPr>
        <w:t>(about $50 for intermediate</w:t>
      </w:r>
      <w:r w:rsidR="00937944">
        <w:rPr>
          <w:spacing w:val="6"/>
        </w:rPr>
        <w:t>-</w:t>
      </w:r>
      <w:r w:rsidR="009D18A1" w:rsidRPr="00937944">
        <w:rPr>
          <w:spacing w:val="6"/>
        </w:rPr>
        <w:t xml:space="preserve"> age OBD scan tool test) </w:t>
      </w:r>
      <w:r w:rsidR="005C298D" w:rsidRPr="00937944">
        <w:rPr>
          <w:spacing w:val="6"/>
        </w:rPr>
        <w:t>and $2,000 for each confirmatory test</w:t>
      </w:r>
      <w:r w:rsidR="005C298D">
        <w:rPr>
          <w:spacing w:val="6"/>
        </w:rPr>
        <w:t>. The estimate also includes O&amp;M items for evaporative emissions testing, a</w:t>
      </w:r>
      <w:r w:rsidR="00C347AB">
        <w:rPr>
          <w:spacing w:val="6"/>
        </w:rPr>
        <w:t>nd reporting and recordkeeping</w:t>
      </w:r>
      <w:r w:rsidR="0063656D">
        <w:rPr>
          <w:spacing w:val="6"/>
        </w:rPr>
        <w:t>,</w:t>
      </w:r>
      <w:r w:rsidR="00C347AB">
        <w:rPr>
          <w:spacing w:val="6"/>
        </w:rPr>
        <w:t xml:space="preserve"> with the baseline total coming to about $10,000 per activity (test group). Applied to the industry, the baseline O&amp;M cost is $</w:t>
      </w:r>
      <w:r w:rsidR="00937944">
        <w:rPr>
          <w:spacing w:val="6"/>
        </w:rPr>
        <w:t>3</w:t>
      </w:r>
      <w:r w:rsidR="007104DC">
        <w:rPr>
          <w:spacing w:val="6"/>
        </w:rPr>
        <w:t>80,828</w:t>
      </w:r>
      <w:r w:rsidR="00C347AB">
        <w:rPr>
          <w:spacing w:val="6"/>
        </w:rPr>
        <w:t xml:space="preserve"> annually. </w:t>
      </w:r>
      <w:r w:rsidR="00C347AB" w:rsidRPr="001A34B4">
        <w:rPr>
          <w:spacing w:val="6"/>
        </w:rPr>
        <w:t xml:space="preserve">The </w:t>
      </w:r>
      <w:r w:rsidR="00A94A50" w:rsidRPr="001A34B4">
        <w:rPr>
          <w:spacing w:val="6"/>
        </w:rPr>
        <w:t xml:space="preserve">revised regulation </w:t>
      </w:r>
      <w:r w:rsidR="00C347AB" w:rsidRPr="001A34B4">
        <w:rPr>
          <w:spacing w:val="6"/>
        </w:rPr>
        <w:t>reduces this figure by $</w:t>
      </w:r>
      <w:r w:rsidR="00937944" w:rsidRPr="001A34B4">
        <w:rPr>
          <w:spacing w:val="6"/>
        </w:rPr>
        <w:t>1</w:t>
      </w:r>
      <w:r w:rsidR="006557AD">
        <w:rPr>
          <w:spacing w:val="6"/>
        </w:rPr>
        <w:t>95,735</w:t>
      </w:r>
      <w:r w:rsidR="0063656D" w:rsidRPr="001A34B4">
        <w:rPr>
          <w:spacing w:val="6"/>
        </w:rPr>
        <w:t xml:space="preserve">, </w:t>
      </w:r>
      <w:r w:rsidR="00C347AB" w:rsidRPr="001A34B4">
        <w:rPr>
          <w:spacing w:val="6"/>
        </w:rPr>
        <w:t>to $</w:t>
      </w:r>
      <w:r w:rsidR="00937944" w:rsidRPr="001A34B4">
        <w:rPr>
          <w:spacing w:val="6"/>
        </w:rPr>
        <w:t>1</w:t>
      </w:r>
      <w:r w:rsidR="006557AD">
        <w:rPr>
          <w:spacing w:val="6"/>
        </w:rPr>
        <w:t>85,093</w:t>
      </w:r>
      <w:r w:rsidR="00C347AB" w:rsidRPr="001A34B4">
        <w:rPr>
          <w:spacing w:val="6"/>
        </w:rPr>
        <w:t xml:space="preserve">. This is </w:t>
      </w:r>
      <w:r w:rsidR="001D680D" w:rsidRPr="001A34B4">
        <w:rPr>
          <w:spacing w:val="6"/>
        </w:rPr>
        <w:t xml:space="preserve">primarily </w:t>
      </w:r>
      <w:r w:rsidR="00C347AB" w:rsidRPr="001A34B4">
        <w:rPr>
          <w:spacing w:val="6"/>
        </w:rPr>
        <w:t xml:space="preserve">due to 1) reduction in the number of test groups by </w:t>
      </w:r>
      <w:r w:rsidR="00937944" w:rsidRPr="001A34B4">
        <w:rPr>
          <w:spacing w:val="6"/>
        </w:rPr>
        <w:t xml:space="preserve">at least </w:t>
      </w:r>
      <w:r w:rsidR="00C347AB" w:rsidRPr="001A34B4">
        <w:rPr>
          <w:spacing w:val="6"/>
        </w:rPr>
        <w:t xml:space="preserve">25%; </w:t>
      </w:r>
      <w:r w:rsidR="001D680D" w:rsidRPr="001A34B4">
        <w:rPr>
          <w:spacing w:val="6"/>
        </w:rPr>
        <w:t xml:space="preserve">and </w:t>
      </w:r>
      <w:r w:rsidR="00C347AB" w:rsidRPr="001A34B4">
        <w:rPr>
          <w:spacing w:val="6"/>
        </w:rPr>
        <w:t>2)</w:t>
      </w:r>
      <w:r w:rsidR="00E42916" w:rsidRPr="001A34B4">
        <w:rPr>
          <w:spacing w:val="6"/>
        </w:rPr>
        <w:t xml:space="preserve"> </w:t>
      </w:r>
      <w:r w:rsidR="001D680D" w:rsidRPr="001A34B4">
        <w:rPr>
          <w:spacing w:val="6"/>
        </w:rPr>
        <w:t>savings of $1,750 in NMOG and HCHO testing per test group.</w:t>
      </w:r>
      <w:r w:rsidR="001D680D">
        <w:rPr>
          <w:spacing w:val="6"/>
        </w:rPr>
        <w:t xml:space="preserve"> </w:t>
      </w:r>
    </w:p>
    <w:p w:rsidR="00E42916" w:rsidRDefault="00E42916" w:rsidP="00CB489B">
      <w:pPr>
        <w:rPr>
          <w:spacing w:val="6"/>
        </w:rPr>
      </w:pPr>
    </w:p>
    <w:p w:rsidR="009E5724" w:rsidRDefault="009E5724" w:rsidP="00692526">
      <w:pPr>
        <w:rPr>
          <w:spacing w:val="6"/>
          <w:u w:val="single"/>
        </w:rPr>
      </w:pPr>
      <w:r>
        <w:rPr>
          <w:spacing w:val="6"/>
        </w:rPr>
        <w:t>(</w:t>
      </w:r>
      <w:proofErr w:type="gramStart"/>
      <w:r>
        <w:rPr>
          <w:spacing w:val="6"/>
        </w:rPr>
        <w:t>iii</w:t>
      </w:r>
      <w:proofErr w:type="gramEnd"/>
      <w:r>
        <w:rPr>
          <w:spacing w:val="6"/>
        </w:rPr>
        <w:t xml:space="preserve">)  </w:t>
      </w:r>
      <w:r w:rsidRPr="009E5724">
        <w:rPr>
          <w:spacing w:val="6"/>
          <w:u w:val="single"/>
        </w:rPr>
        <w:t xml:space="preserve">Start-up </w:t>
      </w:r>
      <w:r w:rsidR="00937944">
        <w:rPr>
          <w:spacing w:val="6"/>
          <w:u w:val="single"/>
        </w:rPr>
        <w:t xml:space="preserve">and Other Capital </w:t>
      </w:r>
      <w:r w:rsidRPr="009E5724">
        <w:rPr>
          <w:spacing w:val="6"/>
          <w:u w:val="single"/>
        </w:rPr>
        <w:t>Costs</w:t>
      </w:r>
    </w:p>
    <w:p w:rsidR="007E1D43" w:rsidRDefault="007E1D43" w:rsidP="00692526">
      <w:pPr>
        <w:rPr>
          <w:spacing w:val="6"/>
        </w:rPr>
      </w:pPr>
    </w:p>
    <w:p w:rsidR="00243DD6" w:rsidRDefault="00783FA3" w:rsidP="00692526">
      <w:r>
        <w:tab/>
      </w:r>
      <w:r w:rsidR="00CB489B" w:rsidRPr="00AF5784">
        <w:t xml:space="preserve">“Startup” </w:t>
      </w:r>
      <w:r>
        <w:t xml:space="preserve">costs </w:t>
      </w:r>
      <w:r w:rsidR="004613A2">
        <w:t>are</w:t>
      </w:r>
      <w:r w:rsidR="00CB489B" w:rsidRPr="00AF5784">
        <w:t xml:space="preserve"> one-time costs to implement the new requirements in the proposal</w:t>
      </w:r>
      <w:r w:rsidR="007B1C9C">
        <w:t xml:space="preserve"> that are applicable to </w:t>
      </w:r>
      <w:r w:rsidR="00DC18D3">
        <w:t xml:space="preserve">the next </w:t>
      </w:r>
      <w:r w:rsidR="007B1C9C">
        <w:t xml:space="preserve">model year </w:t>
      </w:r>
      <w:r w:rsidR="00DC18D3">
        <w:t>conversions</w:t>
      </w:r>
      <w:r w:rsidR="007B1C9C">
        <w:t xml:space="preserve"> being cer</w:t>
      </w:r>
      <w:r w:rsidR="00E33E63">
        <w:t xml:space="preserve">tified or by the respondent </w:t>
      </w:r>
      <w:r w:rsidR="00DC18D3">
        <w:t>converters after the effective date of the final rule</w:t>
      </w:r>
      <w:r w:rsidR="00E33E63">
        <w:t xml:space="preserve">. </w:t>
      </w:r>
    </w:p>
    <w:p w:rsidR="00937944" w:rsidRDefault="00937944" w:rsidP="00692526"/>
    <w:p w:rsidR="00CB489B" w:rsidRDefault="00243DD6" w:rsidP="00692526">
      <w:r>
        <w:tab/>
      </w:r>
      <w:r w:rsidR="00937944">
        <w:t>S</w:t>
      </w:r>
      <w:r w:rsidR="001D680D">
        <w:t xml:space="preserve">tartup costs </w:t>
      </w:r>
      <w:r w:rsidR="00937944">
        <w:t>are included for</w:t>
      </w:r>
      <w:r w:rsidR="001D680D">
        <w:t xml:space="preserve"> redesign </w:t>
      </w:r>
      <w:r w:rsidR="00937944">
        <w:t xml:space="preserve">of </w:t>
      </w:r>
      <w:r w:rsidR="001D680D">
        <w:t>the VECI label</w:t>
      </w:r>
      <w:r w:rsidR="00CB489B" w:rsidRPr="00AF5784">
        <w:t>.</w:t>
      </w:r>
      <w:r w:rsidR="00FC2D25">
        <w:t xml:space="preserve">  </w:t>
      </w:r>
      <w:r w:rsidR="001D680D">
        <w:t>This burden is an add-on</w:t>
      </w:r>
      <w:r w:rsidR="00CB489B" w:rsidRPr="00AF5784">
        <w:t xml:space="preserve"> to well established reporting requirements: manufacturers already submit </w:t>
      </w:r>
      <w:r w:rsidR="00E33E63">
        <w:t xml:space="preserve">similar </w:t>
      </w:r>
      <w:r w:rsidR="001D680D">
        <w:t xml:space="preserve">label </w:t>
      </w:r>
      <w:r w:rsidR="00CB489B" w:rsidRPr="00AF5784">
        <w:t xml:space="preserve">data to EPA. </w:t>
      </w:r>
      <w:r w:rsidR="00FC2D25">
        <w:t xml:space="preserve"> </w:t>
      </w:r>
      <w:r w:rsidR="00713224">
        <w:t>Once the</w:t>
      </w:r>
      <w:r w:rsidR="00DC18D3">
        <w:t xml:space="preserve"> new label templates are </w:t>
      </w:r>
      <w:r w:rsidR="00713224">
        <w:t>in place, we anticipate no increase in burden</w:t>
      </w:r>
      <w:r w:rsidR="00783FA3">
        <w:t xml:space="preserve"> for th</w:t>
      </w:r>
      <w:r w:rsidR="00DC18D3">
        <w:t>is</w:t>
      </w:r>
      <w:r w:rsidR="00783FA3">
        <w:t xml:space="preserve"> startup item</w:t>
      </w:r>
      <w:r w:rsidR="00713224">
        <w:t xml:space="preserve">. </w:t>
      </w:r>
      <w:r w:rsidR="00FC2D25">
        <w:t xml:space="preserve"> </w:t>
      </w:r>
      <w:r w:rsidR="00CB489B" w:rsidRPr="00AF5784">
        <w:t xml:space="preserve">This part of the estimate </w:t>
      </w:r>
      <w:r w:rsidR="00CB489B">
        <w:t xml:space="preserve">costs new </w:t>
      </w:r>
      <w:r w:rsidR="00CB489B" w:rsidRPr="00AF5784">
        <w:t xml:space="preserve">analysis and coding for </w:t>
      </w:r>
      <w:r w:rsidR="008543D4">
        <w:t xml:space="preserve">50 </w:t>
      </w:r>
      <w:r w:rsidR="004C21CE">
        <w:t xml:space="preserve">test groups, reduced to </w:t>
      </w:r>
      <w:r w:rsidR="00E87A26">
        <w:t>38</w:t>
      </w:r>
      <w:r w:rsidR="008543D4">
        <w:t xml:space="preserve"> </w:t>
      </w:r>
      <w:r w:rsidR="004C21CE">
        <w:t>by the new rule</w:t>
      </w:r>
      <w:r w:rsidR="00CB489B" w:rsidRPr="00AF5784">
        <w:t>.</w:t>
      </w:r>
      <w:r w:rsidR="003D3AD8">
        <w:t xml:space="preserve"> </w:t>
      </w:r>
      <w:r w:rsidR="00DC18D3">
        <w:t xml:space="preserve">This is a small item, less than $10,000 for the industry, and is annualized and discounted at 7% in the cost estimate. </w:t>
      </w:r>
    </w:p>
    <w:p w:rsidR="003D3AD8" w:rsidRDefault="003D3AD8" w:rsidP="00692526"/>
    <w:p w:rsidR="00780982" w:rsidRDefault="003D3AD8" w:rsidP="00692526">
      <w:r>
        <w:tab/>
        <w:t xml:space="preserve">Second </w:t>
      </w:r>
      <w:r w:rsidR="00E87A26">
        <w:t xml:space="preserve">this ICR series estimates </w:t>
      </w:r>
      <w:r>
        <w:t xml:space="preserve">capital costs associated with the </w:t>
      </w:r>
      <w:r w:rsidR="004C21CE">
        <w:t>t</w:t>
      </w:r>
      <w:r>
        <w:t xml:space="preserve">esting requirements. Because manufacturers vary widely in their existing testing facilities, their excess capacities, their work shift arrangements and availabilities, the real estate cost and land availabilities for hypothetical expansions, and their contractual arrangements with other testing facilities, CISD has for many year now used the approximation that a facility capable of performing 750 FTP/HFET tests per year costs $4,000,000 and allocated this cost to each testing increment. </w:t>
      </w:r>
      <w:r w:rsidR="00395732">
        <w:t xml:space="preserve">This </w:t>
      </w:r>
      <w:r w:rsidR="00395732">
        <w:lastRenderedPageBreak/>
        <w:t xml:space="preserve">cost is then allocated over ten years and discounted at 7%. This methodology is considered conservative, because it assumes no excess capacity. </w:t>
      </w:r>
      <w:r w:rsidR="00DC18D3">
        <w:t xml:space="preserve">Similarly, evaporative facilities are </w:t>
      </w:r>
      <w:proofErr w:type="spellStart"/>
      <w:r w:rsidR="00780982">
        <w:t>costed</w:t>
      </w:r>
      <w:proofErr w:type="spellEnd"/>
      <w:r w:rsidR="00780982">
        <w:t xml:space="preserve"> at $3,000,000 to conduct 900 evaporative tests a year.</w:t>
      </w:r>
      <w:r w:rsidR="00AA3A53">
        <w:t xml:space="preserve"> </w:t>
      </w:r>
      <w:r w:rsidR="00F1114A">
        <w:t xml:space="preserve">While most converters work through contractors whose </w:t>
      </w:r>
      <w:r w:rsidR="00F50209">
        <w:t>contract costs</w:t>
      </w:r>
      <w:r w:rsidR="00F1114A">
        <w:t xml:space="preserve"> do not break down costs in this manner, for consistency the analysis in the Certification IC </w:t>
      </w:r>
      <w:r w:rsidR="00F50209">
        <w:t xml:space="preserve">series </w:t>
      </w:r>
      <w:r w:rsidR="00E16C87">
        <w:t xml:space="preserve">0783 </w:t>
      </w:r>
      <w:r w:rsidR="00F1114A">
        <w:t xml:space="preserve">is continued here. </w:t>
      </w:r>
    </w:p>
    <w:p w:rsidR="00780982" w:rsidRDefault="00780982" w:rsidP="00692526"/>
    <w:p w:rsidR="00AA3A53" w:rsidRDefault="00780982" w:rsidP="00692526">
      <w:r>
        <w:tab/>
        <w:t xml:space="preserve">Primarily due to the reduction in the number of test groups (slightly offset by the new labeling startup) </w:t>
      </w:r>
      <w:r w:rsidR="00110B97">
        <w:t xml:space="preserve">he total </w:t>
      </w:r>
      <w:r>
        <w:t xml:space="preserve">non-depreciated </w:t>
      </w:r>
      <w:r w:rsidR="00110B97">
        <w:t xml:space="preserve">capital costs for the </w:t>
      </w:r>
      <w:r w:rsidR="00203629">
        <w:t>conversion program</w:t>
      </w:r>
      <w:r w:rsidR="00E87A26" w:rsidRPr="001A34B4">
        <w:t xml:space="preserve"> </w:t>
      </w:r>
      <w:r w:rsidR="00110B97" w:rsidRPr="001A34B4">
        <w:t xml:space="preserve">are </w:t>
      </w:r>
      <w:r w:rsidRPr="001A34B4">
        <w:t>reduced</w:t>
      </w:r>
      <w:r w:rsidR="00110B97" w:rsidRPr="001A34B4">
        <w:t>.</w:t>
      </w:r>
      <w:r w:rsidR="00110B97">
        <w:t xml:space="preserve"> </w:t>
      </w:r>
      <w:r w:rsidR="00395732">
        <w:t xml:space="preserve"> </w:t>
      </w:r>
    </w:p>
    <w:p w:rsidR="00AA3A53" w:rsidRDefault="00AA3A53" w:rsidP="00692526"/>
    <w:p w:rsidR="00832233" w:rsidRPr="005379F3" w:rsidRDefault="009E5724" w:rsidP="00692526">
      <w:pPr>
        <w:rPr>
          <w:spacing w:val="6"/>
        </w:rPr>
      </w:pPr>
      <w:r w:rsidRPr="009E5724">
        <w:rPr>
          <w:spacing w:val="6"/>
        </w:rPr>
        <w:t xml:space="preserve">6(c) </w:t>
      </w:r>
      <w:r w:rsidR="00832233" w:rsidRPr="005379F3">
        <w:rPr>
          <w:spacing w:val="6"/>
          <w:u w:val="single"/>
        </w:rPr>
        <w:t>Estimating Agency Burden</w:t>
      </w:r>
    </w:p>
    <w:p w:rsidR="00832233" w:rsidRPr="005379F3" w:rsidRDefault="00832233" w:rsidP="00692526">
      <w:pPr>
        <w:pStyle w:val="Style5"/>
        <w:adjustRightInd/>
        <w:rPr>
          <w:spacing w:val="6"/>
        </w:rPr>
      </w:pPr>
    </w:p>
    <w:p w:rsidR="00022D16" w:rsidRPr="009F3103" w:rsidRDefault="00783FA3" w:rsidP="00022D16">
      <w:pPr>
        <w:pStyle w:val="Style6"/>
        <w:jc w:val="left"/>
        <w:rPr>
          <w:spacing w:val="6"/>
        </w:rPr>
      </w:pPr>
      <w:r>
        <w:rPr>
          <w:spacing w:val="6"/>
        </w:rPr>
        <w:tab/>
      </w:r>
      <w:r w:rsidR="00022D16" w:rsidRPr="009F3103">
        <w:rPr>
          <w:spacing w:val="6"/>
        </w:rPr>
        <w:t>The emission and fuel economy compliance programs are primarily administered by EPA’s Compliance and Innovative Strategies Division and Laboratory Operations Division.  Approximately 47.5 full time employee equivalents are directly involved in the combined emission and fuel economy light-duty, motorcycle, and other</w:t>
      </w:r>
      <w:r w:rsidR="00022D16">
        <w:rPr>
          <w:spacing w:val="6"/>
        </w:rPr>
        <w:t>, secondary</w:t>
      </w:r>
      <w:r w:rsidR="00022D16" w:rsidRPr="009F3103">
        <w:rPr>
          <w:spacing w:val="6"/>
        </w:rPr>
        <w:t xml:space="preserve"> programs; their cost is approximately $5.9 million, including benefits but not overhead.  EPA also participates in a program whereby the agency contracts with an organization that provides qualified persons to perform duties for the agency that are not performed by EPA employees.  The cost associated with these persons who work directly on these programs is approximately $0.23 million, excluding overhead.   Overhead percentage for the entire division is approximately 16.9%, yielding an estimated total agency labor cost of $7.17 million. The total non-capital costs for the light-duty and motorcycle programs, including direct and indirect labor, operations and maintenance, and overhead, is estimated as $11.14 million for FY 2007. </w:t>
      </w:r>
    </w:p>
    <w:p w:rsidR="000D6B7E" w:rsidRDefault="000D6B7E" w:rsidP="007146CE">
      <w:pPr>
        <w:pStyle w:val="Style6"/>
        <w:jc w:val="left"/>
        <w:rPr>
          <w:spacing w:val="6"/>
        </w:rPr>
      </w:pPr>
    </w:p>
    <w:p w:rsidR="00832233" w:rsidRDefault="00783FA3" w:rsidP="007146CE">
      <w:pPr>
        <w:pStyle w:val="Style6"/>
        <w:jc w:val="left"/>
        <w:rPr>
          <w:spacing w:val="6"/>
        </w:rPr>
      </w:pPr>
      <w:r>
        <w:rPr>
          <w:spacing w:val="6"/>
        </w:rPr>
        <w:tab/>
      </w:r>
      <w:r w:rsidR="00C07A59">
        <w:rPr>
          <w:spacing w:val="6"/>
        </w:rPr>
        <w:t xml:space="preserve">Implementation of the new </w:t>
      </w:r>
      <w:r w:rsidR="008633D1">
        <w:rPr>
          <w:spacing w:val="6"/>
        </w:rPr>
        <w:t>alternative fuels</w:t>
      </w:r>
      <w:r w:rsidR="00C07A59">
        <w:rPr>
          <w:spacing w:val="6"/>
        </w:rPr>
        <w:t xml:space="preserve"> rule will b</w:t>
      </w:r>
      <w:r w:rsidR="00172EE7">
        <w:rPr>
          <w:spacing w:val="6"/>
        </w:rPr>
        <w:t>e carried out by existing staff</w:t>
      </w:r>
      <w:r w:rsidR="008633D1">
        <w:rPr>
          <w:spacing w:val="6"/>
        </w:rPr>
        <w:t>.</w:t>
      </w:r>
      <w:r w:rsidR="00172EE7">
        <w:rPr>
          <w:spacing w:val="6"/>
        </w:rPr>
        <w:t xml:space="preserve"> </w:t>
      </w:r>
      <w:r w:rsidR="00827852">
        <w:rPr>
          <w:spacing w:val="6"/>
        </w:rPr>
        <w:t xml:space="preserve">Other ongoing database management, oversight, and certification activities are part of the fuel economy and emissions program </w:t>
      </w:r>
      <w:r w:rsidR="0088435D">
        <w:rPr>
          <w:spacing w:val="6"/>
        </w:rPr>
        <w:t xml:space="preserve">Agency </w:t>
      </w:r>
      <w:r w:rsidR="00827852">
        <w:rPr>
          <w:spacing w:val="6"/>
        </w:rPr>
        <w:t xml:space="preserve">baseline. </w:t>
      </w:r>
      <w:r w:rsidR="00FC2D25">
        <w:rPr>
          <w:spacing w:val="6"/>
        </w:rPr>
        <w:t xml:space="preserve"> </w:t>
      </w:r>
      <w:r w:rsidR="00317CE8">
        <w:rPr>
          <w:spacing w:val="6"/>
        </w:rPr>
        <w:t>All EPA labor estimates</w:t>
      </w:r>
      <w:r w:rsidR="009F5227">
        <w:rPr>
          <w:spacing w:val="6"/>
        </w:rPr>
        <w:t xml:space="preserve"> are based on </w:t>
      </w:r>
      <w:r w:rsidR="00943F1E">
        <w:rPr>
          <w:spacing w:val="6"/>
        </w:rPr>
        <w:t xml:space="preserve">Office of Personnel Management </w:t>
      </w:r>
      <w:r w:rsidR="00906C77">
        <w:rPr>
          <w:spacing w:val="6"/>
        </w:rPr>
        <w:t xml:space="preserve">draft </w:t>
      </w:r>
      <w:r w:rsidR="00943F1E">
        <w:rPr>
          <w:spacing w:val="6"/>
        </w:rPr>
        <w:t>annual pay rates effective January, 200</w:t>
      </w:r>
      <w:r w:rsidR="00906C77">
        <w:rPr>
          <w:spacing w:val="6"/>
        </w:rPr>
        <w:t>8</w:t>
      </w:r>
      <w:r w:rsidR="00943F1E">
        <w:rPr>
          <w:spacing w:val="6"/>
        </w:rPr>
        <w:t>, with a 1.6 multiplier for overhead</w:t>
      </w:r>
      <w:r w:rsidR="0088435D">
        <w:rPr>
          <w:spacing w:val="6"/>
        </w:rPr>
        <w:t xml:space="preserve"> based on EPA’s latest fees cost allocation study (1.37 indirect program cost overhead times 1.16 overall EPA overhead)</w:t>
      </w:r>
      <w:r w:rsidR="00943F1E">
        <w:rPr>
          <w:spacing w:val="6"/>
        </w:rPr>
        <w:t xml:space="preserve">. </w:t>
      </w:r>
      <w:r w:rsidR="00C07A59">
        <w:rPr>
          <w:spacing w:val="6"/>
        </w:rPr>
        <w:t xml:space="preserve"> </w:t>
      </w:r>
      <w:r w:rsidR="00943F1E">
        <w:rPr>
          <w:spacing w:val="6"/>
        </w:rPr>
        <w:t xml:space="preserve">This estimate does not include Agency burdens incurred prior to the effective date of the rule, such as costs of developing the rule and preliminary consultations with </w:t>
      </w:r>
      <w:r w:rsidR="00780982">
        <w:rPr>
          <w:spacing w:val="6"/>
        </w:rPr>
        <w:t>converters</w:t>
      </w:r>
      <w:r w:rsidR="00943F1E">
        <w:rPr>
          <w:spacing w:val="6"/>
        </w:rPr>
        <w:t xml:space="preserve">. </w:t>
      </w:r>
    </w:p>
    <w:p w:rsidR="00D17C9A" w:rsidRPr="007146CE" w:rsidRDefault="00D17C9A" w:rsidP="007146CE">
      <w:pPr>
        <w:pStyle w:val="Style6"/>
        <w:jc w:val="left"/>
        <w:rPr>
          <w:spacing w:val="6"/>
        </w:rPr>
      </w:pPr>
    </w:p>
    <w:p w:rsidR="00832233" w:rsidRPr="005379F3" w:rsidRDefault="0013395B" w:rsidP="00692526">
      <w:pPr>
        <w:spacing w:line="264" w:lineRule="atLeast"/>
        <w:rPr>
          <w:spacing w:val="6"/>
        </w:rPr>
      </w:pPr>
      <w:r>
        <w:rPr>
          <w:spacing w:val="6"/>
        </w:rPr>
        <w:t>6(d)</w:t>
      </w:r>
      <w:r w:rsidR="009E5724" w:rsidRPr="009E5724">
        <w:rPr>
          <w:spacing w:val="6"/>
        </w:rPr>
        <w:t xml:space="preserve"> </w:t>
      </w:r>
      <w:r w:rsidR="00832233" w:rsidRPr="005379F3">
        <w:rPr>
          <w:spacing w:val="6"/>
          <w:u w:val="single"/>
        </w:rPr>
        <w:t>Estimating the Respondent Universe and Total Burden and Costs</w:t>
      </w:r>
    </w:p>
    <w:p w:rsidR="00832233" w:rsidRPr="005379F3" w:rsidRDefault="00832233" w:rsidP="00692526">
      <w:pPr>
        <w:pStyle w:val="Style5"/>
        <w:adjustRightInd/>
        <w:rPr>
          <w:spacing w:val="6"/>
        </w:rPr>
      </w:pPr>
    </w:p>
    <w:p w:rsidR="00832233" w:rsidRPr="007146CE" w:rsidRDefault="002A64DB" w:rsidP="007146CE">
      <w:pPr>
        <w:pStyle w:val="Style6"/>
        <w:jc w:val="left"/>
        <w:rPr>
          <w:spacing w:val="6"/>
        </w:rPr>
      </w:pPr>
      <w:r>
        <w:rPr>
          <w:spacing w:val="6"/>
        </w:rPr>
        <w:tab/>
      </w:r>
      <w:r w:rsidR="00832233" w:rsidRPr="007146CE">
        <w:rPr>
          <w:spacing w:val="6"/>
        </w:rPr>
        <w:t xml:space="preserve">From the above discussion the following total burden and cost estimates can be calculated. </w:t>
      </w:r>
      <w:r w:rsidR="00FC2D25">
        <w:rPr>
          <w:spacing w:val="6"/>
        </w:rPr>
        <w:t xml:space="preserve"> </w:t>
      </w:r>
      <w:r w:rsidR="00832233" w:rsidRPr="007146CE">
        <w:rPr>
          <w:spacing w:val="6"/>
        </w:rPr>
        <w:t xml:space="preserve">(Due to the diverse nature of the </w:t>
      </w:r>
      <w:r w:rsidR="006D5DCB">
        <w:rPr>
          <w:spacing w:val="6"/>
        </w:rPr>
        <w:t>converter industry</w:t>
      </w:r>
      <w:r w:rsidR="00832233" w:rsidRPr="007146CE">
        <w:rPr>
          <w:spacing w:val="6"/>
        </w:rPr>
        <w:t>, there is no typical or average respondent.</w:t>
      </w:r>
      <w:r w:rsidR="006D5DCB">
        <w:rPr>
          <w:spacing w:val="6"/>
        </w:rPr>
        <w:t>)</w:t>
      </w:r>
      <w:r w:rsidR="00832233" w:rsidRPr="007146CE">
        <w:rPr>
          <w:spacing w:val="6"/>
        </w:rPr>
        <w:t xml:space="preserve"> </w:t>
      </w:r>
      <w:r w:rsidR="00FC2D25">
        <w:rPr>
          <w:spacing w:val="6"/>
        </w:rPr>
        <w:t xml:space="preserve"> </w:t>
      </w:r>
    </w:p>
    <w:p w:rsidR="00832233" w:rsidRDefault="00832233" w:rsidP="00692526"/>
    <w:p w:rsidR="0013395B" w:rsidRDefault="0013395B" w:rsidP="00692526">
      <w:pPr>
        <w:rPr>
          <w:u w:val="single"/>
        </w:rPr>
      </w:pPr>
      <w:r>
        <w:t xml:space="preserve">6(e) </w:t>
      </w:r>
      <w:r w:rsidRPr="0013395B">
        <w:rPr>
          <w:u w:val="single"/>
        </w:rPr>
        <w:t>Bottom Line Burden Hours and Cost</w:t>
      </w:r>
    </w:p>
    <w:p w:rsidR="0013395B" w:rsidRDefault="0013395B" w:rsidP="00692526">
      <w:pPr>
        <w:rPr>
          <w:u w:val="single"/>
        </w:rPr>
      </w:pPr>
    </w:p>
    <w:p w:rsidR="0013395B" w:rsidRDefault="0013395B" w:rsidP="00692526">
      <w:r>
        <w:t xml:space="preserve">(i)  </w:t>
      </w:r>
      <w:r w:rsidRPr="0013395B">
        <w:rPr>
          <w:u w:val="single"/>
        </w:rPr>
        <w:t>Respondent Tally</w:t>
      </w:r>
      <w:r w:rsidR="00256C8A">
        <w:rPr>
          <w:u w:val="single"/>
        </w:rPr>
        <w:t xml:space="preserve"> </w:t>
      </w:r>
    </w:p>
    <w:p w:rsidR="00256C8A" w:rsidRDefault="00256C8A" w:rsidP="00692526"/>
    <w:p w:rsidR="00256C8A" w:rsidRDefault="00256C8A" w:rsidP="00692526">
      <w:pPr>
        <w:rPr>
          <w:u w:val="single"/>
        </w:rPr>
      </w:pPr>
      <w:r>
        <w:t>[</w:t>
      </w:r>
      <w:proofErr w:type="gramStart"/>
      <w:r>
        <w:t>a</w:t>
      </w:r>
      <w:proofErr w:type="gramEnd"/>
      <w:r>
        <w:t xml:space="preserve">] </w:t>
      </w:r>
      <w:r w:rsidRPr="00256C8A">
        <w:rPr>
          <w:u w:val="single"/>
        </w:rPr>
        <w:t>Overall Emissions IC</w:t>
      </w:r>
      <w:r>
        <w:rPr>
          <w:u w:val="single"/>
        </w:rPr>
        <w:t xml:space="preserve"> </w:t>
      </w:r>
    </w:p>
    <w:p w:rsidR="006D5DCB" w:rsidRPr="00256C8A" w:rsidRDefault="006D5DCB" w:rsidP="00692526"/>
    <w:p w:rsidR="0098262E" w:rsidRDefault="0098262E" w:rsidP="00256C8A"/>
    <w:p w:rsidR="0098262E" w:rsidRDefault="0098262E" w:rsidP="00256C8A">
      <w:r>
        <w:t xml:space="preserve">[1] </w:t>
      </w:r>
      <w:r w:rsidRPr="0098262E">
        <w:rPr>
          <w:u w:val="single"/>
        </w:rPr>
        <w:t>Existing authorization</w:t>
      </w:r>
    </w:p>
    <w:p w:rsidR="0098262E" w:rsidRDefault="0098262E" w:rsidP="00256C8A"/>
    <w:p w:rsidR="0098262E" w:rsidRDefault="0098262E" w:rsidP="0098262E">
      <w:pPr>
        <w:tabs>
          <w:tab w:val="right" w:pos="4680"/>
        </w:tabs>
      </w:pPr>
      <w:r>
        <w:t>RESPONDENTS</w:t>
      </w:r>
      <w:r>
        <w:tab/>
        <w:t>35</w:t>
      </w:r>
    </w:p>
    <w:p w:rsidR="0098262E" w:rsidRDefault="0098262E" w:rsidP="0098262E">
      <w:pPr>
        <w:tabs>
          <w:tab w:val="right" w:pos="4680"/>
        </w:tabs>
      </w:pPr>
      <w:r>
        <w:t>BURDEN HOURS</w:t>
      </w:r>
      <w:r>
        <w:tab/>
      </w:r>
      <w:r w:rsidR="001E183A">
        <w:t>385,628</w:t>
      </w:r>
    </w:p>
    <w:p w:rsidR="0098262E" w:rsidRPr="0098262E" w:rsidRDefault="0098262E" w:rsidP="0098262E">
      <w:pPr>
        <w:tabs>
          <w:tab w:val="right" w:pos="4680"/>
        </w:tabs>
      </w:pPr>
      <w:r>
        <w:t>OPERATING COST</w:t>
      </w:r>
      <w:r>
        <w:tab/>
      </w:r>
      <w:r w:rsidR="001E183A">
        <w:t>$6,401,631</w:t>
      </w:r>
    </w:p>
    <w:p w:rsidR="0098262E" w:rsidRPr="0098262E" w:rsidRDefault="0098262E" w:rsidP="0098262E">
      <w:pPr>
        <w:tabs>
          <w:tab w:val="right" w:pos="4680"/>
        </w:tabs>
      </w:pPr>
      <w:r>
        <w:t>CAPITALIZED COST</w:t>
      </w:r>
      <w:r>
        <w:tab/>
      </w:r>
      <w:r w:rsidR="001E183A">
        <w:t>$5,458,514</w:t>
      </w:r>
    </w:p>
    <w:p w:rsidR="0098262E" w:rsidRDefault="001E183A" w:rsidP="0098262E">
      <w:pPr>
        <w:tabs>
          <w:tab w:val="right" w:pos="4680"/>
        </w:tabs>
      </w:pPr>
      <w:r>
        <w:t>TOTAL NON-LABOR COST</w:t>
      </w:r>
      <w:r>
        <w:tab/>
        <w:t>$11,860,145</w:t>
      </w:r>
    </w:p>
    <w:p w:rsidR="0098262E" w:rsidRDefault="0098262E" w:rsidP="00256C8A"/>
    <w:p w:rsidR="0098262E" w:rsidRPr="0098262E" w:rsidRDefault="0098262E" w:rsidP="00256C8A">
      <w:pPr>
        <w:rPr>
          <w:u w:val="single"/>
        </w:rPr>
      </w:pPr>
      <w:r>
        <w:t xml:space="preserve">[2] </w:t>
      </w:r>
      <w:r w:rsidRPr="0098262E">
        <w:rPr>
          <w:u w:val="single"/>
        </w:rPr>
        <w:t xml:space="preserve">After </w:t>
      </w:r>
      <w:r w:rsidR="00E87A26">
        <w:rPr>
          <w:u w:val="single"/>
        </w:rPr>
        <w:t>final rule</w:t>
      </w:r>
    </w:p>
    <w:p w:rsidR="005229C3" w:rsidRDefault="005229C3" w:rsidP="00256C8A"/>
    <w:p w:rsidR="0013395B" w:rsidRPr="00492002" w:rsidRDefault="0013395B" w:rsidP="00692526">
      <w:pPr>
        <w:tabs>
          <w:tab w:val="right" w:pos="4680"/>
        </w:tabs>
      </w:pPr>
      <w:r w:rsidRPr="00492002">
        <w:t>RESPONDENTS</w:t>
      </w:r>
      <w:r w:rsidR="00C65924" w:rsidRPr="00492002">
        <w:tab/>
      </w:r>
      <w:r w:rsidR="0088435D" w:rsidRPr="00492002">
        <w:t>3</w:t>
      </w:r>
      <w:r w:rsidR="00E87A26" w:rsidRPr="00492002">
        <w:t>8</w:t>
      </w:r>
    </w:p>
    <w:p w:rsidR="0013395B" w:rsidRPr="00492002" w:rsidRDefault="00C65924" w:rsidP="00692526">
      <w:pPr>
        <w:tabs>
          <w:tab w:val="right" w:pos="4680"/>
        </w:tabs>
      </w:pPr>
      <w:r w:rsidRPr="00492002">
        <w:t>BURDEN HOURS</w:t>
      </w:r>
      <w:r w:rsidRPr="00492002">
        <w:tab/>
      </w:r>
      <w:r w:rsidR="001E183A">
        <w:t>374,425</w:t>
      </w:r>
    </w:p>
    <w:p w:rsidR="0013395B" w:rsidRPr="00492002" w:rsidRDefault="0013395B" w:rsidP="00692526">
      <w:pPr>
        <w:tabs>
          <w:tab w:val="right" w:pos="4680"/>
        </w:tabs>
      </w:pPr>
      <w:r w:rsidRPr="00492002">
        <w:t>OPERATING COST</w:t>
      </w:r>
      <w:r w:rsidR="00C65924" w:rsidRPr="00492002">
        <w:tab/>
      </w:r>
      <w:r w:rsidR="00D31741" w:rsidRPr="00492002">
        <w:rPr>
          <w:spacing w:val="6"/>
        </w:rPr>
        <w:t>$</w:t>
      </w:r>
      <w:r w:rsidR="001E183A">
        <w:rPr>
          <w:spacing w:val="6"/>
        </w:rPr>
        <w:t>6,320,771</w:t>
      </w:r>
    </w:p>
    <w:p w:rsidR="0013395B" w:rsidRPr="00492002" w:rsidRDefault="0013395B" w:rsidP="00692526">
      <w:pPr>
        <w:tabs>
          <w:tab w:val="right" w:pos="4680"/>
        </w:tabs>
      </w:pPr>
      <w:r w:rsidRPr="00492002">
        <w:t>CAPITALIZED COST</w:t>
      </w:r>
      <w:r w:rsidR="00C65924" w:rsidRPr="00492002">
        <w:tab/>
      </w:r>
      <w:r w:rsidR="000D6B7E" w:rsidRPr="00492002">
        <w:t>$</w:t>
      </w:r>
      <w:r w:rsidR="006273F9">
        <w:t>5,450,313</w:t>
      </w:r>
    </w:p>
    <w:p w:rsidR="005D17CA" w:rsidRDefault="005D17CA" w:rsidP="00692526">
      <w:pPr>
        <w:tabs>
          <w:tab w:val="right" w:pos="4680"/>
        </w:tabs>
      </w:pPr>
      <w:r w:rsidRPr="00492002">
        <w:t>TOTAL NON-LABOR COST</w:t>
      </w:r>
      <w:r w:rsidRPr="00492002">
        <w:tab/>
        <w:t>$</w:t>
      </w:r>
      <w:r w:rsidR="006273F9">
        <w:t>11,771,042</w:t>
      </w:r>
    </w:p>
    <w:p w:rsidR="0098262E" w:rsidRDefault="0098262E" w:rsidP="00692526">
      <w:pPr>
        <w:tabs>
          <w:tab w:val="right" w:pos="4680"/>
        </w:tabs>
      </w:pPr>
    </w:p>
    <w:p w:rsidR="0098262E" w:rsidRDefault="0098262E" w:rsidP="00692526">
      <w:pPr>
        <w:tabs>
          <w:tab w:val="right" w:pos="4680"/>
        </w:tabs>
      </w:pPr>
      <w:r>
        <w:t xml:space="preserve">[3] </w:t>
      </w:r>
      <w:r w:rsidR="00492002" w:rsidRPr="00492002">
        <w:rPr>
          <w:u w:val="single"/>
        </w:rPr>
        <w:t>Change</w:t>
      </w:r>
      <w:r w:rsidR="008F664B" w:rsidRPr="00492002">
        <w:rPr>
          <w:u w:val="single"/>
        </w:rPr>
        <w:t xml:space="preserve"> in</w:t>
      </w:r>
      <w:r w:rsidR="005D17CA" w:rsidRPr="00492002">
        <w:rPr>
          <w:u w:val="single"/>
        </w:rPr>
        <w:t xml:space="preserve"> burden</w:t>
      </w:r>
    </w:p>
    <w:p w:rsidR="005D17CA" w:rsidRDefault="005D17CA" w:rsidP="00692526">
      <w:pPr>
        <w:tabs>
          <w:tab w:val="right" w:pos="4680"/>
        </w:tabs>
      </w:pPr>
    </w:p>
    <w:p w:rsidR="005D17CA" w:rsidRPr="00EE603C" w:rsidRDefault="005D17CA" w:rsidP="005D17CA">
      <w:pPr>
        <w:tabs>
          <w:tab w:val="right" w:pos="4680"/>
        </w:tabs>
      </w:pPr>
      <w:r w:rsidRPr="00EE603C">
        <w:t>BURDEN HOURS</w:t>
      </w:r>
      <w:r w:rsidRPr="00EE603C">
        <w:tab/>
      </w:r>
      <w:r w:rsidR="004459F0">
        <w:t>-11,203</w:t>
      </w:r>
    </w:p>
    <w:p w:rsidR="005D17CA" w:rsidRPr="00EE603C" w:rsidRDefault="005D17CA" w:rsidP="005D17CA">
      <w:pPr>
        <w:tabs>
          <w:tab w:val="right" w:pos="4680"/>
        </w:tabs>
      </w:pPr>
      <w:r w:rsidRPr="00EE603C">
        <w:t>OPERATING COST</w:t>
      </w:r>
      <w:r w:rsidRPr="00EE603C">
        <w:tab/>
      </w:r>
      <w:r w:rsidR="004459F0">
        <w:t>-$</w:t>
      </w:r>
      <w:r w:rsidR="007104DC">
        <w:t>80,920</w:t>
      </w:r>
    </w:p>
    <w:p w:rsidR="005D17CA" w:rsidRPr="00EE603C" w:rsidRDefault="005D17CA" w:rsidP="005D17CA">
      <w:pPr>
        <w:tabs>
          <w:tab w:val="right" w:pos="4680"/>
        </w:tabs>
      </w:pPr>
      <w:r w:rsidRPr="00EE603C">
        <w:t>CAPITALIZED COST</w:t>
      </w:r>
      <w:r w:rsidRPr="00EE603C">
        <w:tab/>
      </w:r>
      <w:r w:rsidR="004459F0">
        <w:t>-</w:t>
      </w:r>
      <w:r w:rsidR="00492002" w:rsidRPr="00EE603C">
        <w:t>$8,</w:t>
      </w:r>
      <w:r w:rsidR="004459F0">
        <w:t>201</w:t>
      </w:r>
    </w:p>
    <w:p w:rsidR="005D17CA" w:rsidRDefault="005D17CA" w:rsidP="005D17CA">
      <w:pPr>
        <w:tabs>
          <w:tab w:val="right" w:pos="4680"/>
        </w:tabs>
      </w:pPr>
      <w:r w:rsidRPr="00EE603C">
        <w:t>TOTAL NON-LABOR COST</w:t>
      </w:r>
      <w:r w:rsidRPr="00EE603C">
        <w:tab/>
      </w:r>
      <w:r w:rsidR="004459F0">
        <w:t>-</w:t>
      </w:r>
      <w:r w:rsidR="008F664B" w:rsidRPr="00EE603C">
        <w:t>$</w:t>
      </w:r>
      <w:r w:rsidR="004459F0">
        <w:t>89,103</w:t>
      </w:r>
    </w:p>
    <w:p w:rsidR="005D17CA" w:rsidRDefault="005D17CA" w:rsidP="00692526">
      <w:pPr>
        <w:tabs>
          <w:tab w:val="right" w:pos="4680"/>
        </w:tabs>
      </w:pPr>
    </w:p>
    <w:p w:rsidR="006D5DCB" w:rsidRDefault="006D5DCB" w:rsidP="00692526">
      <w:pPr>
        <w:tabs>
          <w:tab w:val="right" w:pos="4680"/>
        </w:tabs>
        <w:rPr>
          <w:u w:val="single"/>
        </w:rPr>
      </w:pPr>
      <w:r>
        <w:t xml:space="preserve">[b] </w:t>
      </w:r>
      <w:r w:rsidRPr="00022D16">
        <w:rPr>
          <w:u w:val="single"/>
        </w:rPr>
        <w:t>Alternative Fuels Converters</w:t>
      </w:r>
    </w:p>
    <w:p w:rsidR="00487101" w:rsidRDefault="00487101" w:rsidP="00692526">
      <w:pPr>
        <w:tabs>
          <w:tab w:val="right" w:pos="4680"/>
        </w:tabs>
        <w:rPr>
          <w:u w:val="single"/>
        </w:rPr>
      </w:pPr>
    </w:p>
    <w:p w:rsidR="00487101" w:rsidRDefault="00487101" w:rsidP="00692526">
      <w:pPr>
        <w:tabs>
          <w:tab w:val="right" w:pos="4680"/>
        </w:tabs>
      </w:pPr>
      <w:r>
        <w:t xml:space="preserve">[1] </w:t>
      </w:r>
      <w:r w:rsidRPr="006970B1">
        <w:rPr>
          <w:u w:val="single"/>
        </w:rPr>
        <w:t>Existing baseline</w:t>
      </w:r>
    </w:p>
    <w:p w:rsidR="00487101" w:rsidRDefault="00487101" w:rsidP="00692526">
      <w:pPr>
        <w:tabs>
          <w:tab w:val="right" w:pos="4680"/>
        </w:tabs>
      </w:pPr>
    </w:p>
    <w:p w:rsidR="00487101" w:rsidRPr="00EE603C" w:rsidRDefault="00487101" w:rsidP="00487101">
      <w:pPr>
        <w:tabs>
          <w:tab w:val="right" w:pos="4680"/>
        </w:tabs>
      </w:pPr>
      <w:r w:rsidRPr="00EE603C">
        <w:t>RESPONDENTS</w:t>
      </w:r>
      <w:r w:rsidRPr="00EE603C">
        <w:tab/>
        <w:t>5</w:t>
      </w:r>
    </w:p>
    <w:p w:rsidR="00487101" w:rsidRPr="00EE603C" w:rsidRDefault="00487101" w:rsidP="00487101">
      <w:pPr>
        <w:tabs>
          <w:tab w:val="right" w:pos="4680"/>
        </w:tabs>
      </w:pPr>
      <w:r w:rsidRPr="00EE603C">
        <w:t>FAMILIES</w:t>
      </w:r>
      <w:r w:rsidRPr="00EE603C">
        <w:tab/>
      </w:r>
      <w:r w:rsidR="00CD22DE">
        <w:t>36</w:t>
      </w:r>
    </w:p>
    <w:p w:rsidR="00487101" w:rsidRPr="00EE603C" w:rsidRDefault="00487101" w:rsidP="00487101">
      <w:pPr>
        <w:tabs>
          <w:tab w:val="right" w:pos="4680"/>
        </w:tabs>
      </w:pPr>
      <w:r w:rsidRPr="00EE603C">
        <w:t>BURDEN HOURS</w:t>
      </w:r>
      <w:r w:rsidRPr="00EE603C">
        <w:tab/>
      </w:r>
      <w:r w:rsidR="0055357F">
        <w:t>29,738</w:t>
      </w:r>
    </w:p>
    <w:p w:rsidR="00487101" w:rsidRPr="00EE603C" w:rsidRDefault="00487101" w:rsidP="00487101">
      <w:pPr>
        <w:tabs>
          <w:tab w:val="right" w:pos="4680"/>
        </w:tabs>
      </w:pPr>
      <w:r w:rsidRPr="00EE603C">
        <w:t>LABOR COST</w:t>
      </w:r>
      <w:r w:rsidRPr="00EE603C">
        <w:tab/>
        <w:t>$</w:t>
      </w:r>
      <w:r w:rsidR="0055357F">
        <w:t>1,756,606</w:t>
      </w:r>
    </w:p>
    <w:p w:rsidR="00487101" w:rsidRPr="00EE603C" w:rsidRDefault="00487101" w:rsidP="00487101">
      <w:pPr>
        <w:tabs>
          <w:tab w:val="right" w:pos="4680"/>
        </w:tabs>
      </w:pPr>
      <w:r w:rsidRPr="00EE603C">
        <w:t>OPERATING COST</w:t>
      </w:r>
      <w:r w:rsidRPr="00EE603C">
        <w:tab/>
      </w:r>
      <w:r w:rsidR="00583230" w:rsidRPr="00EE603C">
        <w:t>$</w:t>
      </w:r>
      <w:r w:rsidR="0055357F">
        <w:t>241,566</w:t>
      </w:r>
    </w:p>
    <w:p w:rsidR="00487101" w:rsidRPr="00EE603C" w:rsidRDefault="00487101" w:rsidP="00487101">
      <w:pPr>
        <w:tabs>
          <w:tab w:val="right" w:pos="4680"/>
        </w:tabs>
      </w:pPr>
      <w:r w:rsidRPr="00EE603C">
        <w:t>CAPITALIZED COST</w:t>
      </w:r>
      <w:r w:rsidRPr="00EE603C">
        <w:tab/>
      </w:r>
      <w:r w:rsidR="00583230" w:rsidRPr="00EE603C">
        <w:t>$</w:t>
      </w:r>
      <w:r w:rsidR="0055357F">
        <w:t>32,630</w:t>
      </w:r>
    </w:p>
    <w:p w:rsidR="00583230" w:rsidRPr="00EE603C" w:rsidRDefault="00583230" w:rsidP="00487101">
      <w:pPr>
        <w:tabs>
          <w:tab w:val="right" w:pos="4680"/>
        </w:tabs>
      </w:pPr>
      <w:r w:rsidRPr="00EE603C">
        <w:t>TOTAL NON-LABOR COST</w:t>
      </w:r>
      <w:r w:rsidRPr="00EE603C">
        <w:tab/>
        <w:t>$</w:t>
      </w:r>
      <w:r w:rsidR="0055357F">
        <w:t>274,196</w:t>
      </w:r>
    </w:p>
    <w:p w:rsidR="00487101" w:rsidRPr="0027700D" w:rsidRDefault="00487101" w:rsidP="00692526">
      <w:pPr>
        <w:tabs>
          <w:tab w:val="right" w:pos="4680"/>
        </w:tabs>
      </w:pPr>
    </w:p>
    <w:p w:rsidR="00487101" w:rsidRPr="0027700D" w:rsidRDefault="00487101" w:rsidP="00692526">
      <w:pPr>
        <w:tabs>
          <w:tab w:val="right" w:pos="4680"/>
        </w:tabs>
      </w:pPr>
      <w:r w:rsidRPr="0027700D">
        <w:t xml:space="preserve">[2] </w:t>
      </w:r>
      <w:r w:rsidRPr="0027700D">
        <w:rPr>
          <w:u w:val="single"/>
        </w:rPr>
        <w:t xml:space="preserve">After </w:t>
      </w:r>
      <w:r w:rsidR="00EE603C" w:rsidRPr="0027700D">
        <w:rPr>
          <w:u w:val="single"/>
        </w:rPr>
        <w:t>final rule</w:t>
      </w:r>
    </w:p>
    <w:p w:rsidR="00487101" w:rsidRPr="0027700D" w:rsidRDefault="00487101" w:rsidP="00692526">
      <w:pPr>
        <w:tabs>
          <w:tab w:val="right" w:pos="4680"/>
        </w:tabs>
      </w:pPr>
    </w:p>
    <w:p w:rsidR="006D5DCB" w:rsidRPr="0027700D" w:rsidRDefault="006D5DCB" w:rsidP="00692526">
      <w:pPr>
        <w:tabs>
          <w:tab w:val="right" w:pos="4680"/>
        </w:tabs>
      </w:pPr>
      <w:r w:rsidRPr="0027700D">
        <w:t>RESPONDENTS</w:t>
      </w:r>
      <w:r w:rsidRPr="0027700D">
        <w:tab/>
      </w:r>
      <w:r w:rsidR="00EE603C" w:rsidRPr="0027700D">
        <w:t>8</w:t>
      </w:r>
    </w:p>
    <w:p w:rsidR="00583230" w:rsidRPr="0027700D" w:rsidRDefault="00583230" w:rsidP="00692526">
      <w:pPr>
        <w:tabs>
          <w:tab w:val="right" w:pos="4680"/>
        </w:tabs>
      </w:pPr>
      <w:r w:rsidRPr="0027700D">
        <w:t xml:space="preserve">FAMILIES (75% OF </w:t>
      </w:r>
      <w:r w:rsidR="00EE603C" w:rsidRPr="0027700D">
        <w:t>50</w:t>
      </w:r>
      <w:r w:rsidRPr="0027700D">
        <w:t>)</w:t>
      </w:r>
      <w:r w:rsidRPr="0027700D">
        <w:tab/>
      </w:r>
      <w:r w:rsidR="00EE603C" w:rsidRPr="0027700D">
        <w:t>38</w:t>
      </w:r>
    </w:p>
    <w:p w:rsidR="006D5DCB" w:rsidRPr="0027700D" w:rsidRDefault="006D5DCB" w:rsidP="00692526">
      <w:pPr>
        <w:tabs>
          <w:tab w:val="right" w:pos="4680"/>
        </w:tabs>
      </w:pPr>
      <w:r w:rsidRPr="0027700D">
        <w:t>BURDEN HOURS</w:t>
      </w:r>
      <w:r w:rsidRPr="0027700D">
        <w:tab/>
      </w:r>
      <w:r w:rsidR="00DB2E03" w:rsidRPr="0027700D">
        <w:t>18,</w:t>
      </w:r>
      <w:r w:rsidR="0027700D" w:rsidRPr="0027700D">
        <w:t>5</w:t>
      </w:r>
      <w:r w:rsidR="00DB2E03" w:rsidRPr="0027700D">
        <w:t>35</w:t>
      </w:r>
    </w:p>
    <w:p w:rsidR="006D5DCB" w:rsidRPr="0027700D" w:rsidRDefault="006D5DCB" w:rsidP="00692526">
      <w:pPr>
        <w:tabs>
          <w:tab w:val="right" w:pos="4680"/>
        </w:tabs>
      </w:pPr>
      <w:r w:rsidRPr="0027700D">
        <w:t>LABOR COST</w:t>
      </w:r>
      <w:r w:rsidRPr="0027700D">
        <w:tab/>
        <w:t>$</w:t>
      </w:r>
      <w:r w:rsidR="00DB2E03" w:rsidRPr="0027700D">
        <w:t>1,060,272</w:t>
      </w:r>
    </w:p>
    <w:p w:rsidR="006D5DCB" w:rsidRPr="0027700D" w:rsidRDefault="006D5DCB" w:rsidP="00692526">
      <w:pPr>
        <w:tabs>
          <w:tab w:val="right" w:pos="4680"/>
        </w:tabs>
      </w:pPr>
      <w:r w:rsidRPr="0027700D">
        <w:t>OPERATING COST</w:t>
      </w:r>
      <w:r w:rsidRPr="0027700D">
        <w:tab/>
        <w:t>$</w:t>
      </w:r>
      <w:r w:rsidR="0027700D" w:rsidRPr="0027700D">
        <w:t>160,664</w:t>
      </w:r>
    </w:p>
    <w:p w:rsidR="006D5DCB" w:rsidRPr="0027700D" w:rsidRDefault="006D5DCB" w:rsidP="00692526">
      <w:pPr>
        <w:tabs>
          <w:tab w:val="right" w:pos="4680"/>
        </w:tabs>
      </w:pPr>
      <w:r w:rsidRPr="0027700D">
        <w:t>CAPITALIZED COST</w:t>
      </w:r>
      <w:r w:rsidRPr="0027700D">
        <w:tab/>
        <w:t>$</w:t>
      </w:r>
      <w:r w:rsidR="0027700D" w:rsidRPr="0027700D">
        <w:t>24,429</w:t>
      </w:r>
    </w:p>
    <w:p w:rsidR="00583230" w:rsidRPr="0027700D" w:rsidRDefault="00583230" w:rsidP="00692526">
      <w:pPr>
        <w:tabs>
          <w:tab w:val="right" w:pos="4680"/>
        </w:tabs>
      </w:pPr>
      <w:r w:rsidRPr="0027700D">
        <w:t>TOTAL NON-LABOR COST</w:t>
      </w:r>
      <w:r w:rsidRPr="0027700D">
        <w:tab/>
        <w:t>$</w:t>
      </w:r>
      <w:r w:rsidR="0027700D" w:rsidRPr="0027700D">
        <w:t>185,093</w:t>
      </w:r>
    </w:p>
    <w:p w:rsidR="00487101" w:rsidRPr="00A94A50" w:rsidRDefault="00487101" w:rsidP="00692526">
      <w:pPr>
        <w:tabs>
          <w:tab w:val="right" w:pos="4680"/>
        </w:tabs>
        <w:rPr>
          <w:highlight w:val="yellow"/>
        </w:rPr>
      </w:pPr>
    </w:p>
    <w:p w:rsidR="00487101" w:rsidRPr="00500977" w:rsidRDefault="00487101" w:rsidP="00692526">
      <w:pPr>
        <w:tabs>
          <w:tab w:val="right" w:pos="4680"/>
        </w:tabs>
        <w:rPr>
          <w:u w:val="single"/>
        </w:rPr>
      </w:pPr>
      <w:r w:rsidRPr="00500977">
        <w:lastRenderedPageBreak/>
        <w:t xml:space="preserve">[3] </w:t>
      </w:r>
      <w:r w:rsidR="0027700D" w:rsidRPr="00500977">
        <w:rPr>
          <w:u w:val="single"/>
        </w:rPr>
        <w:t>Change</w:t>
      </w:r>
      <w:r w:rsidR="008F664B" w:rsidRPr="00500977">
        <w:rPr>
          <w:u w:val="single"/>
        </w:rPr>
        <w:t xml:space="preserve"> in</w:t>
      </w:r>
      <w:r w:rsidRPr="00500977">
        <w:rPr>
          <w:u w:val="single"/>
        </w:rPr>
        <w:t xml:space="preserve"> </w:t>
      </w:r>
      <w:r w:rsidR="00D11E93" w:rsidRPr="00500977">
        <w:rPr>
          <w:u w:val="single"/>
        </w:rPr>
        <w:t>b</w:t>
      </w:r>
      <w:r w:rsidRPr="00500977">
        <w:rPr>
          <w:u w:val="single"/>
        </w:rPr>
        <w:t>urden</w:t>
      </w:r>
    </w:p>
    <w:p w:rsidR="00487101" w:rsidRPr="00500977" w:rsidRDefault="00487101" w:rsidP="00692526">
      <w:pPr>
        <w:tabs>
          <w:tab w:val="right" w:pos="4680"/>
        </w:tabs>
      </w:pPr>
    </w:p>
    <w:p w:rsidR="00583230" w:rsidRPr="00500977" w:rsidRDefault="00583230" w:rsidP="0055357F">
      <w:pPr>
        <w:tabs>
          <w:tab w:val="right" w:pos="4680"/>
        </w:tabs>
      </w:pPr>
      <w:r w:rsidRPr="00500977">
        <w:t>BURDEN HOURS</w:t>
      </w:r>
      <w:r w:rsidRPr="00500977">
        <w:tab/>
      </w:r>
      <w:r w:rsidR="0055357F">
        <w:t>-11,203</w:t>
      </w:r>
      <w:r w:rsidR="00500977" w:rsidRPr="00500977">
        <w:t xml:space="preserve"> </w:t>
      </w:r>
      <w:r w:rsidR="0055357F">
        <w:t xml:space="preserve">           </w:t>
      </w:r>
    </w:p>
    <w:p w:rsidR="00583230" w:rsidRPr="00500977" w:rsidRDefault="00583230" w:rsidP="00583230">
      <w:pPr>
        <w:tabs>
          <w:tab w:val="right" w:pos="4680"/>
        </w:tabs>
      </w:pPr>
      <w:r w:rsidRPr="00500977">
        <w:t>LABOR COST</w:t>
      </w:r>
      <w:r w:rsidRPr="00500977">
        <w:tab/>
      </w:r>
      <w:r w:rsidR="0055357F">
        <w:t>-</w:t>
      </w:r>
      <w:r w:rsidR="008179D2" w:rsidRPr="00500977">
        <w:t>$</w:t>
      </w:r>
      <w:r w:rsidR="0055357F">
        <w:t>696,334</w:t>
      </w:r>
    </w:p>
    <w:p w:rsidR="00583230" w:rsidRPr="00500977" w:rsidRDefault="00583230" w:rsidP="00583230">
      <w:pPr>
        <w:tabs>
          <w:tab w:val="right" w:pos="4680"/>
        </w:tabs>
      </w:pPr>
      <w:r w:rsidRPr="00500977">
        <w:t>OPERATING COST</w:t>
      </w:r>
      <w:r w:rsidRPr="00500977">
        <w:tab/>
      </w:r>
      <w:r w:rsidR="0055357F">
        <w:t>-</w:t>
      </w:r>
      <w:r w:rsidRPr="00500977">
        <w:t>$</w:t>
      </w:r>
      <w:r w:rsidR="0055357F">
        <w:t>80,920</w:t>
      </w:r>
    </w:p>
    <w:p w:rsidR="00583230" w:rsidRPr="00500977" w:rsidRDefault="00583230" w:rsidP="00583230">
      <w:pPr>
        <w:tabs>
          <w:tab w:val="right" w:pos="4680"/>
        </w:tabs>
      </w:pPr>
      <w:r w:rsidRPr="00500977">
        <w:t>CAPITALIZED COST</w:t>
      </w:r>
      <w:r w:rsidRPr="00500977">
        <w:tab/>
      </w:r>
      <w:r w:rsidR="0055357F">
        <w:t>-</w:t>
      </w:r>
      <w:r w:rsidR="008179D2" w:rsidRPr="00500977">
        <w:t>$</w:t>
      </w:r>
      <w:r w:rsidR="00500977" w:rsidRPr="00500977">
        <w:t>8,</w:t>
      </w:r>
      <w:r w:rsidR="0055357F">
        <w:t>201</w:t>
      </w:r>
    </w:p>
    <w:p w:rsidR="00583230" w:rsidRPr="00500977" w:rsidRDefault="00C25527" w:rsidP="00583230">
      <w:pPr>
        <w:tabs>
          <w:tab w:val="right" w:pos="4680"/>
        </w:tabs>
      </w:pPr>
      <w:r>
        <w:t>TOTAL NON-LABOR COST</w:t>
      </w:r>
      <w:r>
        <w:tab/>
        <w:t>-$89,103</w:t>
      </w:r>
    </w:p>
    <w:p w:rsidR="006970B1" w:rsidRPr="00500977" w:rsidRDefault="006970B1" w:rsidP="00583230">
      <w:pPr>
        <w:tabs>
          <w:tab w:val="right" w:pos="4680"/>
        </w:tabs>
      </w:pPr>
    </w:p>
    <w:p w:rsidR="006970B1" w:rsidRPr="00500977" w:rsidRDefault="006970B1" w:rsidP="00583230">
      <w:pPr>
        <w:tabs>
          <w:tab w:val="right" w:pos="4680"/>
        </w:tabs>
      </w:pPr>
      <w:r w:rsidRPr="00500977">
        <w:t xml:space="preserve">[4] </w:t>
      </w:r>
      <w:r w:rsidRPr="00500977">
        <w:rPr>
          <w:u w:val="single"/>
        </w:rPr>
        <w:t>Reduc</w:t>
      </w:r>
      <w:r w:rsidR="00D11E93" w:rsidRPr="00500977">
        <w:rPr>
          <w:u w:val="single"/>
        </w:rPr>
        <w:t>tion in</w:t>
      </w:r>
      <w:r w:rsidRPr="00500977">
        <w:rPr>
          <w:u w:val="single"/>
        </w:rPr>
        <w:t xml:space="preserve"> </w:t>
      </w:r>
      <w:r w:rsidR="00D11E93" w:rsidRPr="00500977">
        <w:rPr>
          <w:u w:val="single"/>
        </w:rPr>
        <w:t>b</w:t>
      </w:r>
      <w:r w:rsidRPr="00500977">
        <w:rPr>
          <w:u w:val="single"/>
        </w:rPr>
        <w:t xml:space="preserve">urden applied to </w:t>
      </w:r>
      <w:r w:rsidR="00500977" w:rsidRPr="00500977">
        <w:rPr>
          <w:u w:val="single"/>
        </w:rPr>
        <w:t>50 families without final rule changes</w:t>
      </w:r>
    </w:p>
    <w:p w:rsidR="00583230" w:rsidRPr="00500977" w:rsidRDefault="00583230" w:rsidP="00692526">
      <w:pPr>
        <w:tabs>
          <w:tab w:val="right" w:pos="4680"/>
        </w:tabs>
      </w:pPr>
    </w:p>
    <w:p w:rsidR="006970B1" w:rsidRPr="00500977" w:rsidRDefault="006970B1" w:rsidP="006970B1">
      <w:pPr>
        <w:tabs>
          <w:tab w:val="right" w:pos="4680"/>
        </w:tabs>
      </w:pPr>
      <w:r w:rsidRPr="00500977">
        <w:t>BURDEN HOURS</w:t>
      </w:r>
      <w:r w:rsidRPr="00500977">
        <w:tab/>
      </w:r>
      <w:r w:rsidR="00D00AA0" w:rsidRPr="00500977">
        <w:t>-</w:t>
      </w:r>
      <w:r w:rsidR="00500977" w:rsidRPr="00500977">
        <w:t>23,267</w:t>
      </w:r>
    </w:p>
    <w:p w:rsidR="006970B1" w:rsidRPr="00500977" w:rsidRDefault="006970B1" w:rsidP="006970B1">
      <w:pPr>
        <w:tabs>
          <w:tab w:val="right" w:pos="4680"/>
        </w:tabs>
      </w:pPr>
      <w:r w:rsidRPr="00500977">
        <w:t>LABOR COST</w:t>
      </w:r>
      <w:r w:rsidRPr="00500977">
        <w:tab/>
      </w:r>
      <w:r w:rsidR="00D00AA0" w:rsidRPr="00500977">
        <w:t>-$</w:t>
      </w:r>
      <w:r w:rsidR="00500977" w:rsidRPr="00500977">
        <w:t>1,408,994</w:t>
      </w:r>
    </w:p>
    <w:p w:rsidR="00D00AA0" w:rsidRPr="00500977" w:rsidRDefault="006970B1" w:rsidP="006970B1">
      <w:pPr>
        <w:tabs>
          <w:tab w:val="right" w:pos="4680"/>
        </w:tabs>
      </w:pPr>
      <w:r w:rsidRPr="00500977">
        <w:t>OPERATING COST</w:t>
      </w:r>
      <w:r w:rsidRPr="00500977">
        <w:tab/>
      </w:r>
      <w:r w:rsidR="00D00AA0" w:rsidRPr="00500977">
        <w:t>-$</w:t>
      </w:r>
      <w:r w:rsidR="00500977" w:rsidRPr="00500977">
        <w:t>174,845</w:t>
      </w:r>
    </w:p>
    <w:p w:rsidR="006970B1" w:rsidRPr="00500977" w:rsidRDefault="006970B1" w:rsidP="006970B1">
      <w:pPr>
        <w:tabs>
          <w:tab w:val="right" w:pos="4680"/>
        </w:tabs>
      </w:pPr>
      <w:r w:rsidRPr="00500977">
        <w:t>CAPITALIZED COST</w:t>
      </w:r>
      <w:r w:rsidRPr="00500977">
        <w:tab/>
        <w:t>-$</w:t>
      </w:r>
      <w:r w:rsidR="00500977" w:rsidRPr="00500977">
        <w:t>20,890</w:t>
      </w:r>
    </w:p>
    <w:p w:rsidR="006970B1" w:rsidRDefault="006970B1" w:rsidP="006970B1">
      <w:pPr>
        <w:tabs>
          <w:tab w:val="right" w:pos="4680"/>
        </w:tabs>
      </w:pPr>
      <w:r w:rsidRPr="00500977">
        <w:t>TOTAL NON-LABOR COST</w:t>
      </w:r>
      <w:r w:rsidRPr="00500977">
        <w:tab/>
        <w:t>-$</w:t>
      </w:r>
      <w:r w:rsidR="00500977" w:rsidRPr="00500977">
        <w:t>195,735</w:t>
      </w:r>
    </w:p>
    <w:p w:rsidR="00487101" w:rsidRDefault="00487101" w:rsidP="00692526">
      <w:pPr>
        <w:tabs>
          <w:tab w:val="right" w:pos="4680"/>
        </w:tabs>
      </w:pPr>
    </w:p>
    <w:p w:rsidR="0013395B" w:rsidRDefault="0013395B" w:rsidP="00692526">
      <w:pPr>
        <w:tabs>
          <w:tab w:val="right" w:pos="4680"/>
        </w:tabs>
      </w:pPr>
    </w:p>
    <w:p w:rsidR="0013395B" w:rsidRDefault="0013395B" w:rsidP="00692526">
      <w:pPr>
        <w:tabs>
          <w:tab w:val="right" w:pos="4680"/>
        </w:tabs>
        <w:rPr>
          <w:u w:val="single"/>
        </w:rPr>
      </w:pPr>
      <w:r>
        <w:t>(</w:t>
      </w:r>
      <w:proofErr w:type="gramStart"/>
      <w:r>
        <w:t>ii</w:t>
      </w:r>
      <w:proofErr w:type="gramEnd"/>
      <w:r>
        <w:t xml:space="preserve">)  </w:t>
      </w:r>
      <w:r w:rsidRPr="0013395B">
        <w:rPr>
          <w:u w:val="single"/>
        </w:rPr>
        <w:t>Agency Tally</w:t>
      </w:r>
    </w:p>
    <w:p w:rsidR="0013395B" w:rsidRDefault="0013395B" w:rsidP="00692526">
      <w:pPr>
        <w:tabs>
          <w:tab w:val="right" w:pos="4680"/>
        </w:tabs>
        <w:rPr>
          <w:u w:val="single"/>
        </w:rPr>
      </w:pPr>
    </w:p>
    <w:p w:rsidR="00022D16" w:rsidRPr="00E16516" w:rsidRDefault="00022D16" w:rsidP="00022D16">
      <w:pPr>
        <w:tabs>
          <w:tab w:val="right" w:pos="4680"/>
        </w:tabs>
      </w:pPr>
      <w:r w:rsidRPr="00E16516">
        <w:t>EMPLOYEES</w:t>
      </w:r>
      <w:r w:rsidRPr="00E16516">
        <w:tab/>
        <w:t>47.5</w:t>
      </w:r>
    </w:p>
    <w:p w:rsidR="00022D16" w:rsidRPr="00E16516" w:rsidRDefault="00022D16" w:rsidP="00022D16">
      <w:pPr>
        <w:tabs>
          <w:tab w:val="right" w:pos="4680"/>
        </w:tabs>
      </w:pPr>
      <w:r w:rsidRPr="00E16516">
        <w:t>CONTRACT LABOR COST</w:t>
      </w:r>
      <w:r w:rsidRPr="00E16516">
        <w:tab/>
        <w:t>$0.27 million</w:t>
      </w:r>
    </w:p>
    <w:p w:rsidR="00022D16" w:rsidRPr="00E16516" w:rsidRDefault="00022D16" w:rsidP="00022D16">
      <w:pPr>
        <w:tabs>
          <w:tab w:val="right" w:pos="4680"/>
        </w:tabs>
      </w:pPr>
      <w:r w:rsidRPr="00E16516">
        <w:t>COST</w:t>
      </w:r>
      <w:r w:rsidRPr="00E16516">
        <w:tab/>
        <w:t>$</w:t>
      </w:r>
      <w:proofErr w:type="gramStart"/>
      <w:r w:rsidRPr="00E16516">
        <w:t>11.1  million</w:t>
      </w:r>
      <w:proofErr w:type="gramEnd"/>
    </w:p>
    <w:p w:rsidR="00C65924" w:rsidRDefault="00C65924" w:rsidP="00692526">
      <w:pPr>
        <w:tabs>
          <w:tab w:val="right" w:pos="4680"/>
        </w:tabs>
      </w:pPr>
    </w:p>
    <w:p w:rsidR="00C65924" w:rsidRDefault="00C65924" w:rsidP="00692526">
      <w:pPr>
        <w:tabs>
          <w:tab w:val="right" w:pos="4680"/>
        </w:tabs>
      </w:pPr>
      <w:r>
        <w:t xml:space="preserve">6(f) </w:t>
      </w:r>
      <w:r w:rsidRPr="00C65924">
        <w:rPr>
          <w:u w:val="single"/>
        </w:rPr>
        <w:t>Reasons for change in burden</w:t>
      </w:r>
    </w:p>
    <w:p w:rsidR="00C65924" w:rsidRPr="007146CE" w:rsidRDefault="00C65924" w:rsidP="007146CE">
      <w:pPr>
        <w:pStyle w:val="Style6"/>
        <w:jc w:val="left"/>
        <w:rPr>
          <w:spacing w:val="6"/>
        </w:rPr>
      </w:pPr>
    </w:p>
    <w:p w:rsidR="005014EE" w:rsidRDefault="002A64DB" w:rsidP="00D7377C">
      <w:pPr>
        <w:pStyle w:val="Style6"/>
        <w:jc w:val="left"/>
        <w:rPr>
          <w:spacing w:val="6"/>
        </w:rPr>
      </w:pPr>
      <w:r>
        <w:rPr>
          <w:spacing w:val="6"/>
        </w:rPr>
        <w:tab/>
      </w:r>
      <w:r w:rsidR="005014EE">
        <w:rPr>
          <w:spacing w:val="6"/>
        </w:rPr>
        <w:t xml:space="preserve">The burden </w:t>
      </w:r>
      <w:r w:rsidR="000367F3">
        <w:rPr>
          <w:spacing w:val="6"/>
        </w:rPr>
        <w:t xml:space="preserve">change </w:t>
      </w:r>
      <w:r w:rsidR="00022D16">
        <w:rPr>
          <w:spacing w:val="6"/>
        </w:rPr>
        <w:t>is from changes in the baseline number of test groups</w:t>
      </w:r>
      <w:r w:rsidR="00C25527">
        <w:rPr>
          <w:spacing w:val="6"/>
        </w:rPr>
        <w:t>, a reduction in the number of test groups after accounting for this baseline change,</w:t>
      </w:r>
      <w:r w:rsidR="00022D16">
        <w:rPr>
          <w:spacing w:val="6"/>
        </w:rPr>
        <w:t xml:space="preserve"> and reductions in the </w:t>
      </w:r>
      <w:r w:rsidR="009D6698">
        <w:rPr>
          <w:spacing w:val="6"/>
        </w:rPr>
        <w:t>capital and operations and maintenance c</w:t>
      </w:r>
      <w:r w:rsidR="005014EE">
        <w:rPr>
          <w:spacing w:val="6"/>
        </w:rPr>
        <w:t xml:space="preserve">osts </w:t>
      </w:r>
      <w:r w:rsidR="009D6698">
        <w:rPr>
          <w:spacing w:val="6"/>
        </w:rPr>
        <w:t xml:space="preserve">and labor hours </w:t>
      </w:r>
      <w:r w:rsidR="005014EE">
        <w:rPr>
          <w:spacing w:val="6"/>
        </w:rPr>
        <w:t>associated with implementing the new program</w:t>
      </w:r>
      <w:r w:rsidR="000367F3">
        <w:rPr>
          <w:spacing w:val="6"/>
        </w:rPr>
        <w:t>s detai</w:t>
      </w:r>
      <w:r w:rsidR="009D6698">
        <w:rPr>
          <w:spacing w:val="6"/>
        </w:rPr>
        <w:t xml:space="preserve">led </w:t>
      </w:r>
      <w:r w:rsidR="00C25527">
        <w:rPr>
          <w:spacing w:val="6"/>
        </w:rPr>
        <w:t>above</w:t>
      </w:r>
      <w:r w:rsidR="00022D16">
        <w:rPr>
          <w:spacing w:val="6"/>
        </w:rPr>
        <w:t>.</w:t>
      </w:r>
    </w:p>
    <w:p w:rsidR="005014EE" w:rsidRPr="005014EE" w:rsidRDefault="005014EE" w:rsidP="00D7377C">
      <w:pPr>
        <w:pStyle w:val="Style6"/>
        <w:jc w:val="left"/>
        <w:rPr>
          <w:spacing w:val="6"/>
        </w:rPr>
      </w:pPr>
    </w:p>
    <w:p w:rsidR="00C65924" w:rsidRDefault="00C65924" w:rsidP="00D7377C">
      <w:pPr>
        <w:pStyle w:val="Style5"/>
        <w:adjustRightInd/>
        <w:rPr>
          <w:spacing w:val="6"/>
        </w:rPr>
      </w:pPr>
      <w:r>
        <w:rPr>
          <w:spacing w:val="6"/>
        </w:rPr>
        <w:t xml:space="preserve">6(g) </w:t>
      </w:r>
      <w:r w:rsidRPr="00C65924">
        <w:rPr>
          <w:spacing w:val="6"/>
          <w:u w:val="single"/>
        </w:rPr>
        <w:t>Burden Statement</w:t>
      </w:r>
    </w:p>
    <w:p w:rsidR="00C65924" w:rsidRPr="005379F3" w:rsidRDefault="00C65924" w:rsidP="00D7377C">
      <w:pPr>
        <w:pStyle w:val="Style5"/>
        <w:adjustRightInd/>
        <w:rPr>
          <w:spacing w:val="6"/>
        </w:rPr>
      </w:pPr>
    </w:p>
    <w:p w:rsidR="00832233" w:rsidRPr="0064573A" w:rsidRDefault="002A64DB" w:rsidP="00D7377C">
      <w:pPr>
        <w:pStyle w:val="Style6"/>
        <w:jc w:val="left"/>
        <w:rPr>
          <w:spacing w:val="6"/>
        </w:rPr>
      </w:pPr>
      <w:r>
        <w:tab/>
      </w:r>
      <w:r w:rsidR="006241D2" w:rsidRPr="0064573A">
        <w:t>The table in Section 6(e</w:t>
      </w:r>
      <w:proofErr w:type="gramStart"/>
      <w:r w:rsidR="00832233" w:rsidRPr="0064573A">
        <w:t>)</w:t>
      </w:r>
      <w:r w:rsidR="00022D16">
        <w:t>(</w:t>
      </w:r>
      <w:proofErr w:type="spellStart"/>
      <w:proofErr w:type="gramEnd"/>
      <w:r w:rsidR="00DD0047">
        <w:t>i</w:t>
      </w:r>
      <w:proofErr w:type="spellEnd"/>
      <w:r w:rsidR="00022D16">
        <w:t>)[b]</w:t>
      </w:r>
      <w:r w:rsidR="00BE635C">
        <w:t>[2]</w:t>
      </w:r>
      <w:r w:rsidR="00832233" w:rsidRPr="0064573A">
        <w:t xml:space="preserve"> presents the total estimated burden </w:t>
      </w:r>
      <w:r w:rsidR="00022D16">
        <w:t xml:space="preserve">for the alternative fuels conversion </w:t>
      </w:r>
      <w:r w:rsidR="00673A7E">
        <w:t>light-duty</w:t>
      </w:r>
      <w:r w:rsidR="00022D16">
        <w:t xml:space="preserve"> program after </w:t>
      </w:r>
      <w:r w:rsidR="00832233" w:rsidRPr="0064573A">
        <w:t xml:space="preserve">the </w:t>
      </w:r>
      <w:r w:rsidR="00C25527">
        <w:t>final</w:t>
      </w:r>
      <w:r w:rsidR="005014EE" w:rsidRPr="0064573A">
        <w:t xml:space="preserve"> rule</w:t>
      </w:r>
      <w:r w:rsidR="00832233" w:rsidRPr="001A34B4">
        <w:t xml:space="preserve">. </w:t>
      </w:r>
      <w:r w:rsidR="00022D16" w:rsidRPr="001A34B4">
        <w:t xml:space="preserve">These represent a savings of </w:t>
      </w:r>
      <w:r w:rsidR="00C25527" w:rsidRPr="001A34B4">
        <w:t>11,203</w:t>
      </w:r>
      <w:r w:rsidR="00022D16" w:rsidRPr="001A34B4">
        <w:t xml:space="preserve"> hours and $</w:t>
      </w:r>
      <w:r w:rsidR="00C25527" w:rsidRPr="001A34B4">
        <w:t>89,103</w:t>
      </w:r>
      <w:r w:rsidR="00022D16" w:rsidRPr="001A34B4">
        <w:t xml:space="preserve"> over the existing alternative fuels </w:t>
      </w:r>
      <w:r w:rsidR="00673A7E" w:rsidRPr="001A34B4">
        <w:t>light-duty</w:t>
      </w:r>
      <w:r w:rsidR="00022D16" w:rsidRPr="001A34B4">
        <w:t xml:space="preserve"> baseline</w:t>
      </w:r>
      <w:r w:rsidR="00C25527" w:rsidRPr="001A34B4">
        <w:t>, notwithstanding application of program costs to an increased number of manufacturers and test groups</w:t>
      </w:r>
      <w:r w:rsidR="00022D16" w:rsidRPr="001A34B4">
        <w:t>.</w:t>
      </w:r>
      <w:r w:rsidR="00022D16">
        <w:t xml:space="preserve"> </w:t>
      </w:r>
      <w:r w:rsidR="0064573A" w:rsidRPr="0064573A">
        <w:rPr>
          <w:spacing w:val="6"/>
        </w:rPr>
        <w:t xml:space="preserve">The annual costs and hours for information collection activities by a given manufacturer under any of the options in this proposed rule depend upon manufacturer-specific variables, such as the number of different test groups and the number of vehicles tested. </w:t>
      </w:r>
      <w:r w:rsidR="00FC2D25">
        <w:rPr>
          <w:spacing w:val="6"/>
        </w:rPr>
        <w:t xml:space="preserve"> </w:t>
      </w:r>
      <w:r w:rsidR="0064573A" w:rsidRPr="0064573A">
        <w:rPr>
          <w:spacing w:val="6"/>
        </w:rPr>
        <w:t xml:space="preserve">The estimated number of likely respondent manufacturers is </w:t>
      </w:r>
      <w:r w:rsidR="00A94A50">
        <w:rPr>
          <w:spacing w:val="6"/>
        </w:rPr>
        <w:t>8</w:t>
      </w:r>
      <w:r w:rsidR="0064573A" w:rsidRPr="0064573A">
        <w:rPr>
          <w:spacing w:val="6"/>
        </w:rPr>
        <w:t xml:space="preserve">. </w:t>
      </w:r>
      <w:r w:rsidR="00FC2D25">
        <w:rPr>
          <w:spacing w:val="6"/>
        </w:rPr>
        <w:t xml:space="preserve"> </w:t>
      </w:r>
      <w:r w:rsidR="0064573A" w:rsidRPr="0064573A">
        <w:rPr>
          <w:spacing w:val="6"/>
        </w:rPr>
        <w:t xml:space="preserve">The responses will be submitted annually </w:t>
      </w:r>
      <w:r w:rsidR="006E32D5">
        <w:rPr>
          <w:spacing w:val="6"/>
        </w:rPr>
        <w:t xml:space="preserve">and occasionally </w:t>
      </w:r>
      <w:r w:rsidR="0064573A" w:rsidRPr="0064573A">
        <w:rPr>
          <w:spacing w:val="6"/>
        </w:rPr>
        <w:t xml:space="preserve">as a part of the existing EPA certification </w:t>
      </w:r>
      <w:r w:rsidR="009D6698">
        <w:rPr>
          <w:spacing w:val="6"/>
        </w:rPr>
        <w:t>program</w:t>
      </w:r>
      <w:r w:rsidR="0064573A" w:rsidRPr="0064573A">
        <w:rPr>
          <w:spacing w:val="6"/>
        </w:rPr>
        <w:t xml:space="preserve">.  </w:t>
      </w:r>
    </w:p>
    <w:p w:rsidR="00C65924" w:rsidRPr="005379F3" w:rsidRDefault="00C65924" w:rsidP="00692526">
      <w:pPr>
        <w:pStyle w:val="Style6"/>
        <w:jc w:val="left"/>
        <w:rPr>
          <w:spacing w:val="6"/>
        </w:rPr>
      </w:pPr>
    </w:p>
    <w:p w:rsidR="00832233" w:rsidRDefault="002A64DB" w:rsidP="00E4121A">
      <w:pPr>
        <w:pStyle w:val="Style6"/>
        <w:jc w:val="left"/>
        <w:rPr>
          <w:spacing w:val="6"/>
        </w:rPr>
      </w:pPr>
      <w:r>
        <w:rPr>
          <w:spacing w:val="6"/>
        </w:rPr>
        <w:tab/>
      </w:r>
      <w:r w:rsidR="00832233" w:rsidRPr="00E4121A">
        <w:rPr>
          <w:spacing w:val="6"/>
        </w:rPr>
        <w:t xml:space="preserve">Burden means the total time, effort, or financial resources expended by persons to generate, maintain, retain, or disclose or provide information to or for a Federal agency. </w:t>
      </w:r>
      <w:r w:rsidR="00FC2D25">
        <w:rPr>
          <w:spacing w:val="6"/>
        </w:rPr>
        <w:t xml:space="preserve"> </w:t>
      </w:r>
      <w:r w:rsidR="00832233" w:rsidRPr="00E4121A">
        <w:rPr>
          <w:spacing w:val="6"/>
        </w:rPr>
        <w:t xml:space="preserve">This includes the time needed to review instructions; develop, acquire, install, and utilize technology and systems for the purposes of collecting, validating, and verifying </w:t>
      </w:r>
      <w:r w:rsidR="00832233" w:rsidRPr="00E4121A">
        <w:rPr>
          <w:spacing w:val="6"/>
        </w:rPr>
        <w:lastRenderedPageBreak/>
        <w:t xml:space="preserve">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r w:rsidR="00FC2D25">
        <w:rPr>
          <w:spacing w:val="6"/>
        </w:rPr>
        <w:t xml:space="preserve"> </w:t>
      </w:r>
      <w:r w:rsidR="00832233" w:rsidRPr="00E4121A">
        <w:rPr>
          <w:spacing w:val="6"/>
        </w:rPr>
        <w:t xml:space="preserve">An agency may not conduct or sponsor, and a person is not required to respond to, a collection of information unless it displays a currently valid OMB control number. </w:t>
      </w:r>
      <w:r w:rsidR="00FC2D25">
        <w:rPr>
          <w:spacing w:val="6"/>
        </w:rPr>
        <w:t xml:space="preserve"> </w:t>
      </w:r>
      <w:r w:rsidR="00832233" w:rsidRPr="00E4121A">
        <w:rPr>
          <w:spacing w:val="6"/>
        </w:rPr>
        <w:t>The OMB control numbers for EPA</w:t>
      </w:r>
      <w:r w:rsidR="00EF655F" w:rsidRPr="00E4121A">
        <w:rPr>
          <w:spacing w:val="6"/>
        </w:rPr>
        <w:t>’</w:t>
      </w:r>
      <w:r w:rsidR="00832233" w:rsidRPr="00E4121A">
        <w:rPr>
          <w:spacing w:val="6"/>
        </w:rPr>
        <w:t>s regulations are listed in 40 CFR Part 9</w:t>
      </w:r>
      <w:r w:rsidR="00451C3C">
        <w:rPr>
          <w:spacing w:val="6"/>
        </w:rPr>
        <w:t>.</w:t>
      </w:r>
    </w:p>
    <w:p w:rsidR="001C5C76" w:rsidRDefault="001C5C76" w:rsidP="00E4121A">
      <w:pPr>
        <w:pStyle w:val="Style6"/>
        <w:jc w:val="left"/>
        <w:rPr>
          <w:spacing w:val="6"/>
        </w:rPr>
      </w:pPr>
    </w:p>
    <w:p w:rsidR="000D326D" w:rsidRDefault="002A64DB" w:rsidP="006273F9">
      <w:pPr>
        <w:pStyle w:val="Style6"/>
        <w:jc w:val="left"/>
        <w:rPr>
          <w:spacing w:val="6"/>
        </w:rPr>
      </w:pPr>
      <w:r>
        <w:rPr>
          <w:spacing w:val="6"/>
        </w:rPr>
        <w:tab/>
      </w:r>
      <w:r w:rsidR="001C5C76" w:rsidRPr="001C5C76">
        <w:rPr>
          <w:spacing w:val="6"/>
        </w:rPr>
        <w:t>To comment on the Agency's need for this information, the accuracy of the provided burden estimates, and any suggested methods for minimizing respondent burden, including the use of automated collection techniques, EPA has established a public docket for this rule, which includes th</w:t>
      </w:r>
      <w:r w:rsidR="001C5C76">
        <w:rPr>
          <w:spacing w:val="6"/>
        </w:rPr>
        <w:t>i</w:t>
      </w:r>
      <w:r w:rsidR="001C5C76" w:rsidRPr="001C5C76">
        <w:rPr>
          <w:spacing w:val="6"/>
        </w:rPr>
        <w:t>s ICR, under Docket ID number EPA-HQ-OAR-200</w:t>
      </w:r>
      <w:r w:rsidR="0070498A">
        <w:rPr>
          <w:spacing w:val="6"/>
        </w:rPr>
        <w:t>9</w:t>
      </w:r>
      <w:r w:rsidR="001C5C76" w:rsidRPr="001C5C76">
        <w:rPr>
          <w:spacing w:val="6"/>
        </w:rPr>
        <w:t>-</w:t>
      </w:r>
      <w:r w:rsidR="0070498A">
        <w:rPr>
          <w:spacing w:val="6"/>
        </w:rPr>
        <w:t>0299</w:t>
      </w:r>
      <w:r w:rsidR="006273F9">
        <w:rPr>
          <w:spacing w:val="6"/>
        </w:rPr>
        <w:t xml:space="preserve">, </w:t>
      </w:r>
      <w:r w:rsidR="006273F9">
        <w:rPr>
          <w:color w:val="0F0F0F"/>
        </w:rPr>
        <w:t xml:space="preserve">which is available for online viewing at </w:t>
      </w:r>
      <w:hyperlink r:id="rId9" w:history="1">
        <w:r w:rsidR="006273F9" w:rsidRPr="00C968CF">
          <w:rPr>
            <w:rStyle w:val="Hyperlink"/>
          </w:rPr>
          <w:t>www.regulations.gov</w:t>
        </w:r>
      </w:hyperlink>
      <w:r w:rsidR="006273F9">
        <w:rPr>
          <w:color w:val="0F0F0F"/>
        </w:rPr>
        <w:t>, or in person viewing at the Air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w:t>
      </w:r>
      <w:r w:rsidR="006273F9">
        <w:rPr>
          <w:rFonts w:ascii="Courier New" w:hAnsi="Courier New" w:cs="Courier New"/>
          <w:color w:val="0F0F0F"/>
        </w:rPr>
        <w:t xml:space="preserve"> </w:t>
      </w:r>
      <w:r w:rsidR="006273F9">
        <w:rPr>
          <w:color w:val="0F0F0F"/>
        </w:rPr>
        <w:t>Number EPA-HQ-OAR-2009-0299 and OMB Control Number 2060-0104 in any correspondence.</w:t>
      </w:r>
    </w:p>
    <w:p w:rsidR="00391B71" w:rsidRDefault="00391B71" w:rsidP="00391B71">
      <w:pPr>
        <w:tabs>
          <w:tab w:val="left" w:pos="2808"/>
        </w:tabs>
        <w:spacing w:line="516" w:lineRule="atLeast"/>
      </w:pPr>
    </w:p>
    <w:sectPr w:rsidR="00391B71" w:rsidSect="006262C8">
      <w:pgSz w:w="12240" w:h="15840" w:code="1"/>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C8C" w:rsidRDefault="005C7C8C">
      <w:r>
        <w:separator/>
      </w:r>
    </w:p>
  </w:endnote>
  <w:endnote w:type="continuationSeparator" w:id="0">
    <w:p w:rsidR="005C7C8C" w:rsidRDefault="005C7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87" w:rsidRDefault="00E16C87" w:rsidP="004E75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16C87" w:rsidRDefault="00E16C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C87" w:rsidRDefault="00E16C87" w:rsidP="000246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73F9">
      <w:rPr>
        <w:rStyle w:val="PageNumber"/>
        <w:noProof/>
      </w:rPr>
      <w:t>14</w:t>
    </w:r>
    <w:r>
      <w:rPr>
        <w:rStyle w:val="PageNumber"/>
      </w:rPr>
      <w:fldChar w:fldCharType="end"/>
    </w:r>
  </w:p>
  <w:p w:rsidR="00E16C87" w:rsidRDefault="00E16C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C8C" w:rsidRDefault="005C7C8C">
      <w:r>
        <w:separator/>
      </w:r>
    </w:p>
  </w:footnote>
  <w:footnote w:type="continuationSeparator" w:id="0">
    <w:p w:rsidR="005C7C8C" w:rsidRDefault="005C7C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C2AC"/>
    <w:multiLevelType w:val="singleLevel"/>
    <w:tmpl w:val="50B0D42C"/>
    <w:lvl w:ilvl="0">
      <w:start w:val="1"/>
      <w:numFmt w:val="lowerRoman"/>
      <w:lvlText w:val="(%1)"/>
      <w:lvlJc w:val="left"/>
      <w:pPr>
        <w:tabs>
          <w:tab w:val="num" w:pos="288"/>
        </w:tabs>
      </w:pPr>
      <w:rPr>
        <w:color w:val="000000"/>
      </w:rPr>
    </w:lvl>
  </w:abstractNum>
  <w:abstractNum w:abstractNumId="1">
    <w:nsid w:val="0843E9F7"/>
    <w:multiLevelType w:val="singleLevel"/>
    <w:tmpl w:val="6E735C16"/>
    <w:lvl w:ilvl="0">
      <w:start w:val="1"/>
      <w:numFmt w:val="lowerLetter"/>
      <w:lvlText w:val="5(%1)"/>
      <w:lvlJc w:val="left"/>
      <w:pPr>
        <w:tabs>
          <w:tab w:val="num" w:pos="504"/>
        </w:tabs>
      </w:pPr>
      <w:rPr>
        <w:color w:val="000000"/>
      </w:rPr>
    </w:lvl>
  </w:abstractNum>
  <w:abstractNum w:abstractNumId="2">
    <w:nsid w:val="160DA15D"/>
    <w:multiLevelType w:val="singleLevel"/>
    <w:tmpl w:val="53359613"/>
    <w:lvl w:ilvl="0">
      <w:start w:val="1"/>
      <w:numFmt w:val="lowerLetter"/>
      <w:lvlText w:val="1(%1)"/>
      <w:lvlJc w:val="left"/>
      <w:pPr>
        <w:tabs>
          <w:tab w:val="num" w:pos="432"/>
        </w:tabs>
      </w:pPr>
      <w:rPr>
        <w:color w:val="000000"/>
      </w:rPr>
    </w:lvl>
  </w:abstractNum>
  <w:abstractNum w:abstractNumId="3">
    <w:nsid w:val="163B7D9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18406840"/>
    <w:multiLevelType w:val="singleLevel"/>
    <w:tmpl w:val="4006DC3E"/>
    <w:lvl w:ilvl="0">
      <w:start w:val="2"/>
      <w:numFmt w:val="lowerLetter"/>
      <w:lvlText w:val="3 (%1)"/>
      <w:lvlJc w:val="left"/>
      <w:pPr>
        <w:tabs>
          <w:tab w:val="num" w:pos="504"/>
        </w:tabs>
      </w:pPr>
      <w:rPr>
        <w:color w:val="000000"/>
      </w:rPr>
    </w:lvl>
  </w:abstractNum>
  <w:abstractNum w:abstractNumId="5">
    <w:nsid w:val="18AA5F76"/>
    <w:multiLevelType w:val="hybridMultilevel"/>
    <w:tmpl w:val="106E90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20F3FF5"/>
    <w:multiLevelType w:val="hybridMultilevel"/>
    <w:tmpl w:val="AC2A71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26320467"/>
    <w:multiLevelType w:val="multilevel"/>
    <w:tmpl w:val="F858D798"/>
    <w:styleLink w:val="Style1"/>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8">
    <w:nsid w:val="2D072CAD"/>
    <w:multiLevelType w:val="hybridMultilevel"/>
    <w:tmpl w:val="6010C09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33644F81"/>
    <w:multiLevelType w:val="hybridMultilevel"/>
    <w:tmpl w:val="96BADA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63B35ED"/>
    <w:multiLevelType w:val="hybridMultilevel"/>
    <w:tmpl w:val="3A0C4C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371A1CCC"/>
    <w:multiLevelType w:val="multilevel"/>
    <w:tmpl w:val="F858D798"/>
    <w:numStyleLink w:val="Style1"/>
  </w:abstractNum>
  <w:abstractNum w:abstractNumId="12">
    <w:nsid w:val="38BE7F64"/>
    <w:multiLevelType w:val="hybridMultilevel"/>
    <w:tmpl w:val="F858D7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3B666A4B"/>
    <w:multiLevelType w:val="hybridMultilevel"/>
    <w:tmpl w:val="02641BE0"/>
    <w:lvl w:ilvl="0" w:tplc="C770CC5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B7945E4"/>
    <w:multiLevelType w:val="hybridMultilevel"/>
    <w:tmpl w:val="101C64C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3F55907E"/>
    <w:multiLevelType w:val="singleLevel"/>
    <w:tmpl w:val="1F6E3D91"/>
    <w:lvl w:ilvl="0">
      <w:start w:val="3"/>
      <w:numFmt w:val="lowerLetter"/>
      <w:lvlText w:val="6(%1)"/>
      <w:lvlJc w:val="left"/>
      <w:pPr>
        <w:tabs>
          <w:tab w:val="num" w:pos="432"/>
        </w:tabs>
      </w:pPr>
      <w:rPr>
        <w:color w:val="000000"/>
      </w:rPr>
    </w:lvl>
  </w:abstractNum>
  <w:abstractNum w:abstractNumId="16">
    <w:nsid w:val="48D13898"/>
    <w:multiLevelType w:val="singleLevel"/>
    <w:tmpl w:val="29F8AFF3"/>
    <w:lvl w:ilvl="0">
      <w:start w:val="6"/>
      <w:numFmt w:val="lowerLetter"/>
      <w:lvlText w:val="6(%1)"/>
      <w:lvlJc w:val="left"/>
      <w:pPr>
        <w:tabs>
          <w:tab w:val="num" w:pos="432"/>
        </w:tabs>
      </w:pPr>
      <w:rPr>
        <w:color w:val="000000"/>
      </w:rPr>
    </w:lvl>
  </w:abstractNum>
  <w:abstractNum w:abstractNumId="17">
    <w:nsid w:val="49C559F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616555B3"/>
    <w:multiLevelType w:val="singleLevel"/>
    <w:tmpl w:val="5611B310"/>
    <w:lvl w:ilvl="0">
      <w:start w:val="3"/>
      <w:numFmt w:val="lowerLetter"/>
      <w:lvlText w:val="5(%1)"/>
      <w:lvlJc w:val="left"/>
      <w:pPr>
        <w:tabs>
          <w:tab w:val="num" w:pos="432"/>
        </w:tabs>
      </w:pPr>
      <w:rPr>
        <w:color w:val="000000"/>
      </w:rPr>
    </w:lvl>
  </w:abstractNum>
  <w:abstractNum w:abstractNumId="19">
    <w:nsid w:val="71FA5D15"/>
    <w:multiLevelType w:val="multilevel"/>
    <w:tmpl w:val="F858D798"/>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0">
    <w:nsid w:val="75FC05F0"/>
    <w:multiLevelType w:val="hybridMultilevel"/>
    <w:tmpl w:val="E9143F5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2"/>
  </w:num>
  <w:num w:numId="2">
    <w:abstractNumId w:val="4"/>
  </w:num>
  <w:num w:numId="3">
    <w:abstractNumId w:val="1"/>
  </w:num>
  <w:num w:numId="4">
    <w:abstractNumId w:val="18"/>
  </w:num>
  <w:num w:numId="5">
    <w:abstractNumId w:val="0"/>
  </w:num>
  <w:num w:numId="6">
    <w:abstractNumId w:val="15"/>
  </w:num>
  <w:num w:numId="7">
    <w:abstractNumId w:val="16"/>
  </w:num>
  <w:num w:numId="8">
    <w:abstractNumId w:val="13"/>
  </w:num>
  <w:num w:numId="9">
    <w:abstractNumId w:val="9"/>
  </w:num>
  <w:num w:numId="10">
    <w:abstractNumId w:val="12"/>
  </w:num>
  <w:num w:numId="11">
    <w:abstractNumId w:val="19"/>
  </w:num>
  <w:num w:numId="12">
    <w:abstractNumId w:val="17"/>
  </w:num>
  <w:num w:numId="13">
    <w:abstractNumId w:val="3"/>
  </w:num>
  <w:num w:numId="14">
    <w:abstractNumId w:val="7"/>
  </w:num>
  <w:num w:numId="15">
    <w:abstractNumId w:val="11"/>
  </w:num>
  <w:num w:numId="16">
    <w:abstractNumId w:val="10"/>
  </w:num>
  <w:num w:numId="17">
    <w:abstractNumId w:val="5"/>
  </w:num>
  <w:num w:numId="18">
    <w:abstractNumId w:val="6"/>
  </w:num>
  <w:num w:numId="19">
    <w:abstractNumId w:val="14"/>
  </w:num>
  <w:num w:numId="20">
    <w:abstractNumId w:val="8"/>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embedSystemFonts/>
  <w:activeWritingStyle w:appName="MSWord" w:lang="en-US" w:vendorID="64" w:dllVersion="131078" w:nlCheck="1" w:checkStyle="1"/>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46DF"/>
    <w:rsid w:val="0000076E"/>
    <w:rsid w:val="00004545"/>
    <w:rsid w:val="00013002"/>
    <w:rsid w:val="000149B8"/>
    <w:rsid w:val="00014FCB"/>
    <w:rsid w:val="000174DA"/>
    <w:rsid w:val="00022C6E"/>
    <w:rsid w:val="00022CDC"/>
    <w:rsid w:val="00022D16"/>
    <w:rsid w:val="00022DE4"/>
    <w:rsid w:val="000246E8"/>
    <w:rsid w:val="0002493C"/>
    <w:rsid w:val="00027242"/>
    <w:rsid w:val="0003210C"/>
    <w:rsid w:val="0003611B"/>
    <w:rsid w:val="000367F3"/>
    <w:rsid w:val="00037055"/>
    <w:rsid w:val="00043D9D"/>
    <w:rsid w:val="0004645F"/>
    <w:rsid w:val="00051027"/>
    <w:rsid w:val="00051ADD"/>
    <w:rsid w:val="000541D1"/>
    <w:rsid w:val="0005583D"/>
    <w:rsid w:val="00056677"/>
    <w:rsid w:val="00057EEA"/>
    <w:rsid w:val="00061363"/>
    <w:rsid w:val="000626C3"/>
    <w:rsid w:val="00062806"/>
    <w:rsid w:val="000654BC"/>
    <w:rsid w:val="000660F5"/>
    <w:rsid w:val="00067C24"/>
    <w:rsid w:val="00074702"/>
    <w:rsid w:val="000808AB"/>
    <w:rsid w:val="0008503B"/>
    <w:rsid w:val="00087EA7"/>
    <w:rsid w:val="000901AF"/>
    <w:rsid w:val="000930A1"/>
    <w:rsid w:val="0009311B"/>
    <w:rsid w:val="00093706"/>
    <w:rsid w:val="00093D40"/>
    <w:rsid w:val="000949F2"/>
    <w:rsid w:val="00097E92"/>
    <w:rsid w:val="000A12E5"/>
    <w:rsid w:val="000A4BBF"/>
    <w:rsid w:val="000A5186"/>
    <w:rsid w:val="000A78CB"/>
    <w:rsid w:val="000B2B47"/>
    <w:rsid w:val="000B5450"/>
    <w:rsid w:val="000C7FEC"/>
    <w:rsid w:val="000D326D"/>
    <w:rsid w:val="000D6B7E"/>
    <w:rsid w:val="000E162E"/>
    <w:rsid w:val="000E24E9"/>
    <w:rsid w:val="000E5E47"/>
    <w:rsid w:val="000E7073"/>
    <w:rsid w:val="000E731D"/>
    <w:rsid w:val="000F072F"/>
    <w:rsid w:val="000F0732"/>
    <w:rsid w:val="000F08B5"/>
    <w:rsid w:val="000F4FEB"/>
    <w:rsid w:val="000F61C2"/>
    <w:rsid w:val="000F6948"/>
    <w:rsid w:val="000F6A26"/>
    <w:rsid w:val="00103E1C"/>
    <w:rsid w:val="0010537A"/>
    <w:rsid w:val="001101A2"/>
    <w:rsid w:val="00110B97"/>
    <w:rsid w:val="00112063"/>
    <w:rsid w:val="001141C8"/>
    <w:rsid w:val="00114B3E"/>
    <w:rsid w:val="00115E30"/>
    <w:rsid w:val="001220AE"/>
    <w:rsid w:val="00123D85"/>
    <w:rsid w:val="001308B8"/>
    <w:rsid w:val="00131044"/>
    <w:rsid w:val="0013395B"/>
    <w:rsid w:val="00135AD1"/>
    <w:rsid w:val="00143188"/>
    <w:rsid w:val="00143E65"/>
    <w:rsid w:val="00147EF7"/>
    <w:rsid w:val="001538D7"/>
    <w:rsid w:val="00153A0E"/>
    <w:rsid w:val="00154DDD"/>
    <w:rsid w:val="00161466"/>
    <w:rsid w:val="001615D0"/>
    <w:rsid w:val="001677D9"/>
    <w:rsid w:val="00167DC3"/>
    <w:rsid w:val="00172EE7"/>
    <w:rsid w:val="001818D0"/>
    <w:rsid w:val="00181FEA"/>
    <w:rsid w:val="00186260"/>
    <w:rsid w:val="0018646B"/>
    <w:rsid w:val="00190028"/>
    <w:rsid w:val="0019232C"/>
    <w:rsid w:val="0019756F"/>
    <w:rsid w:val="001A34B4"/>
    <w:rsid w:val="001A6A91"/>
    <w:rsid w:val="001B0195"/>
    <w:rsid w:val="001B07AB"/>
    <w:rsid w:val="001B56BB"/>
    <w:rsid w:val="001C5C76"/>
    <w:rsid w:val="001D1D15"/>
    <w:rsid w:val="001D680D"/>
    <w:rsid w:val="001E0D55"/>
    <w:rsid w:val="001E183A"/>
    <w:rsid w:val="001E330E"/>
    <w:rsid w:val="001E3B2C"/>
    <w:rsid w:val="001E3F19"/>
    <w:rsid w:val="001E50B3"/>
    <w:rsid w:val="001F288A"/>
    <w:rsid w:val="001F351B"/>
    <w:rsid w:val="00201499"/>
    <w:rsid w:val="00203629"/>
    <w:rsid w:val="00205336"/>
    <w:rsid w:val="0020673A"/>
    <w:rsid w:val="00211278"/>
    <w:rsid w:val="00213D68"/>
    <w:rsid w:val="002169F7"/>
    <w:rsid w:val="00216E85"/>
    <w:rsid w:val="002224D9"/>
    <w:rsid w:val="00224A1E"/>
    <w:rsid w:val="00225E16"/>
    <w:rsid w:val="00225FAC"/>
    <w:rsid w:val="0023069C"/>
    <w:rsid w:val="00230D0F"/>
    <w:rsid w:val="00232A51"/>
    <w:rsid w:val="00233AE3"/>
    <w:rsid w:val="00235B74"/>
    <w:rsid w:val="00236A99"/>
    <w:rsid w:val="00241F11"/>
    <w:rsid w:val="00243DD6"/>
    <w:rsid w:val="00244D11"/>
    <w:rsid w:val="002459FE"/>
    <w:rsid w:val="00250E4E"/>
    <w:rsid w:val="00256C8A"/>
    <w:rsid w:val="0025795D"/>
    <w:rsid w:val="002606B8"/>
    <w:rsid w:val="00266968"/>
    <w:rsid w:val="0027419B"/>
    <w:rsid w:val="00274A06"/>
    <w:rsid w:val="0027670E"/>
    <w:rsid w:val="0027700D"/>
    <w:rsid w:val="00280641"/>
    <w:rsid w:val="00283A45"/>
    <w:rsid w:val="002845BE"/>
    <w:rsid w:val="00291BAD"/>
    <w:rsid w:val="00292119"/>
    <w:rsid w:val="00292A47"/>
    <w:rsid w:val="00293856"/>
    <w:rsid w:val="002A1B9E"/>
    <w:rsid w:val="002A2634"/>
    <w:rsid w:val="002A4BA7"/>
    <w:rsid w:val="002A64DB"/>
    <w:rsid w:val="002B0F43"/>
    <w:rsid w:val="002B402C"/>
    <w:rsid w:val="002B6346"/>
    <w:rsid w:val="002B7B33"/>
    <w:rsid w:val="002C4BEC"/>
    <w:rsid w:val="002D0C21"/>
    <w:rsid w:val="002D7007"/>
    <w:rsid w:val="002E19A2"/>
    <w:rsid w:val="002E4FC5"/>
    <w:rsid w:val="002E5136"/>
    <w:rsid w:val="002E684F"/>
    <w:rsid w:val="002F2A61"/>
    <w:rsid w:val="002F57D8"/>
    <w:rsid w:val="002F6072"/>
    <w:rsid w:val="003032B7"/>
    <w:rsid w:val="0030363D"/>
    <w:rsid w:val="00306E3E"/>
    <w:rsid w:val="00310083"/>
    <w:rsid w:val="003122C3"/>
    <w:rsid w:val="003135AF"/>
    <w:rsid w:val="00317CE8"/>
    <w:rsid w:val="0032235A"/>
    <w:rsid w:val="0032728C"/>
    <w:rsid w:val="003310CA"/>
    <w:rsid w:val="00332996"/>
    <w:rsid w:val="00336E1F"/>
    <w:rsid w:val="0034112A"/>
    <w:rsid w:val="003420D0"/>
    <w:rsid w:val="00347EEF"/>
    <w:rsid w:val="003505A2"/>
    <w:rsid w:val="003554B9"/>
    <w:rsid w:val="00356900"/>
    <w:rsid w:val="00360F7B"/>
    <w:rsid w:val="00362267"/>
    <w:rsid w:val="00363AE7"/>
    <w:rsid w:val="003658D9"/>
    <w:rsid w:val="00365F28"/>
    <w:rsid w:val="00366CAE"/>
    <w:rsid w:val="0036713A"/>
    <w:rsid w:val="00367270"/>
    <w:rsid w:val="003673BF"/>
    <w:rsid w:val="003701C2"/>
    <w:rsid w:val="0037086F"/>
    <w:rsid w:val="00372243"/>
    <w:rsid w:val="00384778"/>
    <w:rsid w:val="00391B71"/>
    <w:rsid w:val="003935C9"/>
    <w:rsid w:val="00395732"/>
    <w:rsid w:val="003A3B8C"/>
    <w:rsid w:val="003A571A"/>
    <w:rsid w:val="003A5C52"/>
    <w:rsid w:val="003B2F96"/>
    <w:rsid w:val="003B5D5B"/>
    <w:rsid w:val="003C1B0D"/>
    <w:rsid w:val="003C2F0A"/>
    <w:rsid w:val="003C420D"/>
    <w:rsid w:val="003D156F"/>
    <w:rsid w:val="003D224D"/>
    <w:rsid w:val="003D3185"/>
    <w:rsid w:val="003D3AD8"/>
    <w:rsid w:val="003D72A8"/>
    <w:rsid w:val="003E32CE"/>
    <w:rsid w:val="003E5086"/>
    <w:rsid w:val="003E6D7C"/>
    <w:rsid w:val="003F331A"/>
    <w:rsid w:val="003F33D3"/>
    <w:rsid w:val="003F4388"/>
    <w:rsid w:val="00400B07"/>
    <w:rsid w:val="00400C96"/>
    <w:rsid w:val="00401345"/>
    <w:rsid w:val="0040198A"/>
    <w:rsid w:val="00404085"/>
    <w:rsid w:val="004040AD"/>
    <w:rsid w:val="0040567D"/>
    <w:rsid w:val="00406702"/>
    <w:rsid w:val="00416579"/>
    <w:rsid w:val="0042072E"/>
    <w:rsid w:val="0042202F"/>
    <w:rsid w:val="004305B5"/>
    <w:rsid w:val="004331E3"/>
    <w:rsid w:val="004363DC"/>
    <w:rsid w:val="00436ED1"/>
    <w:rsid w:val="00440761"/>
    <w:rsid w:val="0044122E"/>
    <w:rsid w:val="00441780"/>
    <w:rsid w:val="00441F27"/>
    <w:rsid w:val="00444934"/>
    <w:rsid w:val="004459F0"/>
    <w:rsid w:val="00451105"/>
    <w:rsid w:val="00451C3C"/>
    <w:rsid w:val="00457744"/>
    <w:rsid w:val="004613A2"/>
    <w:rsid w:val="00465950"/>
    <w:rsid w:val="0046754B"/>
    <w:rsid w:val="00470C56"/>
    <w:rsid w:val="00471D2A"/>
    <w:rsid w:val="00473AEC"/>
    <w:rsid w:val="00474297"/>
    <w:rsid w:val="00475B6D"/>
    <w:rsid w:val="004778CB"/>
    <w:rsid w:val="00480378"/>
    <w:rsid w:val="00487101"/>
    <w:rsid w:val="00492002"/>
    <w:rsid w:val="004A01E1"/>
    <w:rsid w:val="004A2504"/>
    <w:rsid w:val="004A393C"/>
    <w:rsid w:val="004A47B0"/>
    <w:rsid w:val="004A687D"/>
    <w:rsid w:val="004B1C3E"/>
    <w:rsid w:val="004B4F86"/>
    <w:rsid w:val="004B5046"/>
    <w:rsid w:val="004B69B5"/>
    <w:rsid w:val="004C01BA"/>
    <w:rsid w:val="004C095F"/>
    <w:rsid w:val="004C129E"/>
    <w:rsid w:val="004C21CE"/>
    <w:rsid w:val="004C30AB"/>
    <w:rsid w:val="004C42DD"/>
    <w:rsid w:val="004D0CEB"/>
    <w:rsid w:val="004D2742"/>
    <w:rsid w:val="004D31EE"/>
    <w:rsid w:val="004D367F"/>
    <w:rsid w:val="004D5102"/>
    <w:rsid w:val="004D5D22"/>
    <w:rsid w:val="004E2CB0"/>
    <w:rsid w:val="004E617F"/>
    <w:rsid w:val="004E6231"/>
    <w:rsid w:val="004E679E"/>
    <w:rsid w:val="004E7552"/>
    <w:rsid w:val="004F0602"/>
    <w:rsid w:val="004F2423"/>
    <w:rsid w:val="004F60B3"/>
    <w:rsid w:val="004F6266"/>
    <w:rsid w:val="00500977"/>
    <w:rsid w:val="00500D44"/>
    <w:rsid w:val="005014EE"/>
    <w:rsid w:val="005074ED"/>
    <w:rsid w:val="005127FA"/>
    <w:rsid w:val="005133A3"/>
    <w:rsid w:val="00521586"/>
    <w:rsid w:val="005229C3"/>
    <w:rsid w:val="00524DBB"/>
    <w:rsid w:val="00525224"/>
    <w:rsid w:val="00526911"/>
    <w:rsid w:val="005343BB"/>
    <w:rsid w:val="005379F3"/>
    <w:rsid w:val="00542A09"/>
    <w:rsid w:val="00544719"/>
    <w:rsid w:val="005460B2"/>
    <w:rsid w:val="0054632B"/>
    <w:rsid w:val="00546868"/>
    <w:rsid w:val="00551CFE"/>
    <w:rsid w:val="00552BDC"/>
    <w:rsid w:val="0055357F"/>
    <w:rsid w:val="00555861"/>
    <w:rsid w:val="0055784C"/>
    <w:rsid w:val="005615B8"/>
    <w:rsid w:val="00561A2E"/>
    <w:rsid w:val="00564C99"/>
    <w:rsid w:val="00567DA4"/>
    <w:rsid w:val="00573BC6"/>
    <w:rsid w:val="00577E0D"/>
    <w:rsid w:val="00583230"/>
    <w:rsid w:val="00585A43"/>
    <w:rsid w:val="00592D70"/>
    <w:rsid w:val="00597129"/>
    <w:rsid w:val="005A7BCC"/>
    <w:rsid w:val="005B3909"/>
    <w:rsid w:val="005B683F"/>
    <w:rsid w:val="005C273B"/>
    <w:rsid w:val="005C27E8"/>
    <w:rsid w:val="005C298D"/>
    <w:rsid w:val="005C3326"/>
    <w:rsid w:val="005C4FBD"/>
    <w:rsid w:val="005C7C8C"/>
    <w:rsid w:val="005D010E"/>
    <w:rsid w:val="005D17CA"/>
    <w:rsid w:val="005D34DA"/>
    <w:rsid w:val="005E040F"/>
    <w:rsid w:val="005E3F68"/>
    <w:rsid w:val="005E6C7E"/>
    <w:rsid w:val="005F02E4"/>
    <w:rsid w:val="005F110F"/>
    <w:rsid w:val="005F2ACB"/>
    <w:rsid w:val="005F3E33"/>
    <w:rsid w:val="005F6DA8"/>
    <w:rsid w:val="0060051E"/>
    <w:rsid w:val="006023DE"/>
    <w:rsid w:val="006026C4"/>
    <w:rsid w:val="00603CD7"/>
    <w:rsid w:val="006065BE"/>
    <w:rsid w:val="00613B48"/>
    <w:rsid w:val="00623DAA"/>
    <w:rsid w:val="006241D2"/>
    <w:rsid w:val="006262C8"/>
    <w:rsid w:val="00626753"/>
    <w:rsid w:val="0062734E"/>
    <w:rsid w:val="006273F9"/>
    <w:rsid w:val="00627DE7"/>
    <w:rsid w:val="006319AA"/>
    <w:rsid w:val="0063351E"/>
    <w:rsid w:val="0063656D"/>
    <w:rsid w:val="00642061"/>
    <w:rsid w:val="00642801"/>
    <w:rsid w:val="00645003"/>
    <w:rsid w:val="0064500C"/>
    <w:rsid w:val="0064573A"/>
    <w:rsid w:val="00646861"/>
    <w:rsid w:val="00654E75"/>
    <w:rsid w:val="00655323"/>
    <w:rsid w:val="006557AD"/>
    <w:rsid w:val="00662A78"/>
    <w:rsid w:val="00664A1E"/>
    <w:rsid w:val="006663ED"/>
    <w:rsid w:val="00671836"/>
    <w:rsid w:val="00673A7E"/>
    <w:rsid w:val="00676C8A"/>
    <w:rsid w:val="00684089"/>
    <w:rsid w:val="00686A42"/>
    <w:rsid w:val="00692526"/>
    <w:rsid w:val="00692E39"/>
    <w:rsid w:val="00693BEA"/>
    <w:rsid w:val="00695CAE"/>
    <w:rsid w:val="006970B1"/>
    <w:rsid w:val="006A307A"/>
    <w:rsid w:val="006A5946"/>
    <w:rsid w:val="006B1C52"/>
    <w:rsid w:val="006B21F5"/>
    <w:rsid w:val="006B5C1D"/>
    <w:rsid w:val="006C18C3"/>
    <w:rsid w:val="006C3511"/>
    <w:rsid w:val="006C6D36"/>
    <w:rsid w:val="006D05D8"/>
    <w:rsid w:val="006D06B1"/>
    <w:rsid w:val="006D124F"/>
    <w:rsid w:val="006D162F"/>
    <w:rsid w:val="006D5122"/>
    <w:rsid w:val="006D5B2A"/>
    <w:rsid w:val="006D5DCB"/>
    <w:rsid w:val="006E1AE3"/>
    <w:rsid w:val="006E32D5"/>
    <w:rsid w:val="006E7189"/>
    <w:rsid w:val="0070498A"/>
    <w:rsid w:val="00710138"/>
    <w:rsid w:val="007104DC"/>
    <w:rsid w:val="00713224"/>
    <w:rsid w:val="007146CE"/>
    <w:rsid w:val="007158BF"/>
    <w:rsid w:val="007241AE"/>
    <w:rsid w:val="00726452"/>
    <w:rsid w:val="00732360"/>
    <w:rsid w:val="007362AD"/>
    <w:rsid w:val="0074424B"/>
    <w:rsid w:val="00746E3B"/>
    <w:rsid w:val="0075045F"/>
    <w:rsid w:val="0075366B"/>
    <w:rsid w:val="007541EA"/>
    <w:rsid w:val="00756DB2"/>
    <w:rsid w:val="00761613"/>
    <w:rsid w:val="007625EB"/>
    <w:rsid w:val="0077042B"/>
    <w:rsid w:val="007731A0"/>
    <w:rsid w:val="00774090"/>
    <w:rsid w:val="00777E9F"/>
    <w:rsid w:val="00780982"/>
    <w:rsid w:val="007809DF"/>
    <w:rsid w:val="0078217E"/>
    <w:rsid w:val="00783CF3"/>
    <w:rsid w:val="00783FA3"/>
    <w:rsid w:val="0078545E"/>
    <w:rsid w:val="007A4020"/>
    <w:rsid w:val="007A4A3A"/>
    <w:rsid w:val="007A5EA2"/>
    <w:rsid w:val="007A6345"/>
    <w:rsid w:val="007A7709"/>
    <w:rsid w:val="007B1C9C"/>
    <w:rsid w:val="007B36A9"/>
    <w:rsid w:val="007B3C12"/>
    <w:rsid w:val="007B5422"/>
    <w:rsid w:val="007B6883"/>
    <w:rsid w:val="007C0890"/>
    <w:rsid w:val="007C10FE"/>
    <w:rsid w:val="007C12AA"/>
    <w:rsid w:val="007C6F41"/>
    <w:rsid w:val="007C7146"/>
    <w:rsid w:val="007D7227"/>
    <w:rsid w:val="007D7345"/>
    <w:rsid w:val="007E0984"/>
    <w:rsid w:val="007E19E7"/>
    <w:rsid w:val="007E1D43"/>
    <w:rsid w:val="007E2BD4"/>
    <w:rsid w:val="007E5334"/>
    <w:rsid w:val="007E7ADF"/>
    <w:rsid w:val="007F10C6"/>
    <w:rsid w:val="007F10E5"/>
    <w:rsid w:val="007F343C"/>
    <w:rsid w:val="007F44E0"/>
    <w:rsid w:val="007F4644"/>
    <w:rsid w:val="007F5282"/>
    <w:rsid w:val="007F6184"/>
    <w:rsid w:val="008008BD"/>
    <w:rsid w:val="008046B1"/>
    <w:rsid w:val="00807621"/>
    <w:rsid w:val="00811784"/>
    <w:rsid w:val="00811FE0"/>
    <w:rsid w:val="00813D35"/>
    <w:rsid w:val="00814BB1"/>
    <w:rsid w:val="00815F9F"/>
    <w:rsid w:val="00816C22"/>
    <w:rsid w:val="008179D2"/>
    <w:rsid w:val="00820564"/>
    <w:rsid w:val="00822BC8"/>
    <w:rsid w:val="00823008"/>
    <w:rsid w:val="00825DC3"/>
    <w:rsid w:val="00827852"/>
    <w:rsid w:val="00832233"/>
    <w:rsid w:val="00833858"/>
    <w:rsid w:val="0083444D"/>
    <w:rsid w:val="00834D74"/>
    <w:rsid w:val="00834FED"/>
    <w:rsid w:val="00836E1B"/>
    <w:rsid w:val="0083756D"/>
    <w:rsid w:val="00837E83"/>
    <w:rsid w:val="00842E93"/>
    <w:rsid w:val="00843FCF"/>
    <w:rsid w:val="008511B8"/>
    <w:rsid w:val="00853D62"/>
    <w:rsid w:val="00854022"/>
    <w:rsid w:val="008543D4"/>
    <w:rsid w:val="00855AC5"/>
    <w:rsid w:val="00856A48"/>
    <w:rsid w:val="008570DF"/>
    <w:rsid w:val="00860E06"/>
    <w:rsid w:val="0086207C"/>
    <w:rsid w:val="008633D1"/>
    <w:rsid w:val="0086482D"/>
    <w:rsid w:val="00867EFC"/>
    <w:rsid w:val="0087386A"/>
    <w:rsid w:val="0087466C"/>
    <w:rsid w:val="00882F99"/>
    <w:rsid w:val="0088435D"/>
    <w:rsid w:val="00885BA8"/>
    <w:rsid w:val="00892809"/>
    <w:rsid w:val="008935BF"/>
    <w:rsid w:val="00895D21"/>
    <w:rsid w:val="008972E7"/>
    <w:rsid w:val="008A116B"/>
    <w:rsid w:val="008B0888"/>
    <w:rsid w:val="008B127B"/>
    <w:rsid w:val="008B3D18"/>
    <w:rsid w:val="008C11E7"/>
    <w:rsid w:val="008C47D2"/>
    <w:rsid w:val="008D38C8"/>
    <w:rsid w:val="008D7D77"/>
    <w:rsid w:val="008E5587"/>
    <w:rsid w:val="008F09DE"/>
    <w:rsid w:val="008F0C73"/>
    <w:rsid w:val="008F664B"/>
    <w:rsid w:val="00901611"/>
    <w:rsid w:val="00903339"/>
    <w:rsid w:val="009035DA"/>
    <w:rsid w:val="00903C97"/>
    <w:rsid w:val="00905B74"/>
    <w:rsid w:val="00906C77"/>
    <w:rsid w:val="00913761"/>
    <w:rsid w:val="009142F6"/>
    <w:rsid w:val="0091615E"/>
    <w:rsid w:val="009168EC"/>
    <w:rsid w:val="0092170A"/>
    <w:rsid w:val="00921790"/>
    <w:rsid w:val="00925E26"/>
    <w:rsid w:val="0093341C"/>
    <w:rsid w:val="009337CE"/>
    <w:rsid w:val="0093506E"/>
    <w:rsid w:val="009350B5"/>
    <w:rsid w:val="00937944"/>
    <w:rsid w:val="00943F1E"/>
    <w:rsid w:val="00945D46"/>
    <w:rsid w:val="009462E5"/>
    <w:rsid w:val="009510A1"/>
    <w:rsid w:val="00952EC1"/>
    <w:rsid w:val="009551BF"/>
    <w:rsid w:val="00960850"/>
    <w:rsid w:val="009617CF"/>
    <w:rsid w:val="00962407"/>
    <w:rsid w:val="00970875"/>
    <w:rsid w:val="009747C1"/>
    <w:rsid w:val="00977183"/>
    <w:rsid w:val="009779F4"/>
    <w:rsid w:val="00980160"/>
    <w:rsid w:val="00980201"/>
    <w:rsid w:val="0098188C"/>
    <w:rsid w:val="0098248F"/>
    <w:rsid w:val="0098262E"/>
    <w:rsid w:val="009826DA"/>
    <w:rsid w:val="009843BD"/>
    <w:rsid w:val="009868FF"/>
    <w:rsid w:val="009925D1"/>
    <w:rsid w:val="0099425C"/>
    <w:rsid w:val="009A2D15"/>
    <w:rsid w:val="009A2E89"/>
    <w:rsid w:val="009A32AE"/>
    <w:rsid w:val="009A602C"/>
    <w:rsid w:val="009B278E"/>
    <w:rsid w:val="009B3C53"/>
    <w:rsid w:val="009B3E60"/>
    <w:rsid w:val="009B3F59"/>
    <w:rsid w:val="009B55BD"/>
    <w:rsid w:val="009C2475"/>
    <w:rsid w:val="009C3D2A"/>
    <w:rsid w:val="009D0A89"/>
    <w:rsid w:val="009D18A1"/>
    <w:rsid w:val="009D196F"/>
    <w:rsid w:val="009D1CF3"/>
    <w:rsid w:val="009D6698"/>
    <w:rsid w:val="009D6F35"/>
    <w:rsid w:val="009D7978"/>
    <w:rsid w:val="009D7F1B"/>
    <w:rsid w:val="009E1DA1"/>
    <w:rsid w:val="009E4059"/>
    <w:rsid w:val="009E5724"/>
    <w:rsid w:val="009F41F3"/>
    <w:rsid w:val="009F51C2"/>
    <w:rsid w:val="009F5227"/>
    <w:rsid w:val="009F56A2"/>
    <w:rsid w:val="009F6F2D"/>
    <w:rsid w:val="00A05BAD"/>
    <w:rsid w:val="00A12614"/>
    <w:rsid w:val="00A1556C"/>
    <w:rsid w:val="00A24AB7"/>
    <w:rsid w:val="00A33BA7"/>
    <w:rsid w:val="00A36BB5"/>
    <w:rsid w:val="00A44C47"/>
    <w:rsid w:val="00A44D66"/>
    <w:rsid w:val="00A465D0"/>
    <w:rsid w:val="00A508C8"/>
    <w:rsid w:val="00A61D67"/>
    <w:rsid w:val="00A71F5F"/>
    <w:rsid w:val="00A755A1"/>
    <w:rsid w:val="00A76E2E"/>
    <w:rsid w:val="00A81CC3"/>
    <w:rsid w:val="00A87659"/>
    <w:rsid w:val="00A900E9"/>
    <w:rsid w:val="00A913A3"/>
    <w:rsid w:val="00A91D21"/>
    <w:rsid w:val="00A94A50"/>
    <w:rsid w:val="00AA1BEE"/>
    <w:rsid w:val="00AA3A53"/>
    <w:rsid w:val="00AB781F"/>
    <w:rsid w:val="00AB789F"/>
    <w:rsid w:val="00AC1758"/>
    <w:rsid w:val="00AC23DB"/>
    <w:rsid w:val="00AC37D0"/>
    <w:rsid w:val="00AD360C"/>
    <w:rsid w:val="00AD63D9"/>
    <w:rsid w:val="00AD652C"/>
    <w:rsid w:val="00AE0F01"/>
    <w:rsid w:val="00AE1AA2"/>
    <w:rsid w:val="00AE1C82"/>
    <w:rsid w:val="00AE3682"/>
    <w:rsid w:val="00AE3FA0"/>
    <w:rsid w:val="00AE46EE"/>
    <w:rsid w:val="00AE7B59"/>
    <w:rsid w:val="00B029E3"/>
    <w:rsid w:val="00B126B6"/>
    <w:rsid w:val="00B14D68"/>
    <w:rsid w:val="00B17116"/>
    <w:rsid w:val="00B20CA0"/>
    <w:rsid w:val="00B232CA"/>
    <w:rsid w:val="00B23D84"/>
    <w:rsid w:val="00B25968"/>
    <w:rsid w:val="00B31DA9"/>
    <w:rsid w:val="00B32AE5"/>
    <w:rsid w:val="00B37DEA"/>
    <w:rsid w:val="00B4719F"/>
    <w:rsid w:val="00B473F6"/>
    <w:rsid w:val="00B50AA6"/>
    <w:rsid w:val="00B52AD4"/>
    <w:rsid w:val="00B5472D"/>
    <w:rsid w:val="00B555BA"/>
    <w:rsid w:val="00B63738"/>
    <w:rsid w:val="00B65134"/>
    <w:rsid w:val="00B6778A"/>
    <w:rsid w:val="00B70A23"/>
    <w:rsid w:val="00B70FF8"/>
    <w:rsid w:val="00B72D31"/>
    <w:rsid w:val="00B735AC"/>
    <w:rsid w:val="00B73987"/>
    <w:rsid w:val="00B73A92"/>
    <w:rsid w:val="00B85382"/>
    <w:rsid w:val="00B85F07"/>
    <w:rsid w:val="00B86875"/>
    <w:rsid w:val="00B90DAB"/>
    <w:rsid w:val="00B9442F"/>
    <w:rsid w:val="00B9517B"/>
    <w:rsid w:val="00BA023B"/>
    <w:rsid w:val="00BA10A8"/>
    <w:rsid w:val="00BA16EB"/>
    <w:rsid w:val="00BB3073"/>
    <w:rsid w:val="00BB4262"/>
    <w:rsid w:val="00BB6D3E"/>
    <w:rsid w:val="00BB7010"/>
    <w:rsid w:val="00BC1A5C"/>
    <w:rsid w:val="00BC5FE0"/>
    <w:rsid w:val="00BC7CE3"/>
    <w:rsid w:val="00BD3D9A"/>
    <w:rsid w:val="00BD4436"/>
    <w:rsid w:val="00BE4757"/>
    <w:rsid w:val="00BE635C"/>
    <w:rsid w:val="00BE7047"/>
    <w:rsid w:val="00BF1157"/>
    <w:rsid w:val="00BF3A8F"/>
    <w:rsid w:val="00BF441C"/>
    <w:rsid w:val="00BF4934"/>
    <w:rsid w:val="00C051C7"/>
    <w:rsid w:val="00C07A59"/>
    <w:rsid w:val="00C10796"/>
    <w:rsid w:val="00C10939"/>
    <w:rsid w:val="00C129FB"/>
    <w:rsid w:val="00C16344"/>
    <w:rsid w:val="00C170DD"/>
    <w:rsid w:val="00C1735A"/>
    <w:rsid w:val="00C17B00"/>
    <w:rsid w:val="00C2120D"/>
    <w:rsid w:val="00C23062"/>
    <w:rsid w:val="00C231FF"/>
    <w:rsid w:val="00C24561"/>
    <w:rsid w:val="00C2534D"/>
    <w:rsid w:val="00C25527"/>
    <w:rsid w:val="00C26AD9"/>
    <w:rsid w:val="00C2712D"/>
    <w:rsid w:val="00C32E47"/>
    <w:rsid w:val="00C347AB"/>
    <w:rsid w:val="00C36C8C"/>
    <w:rsid w:val="00C45DF8"/>
    <w:rsid w:val="00C50B0A"/>
    <w:rsid w:val="00C6074E"/>
    <w:rsid w:val="00C64F06"/>
    <w:rsid w:val="00C65924"/>
    <w:rsid w:val="00C6626F"/>
    <w:rsid w:val="00C6733C"/>
    <w:rsid w:val="00C70FD4"/>
    <w:rsid w:val="00C71190"/>
    <w:rsid w:val="00C72055"/>
    <w:rsid w:val="00C7210B"/>
    <w:rsid w:val="00C72D1E"/>
    <w:rsid w:val="00C737EF"/>
    <w:rsid w:val="00C75BFF"/>
    <w:rsid w:val="00C7618F"/>
    <w:rsid w:val="00C773AF"/>
    <w:rsid w:val="00C773F3"/>
    <w:rsid w:val="00C8208C"/>
    <w:rsid w:val="00C8276A"/>
    <w:rsid w:val="00C83FB2"/>
    <w:rsid w:val="00C86F54"/>
    <w:rsid w:val="00C870A0"/>
    <w:rsid w:val="00C90D21"/>
    <w:rsid w:val="00CA67ED"/>
    <w:rsid w:val="00CB21D5"/>
    <w:rsid w:val="00CB227E"/>
    <w:rsid w:val="00CB489B"/>
    <w:rsid w:val="00CB4EF8"/>
    <w:rsid w:val="00CC0B35"/>
    <w:rsid w:val="00CC0C2E"/>
    <w:rsid w:val="00CC12CC"/>
    <w:rsid w:val="00CC1408"/>
    <w:rsid w:val="00CC292F"/>
    <w:rsid w:val="00CD05E8"/>
    <w:rsid w:val="00CD22DE"/>
    <w:rsid w:val="00CD419A"/>
    <w:rsid w:val="00CE2910"/>
    <w:rsid w:val="00CE6D0F"/>
    <w:rsid w:val="00CF4980"/>
    <w:rsid w:val="00CF4D5C"/>
    <w:rsid w:val="00CF52CD"/>
    <w:rsid w:val="00CF5505"/>
    <w:rsid w:val="00CF5BA5"/>
    <w:rsid w:val="00CF5CF0"/>
    <w:rsid w:val="00D00AA0"/>
    <w:rsid w:val="00D046DF"/>
    <w:rsid w:val="00D11E93"/>
    <w:rsid w:val="00D15F03"/>
    <w:rsid w:val="00D16217"/>
    <w:rsid w:val="00D16245"/>
    <w:rsid w:val="00D17C9A"/>
    <w:rsid w:val="00D207F0"/>
    <w:rsid w:val="00D25547"/>
    <w:rsid w:val="00D31741"/>
    <w:rsid w:val="00D31B01"/>
    <w:rsid w:val="00D379B2"/>
    <w:rsid w:val="00D40174"/>
    <w:rsid w:val="00D46E79"/>
    <w:rsid w:val="00D578EC"/>
    <w:rsid w:val="00D57A66"/>
    <w:rsid w:val="00D616D9"/>
    <w:rsid w:val="00D61DDE"/>
    <w:rsid w:val="00D6363F"/>
    <w:rsid w:val="00D6586F"/>
    <w:rsid w:val="00D65FC2"/>
    <w:rsid w:val="00D70611"/>
    <w:rsid w:val="00D7377C"/>
    <w:rsid w:val="00D771F5"/>
    <w:rsid w:val="00D80647"/>
    <w:rsid w:val="00D82AA2"/>
    <w:rsid w:val="00D84E30"/>
    <w:rsid w:val="00D862BF"/>
    <w:rsid w:val="00D87B2D"/>
    <w:rsid w:val="00D93DEB"/>
    <w:rsid w:val="00D95784"/>
    <w:rsid w:val="00D97493"/>
    <w:rsid w:val="00DA0245"/>
    <w:rsid w:val="00DA5690"/>
    <w:rsid w:val="00DB2E03"/>
    <w:rsid w:val="00DB30AE"/>
    <w:rsid w:val="00DB3C50"/>
    <w:rsid w:val="00DB6C19"/>
    <w:rsid w:val="00DB7A3D"/>
    <w:rsid w:val="00DB7F89"/>
    <w:rsid w:val="00DC057A"/>
    <w:rsid w:val="00DC18D3"/>
    <w:rsid w:val="00DC2575"/>
    <w:rsid w:val="00DC47CC"/>
    <w:rsid w:val="00DC776C"/>
    <w:rsid w:val="00DD0047"/>
    <w:rsid w:val="00DD1044"/>
    <w:rsid w:val="00DD1A74"/>
    <w:rsid w:val="00DD4124"/>
    <w:rsid w:val="00DD43B2"/>
    <w:rsid w:val="00DD4934"/>
    <w:rsid w:val="00DD4A6A"/>
    <w:rsid w:val="00DE0D16"/>
    <w:rsid w:val="00DE1905"/>
    <w:rsid w:val="00DE213A"/>
    <w:rsid w:val="00DE3CCD"/>
    <w:rsid w:val="00DE4607"/>
    <w:rsid w:val="00DE4F2C"/>
    <w:rsid w:val="00DE5216"/>
    <w:rsid w:val="00DE6C11"/>
    <w:rsid w:val="00E044F1"/>
    <w:rsid w:val="00E0461D"/>
    <w:rsid w:val="00E05F74"/>
    <w:rsid w:val="00E11E5A"/>
    <w:rsid w:val="00E140D4"/>
    <w:rsid w:val="00E14582"/>
    <w:rsid w:val="00E16C87"/>
    <w:rsid w:val="00E16D07"/>
    <w:rsid w:val="00E20C9F"/>
    <w:rsid w:val="00E218A6"/>
    <w:rsid w:val="00E26DCD"/>
    <w:rsid w:val="00E33E63"/>
    <w:rsid w:val="00E4121A"/>
    <w:rsid w:val="00E41B02"/>
    <w:rsid w:val="00E42916"/>
    <w:rsid w:val="00E431B8"/>
    <w:rsid w:val="00E43555"/>
    <w:rsid w:val="00E47F1D"/>
    <w:rsid w:val="00E50FCB"/>
    <w:rsid w:val="00E54C9D"/>
    <w:rsid w:val="00E55E75"/>
    <w:rsid w:val="00E62708"/>
    <w:rsid w:val="00E65B3D"/>
    <w:rsid w:val="00E666AB"/>
    <w:rsid w:val="00E67C7A"/>
    <w:rsid w:val="00E7108C"/>
    <w:rsid w:val="00E7559E"/>
    <w:rsid w:val="00E805BC"/>
    <w:rsid w:val="00E8138C"/>
    <w:rsid w:val="00E84512"/>
    <w:rsid w:val="00E87A26"/>
    <w:rsid w:val="00E9060A"/>
    <w:rsid w:val="00E91F3C"/>
    <w:rsid w:val="00E96CB9"/>
    <w:rsid w:val="00EA3E50"/>
    <w:rsid w:val="00EB1690"/>
    <w:rsid w:val="00EB27D1"/>
    <w:rsid w:val="00EB43B8"/>
    <w:rsid w:val="00EC20E6"/>
    <w:rsid w:val="00EC40B0"/>
    <w:rsid w:val="00EC5111"/>
    <w:rsid w:val="00EC781B"/>
    <w:rsid w:val="00EC7B06"/>
    <w:rsid w:val="00ED12FC"/>
    <w:rsid w:val="00ED3E76"/>
    <w:rsid w:val="00ED6694"/>
    <w:rsid w:val="00ED6A19"/>
    <w:rsid w:val="00ED71D4"/>
    <w:rsid w:val="00EE17C3"/>
    <w:rsid w:val="00EE2BBA"/>
    <w:rsid w:val="00EE34B7"/>
    <w:rsid w:val="00EE603C"/>
    <w:rsid w:val="00EE7B95"/>
    <w:rsid w:val="00EF051B"/>
    <w:rsid w:val="00EF3682"/>
    <w:rsid w:val="00EF655F"/>
    <w:rsid w:val="00F0011D"/>
    <w:rsid w:val="00F04661"/>
    <w:rsid w:val="00F05D32"/>
    <w:rsid w:val="00F1114A"/>
    <w:rsid w:val="00F22CCA"/>
    <w:rsid w:val="00F235BA"/>
    <w:rsid w:val="00F26748"/>
    <w:rsid w:val="00F276B7"/>
    <w:rsid w:val="00F3600D"/>
    <w:rsid w:val="00F37D44"/>
    <w:rsid w:val="00F43EBD"/>
    <w:rsid w:val="00F46B4B"/>
    <w:rsid w:val="00F47733"/>
    <w:rsid w:val="00F50209"/>
    <w:rsid w:val="00F52DAC"/>
    <w:rsid w:val="00F57005"/>
    <w:rsid w:val="00F60057"/>
    <w:rsid w:val="00F60E5E"/>
    <w:rsid w:val="00F6241D"/>
    <w:rsid w:val="00F6529D"/>
    <w:rsid w:val="00F66713"/>
    <w:rsid w:val="00F66E27"/>
    <w:rsid w:val="00F67383"/>
    <w:rsid w:val="00F707C6"/>
    <w:rsid w:val="00F7265E"/>
    <w:rsid w:val="00F75E5A"/>
    <w:rsid w:val="00F76FCA"/>
    <w:rsid w:val="00F801F4"/>
    <w:rsid w:val="00F8395A"/>
    <w:rsid w:val="00F839C2"/>
    <w:rsid w:val="00F851DC"/>
    <w:rsid w:val="00F867BC"/>
    <w:rsid w:val="00FA0886"/>
    <w:rsid w:val="00FA634C"/>
    <w:rsid w:val="00FA6E5D"/>
    <w:rsid w:val="00FA7812"/>
    <w:rsid w:val="00FB00B7"/>
    <w:rsid w:val="00FB0731"/>
    <w:rsid w:val="00FB1AB1"/>
    <w:rsid w:val="00FB3B0D"/>
    <w:rsid w:val="00FB3CA0"/>
    <w:rsid w:val="00FB3F56"/>
    <w:rsid w:val="00FB5297"/>
    <w:rsid w:val="00FC0BEC"/>
    <w:rsid w:val="00FC184C"/>
    <w:rsid w:val="00FC2D25"/>
    <w:rsid w:val="00FC3482"/>
    <w:rsid w:val="00FC36A8"/>
    <w:rsid w:val="00FC5E93"/>
    <w:rsid w:val="00FC6DF2"/>
    <w:rsid w:val="00FD2B29"/>
    <w:rsid w:val="00FD329B"/>
    <w:rsid w:val="00FD33FB"/>
    <w:rsid w:val="00FD445C"/>
    <w:rsid w:val="00FD457D"/>
    <w:rsid w:val="00FD7259"/>
    <w:rsid w:val="00FE111D"/>
    <w:rsid w:val="00FE23D8"/>
    <w:rsid w:val="00FE4869"/>
    <w:rsid w:val="00FF01BE"/>
    <w:rsid w:val="00FF2252"/>
    <w:rsid w:val="00FF6E9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0B1"/>
    <w:pPr>
      <w:widowControl w:val="0"/>
      <w:autoSpaceDE w:val="0"/>
      <w:autoSpaceDN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0">
    <w:name w:val="Style 1"/>
    <w:basedOn w:val="Normal"/>
    <w:pPr>
      <w:spacing w:before="2376"/>
      <w:jc w:val="center"/>
    </w:pPr>
  </w:style>
  <w:style w:type="paragraph" w:customStyle="1" w:styleId="Style13">
    <w:name w:val="Style 13"/>
    <w:basedOn w:val="Normal"/>
    <w:pPr>
      <w:spacing w:line="804" w:lineRule="atLeast"/>
      <w:jc w:val="center"/>
    </w:pPr>
  </w:style>
  <w:style w:type="paragraph" w:customStyle="1" w:styleId="Style14">
    <w:name w:val="Style 14"/>
    <w:basedOn w:val="Normal"/>
    <w:pPr>
      <w:spacing w:before="144" w:after="2700"/>
      <w:jc w:val="center"/>
    </w:pPr>
  </w:style>
  <w:style w:type="paragraph" w:customStyle="1" w:styleId="Style15">
    <w:name w:val="Style 15"/>
    <w:basedOn w:val="Normal"/>
    <w:pPr>
      <w:spacing w:before="252"/>
      <w:jc w:val="center"/>
    </w:pPr>
  </w:style>
  <w:style w:type="paragraph" w:customStyle="1" w:styleId="Style5">
    <w:name w:val="Style 5"/>
    <w:basedOn w:val="Normal"/>
    <w:pPr>
      <w:adjustRightInd w:val="0"/>
    </w:pPr>
  </w:style>
  <w:style w:type="paragraph" w:customStyle="1" w:styleId="Style6">
    <w:name w:val="Style 6"/>
    <w:basedOn w:val="Normal"/>
    <w:pPr>
      <w:jc w:val="both"/>
    </w:pPr>
  </w:style>
  <w:style w:type="paragraph" w:customStyle="1" w:styleId="Style11">
    <w:name w:val="Style 11"/>
    <w:basedOn w:val="Normal"/>
    <w:pPr>
      <w:tabs>
        <w:tab w:val="decimal" w:pos="288"/>
        <w:tab w:val="left" w:pos="2808"/>
      </w:tabs>
      <w:spacing w:line="480" w:lineRule="auto"/>
    </w:pPr>
  </w:style>
  <w:style w:type="paragraph" w:customStyle="1" w:styleId="Style7">
    <w:name w:val="Style 7"/>
    <w:basedOn w:val="Normal"/>
    <w:pPr>
      <w:spacing w:before="13644"/>
      <w:ind w:left="5472"/>
    </w:pPr>
  </w:style>
  <w:style w:type="paragraph" w:customStyle="1" w:styleId="Style12">
    <w:name w:val="Style 12"/>
    <w:basedOn w:val="Normal"/>
    <w:pPr>
      <w:tabs>
        <w:tab w:val="left" w:pos="2808"/>
      </w:tabs>
      <w:spacing w:line="480" w:lineRule="auto"/>
    </w:pPr>
  </w:style>
  <w:style w:type="paragraph" w:customStyle="1" w:styleId="Style16">
    <w:name w:val="Style 16"/>
    <w:basedOn w:val="Normal"/>
    <w:pPr>
      <w:tabs>
        <w:tab w:val="decimal" w:pos="432"/>
        <w:tab w:val="left" w:pos="2808"/>
      </w:tabs>
    </w:pPr>
  </w:style>
  <w:style w:type="paragraph" w:customStyle="1" w:styleId="Style100">
    <w:name w:val="Style 10"/>
    <w:basedOn w:val="Normal"/>
    <w:pPr>
      <w:spacing w:line="480" w:lineRule="auto"/>
    </w:pPr>
  </w:style>
  <w:style w:type="paragraph" w:customStyle="1" w:styleId="Style17">
    <w:name w:val="Style 17"/>
    <w:basedOn w:val="Normal"/>
    <w:pPr>
      <w:spacing w:before="216" w:line="288" w:lineRule="atLeast"/>
      <w:ind w:left="144"/>
    </w:pPr>
  </w:style>
  <w:style w:type="paragraph" w:styleId="Footer">
    <w:name w:val="footer"/>
    <w:basedOn w:val="Normal"/>
    <w:rsid w:val="00C45DF8"/>
    <w:pPr>
      <w:tabs>
        <w:tab w:val="center" w:pos="4320"/>
        <w:tab w:val="right" w:pos="8640"/>
      </w:tabs>
    </w:pPr>
  </w:style>
  <w:style w:type="character" w:styleId="PageNumber">
    <w:name w:val="page number"/>
    <w:basedOn w:val="DefaultParagraphFont"/>
    <w:rsid w:val="00C45DF8"/>
  </w:style>
  <w:style w:type="paragraph" w:styleId="Header">
    <w:name w:val="header"/>
    <w:basedOn w:val="Normal"/>
    <w:rsid w:val="00C45DF8"/>
    <w:pPr>
      <w:tabs>
        <w:tab w:val="center" w:pos="4320"/>
        <w:tab w:val="right" w:pos="8640"/>
      </w:tabs>
    </w:pPr>
  </w:style>
  <w:style w:type="paragraph" w:styleId="DocumentMap">
    <w:name w:val="Document Map"/>
    <w:basedOn w:val="Normal"/>
    <w:semiHidden/>
    <w:rsid w:val="00B31DA9"/>
    <w:pPr>
      <w:shd w:val="clear" w:color="auto" w:fill="000080"/>
    </w:pPr>
    <w:rPr>
      <w:rFonts w:ascii="Tahoma" w:hAnsi="Tahoma" w:cs="Tahoma"/>
    </w:rPr>
  </w:style>
  <w:style w:type="table" w:styleId="TableGrid">
    <w:name w:val="Table Grid"/>
    <w:basedOn w:val="TableNormal"/>
    <w:rsid w:val="00813D35"/>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F4D5C"/>
    <w:rPr>
      <w:rFonts w:ascii="Tahoma" w:hAnsi="Tahoma" w:cs="Tahoma"/>
      <w:sz w:val="16"/>
      <w:szCs w:val="16"/>
    </w:rPr>
  </w:style>
  <w:style w:type="character" w:styleId="Hyperlink">
    <w:name w:val="Hyperlink"/>
    <w:basedOn w:val="DefaultParagraphFont"/>
    <w:rsid w:val="00BA10A8"/>
    <w:rPr>
      <w:color w:val="0000FF"/>
      <w:u w:val="single"/>
    </w:rPr>
  </w:style>
  <w:style w:type="character" w:styleId="CommentReference">
    <w:name w:val="annotation reference"/>
    <w:basedOn w:val="DefaultParagraphFont"/>
    <w:semiHidden/>
    <w:rsid w:val="006A5946"/>
    <w:rPr>
      <w:sz w:val="16"/>
      <w:szCs w:val="16"/>
    </w:rPr>
  </w:style>
  <w:style w:type="paragraph" w:styleId="CommentText">
    <w:name w:val="annotation text"/>
    <w:basedOn w:val="Normal"/>
    <w:semiHidden/>
    <w:rsid w:val="006A5946"/>
    <w:rPr>
      <w:sz w:val="20"/>
      <w:szCs w:val="20"/>
    </w:rPr>
  </w:style>
  <w:style w:type="paragraph" w:styleId="CommentSubject">
    <w:name w:val="annotation subject"/>
    <w:basedOn w:val="CommentText"/>
    <w:next w:val="CommentText"/>
    <w:semiHidden/>
    <w:rsid w:val="006A5946"/>
    <w:rPr>
      <w:b/>
      <w:bCs/>
    </w:rPr>
  </w:style>
  <w:style w:type="numbering" w:customStyle="1" w:styleId="Style1">
    <w:name w:val="Style1"/>
    <w:rsid w:val="000F072F"/>
    <w:pPr>
      <w:numPr>
        <w:numId w:val="14"/>
      </w:numPr>
    </w:pPr>
  </w:style>
</w:styles>
</file>

<file path=word/webSettings.xml><?xml version="1.0" encoding="utf-8"?>
<w:webSettings xmlns:r="http://schemas.openxmlformats.org/officeDocument/2006/relationships" xmlns:w="http://schemas.openxmlformats.org/wordprocessingml/2006/main">
  <w:divs>
    <w:div w:id="12195542">
      <w:bodyDiv w:val="1"/>
      <w:marLeft w:val="0"/>
      <w:marRight w:val="0"/>
      <w:marTop w:val="0"/>
      <w:marBottom w:val="0"/>
      <w:divBdr>
        <w:top w:val="none" w:sz="0" w:space="0" w:color="auto"/>
        <w:left w:val="none" w:sz="0" w:space="0" w:color="auto"/>
        <w:bottom w:val="none" w:sz="0" w:space="0" w:color="auto"/>
        <w:right w:val="none" w:sz="0" w:space="0" w:color="auto"/>
      </w:divBdr>
    </w:div>
    <w:div w:id="181407269">
      <w:bodyDiv w:val="1"/>
      <w:marLeft w:val="0"/>
      <w:marRight w:val="0"/>
      <w:marTop w:val="0"/>
      <w:marBottom w:val="0"/>
      <w:divBdr>
        <w:top w:val="none" w:sz="0" w:space="0" w:color="auto"/>
        <w:left w:val="none" w:sz="0" w:space="0" w:color="auto"/>
        <w:bottom w:val="none" w:sz="0" w:space="0" w:color="auto"/>
        <w:right w:val="none" w:sz="0" w:space="0" w:color="auto"/>
      </w:divBdr>
    </w:div>
    <w:div w:id="582687317">
      <w:bodyDiv w:val="1"/>
      <w:marLeft w:val="0"/>
      <w:marRight w:val="0"/>
      <w:marTop w:val="0"/>
      <w:marBottom w:val="0"/>
      <w:divBdr>
        <w:top w:val="none" w:sz="0" w:space="0" w:color="auto"/>
        <w:left w:val="none" w:sz="0" w:space="0" w:color="auto"/>
        <w:bottom w:val="none" w:sz="0" w:space="0" w:color="auto"/>
        <w:right w:val="none" w:sz="0" w:space="0" w:color="auto"/>
      </w:divBdr>
    </w:div>
    <w:div w:id="604265147">
      <w:bodyDiv w:val="1"/>
      <w:marLeft w:val="0"/>
      <w:marRight w:val="0"/>
      <w:marTop w:val="0"/>
      <w:marBottom w:val="0"/>
      <w:divBdr>
        <w:top w:val="none" w:sz="0" w:space="0" w:color="auto"/>
        <w:left w:val="none" w:sz="0" w:space="0" w:color="auto"/>
        <w:bottom w:val="none" w:sz="0" w:space="0" w:color="auto"/>
        <w:right w:val="none" w:sz="0" w:space="0" w:color="auto"/>
      </w:divBdr>
    </w:div>
    <w:div w:id="791169216">
      <w:bodyDiv w:val="1"/>
      <w:marLeft w:val="0"/>
      <w:marRight w:val="0"/>
      <w:marTop w:val="0"/>
      <w:marBottom w:val="0"/>
      <w:divBdr>
        <w:top w:val="none" w:sz="0" w:space="0" w:color="auto"/>
        <w:left w:val="none" w:sz="0" w:space="0" w:color="auto"/>
        <w:bottom w:val="none" w:sz="0" w:space="0" w:color="auto"/>
        <w:right w:val="none" w:sz="0" w:space="0" w:color="auto"/>
      </w:divBdr>
    </w:div>
    <w:div w:id="804472103">
      <w:bodyDiv w:val="1"/>
      <w:marLeft w:val="0"/>
      <w:marRight w:val="0"/>
      <w:marTop w:val="0"/>
      <w:marBottom w:val="0"/>
      <w:divBdr>
        <w:top w:val="none" w:sz="0" w:space="0" w:color="auto"/>
        <w:left w:val="none" w:sz="0" w:space="0" w:color="auto"/>
        <w:bottom w:val="none" w:sz="0" w:space="0" w:color="auto"/>
        <w:right w:val="none" w:sz="0" w:space="0" w:color="auto"/>
      </w:divBdr>
    </w:div>
    <w:div w:id="976954327">
      <w:bodyDiv w:val="1"/>
      <w:marLeft w:val="0"/>
      <w:marRight w:val="0"/>
      <w:marTop w:val="0"/>
      <w:marBottom w:val="0"/>
      <w:divBdr>
        <w:top w:val="none" w:sz="0" w:space="0" w:color="auto"/>
        <w:left w:val="none" w:sz="0" w:space="0" w:color="auto"/>
        <w:bottom w:val="none" w:sz="0" w:space="0" w:color="auto"/>
        <w:right w:val="none" w:sz="0" w:space="0" w:color="auto"/>
      </w:divBdr>
    </w:div>
    <w:div w:id="1111245136">
      <w:bodyDiv w:val="1"/>
      <w:marLeft w:val="0"/>
      <w:marRight w:val="0"/>
      <w:marTop w:val="0"/>
      <w:marBottom w:val="0"/>
      <w:divBdr>
        <w:top w:val="none" w:sz="0" w:space="0" w:color="auto"/>
        <w:left w:val="none" w:sz="0" w:space="0" w:color="auto"/>
        <w:bottom w:val="none" w:sz="0" w:space="0" w:color="auto"/>
        <w:right w:val="none" w:sz="0" w:space="0" w:color="auto"/>
      </w:divBdr>
    </w:div>
    <w:div w:id="1165970565">
      <w:bodyDiv w:val="1"/>
      <w:marLeft w:val="0"/>
      <w:marRight w:val="0"/>
      <w:marTop w:val="0"/>
      <w:marBottom w:val="0"/>
      <w:divBdr>
        <w:top w:val="none" w:sz="0" w:space="0" w:color="auto"/>
        <w:left w:val="none" w:sz="0" w:space="0" w:color="auto"/>
        <w:bottom w:val="none" w:sz="0" w:space="0" w:color="auto"/>
        <w:right w:val="none" w:sz="0" w:space="0" w:color="auto"/>
      </w:divBdr>
    </w:div>
    <w:div w:id="1348946719">
      <w:bodyDiv w:val="1"/>
      <w:marLeft w:val="0"/>
      <w:marRight w:val="0"/>
      <w:marTop w:val="0"/>
      <w:marBottom w:val="0"/>
      <w:divBdr>
        <w:top w:val="none" w:sz="0" w:space="0" w:color="auto"/>
        <w:left w:val="none" w:sz="0" w:space="0" w:color="auto"/>
        <w:bottom w:val="none" w:sz="0" w:space="0" w:color="auto"/>
        <w:right w:val="none" w:sz="0" w:space="0" w:color="auto"/>
      </w:divBdr>
    </w:div>
    <w:div w:id="1397316694">
      <w:bodyDiv w:val="1"/>
      <w:marLeft w:val="0"/>
      <w:marRight w:val="0"/>
      <w:marTop w:val="0"/>
      <w:marBottom w:val="0"/>
      <w:divBdr>
        <w:top w:val="none" w:sz="0" w:space="0" w:color="auto"/>
        <w:left w:val="none" w:sz="0" w:space="0" w:color="auto"/>
        <w:bottom w:val="none" w:sz="0" w:space="0" w:color="auto"/>
        <w:right w:val="none" w:sz="0" w:space="0" w:color="auto"/>
      </w:divBdr>
    </w:div>
    <w:div w:id="1422289985">
      <w:bodyDiv w:val="1"/>
      <w:marLeft w:val="0"/>
      <w:marRight w:val="0"/>
      <w:marTop w:val="0"/>
      <w:marBottom w:val="0"/>
      <w:divBdr>
        <w:top w:val="none" w:sz="0" w:space="0" w:color="auto"/>
        <w:left w:val="none" w:sz="0" w:space="0" w:color="auto"/>
        <w:bottom w:val="none" w:sz="0" w:space="0" w:color="auto"/>
        <w:right w:val="none" w:sz="0" w:space="0" w:color="auto"/>
      </w:divBdr>
    </w:div>
    <w:div w:id="1554467554">
      <w:bodyDiv w:val="1"/>
      <w:marLeft w:val="0"/>
      <w:marRight w:val="0"/>
      <w:marTop w:val="0"/>
      <w:marBottom w:val="0"/>
      <w:divBdr>
        <w:top w:val="none" w:sz="0" w:space="0" w:color="auto"/>
        <w:left w:val="none" w:sz="0" w:space="0" w:color="auto"/>
        <w:bottom w:val="none" w:sz="0" w:space="0" w:color="auto"/>
        <w:right w:val="none" w:sz="0" w:space="0" w:color="auto"/>
      </w:divBdr>
    </w:div>
    <w:div w:id="1972175308">
      <w:bodyDiv w:val="1"/>
      <w:marLeft w:val="0"/>
      <w:marRight w:val="0"/>
      <w:marTop w:val="0"/>
      <w:marBottom w:val="0"/>
      <w:divBdr>
        <w:top w:val="none" w:sz="0" w:space="0" w:color="auto"/>
        <w:left w:val="none" w:sz="0" w:space="0" w:color="auto"/>
        <w:bottom w:val="none" w:sz="0" w:space="0" w:color="auto"/>
        <w:right w:val="none" w:sz="0" w:space="0" w:color="auto"/>
      </w:divBdr>
    </w:div>
    <w:div w:id="2007777598">
      <w:bodyDiv w:val="1"/>
      <w:marLeft w:val="0"/>
      <w:marRight w:val="0"/>
      <w:marTop w:val="0"/>
      <w:marBottom w:val="0"/>
      <w:divBdr>
        <w:top w:val="none" w:sz="0" w:space="0" w:color="auto"/>
        <w:left w:val="none" w:sz="0" w:space="0" w:color="auto"/>
        <w:bottom w:val="none" w:sz="0" w:space="0" w:color="auto"/>
        <w:right w:val="none" w:sz="0" w:space="0" w:color="auto"/>
      </w:divBdr>
    </w:div>
    <w:div w:id="205923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4927</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32952</CharactersWithSpaces>
  <SharedDoc>false</SharedDoc>
  <HLinks>
    <vt:vector size="12" baseType="variant">
      <vt:variant>
        <vt:i4>2818151</vt:i4>
      </vt:variant>
      <vt:variant>
        <vt:i4>5</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2010-05-10T17:47:00Z</cp:lastPrinted>
  <dcterms:created xsi:type="dcterms:W3CDTF">2011-04-08T11:26:00Z</dcterms:created>
  <dcterms:modified xsi:type="dcterms:W3CDTF">2011-04-08T11:26:00Z</dcterms:modified>
  <cp:category> </cp:category>
</cp:coreProperties>
</file>