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F6" w:rsidRDefault="00B473F6" w:rsidP="00AB7A6F"/>
    <w:p w:rsidR="00AB7A6F" w:rsidRPr="00B473F6" w:rsidRDefault="00AB7A6F" w:rsidP="00B473F6">
      <w:pPr>
        <w:jc w:val="center"/>
      </w:pPr>
    </w:p>
    <w:p w:rsidR="00832233" w:rsidRDefault="00832233" w:rsidP="00B473F6">
      <w:pPr>
        <w:jc w:val="center"/>
      </w:pPr>
      <w:r w:rsidRPr="00AB7A6F">
        <w:t>Supporting</w:t>
      </w:r>
      <w:r w:rsidR="00B473F6" w:rsidRPr="00AB7A6F">
        <w:t xml:space="preserve"> </w:t>
      </w:r>
      <w:r w:rsidRPr="00AB7A6F">
        <w:t>Statement</w:t>
      </w:r>
      <w:r w:rsidRPr="00AB7A6F">
        <w:br/>
        <w:t>for</w:t>
      </w:r>
      <w:r w:rsidRPr="00AB7A6F">
        <w:br/>
        <w:t>Information Collection Request</w:t>
      </w:r>
    </w:p>
    <w:p w:rsidR="00AB7A6F" w:rsidRDefault="00AB7A6F" w:rsidP="00B473F6">
      <w:pPr>
        <w:jc w:val="center"/>
      </w:pPr>
    </w:p>
    <w:p w:rsidR="00AB7A6F" w:rsidRPr="00AB7A6F" w:rsidRDefault="00AB7A6F" w:rsidP="00B473F6">
      <w:pPr>
        <w:jc w:val="center"/>
      </w:pPr>
    </w:p>
    <w:p w:rsidR="005C6E78" w:rsidRDefault="00AB7A6F" w:rsidP="00B473F6">
      <w:pPr>
        <w:jc w:val="center"/>
        <w:rPr>
          <w:b/>
          <w:color w:val="000000"/>
        </w:rPr>
      </w:pPr>
      <w:r w:rsidRPr="009C557E">
        <w:rPr>
          <w:b/>
          <w:color w:val="000000"/>
        </w:rPr>
        <w:t xml:space="preserve">Emissions Certification and Compliance </w:t>
      </w:r>
      <w:r w:rsidR="005C6E78">
        <w:rPr>
          <w:b/>
          <w:color w:val="000000"/>
        </w:rPr>
        <w:t>for</w:t>
      </w:r>
    </w:p>
    <w:p w:rsidR="00AB7A6F" w:rsidRPr="009C557E" w:rsidRDefault="00AB7A6F" w:rsidP="00B473F6">
      <w:pPr>
        <w:jc w:val="center"/>
        <w:rPr>
          <w:b/>
          <w:color w:val="000000"/>
        </w:rPr>
      </w:pPr>
      <w:r w:rsidRPr="009C557E">
        <w:rPr>
          <w:b/>
          <w:color w:val="000000"/>
        </w:rPr>
        <w:t xml:space="preserve">On-highway Heavy Duty Engines </w:t>
      </w:r>
    </w:p>
    <w:p w:rsidR="009C557E" w:rsidRPr="009C557E" w:rsidRDefault="009C557E" w:rsidP="00B473F6">
      <w:pPr>
        <w:jc w:val="center"/>
        <w:rPr>
          <w:b/>
          <w:color w:val="000000"/>
        </w:rPr>
      </w:pPr>
    </w:p>
    <w:p w:rsidR="005C6E78" w:rsidRDefault="00AB7A6F" w:rsidP="00B473F6">
      <w:pPr>
        <w:jc w:val="center"/>
        <w:rPr>
          <w:b/>
          <w:color w:val="000000"/>
        </w:rPr>
      </w:pPr>
      <w:r w:rsidRPr="009C557E">
        <w:rPr>
          <w:b/>
          <w:color w:val="000000"/>
        </w:rPr>
        <w:t>(</w:t>
      </w:r>
      <w:r w:rsidR="00EE53BE">
        <w:rPr>
          <w:b/>
          <w:color w:val="000000"/>
        </w:rPr>
        <w:t>Final</w:t>
      </w:r>
      <w:r w:rsidR="00EE53BE" w:rsidRPr="009C557E">
        <w:rPr>
          <w:b/>
          <w:color w:val="000000"/>
        </w:rPr>
        <w:t xml:space="preserve"> </w:t>
      </w:r>
      <w:r w:rsidRPr="009C557E">
        <w:rPr>
          <w:b/>
          <w:color w:val="000000"/>
        </w:rPr>
        <w:t xml:space="preserve">Rule for </w:t>
      </w:r>
      <w:r w:rsidR="005C6E78">
        <w:rPr>
          <w:b/>
          <w:color w:val="000000"/>
        </w:rPr>
        <w:t xml:space="preserve">Clean </w:t>
      </w:r>
      <w:r w:rsidRPr="009C557E">
        <w:rPr>
          <w:b/>
          <w:color w:val="000000"/>
        </w:rPr>
        <w:t xml:space="preserve">Alternative </w:t>
      </w:r>
    </w:p>
    <w:p w:rsidR="00AB7A6F" w:rsidRPr="009C557E" w:rsidRDefault="00AB7A6F" w:rsidP="00B473F6">
      <w:pPr>
        <w:jc w:val="center"/>
        <w:rPr>
          <w:b/>
          <w:color w:val="000000"/>
        </w:rPr>
      </w:pPr>
      <w:r w:rsidRPr="009C557E">
        <w:rPr>
          <w:b/>
          <w:color w:val="000000"/>
        </w:rPr>
        <w:t>Fuel</w:t>
      </w:r>
      <w:r w:rsidR="005C6E78">
        <w:rPr>
          <w:b/>
          <w:color w:val="000000"/>
        </w:rPr>
        <w:t xml:space="preserve"> </w:t>
      </w:r>
      <w:r w:rsidRPr="009C557E">
        <w:rPr>
          <w:b/>
          <w:color w:val="000000"/>
        </w:rPr>
        <w:t>Conversions)</w:t>
      </w:r>
    </w:p>
    <w:p w:rsidR="00AB7A6F" w:rsidRDefault="00AB7A6F" w:rsidP="00B473F6">
      <w:pPr>
        <w:jc w:val="center"/>
        <w:rPr>
          <w:color w:val="000000"/>
        </w:rPr>
      </w:pPr>
    </w:p>
    <w:p w:rsidR="009C557E" w:rsidRDefault="009C557E" w:rsidP="00B473F6">
      <w:pPr>
        <w:jc w:val="center"/>
        <w:rPr>
          <w:color w:val="000000"/>
        </w:rPr>
      </w:pPr>
    </w:p>
    <w:p w:rsidR="009C557E" w:rsidRPr="00AB7A6F" w:rsidRDefault="009C557E" w:rsidP="00B473F6">
      <w:pPr>
        <w:jc w:val="center"/>
        <w:rPr>
          <w:color w:val="000000"/>
        </w:rPr>
      </w:pPr>
    </w:p>
    <w:p w:rsidR="00FA634C" w:rsidRPr="00AB7A6F" w:rsidRDefault="00F867BC" w:rsidP="00B473F6">
      <w:pPr>
        <w:jc w:val="center"/>
      </w:pPr>
      <w:r w:rsidRPr="00AB7A6F">
        <w:t xml:space="preserve">EPA ICR </w:t>
      </w:r>
      <w:r w:rsidR="00AB7A6F" w:rsidRPr="00AB7A6F">
        <w:t>1864.1</w:t>
      </w:r>
      <w:r w:rsidR="00283424">
        <w:t>7</w:t>
      </w:r>
    </w:p>
    <w:p w:rsidR="00FA634C" w:rsidRDefault="009C557E" w:rsidP="00692526">
      <w:pPr>
        <w:pStyle w:val="Style13"/>
        <w:spacing w:line="240" w:lineRule="auto"/>
      </w:pPr>
      <w:r>
        <w:t>OMB Control N</w:t>
      </w:r>
      <w:r w:rsidRPr="00AB7A6F">
        <w:t>umber 2060-</w:t>
      </w:r>
      <w:r>
        <w:t>0287</w:t>
      </w:r>
    </w:p>
    <w:p w:rsidR="009C557E" w:rsidRDefault="009C557E" w:rsidP="00692526">
      <w:pPr>
        <w:pStyle w:val="Style13"/>
        <w:spacing w:line="240" w:lineRule="auto"/>
      </w:pPr>
    </w:p>
    <w:p w:rsidR="009C557E" w:rsidRPr="00AB7A6F" w:rsidRDefault="009C557E" w:rsidP="00692526">
      <w:pPr>
        <w:pStyle w:val="Style13"/>
        <w:spacing w:line="240" w:lineRule="auto"/>
        <w:rPr>
          <w:spacing w:val="8"/>
        </w:rPr>
      </w:pPr>
    </w:p>
    <w:p w:rsidR="00FA634C" w:rsidRPr="00AB7A6F" w:rsidRDefault="00832233" w:rsidP="00692526">
      <w:pPr>
        <w:pStyle w:val="Style13"/>
        <w:spacing w:line="240" w:lineRule="auto"/>
        <w:rPr>
          <w:spacing w:val="8"/>
        </w:rPr>
      </w:pPr>
      <w:r w:rsidRPr="00AB7A6F">
        <w:rPr>
          <w:spacing w:val="8"/>
        </w:rPr>
        <w:br/>
      </w:r>
    </w:p>
    <w:p w:rsidR="00C170DD" w:rsidRDefault="00C170DD" w:rsidP="00692526">
      <w:pPr>
        <w:pStyle w:val="Style13"/>
        <w:spacing w:line="240" w:lineRule="auto"/>
        <w:rPr>
          <w:spacing w:val="8"/>
        </w:rPr>
      </w:pPr>
    </w:p>
    <w:p w:rsidR="00FA634C" w:rsidRDefault="00FA634C"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9925D1" w:rsidRDefault="009925D1" w:rsidP="00692526">
      <w:pPr>
        <w:pStyle w:val="Style13"/>
        <w:spacing w:line="240" w:lineRule="auto"/>
        <w:rPr>
          <w:spacing w:val="8"/>
        </w:rPr>
      </w:pPr>
    </w:p>
    <w:p w:rsidR="009925D1" w:rsidRDefault="009925D1" w:rsidP="00692526">
      <w:pPr>
        <w:pStyle w:val="Style13"/>
        <w:spacing w:line="240" w:lineRule="auto"/>
        <w:rPr>
          <w:spacing w:val="8"/>
        </w:rPr>
      </w:pPr>
    </w:p>
    <w:p w:rsidR="009925D1" w:rsidRDefault="009925D1" w:rsidP="00692526">
      <w:pPr>
        <w:pStyle w:val="Style13"/>
        <w:spacing w:line="240" w:lineRule="auto"/>
        <w:rPr>
          <w:spacing w:val="8"/>
        </w:rPr>
      </w:pPr>
    </w:p>
    <w:p w:rsidR="009925D1" w:rsidRDefault="009925D1" w:rsidP="00692526">
      <w:pPr>
        <w:pStyle w:val="Style13"/>
        <w:spacing w:line="240" w:lineRule="auto"/>
        <w:rPr>
          <w:spacing w:val="8"/>
        </w:rPr>
      </w:pPr>
    </w:p>
    <w:p w:rsidR="001141C8" w:rsidRDefault="001141C8" w:rsidP="00692526">
      <w:pPr>
        <w:pStyle w:val="Style13"/>
        <w:spacing w:line="240" w:lineRule="auto"/>
        <w:rPr>
          <w:spacing w:val="8"/>
        </w:rPr>
      </w:pPr>
    </w:p>
    <w:p w:rsidR="00F867BC" w:rsidRDefault="00832233" w:rsidP="002A4BA7">
      <w:pPr>
        <w:jc w:val="center"/>
      </w:pPr>
      <w:r w:rsidRPr="005379F3">
        <w:t>C</w:t>
      </w:r>
      <w:r w:rsidR="00F867BC">
        <w:t>ompliance</w:t>
      </w:r>
      <w:r w:rsidRPr="005379F3">
        <w:t xml:space="preserve"> and </w:t>
      </w:r>
      <w:r w:rsidR="00F867BC">
        <w:t>Innovative Strategies Division</w:t>
      </w:r>
    </w:p>
    <w:p w:rsidR="00832233" w:rsidRPr="005379F3" w:rsidRDefault="00832233" w:rsidP="00F867BC">
      <w:pPr>
        <w:pStyle w:val="Style14"/>
        <w:spacing w:before="0"/>
        <w:rPr>
          <w:spacing w:val="8"/>
        </w:rPr>
      </w:pPr>
      <w:r w:rsidRPr="005379F3">
        <w:rPr>
          <w:spacing w:val="8"/>
        </w:rPr>
        <w:t>Office of Transportation and Air Quality</w:t>
      </w:r>
      <w:r w:rsidRPr="005379F3">
        <w:rPr>
          <w:spacing w:val="8"/>
        </w:rPr>
        <w:br/>
        <w:t>Office of Air and Radiation</w:t>
      </w:r>
      <w:r w:rsidRPr="005379F3">
        <w:rPr>
          <w:spacing w:val="8"/>
        </w:rPr>
        <w:br/>
        <w:t>U.S. Environmental Protection Agency</w:t>
      </w:r>
    </w:p>
    <w:p w:rsidR="00832233" w:rsidRPr="005379F3" w:rsidRDefault="00832233" w:rsidP="00692526">
      <w:pPr>
        <w:pStyle w:val="Style14"/>
        <w:jc w:val="left"/>
        <w:sectPr w:rsidR="00832233" w:rsidRPr="005379F3" w:rsidSect="004E7552">
          <w:footerReference w:type="even" r:id="rId8"/>
          <w:footerReference w:type="default" r:id="rId9"/>
          <w:pgSz w:w="12240" w:h="15840"/>
          <w:pgMar w:top="1440" w:right="2572" w:bottom="1440" w:left="2141" w:header="720" w:footer="720" w:gutter="0"/>
          <w:cols w:space="720"/>
          <w:noEndnote/>
          <w:titlePg/>
        </w:sectPr>
      </w:pPr>
    </w:p>
    <w:p w:rsidR="007F7BD6" w:rsidRPr="003B40E4" w:rsidRDefault="007F7BD6" w:rsidP="007F7BD6">
      <w:pPr>
        <w:rPr>
          <w:b/>
          <w:u w:val="single"/>
        </w:rPr>
      </w:pPr>
      <w:r w:rsidRPr="003B40E4">
        <w:rPr>
          <w:b/>
        </w:rPr>
        <w:lastRenderedPageBreak/>
        <w:t>1.</w:t>
      </w:r>
      <w:r w:rsidRPr="003B40E4">
        <w:rPr>
          <w:b/>
        </w:rPr>
        <w:tab/>
      </w:r>
      <w:r w:rsidRPr="003B40E4">
        <w:rPr>
          <w:b/>
          <w:u w:val="single"/>
        </w:rPr>
        <w:t>Identification of the Information Collection</w:t>
      </w:r>
    </w:p>
    <w:p w:rsidR="00AB7A6F" w:rsidRDefault="00AB7A6F" w:rsidP="00244D11">
      <w:pPr>
        <w:outlineLvl w:val="0"/>
      </w:pPr>
    </w:p>
    <w:p w:rsidR="007F7BD6" w:rsidRDefault="007F7BD6" w:rsidP="00244D11">
      <w:pPr>
        <w:outlineLvl w:val="0"/>
      </w:pPr>
    </w:p>
    <w:p w:rsidR="00244D11" w:rsidRDefault="005379F3" w:rsidP="00244D11">
      <w:pPr>
        <w:outlineLvl w:val="0"/>
      </w:pPr>
      <w:r w:rsidRPr="005379F3">
        <w:t xml:space="preserve">1(a) </w:t>
      </w:r>
      <w:r w:rsidR="007F7BD6">
        <w:tab/>
      </w:r>
      <w:r w:rsidR="003F4388">
        <w:rPr>
          <w:u w:val="single"/>
        </w:rPr>
        <w:t xml:space="preserve">Title </w:t>
      </w:r>
      <w:proofErr w:type="gramStart"/>
      <w:r w:rsidR="003F4388">
        <w:rPr>
          <w:u w:val="single"/>
        </w:rPr>
        <w:t>A</w:t>
      </w:r>
      <w:r w:rsidR="00832233" w:rsidRPr="005379F3">
        <w:rPr>
          <w:u w:val="single"/>
        </w:rPr>
        <w:t>nd</w:t>
      </w:r>
      <w:proofErr w:type="gramEnd"/>
      <w:r w:rsidR="003F4388">
        <w:rPr>
          <w:u w:val="single"/>
        </w:rPr>
        <w:t xml:space="preserve"> Number Of T</w:t>
      </w:r>
      <w:r w:rsidR="00832233" w:rsidRPr="005379F3">
        <w:rPr>
          <w:u w:val="single"/>
        </w:rPr>
        <w:t>he Information Collect</w:t>
      </w:r>
      <w:r w:rsidR="00244D11">
        <w:rPr>
          <w:u w:val="single"/>
        </w:rPr>
        <w:t>ion</w:t>
      </w:r>
      <w:r w:rsidR="00BC5FE0">
        <w:tab/>
      </w:r>
      <w:r w:rsidR="00F04661" w:rsidRPr="007D7227">
        <w:t xml:space="preserve"> </w:t>
      </w:r>
    </w:p>
    <w:p w:rsidR="00244D11" w:rsidRDefault="00244D11" w:rsidP="00244D11">
      <w:pPr>
        <w:outlineLvl w:val="0"/>
      </w:pPr>
    </w:p>
    <w:p w:rsidR="00832233" w:rsidRPr="00AB7A6F" w:rsidRDefault="00244D11" w:rsidP="00244D11">
      <w:pPr>
        <w:outlineLvl w:val="0"/>
      </w:pPr>
      <w:r w:rsidRPr="00AB7A6F">
        <w:tab/>
      </w:r>
      <w:proofErr w:type="gramStart"/>
      <w:r w:rsidR="00AB7A6F" w:rsidRPr="00AB7A6F">
        <w:rPr>
          <w:color w:val="000000"/>
        </w:rPr>
        <w:t xml:space="preserve">Emissions Certification and Compliance </w:t>
      </w:r>
      <w:r w:rsidR="005C6E78">
        <w:rPr>
          <w:color w:val="000000"/>
        </w:rPr>
        <w:t xml:space="preserve">for </w:t>
      </w:r>
      <w:r w:rsidR="00AB7A6F" w:rsidRPr="00AB7A6F">
        <w:rPr>
          <w:color w:val="000000"/>
        </w:rPr>
        <w:t>On-highway Heavy Duty Engines (</w:t>
      </w:r>
      <w:r w:rsidR="00C82BAF">
        <w:rPr>
          <w:color w:val="000000"/>
        </w:rPr>
        <w:t>Final</w:t>
      </w:r>
      <w:r w:rsidR="00AB7A6F" w:rsidRPr="00AB7A6F">
        <w:rPr>
          <w:color w:val="000000"/>
        </w:rPr>
        <w:t xml:space="preserve"> Rule for</w:t>
      </w:r>
      <w:r w:rsidR="00C82BAF">
        <w:rPr>
          <w:color w:val="000000"/>
        </w:rPr>
        <w:t xml:space="preserve"> Clean</w:t>
      </w:r>
      <w:r w:rsidR="00AB7A6F" w:rsidRPr="00AB7A6F">
        <w:rPr>
          <w:color w:val="000000"/>
        </w:rPr>
        <w:t xml:space="preserve"> Alternative Fuel Conversions)</w:t>
      </w:r>
      <w:r w:rsidRPr="00AB7A6F">
        <w:t xml:space="preserve">; </w:t>
      </w:r>
      <w:r w:rsidR="00F04661" w:rsidRPr="00AB7A6F">
        <w:t xml:space="preserve">EPA </w:t>
      </w:r>
      <w:r w:rsidR="00832233" w:rsidRPr="00AB7A6F">
        <w:t xml:space="preserve">ICR number </w:t>
      </w:r>
      <w:r w:rsidR="00C82BAF">
        <w:t>1684.17</w:t>
      </w:r>
      <w:r w:rsidR="00AB7A6F">
        <w:t>, OMB Control N</w:t>
      </w:r>
      <w:r w:rsidR="00832233" w:rsidRPr="00AB7A6F">
        <w:t>umber 2060-</w:t>
      </w:r>
      <w:r w:rsidR="00AB7A6F">
        <w:t>0287.</w:t>
      </w:r>
      <w:proofErr w:type="gramEnd"/>
    </w:p>
    <w:p w:rsidR="00EF655F" w:rsidRPr="00AB7A6F" w:rsidRDefault="00EF655F" w:rsidP="00692526">
      <w:pPr>
        <w:pStyle w:val="Style6"/>
        <w:jc w:val="left"/>
        <w:rPr>
          <w:spacing w:val="6"/>
        </w:rPr>
      </w:pPr>
    </w:p>
    <w:p w:rsidR="00AB7A6F" w:rsidRDefault="00AB7A6F" w:rsidP="00692526">
      <w:pPr>
        <w:rPr>
          <w:spacing w:val="6"/>
        </w:rPr>
      </w:pPr>
    </w:p>
    <w:p w:rsidR="00832233" w:rsidRDefault="005379F3" w:rsidP="00692526">
      <w:pPr>
        <w:rPr>
          <w:spacing w:val="6"/>
          <w:u w:val="single"/>
        </w:rPr>
      </w:pPr>
      <w:r w:rsidRPr="005379F3">
        <w:rPr>
          <w:spacing w:val="6"/>
        </w:rPr>
        <w:t xml:space="preserve">1(b) </w:t>
      </w:r>
      <w:r w:rsidR="007F7BD6">
        <w:rPr>
          <w:spacing w:val="6"/>
        </w:rPr>
        <w:tab/>
      </w:r>
      <w:r w:rsidR="00832233" w:rsidRPr="005379F3">
        <w:rPr>
          <w:spacing w:val="6"/>
          <w:u w:val="single"/>
        </w:rPr>
        <w:t>Short Characterization/Abstract</w:t>
      </w:r>
    </w:p>
    <w:p w:rsidR="00EF655F" w:rsidRPr="005379F3" w:rsidRDefault="00EF655F" w:rsidP="00692526">
      <w:pPr>
        <w:rPr>
          <w:spacing w:val="6"/>
        </w:rPr>
      </w:pPr>
    </w:p>
    <w:p w:rsidR="00A03AA9" w:rsidRDefault="00BC5FE0" w:rsidP="00C72055">
      <w:pPr>
        <w:pStyle w:val="Style6"/>
        <w:jc w:val="left"/>
        <w:rPr>
          <w:spacing w:val="6"/>
        </w:rPr>
      </w:pPr>
      <w:r>
        <w:rPr>
          <w:spacing w:val="6"/>
        </w:rPr>
        <w:tab/>
      </w:r>
      <w:r w:rsidR="002F57D8" w:rsidRPr="002F57D8">
        <w:rPr>
          <w:spacing w:val="6"/>
        </w:rPr>
        <w:t xml:space="preserve">The Environmental Protection Agency </w:t>
      </w:r>
      <w:r w:rsidR="00093706">
        <w:rPr>
          <w:spacing w:val="6"/>
        </w:rPr>
        <w:t xml:space="preserve">is </w:t>
      </w:r>
      <w:r w:rsidR="00EE3DEE">
        <w:rPr>
          <w:spacing w:val="6"/>
        </w:rPr>
        <w:t xml:space="preserve">finalizing </w:t>
      </w:r>
      <w:r w:rsidR="00244D11">
        <w:rPr>
          <w:spacing w:val="6"/>
        </w:rPr>
        <w:t xml:space="preserve">changes designed to </w:t>
      </w:r>
      <w:r w:rsidR="00093706">
        <w:rPr>
          <w:spacing w:val="6"/>
        </w:rPr>
        <w:t xml:space="preserve">simplify and lessen the burdens for manufacturers seeking </w:t>
      </w:r>
      <w:r w:rsidR="00895D21">
        <w:rPr>
          <w:spacing w:val="6"/>
        </w:rPr>
        <w:t>approval to introduce into commerce in the U.S.</w:t>
      </w:r>
      <w:r w:rsidR="00093706">
        <w:rPr>
          <w:spacing w:val="6"/>
        </w:rPr>
        <w:t xml:space="preserve"> </w:t>
      </w:r>
      <w:r w:rsidR="00673A7E">
        <w:rPr>
          <w:spacing w:val="6"/>
        </w:rPr>
        <w:t>light-duty</w:t>
      </w:r>
      <w:r w:rsidR="00093706">
        <w:rPr>
          <w:spacing w:val="6"/>
        </w:rPr>
        <w:t xml:space="preserve"> vehicles</w:t>
      </w:r>
      <w:r w:rsidR="00C6626F">
        <w:rPr>
          <w:spacing w:val="6"/>
        </w:rPr>
        <w:t>,</w:t>
      </w:r>
      <w:r w:rsidR="00093706">
        <w:rPr>
          <w:spacing w:val="6"/>
        </w:rPr>
        <w:t xml:space="preserve"> </w:t>
      </w:r>
      <w:r w:rsidR="00673A7E">
        <w:rPr>
          <w:spacing w:val="6"/>
        </w:rPr>
        <w:t>light-duty</w:t>
      </w:r>
      <w:r w:rsidR="00093706">
        <w:rPr>
          <w:spacing w:val="6"/>
        </w:rPr>
        <w:t xml:space="preserve"> trucks</w:t>
      </w:r>
      <w:r w:rsidR="00C6626F">
        <w:rPr>
          <w:spacing w:val="6"/>
        </w:rPr>
        <w:t xml:space="preserve">, </w:t>
      </w:r>
      <w:r w:rsidR="00673A7E">
        <w:rPr>
          <w:spacing w:val="6"/>
        </w:rPr>
        <w:t>medium-duty</w:t>
      </w:r>
      <w:r w:rsidR="00C6626F">
        <w:rPr>
          <w:spacing w:val="6"/>
        </w:rPr>
        <w:t xml:space="preserve"> passenger vehicles, and </w:t>
      </w:r>
      <w:r w:rsidR="00C6626F" w:rsidRPr="00C6626F">
        <w:rPr>
          <w:spacing w:val="6"/>
        </w:rPr>
        <w:t>heavy-duty vehicles and engines</w:t>
      </w:r>
      <w:r w:rsidR="00093706">
        <w:rPr>
          <w:spacing w:val="6"/>
        </w:rPr>
        <w:t xml:space="preserve"> </w:t>
      </w:r>
      <w:r w:rsidR="00DD4A6A">
        <w:rPr>
          <w:spacing w:val="6"/>
        </w:rPr>
        <w:t xml:space="preserve">that have been converted </w:t>
      </w:r>
      <w:r w:rsidR="00093706">
        <w:rPr>
          <w:spacing w:val="6"/>
        </w:rPr>
        <w:t xml:space="preserve">for use of fuels that the original models were not designed for, such as </w:t>
      </w:r>
      <w:r w:rsidR="00DD4A6A">
        <w:rPr>
          <w:spacing w:val="6"/>
        </w:rPr>
        <w:t xml:space="preserve">from gasoline to </w:t>
      </w:r>
      <w:r w:rsidR="00093706">
        <w:rPr>
          <w:spacing w:val="6"/>
        </w:rPr>
        <w:t>liquid propane gas (LPG) or compressed natural gas (CNG)</w:t>
      </w:r>
      <w:r w:rsidR="00244D11">
        <w:rPr>
          <w:spacing w:val="6"/>
        </w:rPr>
        <w:t xml:space="preserve">. </w:t>
      </w:r>
      <w:r w:rsidR="00673A7E">
        <w:rPr>
          <w:spacing w:val="6"/>
        </w:rPr>
        <w:t xml:space="preserve">This ICR covers the </w:t>
      </w:r>
      <w:r w:rsidR="00A03AA9">
        <w:rPr>
          <w:spacing w:val="6"/>
        </w:rPr>
        <w:t>heavy</w:t>
      </w:r>
      <w:r w:rsidR="00673A7E">
        <w:rPr>
          <w:spacing w:val="6"/>
        </w:rPr>
        <w:t xml:space="preserve">-duty portion of the </w:t>
      </w:r>
      <w:r w:rsidR="00564A22">
        <w:rPr>
          <w:spacing w:val="6"/>
        </w:rPr>
        <w:t>final rule</w:t>
      </w:r>
      <w:r w:rsidR="00673A7E">
        <w:rPr>
          <w:spacing w:val="6"/>
        </w:rPr>
        <w:t>.</w:t>
      </w:r>
      <w:r w:rsidR="00564A22">
        <w:rPr>
          <w:spacing w:val="6"/>
        </w:rPr>
        <w:t xml:space="preserve">  The proposed rule was submitted under EPA ICR Number 1684.15.</w:t>
      </w:r>
    </w:p>
    <w:p w:rsidR="004B4F86" w:rsidRDefault="004B4F86" w:rsidP="00C72055">
      <w:pPr>
        <w:pStyle w:val="Style6"/>
        <w:jc w:val="left"/>
        <w:rPr>
          <w:spacing w:val="6"/>
        </w:rPr>
      </w:pPr>
    </w:p>
    <w:p w:rsidR="00B70FF8" w:rsidRDefault="00BC5FE0" w:rsidP="00C72055">
      <w:pPr>
        <w:pStyle w:val="Style6"/>
        <w:jc w:val="left"/>
        <w:rPr>
          <w:spacing w:val="6"/>
        </w:rPr>
      </w:pPr>
      <w:r>
        <w:rPr>
          <w:spacing w:val="6"/>
        </w:rPr>
        <w:tab/>
      </w:r>
      <w:r w:rsidR="002F57D8" w:rsidRPr="002F57D8">
        <w:rPr>
          <w:spacing w:val="6"/>
        </w:rPr>
        <w:t xml:space="preserve">These changes </w:t>
      </w:r>
      <w:r w:rsidR="00546868">
        <w:rPr>
          <w:spacing w:val="6"/>
        </w:rPr>
        <w:t>would start taking</w:t>
      </w:r>
      <w:r w:rsidR="002F57D8" w:rsidRPr="002F57D8">
        <w:rPr>
          <w:spacing w:val="6"/>
        </w:rPr>
        <w:t xml:space="preserve"> effect with </w:t>
      </w:r>
      <w:r w:rsidR="00EE3DEE">
        <w:rPr>
          <w:spacing w:val="6"/>
        </w:rPr>
        <w:t xml:space="preserve">the </w:t>
      </w:r>
      <w:r w:rsidR="002F57D8" w:rsidRPr="002F57D8">
        <w:rPr>
          <w:spacing w:val="6"/>
        </w:rPr>
        <w:t>20</w:t>
      </w:r>
      <w:r w:rsidR="00244D11">
        <w:rPr>
          <w:spacing w:val="6"/>
        </w:rPr>
        <w:t>1</w:t>
      </w:r>
      <w:r w:rsidR="0086482D">
        <w:rPr>
          <w:spacing w:val="6"/>
        </w:rPr>
        <w:t>1</w:t>
      </w:r>
      <w:r w:rsidR="002F57D8" w:rsidRPr="002F57D8">
        <w:rPr>
          <w:spacing w:val="6"/>
        </w:rPr>
        <w:t xml:space="preserve"> </w:t>
      </w:r>
      <w:r w:rsidR="00EE3DEE">
        <w:rPr>
          <w:spacing w:val="6"/>
        </w:rPr>
        <w:t xml:space="preserve">conversion </w:t>
      </w:r>
      <w:r w:rsidR="002F57D8" w:rsidRPr="002F57D8">
        <w:rPr>
          <w:spacing w:val="6"/>
        </w:rPr>
        <w:t xml:space="preserve">model year </w:t>
      </w:r>
      <w:r w:rsidR="00F22CCA">
        <w:rPr>
          <w:spacing w:val="6"/>
        </w:rPr>
        <w:t>or upon the effective date of the final rule</w:t>
      </w:r>
      <w:r w:rsidR="002F57D8" w:rsidRPr="002F57D8">
        <w:rPr>
          <w:spacing w:val="6"/>
        </w:rPr>
        <w:t xml:space="preserve">.  </w:t>
      </w:r>
      <w:r w:rsidR="00244D11">
        <w:rPr>
          <w:spacing w:val="6"/>
        </w:rPr>
        <w:t xml:space="preserve">Starting </w:t>
      </w:r>
      <w:r w:rsidR="00F22CCA">
        <w:rPr>
          <w:spacing w:val="6"/>
        </w:rPr>
        <w:t>then</w:t>
      </w:r>
      <w:r w:rsidR="00244D11">
        <w:rPr>
          <w:spacing w:val="6"/>
        </w:rPr>
        <w:t xml:space="preserve">, </w:t>
      </w:r>
      <w:r w:rsidR="005B3909">
        <w:rPr>
          <w:spacing w:val="6"/>
        </w:rPr>
        <w:t xml:space="preserve">manufacturers will </w:t>
      </w:r>
      <w:r w:rsidR="00DD4A6A">
        <w:rPr>
          <w:spacing w:val="6"/>
        </w:rPr>
        <w:t xml:space="preserve">be given expanded options for submitting simplified applications. </w:t>
      </w:r>
      <w:r w:rsidR="005B3909">
        <w:rPr>
          <w:spacing w:val="6"/>
        </w:rPr>
        <w:t xml:space="preserve">ICRs normally have a three year time horizon. </w:t>
      </w:r>
      <w:r w:rsidR="00F22CCA">
        <w:rPr>
          <w:spacing w:val="6"/>
        </w:rPr>
        <w:t>T</w:t>
      </w:r>
      <w:r w:rsidR="003D3185">
        <w:rPr>
          <w:spacing w:val="6"/>
        </w:rPr>
        <w:t>his ICR w</w:t>
      </w:r>
      <w:r w:rsidR="00F22CCA">
        <w:rPr>
          <w:spacing w:val="6"/>
        </w:rPr>
        <w:t>ill</w:t>
      </w:r>
      <w:r w:rsidR="003D3185">
        <w:rPr>
          <w:spacing w:val="6"/>
        </w:rPr>
        <w:t xml:space="preserve"> </w:t>
      </w:r>
      <w:r w:rsidR="005B3909">
        <w:rPr>
          <w:spacing w:val="6"/>
        </w:rPr>
        <w:t>cover the expected paperwork burden</w:t>
      </w:r>
      <w:r w:rsidR="00F22CCA">
        <w:rPr>
          <w:spacing w:val="6"/>
        </w:rPr>
        <w:t xml:space="preserve"> changes</w:t>
      </w:r>
      <w:r w:rsidR="005B3909">
        <w:rPr>
          <w:spacing w:val="6"/>
        </w:rPr>
        <w:t xml:space="preserve"> for </w:t>
      </w:r>
      <w:r w:rsidR="00F22CCA">
        <w:rPr>
          <w:spacing w:val="6"/>
        </w:rPr>
        <w:t>the three years after the effective date of the final rule</w:t>
      </w:r>
      <w:r w:rsidR="005B3909">
        <w:rPr>
          <w:spacing w:val="6"/>
        </w:rPr>
        <w:t xml:space="preserve">. </w:t>
      </w:r>
    </w:p>
    <w:p w:rsidR="00A03AA9" w:rsidRDefault="00A03AA9" w:rsidP="00C72055">
      <w:pPr>
        <w:pStyle w:val="Style6"/>
        <w:jc w:val="left"/>
        <w:rPr>
          <w:spacing w:val="6"/>
        </w:rPr>
      </w:pPr>
    </w:p>
    <w:p w:rsidR="00A03AA9" w:rsidRDefault="00A03AA9" w:rsidP="00A03AA9">
      <w:pPr>
        <w:adjustRightInd w:val="0"/>
        <w:ind w:firstLine="720"/>
        <w:rPr>
          <w:spacing w:val="6"/>
        </w:rPr>
      </w:pPr>
      <w:r>
        <w:rPr>
          <w:spacing w:val="6"/>
        </w:rPr>
        <w:t>Under previous iterations of this ICR, EPA</w:t>
      </w:r>
      <w:r w:rsidRPr="00A03AA9">
        <w:rPr>
          <w:spacing w:val="6"/>
        </w:rPr>
        <w:t xml:space="preserve"> analyzed the cost of obtaining a certificate of conformity under current regulations and</w:t>
      </w:r>
      <w:r>
        <w:rPr>
          <w:spacing w:val="6"/>
        </w:rPr>
        <w:t xml:space="preserve"> used that as a baseline cost.  This Supporting Statement addresses only the anticipated paperwork burden </w:t>
      </w:r>
      <w:r w:rsidR="007F7BD6">
        <w:rPr>
          <w:spacing w:val="6"/>
        </w:rPr>
        <w:t xml:space="preserve">of </w:t>
      </w:r>
      <w:r w:rsidR="00EE3DEE">
        <w:rPr>
          <w:spacing w:val="6"/>
        </w:rPr>
        <w:t>the Clean Alternative Fuel Vehicle and Engine Conversions final</w:t>
      </w:r>
      <w:r w:rsidR="007F7BD6">
        <w:rPr>
          <w:spacing w:val="6"/>
        </w:rPr>
        <w:t xml:space="preserve"> rule</w:t>
      </w:r>
      <w:r>
        <w:rPr>
          <w:spacing w:val="6"/>
        </w:rPr>
        <w:t xml:space="preserve"> in relation to </w:t>
      </w:r>
      <w:r w:rsidR="007F7BD6">
        <w:rPr>
          <w:spacing w:val="6"/>
        </w:rPr>
        <w:t xml:space="preserve">the existing baseline. </w:t>
      </w:r>
      <w:r w:rsidR="00BC3E8B" w:rsidRPr="00B966BD">
        <w:rPr>
          <w:spacing w:val="6"/>
        </w:rPr>
        <w:t xml:space="preserve">Also, it should be noted that this Supporting Statement amends the Supporting Statement submitted in May 2010 </w:t>
      </w:r>
      <w:r w:rsidR="00564A22">
        <w:rPr>
          <w:spacing w:val="6"/>
        </w:rPr>
        <w:t xml:space="preserve">(under EPA ICR Number 1684.15) </w:t>
      </w:r>
      <w:r w:rsidR="00BC3E8B" w:rsidRPr="00B966BD">
        <w:rPr>
          <w:spacing w:val="6"/>
        </w:rPr>
        <w:t xml:space="preserve">by replacing the OBD requirement for </w:t>
      </w:r>
      <w:r w:rsidR="005F53B5" w:rsidRPr="00B966BD">
        <w:rPr>
          <w:spacing w:val="6"/>
        </w:rPr>
        <w:t xml:space="preserve">intermediate-age </w:t>
      </w:r>
      <w:r w:rsidR="00BC3E8B" w:rsidRPr="00B966BD">
        <w:rPr>
          <w:spacing w:val="6"/>
        </w:rPr>
        <w:t>and out</w:t>
      </w:r>
      <w:r w:rsidR="005F53B5" w:rsidRPr="00B966BD">
        <w:rPr>
          <w:spacing w:val="6"/>
        </w:rPr>
        <w:t>side</w:t>
      </w:r>
      <w:r w:rsidR="00BC3E8B" w:rsidRPr="00B966BD">
        <w:rPr>
          <w:spacing w:val="6"/>
        </w:rPr>
        <w:t>-useful life conversions with the procedure already established in 40 CFR 85.2222.</w:t>
      </w:r>
      <w:r w:rsidR="00BC3E8B">
        <w:rPr>
          <w:spacing w:val="6"/>
        </w:rPr>
        <w:t xml:space="preserve">  </w:t>
      </w:r>
    </w:p>
    <w:p w:rsidR="007F7BD6" w:rsidRPr="00A03AA9" w:rsidRDefault="007F7BD6" w:rsidP="00A03AA9">
      <w:pPr>
        <w:adjustRightInd w:val="0"/>
        <w:ind w:firstLine="720"/>
        <w:rPr>
          <w:spacing w:val="6"/>
        </w:rPr>
      </w:pPr>
    </w:p>
    <w:p w:rsidR="00A03AA9" w:rsidRPr="00A03AA9" w:rsidRDefault="00A03AA9" w:rsidP="00A03AA9">
      <w:pPr>
        <w:adjustRightInd w:val="0"/>
        <w:ind w:firstLine="720"/>
        <w:rPr>
          <w:spacing w:val="6"/>
        </w:rPr>
      </w:pPr>
      <w:r w:rsidRPr="00A03AA9">
        <w:rPr>
          <w:spacing w:val="6"/>
        </w:rPr>
        <w:t xml:space="preserve">It is important to note that HD conversions have not received as much interest as LD conversions.   As a result, EPA’s experience with and data available on HD conversions is limited.  For example, in model year (MY) 2008, EPA only received seven certification applications from four different converters. In 2009, the number drop to three applications from three different manufacturers. Despite limited historical data on HD conversions, EPA has evaluated the cost a converter would incur to fully certify a HD engine that has been converted at each of </w:t>
      </w:r>
      <w:r w:rsidR="00EE3DEE">
        <w:rPr>
          <w:spacing w:val="6"/>
        </w:rPr>
        <w:t xml:space="preserve">the </w:t>
      </w:r>
      <w:r w:rsidRPr="00A03AA9">
        <w:rPr>
          <w:spacing w:val="6"/>
        </w:rPr>
        <w:t xml:space="preserve">three </w:t>
      </w:r>
      <w:r w:rsidR="00EE3DEE">
        <w:rPr>
          <w:spacing w:val="6"/>
        </w:rPr>
        <w:t>engine age categories offered in this rulemaking</w:t>
      </w:r>
      <w:r w:rsidRPr="00A03AA9">
        <w:rPr>
          <w:spacing w:val="6"/>
        </w:rPr>
        <w:t>: (1) beginning of useful life, (2) mid-useful life, and (3) outside the useful life.  Th</w:t>
      </w:r>
      <w:r>
        <w:rPr>
          <w:spacing w:val="6"/>
        </w:rPr>
        <w:t>ese costs are then compared to the</w:t>
      </w:r>
      <w:r w:rsidRPr="00A03AA9">
        <w:rPr>
          <w:spacing w:val="6"/>
        </w:rPr>
        <w:t xml:space="preserve"> baseline -- the current cost of certification. </w:t>
      </w:r>
    </w:p>
    <w:p w:rsidR="009C557E" w:rsidRPr="00A85452" w:rsidRDefault="008511B8" w:rsidP="009C557E">
      <w:r>
        <w:rPr>
          <w:spacing w:val="6"/>
        </w:rPr>
        <w:tab/>
      </w:r>
    </w:p>
    <w:p w:rsidR="009C557E" w:rsidRDefault="009C557E" w:rsidP="009C557E">
      <w:pPr>
        <w:rPr>
          <w:rFonts w:ascii="Arial" w:hAnsi="Arial" w:cs="Arial"/>
          <w:b/>
          <w:bCs/>
          <w:sz w:val="20"/>
          <w:szCs w:val="20"/>
        </w:rPr>
      </w:pPr>
      <w:r w:rsidRPr="00A85452">
        <w:tab/>
        <w:t xml:space="preserve">It has been estimated that a total of </w:t>
      </w:r>
      <w:r>
        <w:t>8</w:t>
      </w:r>
      <w:r w:rsidRPr="00A85452">
        <w:t xml:space="preserve"> manufacturers will respond to this collection</w:t>
      </w:r>
      <w:r>
        <w:t xml:space="preserve"> </w:t>
      </w:r>
      <w:r>
        <w:lastRenderedPageBreak/>
        <w:t>(proposed rule only)</w:t>
      </w:r>
      <w:r w:rsidRPr="00A85452">
        <w:t xml:space="preserve"> with an approximate cost of </w:t>
      </w:r>
      <w:r w:rsidRPr="00C82BAF">
        <w:rPr>
          <w:bCs/>
        </w:rPr>
        <w:t>$75</w:t>
      </w:r>
      <w:r w:rsidR="008B0FB1" w:rsidRPr="00C82BAF">
        <w:rPr>
          <w:bCs/>
        </w:rPr>
        <w:t>7</w:t>
      </w:r>
      <w:r w:rsidRPr="00C82BAF">
        <w:rPr>
          <w:bCs/>
        </w:rPr>
        <w:t>,</w:t>
      </w:r>
      <w:r w:rsidR="005F53B5" w:rsidRPr="00C82BAF">
        <w:rPr>
          <w:bCs/>
        </w:rPr>
        <w:t>468</w:t>
      </w:r>
      <w:r w:rsidRPr="009C557E">
        <w:rPr>
          <w:rFonts w:ascii="Arial" w:hAnsi="Arial" w:cs="Arial"/>
          <w:bCs/>
          <w:sz w:val="20"/>
          <w:szCs w:val="20"/>
        </w:rPr>
        <w:t xml:space="preserve">. </w:t>
      </w:r>
    </w:p>
    <w:p w:rsidR="00C72055" w:rsidRDefault="00C72055" w:rsidP="00692526">
      <w:pPr>
        <w:pStyle w:val="Style6"/>
        <w:jc w:val="left"/>
        <w:outlineLvl w:val="0"/>
        <w:rPr>
          <w:u w:val="single"/>
        </w:rPr>
      </w:pPr>
    </w:p>
    <w:p w:rsidR="007F7BD6" w:rsidRDefault="007F7BD6" w:rsidP="00692526">
      <w:pPr>
        <w:pStyle w:val="Style6"/>
        <w:jc w:val="left"/>
        <w:outlineLvl w:val="0"/>
        <w:rPr>
          <w:u w:val="single"/>
        </w:rPr>
      </w:pPr>
    </w:p>
    <w:p w:rsidR="000930A1" w:rsidRPr="007F7BD6" w:rsidRDefault="00832233" w:rsidP="00692526">
      <w:pPr>
        <w:pStyle w:val="Style6"/>
        <w:jc w:val="left"/>
        <w:outlineLvl w:val="0"/>
        <w:rPr>
          <w:b/>
        </w:rPr>
      </w:pPr>
      <w:r w:rsidRPr="007F7BD6">
        <w:rPr>
          <w:b/>
          <w:u w:val="single"/>
        </w:rPr>
        <w:t xml:space="preserve">Section 2: Need </w:t>
      </w:r>
      <w:r w:rsidR="005F3E33" w:rsidRPr="007F7BD6">
        <w:rPr>
          <w:b/>
          <w:u w:val="single"/>
        </w:rPr>
        <w:t xml:space="preserve">For </w:t>
      </w:r>
      <w:proofErr w:type="gramStart"/>
      <w:r w:rsidR="005F3E33" w:rsidRPr="007F7BD6">
        <w:rPr>
          <w:b/>
          <w:u w:val="single"/>
        </w:rPr>
        <w:t>A</w:t>
      </w:r>
      <w:r w:rsidRPr="007F7BD6">
        <w:rPr>
          <w:b/>
          <w:u w:val="single"/>
        </w:rPr>
        <w:t>nd</w:t>
      </w:r>
      <w:proofErr w:type="gramEnd"/>
      <w:r w:rsidRPr="007F7BD6">
        <w:rPr>
          <w:b/>
          <w:u w:val="single"/>
        </w:rPr>
        <w:t xml:space="preserve"> Use of the Collection</w:t>
      </w:r>
      <w:r w:rsidRPr="007F7BD6">
        <w:rPr>
          <w:b/>
        </w:rPr>
        <w:t xml:space="preserve"> </w:t>
      </w:r>
    </w:p>
    <w:p w:rsidR="008B3D18" w:rsidRDefault="008B3D18" w:rsidP="00692526">
      <w:pPr>
        <w:pStyle w:val="Style6"/>
        <w:jc w:val="left"/>
        <w:outlineLvl w:val="0"/>
      </w:pPr>
    </w:p>
    <w:p w:rsidR="00832233" w:rsidRDefault="00832233" w:rsidP="00692526">
      <w:pPr>
        <w:pStyle w:val="Style6"/>
        <w:jc w:val="left"/>
        <w:outlineLvl w:val="0"/>
        <w:rPr>
          <w:spacing w:val="6"/>
          <w:u w:val="single"/>
        </w:rPr>
      </w:pPr>
      <w:r w:rsidRPr="005379F3">
        <w:rPr>
          <w:spacing w:val="6"/>
        </w:rPr>
        <w:t xml:space="preserve">2(a) </w:t>
      </w:r>
      <w:r w:rsidRPr="005379F3">
        <w:rPr>
          <w:spacing w:val="6"/>
          <w:u w:val="single"/>
        </w:rPr>
        <w:t xml:space="preserve">Need/Authority </w:t>
      </w:r>
      <w:proofErr w:type="gramStart"/>
      <w:r w:rsidR="005F3E33">
        <w:rPr>
          <w:spacing w:val="6"/>
          <w:u w:val="single"/>
        </w:rPr>
        <w:t>For</w:t>
      </w:r>
      <w:proofErr w:type="gramEnd"/>
      <w:r w:rsidR="005F3E33">
        <w:rPr>
          <w:spacing w:val="6"/>
          <w:u w:val="single"/>
        </w:rPr>
        <w:t xml:space="preserve"> T</w:t>
      </w:r>
      <w:r w:rsidRPr="005379F3">
        <w:rPr>
          <w:spacing w:val="6"/>
          <w:u w:val="single"/>
        </w:rPr>
        <w:t>he Collection</w:t>
      </w:r>
    </w:p>
    <w:p w:rsidR="008B3D18" w:rsidRDefault="008B3D18" w:rsidP="00692526">
      <w:pPr>
        <w:pStyle w:val="Style6"/>
        <w:jc w:val="left"/>
        <w:outlineLvl w:val="0"/>
        <w:rPr>
          <w:spacing w:val="6"/>
          <w:u w:val="single"/>
        </w:rPr>
      </w:pPr>
    </w:p>
    <w:p w:rsidR="007E7ADF" w:rsidRDefault="00BC5FE0" w:rsidP="00692526">
      <w:pPr>
        <w:pStyle w:val="Style6"/>
        <w:jc w:val="left"/>
        <w:rPr>
          <w:spacing w:val="6"/>
        </w:rPr>
      </w:pPr>
      <w:r>
        <w:rPr>
          <w:spacing w:val="6"/>
        </w:rPr>
        <w:tab/>
      </w:r>
      <w:r w:rsidR="00832233" w:rsidRPr="00C72055">
        <w:rPr>
          <w:spacing w:val="6"/>
        </w:rPr>
        <w:t>Unde</w:t>
      </w:r>
      <w:r w:rsidR="005F3E33" w:rsidRPr="00C72055">
        <w:rPr>
          <w:spacing w:val="6"/>
        </w:rPr>
        <w:t>r Title II of the Clean Air Act</w:t>
      </w:r>
      <w:r w:rsidR="00832233" w:rsidRPr="00C72055">
        <w:rPr>
          <w:spacing w:val="6"/>
        </w:rPr>
        <w:t xml:space="preserve"> (</w:t>
      </w:r>
      <w:r w:rsidR="00F669A7">
        <w:rPr>
          <w:spacing w:val="6"/>
        </w:rPr>
        <w:t xml:space="preserve">CAA, </w:t>
      </w:r>
      <w:r w:rsidR="00832233" w:rsidRPr="00C72055">
        <w:rPr>
          <w:spacing w:val="6"/>
        </w:rPr>
        <w:t xml:space="preserve">42 U.S.C. 7521 et seq.), EPA is charged with issuing certificates of conformity for motor vehicle designs </w:t>
      </w:r>
      <w:r w:rsidR="005F3E33" w:rsidRPr="00C72055">
        <w:rPr>
          <w:spacing w:val="6"/>
        </w:rPr>
        <w:t>that</w:t>
      </w:r>
      <w:r w:rsidR="00832233" w:rsidRPr="00C72055">
        <w:rPr>
          <w:spacing w:val="6"/>
        </w:rPr>
        <w:t xml:space="preserve"> comply with applicable emission standards</w:t>
      </w:r>
      <w:r w:rsidR="009B3F59">
        <w:rPr>
          <w:spacing w:val="6"/>
        </w:rPr>
        <w:t xml:space="preserve"> set under section 202(a)(1)</w:t>
      </w:r>
      <w:r w:rsidR="00DD4934">
        <w:rPr>
          <w:spacing w:val="6"/>
        </w:rPr>
        <w:t xml:space="preserve"> of the Act</w:t>
      </w:r>
      <w:r w:rsidR="00832233" w:rsidRPr="00C72055">
        <w:rPr>
          <w:spacing w:val="6"/>
        </w:rPr>
        <w:t>.</w:t>
      </w:r>
      <w:r w:rsidR="005074ED">
        <w:rPr>
          <w:spacing w:val="6"/>
        </w:rPr>
        <w:t xml:space="preserve"> </w:t>
      </w:r>
      <w:r w:rsidR="00832233" w:rsidRPr="00C72055">
        <w:rPr>
          <w:spacing w:val="6"/>
        </w:rPr>
        <w:t xml:space="preserve"> A manufacturer must have a certificate before vehicles may be legally introduced into commerce. </w:t>
      </w:r>
      <w:r w:rsidR="005074ED">
        <w:rPr>
          <w:spacing w:val="6"/>
        </w:rPr>
        <w:t xml:space="preserve"> </w:t>
      </w:r>
      <w:r w:rsidR="00AD652C">
        <w:rPr>
          <w:spacing w:val="6"/>
        </w:rPr>
        <w:t>To i</w:t>
      </w:r>
      <w:r w:rsidR="00832233" w:rsidRPr="00C72055">
        <w:rPr>
          <w:spacing w:val="6"/>
        </w:rPr>
        <w:t xml:space="preserve">nsure compliance with </w:t>
      </w:r>
      <w:r w:rsidR="007158BF">
        <w:rPr>
          <w:spacing w:val="6"/>
        </w:rPr>
        <w:t>the Act</w:t>
      </w:r>
      <w:r w:rsidR="00832233" w:rsidRPr="00C72055">
        <w:rPr>
          <w:spacing w:val="6"/>
        </w:rPr>
        <w:t xml:space="preserve">, EPA reviews product information and manufacturer test results; EPA also tests some vehicles to confirm manufacturer results. </w:t>
      </w:r>
      <w:r w:rsidR="005074ED">
        <w:rPr>
          <w:spacing w:val="6"/>
        </w:rPr>
        <w:t xml:space="preserve"> </w:t>
      </w:r>
    </w:p>
    <w:p w:rsidR="00DE3CCD" w:rsidRDefault="00DE3CCD" w:rsidP="00692526">
      <w:pPr>
        <w:pStyle w:val="Style6"/>
        <w:jc w:val="left"/>
        <w:rPr>
          <w:spacing w:val="6"/>
        </w:rPr>
      </w:pPr>
    </w:p>
    <w:p w:rsidR="007E7ADF" w:rsidRPr="007E7ADF" w:rsidRDefault="007E7ADF" w:rsidP="00692526">
      <w:pPr>
        <w:pStyle w:val="Style6"/>
        <w:jc w:val="left"/>
        <w:rPr>
          <w:spacing w:val="6"/>
        </w:rPr>
      </w:pPr>
      <w:r>
        <w:rPr>
          <w:spacing w:val="6"/>
        </w:rPr>
        <w:tab/>
        <w:t xml:space="preserve">Section 203 of the </w:t>
      </w:r>
      <w:r w:rsidR="00F669A7">
        <w:rPr>
          <w:spacing w:val="6"/>
        </w:rPr>
        <w:t>CAA</w:t>
      </w:r>
      <w:r>
        <w:rPr>
          <w:spacing w:val="6"/>
        </w:rPr>
        <w:t xml:space="preserve"> contains “anti-tampering” provisions prohibiting alteration of OEM vehicle components relevant to the vehicle’s certification under the Act.  Regulations at </w:t>
      </w:r>
      <w:r w:rsidRPr="007E7ADF">
        <w:rPr>
          <w:spacing w:val="6"/>
        </w:rPr>
        <w:t>40 CFR, Part 85, Subpart F</w:t>
      </w:r>
      <w:r w:rsidR="0098188C">
        <w:rPr>
          <w:spacing w:val="6"/>
        </w:rPr>
        <w:t>,</w:t>
      </w:r>
      <w:r>
        <w:rPr>
          <w:spacing w:val="6"/>
        </w:rPr>
        <w:t xml:space="preserve"> provide exemption for aftermarket conversion systems from these tampering prohibitions for those converters complying with the regulations of that Part. </w:t>
      </w:r>
      <w:r w:rsidR="00232A51">
        <w:rPr>
          <w:spacing w:val="6"/>
        </w:rPr>
        <w:t xml:space="preserve">Under Subpart F, these exemptions </w:t>
      </w:r>
      <w:r w:rsidR="00BF69E7">
        <w:rPr>
          <w:spacing w:val="6"/>
        </w:rPr>
        <w:t>were</w:t>
      </w:r>
      <w:r w:rsidR="00A12614">
        <w:rPr>
          <w:spacing w:val="6"/>
        </w:rPr>
        <w:t xml:space="preserve"> </w:t>
      </w:r>
      <w:r w:rsidR="00232A51">
        <w:rPr>
          <w:spacing w:val="6"/>
        </w:rPr>
        <w:t xml:space="preserve">administered through a certification process that is modeled on the OEM certification provisions: converters submit certification requests for engine families, and those </w:t>
      </w:r>
      <w:r w:rsidR="006B21F5">
        <w:rPr>
          <w:spacing w:val="6"/>
        </w:rPr>
        <w:t>that</w:t>
      </w:r>
      <w:r w:rsidR="00232A51">
        <w:rPr>
          <w:spacing w:val="6"/>
        </w:rPr>
        <w:t xml:space="preserve"> satisfy EPA’s </w:t>
      </w:r>
      <w:r w:rsidR="006B21F5">
        <w:rPr>
          <w:spacing w:val="6"/>
        </w:rPr>
        <w:t xml:space="preserve">regulations upon </w:t>
      </w:r>
      <w:r w:rsidR="00232A51">
        <w:rPr>
          <w:spacing w:val="6"/>
        </w:rPr>
        <w:t xml:space="preserve">review are granted certificates of conformity for one model year. </w:t>
      </w:r>
      <w:r w:rsidR="00DF521A">
        <w:rPr>
          <w:spacing w:val="6"/>
        </w:rPr>
        <w:t xml:space="preserve"> The modified program will recognize two other age-based categories which permit an exemption from the prohibition on tampering that does not result in a certificate of conformity.</w:t>
      </w:r>
    </w:p>
    <w:p w:rsidR="008B3D18" w:rsidRPr="005379F3" w:rsidRDefault="008B3D18" w:rsidP="00692526">
      <w:pPr>
        <w:pStyle w:val="Style6"/>
        <w:jc w:val="left"/>
        <w:rPr>
          <w:spacing w:val="6"/>
        </w:rPr>
      </w:pPr>
    </w:p>
    <w:p w:rsidR="00832233" w:rsidRDefault="00832233" w:rsidP="00692526">
      <w:pPr>
        <w:pStyle w:val="Style6"/>
        <w:jc w:val="left"/>
        <w:rPr>
          <w:u w:val="single"/>
        </w:rPr>
      </w:pPr>
      <w:r w:rsidRPr="005379F3">
        <w:t xml:space="preserve">2(b) </w:t>
      </w:r>
      <w:r w:rsidRPr="00224A1E">
        <w:rPr>
          <w:u w:val="single"/>
        </w:rPr>
        <w:t>Practical Utility/Users of the Data</w:t>
      </w:r>
    </w:p>
    <w:p w:rsidR="00FA7812" w:rsidRDefault="00FA7812" w:rsidP="00692526">
      <w:pPr>
        <w:pStyle w:val="Style6"/>
        <w:jc w:val="left"/>
      </w:pPr>
    </w:p>
    <w:p w:rsidR="007F7BD6" w:rsidRPr="00A85452" w:rsidRDefault="007F7BD6" w:rsidP="007F7BD6">
      <w:r w:rsidRPr="00A85452">
        <w:tab/>
        <w:t>EPA uses informa</w:t>
      </w:r>
      <w:r>
        <w:t xml:space="preserve">tion to verify that the proper </w:t>
      </w:r>
      <w:r w:rsidRPr="00A85452">
        <w:t xml:space="preserve">engine prototypes have been selected and that the necessary testing has been performed to assure </w:t>
      </w:r>
      <w:r>
        <w:t>compliance</w:t>
      </w:r>
      <w:r w:rsidRPr="00A85452">
        <w:t xml:space="preserve"> with emission standards. </w:t>
      </w:r>
    </w:p>
    <w:p w:rsidR="00A81CC3" w:rsidRDefault="00A81CC3" w:rsidP="00AD652C">
      <w:pPr>
        <w:ind w:right="72"/>
        <w:rPr>
          <w:spacing w:val="6"/>
        </w:rPr>
      </w:pPr>
    </w:p>
    <w:p w:rsidR="007F7BD6" w:rsidRPr="00A85452" w:rsidRDefault="007F7BD6" w:rsidP="007F7BD6">
      <w:r w:rsidRPr="00A85452">
        <w:tab/>
        <w:t>EPA uses the information requested to support various enforcement actions as mandated by the CAA.  This information collection enables EPA to ensure that engine manufacturers are complying with applicable emission regulations, measure the impact of engines</w:t>
      </w:r>
      <w:r>
        <w:t>'</w:t>
      </w:r>
      <w:r w:rsidRPr="00A85452">
        <w:t xml:space="preserve"> emissions on air quality, and take</w:t>
      </w:r>
      <w:r>
        <w:t xml:space="preserve"> corrective actions as needed.</w:t>
      </w:r>
      <w:r>
        <w:tab/>
      </w:r>
    </w:p>
    <w:p w:rsidR="007F7BD6" w:rsidRPr="00A85452" w:rsidRDefault="007F7BD6" w:rsidP="007F7BD6"/>
    <w:p w:rsidR="007F7BD6" w:rsidRPr="00A85452" w:rsidRDefault="007F7BD6" w:rsidP="007F7BD6">
      <w:r w:rsidRPr="00A85452">
        <w:tab/>
        <w:t xml:space="preserve">The information will be received and used by </w:t>
      </w:r>
      <w:r>
        <w:t>HDNEG</w:t>
      </w:r>
      <w:r w:rsidRPr="00A85452">
        <w:t>/C</w:t>
      </w:r>
      <w:r>
        <w:t>IS</w:t>
      </w:r>
      <w:r w:rsidRPr="00A85452">
        <w:t xml:space="preserve">D/OTAQ/OAR.  Non-confidential portions of the information submitted to </w:t>
      </w:r>
      <w:r>
        <w:t>HDNEG</w:t>
      </w:r>
      <w:r w:rsidRPr="00A85452">
        <w:t xml:space="preserve"> is available to and used by importers, environmental groups, members of the public and local, state and federal government organizations. </w:t>
      </w:r>
    </w:p>
    <w:p w:rsidR="007F7BD6" w:rsidRDefault="007F7BD6" w:rsidP="00AD652C">
      <w:pPr>
        <w:ind w:right="72"/>
        <w:rPr>
          <w:spacing w:val="6"/>
        </w:rPr>
      </w:pPr>
    </w:p>
    <w:p w:rsidR="007F7BD6" w:rsidRDefault="007F7BD6" w:rsidP="00AD652C">
      <w:pPr>
        <w:ind w:right="72"/>
        <w:rPr>
          <w:spacing w:val="6"/>
        </w:rPr>
      </w:pPr>
    </w:p>
    <w:p w:rsidR="00D83187" w:rsidRDefault="00D83187" w:rsidP="00AD652C">
      <w:pPr>
        <w:ind w:right="72"/>
        <w:rPr>
          <w:spacing w:val="6"/>
        </w:rPr>
      </w:pPr>
    </w:p>
    <w:p w:rsidR="00D83187" w:rsidRDefault="00D83187" w:rsidP="00AD652C">
      <w:pPr>
        <w:ind w:right="72"/>
        <w:rPr>
          <w:spacing w:val="6"/>
        </w:rPr>
      </w:pPr>
    </w:p>
    <w:p w:rsidR="00D83187" w:rsidRDefault="00D83187" w:rsidP="00AD652C">
      <w:pPr>
        <w:ind w:right="72"/>
        <w:rPr>
          <w:spacing w:val="6"/>
        </w:rPr>
      </w:pPr>
    </w:p>
    <w:p w:rsidR="00D83187" w:rsidRDefault="00D83187" w:rsidP="00AD652C">
      <w:pPr>
        <w:ind w:right="72"/>
        <w:rPr>
          <w:spacing w:val="6"/>
        </w:rPr>
      </w:pPr>
    </w:p>
    <w:p w:rsidR="00D83187" w:rsidRDefault="00D83187" w:rsidP="00AD652C">
      <w:pPr>
        <w:ind w:right="72"/>
        <w:rPr>
          <w:spacing w:val="6"/>
        </w:rPr>
      </w:pPr>
    </w:p>
    <w:p w:rsidR="00F04661" w:rsidRPr="001B362D" w:rsidRDefault="00832233" w:rsidP="00692526">
      <w:pPr>
        <w:ind w:right="72"/>
        <w:rPr>
          <w:b/>
          <w:spacing w:val="4"/>
        </w:rPr>
      </w:pPr>
      <w:r w:rsidRPr="001B362D">
        <w:rPr>
          <w:b/>
          <w:spacing w:val="4"/>
          <w:u w:val="single"/>
        </w:rPr>
        <w:lastRenderedPageBreak/>
        <w:t xml:space="preserve">Section 3: </w:t>
      </w:r>
      <w:proofErr w:type="spellStart"/>
      <w:r w:rsidRPr="001B362D">
        <w:rPr>
          <w:b/>
          <w:spacing w:val="4"/>
          <w:u w:val="single"/>
        </w:rPr>
        <w:t>Nonduplication</w:t>
      </w:r>
      <w:proofErr w:type="spellEnd"/>
      <w:r w:rsidRPr="001B362D">
        <w:rPr>
          <w:b/>
          <w:spacing w:val="4"/>
          <w:u w:val="single"/>
        </w:rPr>
        <w:t>, Consultations, and Other Collection Criteria</w:t>
      </w:r>
      <w:r w:rsidRPr="001B362D">
        <w:rPr>
          <w:b/>
          <w:spacing w:val="4"/>
        </w:rPr>
        <w:t xml:space="preserve"> </w:t>
      </w:r>
    </w:p>
    <w:p w:rsidR="008B3D18" w:rsidRPr="005379F3" w:rsidRDefault="008B3D18" w:rsidP="00692526">
      <w:pPr>
        <w:ind w:right="72"/>
        <w:rPr>
          <w:spacing w:val="4"/>
        </w:rPr>
      </w:pPr>
    </w:p>
    <w:p w:rsidR="00832233" w:rsidRDefault="00F04661" w:rsidP="00692526">
      <w:pPr>
        <w:spacing w:line="0" w:lineRule="atLeast"/>
        <w:ind w:right="2448"/>
        <w:rPr>
          <w:spacing w:val="6"/>
          <w:u w:val="single"/>
        </w:rPr>
      </w:pPr>
      <w:r w:rsidRPr="005379F3">
        <w:rPr>
          <w:spacing w:val="4"/>
        </w:rPr>
        <w:t>3</w:t>
      </w:r>
      <w:r w:rsidR="00832233" w:rsidRPr="005379F3">
        <w:rPr>
          <w:spacing w:val="6"/>
        </w:rPr>
        <w:t>(a)</w:t>
      </w:r>
      <w:r w:rsidR="0013395B">
        <w:rPr>
          <w:spacing w:val="6"/>
        </w:rPr>
        <w:t xml:space="preserve"> </w:t>
      </w:r>
      <w:proofErr w:type="spellStart"/>
      <w:r w:rsidR="00832233" w:rsidRPr="0013395B">
        <w:rPr>
          <w:spacing w:val="6"/>
          <w:u w:val="single"/>
        </w:rPr>
        <w:t>Nonduplication</w:t>
      </w:r>
      <w:proofErr w:type="spellEnd"/>
    </w:p>
    <w:p w:rsidR="00D6586F" w:rsidRPr="00D6586F" w:rsidRDefault="00D6586F" w:rsidP="00692526">
      <w:pPr>
        <w:spacing w:line="0" w:lineRule="atLeast"/>
        <w:ind w:right="2448"/>
        <w:rPr>
          <w:spacing w:val="6"/>
        </w:rPr>
      </w:pPr>
    </w:p>
    <w:p w:rsidR="00B25D43" w:rsidRPr="00A85452" w:rsidRDefault="00B25D43" w:rsidP="00B25D43">
      <w:r w:rsidRPr="00A85452">
        <w:tab/>
        <w:t xml:space="preserve">The information requested under this ICR is required by statute.  Because of its specialized (and sometimes confidential) nature, and the fact that it must be submitted to EPA prior to the start of production, the information collected is not available from any other source.  </w:t>
      </w:r>
    </w:p>
    <w:p w:rsidR="00B25D43" w:rsidRDefault="00B25D43" w:rsidP="00B25D43"/>
    <w:p w:rsidR="008B3D18" w:rsidRPr="005379F3" w:rsidRDefault="00980201" w:rsidP="00692526">
      <w:pPr>
        <w:ind w:right="72"/>
        <w:rPr>
          <w:spacing w:val="6"/>
        </w:rPr>
      </w:pPr>
      <w:r>
        <w:rPr>
          <w:spacing w:val="6"/>
        </w:rPr>
        <w:t xml:space="preserve"> </w:t>
      </w:r>
    </w:p>
    <w:p w:rsidR="00832233" w:rsidRDefault="00F04661" w:rsidP="00692526">
      <w:pPr>
        <w:rPr>
          <w:spacing w:val="6"/>
          <w:u w:val="single"/>
        </w:rPr>
      </w:pPr>
      <w:r w:rsidRPr="005379F3">
        <w:rPr>
          <w:spacing w:val="6"/>
        </w:rPr>
        <w:t xml:space="preserve">3(b) </w:t>
      </w:r>
      <w:r w:rsidR="00832233" w:rsidRPr="005379F3">
        <w:rPr>
          <w:spacing w:val="6"/>
          <w:u w:val="single"/>
        </w:rPr>
        <w:t>Public Notice Prior to ICR Submission to OMB</w:t>
      </w:r>
    </w:p>
    <w:p w:rsidR="008B3D18" w:rsidRPr="005379F3" w:rsidRDefault="008B3D18" w:rsidP="00692526">
      <w:pPr>
        <w:rPr>
          <w:spacing w:val="6"/>
        </w:rPr>
      </w:pPr>
    </w:p>
    <w:p w:rsidR="00830BF5" w:rsidRDefault="00FB11E4" w:rsidP="00830BF5">
      <w:r>
        <w:tab/>
        <w:t>The preamble to the proposed rule provided public notice.</w:t>
      </w:r>
    </w:p>
    <w:p w:rsidR="009C557E" w:rsidRDefault="009C557E" w:rsidP="00830BF5"/>
    <w:p w:rsidR="009C557E" w:rsidRPr="00BA10A8" w:rsidRDefault="009C557E" w:rsidP="00830BF5">
      <w:pPr>
        <w:rPr>
          <w:spacing w:val="6"/>
        </w:rPr>
      </w:pPr>
    </w:p>
    <w:p w:rsidR="00832233" w:rsidRDefault="0074424B" w:rsidP="00692526">
      <w:pPr>
        <w:rPr>
          <w:spacing w:val="6"/>
          <w:u w:val="single"/>
        </w:rPr>
      </w:pPr>
      <w:r w:rsidRPr="005379F3">
        <w:rPr>
          <w:spacing w:val="6"/>
        </w:rPr>
        <w:t>3</w:t>
      </w:r>
      <w:r w:rsidR="008B3D18">
        <w:rPr>
          <w:spacing w:val="6"/>
        </w:rPr>
        <w:t xml:space="preserve">(c) </w:t>
      </w:r>
      <w:r w:rsidR="00832233" w:rsidRPr="005379F3">
        <w:rPr>
          <w:spacing w:val="6"/>
          <w:u w:val="single"/>
        </w:rPr>
        <w:t>Consultations</w:t>
      </w:r>
    </w:p>
    <w:p w:rsidR="00E4121A" w:rsidRPr="005379F3" w:rsidRDefault="00E4121A" w:rsidP="00692526">
      <w:pPr>
        <w:rPr>
          <w:spacing w:val="6"/>
        </w:rPr>
      </w:pPr>
    </w:p>
    <w:p w:rsidR="009C557E" w:rsidRDefault="009C557E" w:rsidP="00E4121A">
      <w:pPr>
        <w:pStyle w:val="Style6"/>
        <w:jc w:val="left"/>
        <w:rPr>
          <w:spacing w:val="6"/>
        </w:rPr>
      </w:pPr>
      <w:r>
        <w:rPr>
          <w:spacing w:val="6"/>
        </w:rPr>
        <w:tab/>
        <w:t>The burden estimates described in this ICR is based on the HD certification program burden already</w:t>
      </w:r>
      <w:r w:rsidR="002A6B3A">
        <w:rPr>
          <w:spacing w:val="6"/>
        </w:rPr>
        <w:t xml:space="preserve"> approved by OMB under ICR 1684</w:t>
      </w:r>
      <w:r>
        <w:rPr>
          <w:spacing w:val="6"/>
        </w:rPr>
        <w:t xml:space="preserve">.  EPA </w:t>
      </w:r>
      <w:r w:rsidR="00387F67">
        <w:rPr>
          <w:spacing w:val="6"/>
        </w:rPr>
        <w:t>sought</w:t>
      </w:r>
      <w:r>
        <w:rPr>
          <w:spacing w:val="6"/>
        </w:rPr>
        <w:t xml:space="preserve"> comment on these estimates through the FR notice mentioned in Section 3(b).  </w:t>
      </w:r>
      <w:r w:rsidR="00EF7504">
        <w:rPr>
          <w:spacing w:val="6"/>
        </w:rPr>
        <w:t xml:space="preserve">The comments received dealt with the regulation itself and are discussed in the preamble of the final rule.  No comments were received regarding the estimates presented in this Supporting Statement.  </w:t>
      </w:r>
    </w:p>
    <w:p w:rsidR="00EF7504" w:rsidRDefault="00EF7504" w:rsidP="00E4121A">
      <w:pPr>
        <w:pStyle w:val="Style6"/>
        <w:jc w:val="left"/>
        <w:rPr>
          <w:spacing w:val="6"/>
        </w:rPr>
      </w:pPr>
    </w:p>
    <w:p w:rsidR="00EF7504" w:rsidRDefault="00EF7504" w:rsidP="00E4121A">
      <w:pPr>
        <w:pStyle w:val="Style6"/>
        <w:jc w:val="left"/>
        <w:rPr>
          <w:spacing w:val="6"/>
        </w:rPr>
      </w:pPr>
      <w:r w:rsidRPr="00B966BD">
        <w:rPr>
          <w:spacing w:val="6"/>
        </w:rPr>
        <w:t xml:space="preserve">As a result of the comments received, </w:t>
      </w:r>
      <w:r w:rsidR="003E7BF2" w:rsidRPr="00B966BD">
        <w:rPr>
          <w:spacing w:val="6"/>
        </w:rPr>
        <w:t xml:space="preserve">EPA has streamlined the way converters can demonstrate compliance with OBD requirements.  Now </w:t>
      </w:r>
      <w:r w:rsidRPr="00B966BD">
        <w:rPr>
          <w:spacing w:val="6"/>
        </w:rPr>
        <w:t>EPA will be accepting</w:t>
      </w:r>
      <w:r w:rsidR="003E7BF2" w:rsidRPr="00B966BD">
        <w:rPr>
          <w:spacing w:val="6"/>
        </w:rPr>
        <w:t xml:space="preserve"> </w:t>
      </w:r>
      <w:r w:rsidRPr="00B966BD">
        <w:rPr>
          <w:spacing w:val="6"/>
        </w:rPr>
        <w:t>an OBD scan tool report and a statement about the integrity of the OBD system in lieu of OBD test data</w:t>
      </w:r>
      <w:r w:rsidR="003E7BF2" w:rsidRPr="00B966BD">
        <w:rPr>
          <w:spacing w:val="6"/>
        </w:rPr>
        <w:t xml:space="preserve"> or a description of an OBD compliance strategy</w:t>
      </w:r>
      <w:r w:rsidRPr="00B966BD">
        <w:rPr>
          <w:spacing w:val="6"/>
        </w:rPr>
        <w:t>. This Su</w:t>
      </w:r>
      <w:r w:rsidR="003E7BF2" w:rsidRPr="00B966BD">
        <w:rPr>
          <w:spacing w:val="6"/>
        </w:rPr>
        <w:t>pporting Statement reflects that</w:t>
      </w:r>
      <w:r w:rsidRPr="00B966BD">
        <w:rPr>
          <w:spacing w:val="6"/>
        </w:rPr>
        <w:t xml:space="preserve"> change.</w:t>
      </w:r>
    </w:p>
    <w:p w:rsidR="00EF7504" w:rsidRDefault="00EF7504" w:rsidP="00E4121A">
      <w:pPr>
        <w:pStyle w:val="Style6"/>
        <w:jc w:val="left"/>
        <w:rPr>
          <w:spacing w:val="6"/>
        </w:rPr>
      </w:pPr>
    </w:p>
    <w:p w:rsidR="00F8395A" w:rsidRDefault="00F8395A" w:rsidP="00692526">
      <w:pPr>
        <w:outlineLvl w:val="0"/>
        <w:rPr>
          <w:spacing w:val="6"/>
        </w:rPr>
      </w:pPr>
    </w:p>
    <w:p w:rsidR="00CB21D5" w:rsidRDefault="00832233" w:rsidP="00692526">
      <w:pPr>
        <w:outlineLvl w:val="0"/>
        <w:rPr>
          <w:spacing w:val="6"/>
          <w:u w:val="single"/>
        </w:rPr>
      </w:pPr>
      <w:r w:rsidRPr="005379F3">
        <w:rPr>
          <w:spacing w:val="6"/>
        </w:rPr>
        <w:t xml:space="preserve">3(d) </w:t>
      </w:r>
      <w:r w:rsidRPr="005379F3">
        <w:rPr>
          <w:spacing w:val="6"/>
          <w:u w:val="single"/>
        </w:rPr>
        <w:t>Effects of Less Frequent Collection</w:t>
      </w:r>
    </w:p>
    <w:p w:rsidR="008B3D18" w:rsidRDefault="008B3D18" w:rsidP="00692526">
      <w:pPr>
        <w:outlineLvl w:val="0"/>
        <w:rPr>
          <w:spacing w:val="6"/>
          <w:u w:val="single"/>
        </w:rPr>
      </w:pPr>
    </w:p>
    <w:p w:rsidR="002F0407" w:rsidRPr="004D5102" w:rsidRDefault="002F0407" w:rsidP="002F0407">
      <w:pPr>
        <w:pStyle w:val="Style6"/>
        <w:ind w:firstLine="720"/>
        <w:jc w:val="left"/>
        <w:rPr>
          <w:spacing w:val="6"/>
        </w:rPr>
      </w:pPr>
      <w:r w:rsidRPr="004D5102">
        <w:rPr>
          <w:spacing w:val="6"/>
        </w:rPr>
        <w:t xml:space="preserve">As required by the Clean Air Act (42 USC 7525(a)), emission information is </w:t>
      </w:r>
      <w:r>
        <w:rPr>
          <w:spacing w:val="6"/>
        </w:rPr>
        <w:t xml:space="preserve">currently </w:t>
      </w:r>
      <w:r w:rsidRPr="004D5102">
        <w:rPr>
          <w:spacing w:val="6"/>
        </w:rPr>
        <w:t xml:space="preserve">submitted on a yearly basis coinciding with the manufacturer’s “model year.” </w:t>
      </w:r>
      <w:r>
        <w:rPr>
          <w:spacing w:val="6"/>
        </w:rPr>
        <w:t xml:space="preserve"> </w:t>
      </w:r>
      <w:r w:rsidRPr="004D5102">
        <w:rPr>
          <w:spacing w:val="6"/>
        </w:rPr>
        <w:t xml:space="preserve">EPA allows applicants to define their own “model year”, thus granting some flexibility in this regard. </w:t>
      </w:r>
      <w:r>
        <w:rPr>
          <w:spacing w:val="6"/>
        </w:rPr>
        <w:t xml:space="preserve"> </w:t>
      </w:r>
      <w:r w:rsidRPr="004D5102">
        <w:rPr>
          <w:spacing w:val="6"/>
        </w:rPr>
        <w:t xml:space="preserve">Major product changes typically occur at the start of a model year. For these reasons, a collection frequency longer than a model year is not </w:t>
      </w:r>
      <w:r>
        <w:rPr>
          <w:spacing w:val="6"/>
        </w:rPr>
        <w:t>normally possible</w:t>
      </w:r>
      <w:r w:rsidRPr="004D5102">
        <w:rPr>
          <w:spacing w:val="6"/>
        </w:rPr>
        <w:t xml:space="preserve">. </w:t>
      </w:r>
      <w:r>
        <w:rPr>
          <w:spacing w:val="6"/>
        </w:rPr>
        <w:t xml:space="preserve"> However, this rule would replace the annual application process with a one-time submittal for intermediate </w:t>
      </w:r>
      <w:r w:rsidR="005D3B79">
        <w:rPr>
          <w:spacing w:val="6"/>
        </w:rPr>
        <w:t xml:space="preserve">age </w:t>
      </w:r>
      <w:r>
        <w:rPr>
          <w:spacing w:val="6"/>
        </w:rPr>
        <w:t xml:space="preserve">and outside useful life </w:t>
      </w:r>
      <w:r w:rsidR="005D3B79">
        <w:rPr>
          <w:spacing w:val="6"/>
        </w:rPr>
        <w:t>engines</w:t>
      </w:r>
      <w:r>
        <w:rPr>
          <w:spacing w:val="6"/>
        </w:rPr>
        <w:t>, only requiring an end of year sales volume submission. In addition many conversion manufacturers will no longer need to renew their certificate of conformity. Furthermore</w:t>
      </w:r>
      <w:r w:rsidRPr="004D5102">
        <w:rPr>
          <w:spacing w:val="6"/>
        </w:rPr>
        <w:t xml:space="preserve">, </w:t>
      </w:r>
      <w:r w:rsidR="005D3B79">
        <w:rPr>
          <w:spacing w:val="6"/>
        </w:rPr>
        <w:t>if the OEM engine</w:t>
      </w:r>
      <w:r w:rsidRPr="004D5102">
        <w:rPr>
          <w:spacing w:val="6"/>
        </w:rPr>
        <w:t xml:space="preserve"> design is “carried over” to a subsequent model year, the amount of new information required is substantially reduced.  </w:t>
      </w:r>
    </w:p>
    <w:p w:rsidR="002F0407" w:rsidRPr="005379F3" w:rsidRDefault="002F0407" w:rsidP="002F0407">
      <w:pPr>
        <w:outlineLvl w:val="0"/>
        <w:rPr>
          <w:spacing w:val="6"/>
        </w:rPr>
      </w:pPr>
    </w:p>
    <w:p w:rsidR="008B3D18" w:rsidRDefault="00B90DAB" w:rsidP="00692526">
      <w:pPr>
        <w:spacing w:line="264" w:lineRule="atLeast"/>
        <w:rPr>
          <w:spacing w:val="6"/>
        </w:rPr>
      </w:pPr>
      <w:r w:rsidRPr="00B90DAB">
        <w:rPr>
          <w:spacing w:val="6"/>
        </w:rPr>
        <w:t>3</w:t>
      </w:r>
      <w:r w:rsidR="00832233" w:rsidRPr="00B90DAB">
        <w:rPr>
          <w:spacing w:val="6"/>
        </w:rPr>
        <w:t xml:space="preserve">(e) </w:t>
      </w:r>
      <w:r w:rsidR="00832233" w:rsidRPr="005379F3">
        <w:rPr>
          <w:spacing w:val="6"/>
          <w:u w:val="single"/>
        </w:rPr>
        <w:t>General Guidelines</w:t>
      </w:r>
    </w:p>
    <w:p w:rsidR="008B3D18" w:rsidRDefault="008B3D18" w:rsidP="00692526">
      <w:pPr>
        <w:spacing w:line="264" w:lineRule="atLeast"/>
        <w:rPr>
          <w:spacing w:val="6"/>
        </w:rPr>
      </w:pPr>
    </w:p>
    <w:p w:rsidR="00830BF5" w:rsidRDefault="00830BF5" w:rsidP="00830BF5">
      <w:r w:rsidRPr="00A85452">
        <w:tab/>
        <w:t>Accordin</w:t>
      </w:r>
      <w:r w:rsidR="00CF4082">
        <w:t>g to 40 CFR 86.098-7, certification</w:t>
      </w:r>
      <w:r w:rsidRPr="00A85452">
        <w:t xml:space="preserve"> related records must be maintained for eight </w:t>
      </w:r>
      <w:r w:rsidRPr="00A85452">
        <w:lastRenderedPageBreak/>
        <w:t>years.</w:t>
      </w:r>
      <w:r>
        <w:t xml:space="preserve">  Note that</w:t>
      </w:r>
      <w:r w:rsidRPr="00A85452">
        <w:t xml:space="preserve"> </w:t>
      </w:r>
      <w:r>
        <w:t>"</w:t>
      </w:r>
      <w:r w:rsidRPr="00A85452">
        <w:t>records may be retained as hard copy or reduced to microfilm, ADP film, etc., depending on the manufacturer</w:t>
      </w:r>
      <w:r>
        <w:t>'</w:t>
      </w:r>
      <w:r w:rsidRPr="00A85452">
        <w:t>s record retention procedure, provided that in every case all the information contained in the hard copy is retained.</w:t>
      </w:r>
      <w:r>
        <w:t>"</w:t>
      </w:r>
      <w:r w:rsidRPr="00A85452">
        <w:t xml:space="preserve">  These recordkeeping requirements stem, in large part, from the statutory requirement to warrant some items for long periods of time.  In addition, the manufacturers must comply with requirements to recall vehicles and engines failing to meet emission standards during their useful lives.</w:t>
      </w:r>
    </w:p>
    <w:p w:rsidR="00830BF5" w:rsidRPr="00A85452" w:rsidRDefault="00830BF5" w:rsidP="00830BF5"/>
    <w:p w:rsidR="00830BF5" w:rsidRPr="00A85452" w:rsidRDefault="00830BF5" w:rsidP="00830BF5">
      <w:r w:rsidRPr="00A85452">
        <w:tab/>
        <w:t>Manufacturers are required to submit confidential business information such as sales projections and certain sensitive technical descriptions (Please see section 4(b</w:t>
      </w:r>
      <w:proofErr w:type="gramStart"/>
      <w:r w:rsidRPr="00A85452">
        <w:t>)(</w:t>
      </w:r>
      <w:proofErr w:type="spellStart"/>
      <w:proofErr w:type="gramEnd"/>
      <w:r w:rsidRPr="00A85452">
        <w:t>i</w:t>
      </w:r>
      <w:proofErr w:type="spellEnd"/>
      <w:r w:rsidRPr="00A85452">
        <w:t>) for reference).  This information is kept confidential in accordance with the Freedom of Information Act, EPA regulations at 40 CFR Part 2, and class determinations issued by EPA</w:t>
      </w:r>
      <w:r>
        <w:t>'</w:t>
      </w:r>
      <w:r w:rsidRPr="00A85452">
        <w:t xml:space="preserve">s Office of General Counsel.  Also, non-proprietary information submitted by manufacturers </w:t>
      </w:r>
      <w:r w:rsidR="00FC57BA">
        <w:t xml:space="preserve">for certification </w:t>
      </w:r>
      <w:r w:rsidRPr="00A85452">
        <w:t>is held as confidential until the specific vehicle or engine to which it pertains is available for purchase.</w:t>
      </w:r>
      <w:r w:rsidR="00FC57BA">
        <w:t xml:space="preserve"> The </w:t>
      </w:r>
      <w:r w:rsidR="00FC57BA" w:rsidRPr="00A85452">
        <w:t xml:space="preserve">non-proprietary information submitted </w:t>
      </w:r>
      <w:r w:rsidR="00FC57BA">
        <w:t>to support intermediate age and outside useful life submissions may be made available once the notification has been submitted to EPA.</w:t>
      </w:r>
    </w:p>
    <w:p w:rsidR="00830BF5" w:rsidRDefault="00830BF5" w:rsidP="004D5102">
      <w:pPr>
        <w:pStyle w:val="Style6"/>
        <w:jc w:val="left"/>
        <w:rPr>
          <w:spacing w:val="6"/>
        </w:rPr>
      </w:pPr>
    </w:p>
    <w:p w:rsidR="00832233" w:rsidRPr="004D5102" w:rsidRDefault="00201499" w:rsidP="004D5102">
      <w:pPr>
        <w:pStyle w:val="Style6"/>
        <w:jc w:val="left"/>
        <w:rPr>
          <w:spacing w:val="6"/>
        </w:rPr>
      </w:pPr>
      <w:r>
        <w:rPr>
          <w:spacing w:val="6"/>
        </w:rPr>
        <w:tab/>
      </w:r>
      <w:r w:rsidR="00832233" w:rsidRPr="004D5102">
        <w:rPr>
          <w:spacing w:val="6"/>
        </w:rPr>
        <w:t>This information collection activity complies with the remaining guidelines in 5 CFR 1320.5</w:t>
      </w:r>
      <w:r w:rsidR="00C24561" w:rsidRPr="004D5102">
        <w:rPr>
          <w:spacing w:val="6"/>
        </w:rPr>
        <w:t>.</w:t>
      </w:r>
      <w:r w:rsidR="003B5D5B">
        <w:rPr>
          <w:spacing w:val="6"/>
        </w:rPr>
        <w:t xml:space="preserve"> </w:t>
      </w:r>
      <w:r w:rsidR="004D5D22">
        <w:rPr>
          <w:spacing w:val="6"/>
        </w:rPr>
        <w:t xml:space="preserve"> </w:t>
      </w:r>
      <w:r w:rsidR="003B5D5B">
        <w:rPr>
          <w:spacing w:val="6"/>
        </w:rPr>
        <w:t>The proposal makes no changes in the reporting and recordkeeping provisions that impact any of the guidelines for information collections as approved in the existing approved collection.</w:t>
      </w:r>
    </w:p>
    <w:p w:rsidR="00FB1AB1" w:rsidRDefault="00FB1AB1" w:rsidP="00692526">
      <w:pPr>
        <w:rPr>
          <w:spacing w:val="6"/>
        </w:rPr>
      </w:pPr>
    </w:p>
    <w:p w:rsidR="008B3D18" w:rsidRDefault="00832233" w:rsidP="00692526">
      <w:pPr>
        <w:spacing w:line="264" w:lineRule="atLeast"/>
        <w:rPr>
          <w:spacing w:val="6"/>
          <w:u w:val="single"/>
        </w:rPr>
      </w:pPr>
      <w:r w:rsidRPr="00B90DAB">
        <w:rPr>
          <w:spacing w:val="6"/>
        </w:rPr>
        <w:t>3</w:t>
      </w:r>
      <w:r w:rsidR="00CB21D5" w:rsidRPr="00B90DAB">
        <w:rPr>
          <w:spacing w:val="6"/>
        </w:rPr>
        <w:t>(f)</w:t>
      </w:r>
      <w:r w:rsidRPr="00B90DAB">
        <w:rPr>
          <w:spacing w:val="6"/>
        </w:rPr>
        <w:t xml:space="preserve"> </w:t>
      </w:r>
      <w:r w:rsidRPr="005379F3">
        <w:rPr>
          <w:spacing w:val="6"/>
          <w:u w:val="single"/>
        </w:rPr>
        <w:t>Confidentiality</w:t>
      </w:r>
    </w:p>
    <w:p w:rsidR="008B3D18" w:rsidRPr="005379F3" w:rsidRDefault="008B3D18" w:rsidP="00692526">
      <w:pPr>
        <w:spacing w:line="264" w:lineRule="atLeast"/>
        <w:rPr>
          <w:spacing w:val="6"/>
        </w:rPr>
      </w:pPr>
    </w:p>
    <w:p w:rsidR="001D5188" w:rsidRDefault="001D5188" w:rsidP="001D5188">
      <w:r w:rsidRPr="00A85452">
        <w:tab/>
        <w:t>Manufacturers are allowed to assert a claim of confidentiality over information provided to EPA.  Confidentiality is provided in accordance with the Freedom of Information Act and EP</w:t>
      </w:r>
      <w:r>
        <w:t xml:space="preserve">A regulations at 40 CFR Part 2.  </w:t>
      </w:r>
      <w:r w:rsidRPr="00A85452">
        <w:t>For further detail, refer to section 3(e).</w:t>
      </w:r>
    </w:p>
    <w:p w:rsidR="008B3D18" w:rsidRPr="005379F3" w:rsidRDefault="008B3D18" w:rsidP="00692526">
      <w:pPr>
        <w:rPr>
          <w:spacing w:val="6"/>
        </w:rPr>
      </w:pPr>
    </w:p>
    <w:p w:rsidR="00832233" w:rsidRDefault="00832233" w:rsidP="00692526">
      <w:pPr>
        <w:rPr>
          <w:spacing w:val="6"/>
          <w:u w:val="single"/>
        </w:rPr>
      </w:pPr>
      <w:r w:rsidRPr="00B90DAB">
        <w:rPr>
          <w:spacing w:val="6"/>
        </w:rPr>
        <w:t xml:space="preserve">3(g) </w:t>
      </w:r>
      <w:r w:rsidRPr="005379F3">
        <w:rPr>
          <w:spacing w:val="6"/>
          <w:u w:val="single"/>
        </w:rPr>
        <w:t>Sensitive Questions</w:t>
      </w:r>
    </w:p>
    <w:p w:rsidR="008B3D18" w:rsidRPr="005379F3" w:rsidRDefault="008B3D18" w:rsidP="00692526">
      <w:pPr>
        <w:rPr>
          <w:spacing w:val="6"/>
        </w:rPr>
      </w:pPr>
    </w:p>
    <w:p w:rsidR="00832233" w:rsidRDefault="00201499" w:rsidP="004D5102">
      <w:pPr>
        <w:pStyle w:val="Style6"/>
        <w:jc w:val="left"/>
        <w:rPr>
          <w:spacing w:val="6"/>
        </w:rPr>
      </w:pPr>
      <w:r>
        <w:rPr>
          <w:spacing w:val="6"/>
        </w:rPr>
        <w:tab/>
      </w:r>
      <w:r w:rsidR="00832233" w:rsidRPr="004D5102">
        <w:rPr>
          <w:spacing w:val="6"/>
        </w:rPr>
        <w:t xml:space="preserve">No sensitive questions are asked in this information collection. </w:t>
      </w:r>
      <w:r w:rsidR="004D5D22">
        <w:rPr>
          <w:spacing w:val="6"/>
        </w:rPr>
        <w:t xml:space="preserve"> </w:t>
      </w:r>
    </w:p>
    <w:p w:rsidR="001D5188" w:rsidRDefault="001D5188" w:rsidP="004D5102">
      <w:pPr>
        <w:pStyle w:val="Style6"/>
        <w:jc w:val="left"/>
        <w:rPr>
          <w:spacing w:val="6"/>
        </w:rPr>
      </w:pPr>
    </w:p>
    <w:p w:rsidR="001D5188" w:rsidRPr="004D5102" w:rsidRDefault="001D5188" w:rsidP="004D5102">
      <w:pPr>
        <w:pStyle w:val="Style6"/>
        <w:jc w:val="left"/>
        <w:rPr>
          <w:spacing w:val="6"/>
        </w:rPr>
      </w:pPr>
    </w:p>
    <w:p w:rsidR="008B3D18" w:rsidRDefault="008B3D18" w:rsidP="00692526">
      <w:pPr>
        <w:spacing w:line="264" w:lineRule="atLeast"/>
        <w:outlineLvl w:val="0"/>
        <w:rPr>
          <w:spacing w:val="6"/>
          <w:u w:val="single"/>
        </w:rPr>
      </w:pPr>
    </w:p>
    <w:p w:rsidR="00832233" w:rsidRPr="001D5188" w:rsidRDefault="00B90DAB" w:rsidP="00692526">
      <w:pPr>
        <w:spacing w:line="264" w:lineRule="atLeast"/>
        <w:outlineLvl w:val="0"/>
        <w:rPr>
          <w:b/>
          <w:spacing w:val="6"/>
          <w:u w:val="single"/>
        </w:rPr>
      </w:pPr>
      <w:r w:rsidRPr="001D5188">
        <w:rPr>
          <w:b/>
          <w:spacing w:val="6"/>
          <w:u w:val="single"/>
        </w:rPr>
        <w:t xml:space="preserve">Section 4: </w:t>
      </w:r>
      <w:r w:rsidR="00832233" w:rsidRPr="001D5188">
        <w:rPr>
          <w:b/>
          <w:spacing w:val="6"/>
          <w:u w:val="single"/>
        </w:rPr>
        <w:t>Respondents and Information Requested</w:t>
      </w:r>
    </w:p>
    <w:p w:rsidR="008B3D18" w:rsidRPr="005379F3" w:rsidRDefault="008B3D18" w:rsidP="00692526">
      <w:pPr>
        <w:spacing w:line="264" w:lineRule="atLeast"/>
        <w:outlineLvl w:val="0"/>
        <w:rPr>
          <w:spacing w:val="6"/>
        </w:rPr>
      </w:pPr>
    </w:p>
    <w:p w:rsidR="001D5188" w:rsidRDefault="001D5188" w:rsidP="00692526">
      <w:pPr>
        <w:rPr>
          <w:spacing w:val="6"/>
        </w:rPr>
      </w:pPr>
    </w:p>
    <w:p w:rsidR="00CB21D5" w:rsidRDefault="00832233" w:rsidP="00692526">
      <w:pPr>
        <w:rPr>
          <w:spacing w:val="6"/>
          <w:u w:val="single"/>
        </w:rPr>
      </w:pPr>
      <w:r w:rsidRPr="009E5724">
        <w:rPr>
          <w:spacing w:val="6"/>
        </w:rPr>
        <w:t xml:space="preserve">4(a) </w:t>
      </w:r>
      <w:r w:rsidRPr="005379F3">
        <w:rPr>
          <w:spacing w:val="6"/>
          <w:u w:val="single"/>
        </w:rPr>
        <w:t>Respondents/</w:t>
      </w:r>
      <w:r w:rsidR="00813D35">
        <w:rPr>
          <w:spacing w:val="6"/>
          <w:u w:val="single"/>
        </w:rPr>
        <w:t>NA</w:t>
      </w:r>
      <w:r w:rsidRPr="005379F3">
        <w:rPr>
          <w:spacing w:val="6"/>
          <w:u w:val="single"/>
        </w:rPr>
        <w:t>IC</w:t>
      </w:r>
      <w:r w:rsidR="001D5188">
        <w:rPr>
          <w:spacing w:val="6"/>
          <w:u w:val="single"/>
        </w:rPr>
        <w:t>S</w:t>
      </w:r>
      <w:r w:rsidRPr="005379F3">
        <w:rPr>
          <w:spacing w:val="6"/>
          <w:u w:val="single"/>
        </w:rPr>
        <w:t xml:space="preserve"> Codes</w:t>
      </w:r>
    </w:p>
    <w:p w:rsidR="004D5102" w:rsidRDefault="004D5102" w:rsidP="00692526">
      <w:pPr>
        <w:rPr>
          <w:spacing w:val="6"/>
          <w:u w:val="single"/>
        </w:rPr>
      </w:pPr>
    </w:p>
    <w:p w:rsidR="001D5188" w:rsidRPr="00A85452" w:rsidRDefault="001D5188" w:rsidP="001D5188">
      <w:r w:rsidRPr="00A85452">
        <w:tab/>
        <w:t>Respondents are manufacturers of non-road engines within the following North American Industry Classification System (NAICS) codes:</w:t>
      </w:r>
    </w:p>
    <w:p w:rsidR="001D5188" w:rsidRPr="00A85452" w:rsidRDefault="001D5188" w:rsidP="001D5188"/>
    <w:p w:rsidR="001D5188" w:rsidRPr="00A85452" w:rsidRDefault="001D5188" w:rsidP="001D5188">
      <w:pPr>
        <w:ind w:left="720"/>
      </w:pPr>
      <w:r w:rsidRPr="00A85452">
        <w:t>336312 Gasoline Engine and Engine Parts Manufacturing</w:t>
      </w:r>
    </w:p>
    <w:p w:rsidR="00500D44" w:rsidRDefault="00500D44" w:rsidP="00D7377C"/>
    <w:p w:rsidR="00832233" w:rsidRDefault="00B90DAB" w:rsidP="00D7377C">
      <w:pPr>
        <w:rPr>
          <w:u w:val="single"/>
        </w:rPr>
      </w:pPr>
      <w:r w:rsidRPr="00B90DAB">
        <w:t>4</w:t>
      </w:r>
      <w:r w:rsidR="00832233" w:rsidRPr="00B90DAB">
        <w:t xml:space="preserve">(b) </w:t>
      </w:r>
      <w:r w:rsidR="00832233" w:rsidRPr="005379F3">
        <w:rPr>
          <w:u w:val="single"/>
        </w:rPr>
        <w:t>Information Requested</w:t>
      </w:r>
    </w:p>
    <w:p w:rsidR="008B3D18" w:rsidRPr="005379F3" w:rsidRDefault="008B3D18" w:rsidP="00D7377C"/>
    <w:p w:rsidR="00832233" w:rsidRPr="002A6B3A" w:rsidRDefault="00F8395A" w:rsidP="002A6B3A">
      <w:pPr>
        <w:ind w:firstLine="720"/>
        <w:rPr>
          <w:i/>
          <w:spacing w:val="6"/>
        </w:rPr>
      </w:pPr>
      <w:r w:rsidRPr="002A6B3A">
        <w:rPr>
          <w:i/>
          <w:spacing w:val="6"/>
        </w:rPr>
        <w:t xml:space="preserve">(i) </w:t>
      </w:r>
      <w:r w:rsidR="00832233" w:rsidRPr="002A6B3A">
        <w:rPr>
          <w:i/>
          <w:spacing w:val="6"/>
        </w:rPr>
        <w:t>Data items</w:t>
      </w:r>
    </w:p>
    <w:p w:rsidR="008B3D18" w:rsidRPr="00C6377F" w:rsidRDefault="008B3D18" w:rsidP="00D7377C">
      <w:pPr>
        <w:rPr>
          <w:spacing w:val="6"/>
        </w:rPr>
      </w:pPr>
    </w:p>
    <w:p w:rsidR="0060475E" w:rsidRDefault="0060475E" w:rsidP="00D7377C">
      <w:pPr>
        <w:pStyle w:val="Style6"/>
        <w:jc w:val="left"/>
        <w:rPr>
          <w:spacing w:val="6"/>
        </w:rPr>
      </w:pPr>
    </w:p>
    <w:p w:rsidR="0060475E" w:rsidRDefault="00201499" w:rsidP="00D7377C">
      <w:pPr>
        <w:pStyle w:val="Style6"/>
        <w:jc w:val="left"/>
        <w:rPr>
          <w:spacing w:val="6"/>
        </w:rPr>
      </w:pPr>
      <w:r w:rsidRPr="00C6377F">
        <w:rPr>
          <w:spacing w:val="6"/>
        </w:rPr>
        <w:tab/>
      </w:r>
      <w:r w:rsidR="004E617F" w:rsidRPr="00C6377F">
        <w:rPr>
          <w:spacing w:val="6"/>
        </w:rPr>
        <w:t xml:space="preserve">The information and reporting burden associated with this rule occurs within the context of EPA’s motor vehicle </w:t>
      </w:r>
      <w:r w:rsidR="001D5188" w:rsidRPr="00C6377F">
        <w:rPr>
          <w:spacing w:val="6"/>
        </w:rPr>
        <w:t xml:space="preserve">and engine </w:t>
      </w:r>
      <w:r w:rsidR="004E617F" w:rsidRPr="00C6377F">
        <w:rPr>
          <w:spacing w:val="6"/>
        </w:rPr>
        <w:t xml:space="preserve">certification </w:t>
      </w:r>
      <w:r w:rsidR="007F343C" w:rsidRPr="00C6377F">
        <w:rPr>
          <w:spacing w:val="6"/>
        </w:rPr>
        <w:t xml:space="preserve">and compliance </w:t>
      </w:r>
      <w:r w:rsidR="004E617F" w:rsidRPr="00C6377F">
        <w:rPr>
          <w:spacing w:val="6"/>
        </w:rPr>
        <w:t>program</w:t>
      </w:r>
      <w:r w:rsidR="0060475E">
        <w:rPr>
          <w:spacing w:val="6"/>
        </w:rPr>
        <w:t>s</w:t>
      </w:r>
      <w:r w:rsidR="004E617F" w:rsidRPr="00C6377F">
        <w:rPr>
          <w:spacing w:val="6"/>
        </w:rPr>
        <w:t xml:space="preserve">. </w:t>
      </w:r>
      <w:r w:rsidR="004D5D22" w:rsidRPr="00C6377F">
        <w:rPr>
          <w:spacing w:val="6"/>
        </w:rPr>
        <w:t xml:space="preserve"> </w:t>
      </w:r>
      <w:r w:rsidR="0060475E">
        <w:rPr>
          <w:spacing w:val="6"/>
        </w:rPr>
        <w:t xml:space="preserve">Currently requested data items related to heavy-duty engine certification are discussed in detail in ICR 1684.12.  Converters seeking certification for engines converted at the beginning of their useful lives are expected to go through current certification procedures.  However, under the </w:t>
      </w:r>
      <w:r w:rsidR="0088595E">
        <w:rPr>
          <w:spacing w:val="6"/>
        </w:rPr>
        <w:t xml:space="preserve">revised </w:t>
      </w:r>
      <w:r w:rsidR="0060475E">
        <w:rPr>
          <w:spacing w:val="6"/>
        </w:rPr>
        <w:t xml:space="preserve">rule, the amount of information collected from converters will be reduced due to the provision that will allow the grouping of multiple engine families into a larger one.  Currently, engine manufacturers and converters must submit one certification application per engine family, as currently defined in the regulations.  Under the </w:t>
      </w:r>
      <w:r w:rsidR="0088595E">
        <w:rPr>
          <w:spacing w:val="6"/>
        </w:rPr>
        <w:t xml:space="preserve">revised </w:t>
      </w:r>
      <w:r w:rsidR="0060475E">
        <w:rPr>
          <w:spacing w:val="6"/>
        </w:rPr>
        <w:t xml:space="preserve">rule, converters of </w:t>
      </w:r>
      <w:r w:rsidR="0088595E">
        <w:rPr>
          <w:spacing w:val="6"/>
        </w:rPr>
        <w:t>new and nearly new</w:t>
      </w:r>
      <w:r w:rsidR="0060475E">
        <w:rPr>
          <w:spacing w:val="6"/>
        </w:rPr>
        <w:t xml:space="preserve"> engines will be able to obtain one certificate for a group of engine families.  Engine families must share certain</w:t>
      </w:r>
      <w:r w:rsidR="00F669A7">
        <w:rPr>
          <w:spacing w:val="6"/>
        </w:rPr>
        <w:t xml:space="preserve"> characteristics before they can be combined into a larger family.  This provision may reduce converters reporting burden by up to 50%. </w:t>
      </w:r>
    </w:p>
    <w:p w:rsidR="0060475E" w:rsidRDefault="0060475E" w:rsidP="00D7377C">
      <w:pPr>
        <w:pStyle w:val="Style6"/>
        <w:jc w:val="left"/>
        <w:rPr>
          <w:spacing w:val="6"/>
        </w:rPr>
      </w:pPr>
    </w:p>
    <w:p w:rsidR="00F669A7" w:rsidRDefault="00F669A7" w:rsidP="00F669A7">
      <w:pPr>
        <w:pStyle w:val="Style6"/>
        <w:ind w:firstLine="720"/>
        <w:jc w:val="left"/>
        <w:rPr>
          <w:spacing w:val="6"/>
        </w:rPr>
      </w:pPr>
      <w:r>
        <w:rPr>
          <w:spacing w:val="6"/>
        </w:rPr>
        <w:t>Converters of intermediate age engines will be able to</w:t>
      </w:r>
      <w:r w:rsidR="002459FE" w:rsidRPr="00C6377F">
        <w:rPr>
          <w:spacing w:val="6"/>
        </w:rPr>
        <w:t xml:space="preserve"> submit a simplified testing demonstration without the burdens of the formal cer</w:t>
      </w:r>
      <w:r>
        <w:rPr>
          <w:spacing w:val="6"/>
        </w:rPr>
        <w:t>tification application process</w:t>
      </w:r>
      <w:r w:rsidR="00B966BD">
        <w:rPr>
          <w:spacing w:val="6"/>
        </w:rPr>
        <w:t>. I</w:t>
      </w:r>
      <w:r>
        <w:rPr>
          <w:spacing w:val="6"/>
        </w:rPr>
        <w:t>ntermediate age engine converters will also benefit from not having to pay the certification fee currently required</w:t>
      </w:r>
      <w:r w:rsidRPr="00A85452">
        <w:t xml:space="preserve"> under the authority of Section 217 of the CAA and the Independent Offices App</w:t>
      </w:r>
      <w:r>
        <w:t>ropriation Act (31 U.S.C. 9701)</w:t>
      </w:r>
      <w:r w:rsidRPr="00A85452">
        <w:t xml:space="preserve">.  </w:t>
      </w:r>
      <w:r>
        <w:rPr>
          <w:spacing w:val="6"/>
        </w:rPr>
        <w:t xml:space="preserve"> </w:t>
      </w:r>
    </w:p>
    <w:p w:rsidR="00613E3D" w:rsidRDefault="00613E3D" w:rsidP="00F669A7">
      <w:pPr>
        <w:pStyle w:val="Style6"/>
        <w:ind w:firstLine="720"/>
        <w:jc w:val="left"/>
        <w:rPr>
          <w:spacing w:val="6"/>
        </w:rPr>
      </w:pPr>
    </w:p>
    <w:p w:rsidR="00A4722D" w:rsidRDefault="00A4722D" w:rsidP="00A4722D">
      <w:pPr>
        <w:pStyle w:val="Style6"/>
        <w:ind w:firstLine="720"/>
        <w:jc w:val="left"/>
        <w:rPr>
          <w:spacing w:val="6"/>
        </w:rPr>
      </w:pPr>
      <w:r>
        <w:rPr>
          <w:spacing w:val="6"/>
        </w:rPr>
        <w:t xml:space="preserve">Converters of engines </w:t>
      </w:r>
      <w:r w:rsidR="002459FE" w:rsidRPr="00C6377F">
        <w:rPr>
          <w:spacing w:val="6"/>
        </w:rPr>
        <w:t>outside their useful life</w:t>
      </w:r>
      <w:r>
        <w:rPr>
          <w:spacing w:val="6"/>
        </w:rPr>
        <w:t xml:space="preserve"> will also benefit from a reduced burden.  EPA </w:t>
      </w:r>
      <w:r w:rsidR="00613E3D">
        <w:rPr>
          <w:spacing w:val="6"/>
        </w:rPr>
        <w:t xml:space="preserve">sought </w:t>
      </w:r>
      <w:r>
        <w:rPr>
          <w:spacing w:val="6"/>
        </w:rPr>
        <w:t xml:space="preserve">comment from the public on the suitability of three proposed options to provide adequate demonstration of compliance. </w:t>
      </w:r>
      <w:r w:rsidR="00613E3D">
        <w:rPr>
          <w:spacing w:val="6"/>
        </w:rPr>
        <w:t xml:space="preserve">“Option 3” is being finalized which requires an OBD scan tool test procedure </w:t>
      </w:r>
      <w:r w:rsidR="00782D57">
        <w:rPr>
          <w:spacing w:val="6"/>
        </w:rPr>
        <w:t>report</w:t>
      </w:r>
      <w:r w:rsidR="00613E3D">
        <w:rPr>
          <w:spacing w:val="6"/>
        </w:rPr>
        <w:t xml:space="preserve"> and a detailed technical description of the conversion system sufficient in detail for EPA to confirm the conversion system’s ability to maintain or improve on emission levels in the converted engine. </w:t>
      </w:r>
    </w:p>
    <w:p w:rsidR="00A4722D" w:rsidRDefault="00A4722D" w:rsidP="00F669A7">
      <w:pPr>
        <w:pStyle w:val="Style6"/>
        <w:ind w:firstLine="720"/>
        <w:jc w:val="left"/>
        <w:rPr>
          <w:spacing w:val="6"/>
        </w:rPr>
      </w:pPr>
    </w:p>
    <w:p w:rsidR="002459FE" w:rsidRDefault="00A4722D" w:rsidP="00A4722D">
      <w:pPr>
        <w:pStyle w:val="Style6"/>
        <w:ind w:firstLine="720"/>
        <w:jc w:val="left"/>
        <w:rPr>
          <w:spacing w:val="6"/>
        </w:rPr>
      </w:pPr>
      <w:r>
        <w:rPr>
          <w:spacing w:val="6"/>
        </w:rPr>
        <w:t xml:space="preserve">In general, </w:t>
      </w:r>
      <w:r w:rsidR="00683542">
        <w:rPr>
          <w:spacing w:val="6"/>
        </w:rPr>
        <w:t xml:space="preserve">all </w:t>
      </w:r>
      <w:r w:rsidR="002459FE" w:rsidRPr="00C6377F">
        <w:rPr>
          <w:spacing w:val="6"/>
        </w:rPr>
        <w:t>reporting</w:t>
      </w:r>
      <w:r w:rsidR="004E617F" w:rsidRPr="00C6377F">
        <w:rPr>
          <w:spacing w:val="6"/>
        </w:rPr>
        <w:t xml:space="preserve"> </w:t>
      </w:r>
      <w:r w:rsidR="002459FE" w:rsidRPr="00C6377F">
        <w:rPr>
          <w:spacing w:val="6"/>
        </w:rPr>
        <w:t xml:space="preserve">formats </w:t>
      </w:r>
      <w:r>
        <w:rPr>
          <w:spacing w:val="6"/>
        </w:rPr>
        <w:t xml:space="preserve">will </w:t>
      </w:r>
      <w:r w:rsidR="004E617F" w:rsidRPr="00C6377F">
        <w:rPr>
          <w:spacing w:val="6"/>
        </w:rPr>
        <w:t xml:space="preserve">describe the major aspects of the proposed product line, technical details of the emission control systems, and the results of </w:t>
      </w:r>
      <w:r w:rsidR="002459FE" w:rsidRPr="00C6377F">
        <w:rPr>
          <w:spacing w:val="6"/>
        </w:rPr>
        <w:t xml:space="preserve">any required </w:t>
      </w:r>
      <w:r w:rsidR="004E617F" w:rsidRPr="00C6377F">
        <w:rPr>
          <w:spacing w:val="6"/>
        </w:rPr>
        <w:t xml:space="preserve">tests to indicate compliance with the emissions limitations. </w:t>
      </w:r>
      <w:r w:rsidR="004D5D22" w:rsidRPr="00C6377F">
        <w:rPr>
          <w:spacing w:val="6"/>
        </w:rPr>
        <w:t xml:space="preserve"> </w:t>
      </w:r>
    </w:p>
    <w:p w:rsidR="00A4722D" w:rsidRPr="00C6377F" w:rsidRDefault="00A4722D" w:rsidP="00A4722D">
      <w:pPr>
        <w:pStyle w:val="Style6"/>
        <w:ind w:firstLine="720"/>
        <w:jc w:val="left"/>
        <w:rPr>
          <w:spacing w:val="6"/>
        </w:rPr>
      </w:pPr>
    </w:p>
    <w:p w:rsidR="00F66713" w:rsidRPr="00C6377F" w:rsidRDefault="00F66713" w:rsidP="00D7377C">
      <w:pPr>
        <w:pStyle w:val="Style6"/>
        <w:jc w:val="left"/>
        <w:rPr>
          <w:spacing w:val="6"/>
        </w:rPr>
      </w:pPr>
      <w:r w:rsidRPr="00C6377F">
        <w:rPr>
          <w:spacing w:val="6"/>
        </w:rPr>
        <w:tab/>
      </w:r>
      <w:r w:rsidR="00C6377F" w:rsidRPr="00C6377F">
        <w:rPr>
          <w:spacing w:val="6"/>
        </w:rPr>
        <w:t xml:space="preserve">The following is a list of </w:t>
      </w:r>
      <w:r w:rsidR="00274A06" w:rsidRPr="00C6377F">
        <w:rPr>
          <w:spacing w:val="6"/>
        </w:rPr>
        <w:t>data items</w:t>
      </w:r>
      <w:r w:rsidR="00A4722D">
        <w:rPr>
          <w:spacing w:val="6"/>
        </w:rPr>
        <w:t xml:space="preserve"> added or revised by the rule</w:t>
      </w:r>
      <w:r w:rsidR="00C6377F" w:rsidRPr="00C6377F">
        <w:rPr>
          <w:spacing w:val="6"/>
        </w:rPr>
        <w:t xml:space="preserve">.  </w:t>
      </w:r>
      <w:r w:rsidR="00A4722D">
        <w:rPr>
          <w:spacing w:val="6"/>
        </w:rPr>
        <w:t xml:space="preserve">As mentioned above, </w:t>
      </w:r>
      <w:r w:rsidR="00C6377F" w:rsidRPr="00C6377F">
        <w:rPr>
          <w:spacing w:val="6"/>
        </w:rPr>
        <w:t>ICR 1864.</w:t>
      </w:r>
      <w:r w:rsidR="00C6377F" w:rsidRPr="002A6B3A">
        <w:rPr>
          <w:spacing w:val="6"/>
        </w:rPr>
        <w:t>12</w:t>
      </w:r>
      <w:r w:rsidR="00C6377F">
        <w:rPr>
          <w:spacing w:val="6"/>
        </w:rPr>
        <w:t xml:space="preserve"> lists the rest of the</w:t>
      </w:r>
      <w:r w:rsidR="00A4722D">
        <w:rPr>
          <w:spacing w:val="6"/>
        </w:rPr>
        <w:t xml:space="preserve"> data items currently required for certification and that would apply to converters of </w:t>
      </w:r>
      <w:r w:rsidR="00683542">
        <w:rPr>
          <w:spacing w:val="6"/>
        </w:rPr>
        <w:t xml:space="preserve">new and nearly new </w:t>
      </w:r>
      <w:r w:rsidR="00A4722D">
        <w:rPr>
          <w:spacing w:val="6"/>
        </w:rPr>
        <w:t>engines</w:t>
      </w:r>
      <w:r w:rsidR="00683542">
        <w:rPr>
          <w:spacing w:val="6"/>
        </w:rPr>
        <w:t xml:space="preserve"> </w:t>
      </w:r>
      <w:r w:rsidR="00CC091A">
        <w:rPr>
          <w:spacing w:val="6"/>
        </w:rPr>
        <w:t>applying for</w:t>
      </w:r>
      <w:r w:rsidR="00683542">
        <w:rPr>
          <w:spacing w:val="6"/>
        </w:rPr>
        <w:t xml:space="preserve"> certificates of conformity</w:t>
      </w:r>
      <w:r w:rsidR="00C6377F">
        <w:rPr>
          <w:spacing w:val="6"/>
        </w:rPr>
        <w:t>.</w:t>
      </w:r>
    </w:p>
    <w:p w:rsidR="0060051E" w:rsidRPr="00C6377F" w:rsidRDefault="0060051E" w:rsidP="00D7377C">
      <w:pPr>
        <w:pStyle w:val="Style6"/>
        <w:jc w:val="left"/>
        <w:rPr>
          <w:spacing w:val="6"/>
        </w:rPr>
      </w:pPr>
    </w:p>
    <w:p w:rsidR="0060051E" w:rsidRPr="00F1435D" w:rsidRDefault="0060051E" w:rsidP="00D7377C">
      <w:pPr>
        <w:pStyle w:val="Style6"/>
        <w:jc w:val="left"/>
        <w:rPr>
          <w:spacing w:val="6"/>
          <w:u w:val="single"/>
        </w:rPr>
      </w:pPr>
      <w:r w:rsidRPr="00F1435D">
        <w:rPr>
          <w:spacing w:val="6"/>
          <w:u w:val="single"/>
        </w:rPr>
        <w:t xml:space="preserve">For all </w:t>
      </w:r>
      <w:r w:rsidR="00CC091A">
        <w:rPr>
          <w:spacing w:val="6"/>
          <w:u w:val="single"/>
        </w:rPr>
        <w:t>engines</w:t>
      </w:r>
      <w:r w:rsidR="00C6074E" w:rsidRPr="00F1435D">
        <w:rPr>
          <w:spacing w:val="6"/>
          <w:u w:val="single"/>
        </w:rPr>
        <w:t xml:space="preserve">: </w:t>
      </w:r>
    </w:p>
    <w:p w:rsidR="0060051E" w:rsidRPr="00C6377F" w:rsidRDefault="0060051E" w:rsidP="00F1435D">
      <w:pPr>
        <w:pStyle w:val="Style6"/>
        <w:numPr>
          <w:ilvl w:val="0"/>
          <w:numId w:val="21"/>
        </w:numPr>
        <w:tabs>
          <w:tab w:val="clear" w:pos="2880"/>
          <w:tab w:val="num" w:pos="720"/>
        </w:tabs>
        <w:ind w:hanging="2160"/>
        <w:jc w:val="left"/>
        <w:rPr>
          <w:spacing w:val="6"/>
        </w:rPr>
      </w:pPr>
      <w:r w:rsidRPr="00C6377F">
        <w:rPr>
          <w:spacing w:val="6"/>
        </w:rPr>
        <w:t xml:space="preserve">expanded </w:t>
      </w:r>
      <w:r w:rsidR="00E431B8" w:rsidRPr="00C6377F">
        <w:rPr>
          <w:spacing w:val="6"/>
        </w:rPr>
        <w:t xml:space="preserve"> conversion </w:t>
      </w:r>
      <w:r w:rsidR="00CC091A">
        <w:rPr>
          <w:spacing w:val="6"/>
        </w:rPr>
        <w:t>engine families</w:t>
      </w:r>
      <w:r w:rsidR="00441780" w:rsidRPr="00C6377F">
        <w:rPr>
          <w:spacing w:val="6"/>
        </w:rPr>
        <w:t xml:space="preserve"> </w:t>
      </w:r>
    </w:p>
    <w:p w:rsidR="00274A06" w:rsidRDefault="0093506E" w:rsidP="00F1435D">
      <w:pPr>
        <w:pStyle w:val="Style6"/>
        <w:numPr>
          <w:ilvl w:val="0"/>
          <w:numId w:val="21"/>
        </w:numPr>
        <w:tabs>
          <w:tab w:val="clear" w:pos="2880"/>
          <w:tab w:val="num" w:pos="720"/>
        </w:tabs>
        <w:ind w:hanging="2160"/>
        <w:jc w:val="left"/>
        <w:rPr>
          <w:spacing w:val="6"/>
        </w:rPr>
      </w:pPr>
      <w:r w:rsidRPr="00C6377F">
        <w:rPr>
          <w:spacing w:val="6"/>
        </w:rPr>
        <w:t xml:space="preserve">new </w:t>
      </w:r>
      <w:r w:rsidR="00CC091A">
        <w:rPr>
          <w:spacing w:val="6"/>
        </w:rPr>
        <w:t>engine</w:t>
      </w:r>
      <w:r w:rsidR="00CC091A" w:rsidRPr="00C6377F">
        <w:rPr>
          <w:spacing w:val="6"/>
        </w:rPr>
        <w:t xml:space="preserve"> </w:t>
      </w:r>
      <w:r w:rsidRPr="00C6377F">
        <w:rPr>
          <w:spacing w:val="6"/>
        </w:rPr>
        <w:t>label requirement describin</w:t>
      </w:r>
      <w:r w:rsidR="000F072F" w:rsidRPr="00C6377F">
        <w:rPr>
          <w:spacing w:val="6"/>
        </w:rPr>
        <w:t xml:space="preserve">g </w:t>
      </w:r>
      <w:r w:rsidR="00CC091A">
        <w:rPr>
          <w:spacing w:val="6"/>
        </w:rPr>
        <w:t>OEM engine family</w:t>
      </w:r>
      <w:r w:rsidR="000F072F" w:rsidRPr="00C6377F">
        <w:rPr>
          <w:spacing w:val="6"/>
        </w:rPr>
        <w:t>, mileage, and date</w:t>
      </w:r>
      <w:r w:rsidR="001D1D15" w:rsidRPr="00C6377F">
        <w:rPr>
          <w:spacing w:val="6"/>
        </w:rPr>
        <w:t xml:space="preserve"> </w:t>
      </w:r>
    </w:p>
    <w:p w:rsidR="00F1435D" w:rsidRPr="00C6377F" w:rsidRDefault="00F1435D" w:rsidP="00F1435D">
      <w:pPr>
        <w:pStyle w:val="Style6"/>
        <w:tabs>
          <w:tab w:val="num" w:pos="720"/>
        </w:tabs>
        <w:ind w:left="2520" w:hanging="2160"/>
        <w:jc w:val="left"/>
        <w:rPr>
          <w:spacing w:val="6"/>
        </w:rPr>
      </w:pPr>
    </w:p>
    <w:p w:rsidR="000F072F" w:rsidRDefault="000F072F" w:rsidP="00F1435D">
      <w:pPr>
        <w:pStyle w:val="Style6"/>
        <w:tabs>
          <w:tab w:val="num" w:pos="720"/>
        </w:tabs>
        <w:jc w:val="left"/>
        <w:rPr>
          <w:spacing w:val="6"/>
          <w:u w:val="single"/>
        </w:rPr>
      </w:pPr>
      <w:r w:rsidRPr="00F1435D">
        <w:rPr>
          <w:spacing w:val="6"/>
          <w:u w:val="single"/>
        </w:rPr>
        <w:t>For intermediate-age</w:t>
      </w:r>
      <w:r w:rsidR="00250E4E" w:rsidRPr="00F1435D">
        <w:rPr>
          <w:spacing w:val="6"/>
          <w:u w:val="single"/>
        </w:rPr>
        <w:t xml:space="preserve"> and outside useful-life age</w:t>
      </w:r>
      <w:r w:rsidRPr="00F1435D">
        <w:rPr>
          <w:spacing w:val="6"/>
          <w:u w:val="single"/>
        </w:rPr>
        <w:t xml:space="preserve"> vehicles</w:t>
      </w:r>
      <w:r w:rsidR="00250E4E" w:rsidRPr="00F1435D">
        <w:rPr>
          <w:spacing w:val="6"/>
          <w:u w:val="single"/>
        </w:rPr>
        <w:t xml:space="preserve"> (25%)</w:t>
      </w:r>
    </w:p>
    <w:p w:rsidR="00F1435D" w:rsidRPr="00F1435D" w:rsidRDefault="00F1435D" w:rsidP="00F1435D">
      <w:pPr>
        <w:pStyle w:val="Style6"/>
        <w:tabs>
          <w:tab w:val="num" w:pos="720"/>
        </w:tabs>
        <w:jc w:val="left"/>
        <w:rPr>
          <w:spacing w:val="6"/>
          <w:u w:val="single"/>
        </w:rPr>
      </w:pPr>
    </w:p>
    <w:p w:rsidR="00C051C7" w:rsidRPr="00C6377F" w:rsidRDefault="00051027" w:rsidP="00F1435D">
      <w:pPr>
        <w:pStyle w:val="Style6"/>
        <w:numPr>
          <w:ilvl w:val="0"/>
          <w:numId w:val="18"/>
        </w:numPr>
        <w:tabs>
          <w:tab w:val="clear" w:pos="2880"/>
          <w:tab w:val="num" w:pos="720"/>
        </w:tabs>
        <w:ind w:left="1440" w:hanging="720"/>
        <w:jc w:val="left"/>
        <w:rPr>
          <w:spacing w:val="6"/>
        </w:rPr>
      </w:pPr>
      <w:r w:rsidRPr="00C6377F">
        <w:rPr>
          <w:spacing w:val="6"/>
        </w:rPr>
        <w:t xml:space="preserve">online </w:t>
      </w:r>
      <w:r w:rsidR="00C051C7" w:rsidRPr="00C6377F">
        <w:rPr>
          <w:spacing w:val="6"/>
        </w:rPr>
        <w:t>notification</w:t>
      </w:r>
      <w:r w:rsidRPr="00C6377F">
        <w:rPr>
          <w:spacing w:val="6"/>
        </w:rPr>
        <w:t xml:space="preserve"> and test result report </w:t>
      </w:r>
      <w:r w:rsidR="00C051C7" w:rsidRPr="00C6377F">
        <w:rPr>
          <w:spacing w:val="6"/>
        </w:rPr>
        <w:t xml:space="preserve">rather than application for </w:t>
      </w:r>
      <w:r w:rsidR="00C051C7" w:rsidRPr="00C6377F">
        <w:rPr>
          <w:spacing w:val="6"/>
        </w:rPr>
        <w:lastRenderedPageBreak/>
        <w:t>certification</w:t>
      </w:r>
      <w:r w:rsidR="009F56A2" w:rsidRPr="00C6377F">
        <w:rPr>
          <w:spacing w:val="6"/>
        </w:rPr>
        <w:t xml:space="preserve"> (savings in “paperwork” burden)</w:t>
      </w:r>
      <w:r w:rsidR="00C6074E" w:rsidRPr="00C6377F">
        <w:rPr>
          <w:spacing w:val="6"/>
        </w:rPr>
        <w:t xml:space="preserve"> or “demonstration” for </w:t>
      </w:r>
      <w:r w:rsidR="00782D57">
        <w:rPr>
          <w:spacing w:val="6"/>
        </w:rPr>
        <w:t xml:space="preserve">intermediate age  and </w:t>
      </w:r>
      <w:r w:rsidR="00C6074E" w:rsidRPr="00C6377F">
        <w:rPr>
          <w:spacing w:val="6"/>
        </w:rPr>
        <w:t>outside useful</w:t>
      </w:r>
      <w:r w:rsidR="00782D57">
        <w:rPr>
          <w:spacing w:val="6"/>
        </w:rPr>
        <w:t xml:space="preserve"> </w:t>
      </w:r>
      <w:r w:rsidR="00C6074E" w:rsidRPr="00C6377F">
        <w:rPr>
          <w:spacing w:val="6"/>
        </w:rPr>
        <w:t>life</w:t>
      </w:r>
      <w:r w:rsidR="00AE7B59" w:rsidRPr="00C6377F">
        <w:rPr>
          <w:spacing w:val="6"/>
        </w:rPr>
        <w:t xml:space="preserve"> conversions</w:t>
      </w:r>
    </w:p>
    <w:p w:rsidR="003E7BF2" w:rsidRPr="00B966BD" w:rsidRDefault="003E7BF2" w:rsidP="003E7BF2">
      <w:pPr>
        <w:pStyle w:val="Style6"/>
        <w:numPr>
          <w:ilvl w:val="0"/>
          <w:numId w:val="18"/>
        </w:numPr>
        <w:tabs>
          <w:tab w:val="clear" w:pos="2880"/>
          <w:tab w:val="num" w:pos="720"/>
        </w:tabs>
        <w:ind w:left="1440" w:hanging="720"/>
        <w:jc w:val="left"/>
        <w:rPr>
          <w:spacing w:val="6"/>
        </w:rPr>
      </w:pPr>
      <w:r w:rsidRPr="00B966BD">
        <w:rPr>
          <w:spacing w:val="6"/>
        </w:rPr>
        <w:t xml:space="preserve">OBD scan tool report showing results of an OBD scan tool test procedure </w:t>
      </w:r>
    </w:p>
    <w:p w:rsidR="003E7BF2" w:rsidRPr="00B966BD" w:rsidRDefault="003E7BF2" w:rsidP="003E7BF2">
      <w:pPr>
        <w:pStyle w:val="Style6"/>
        <w:numPr>
          <w:ilvl w:val="0"/>
          <w:numId w:val="18"/>
        </w:numPr>
        <w:tabs>
          <w:tab w:val="clear" w:pos="2880"/>
          <w:tab w:val="num" w:pos="720"/>
        </w:tabs>
        <w:ind w:left="1440" w:hanging="720"/>
        <w:jc w:val="left"/>
        <w:rPr>
          <w:spacing w:val="6"/>
        </w:rPr>
      </w:pPr>
      <w:r w:rsidRPr="00B966BD">
        <w:rPr>
          <w:spacing w:val="6"/>
        </w:rPr>
        <w:t>A statement that the OBD system remains fully functional in the converted engine.</w:t>
      </w:r>
    </w:p>
    <w:p w:rsidR="00C6377F" w:rsidRPr="00C6377F" w:rsidRDefault="00C6377F" w:rsidP="00F1435D">
      <w:pPr>
        <w:pStyle w:val="Style6"/>
        <w:numPr>
          <w:ilvl w:val="0"/>
          <w:numId w:val="18"/>
        </w:numPr>
        <w:tabs>
          <w:tab w:val="clear" w:pos="2880"/>
          <w:tab w:val="num" w:pos="720"/>
        </w:tabs>
        <w:ind w:left="1440" w:hanging="720"/>
        <w:jc w:val="left"/>
        <w:rPr>
          <w:spacing w:val="6"/>
        </w:rPr>
      </w:pPr>
      <w:r w:rsidRPr="00C6377F">
        <w:rPr>
          <w:spacing w:val="6"/>
        </w:rPr>
        <w:t>Intermediate</w:t>
      </w:r>
      <w:r w:rsidR="00782D57">
        <w:rPr>
          <w:spacing w:val="6"/>
        </w:rPr>
        <w:t xml:space="preserve"> </w:t>
      </w:r>
      <w:r w:rsidRPr="00C6377F">
        <w:rPr>
          <w:spacing w:val="6"/>
        </w:rPr>
        <w:t>age and outside useful</w:t>
      </w:r>
      <w:r w:rsidR="00782D57">
        <w:rPr>
          <w:spacing w:val="6"/>
        </w:rPr>
        <w:t xml:space="preserve"> </w:t>
      </w:r>
      <w:r w:rsidRPr="00C6377F">
        <w:rPr>
          <w:spacing w:val="6"/>
        </w:rPr>
        <w:t>life engine families will not be required to pay a certification fee.</w:t>
      </w:r>
    </w:p>
    <w:p w:rsidR="004E617F" w:rsidRPr="004E617F" w:rsidRDefault="00551CFE" w:rsidP="00D7377C">
      <w:pPr>
        <w:pStyle w:val="Style6"/>
        <w:jc w:val="left"/>
        <w:rPr>
          <w:spacing w:val="6"/>
        </w:rPr>
      </w:pPr>
      <w:r>
        <w:rPr>
          <w:spacing w:val="6"/>
        </w:rPr>
        <w:tab/>
      </w:r>
    </w:p>
    <w:p w:rsidR="008B3D18" w:rsidRPr="002A6B3A" w:rsidRDefault="00832233" w:rsidP="002A6B3A">
      <w:pPr>
        <w:ind w:firstLine="720"/>
        <w:rPr>
          <w:i/>
          <w:spacing w:val="6"/>
          <w:u w:val="single"/>
        </w:rPr>
      </w:pPr>
      <w:r w:rsidRPr="002A6B3A">
        <w:rPr>
          <w:i/>
          <w:spacing w:val="6"/>
          <w:u w:val="single"/>
        </w:rPr>
        <w:t>(ii) Respondent Activities</w:t>
      </w:r>
    </w:p>
    <w:p w:rsidR="008B3D18" w:rsidRPr="005379F3" w:rsidRDefault="008B3D18" w:rsidP="00692526">
      <w:pPr>
        <w:rPr>
          <w:spacing w:val="6"/>
        </w:rPr>
      </w:pPr>
    </w:p>
    <w:p w:rsidR="00F1435D" w:rsidRDefault="00201499" w:rsidP="004D5102">
      <w:pPr>
        <w:pStyle w:val="Style6"/>
        <w:jc w:val="left"/>
        <w:rPr>
          <w:spacing w:val="6"/>
        </w:rPr>
      </w:pPr>
      <w:r>
        <w:rPr>
          <w:spacing w:val="6"/>
        </w:rPr>
        <w:tab/>
      </w:r>
      <w:r w:rsidR="00832233" w:rsidRPr="004D5102">
        <w:rPr>
          <w:spacing w:val="6"/>
        </w:rPr>
        <w:t xml:space="preserve">While there is no </w:t>
      </w:r>
      <w:r w:rsidR="00EF655F" w:rsidRPr="004D5102">
        <w:rPr>
          <w:spacing w:val="6"/>
        </w:rPr>
        <w:t>“</w:t>
      </w:r>
      <w:r w:rsidR="00832233" w:rsidRPr="004D5102">
        <w:rPr>
          <w:spacing w:val="6"/>
        </w:rPr>
        <w:t>typical</w:t>
      </w:r>
      <w:r w:rsidR="00EF655F" w:rsidRPr="004D5102">
        <w:rPr>
          <w:spacing w:val="6"/>
        </w:rPr>
        <w:t>”</w:t>
      </w:r>
      <w:r w:rsidR="00832233" w:rsidRPr="004D5102">
        <w:rPr>
          <w:spacing w:val="6"/>
        </w:rPr>
        <w:t xml:space="preserve"> </w:t>
      </w:r>
      <w:r w:rsidR="00AC1758">
        <w:rPr>
          <w:spacing w:val="6"/>
        </w:rPr>
        <w:t xml:space="preserve">converter </w:t>
      </w:r>
      <w:r w:rsidR="00832233" w:rsidRPr="004D5102">
        <w:rPr>
          <w:spacing w:val="6"/>
        </w:rPr>
        <w:t xml:space="preserve">respondent, all </w:t>
      </w:r>
      <w:r w:rsidR="00AC1758">
        <w:rPr>
          <w:spacing w:val="6"/>
        </w:rPr>
        <w:t xml:space="preserve">converters </w:t>
      </w:r>
      <w:r w:rsidR="00832233" w:rsidRPr="004D5102">
        <w:rPr>
          <w:spacing w:val="6"/>
        </w:rPr>
        <w:t xml:space="preserve">must </w:t>
      </w:r>
      <w:r w:rsidR="005E374A">
        <w:rPr>
          <w:spacing w:val="6"/>
        </w:rPr>
        <w:t xml:space="preserve">submit a </w:t>
      </w:r>
      <w:r w:rsidR="00832233" w:rsidRPr="004D5102">
        <w:rPr>
          <w:spacing w:val="6"/>
        </w:rPr>
        <w:t>descri</w:t>
      </w:r>
      <w:r w:rsidR="005E374A">
        <w:rPr>
          <w:spacing w:val="6"/>
        </w:rPr>
        <w:t xml:space="preserve">ption of </w:t>
      </w:r>
      <w:r w:rsidR="00832233" w:rsidRPr="004D5102">
        <w:rPr>
          <w:spacing w:val="6"/>
        </w:rPr>
        <w:t xml:space="preserve">their product and </w:t>
      </w:r>
      <w:r w:rsidR="006E2A6D">
        <w:rPr>
          <w:spacing w:val="6"/>
        </w:rPr>
        <w:t>other information</w:t>
      </w:r>
      <w:proofErr w:type="gramStart"/>
      <w:r w:rsidR="006E2A6D">
        <w:rPr>
          <w:spacing w:val="6"/>
        </w:rPr>
        <w:t>.</w:t>
      </w:r>
      <w:r w:rsidR="00500D44">
        <w:rPr>
          <w:spacing w:val="6"/>
        </w:rPr>
        <w:t>.</w:t>
      </w:r>
      <w:proofErr w:type="gramEnd"/>
      <w:r w:rsidR="00500D44">
        <w:rPr>
          <w:spacing w:val="6"/>
        </w:rPr>
        <w:t xml:space="preserve"> </w:t>
      </w:r>
      <w:r w:rsidR="00F1435D">
        <w:rPr>
          <w:spacing w:val="6"/>
        </w:rPr>
        <w:t>As described in Section 4(b</w:t>
      </w:r>
      <w:proofErr w:type="gramStart"/>
      <w:r w:rsidR="00F1435D">
        <w:rPr>
          <w:spacing w:val="6"/>
        </w:rPr>
        <w:t>)(</w:t>
      </w:r>
      <w:proofErr w:type="spellStart"/>
      <w:proofErr w:type="gramEnd"/>
      <w:r w:rsidR="00F1435D">
        <w:rPr>
          <w:spacing w:val="6"/>
        </w:rPr>
        <w:t>i</w:t>
      </w:r>
      <w:proofErr w:type="spellEnd"/>
      <w:r w:rsidR="00F1435D">
        <w:rPr>
          <w:spacing w:val="6"/>
        </w:rPr>
        <w:t>), i</w:t>
      </w:r>
      <w:r w:rsidR="00AC1758">
        <w:rPr>
          <w:spacing w:val="6"/>
        </w:rPr>
        <w:t xml:space="preserve">n some cases the current application and certification process </w:t>
      </w:r>
      <w:r w:rsidR="00680A2D">
        <w:rPr>
          <w:spacing w:val="6"/>
        </w:rPr>
        <w:t xml:space="preserve">will be replaced </w:t>
      </w:r>
      <w:r w:rsidR="00AC1758">
        <w:rPr>
          <w:spacing w:val="6"/>
        </w:rPr>
        <w:t xml:space="preserve">with </w:t>
      </w:r>
      <w:r w:rsidR="00F1435D">
        <w:rPr>
          <w:spacing w:val="6"/>
        </w:rPr>
        <w:t>an alternative</w:t>
      </w:r>
      <w:r w:rsidR="005E374A">
        <w:rPr>
          <w:spacing w:val="6"/>
        </w:rPr>
        <w:t>, simpler</w:t>
      </w:r>
      <w:r w:rsidR="00AC1758">
        <w:rPr>
          <w:spacing w:val="6"/>
        </w:rPr>
        <w:t xml:space="preserve"> process</w:t>
      </w:r>
      <w:r w:rsidR="00680A2D" w:rsidRPr="00680A2D">
        <w:rPr>
          <w:spacing w:val="6"/>
        </w:rPr>
        <w:t xml:space="preserve"> </w:t>
      </w:r>
      <w:r w:rsidR="00680A2D">
        <w:rPr>
          <w:spacing w:val="6"/>
        </w:rPr>
        <w:t>for intermediate age and outside useful life programs</w:t>
      </w:r>
      <w:r w:rsidR="00AC1758">
        <w:rPr>
          <w:spacing w:val="6"/>
        </w:rPr>
        <w:t xml:space="preserve">. </w:t>
      </w:r>
      <w:r w:rsidR="005E374A">
        <w:rPr>
          <w:spacing w:val="6"/>
        </w:rPr>
        <w:t xml:space="preserve"> Converters of </w:t>
      </w:r>
      <w:r w:rsidR="00680A2D">
        <w:rPr>
          <w:spacing w:val="6"/>
        </w:rPr>
        <w:t>new and nearly new</w:t>
      </w:r>
      <w:r w:rsidR="005E374A">
        <w:rPr>
          <w:spacing w:val="6"/>
        </w:rPr>
        <w:t xml:space="preserve"> engines will carry-out the same activities as other engine manufacturers currently seeking certification. </w:t>
      </w:r>
    </w:p>
    <w:p w:rsidR="005E374A" w:rsidRPr="005379F3" w:rsidRDefault="005E374A" w:rsidP="00692526">
      <w:pPr>
        <w:pStyle w:val="Style6"/>
        <w:jc w:val="left"/>
        <w:rPr>
          <w:spacing w:val="6"/>
        </w:rPr>
      </w:pPr>
    </w:p>
    <w:p w:rsidR="00832233" w:rsidRPr="005E374A" w:rsidRDefault="00832233" w:rsidP="00692526">
      <w:pPr>
        <w:pStyle w:val="Style6"/>
        <w:jc w:val="left"/>
        <w:rPr>
          <w:b/>
          <w:spacing w:val="6"/>
          <w:u w:val="single"/>
        </w:rPr>
      </w:pPr>
      <w:r w:rsidRPr="005E374A">
        <w:rPr>
          <w:b/>
          <w:spacing w:val="4"/>
          <w:u w:val="single"/>
        </w:rPr>
        <w:t>Sectio</w:t>
      </w:r>
      <w:r w:rsidR="00465950" w:rsidRPr="005E374A">
        <w:rPr>
          <w:b/>
          <w:spacing w:val="4"/>
          <w:u w:val="single"/>
        </w:rPr>
        <w:t>n 5: The Information Collected</w:t>
      </w:r>
      <w:r w:rsidR="00EF655F" w:rsidRPr="005E374A">
        <w:rPr>
          <w:b/>
          <w:spacing w:val="4"/>
          <w:u w:val="single"/>
        </w:rPr>
        <w:t>—</w:t>
      </w:r>
      <w:r w:rsidRPr="005E374A">
        <w:rPr>
          <w:b/>
          <w:spacing w:val="4"/>
          <w:u w:val="single"/>
        </w:rPr>
        <w:t xml:space="preserve">Agency Activities, Collection Methodology, and </w:t>
      </w:r>
      <w:r w:rsidR="00CB21D5" w:rsidRPr="005E374A">
        <w:rPr>
          <w:b/>
          <w:spacing w:val="4"/>
          <w:u w:val="single"/>
        </w:rPr>
        <w:t>I</w:t>
      </w:r>
      <w:r w:rsidRPr="005E374A">
        <w:rPr>
          <w:b/>
          <w:spacing w:val="4"/>
          <w:u w:val="single"/>
        </w:rPr>
        <w:t xml:space="preserve">nformation </w:t>
      </w:r>
      <w:r w:rsidRPr="005E374A">
        <w:rPr>
          <w:b/>
          <w:spacing w:val="6"/>
          <w:u w:val="single"/>
        </w:rPr>
        <w:t>Management</w:t>
      </w:r>
    </w:p>
    <w:p w:rsidR="00832233" w:rsidRDefault="00832233" w:rsidP="00692526">
      <w:pPr>
        <w:pStyle w:val="Style5"/>
        <w:adjustRightInd/>
        <w:rPr>
          <w:spacing w:val="6"/>
        </w:rPr>
      </w:pPr>
    </w:p>
    <w:p w:rsidR="00484D60" w:rsidRPr="005379F3" w:rsidRDefault="00484D60" w:rsidP="00692526">
      <w:pPr>
        <w:pStyle w:val="Style5"/>
        <w:adjustRightInd/>
        <w:rPr>
          <w:spacing w:val="6"/>
        </w:rPr>
      </w:pPr>
    </w:p>
    <w:p w:rsidR="00832233" w:rsidRPr="00EF655F" w:rsidRDefault="00832233" w:rsidP="00692526">
      <w:pPr>
        <w:numPr>
          <w:ilvl w:val="0"/>
          <w:numId w:val="3"/>
        </w:numPr>
        <w:rPr>
          <w:spacing w:val="6"/>
        </w:rPr>
      </w:pPr>
      <w:r w:rsidRPr="005379F3">
        <w:rPr>
          <w:spacing w:val="6"/>
          <w:u w:val="single"/>
        </w:rPr>
        <w:t>Agency Activities</w:t>
      </w:r>
    </w:p>
    <w:p w:rsidR="00EF655F" w:rsidRDefault="00EF655F" w:rsidP="00692526">
      <w:pPr>
        <w:rPr>
          <w:spacing w:val="6"/>
          <w:u w:val="single"/>
        </w:rPr>
      </w:pPr>
    </w:p>
    <w:p w:rsidR="005E374A" w:rsidRPr="005E374A" w:rsidRDefault="005E374A" w:rsidP="005E374A">
      <w:pPr>
        <w:numPr>
          <w:ilvl w:val="12"/>
          <w:numId w:val="0"/>
        </w:numPr>
        <w:rPr>
          <w:rStyle w:val="QuickFormat1"/>
          <w:rFonts w:ascii="Times New Roman" w:hAnsi="Times New Roman" w:cs="Times New Roman"/>
        </w:rPr>
      </w:pPr>
      <w:r w:rsidRPr="005E374A">
        <w:rPr>
          <w:rStyle w:val="QuickFormat1"/>
          <w:rFonts w:ascii="Times New Roman" w:hAnsi="Times New Roman" w:cs="Times New Roman"/>
        </w:rPr>
        <w:tab/>
      </w:r>
      <w:r>
        <w:rPr>
          <w:rStyle w:val="QuickFormat1"/>
          <w:rFonts w:ascii="Times New Roman" w:hAnsi="Times New Roman" w:cs="Times New Roman"/>
        </w:rPr>
        <w:t>In general</w:t>
      </w:r>
      <w:r w:rsidRPr="005E374A">
        <w:rPr>
          <w:rStyle w:val="QuickFormat1"/>
          <w:rFonts w:ascii="Times New Roman" w:hAnsi="Times New Roman" w:cs="Times New Roman"/>
        </w:rPr>
        <w:t>, EPA officials carry out the following activities:</w:t>
      </w:r>
    </w:p>
    <w:p w:rsidR="005E374A" w:rsidRPr="005E374A" w:rsidRDefault="005E374A" w:rsidP="005E374A">
      <w:pPr>
        <w:numPr>
          <w:ilvl w:val="12"/>
          <w:numId w:val="0"/>
        </w:numPr>
        <w:rPr>
          <w:rStyle w:val="QuickFormat1"/>
          <w:rFonts w:ascii="Times New Roman" w:hAnsi="Times New Roman" w:cs="Times New Roman"/>
        </w:rPr>
      </w:pPr>
    </w:p>
    <w:p w:rsidR="005E374A" w:rsidRPr="005E374A" w:rsidRDefault="005E374A" w:rsidP="00484D60">
      <w:pPr>
        <w:pStyle w:val="Level1"/>
        <w:numPr>
          <w:ilvl w:val="0"/>
          <w:numId w:val="22"/>
        </w:numPr>
        <w:rPr>
          <w:rStyle w:val="QuickFormat1"/>
          <w:rFonts w:ascii="Times New Roman" w:hAnsi="Times New Roman" w:cs="Times New Roman"/>
        </w:rPr>
      </w:pPr>
      <w:r w:rsidRPr="005E374A">
        <w:rPr>
          <w:rStyle w:val="QuickFormat1"/>
          <w:rFonts w:ascii="Times New Roman" w:hAnsi="Times New Roman" w:cs="Times New Roman"/>
        </w:rPr>
        <w:t>Review and interpret regulations, provide guidance;</w:t>
      </w:r>
    </w:p>
    <w:p w:rsidR="005E374A" w:rsidRPr="005E374A" w:rsidRDefault="005E374A" w:rsidP="00484D60">
      <w:pPr>
        <w:pStyle w:val="Level1"/>
        <w:numPr>
          <w:ilvl w:val="0"/>
          <w:numId w:val="22"/>
        </w:numPr>
        <w:rPr>
          <w:rStyle w:val="QuickFormat1"/>
          <w:rFonts w:ascii="Times New Roman" w:hAnsi="Times New Roman" w:cs="Times New Roman"/>
        </w:rPr>
      </w:pPr>
      <w:r w:rsidRPr="005E374A">
        <w:rPr>
          <w:rStyle w:val="QuickFormat1"/>
          <w:rFonts w:ascii="Times New Roman" w:hAnsi="Times New Roman" w:cs="Times New Roman"/>
        </w:rPr>
        <w:t>Review the applications for completeness and accuracy;</w:t>
      </w:r>
    </w:p>
    <w:p w:rsidR="005E374A" w:rsidRDefault="005E374A" w:rsidP="00484D60">
      <w:pPr>
        <w:pStyle w:val="Level1"/>
        <w:numPr>
          <w:ilvl w:val="0"/>
          <w:numId w:val="22"/>
        </w:numPr>
        <w:rPr>
          <w:rStyle w:val="QuickFormat1"/>
          <w:rFonts w:ascii="Times New Roman" w:hAnsi="Times New Roman" w:cs="Times New Roman"/>
        </w:rPr>
      </w:pPr>
      <w:r w:rsidRPr="005E374A">
        <w:rPr>
          <w:rStyle w:val="QuickFormat1"/>
          <w:rFonts w:ascii="Times New Roman" w:hAnsi="Times New Roman" w:cs="Times New Roman"/>
        </w:rPr>
        <w:t>Verify that the correct engines have been selected and tested;</w:t>
      </w:r>
    </w:p>
    <w:p w:rsidR="00484D60" w:rsidRDefault="00484D60" w:rsidP="00484D60">
      <w:pPr>
        <w:pStyle w:val="Level1"/>
        <w:numPr>
          <w:ilvl w:val="0"/>
          <w:numId w:val="22"/>
        </w:numPr>
        <w:rPr>
          <w:rStyle w:val="QuickFormat1"/>
          <w:rFonts w:ascii="Times New Roman" w:hAnsi="Times New Roman" w:cs="Times New Roman"/>
        </w:rPr>
      </w:pPr>
      <w:r>
        <w:rPr>
          <w:rStyle w:val="QuickFormat1"/>
          <w:rFonts w:ascii="Times New Roman" w:hAnsi="Times New Roman" w:cs="Times New Roman"/>
        </w:rPr>
        <w:t>Verify compliance with applicable provisions;</w:t>
      </w:r>
    </w:p>
    <w:p w:rsidR="00484D60" w:rsidRDefault="00484D60" w:rsidP="00484D60">
      <w:pPr>
        <w:pStyle w:val="Level1"/>
        <w:numPr>
          <w:ilvl w:val="0"/>
          <w:numId w:val="22"/>
        </w:numPr>
        <w:rPr>
          <w:rStyle w:val="QuickFormat1"/>
          <w:rFonts w:ascii="Times New Roman" w:hAnsi="Times New Roman" w:cs="Times New Roman"/>
        </w:rPr>
      </w:pPr>
      <w:r>
        <w:rPr>
          <w:rStyle w:val="QuickFormat1"/>
          <w:rFonts w:ascii="Times New Roman" w:hAnsi="Times New Roman" w:cs="Times New Roman"/>
        </w:rPr>
        <w:t>Request additional information if needed;</w:t>
      </w:r>
    </w:p>
    <w:p w:rsidR="005E374A" w:rsidRPr="005E374A" w:rsidRDefault="005E374A" w:rsidP="00484D60">
      <w:pPr>
        <w:numPr>
          <w:ilvl w:val="0"/>
          <w:numId w:val="22"/>
        </w:numPr>
      </w:pPr>
      <w:r w:rsidRPr="005E374A">
        <w:rPr>
          <w:rStyle w:val="QuickFormat1"/>
          <w:rFonts w:ascii="Times New Roman" w:hAnsi="Times New Roman" w:cs="Times New Roman"/>
        </w:rPr>
        <w:t>Answer questions from manufacturers and the public;</w:t>
      </w:r>
    </w:p>
    <w:p w:rsidR="005E374A" w:rsidRPr="005E374A" w:rsidRDefault="005E374A" w:rsidP="00484D60">
      <w:pPr>
        <w:pStyle w:val="Level1"/>
        <w:numPr>
          <w:ilvl w:val="0"/>
          <w:numId w:val="22"/>
        </w:numPr>
        <w:rPr>
          <w:rFonts w:ascii="Times New Roman" w:hAnsi="Times New Roman"/>
        </w:rPr>
      </w:pPr>
      <w:r w:rsidRPr="005E374A">
        <w:rPr>
          <w:rFonts w:ascii="Times New Roman" w:hAnsi="Times New Roman"/>
        </w:rPr>
        <w:t>Issue appropriate certificates of conformity</w:t>
      </w:r>
      <w:r w:rsidR="00484D60">
        <w:rPr>
          <w:rFonts w:ascii="Times New Roman" w:hAnsi="Times New Roman"/>
        </w:rPr>
        <w:t>, as applicable</w:t>
      </w:r>
      <w:r w:rsidRPr="005E374A">
        <w:rPr>
          <w:rFonts w:ascii="Times New Roman" w:hAnsi="Times New Roman"/>
        </w:rPr>
        <w:t>;</w:t>
      </w:r>
    </w:p>
    <w:p w:rsidR="005E374A" w:rsidRPr="005E374A" w:rsidRDefault="005E374A" w:rsidP="00484D60">
      <w:pPr>
        <w:pStyle w:val="Level1"/>
        <w:numPr>
          <w:ilvl w:val="0"/>
          <w:numId w:val="22"/>
        </w:numPr>
        <w:rPr>
          <w:rFonts w:ascii="Times New Roman" w:hAnsi="Times New Roman"/>
        </w:rPr>
      </w:pPr>
      <w:r w:rsidRPr="005E374A">
        <w:rPr>
          <w:rFonts w:ascii="Times New Roman" w:hAnsi="Times New Roman"/>
        </w:rPr>
        <w:t>Periodically perform maintenance or enhance the database;</w:t>
      </w:r>
    </w:p>
    <w:p w:rsidR="005E374A" w:rsidRPr="005E374A" w:rsidRDefault="005E374A" w:rsidP="00484D60">
      <w:pPr>
        <w:pStyle w:val="Level1"/>
        <w:numPr>
          <w:ilvl w:val="0"/>
          <w:numId w:val="22"/>
        </w:numPr>
        <w:rPr>
          <w:rFonts w:ascii="Times New Roman" w:hAnsi="Times New Roman"/>
        </w:rPr>
      </w:pPr>
      <w:r w:rsidRPr="005E374A">
        <w:rPr>
          <w:rFonts w:ascii="Times New Roman" w:hAnsi="Times New Roman"/>
        </w:rPr>
        <w:t>Make data av</w:t>
      </w:r>
      <w:r w:rsidR="00484D60">
        <w:rPr>
          <w:rFonts w:ascii="Times New Roman" w:hAnsi="Times New Roman"/>
        </w:rPr>
        <w:t>ailable to the public</w:t>
      </w:r>
      <w:r w:rsidRPr="005E374A">
        <w:rPr>
          <w:rFonts w:ascii="Times New Roman" w:hAnsi="Times New Roman"/>
        </w:rPr>
        <w:t>;</w:t>
      </w:r>
    </w:p>
    <w:p w:rsidR="005E374A" w:rsidRPr="005E374A" w:rsidRDefault="005E374A" w:rsidP="00484D60">
      <w:pPr>
        <w:pStyle w:val="Level1"/>
        <w:numPr>
          <w:ilvl w:val="0"/>
          <w:numId w:val="22"/>
        </w:numPr>
        <w:rPr>
          <w:rFonts w:ascii="Times New Roman" w:hAnsi="Times New Roman"/>
        </w:rPr>
      </w:pPr>
      <w:r w:rsidRPr="005E374A">
        <w:rPr>
          <w:rFonts w:ascii="Times New Roman" w:hAnsi="Times New Roman"/>
        </w:rPr>
        <w:t>Analyze and manage requests for confidentiality;</w:t>
      </w:r>
    </w:p>
    <w:p w:rsidR="005E374A" w:rsidRPr="005E374A" w:rsidRDefault="005E374A" w:rsidP="00484D60">
      <w:pPr>
        <w:pStyle w:val="Level1"/>
        <w:numPr>
          <w:ilvl w:val="0"/>
          <w:numId w:val="22"/>
        </w:numPr>
        <w:rPr>
          <w:rFonts w:ascii="Times New Roman" w:hAnsi="Times New Roman"/>
        </w:rPr>
      </w:pPr>
      <w:r w:rsidRPr="005E374A">
        <w:rPr>
          <w:rFonts w:ascii="Times New Roman" w:hAnsi="Times New Roman"/>
        </w:rPr>
        <w:t xml:space="preserve">Determining if "carry over" of data from a previous model year is appropriate or if </w:t>
      </w:r>
      <w:r w:rsidR="00484D60">
        <w:rPr>
          <w:rFonts w:ascii="Times New Roman" w:hAnsi="Times New Roman"/>
        </w:rPr>
        <w:t>n</w:t>
      </w:r>
      <w:r w:rsidRPr="005E374A">
        <w:rPr>
          <w:rFonts w:ascii="Times New Roman" w:hAnsi="Times New Roman"/>
        </w:rPr>
        <w:t>ew testing will be required; and</w:t>
      </w:r>
    </w:p>
    <w:p w:rsidR="005E374A" w:rsidRPr="005E374A" w:rsidRDefault="005E374A" w:rsidP="00484D60">
      <w:pPr>
        <w:pStyle w:val="Level1"/>
        <w:numPr>
          <w:ilvl w:val="0"/>
          <w:numId w:val="22"/>
        </w:numPr>
        <w:rPr>
          <w:rFonts w:ascii="Times New Roman" w:hAnsi="Times New Roman"/>
        </w:rPr>
      </w:pPr>
      <w:r w:rsidRPr="005E374A">
        <w:rPr>
          <w:rFonts w:ascii="Times New Roman" w:hAnsi="Times New Roman"/>
        </w:rPr>
        <w:t>Store, file and maintain data.</w:t>
      </w:r>
    </w:p>
    <w:p w:rsidR="00F76FCA" w:rsidRDefault="00F76FCA" w:rsidP="00692526">
      <w:pPr>
        <w:pStyle w:val="Style6"/>
        <w:jc w:val="left"/>
        <w:rPr>
          <w:spacing w:val="6"/>
        </w:rPr>
      </w:pPr>
    </w:p>
    <w:p w:rsidR="00484D60" w:rsidRPr="00834D74" w:rsidRDefault="00484D60" w:rsidP="00692526">
      <w:pPr>
        <w:pStyle w:val="Style6"/>
        <w:jc w:val="left"/>
        <w:rPr>
          <w:spacing w:val="6"/>
        </w:rPr>
      </w:pPr>
    </w:p>
    <w:p w:rsidR="00EF655F" w:rsidRDefault="00EF655F" w:rsidP="00692526">
      <w:pPr>
        <w:pStyle w:val="Style6"/>
        <w:jc w:val="left"/>
        <w:rPr>
          <w:u w:val="single"/>
        </w:rPr>
      </w:pPr>
      <w:r w:rsidRPr="00EF655F">
        <w:t xml:space="preserve">5(b) </w:t>
      </w:r>
      <w:r w:rsidR="00832233" w:rsidRPr="00EF655F">
        <w:rPr>
          <w:u w:val="single"/>
        </w:rPr>
        <w:t>Collection Methodology and Management</w:t>
      </w:r>
    </w:p>
    <w:p w:rsidR="008B3D18" w:rsidRPr="00EF655F" w:rsidRDefault="008B3D18" w:rsidP="00692526">
      <w:pPr>
        <w:pStyle w:val="Style6"/>
        <w:jc w:val="left"/>
        <w:rPr>
          <w:u w:val="single"/>
        </w:rPr>
      </w:pPr>
    </w:p>
    <w:p w:rsidR="00484D60" w:rsidRDefault="00484D60" w:rsidP="00484D60">
      <w:pPr>
        <w:numPr>
          <w:ilvl w:val="12"/>
          <w:numId w:val="0"/>
        </w:numPr>
      </w:pPr>
      <w:r w:rsidRPr="00A85452">
        <w:tab/>
        <w:t xml:space="preserve">EPA currently makes extensive use of electronic media in gathering and evaluating information from engine manufacturers.  </w:t>
      </w:r>
      <w:r w:rsidR="003E7BF2">
        <w:t>EPA expects to receive the information submitted by converters in electronic format as well.</w:t>
      </w:r>
    </w:p>
    <w:p w:rsidR="003E7BF2" w:rsidRPr="00A85452" w:rsidRDefault="003E7BF2" w:rsidP="00484D60">
      <w:pPr>
        <w:numPr>
          <w:ilvl w:val="12"/>
          <w:numId w:val="0"/>
        </w:numPr>
      </w:pPr>
    </w:p>
    <w:p w:rsidR="00484D60" w:rsidRPr="00A85452" w:rsidRDefault="00484D60" w:rsidP="00484D60">
      <w:pPr>
        <w:numPr>
          <w:ilvl w:val="12"/>
          <w:numId w:val="0"/>
        </w:numPr>
      </w:pPr>
      <w:r w:rsidRPr="00A85452">
        <w:lastRenderedPageBreak/>
        <w:tab/>
        <w:t xml:space="preserve">Once the information </w:t>
      </w:r>
      <w:r w:rsidR="0050336D">
        <w:t xml:space="preserve">is received it </w:t>
      </w:r>
      <w:r w:rsidR="003E7BF2">
        <w:t>will be</w:t>
      </w:r>
      <w:r w:rsidRPr="00A85452">
        <w:t xml:space="preserve"> entered into a database and reviewed for completeness.  If the manufacturer chooses to make hard copy submittals, then EPA manually enters the information into the database.  The certification reviewer analyses the information to ensure compliance with the CAA and applicable regulations.  </w:t>
      </w:r>
    </w:p>
    <w:p w:rsidR="00484D60" w:rsidRPr="00A85452" w:rsidRDefault="00484D60" w:rsidP="00484D60">
      <w:pPr>
        <w:numPr>
          <w:ilvl w:val="12"/>
          <w:numId w:val="0"/>
        </w:numPr>
      </w:pPr>
    </w:p>
    <w:p w:rsidR="00484D60" w:rsidRPr="00A85452" w:rsidRDefault="00484D60" w:rsidP="00484D60">
      <w:pPr>
        <w:numPr>
          <w:ilvl w:val="12"/>
          <w:numId w:val="0"/>
        </w:numPr>
      </w:pPr>
      <w:r w:rsidRPr="00A85452">
        <w:tab/>
      </w:r>
      <w:r w:rsidR="003E7BF2">
        <w:t>Currently, t</w:t>
      </w:r>
      <w:r w:rsidRPr="00A85452">
        <w:t xml:space="preserve">he public can access non-confidential portions of the certification applications and test data by contacting </w:t>
      </w:r>
      <w:r>
        <w:t>HDNEG</w:t>
      </w:r>
      <w:r w:rsidRPr="00A85452">
        <w:t xml:space="preserve"> or through the Engine Certification Information Center at</w:t>
      </w:r>
      <w:hyperlink r:id="rId10" w:history="1">
        <w:r w:rsidRPr="00A85452">
          <w:rPr>
            <w:rStyle w:val="SYSHYPERTEXT"/>
          </w:rPr>
          <w:t xml:space="preserve"> http://www.epa.gov/otaq/certdata.htm</w:t>
        </w:r>
      </w:hyperlink>
      <w:r w:rsidRPr="00A85452">
        <w:t>.</w:t>
      </w:r>
      <w:r w:rsidR="003E7BF2">
        <w:t xml:space="preserve">  Non-confidential </w:t>
      </w:r>
      <w:r w:rsidR="0019705E">
        <w:t xml:space="preserve">certification </w:t>
      </w:r>
      <w:r w:rsidR="003E7BF2">
        <w:t>information submitted by alternative fuel converters will also be posted at that website.</w:t>
      </w:r>
    </w:p>
    <w:p w:rsidR="008B3D18" w:rsidRDefault="008B3D18" w:rsidP="00692526">
      <w:pPr>
        <w:pStyle w:val="Style6"/>
        <w:jc w:val="left"/>
      </w:pPr>
    </w:p>
    <w:p w:rsidR="00484D60" w:rsidRDefault="00484D60" w:rsidP="00692526">
      <w:pPr>
        <w:pStyle w:val="Style6"/>
        <w:jc w:val="left"/>
      </w:pPr>
    </w:p>
    <w:p w:rsidR="00832233" w:rsidRDefault="00EF655F" w:rsidP="00692526">
      <w:pPr>
        <w:pStyle w:val="Style6"/>
        <w:jc w:val="left"/>
        <w:rPr>
          <w:u w:val="single"/>
        </w:rPr>
      </w:pPr>
      <w:r>
        <w:t>5</w:t>
      </w:r>
      <w:r w:rsidR="008B3D18">
        <w:t>(c)</w:t>
      </w:r>
      <w:r>
        <w:t xml:space="preserve"> </w:t>
      </w:r>
      <w:r w:rsidR="00832233" w:rsidRPr="005379F3">
        <w:rPr>
          <w:u w:val="single"/>
        </w:rPr>
        <w:t>Small Entity Flexibility</w:t>
      </w:r>
    </w:p>
    <w:p w:rsidR="008B3D18" w:rsidRDefault="008B3D18" w:rsidP="00692526">
      <w:pPr>
        <w:pStyle w:val="Style6"/>
        <w:jc w:val="left"/>
      </w:pPr>
    </w:p>
    <w:p w:rsidR="00FF531F" w:rsidRPr="00FF531F" w:rsidRDefault="00484D60" w:rsidP="00484D60">
      <w:pPr>
        <w:numPr>
          <w:ilvl w:val="12"/>
          <w:numId w:val="0"/>
        </w:numPr>
      </w:pPr>
      <w:r w:rsidRPr="00FF531F">
        <w:tab/>
        <w:t xml:space="preserve">Small on-highway engine manufacturers may use optional procedures outlined in </w:t>
      </w:r>
      <w:r w:rsidR="0019705E">
        <w:t xml:space="preserve">40 CFR </w:t>
      </w:r>
      <w:proofErr w:type="gramStart"/>
      <w:r w:rsidR="0019705E">
        <w:t>part</w:t>
      </w:r>
      <w:proofErr w:type="gramEnd"/>
      <w:r w:rsidR="0019705E">
        <w:t xml:space="preserve"> 86, subpart A</w:t>
      </w:r>
      <w:r w:rsidR="00B966BD">
        <w:t xml:space="preserve"> t</w:t>
      </w:r>
      <w:r w:rsidRPr="00FF531F">
        <w:t>o demonstrate compliance with the general standards and specific emission requirements.  These procedures</w:t>
      </w:r>
      <w:r w:rsidR="00FF531F" w:rsidRPr="00FF531F">
        <w:t>, also available to HD converters,</w:t>
      </w:r>
      <w:r w:rsidRPr="00FF531F">
        <w:t xml:space="preserve"> </w:t>
      </w:r>
      <w:r w:rsidR="006E2A6D">
        <w:t xml:space="preserve">and </w:t>
      </w:r>
      <w:r w:rsidRPr="00FF531F">
        <w:t xml:space="preserve">apply to </w:t>
      </w:r>
      <w:r w:rsidR="006E2A6D">
        <w:t xml:space="preserve">conversion </w:t>
      </w:r>
      <w:r w:rsidRPr="00FF531F">
        <w:t>manufacturers with US sales</w:t>
      </w:r>
      <w:r w:rsidR="00FF531F" w:rsidRPr="00FF531F">
        <w:t xml:space="preserve"> </w:t>
      </w:r>
      <w:r w:rsidRPr="00FF531F">
        <w:t xml:space="preserve">of fewer than 10,000 units.  The alternate procedures reduce small </w:t>
      </w:r>
      <w:r w:rsidR="006E2A6D">
        <w:t xml:space="preserve">volume conversion </w:t>
      </w:r>
      <w:r w:rsidRPr="00FF531F">
        <w:t xml:space="preserve">manufacturers' burden associated with durability data requirements, testing, determination of deterioration factors and certification test data.  </w:t>
      </w:r>
      <w:r w:rsidR="00FF531F" w:rsidRPr="00FF531F">
        <w:t xml:space="preserve">Converters may also request EPA to assign deterioration factors, thus eliminating </w:t>
      </w:r>
      <w:r w:rsidR="006E2A6D">
        <w:t xml:space="preserve">the durability testing </w:t>
      </w:r>
      <w:r w:rsidR="00FF531F" w:rsidRPr="00FF531F">
        <w:t>burden.</w:t>
      </w:r>
    </w:p>
    <w:p w:rsidR="00FF531F" w:rsidRPr="00FF531F" w:rsidRDefault="00FF531F" w:rsidP="00484D60">
      <w:pPr>
        <w:numPr>
          <w:ilvl w:val="12"/>
          <w:numId w:val="0"/>
        </w:numPr>
      </w:pPr>
    </w:p>
    <w:p w:rsidR="00484D60" w:rsidRPr="00FF531F" w:rsidRDefault="00484D60" w:rsidP="00FF531F">
      <w:pPr>
        <w:numPr>
          <w:ilvl w:val="12"/>
          <w:numId w:val="0"/>
        </w:numPr>
        <w:ind w:firstLine="720"/>
      </w:pPr>
      <w:r w:rsidRPr="00FF531F">
        <w:t xml:space="preserve">Small volume </w:t>
      </w:r>
      <w:r w:rsidR="006E2A6D">
        <w:t xml:space="preserve">conversion </w:t>
      </w:r>
      <w:r w:rsidRPr="00FF531F">
        <w:t>manufacturers are also exempt from some reporting and recordkeeping requirements associated to the certification of evaporative families (86.098-</w:t>
      </w:r>
      <w:r w:rsidR="00B966BD">
        <w:t>14).</w:t>
      </w:r>
    </w:p>
    <w:p w:rsidR="00484D60" w:rsidRPr="00FF531F" w:rsidRDefault="00484D60" w:rsidP="00484D60">
      <w:pPr>
        <w:numPr>
          <w:ilvl w:val="12"/>
          <w:numId w:val="0"/>
        </w:numPr>
      </w:pPr>
    </w:p>
    <w:p w:rsidR="00484D60" w:rsidRPr="00A85452" w:rsidRDefault="00484D60" w:rsidP="00484D60">
      <w:pPr>
        <w:numPr>
          <w:ilvl w:val="12"/>
          <w:numId w:val="0"/>
        </w:numPr>
      </w:pPr>
      <w:r w:rsidRPr="00FF531F">
        <w:tab/>
        <w:t>EPA can also approve a reduction in the certification application fee upon request by the manufacturer.  A fee waiver could be granted if:  (1) the certificate is to be used to sell engines within the United States; and (2) the full fee exceeds 1% of the aggregate projected retail sales price of all vehicles covered by the certificate of conformity.  Although this is a provision available to all manufacturers, it is beneficial to some small manufacturers.  Section 6(b</w:t>
      </w:r>
      <w:proofErr w:type="gramStart"/>
      <w:r w:rsidRPr="00FF531F">
        <w:t>)(</w:t>
      </w:r>
      <w:proofErr w:type="gramEnd"/>
      <w:r w:rsidRPr="00FF531F">
        <w:t>ii) provides more details.</w:t>
      </w:r>
    </w:p>
    <w:p w:rsidR="00484D60" w:rsidRDefault="00484D60" w:rsidP="00692526">
      <w:pPr>
        <w:pStyle w:val="Style6"/>
        <w:jc w:val="left"/>
      </w:pPr>
    </w:p>
    <w:p w:rsidR="00F707C6" w:rsidRPr="005379F3" w:rsidRDefault="00F707C6" w:rsidP="00692526">
      <w:pPr>
        <w:pStyle w:val="Style6"/>
        <w:jc w:val="left"/>
      </w:pPr>
    </w:p>
    <w:p w:rsidR="00832233" w:rsidRPr="005379F3" w:rsidRDefault="008B3D18" w:rsidP="00F707C6">
      <w:pPr>
        <w:pStyle w:val="Style6"/>
        <w:jc w:val="left"/>
      </w:pPr>
      <w:r w:rsidRPr="00190028">
        <w:t xml:space="preserve">5(d) </w:t>
      </w:r>
      <w:r w:rsidR="00832233" w:rsidRPr="000F61C2">
        <w:rPr>
          <w:u w:val="single"/>
        </w:rPr>
        <w:t>Collection Schedule</w:t>
      </w:r>
    </w:p>
    <w:p w:rsidR="00832233" w:rsidRPr="005379F3" w:rsidRDefault="00832233" w:rsidP="00692526">
      <w:pPr>
        <w:pStyle w:val="Style5"/>
        <w:adjustRightInd/>
        <w:rPr>
          <w:spacing w:val="6"/>
        </w:rPr>
      </w:pPr>
    </w:p>
    <w:p w:rsidR="00484D60" w:rsidRPr="00A85452" w:rsidRDefault="00484D60" w:rsidP="00484D60">
      <w:pPr>
        <w:numPr>
          <w:ilvl w:val="12"/>
          <w:numId w:val="0"/>
        </w:numPr>
      </w:pPr>
      <w:r w:rsidRPr="00A85452">
        <w:tab/>
      </w:r>
      <w:r>
        <w:t xml:space="preserve">Collection of certification data (or demonstration data when applicable) on </w:t>
      </w:r>
      <w:proofErr w:type="gramStart"/>
      <w:r>
        <w:t>a per</w:t>
      </w:r>
      <w:proofErr w:type="gramEnd"/>
      <w:r>
        <w:t xml:space="preserve"> engine family basis occurs on occasion.  Overall c</w:t>
      </w:r>
      <w:r w:rsidRPr="00A85452">
        <w:t xml:space="preserve">ollection frequency is largely determined by the </w:t>
      </w:r>
      <w:r>
        <w:t>convert</w:t>
      </w:r>
      <w:r w:rsidRPr="00A85452">
        <w:t>er</w:t>
      </w:r>
      <w:r>
        <w:t>'</w:t>
      </w:r>
      <w:r w:rsidRPr="00A85452">
        <w:t xml:space="preserve">s marketing and product plans.  </w:t>
      </w:r>
      <w:r w:rsidR="0019705E">
        <w:t>For all age-based categories, i</w:t>
      </w:r>
      <w:r w:rsidRPr="00A85452">
        <w:t xml:space="preserve">nformation must be submitted </w:t>
      </w:r>
      <w:r>
        <w:t>before the start of production</w:t>
      </w:r>
      <w:r w:rsidR="0019705E">
        <w:t xml:space="preserve"> For new and nearly new vehicles, </w:t>
      </w:r>
      <w:proofErr w:type="gramStart"/>
      <w:r w:rsidR="0019705E">
        <w:t>a  certificate</w:t>
      </w:r>
      <w:proofErr w:type="gramEnd"/>
      <w:r w:rsidR="0019705E">
        <w:t xml:space="preserve"> of conformity must be obtained before the start of production. M</w:t>
      </w:r>
      <w:r w:rsidRPr="00A85452">
        <w:t>anufacturers submit information</w:t>
      </w:r>
      <w:r w:rsidR="0019705E">
        <w:t>, such as an end of year sales report</w:t>
      </w:r>
      <w:r w:rsidRPr="00A85452">
        <w:t xml:space="preserve"> on an annual basis and </w:t>
      </w:r>
      <w:r w:rsidR="0019705E">
        <w:t xml:space="preserve">will </w:t>
      </w:r>
      <w:r w:rsidRPr="00A85452">
        <w:t xml:space="preserve">submit their applications </w:t>
      </w:r>
      <w:r w:rsidR="0019705E">
        <w:t xml:space="preserve">for certification and intermediate age and outside useful life notifications </w:t>
      </w:r>
      <w:r w:rsidRPr="00A85452">
        <w:t>at their earliest convenience.</w:t>
      </w:r>
    </w:p>
    <w:p w:rsidR="00484D60" w:rsidRPr="00A85452" w:rsidRDefault="00484D60" w:rsidP="00484D60">
      <w:pPr>
        <w:numPr>
          <w:ilvl w:val="12"/>
          <w:numId w:val="0"/>
        </w:numPr>
      </w:pPr>
    </w:p>
    <w:p w:rsidR="00832233" w:rsidRDefault="00484D60" w:rsidP="00484D60">
      <w:pPr>
        <w:pStyle w:val="Style5"/>
        <w:adjustRightInd/>
      </w:pPr>
      <w:r w:rsidRPr="00A85452">
        <w:tab/>
        <w:t xml:space="preserve">Running change and correction applications </w:t>
      </w:r>
      <w:r w:rsidR="003E7BF2">
        <w:t>will be</w:t>
      </w:r>
      <w:r w:rsidRPr="00A85452">
        <w:t xml:space="preserve"> submitted by manufacturers as the need occurs.</w:t>
      </w:r>
      <w:r>
        <w:t xml:space="preserve">  </w:t>
      </w:r>
    </w:p>
    <w:p w:rsidR="00484D60" w:rsidRDefault="00484D60" w:rsidP="00484D60">
      <w:pPr>
        <w:pStyle w:val="Style5"/>
        <w:adjustRightInd/>
      </w:pPr>
    </w:p>
    <w:p w:rsidR="00484D60" w:rsidRPr="005379F3" w:rsidRDefault="00484D60" w:rsidP="00484D60">
      <w:pPr>
        <w:pStyle w:val="Style5"/>
        <w:adjustRightInd/>
        <w:rPr>
          <w:spacing w:val="6"/>
        </w:rPr>
      </w:pPr>
    </w:p>
    <w:p w:rsidR="009E5724" w:rsidRPr="00D01CB7" w:rsidRDefault="00E9060A" w:rsidP="00692526">
      <w:pPr>
        <w:spacing w:line="480" w:lineRule="auto"/>
        <w:rPr>
          <w:b/>
          <w:spacing w:val="6"/>
        </w:rPr>
      </w:pPr>
      <w:r w:rsidRPr="00D01CB7">
        <w:rPr>
          <w:b/>
          <w:spacing w:val="6"/>
          <w:u w:val="single"/>
        </w:rPr>
        <w:t xml:space="preserve">Section 6: </w:t>
      </w:r>
      <w:r w:rsidR="00832233" w:rsidRPr="00D01CB7">
        <w:rPr>
          <w:b/>
          <w:spacing w:val="6"/>
          <w:u w:val="single"/>
        </w:rPr>
        <w:t>Estimating the Burden and Cost of the</w:t>
      </w:r>
      <w:r w:rsidR="009E5724" w:rsidRPr="00D01CB7">
        <w:rPr>
          <w:b/>
          <w:spacing w:val="6"/>
          <w:u w:val="single"/>
        </w:rPr>
        <w:t xml:space="preserve"> Collection</w:t>
      </w:r>
    </w:p>
    <w:p w:rsidR="006C43C2" w:rsidRDefault="006C43C2" w:rsidP="00CB227E">
      <w:pPr>
        <w:pStyle w:val="Style6"/>
        <w:jc w:val="left"/>
        <w:rPr>
          <w:spacing w:val="6"/>
          <w:highlight w:val="yellow"/>
        </w:rPr>
      </w:pPr>
    </w:p>
    <w:p w:rsidR="00190028" w:rsidRPr="00D01CB7" w:rsidRDefault="00832233" w:rsidP="00CB227E">
      <w:pPr>
        <w:spacing w:line="480" w:lineRule="auto"/>
        <w:rPr>
          <w:spacing w:val="6"/>
          <w:u w:val="single"/>
        </w:rPr>
      </w:pPr>
      <w:r w:rsidRPr="00D01CB7">
        <w:rPr>
          <w:spacing w:val="6"/>
        </w:rPr>
        <w:t xml:space="preserve">6(a) </w:t>
      </w:r>
      <w:r w:rsidRPr="00D01CB7">
        <w:rPr>
          <w:spacing w:val="6"/>
          <w:u w:val="single"/>
        </w:rPr>
        <w:t>Estimating Respondent Burden</w:t>
      </w:r>
      <w:r w:rsidR="007E1D43" w:rsidRPr="00D01CB7">
        <w:rPr>
          <w:spacing w:val="6"/>
          <w:u w:val="single"/>
        </w:rPr>
        <w:t xml:space="preserve"> </w:t>
      </w:r>
      <w:r w:rsidR="00D578EC" w:rsidRPr="00D01CB7">
        <w:rPr>
          <w:spacing w:val="6"/>
          <w:u w:val="single"/>
        </w:rPr>
        <w:t>(Hours)</w:t>
      </w:r>
    </w:p>
    <w:p w:rsidR="00D01CB7" w:rsidRPr="00A85452" w:rsidRDefault="00D01CB7" w:rsidP="00D01CB7">
      <w:pPr>
        <w:numPr>
          <w:ilvl w:val="12"/>
          <w:numId w:val="0"/>
        </w:numPr>
      </w:pPr>
      <w:r w:rsidRPr="00A85452">
        <w:tab/>
      </w:r>
      <w:r>
        <w:t>Since the current process for certifying an engine family will remain basically unchanged for converted families, b</w:t>
      </w:r>
      <w:r w:rsidRPr="00A85452">
        <w:t xml:space="preserve">urden estimates </w:t>
      </w:r>
      <w:r>
        <w:t>were taken from the previous supporting statement in this ICR series</w:t>
      </w:r>
      <w:r w:rsidRPr="00A85452">
        <w:t>.</w:t>
      </w:r>
      <w:r w:rsidRPr="00A0426F">
        <w:t xml:space="preserve"> </w:t>
      </w:r>
      <w:r>
        <w:t xml:space="preserve">Costs have been updated and reflect the impact of the new, broader definition of engine family by this rule. </w:t>
      </w:r>
      <w:r w:rsidRPr="0009182D">
        <w:t xml:space="preserve">Tables </w:t>
      </w:r>
      <w:r w:rsidR="002A6B3A" w:rsidRPr="002A6B3A">
        <w:t xml:space="preserve">1 through </w:t>
      </w:r>
      <w:r w:rsidR="002A6B3A">
        <w:t>3</w:t>
      </w:r>
      <w:r w:rsidRPr="0009182D">
        <w:t xml:space="preserve"> summarize </w:t>
      </w:r>
      <w:r>
        <w:t>the respondents’</w:t>
      </w:r>
      <w:r w:rsidRPr="0009182D">
        <w:t xml:space="preserve"> overall burden associated with this ICR.</w:t>
      </w:r>
    </w:p>
    <w:p w:rsidR="000F61C2" w:rsidRDefault="000F61C2" w:rsidP="004613A2">
      <w:pPr>
        <w:pStyle w:val="Style6"/>
        <w:jc w:val="left"/>
      </w:pPr>
    </w:p>
    <w:p w:rsidR="003F48B8" w:rsidRDefault="003F48B8" w:rsidP="004613A2">
      <w:pPr>
        <w:pStyle w:val="Style6"/>
        <w:jc w:val="left"/>
      </w:pPr>
    </w:p>
    <w:p w:rsidR="00832233" w:rsidRDefault="00832233" w:rsidP="001615D0">
      <w:pPr>
        <w:pStyle w:val="Style6"/>
        <w:jc w:val="left"/>
      </w:pPr>
      <w:r w:rsidRPr="009E5724">
        <w:t xml:space="preserve">6(b) </w:t>
      </w:r>
      <w:r w:rsidRPr="005379F3">
        <w:t>Estimating Respondent Costs</w:t>
      </w:r>
    </w:p>
    <w:p w:rsidR="00DB7A3D" w:rsidRPr="00495BC6" w:rsidRDefault="00832233" w:rsidP="00495BC6">
      <w:pPr>
        <w:numPr>
          <w:ilvl w:val="0"/>
          <w:numId w:val="5"/>
        </w:numPr>
        <w:tabs>
          <w:tab w:val="clear" w:pos="288"/>
          <w:tab w:val="num" w:pos="1008"/>
        </w:tabs>
        <w:spacing w:before="216"/>
        <w:ind w:left="720"/>
        <w:rPr>
          <w:i/>
        </w:rPr>
      </w:pPr>
      <w:r w:rsidRPr="00495BC6">
        <w:rPr>
          <w:i/>
        </w:rPr>
        <w:t>Estimating labor costs</w:t>
      </w:r>
    </w:p>
    <w:p w:rsidR="00DB7A3D" w:rsidRDefault="00DB7A3D" w:rsidP="00692526">
      <w:pPr>
        <w:pStyle w:val="Style6"/>
        <w:jc w:val="left"/>
        <w:rPr>
          <w:spacing w:val="6"/>
        </w:rPr>
      </w:pPr>
    </w:p>
    <w:p w:rsidR="003F48B8" w:rsidRDefault="003F48B8" w:rsidP="003F48B8">
      <w:pPr>
        <w:ind w:firstLine="720"/>
      </w:pPr>
      <w:r w:rsidRPr="002A15A2">
        <w:fldChar w:fldCharType="begin"/>
      </w:r>
      <w:r w:rsidRPr="002A15A2">
        <w:instrText xml:space="preserve"> SEQ CHAPTER \h \r 1</w:instrText>
      </w:r>
      <w:r w:rsidRPr="002A15A2">
        <w:fldChar w:fldCharType="end"/>
      </w:r>
      <w:r w:rsidRPr="002A15A2">
        <w:t>To estimate labor costs, EPA used the</w:t>
      </w:r>
      <w:r>
        <w:t xml:space="preserve"> </w:t>
      </w:r>
      <w:r w:rsidRPr="002A15A2">
        <w:t>Bureau of Labor Statistics</w:t>
      </w:r>
      <w:r>
        <w:t>'</w:t>
      </w:r>
      <w:r w:rsidRPr="002A15A2">
        <w:t xml:space="preserve"> </w:t>
      </w:r>
      <w:r>
        <w:t>May 2008 industry specific occupational hourly wage estimates</w:t>
      </w:r>
      <w:r w:rsidRPr="002A15A2">
        <w:t xml:space="preserve"> for the </w:t>
      </w:r>
      <w:r>
        <w:t xml:space="preserve">Motor Vehicle Manufacturing </w:t>
      </w:r>
      <w:r w:rsidRPr="002A15A2">
        <w:t>Industry (</w:t>
      </w:r>
      <w:r>
        <w:t>NAICS 336100</w:t>
      </w:r>
      <w:r w:rsidRPr="002A15A2">
        <w:t>)</w:t>
      </w:r>
      <w:r>
        <w:t>.  EPA then</w:t>
      </w:r>
      <w:r w:rsidRPr="002A15A2">
        <w:t xml:space="preserve"> increased the</w:t>
      </w:r>
      <w:r>
        <w:t xml:space="preserve"> hourly wage estimates</w:t>
      </w:r>
      <w:r w:rsidRPr="002A15A2">
        <w:t xml:space="preserve"> by a factor of </w:t>
      </w:r>
      <w:r>
        <w:t>2.1</w:t>
      </w:r>
      <w:r w:rsidRPr="002A15A2">
        <w:t xml:space="preserve"> to account for benefits and overhead.  The specific rates used are listed below.  These are mean hourly rates.</w:t>
      </w:r>
    </w:p>
    <w:p w:rsidR="003F48B8" w:rsidRDefault="003F48B8" w:rsidP="003F48B8"/>
    <w:p w:rsidR="003A56B4" w:rsidRDefault="003A56B4" w:rsidP="003F48B8"/>
    <w:p w:rsidR="003A56B4" w:rsidRDefault="003A56B4" w:rsidP="003F48B8"/>
    <w:p w:rsidR="003A56B4" w:rsidRDefault="003A56B4" w:rsidP="003F48B8"/>
    <w:p w:rsidR="003A56B4" w:rsidRDefault="003A56B4" w:rsidP="003F48B8"/>
    <w:p w:rsidR="003F48B8" w:rsidRPr="00A972C4" w:rsidRDefault="003F48B8" w:rsidP="003F48B8"/>
    <w:p w:rsidR="003F48B8" w:rsidRPr="00A972C4" w:rsidRDefault="003F48B8" w:rsidP="003F48B8">
      <w:pPr>
        <w:jc w:val="center"/>
        <w:rPr>
          <w:b/>
        </w:rPr>
      </w:pPr>
      <w:r w:rsidRPr="00A972C4">
        <w:rPr>
          <w:b/>
        </w:rPr>
        <w:fldChar w:fldCharType="begin"/>
      </w:r>
      <w:r w:rsidRPr="00A972C4">
        <w:rPr>
          <w:b/>
        </w:rPr>
        <w:instrText xml:space="preserve"> SEQ CHAPTER \h \r 1</w:instrText>
      </w:r>
      <w:r w:rsidRPr="00A972C4">
        <w:rPr>
          <w:b/>
        </w:rPr>
        <w:fldChar w:fldCharType="end"/>
      </w:r>
      <w:r w:rsidRPr="00A972C4">
        <w:rPr>
          <w:b/>
        </w:rPr>
        <w:t xml:space="preserve">Table </w:t>
      </w:r>
      <w:r w:rsidR="002A6B3A">
        <w:rPr>
          <w:b/>
        </w:rPr>
        <w:t>4</w:t>
      </w:r>
    </w:p>
    <w:p w:rsidR="003F48B8" w:rsidRDefault="003F48B8" w:rsidP="003F48B8">
      <w:pPr>
        <w:jc w:val="center"/>
        <w:rPr>
          <w:b/>
        </w:rPr>
      </w:pPr>
      <w:r w:rsidRPr="00A972C4">
        <w:rPr>
          <w:b/>
        </w:rPr>
        <w:t>Labor Costs Estimates</w:t>
      </w:r>
    </w:p>
    <w:p w:rsidR="003F48B8" w:rsidRPr="00A972C4" w:rsidRDefault="003F48B8" w:rsidP="003F48B8">
      <w:pPr>
        <w:jc w:val="center"/>
        <w:rPr>
          <w:b/>
        </w:rPr>
      </w:pPr>
    </w:p>
    <w:tbl>
      <w:tblPr>
        <w:tblW w:w="8640" w:type="dxa"/>
        <w:jc w:val="center"/>
        <w:tblLayout w:type="fixed"/>
        <w:tblCellMar>
          <w:top w:w="72" w:type="dxa"/>
          <w:left w:w="72" w:type="dxa"/>
          <w:bottom w:w="72" w:type="dxa"/>
          <w:right w:w="72" w:type="dxa"/>
        </w:tblCellMar>
        <w:tblLook w:val="0000"/>
      </w:tblPr>
      <w:tblGrid>
        <w:gridCol w:w="3560"/>
        <w:gridCol w:w="1664"/>
        <w:gridCol w:w="1746"/>
        <w:gridCol w:w="1670"/>
      </w:tblGrid>
      <w:tr w:rsidR="003F48B8" w:rsidTr="00E8153C">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C0C0C0"/>
          </w:tcPr>
          <w:p w:rsidR="003F48B8" w:rsidRPr="009251A9" w:rsidRDefault="003F48B8" w:rsidP="00E8153C">
            <w:pPr>
              <w:jc w:val="center"/>
              <w:rPr>
                <w:sz w:val="20"/>
                <w:szCs w:val="20"/>
              </w:rPr>
            </w:pPr>
            <w:r w:rsidRPr="009251A9">
              <w:rPr>
                <w:sz w:val="20"/>
                <w:szCs w:val="20"/>
              </w:rPr>
              <w:t>Occupation</w:t>
            </w:r>
          </w:p>
        </w:tc>
        <w:tc>
          <w:tcPr>
            <w:tcW w:w="1664" w:type="dxa"/>
            <w:tcBorders>
              <w:top w:val="single" w:sz="6" w:space="0" w:color="000000"/>
              <w:left w:val="single" w:sz="6" w:space="0" w:color="000000"/>
              <w:bottom w:val="single" w:sz="6" w:space="0" w:color="000000"/>
              <w:right w:val="nil"/>
            </w:tcBorders>
            <w:shd w:val="clear" w:color="auto" w:fill="C0C0C0"/>
          </w:tcPr>
          <w:p w:rsidR="003F48B8" w:rsidRPr="009251A9" w:rsidRDefault="003F48B8" w:rsidP="00E8153C">
            <w:pPr>
              <w:jc w:val="center"/>
              <w:rPr>
                <w:sz w:val="20"/>
                <w:szCs w:val="20"/>
              </w:rPr>
            </w:pPr>
            <w:r w:rsidRPr="009251A9">
              <w:rPr>
                <w:sz w:val="20"/>
                <w:szCs w:val="20"/>
              </w:rPr>
              <w:t>SOC Code Number</w:t>
            </w:r>
          </w:p>
        </w:tc>
        <w:tc>
          <w:tcPr>
            <w:tcW w:w="1746" w:type="dxa"/>
            <w:tcBorders>
              <w:top w:val="single" w:sz="6" w:space="0" w:color="000000"/>
              <w:left w:val="single" w:sz="6" w:space="0" w:color="000000"/>
              <w:bottom w:val="single" w:sz="6" w:space="0" w:color="000000"/>
              <w:right w:val="nil"/>
            </w:tcBorders>
            <w:shd w:val="clear" w:color="auto" w:fill="C0C0C0"/>
          </w:tcPr>
          <w:p w:rsidR="003F48B8" w:rsidRPr="009251A9" w:rsidRDefault="003F48B8" w:rsidP="00E8153C">
            <w:pPr>
              <w:jc w:val="center"/>
              <w:rPr>
                <w:sz w:val="20"/>
                <w:szCs w:val="20"/>
              </w:rPr>
            </w:pPr>
            <w:r w:rsidRPr="009251A9">
              <w:rPr>
                <w:sz w:val="20"/>
                <w:szCs w:val="20"/>
              </w:rPr>
              <w:t>Mean Hourly Rate (BLS)</w:t>
            </w:r>
          </w:p>
        </w:tc>
        <w:tc>
          <w:tcPr>
            <w:tcW w:w="1670" w:type="dxa"/>
            <w:tcBorders>
              <w:top w:val="single" w:sz="6" w:space="0" w:color="000000"/>
              <w:left w:val="single" w:sz="6" w:space="0" w:color="000000"/>
              <w:bottom w:val="single" w:sz="6" w:space="0" w:color="000000"/>
              <w:right w:val="single" w:sz="6" w:space="0" w:color="000000"/>
            </w:tcBorders>
            <w:shd w:val="clear" w:color="auto" w:fill="C0C0C0"/>
          </w:tcPr>
          <w:p w:rsidR="003F48B8" w:rsidRPr="009251A9" w:rsidRDefault="003F48B8" w:rsidP="00E8153C">
            <w:pPr>
              <w:jc w:val="center"/>
              <w:rPr>
                <w:sz w:val="20"/>
                <w:szCs w:val="20"/>
              </w:rPr>
            </w:pPr>
            <w:r>
              <w:rPr>
                <w:sz w:val="20"/>
                <w:szCs w:val="20"/>
              </w:rPr>
              <w:t>2.1 Factor for Overhead and Benefits</w:t>
            </w:r>
          </w:p>
        </w:tc>
      </w:tr>
      <w:tr w:rsidR="003F48B8" w:rsidTr="00E8153C">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rPr>
                <w:sz w:val="20"/>
                <w:szCs w:val="20"/>
              </w:rPr>
            </w:pPr>
            <w:r w:rsidRPr="009251A9">
              <w:rPr>
                <w:sz w:val="20"/>
                <w:szCs w:val="20"/>
              </w:rPr>
              <w:t>Mechanical  Engineers</w:t>
            </w:r>
          </w:p>
        </w:tc>
        <w:tc>
          <w:tcPr>
            <w:tcW w:w="1664"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jc w:val="center"/>
              <w:rPr>
                <w:sz w:val="20"/>
                <w:szCs w:val="20"/>
              </w:rPr>
            </w:pPr>
            <w:r w:rsidRPr="009251A9">
              <w:rPr>
                <w:sz w:val="20"/>
                <w:szCs w:val="20"/>
              </w:rPr>
              <w:t>17-2141</w:t>
            </w:r>
          </w:p>
        </w:tc>
        <w:tc>
          <w:tcPr>
            <w:tcW w:w="1746"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jc w:val="center"/>
              <w:rPr>
                <w:sz w:val="20"/>
                <w:szCs w:val="20"/>
              </w:rPr>
            </w:pPr>
            <w:r w:rsidRPr="009251A9">
              <w:rPr>
                <w:sz w:val="20"/>
                <w:szCs w:val="20"/>
              </w:rPr>
              <w:t xml:space="preserve">$37.59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3F48B8" w:rsidRPr="009251A9" w:rsidRDefault="003F48B8" w:rsidP="00E8153C">
            <w:pPr>
              <w:jc w:val="center"/>
              <w:rPr>
                <w:sz w:val="20"/>
                <w:szCs w:val="20"/>
              </w:rPr>
            </w:pPr>
            <w:r w:rsidRPr="009251A9">
              <w:rPr>
                <w:sz w:val="20"/>
                <w:szCs w:val="20"/>
              </w:rPr>
              <w:t xml:space="preserve">$78.94 </w:t>
            </w:r>
          </w:p>
        </w:tc>
      </w:tr>
      <w:tr w:rsidR="003F48B8" w:rsidTr="00E8153C">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rPr>
                <w:sz w:val="20"/>
                <w:szCs w:val="20"/>
              </w:rPr>
            </w:pPr>
            <w:r w:rsidRPr="009251A9">
              <w:rPr>
                <w:sz w:val="20"/>
                <w:szCs w:val="20"/>
              </w:rPr>
              <w:t>Engineering Managers</w:t>
            </w:r>
          </w:p>
        </w:tc>
        <w:tc>
          <w:tcPr>
            <w:tcW w:w="1664"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jc w:val="center"/>
              <w:rPr>
                <w:sz w:val="20"/>
                <w:szCs w:val="20"/>
              </w:rPr>
            </w:pPr>
            <w:r w:rsidRPr="009251A9">
              <w:rPr>
                <w:sz w:val="20"/>
                <w:szCs w:val="20"/>
              </w:rPr>
              <w:t xml:space="preserve"> 11-9041</w:t>
            </w:r>
          </w:p>
        </w:tc>
        <w:tc>
          <w:tcPr>
            <w:tcW w:w="1746"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jc w:val="center"/>
              <w:rPr>
                <w:sz w:val="20"/>
                <w:szCs w:val="20"/>
              </w:rPr>
            </w:pPr>
            <w:r w:rsidRPr="009251A9">
              <w:rPr>
                <w:sz w:val="20"/>
                <w:szCs w:val="20"/>
              </w:rPr>
              <w:t xml:space="preserve">$54.56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3F48B8" w:rsidRPr="009251A9" w:rsidRDefault="003F48B8" w:rsidP="00E8153C">
            <w:pPr>
              <w:jc w:val="center"/>
              <w:rPr>
                <w:sz w:val="20"/>
                <w:szCs w:val="20"/>
              </w:rPr>
            </w:pPr>
            <w:r w:rsidRPr="009251A9">
              <w:rPr>
                <w:sz w:val="20"/>
                <w:szCs w:val="20"/>
              </w:rPr>
              <w:t xml:space="preserve">$114.58 </w:t>
            </w:r>
          </w:p>
        </w:tc>
      </w:tr>
      <w:tr w:rsidR="003F48B8" w:rsidTr="00E8153C">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rPr>
                <w:sz w:val="20"/>
                <w:szCs w:val="20"/>
              </w:rPr>
            </w:pPr>
            <w:r w:rsidRPr="009251A9">
              <w:rPr>
                <w:sz w:val="20"/>
                <w:szCs w:val="20"/>
              </w:rPr>
              <w:t>Lawyers</w:t>
            </w:r>
          </w:p>
        </w:tc>
        <w:tc>
          <w:tcPr>
            <w:tcW w:w="1664"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jc w:val="center"/>
              <w:rPr>
                <w:sz w:val="20"/>
                <w:szCs w:val="20"/>
              </w:rPr>
            </w:pPr>
            <w:r w:rsidRPr="009251A9">
              <w:rPr>
                <w:sz w:val="20"/>
                <w:szCs w:val="20"/>
              </w:rPr>
              <w:t>23-1011</w:t>
            </w:r>
          </w:p>
        </w:tc>
        <w:tc>
          <w:tcPr>
            <w:tcW w:w="1746"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jc w:val="center"/>
              <w:rPr>
                <w:sz w:val="20"/>
                <w:szCs w:val="20"/>
              </w:rPr>
            </w:pPr>
            <w:r w:rsidRPr="009251A9">
              <w:rPr>
                <w:sz w:val="20"/>
                <w:szCs w:val="20"/>
              </w:rPr>
              <w:t>$67.14</w:t>
            </w:r>
          </w:p>
        </w:tc>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3F48B8" w:rsidRPr="009251A9" w:rsidRDefault="003F48B8" w:rsidP="00E8153C">
            <w:pPr>
              <w:jc w:val="center"/>
              <w:rPr>
                <w:sz w:val="20"/>
                <w:szCs w:val="20"/>
              </w:rPr>
            </w:pPr>
            <w:r w:rsidRPr="009251A9">
              <w:rPr>
                <w:sz w:val="20"/>
                <w:szCs w:val="20"/>
              </w:rPr>
              <w:t xml:space="preserve">$140.99 </w:t>
            </w:r>
          </w:p>
        </w:tc>
      </w:tr>
      <w:tr w:rsidR="003F48B8" w:rsidTr="00E8153C">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rPr>
                <w:sz w:val="20"/>
                <w:szCs w:val="20"/>
              </w:rPr>
            </w:pPr>
            <w:r w:rsidRPr="009251A9">
              <w:rPr>
                <w:sz w:val="20"/>
                <w:szCs w:val="20"/>
              </w:rPr>
              <w:t>Secretaries, Except Legal, Medical and Executive</w:t>
            </w:r>
          </w:p>
        </w:tc>
        <w:tc>
          <w:tcPr>
            <w:tcW w:w="1664"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jc w:val="center"/>
              <w:rPr>
                <w:sz w:val="20"/>
                <w:szCs w:val="20"/>
              </w:rPr>
            </w:pPr>
            <w:r w:rsidRPr="009251A9">
              <w:rPr>
                <w:sz w:val="20"/>
                <w:szCs w:val="20"/>
              </w:rPr>
              <w:t>43-6014</w:t>
            </w:r>
          </w:p>
        </w:tc>
        <w:tc>
          <w:tcPr>
            <w:tcW w:w="1746" w:type="dxa"/>
            <w:tcBorders>
              <w:top w:val="single" w:sz="6" w:space="0" w:color="000000"/>
              <w:left w:val="single" w:sz="6" w:space="0" w:color="000000"/>
              <w:bottom w:val="single" w:sz="6" w:space="0" w:color="000000"/>
              <w:right w:val="nil"/>
            </w:tcBorders>
            <w:shd w:val="clear" w:color="auto" w:fill="auto"/>
          </w:tcPr>
          <w:p w:rsidR="003F48B8" w:rsidRPr="009251A9" w:rsidRDefault="003F48B8" w:rsidP="00E8153C">
            <w:pPr>
              <w:jc w:val="center"/>
              <w:rPr>
                <w:sz w:val="20"/>
                <w:szCs w:val="20"/>
              </w:rPr>
            </w:pPr>
            <w:r w:rsidRPr="009251A9">
              <w:rPr>
                <w:sz w:val="20"/>
                <w:szCs w:val="20"/>
              </w:rPr>
              <w:t xml:space="preserve">$19.76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3F48B8" w:rsidRPr="009251A9" w:rsidRDefault="003F48B8" w:rsidP="00E8153C">
            <w:pPr>
              <w:jc w:val="center"/>
              <w:rPr>
                <w:sz w:val="20"/>
                <w:szCs w:val="20"/>
              </w:rPr>
            </w:pPr>
            <w:r w:rsidRPr="009251A9">
              <w:rPr>
                <w:sz w:val="20"/>
                <w:szCs w:val="20"/>
              </w:rPr>
              <w:t xml:space="preserve">$41.50 </w:t>
            </w:r>
          </w:p>
        </w:tc>
      </w:tr>
    </w:tbl>
    <w:p w:rsidR="003F48B8" w:rsidRDefault="003F48B8" w:rsidP="003F48B8"/>
    <w:p w:rsidR="00FB3CA0" w:rsidRPr="00FB3CA0" w:rsidRDefault="00FB3CA0" w:rsidP="00646861">
      <w:pPr>
        <w:pStyle w:val="Style6"/>
        <w:jc w:val="left"/>
        <w:rPr>
          <w:szCs w:val="20"/>
        </w:rPr>
      </w:pPr>
    </w:p>
    <w:p w:rsidR="00832233" w:rsidRPr="00495BC6" w:rsidRDefault="00DB7A3D" w:rsidP="00495BC6">
      <w:pPr>
        <w:ind w:firstLine="720"/>
        <w:rPr>
          <w:i/>
          <w:spacing w:val="6"/>
        </w:rPr>
      </w:pPr>
      <w:r w:rsidRPr="00495BC6">
        <w:rPr>
          <w:i/>
          <w:spacing w:val="6"/>
        </w:rPr>
        <w:t xml:space="preserve">(ii) </w:t>
      </w:r>
      <w:r w:rsidR="00832233" w:rsidRPr="00495BC6">
        <w:rPr>
          <w:i/>
          <w:spacing w:val="6"/>
        </w:rPr>
        <w:t>Estimating Capital and Operations and Maintenance Costs</w:t>
      </w:r>
    </w:p>
    <w:p w:rsidR="00646861" w:rsidRDefault="00646861" w:rsidP="00692526">
      <w:pPr>
        <w:rPr>
          <w:spacing w:val="6"/>
          <w:u w:val="single"/>
        </w:rPr>
      </w:pPr>
    </w:p>
    <w:p w:rsidR="003F48B8" w:rsidRDefault="003F48B8" w:rsidP="003F48B8">
      <w:pPr>
        <w:numPr>
          <w:ilvl w:val="12"/>
          <w:numId w:val="0"/>
        </w:numPr>
      </w:pPr>
    </w:p>
    <w:p w:rsidR="006C43C2" w:rsidRDefault="006C43C2" w:rsidP="003F48B8">
      <w:pPr>
        <w:numPr>
          <w:ilvl w:val="12"/>
          <w:numId w:val="0"/>
        </w:numPr>
      </w:pPr>
      <w:r>
        <w:tab/>
      </w:r>
      <w:r w:rsidRPr="00CE7C0A">
        <w:t xml:space="preserve">The Operation and Maintenance costs (O&amp;M Costs) in this ICR </w:t>
      </w:r>
      <w:r w:rsidR="00CE7C0A" w:rsidRPr="00CE7C0A">
        <w:t xml:space="preserve">look somewhat </w:t>
      </w:r>
      <w:r w:rsidRPr="00CE7C0A">
        <w:t>differ</w:t>
      </w:r>
      <w:r w:rsidR="00CE7C0A" w:rsidRPr="00CE7C0A">
        <w:t>ent</w:t>
      </w:r>
      <w:r w:rsidRPr="00CE7C0A">
        <w:t xml:space="preserve"> </w:t>
      </w:r>
      <w:r w:rsidRPr="00CE7C0A">
        <w:lastRenderedPageBreak/>
        <w:t xml:space="preserve">from those explained in the rule preamble.  The language in the preamble </w:t>
      </w:r>
      <w:r w:rsidR="009E5F54">
        <w:t>considers</w:t>
      </w:r>
      <w:r w:rsidRPr="00CE7C0A">
        <w:t xml:space="preserve"> the costs a</w:t>
      </w:r>
      <w:r w:rsidR="009E5F54">
        <w:t xml:space="preserve">n individual </w:t>
      </w:r>
      <w:r w:rsidRPr="00CE7C0A">
        <w:t xml:space="preserve">converter may incur in its effort to obtain </w:t>
      </w:r>
      <w:r w:rsidR="009E5F54">
        <w:t>exemption from the prohibition on tampering via this regulation</w:t>
      </w:r>
      <w:r w:rsidRPr="00CE7C0A">
        <w:t xml:space="preserve">. </w:t>
      </w:r>
      <w:r w:rsidR="00D01CB7">
        <w:t xml:space="preserve">Since </w:t>
      </w:r>
      <w:r w:rsidR="006F1AE9">
        <w:t xml:space="preserve">conversion </w:t>
      </w:r>
      <w:r w:rsidR="00D01CB7">
        <w:t xml:space="preserve">manufacturers can </w:t>
      </w:r>
      <w:r w:rsidR="006F1AE9">
        <w:t xml:space="preserve">sometimes </w:t>
      </w:r>
      <w:r w:rsidR="00D01CB7">
        <w:t xml:space="preserve">“carry-over” test data from one model year to the next, </w:t>
      </w:r>
      <w:r w:rsidR="006F1AE9">
        <w:t>further cost reductions may be achieved</w:t>
      </w:r>
      <w:r w:rsidR="00D01CB7">
        <w:t xml:space="preserve">. </w:t>
      </w:r>
      <w:r w:rsidR="00CE7C0A">
        <w:t>In this ICR, one time costs</w:t>
      </w:r>
      <w:r w:rsidR="00D01CB7">
        <w:t xml:space="preserve"> such as testing</w:t>
      </w:r>
      <w:r w:rsidR="00CE7C0A">
        <w:t xml:space="preserve"> have been annualized.</w:t>
      </w:r>
    </w:p>
    <w:p w:rsidR="00E42916" w:rsidRDefault="00E42916" w:rsidP="00CB489B">
      <w:pPr>
        <w:rPr>
          <w:spacing w:val="6"/>
        </w:rPr>
      </w:pPr>
    </w:p>
    <w:p w:rsidR="003F48B8" w:rsidRDefault="006C43C2" w:rsidP="003F48B8">
      <w:pPr>
        <w:pStyle w:val="Clear"/>
        <w:ind w:firstLine="720"/>
      </w:pPr>
      <w:r>
        <w:t xml:space="preserve">So far, all HD converters are </w:t>
      </w:r>
      <w:r w:rsidR="003F48B8">
        <w:t>small businesses</w:t>
      </w:r>
      <w:r>
        <w:t>.  EPA believes this will still be the case after this rule is finalized.  Small businesses</w:t>
      </w:r>
      <w:r w:rsidR="003F48B8">
        <w:t xml:space="preserve"> contract outside laboratories to perform testing.  </w:t>
      </w:r>
      <w:r w:rsidR="003F48B8" w:rsidRPr="000C7B26">
        <w:t>There</w:t>
      </w:r>
      <w:r w:rsidR="003F48B8">
        <w:t>fore, there</w:t>
      </w:r>
      <w:r w:rsidR="003F48B8" w:rsidRPr="000C7B26">
        <w:t xml:space="preserve"> </w:t>
      </w:r>
      <w:proofErr w:type="gramStart"/>
      <w:r w:rsidR="003F48B8" w:rsidRPr="000C7B26">
        <w:t>are</w:t>
      </w:r>
      <w:proofErr w:type="gramEnd"/>
      <w:r w:rsidR="003F48B8" w:rsidRPr="000C7B26">
        <w:t xml:space="preserve"> no capital start-up costs associated with this collection.</w:t>
      </w:r>
    </w:p>
    <w:p w:rsidR="006C43C2" w:rsidRDefault="006C43C2" w:rsidP="003F48B8">
      <w:pPr>
        <w:pStyle w:val="Clear"/>
        <w:ind w:firstLine="720"/>
      </w:pPr>
    </w:p>
    <w:p w:rsidR="006C43C2" w:rsidRPr="00A85452" w:rsidRDefault="006C43C2" w:rsidP="006C43C2">
      <w:pPr>
        <w:numPr>
          <w:ilvl w:val="12"/>
          <w:numId w:val="0"/>
        </w:numPr>
      </w:pPr>
      <w:r w:rsidRPr="00A85452">
        <w:tab/>
        <w:t>EPA has estimated that testing at a private facility costs, on average</w:t>
      </w:r>
      <w:r>
        <w:t>, $</w:t>
      </w:r>
      <w:r w:rsidR="000B0129">
        <w:t>30</w:t>
      </w:r>
      <w:r>
        <w:t>,0</w:t>
      </w:r>
      <w:r w:rsidR="000B0129">
        <w:t>0</w:t>
      </w:r>
      <w:r>
        <w:t xml:space="preserve">0.  Evaporative testing </w:t>
      </w:r>
      <w:r w:rsidR="000B0129" w:rsidRPr="00A85452">
        <w:t>costs, on average</w:t>
      </w:r>
      <w:r w:rsidR="000B0129">
        <w:t xml:space="preserve">, $7,050.  </w:t>
      </w:r>
      <w:r w:rsidRPr="00A85452">
        <w:t xml:space="preserve">Testing cost, however, is a one-time cost per engine family since manufacturers can carry over emissions data from one model year to the next.  This cost has been </w:t>
      </w:r>
      <w:r w:rsidRPr="00A85452">
        <w:rPr>
          <w:u w:val="single"/>
        </w:rPr>
        <w:t>annualized</w:t>
      </w:r>
      <w:r w:rsidRPr="00A85452">
        <w:t xml:space="preserve"> over the approval period requested for this ICR (3 years)</w:t>
      </w:r>
      <w:r w:rsidR="000B0129">
        <w:t>.</w:t>
      </w:r>
    </w:p>
    <w:p w:rsidR="006C43C2" w:rsidRPr="00A85452" w:rsidRDefault="006C43C2" w:rsidP="006C43C2">
      <w:pPr>
        <w:numPr>
          <w:ilvl w:val="12"/>
          <w:numId w:val="0"/>
        </w:numPr>
      </w:pPr>
    </w:p>
    <w:p w:rsidR="006C43C2" w:rsidRPr="00A85452" w:rsidRDefault="006C43C2" w:rsidP="006C43C2">
      <w:pPr>
        <w:numPr>
          <w:ilvl w:val="12"/>
          <w:numId w:val="0"/>
        </w:numPr>
        <w:ind w:left="4320" w:hanging="3600"/>
      </w:pPr>
      <w:r w:rsidRPr="00A85452">
        <w:t>Heavy-</w:t>
      </w:r>
      <w:r>
        <w:t>D</w:t>
      </w:r>
      <w:r w:rsidRPr="00A85452">
        <w:t xml:space="preserve">uty and Large </w:t>
      </w:r>
      <w:r>
        <w:t>N</w:t>
      </w:r>
      <w:r w:rsidRPr="00A85452">
        <w:t>onroad CI:</w:t>
      </w:r>
      <w:r w:rsidRPr="00A85452">
        <w:tab/>
        <w:t>$</w:t>
      </w:r>
      <w:r w:rsidR="000B0129">
        <w:t>10,000</w:t>
      </w:r>
    </w:p>
    <w:p w:rsidR="006C43C2" w:rsidRPr="00A85452" w:rsidRDefault="000B0129" w:rsidP="006C43C2">
      <w:pPr>
        <w:numPr>
          <w:ilvl w:val="12"/>
          <w:numId w:val="0"/>
        </w:numPr>
        <w:ind w:left="4320" w:hanging="3600"/>
      </w:pPr>
      <w:r>
        <w:t>Evaporative testing</w:t>
      </w:r>
      <w:r w:rsidR="006C43C2">
        <w:t>:</w:t>
      </w:r>
      <w:r w:rsidR="006C43C2">
        <w:tab/>
      </w:r>
      <w:r>
        <w:t xml:space="preserve">  </w:t>
      </w:r>
      <w:r w:rsidR="006C43C2">
        <w:t>$</w:t>
      </w:r>
      <w:r>
        <w:t>2,350</w:t>
      </w:r>
    </w:p>
    <w:p w:rsidR="006C43C2" w:rsidRPr="00A85452" w:rsidRDefault="006C43C2" w:rsidP="006C43C2">
      <w:pPr>
        <w:numPr>
          <w:ilvl w:val="12"/>
          <w:numId w:val="0"/>
        </w:numPr>
      </w:pPr>
    </w:p>
    <w:p w:rsidR="006C43C2" w:rsidRPr="00A85452" w:rsidRDefault="006C43C2" w:rsidP="006C43C2">
      <w:pPr>
        <w:numPr>
          <w:ilvl w:val="12"/>
          <w:numId w:val="0"/>
        </w:numPr>
      </w:pPr>
      <w:r w:rsidRPr="00A85452">
        <w:tab/>
      </w:r>
      <w:r w:rsidR="008F09B3">
        <w:t>New and nearly new</w:t>
      </w:r>
      <w:r w:rsidR="000B0129">
        <w:t xml:space="preserve"> engines</w:t>
      </w:r>
      <w:r w:rsidRPr="00A85452">
        <w:t xml:space="preserve"> </w:t>
      </w:r>
      <w:r w:rsidR="008F09B3">
        <w:t>require certificates of conformity and</w:t>
      </w:r>
      <w:r w:rsidRPr="00A85452">
        <w:t xml:space="preserve"> require a fee when submitting an application for a certificate of conformity.  This fee is requested under the authority of the CAA Section 217.  </w:t>
      </w:r>
      <w:r w:rsidRPr="000B0129">
        <w:t xml:space="preserve">EPA </w:t>
      </w:r>
      <w:r w:rsidR="000B0129" w:rsidRPr="000B0129">
        <w:t>published a revision to its 2010</w:t>
      </w:r>
      <w:r w:rsidRPr="000B0129">
        <w:t xml:space="preserve"> schedule of fees in the document CISD-0</w:t>
      </w:r>
      <w:r w:rsidR="000B0129" w:rsidRPr="000B0129">
        <w:t>9</w:t>
      </w:r>
      <w:r w:rsidRPr="000B0129">
        <w:t>-0</w:t>
      </w:r>
      <w:r w:rsidR="000B0129" w:rsidRPr="000B0129">
        <w:t>5</w:t>
      </w:r>
      <w:r w:rsidRPr="000B0129">
        <w:t>.  The rele</w:t>
      </w:r>
      <w:r w:rsidR="000B0129" w:rsidRPr="000B0129">
        <w:t>vant fees for calendar year 2010</w:t>
      </w:r>
      <w:r w:rsidRPr="000B0129">
        <w:t xml:space="preserve"> are</w:t>
      </w:r>
      <w:r w:rsidR="000B0129">
        <w:t>:</w:t>
      </w:r>
      <w:r>
        <w:t xml:space="preserve"> </w:t>
      </w:r>
    </w:p>
    <w:p w:rsidR="006C43C2" w:rsidRPr="00A85452" w:rsidRDefault="006C43C2" w:rsidP="006C43C2">
      <w:pPr>
        <w:numPr>
          <w:ilvl w:val="12"/>
          <w:numId w:val="0"/>
        </w:numPr>
      </w:pPr>
    </w:p>
    <w:p w:rsidR="006C43C2" w:rsidRPr="00A85452" w:rsidRDefault="006C43C2" w:rsidP="000B0129">
      <w:pPr>
        <w:pStyle w:val="Default"/>
        <w:ind w:left="360" w:firstLine="720"/>
      </w:pPr>
      <w:r>
        <w:t>Federal</w:t>
      </w:r>
      <w:r w:rsidR="000B0129">
        <w:t xml:space="preserve"> Exhaust</w:t>
      </w:r>
      <w:r>
        <w:t xml:space="preserve"> Certificate:</w:t>
      </w:r>
      <w:r w:rsidRPr="00A85452">
        <w:tab/>
        <w:t>$</w:t>
      </w:r>
      <w:r w:rsidR="000B0129">
        <w:t>35,967</w:t>
      </w:r>
    </w:p>
    <w:p w:rsidR="006C43C2" w:rsidRDefault="006C43C2" w:rsidP="006C43C2">
      <w:pPr>
        <w:numPr>
          <w:ilvl w:val="12"/>
          <w:numId w:val="0"/>
        </w:numPr>
        <w:ind w:left="2160" w:hanging="1080"/>
      </w:pPr>
      <w:r>
        <w:t>Evaporative-only:</w:t>
      </w:r>
      <w:r w:rsidR="000B0129">
        <w:tab/>
      </w:r>
      <w:r>
        <w:tab/>
      </w:r>
      <w:r>
        <w:tab/>
      </w:r>
      <w:r w:rsidR="000B0129">
        <w:t xml:space="preserve">     </w:t>
      </w:r>
      <w:r>
        <w:t>$</w:t>
      </w:r>
      <w:r w:rsidR="000B0129">
        <w:t>511</w:t>
      </w:r>
    </w:p>
    <w:p w:rsidR="006C43C2" w:rsidRPr="00A85452" w:rsidRDefault="006C43C2" w:rsidP="006C43C2">
      <w:pPr>
        <w:numPr>
          <w:ilvl w:val="12"/>
          <w:numId w:val="0"/>
        </w:numPr>
        <w:ind w:left="720"/>
      </w:pPr>
    </w:p>
    <w:p w:rsidR="006C43C2" w:rsidRDefault="006C43C2" w:rsidP="000B0129">
      <w:pPr>
        <w:numPr>
          <w:ilvl w:val="12"/>
          <w:numId w:val="0"/>
        </w:numPr>
      </w:pPr>
      <w:r w:rsidRPr="00A85452">
        <w:tab/>
        <w:t xml:space="preserve">The fees rule provides for a reduction in fee when </w:t>
      </w:r>
      <w:r>
        <w:t>"</w:t>
      </w:r>
      <w:r w:rsidRPr="00A85452">
        <w:t>the full fee exceeds 1.0 percent of the projected aggregate retail price of all vehicles or engines covered by that certificate</w:t>
      </w:r>
      <w:r>
        <w:t>"</w:t>
      </w:r>
      <w:r w:rsidRPr="00F33AD2">
        <w:t xml:space="preserve"> (69 FR 26226, Section F).</w:t>
      </w:r>
      <w:r w:rsidRPr="00A85452">
        <w:t xml:space="preserve">  The reduced fee must not exceed one percent of the aggregate retail price of the vehicles and engines covered by the certificate.</w:t>
      </w:r>
    </w:p>
    <w:p w:rsidR="000B0129" w:rsidRPr="000C7B26" w:rsidRDefault="000B0129" w:rsidP="000B0129">
      <w:pPr>
        <w:numPr>
          <w:ilvl w:val="12"/>
          <w:numId w:val="0"/>
        </w:numPr>
      </w:pPr>
    </w:p>
    <w:p w:rsidR="006C43C2" w:rsidRDefault="006C43C2" w:rsidP="006C43C2">
      <w:pPr>
        <w:pStyle w:val="Clear"/>
        <w:ind w:firstLine="720"/>
      </w:pPr>
      <w:r>
        <w:t>Since all respondents are small businesses and no laboratories will be built or modified to comply with the new rule, there</w:t>
      </w:r>
      <w:r w:rsidRPr="000C7B26">
        <w:t xml:space="preserve"> are no capital start-up costs associated with this collection.</w:t>
      </w:r>
    </w:p>
    <w:p w:rsidR="00CE7C0A" w:rsidRDefault="00CE7C0A" w:rsidP="006C43C2">
      <w:pPr>
        <w:pStyle w:val="Clear"/>
        <w:ind w:firstLine="720"/>
      </w:pPr>
    </w:p>
    <w:p w:rsidR="00CE7C0A" w:rsidRPr="00A85452" w:rsidRDefault="00CE7C0A" w:rsidP="00CE7C0A">
      <w:pPr>
        <w:numPr>
          <w:ilvl w:val="12"/>
          <w:numId w:val="0"/>
        </w:numPr>
      </w:pPr>
      <w:r w:rsidRPr="00A85452">
        <w:tab/>
      </w:r>
      <w:r>
        <w:t xml:space="preserve">Other </w:t>
      </w:r>
      <w:r w:rsidRPr="00A85452">
        <w:t xml:space="preserve">O&amp;M Costs associated with this information collection include </w:t>
      </w:r>
      <w:r>
        <w:t>CDs</w:t>
      </w:r>
      <w:r w:rsidRPr="00A85452">
        <w:t xml:space="preserve">, photocopying, postage and </w:t>
      </w:r>
      <w:r>
        <w:t>other shipping expenses, calls, and testing costs</w:t>
      </w:r>
      <w:r w:rsidRPr="00A85452">
        <w:t xml:space="preserve">.  </w:t>
      </w:r>
      <w:r>
        <w:t>C</w:t>
      </w:r>
      <w:r w:rsidRPr="00A85452">
        <w:t xml:space="preserve">Ds </w:t>
      </w:r>
      <w:r w:rsidR="006C256D">
        <w:t xml:space="preserve">may </w:t>
      </w:r>
      <w:proofErr w:type="gramStart"/>
      <w:r w:rsidR="006C256D">
        <w:t xml:space="preserve">be </w:t>
      </w:r>
      <w:r w:rsidRPr="00A85452">
        <w:t xml:space="preserve"> used</w:t>
      </w:r>
      <w:proofErr w:type="gramEnd"/>
      <w:r w:rsidRPr="00A85452">
        <w:t xml:space="preserve"> by manufacturers to submit their electronic applications and to keep records.</w:t>
      </w:r>
    </w:p>
    <w:p w:rsidR="00CE7C0A" w:rsidRDefault="00CE7C0A" w:rsidP="006C43C2">
      <w:pPr>
        <w:pStyle w:val="Clear"/>
        <w:ind w:firstLine="720"/>
      </w:pPr>
    </w:p>
    <w:p w:rsidR="003F48B8" w:rsidRDefault="003F48B8" w:rsidP="00CB489B">
      <w:pPr>
        <w:rPr>
          <w:spacing w:val="6"/>
        </w:rPr>
      </w:pPr>
    </w:p>
    <w:p w:rsidR="009E5724" w:rsidRPr="00495BC6" w:rsidRDefault="009E5724" w:rsidP="00495BC6">
      <w:pPr>
        <w:ind w:firstLine="720"/>
        <w:rPr>
          <w:i/>
          <w:spacing w:val="6"/>
        </w:rPr>
      </w:pPr>
      <w:r w:rsidRPr="00C82BAF">
        <w:rPr>
          <w:i/>
          <w:spacing w:val="6"/>
        </w:rPr>
        <w:t>(iii)  Start-up Costs</w:t>
      </w:r>
    </w:p>
    <w:p w:rsidR="007E1D43" w:rsidRDefault="007E1D43" w:rsidP="00692526">
      <w:pPr>
        <w:rPr>
          <w:spacing w:val="6"/>
        </w:rPr>
      </w:pPr>
    </w:p>
    <w:p w:rsidR="006639F8" w:rsidRDefault="008C40B3" w:rsidP="003F48B8">
      <w:pPr>
        <w:pStyle w:val="Clear"/>
        <w:ind w:firstLine="720"/>
      </w:pPr>
      <w:r>
        <w:t xml:space="preserve">Under the new </w:t>
      </w:r>
      <w:r w:rsidR="006C256D">
        <w:t xml:space="preserve">clean </w:t>
      </w:r>
      <w:r>
        <w:t>alternative fuel conversions rule, converters</w:t>
      </w:r>
      <w:r w:rsidR="00947D2D">
        <w:t xml:space="preserve"> of </w:t>
      </w:r>
      <w:r w:rsidR="007D4347">
        <w:t>i</w:t>
      </w:r>
      <w:r w:rsidR="00292A46">
        <w:t>ntermediate-</w:t>
      </w:r>
      <w:r w:rsidR="007D4347">
        <w:t>age</w:t>
      </w:r>
      <w:r w:rsidR="00947D2D">
        <w:t xml:space="preserve"> and outside-useful</w:t>
      </w:r>
      <w:r w:rsidR="00292A46">
        <w:t>-</w:t>
      </w:r>
      <w:r w:rsidR="00947D2D">
        <w:t>life engines</w:t>
      </w:r>
      <w:r>
        <w:t xml:space="preserve"> will be able to demonstrate compliance with OBD requirements by submitting an OBD scan tool report.  Therefore, converters will need to acquire OBD scan tools.  </w:t>
      </w:r>
      <w:r w:rsidR="003E1C2A">
        <w:t xml:space="preserve">EPA has found that </w:t>
      </w:r>
      <w:r w:rsidR="006639F8">
        <w:t xml:space="preserve">most </w:t>
      </w:r>
      <w:r w:rsidR="003E1C2A">
        <w:t>OBD scan tools for HD trucks range</w:t>
      </w:r>
      <w:r w:rsidR="00134F14">
        <w:t xml:space="preserve"> vary widely, depending on the siz</w:t>
      </w:r>
      <w:r w:rsidR="00CA58D4">
        <w:t xml:space="preserve">e of the </w:t>
      </w:r>
      <w:r w:rsidR="00995847">
        <w:t>vehicle</w:t>
      </w:r>
      <w:r w:rsidR="00CA58D4">
        <w:t xml:space="preserve">.  For smaller trucks (under 14,000 lbs), OBD scan tools range between $90 </w:t>
      </w:r>
      <w:r w:rsidR="00CA58D4">
        <w:lastRenderedPageBreak/>
        <w:t xml:space="preserve">and $1,000.  The less expensive ones are usually specific to a particular vehicle make and model.  For trucks weighing between 14,001 lbs and 33,000 lbs, OBD scan tools range </w:t>
      </w:r>
      <w:r w:rsidR="003E1C2A">
        <w:t>between $1,</w:t>
      </w:r>
      <w:r w:rsidR="006639F8">
        <w:t xml:space="preserve">300 and $2,500, but most cost around $1,500.  </w:t>
      </w:r>
      <w:r w:rsidR="00CA58D4">
        <w:t xml:space="preserve">For the largest trucks (over 33,000 lbs), scan tools </w:t>
      </w:r>
      <w:r w:rsidR="006639F8">
        <w:t>cost as much as $8,000</w:t>
      </w:r>
      <w:r w:rsidR="00CA58D4">
        <w:t xml:space="preserve">.   </w:t>
      </w:r>
    </w:p>
    <w:p w:rsidR="00CA58D4" w:rsidRDefault="00CA58D4" w:rsidP="003F48B8">
      <w:pPr>
        <w:pStyle w:val="Clear"/>
        <w:ind w:firstLine="720"/>
      </w:pPr>
    </w:p>
    <w:p w:rsidR="00CA58D4" w:rsidRDefault="00CA58D4" w:rsidP="003F48B8">
      <w:pPr>
        <w:pStyle w:val="Clear"/>
        <w:ind w:firstLine="720"/>
      </w:pPr>
      <w:r>
        <w:t xml:space="preserve">In recent years, EPA has received alternative fuel conversion applications only for truck engines below 14,000 lbs.  However, since this rule streamlines and lowers the cost of </w:t>
      </w:r>
      <w:r w:rsidR="006C256D">
        <w:t>complying with the conversion regulations</w:t>
      </w:r>
      <w:r>
        <w:t xml:space="preserve">, EPA expects more businesses to venture into </w:t>
      </w:r>
      <w:r w:rsidR="006C256D">
        <w:t xml:space="preserve">clean </w:t>
      </w:r>
      <w:r>
        <w:t>alternative fuel conversions.</w:t>
      </w:r>
      <w:r w:rsidR="00714A50">
        <w:t xml:space="preserve">  Therefore, it is plausible that responders will seek to convert engines for heavier trucks.  For the purpose of this ICR, EPA has chosen to use $1,500 as an estimate for a scanning tool.</w:t>
      </w:r>
      <w:r w:rsidR="00947D2D">
        <w:t xml:space="preserve">  Since all respondents to this collection</w:t>
      </w:r>
      <w:r w:rsidR="007D4347">
        <w:t>, especially those converting intermediate-age and outside-useful-life engines,</w:t>
      </w:r>
      <w:r w:rsidR="00947D2D">
        <w:t xml:space="preserve"> are expected to be small business with limited production, EPA estimates that respondents will purchase </w:t>
      </w:r>
      <w:r w:rsidR="004E3EB8">
        <w:t>an average of three</w:t>
      </w:r>
      <w:r w:rsidR="00947D2D">
        <w:t xml:space="preserve"> OBD scan tools in the next three years.  </w:t>
      </w:r>
    </w:p>
    <w:p w:rsidR="00714A50" w:rsidRDefault="00714A50" w:rsidP="003F48B8">
      <w:pPr>
        <w:pStyle w:val="Clear"/>
        <w:ind w:firstLine="720"/>
      </w:pPr>
    </w:p>
    <w:p w:rsidR="00714A50" w:rsidRDefault="00714A50" w:rsidP="003F48B8">
      <w:pPr>
        <w:pStyle w:val="Clear"/>
        <w:ind w:firstLine="720"/>
      </w:pPr>
      <w:r>
        <w:t xml:space="preserve">Many OBD scan tools have software specific to a certain range of models and model years.  </w:t>
      </w:r>
      <w:r w:rsidR="00947D2D">
        <w:t xml:space="preserve">EPA estimates that converters may need to purchase software updates </w:t>
      </w:r>
      <w:r>
        <w:t>at le</w:t>
      </w:r>
      <w:r w:rsidR="00947D2D">
        <w:t>ast once in the three-</w:t>
      </w:r>
      <w:r>
        <w:t>year</w:t>
      </w:r>
      <w:r w:rsidR="00947D2D">
        <w:t xml:space="preserve"> period</w:t>
      </w:r>
      <w:r>
        <w:t xml:space="preserve"> covered by this ICR.  The cost of </w:t>
      </w:r>
      <w:r w:rsidR="00947D2D">
        <w:t>these updates range between $300 and $800.  EPA will use the average, $550, to estimate capital costs.</w:t>
      </w:r>
    </w:p>
    <w:p w:rsidR="00947D2D" w:rsidRDefault="00947D2D" w:rsidP="003F48B8">
      <w:pPr>
        <w:pStyle w:val="Clear"/>
        <w:ind w:firstLine="720"/>
      </w:pPr>
    </w:p>
    <w:p w:rsidR="00947D2D" w:rsidRDefault="00947D2D" w:rsidP="003F48B8">
      <w:pPr>
        <w:pStyle w:val="Clear"/>
        <w:ind w:firstLine="720"/>
      </w:pPr>
      <w:r>
        <w:t>Total costs per respondent, annualized over a three year period, are:</w:t>
      </w:r>
    </w:p>
    <w:p w:rsidR="00CA58D4" w:rsidRDefault="00CA58D4" w:rsidP="003F48B8">
      <w:pPr>
        <w:pStyle w:val="Clear"/>
        <w:ind w:firstLine="720"/>
      </w:pPr>
    </w:p>
    <w:p w:rsidR="008C40B3" w:rsidRDefault="008C40B3" w:rsidP="003F48B8">
      <w:pPr>
        <w:pStyle w:val="Clear"/>
        <w:ind w:firstLine="720"/>
      </w:pPr>
      <w:r>
        <w:t>OBD scan tool for HD engines</w:t>
      </w:r>
      <w:r>
        <w:tab/>
      </w:r>
      <w:r w:rsidR="00947D2D">
        <w:tab/>
        <w:t>$</w:t>
      </w:r>
      <w:r w:rsidR="004E3EB8">
        <w:t>1,</w:t>
      </w:r>
      <w:r w:rsidR="00714A50">
        <w:t>500</w:t>
      </w:r>
      <w:r w:rsidR="004E3EB8">
        <w:t xml:space="preserve">  </w:t>
      </w:r>
    </w:p>
    <w:p w:rsidR="00947D2D" w:rsidRDefault="00947D2D" w:rsidP="003F48B8">
      <w:pPr>
        <w:pStyle w:val="Clear"/>
        <w:ind w:firstLine="720"/>
      </w:pPr>
      <w:r>
        <w:t>Software updates for new models</w:t>
      </w:r>
      <w:r>
        <w:tab/>
      </w:r>
      <w:r>
        <w:tab/>
        <w:t>$183</w:t>
      </w:r>
    </w:p>
    <w:p w:rsidR="00714A50" w:rsidRDefault="00714A50" w:rsidP="003F48B8">
      <w:pPr>
        <w:pStyle w:val="Clear"/>
        <w:ind w:firstLine="720"/>
      </w:pPr>
    </w:p>
    <w:p w:rsidR="003F48B8" w:rsidRDefault="003F48B8" w:rsidP="003F48B8">
      <w:pPr>
        <w:pStyle w:val="Heading2"/>
        <w:tabs>
          <w:tab w:val="left" w:pos="1080"/>
        </w:tabs>
        <w:ind w:left="360"/>
        <w:rPr>
          <w:rFonts w:cs="Times New Roman"/>
          <w:bCs w:val="0"/>
          <w:iCs w:val="0"/>
          <w:szCs w:val="24"/>
          <w:u w:val="none"/>
          <w:lang w:val="en-CA"/>
        </w:rPr>
      </w:pPr>
    </w:p>
    <w:p w:rsidR="003F48B8" w:rsidRPr="003F48B8" w:rsidRDefault="003F48B8" w:rsidP="003F48B8">
      <w:pPr>
        <w:rPr>
          <w:lang w:val="en-CA"/>
        </w:rPr>
      </w:pPr>
    </w:p>
    <w:p w:rsidR="003F48B8" w:rsidRPr="00495BC6" w:rsidRDefault="003F48B8" w:rsidP="00495BC6">
      <w:pPr>
        <w:pStyle w:val="Heading2"/>
        <w:tabs>
          <w:tab w:val="left" w:pos="1080"/>
        </w:tabs>
        <w:ind w:firstLine="720"/>
        <w:rPr>
          <w:i/>
          <w:u w:val="none"/>
        </w:rPr>
      </w:pPr>
      <w:proofErr w:type="gramStart"/>
      <w:r w:rsidRPr="00495BC6">
        <w:rPr>
          <w:i/>
          <w:u w:val="none"/>
        </w:rPr>
        <w:t>(iv)</w:t>
      </w:r>
      <w:r w:rsidR="00495BC6">
        <w:rPr>
          <w:i/>
          <w:u w:val="none"/>
        </w:rPr>
        <w:t xml:space="preserve"> </w:t>
      </w:r>
      <w:r w:rsidRPr="00495BC6">
        <w:rPr>
          <w:i/>
          <w:u w:val="none"/>
        </w:rPr>
        <w:t xml:space="preserve"> Annualizing</w:t>
      </w:r>
      <w:proofErr w:type="gramEnd"/>
      <w:r w:rsidRPr="00495BC6">
        <w:rPr>
          <w:i/>
          <w:u w:val="none"/>
        </w:rPr>
        <w:t xml:space="preserve"> capital costs</w:t>
      </w:r>
    </w:p>
    <w:p w:rsidR="003F48B8" w:rsidRPr="000C7B26" w:rsidRDefault="003F48B8" w:rsidP="003F48B8">
      <w:pPr>
        <w:pStyle w:val="Clear"/>
      </w:pPr>
    </w:p>
    <w:p w:rsidR="003F48B8" w:rsidRDefault="00947D2D" w:rsidP="003F48B8">
      <w:pPr>
        <w:pStyle w:val="Clear"/>
        <w:ind w:firstLine="720"/>
      </w:pPr>
      <w:r>
        <w:t>EPA has used the period covered by this ICR to annualize the cost of the OBD scan tool and software updates.</w:t>
      </w:r>
    </w:p>
    <w:p w:rsidR="00947D2D" w:rsidRPr="000C7B26" w:rsidRDefault="00947D2D" w:rsidP="003F48B8">
      <w:pPr>
        <w:pStyle w:val="Clear"/>
        <w:ind w:firstLine="720"/>
      </w:pPr>
    </w:p>
    <w:p w:rsidR="00AA3A53" w:rsidRDefault="00395732" w:rsidP="00692526">
      <w:r>
        <w:t xml:space="preserve"> </w:t>
      </w:r>
    </w:p>
    <w:p w:rsidR="00AA3A53" w:rsidRDefault="00AA3A53" w:rsidP="00692526"/>
    <w:p w:rsidR="00832233" w:rsidRPr="005379F3" w:rsidRDefault="009E5724" w:rsidP="00692526">
      <w:pPr>
        <w:rPr>
          <w:spacing w:val="6"/>
        </w:rPr>
      </w:pPr>
      <w:r w:rsidRPr="00495BC6">
        <w:rPr>
          <w:spacing w:val="6"/>
        </w:rPr>
        <w:t xml:space="preserve">6(c) </w:t>
      </w:r>
      <w:r w:rsidR="00832233" w:rsidRPr="00495BC6">
        <w:rPr>
          <w:spacing w:val="6"/>
          <w:u w:val="single"/>
        </w:rPr>
        <w:t>Estimating Agency Burden</w:t>
      </w:r>
    </w:p>
    <w:p w:rsidR="002B3C48" w:rsidRPr="00A85452" w:rsidRDefault="002B3C48" w:rsidP="002B3C48">
      <w:pPr>
        <w:numPr>
          <w:ilvl w:val="12"/>
          <w:numId w:val="0"/>
        </w:numPr>
      </w:pPr>
    </w:p>
    <w:p w:rsidR="00F237B1" w:rsidRPr="00F237B1" w:rsidRDefault="002B3C48" w:rsidP="00F237B1">
      <w:pPr>
        <w:numPr>
          <w:ilvl w:val="12"/>
          <w:numId w:val="0"/>
        </w:numPr>
        <w:rPr>
          <w:u w:val="single"/>
        </w:rPr>
      </w:pPr>
      <w:r w:rsidRPr="00A85452">
        <w:tab/>
      </w:r>
      <w:r w:rsidRPr="0009182D">
        <w:t xml:space="preserve">Table </w:t>
      </w:r>
      <w:r w:rsidR="002A6B3A">
        <w:t>5</w:t>
      </w:r>
      <w:r w:rsidRPr="0009182D">
        <w:t xml:space="preserve"> summarize</w:t>
      </w:r>
      <w:r>
        <w:t>s</w:t>
      </w:r>
      <w:r w:rsidRPr="0009182D">
        <w:t xml:space="preserve"> EPA</w:t>
      </w:r>
      <w:r>
        <w:t>'</w:t>
      </w:r>
      <w:r w:rsidRPr="0009182D">
        <w:t>s overall</w:t>
      </w:r>
      <w:r>
        <w:t xml:space="preserve"> additional</w:t>
      </w:r>
      <w:r w:rsidRPr="0009182D">
        <w:t xml:space="preserve"> burden associated with th</w:t>
      </w:r>
      <w:r>
        <w:t>e rule</w:t>
      </w:r>
      <w:r w:rsidRPr="0009182D">
        <w:t>.</w:t>
      </w:r>
      <w:r>
        <w:t xml:space="preserve">  </w:t>
      </w:r>
      <w:r w:rsidRPr="00A85452">
        <w:t xml:space="preserve">Table </w:t>
      </w:r>
      <w:r w:rsidR="002A6B3A">
        <w:t>6</w:t>
      </w:r>
      <w:r w:rsidRPr="00A85452">
        <w:t xml:space="preserve"> </w:t>
      </w:r>
      <w:r>
        <w:t xml:space="preserve">below </w:t>
      </w:r>
      <w:r w:rsidRPr="00A85452">
        <w:t>summarizes EPA</w:t>
      </w:r>
      <w:r>
        <w:t>'</w:t>
      </w:r>
      <w:r w:rsidRPr="00A85452">
        <w:t xml:space="preserve">s labor.  These costs are based on </w:t>
      </w:r>
      <w:r>
        <w:t>2010</w:t>
      </w:r>
      <w:r w:rsidRPr="00A85452">
        <w:t xml:space="preserve"> hourly wage rates obtained from the Office of Personnel Management and adjusted by a factor of 1.6 to account for benefits and overhead.</w:t>
      </w:r>
      <w:r w:rsidR="00F237B1">
        <w:t xml:space="preserve"> </w:t>
      </w:r>
    </w:p>
    <w:p w:rsidR="002B3C48" w:rsidRDefault="002B3C48" w:rsidP="002B3C48">
      <w:pPr>
        <w:numPr>
          <w:ilvl w:val="12"/>
          <w:numId w:val="0"/>
        </w:numPr>
      </w:pPr>
    </w:p>
    <w:p w:rsidR="002B3C48" w:rsidRDefault="002B3C48" w:rsidP="002B3C48">
      <w:pPr>
        <w:numPr>
          <w:ilvl w:val="12"/>
          <w:numId w:val="0"/>
        </w:numPr>
      </w:pPr>
    </w:p>
    <w:p w:rsidR="002B3C48" w:rsidRPr="002B3C48" w:rsidRDefault="002B3C48" w:rsidP="002B3C48">
      <w:pPr>
        <w:keepNext/>
        <w:keepLines/>
        <w:numPr>
          <w:ilvl w:val="12"/>
          <w:numId w:val="0"/>
        </w:numPr>
        <w:jc w:val="center"/>
        <w:rPr>
          <w:b/>
          <w:bCs/>
        </w:rPr>
      </w:pPr>
      <w:r w:rsidRPr="00A85452">
        <w:rPr>
          <w:b/>
          <w:bCs/>
        </w:rPr>
        <w:t xml:space="preserve">Table </w:t>
      </w:r>
      <w:r w:rsidR="002A6B3A">
        <w:rPr>
          <w:b/>
          <w:bCs/>
        </w:rPr>
        <w:t>6</w:t>
      </w:r>
      <w:r>
        <w:rPr>
          <w:b/>
          <w:bCs/>
        </w:rPr>
        <w:br/>
      </w:r>
      <w:r w:rsidRPr="00A85452">
        <w:rPr>
          <w:b/>
          <w:bCs/>
        </w:rPr>
        <w:t>Agency Labor Costs</w:t>
      </w:r>
    </w:p>
    <w:p w:rsidR="002B3C48" w:rsidRDefault="002B3C48" w:rsidP="002B3C48">
      <w:pPr>
        <w:numPr>
          <w:ilvl w:val="12"/>
          <w:numId w:val="0"/>
        </w:numPr>
      </w:pPr>
    </w:p>
    <w:tbl>
      <w:tblPr>
        <w:tblW w:w="6620" w:type="dxa"/>
        <w:jc w:val="center"/>
        <w:tblLook w:val="0000"/>
      </w:tblPr>
      <w:tblGrid>
        <w:gridCol w:w="3040"/>
        <w:gridCol w:w="1230"/>
        <w:gridCol w:w="2350"/>
      </w:tblGrid>
      <w:tr w:rsidR="002B3C48" w:rsidRPr="002B3C48" w:rsidTr="00F237B1">
        <w:trPr>
          <w:trHeight w:val="510"/>
          <w:jc w:val="center"/>
        </w:trPr>
        <w:tc>
          <w:tcPr>
            <w:tcW w:w="3040" w:type="dxa"/>
            <w:tcBorders>
              <w:top w:val="single" w:sz="4" w:space="0" w:color="auto"/>
              <w:left w:val="single" w:sz="4" w:space="0" w:color="auto"/>
              <w:bottom w:val="single" w:sz="4" w:space="0" w:color="auto"/>
              <w:right w:val="single" w:sz="4" w:space="0" w:color="auto"/>
            </w:tcBorders>
            <w:shd w:val="clear" w:color="auto" w:fill="C0C0C0"/>
          </w:tcPr>
          <w:p w:rsidR="002B3C48" w:rsidRPr="002B3C48" w:rsidRDefault="002B3C48" w:rsidP="002B3C48">
            <w:pPr>
              <w:widowControl/>
              <w:autoSpaceDE/>
              <w:autoSpaceDN/>
              <w:jc w:val="center"/>
              <w:rPr>
                <w:rFonts w:ascii="Arial" w:hAnsi="Arial" w:cs="Arial"/>
                <w:b/>
                <w:bCs/>
                <w:sz w:val="20"/>
                <w:szCs w:val="20"/>
              </w:rPr>
            </w:pPr>
            <w:r w:rsidRPr="002B3C48">
              <w:rPr>
                <w:rFonts w:ascii="Arial" w:hAnsi="Arial" w:cs="Arial"/>
                <w:b/>
                <w:bCs/>
                <w:sz w:val="20"/>
                <w:szCs w:val="20"/>
              </w:rPr>
              <w:t>Occupation</w:t>
            </w:r>
          </w:p>
        </w:tc>
        <w:tc>
          <w:tcPr>
            <w:tcW w:w="1230" w:type="dxa"/>
            <w:tcBorders>
              <w:top w:val="single" w:sz="4" w:space="0" w:color="auto"/>
              <w:left w:val="nil"/>
              <w:bottom w:val="single" w:sz="4" w:space="0" w:color="auto"/>
              <w:right w:val="single" w:sz="4" w:space="0" w:color="auto"/>
            </w:tcBorders>
            <w:shd w:val="clear" w:color="auto" w:fill="C0C0C0"/>
          </w:tcPr>
          <w:p w:rsidR="002B3C48" w:rsidRPr="002B3C48" w:rsidRDefault="002B3C48" w:rsidP="002B3C48">
            <w:pPr>
              <w:widowControl/>
              <w:autoSpaceDE/>
              <w:autoSpaceDN/>
              <w:jc w:val="right"/>
              <w:rPr>
                <w:rFonts w:ascii="Arial" w:hAnsi="Arial" w:cs="Arial"/>
                <w:b/>
                <w:bCs/>
                <w:sz w:val="20"/>
                <w:szCs w:val="20"/>
              </w:rPr>
            </w:pPr>
            <w:r w:rsidRPr="002B3C48">
              <w:rPr>
                <w:rFonts w:ascii="Arial" w:hAnsi="Arial" w:cs="Arial"/>
                <w:b/>
                <w:bCs/>
                <w:sz w:val="20"/>
                <w:szCs w:val="20"/>
              </w:rPr>
              <w:t>Hourly Rate</w:t>
            </w:r>
          </w:p>
        </w:tc>
        <w:tc>
          <w:tcPr>
            <w:tcW w:w="2350" w:type="dxa"/>
            <w:tcBorders>
              <w:top w:val="single" w:sz="4" w:space="0" w:color="auto"/>
              <w:left w:val="nil"/>
              <w:bottom w:val="single" w:sz="4" w:space="0" w:color="auto"/>
              <w:right w:val="single" w:sz="4" w:space="0" w:color="auto"/>
            </w:tcBorders>
            <w:shd w:val="clear" w:color="auto" w:fill="C0C0C0"/>
          </w:tcPr>
          <w:p w:rsidR="002B3C48" w:rsidRPr="002B3C48" w:rsidRDefault="002B3C48" w:rsidP="002B3C48">
            <w:pPr>
              <w:widowControl/>
              <w:autoSpaceDE/>
              <w:autoSpaceDN/>
              <w:jc w:val="right"/>
              <w:rPr>
                <w:rFonts w:ascii="Arial" w:hAnsi="Arial" w:cs="Arial"/>
                <w:b/>
                <w:bCs/>
                <w:sz w:val="20"/>
                <w:szCs w:val="20"/>
              </w:rPr>
            </w:pPr>
            <w:r w:rsidRPr="002B3C48">
              <w:rPr>
                <w:rFonts w:ascii="Arial" w:hAnsi="Arial" w:cs="Arial"/>
                <w:b/>
                <w:bCs/>
                <w:sz w:val="20"/>
                <w:szCs w:val="20"/>
              </w:rPr>
              <w:t>160%</w:t>
            </w:r>
          </w:p>
        </w:tc>
      </w:tr>
      <w:tr w:rsidR="002B3C48" w:rsidRPr="002B3C48" w:rsidTr="00F237B1">
        <w:trPr>
          <w:trHeight w:val="255"/>
          <w:jc w:val="center"/>
        </w:trPr>
        <w:tc>
          <w:tcPr>
            <w:tcW w:w="3040" w:type="dxa"/>
            <w:tcBorders>
              <w:top w:val="nil"/>
              <w:left w:val="single" w:sz="4" w:space="0" w:color="auto"/>
              <w:bottom w:val="single" w:sz="4" w:space="0" w:color="auto"/>
              <w:right w:val="single" w:sz="4" w:space="0" w:color="auto"/>
            </w:tcBorders>
            <w:shd w:val="clear" w:color="auto" w:fill="auto"/>
          </w:tcPr>
          <w:p w:rsidR="002B3C48" w:rsidRPr="002B3C48" w:rsidRDefault="002B3C48" w:rsidP="002B3C48">
            <w:pPr>
              <w:widowControl/>
              <w:autoSpaceDE/>
              <w:autoSpaceDN/>
              <w:rPr>
                <w:rFonts w:ascii="Arial" w:hAnsi="Arial" w:cs="Arial"/>
                <w:sz w:val="20"/>
                <w:szCs w:val="20"/>
              </w:rPr>
            </w:pPr>
            <w:r w:rsidRPr="002B3C48">
              <w:rPr>
                <w:rFonts w:ascii="Arial" w:hAnsi="Arial" w:cs="Arial"/>
                <w:sz w:val="20"/>
                <w:szCs w:val="20"/>
              </w:rPr>
              <w:lastRenderedPageBreak/>
              <w:t>Engineer (GS-13/10)</w:t>
            </w:r>
          </w:p>
        </w:tc>
        <w:tc>
          <w:tcPr>
            <w:tcW w:w="1230" w:type="dxa"/>
            <w:tcBorders>
              <w:top w:val="nil"/>
              <w:left w:val="nil"/>
              <w:bottom w:val="single" w:sz="4" w:space="0" w:color="auto"/>
              <w:right w:val="single" w:sz="4" w:space="0" w:color="auto"/>
            </w:tcBorders>
            <w:shd w:val="clear" w:color="auto" w:fill="auto"/>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 xml:space="preserve">$55.46 </w:t>
            </w:r>
          </w:p>
        </w:tc>
        <w:tc>
          <w:tcPr>
            <w:tcW w:w="2350" w:type="dxa"/>
            <w:tcBorders>
              <w:top w:val="nil"/>
              <w:left w:val="nil"/>
              <w:bottom w:val="single" w:sz="4" w:space="0" w:color="auto"/>
              <w:right w:val="single" w:sz="4" w:space="0" w:color="auto"/>
            </w:tcBorders>
            <w:shd w:val="clear" w:color="auto" w:fill="auto"/>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 xml:space="preserve">$88.74 </w:t>
            </w:r>
          </w:p>
        </w:tc>
      </w:tr>
      <w:tr w:rsidR="002B3C48" w:rsidRPr="002B3C48" w:rsidTr="00F237B1">
        <w:trPr>
          <w:trHeight w:val="255"/>
          <w:jc w:val="center"/>
        </w:trPr>
        <w:tc>
          <w:tcPr>
            <w:tcW w:w="3040" w:type="dxa"/>
            <w:tcBorders>
              <w:top w:val="nil"/>
              <w:left w:val="single" w:sz="4" w:space="0" w:color="auto"/>
              <w:bottom w:val="single" w:sz="4" w:space="0" w:color="auto"/>
              <w:right w:val="single" w:sz="4" w:space="0" w:color="auto"/>
            </w:tcBorders>
            <w:shd w:val="clear" w:color="auto" w:fill="auto"/>
          </w:tcPr>
          <w:p w:rsidR="002B3C48" w:rsidRPr="002B3C48" w:rsidRDefault="002B3C48" w:rsidP="002B3C48">
            <w:pPr>
              <w:widowControl/>
              <w:autoSpaceDE/>
              <w:autoSpaceDN/>
              <w:rPr>
                <w:rFonts w:ascii="Arial" w:hAnsi="Arial" w:cs="Arial"/>
                <w:sz w:val="20"/>
                <w:szCs w:val="20"/>
              </w:rPr>
            </w:pPr>
            <w:r w:rsidRPr="002B3C48">
              <w:rPr>
                <w:rFonts w:ascii="Arial" w:hAnsi="Arial" w:cs="Arial"/>
                <w:sz w:val="20"/>
                <w:szCs w:val="20"/>
              </w:rPr>
              <w:t>Lawyers (GS-13/10)</w:t>
            </w:r>
          </w:p>
        </w:tc>
        <w:tc>
          <w:tcPr>
            <w:tcW w:w="1230" w:type="dxa"/>
            <w:tcBorders>
              <w:top w:val="nil"/>
              <w:left w:val="nil"/>
              <w:bottom w:val="single" w:sz="4" w:space="0" w:color="auto"/>
              <w:right w:val="single" w:sz="4" w:space="0" w:color="auto"/>
            </w:tcBorders>
            <w:shd w:val="clear" w:color="auto" w:fill="auto"/>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 xml:space="preserve">$55.46 </w:t>
            </w:r>
          </w:p>
        </w:tc>
        <w:tc>
          <w:tcPr>
            <w:tcW w:w="2350" w:type="dxa"/>
            <w:tcBorders>
              <w:top w:val="nil"/>
              <w:left w:val="nil"/>
              <w:bottom w:val="single" w:sz="4" w:space="0" w:color="auto"/>
              <w:right w:val="single" w:sz="4" w:space="0" w:color="auto"/>
            </w:tcBorders>
            <w:shd w:val="clear" w:color="auto" w:fill="auto"/>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 xml:space="preserve">$88.74 </w:t>
            </w:r>
          </w:p>
        </w:tc>
      </w:tr>
      <w:tr w:rsidR="002B3C48" w:rsidRPr="002B3C48" w:rsidTr="00F237B1">
        <w:trPr>
          <w:trHeight w:val="255"/>
          <w:jc w:val="center"/>
        </w:trPr>
        <w:tc>
          <w:tcPr>
            <w:tcW w:w="3040" w:type="dxa"/>
            <w:tcBorders>
              <w:top w:val="nil"/>
              <w:left w:val="single" w:sz="4" w:space="0" w:color="auto"/>
              <w:bottom w:val="single" w:sz="4" w:space="0" w:color="auto"/>
              <w:right w:val="single" w:sz="4" w:space="0" w:color="auto"/>
            </w:tcBorders>
            <w:shd w:val="clear" w:color="auto" w:fill="auto"/>
          </w:tcPr>
          <w:p w:rsidR="002B3C48" w:rsidRPr="002B3C48" w:rsidRDefault="002B3C48" w:rsidP="002B3C48">
            <w:pPr>
              <w:widowControl/>
              <w:autoSpaceDE/>
              <w:autoSpaceDN/>
              <w:rPr>
                <w:rFonts w:ascii="Arial" w:hAnsi="Arial" w:cs="Arial"/>
                <w:sz w:val="20"/>
                <w:szCs w:val="20"/>
              </w:rPr>
            </w:pPr>
            <w:r w:rsidRPr="002B3C48">
              <w:rPr>
                <w:rFonts w:ascii="Arial" w:hAnsi="Arial" w:cs="Arial"/>
                <w:sz w:val="20"/>
                <w:szCs w:val="20"/>
              </w:rPr>
              <w:t>Managers (GS-15)</w:t>
            </w:r>
          </w:p>
        </w:tc>
        <w:tc>
          <w:tcPr>
            <w:tcW w:w="1230" w:type="dxa"/>
            <w:tcBorders>
              <w:top w:val="nil"/>
              <w:left w:val="nil"/>
              <w:bottom w:val="single" w:sz="4" w:space="0" w:color="auto"/>
              <w:right w:val="single" w:sz="4" w:space="0" w:color="auto"/>
            </w:tcBorders>
            <w:shd w:val="clear" w:color="auto" w:fill="auto"/>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 xml:space="preserve">$65.23 </w:t>
            </w:r>
          </w:p>
        </w:tc>
        <w:tc>
          <w:tcPr>
            <w:tcW w:w="2350" w:type="dxa"/>
            <w:tcBorders>
              <w:top w:val="nil"/>
              <w:left w:val="nil"/>
              <w:bottom w:val="single" w:sz="4" w:space="0" w:color="auto"/>
              <w:right w:val="single" w:sz="4" w:space="0" w:color="auto"/>
            </w:tcBorders>
            <w:shd w:val="clear" w:color="auto" w:fill="auto"/>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 xml:space="preserve">$104.37 </w:t>
            </w:r>
          </w:p>
        </w:tc>
      </w:tr>
      <w:tr w:rsidR="002B3C48" w:rsidRPr="002B3C48" w:rsidTr="00F237B1">
        <w:trPr>
          <w:trHeight w:val="255"/>
          <w:jc w:val="center"/>
        </w:trPr>
        <w:tc>
          <w:tcPr>
            <w:tcW w:w="3040" w:type="dxa"/>
            <w:tcBorders>
              <w:top w:val="nil"/>
              <w:left w:val="single" w:sz="4" w:space="0" w:color="auto"/>
              <w:bottom w:val="single" w:sz="4" w:space="0" w:color="auto"/>
              <w:right w:val="single" w:sz="4" w:space="0" w:color="auto"/>
            </w:tcBorders>
            <w:shd w:val="clear" w:color="auto" w:fill="auto"/>
          </w:tcPr>
          <w:p w:rsidR="002B3C48" w:rsidRPr="002B3C48" w:rsidRDefault="002B3C48" w:rsidP="002B3C48">
            <w:pPr>
              <w:widowControl/>
              <w:autoSpaceDE/>
              <w:autoSpaceDN/>
              <w:rPr>
                <w:rFonts w:ascii="Arial" w:hAnsi="Arial" w:cs="Arial"/>
                <w:sz w:val="20"/>
                <w:szCs w:val="20"/>
              </w:rPr>
            </w:pPr>
            <w:r w:rsidRPr="002B3C48">
              <w:rPr>
                <w:rFonts w:ascii="Arial" w:hAnsi="Arial" w:cs="Arial"/>
                <w:sz w:val="20"/>
                <w:szCs w:val="20"/>
              </w:rPr>
              <w:t>SES-1</w:t>
            </w:r>
          </w:p>
        </w:tc>
        <w:tc>
          <w:tcPr>
            <w:tcW w:w="1230" w:type="dxa"/>
            <w:tcBorders>
              <w:top w:val="nil"/>
              <w:left w:val="nil"/>
              <w:bottom w:val="single" w:sz="4" w:space="0" w:color="auto"/>
              <w:right w:val="single" w:sz="4" w:space="0" w:color="auto"/>
            </w:tcBorders>
            <w:shd w:val="clear" w:color="auto" w:fill="auto"/>
            <w:noWrap/>
            <w:vAlign w:val="bottom"/>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 xml:space="preserve">$99.00 </w:t>
            </w:r>
          </w:p>
        </w:tc>
        <w:tc>
          <w:tcPr>
            <w:tcW w:w="2350" w:type="dxa"/>
            <w:tcBorders>
              <w:top w:val="nil"/>
              <w:left w:val="nil"/>
              <w:bottom w:val="single" w:sz="4" w:space="0" w:color="auto"/>
              <w:right w:val="single" w:sz="4" w:space="0" w:color="auto"/>
            </w:tcBorders>
            <w:shd w:val="clear" w:color="auto" w:fill="auto"/>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 xml:space="preserve">$158.40 </w:t>
            </w:r>
          </w:p>
        </w:tc>
      </w:tr>
      <w:tr w:rsidR="002B3C48" w:rsidRPr="002B3C48" w:rsidTr="00F237B1">
        <w:trPr>
          <w:trHeight w:val="255"/>
          <w:jc w:val="center"/>
        </w:trPr>
        <w:tc>
          <w:tcPr>
            <w:tcW w:w="3040" w:type="dxa"/>
            <w:tcBorders>
              <w:top w:val="nil"/>
              <w:left w:val="single" w:sz="4" w:space="0" w:color="auto"/>
              <w:bottom w:val="single" w:sz="4" w:space="0" w:color="auto"/>
              <w:right w:val="single" w:sz="4" w:space="0" w:color="auto"/>
            </w:tcBorders>
            <w:shd w:val="clear" w:color="auto" w:fill="auto"/>
          </w:tcPr>
          <w:p w:rsidR="002B3C48" w:rsidRPr="002B3C48" w:rsidRDefault="00F237B1" w:rsidP="002B3C48">
            <w:pPr>
              <w:widowControl/>
              <w:autoSpaceDE/>
              <w:autoSpaceDN/>
              <w:rPr>
                <w:rFonts w:ascii="Arial" w:hAnsi="Arial" w:cs="Arial"/>
                <w:sz w:val="20"/>
                <w:szCs w:val="20"/>
              </w:rPr>
            </w:pPr>
            <w:r>
              <w:rPr>
                <w:rFonts w:ascii="Arial" w:hAnsi="Arial" w:cs="Arial"/>
                <w:sz w:val="20"/>
                <w:szCs w:val="20"/>
              </w:rPr>
              <w:t>Senior ( SEE Program</w:t>
            </w:r>
            <w:r w:rsidR="002B3C48" w:rsidRPr="002B3C48">
              <w:rPr>
                <w:rFonts w:ascii="Arial" w:hAnsi="Arial" w:cs="Arial"/>
                <w:sz w:val="20"/>
                <w:szCs w:val="20"/>
              </w:rPr>
              <w:t>)</w:t>
            </w:r>
          </w:p>
        </w:tc>
        <w:tc>
          <w:tcPr>
            <w:tcW w:w="1230" w:type="dxa"/>
            <w:tcBorders>
              <w:top w:val="nil"/>
              <w:left w:val="nil"/>
              <w:bottom w:val="single" w:sz="4" w:space="0" w:color="auto"/>
              <w:right w:val="single" w:sz="4" w:space="0" w:color="auto"/>
            </w:tcBorders>
            <w:shd w:val="clear" w:color="auto" w:fill="auto"/>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 xml:space="preserve">$13.81 </w:t>
            </w:r>
          </w:p>
        </w:tc>
        <w:tc>
          <w:tcPr>
            <w:tcW w:w="2350" w:type="dxa"/>
            <w:tcBorders>
              <w:top w:val="nil"/>
              <w:left w:val="nil"/>
              <w:bottom w:val="single" w:sz="4" w:space="0" w:color="auto"/>
              <w:right w:val="single" w:sz="4" w:space="0" w:color="auto"/>
            </w:tcBorders>
            <w:shd w:val="clear" w:color="auto" w:fill="auto"/>
          </w:tcPr>
          <w:p w:rsidR="002B3C48" w:rsidRPr="002B3C48" w:rsidRDefault="002B3C48" w:rsidP="002B3C48">
            <w:pPr>
              <w:widowControl/>
              <w:autoSpaceDE/>
              <w:autoSpaceDN/>
              <w:jc w:val="right"/>
              <w:rPr>
                <w:rFonts w:ascii="Arial" w:hAnsi="Arial" w:cs="Arial"/>
                <w:sz w:val="20"/>
                <w:szCs w:val="20"/>
              </w:rPr>
            </w:pPr>
            <w:r w:rsidRPr="002B3C48">
              <w:rPr>
                <w:rFonts w:ascii="Arial" w:hAnsi="Arial" w:cs="Arial"/>
                <w:sz w:val="20"/>
                <w:szCs w:val="20"/>
              </w:rPr>
              <w:t>$20.72</w:t>
            </w:r>
            <w:r w:rsidR="00F237B1">
              <w:rPr>
                <w:rFonts w:ascii="Arial" w:hAnsi="Arial" w:cs="Arial"/>
                <w:sz w:val="20"/>
                <w:szCs w:val="20"/>
              </w:rPr>
              <w:t xml:space="preserve"> (see text below)</w:t>
            </w:r>
            <w:r w:rsidRPr="002B3C48">
              <w:rPr>
                <w:rFonts w:ascii="Arial" w:hAnsi="Arial" w:cs="Arial"/>
                <w:sz w:val="20"/>
                <w:szCs w:val="20"/>
              </w:rPr>
              <w:t xml:space="preserve"> </w:t>
            </w:r>
          </w:p>
        </w:tc>
      </w:tr>
    </w:tbl>
    <w:p w:rsidR="002B3C48" w:rsidRDefault="002B3C48" w:rsidP="002B3C48">
      <w:pPr>
        <w:numPr>
          <w:ilvl w:val="12"/>
          <w:numId w:val="0"/>
        </w:numPr>
      </w:pPr>
    </w:p>
    <w:p w:rsidR="00F237B1" w:rsidRPr="00A85452" w:rsidRDefault="00F237B1" w:rsidP="002B3C48">
      <w:pPr>
        <w:numPr>
          <w:ilvl w:val="12"/>
          <w:numId w:val="0"/>
        </w:numPr>
      </w:pPr>
    </w:p>
    <w:p w:rsidR="002B3C48" w:rsidRPr="00A85452" w:rsidRDefault="00F237B1" w:rsidP="00F237B1">
      <w:pPr>
        <w:numPr>
          <w:ilvl w:val="12"/>
          <w:numId w:val="0"/>
        </w:numPr>
        <w:ind w:firstLine="720"/>
      </w:pPr>
      <w:r w:rsidRPr="00F237B1">
        <w:t>The salary of a senior from the Senior Environmental Employment (SEE) Program for clerical support is $13.81 per hour plus approximately 150% increase for benefits, for a total of $20.72.  EPA also pays $2,151.83 as an administrative fee to the Senior Services America, Inc., the organization from which EPA’s SEE Employees are obtained. These data were obtained from HDNEG’s financial officer.</w:t>
      </w:r>
    </w:p>
    <w:p w:rsidR="00D17C9A" w:rsidRPr="00F237B1" w:rsidRDefault="00D17C9A" w:rsidP="007146CE">
      <w:pPr>
        <w:pStyle w:val="Style6"/>
        <w:jc w:val="left"/>
      </w:pPr>
    </w:p>
    <w:p w:rsidR="00F237B1" w:rsidRPr="007146CE" w:rsidRDefault="00F237B1" w:rsidP="007146CE">
      <w:pPr>
        <w:pStyle w:val="Style6"/>
        <w:jc w:val="left"/>
        <w:rPr>
          <w:spacing w:val="6"/>
        </w:rPr>
      </w:pPr>
    </w:p>
    <w:p w:rsidR="00832233" w:rsidRPr="005379F3" w:rsidRDefault="0013395B" w:rsidP="00692526">
      <w:pPr>
        <w:spacing w:line="264" w:lineRule="atLeast"/>
        <w:rPr>
          <w:spacing w:val="6"/>
        </w:rPr>
      </w:pPr>
      <w:r>
        <w:rPr>
          <w:spacing w:val="6"/>
        </w:rPr>
        <w:t>6(d)</w:t>
      </w:r>
      <w:r w:rsidR="009E5724" w:rsidRPr="009E5724">
        <w:rPr>
          <w:spacing w:val="6"/>
        </w:rPr>
        <w:t xml:space="preserve"> </w:t>
      </w:r>
      <w:r w:rsidR="00832233" w:rsidRPr="005379F3">
        <w:rPr>
          <w:spacing w:val="6"/>
          <w:u w:val="single"/>
        </w:rPr>
        <w:t>Estimating the Respondent Universe and Total Burden and Costs</w:t>
      </w:r>
    </w:p>
    <w:p w:rsidR="009437F7" w:rsidRDefault="009437F7" w:rsidP="009437F7">
      <w:pPr>
        <w:ind w:firstLine="720"/>
      </w:pPr>
    </w:p>
    <w:p w:rsidR="009437F7" w:rsidRDefault="009437F7" w:rsidP="009437F7">
      <w:pPr>
        <w:ind w:firstLine="720"/>
      </w:pPr>
      <w:r>
        <w:t>Interest in HD conversions has been low in the past.  In model year 2008, EPA received only seven applications for certification from a total of four converters; while in 2009, only three of those converters submitted one application each.  EPA understands that this is in part due to converters not submitting an application until they find a market for the engines. The amount of engines in a HD engine family is typically lower than the amount of engines in a LD test group.  Since the cost of certification is spread over a smaller pool of engines, it is more expensive to certify a HD family on a per engine basis.  This fact discourages many companies from seeking certification for heavy-duty products.</w:t>
      </w:r>
    </w:p>
    <w:p w:rsidR="009437F7" w:rsidRDefault="009437F7" w:rsidP="009437F7">
      <w:pPr>
        <w:ind w:firstLine="720"/>
      </w:pPr>
    </w:p>
    <w:p w:rsidR="009437F7" w:rsidRDefault="009437F7" w:rsidP="009437F7">
      <w:pPr>
        <w:ind w:firstLine="720"/>
      </w:pPr>
      <w:r>
        <w:t>Based on the experience of EPA certification reviewers, the Agency estimates that interest in heavy-duty conversions certification may double as a result of the rule. This is due to the ability to combine engine families into a larger group that could be certified as one family with only one emissions test.  EPA estimates that eight converters will seek certification for</w:t>
      </w:r>
      <w:r w:rsidR="00CE7C0A">
        <w:t xml:space="preserve"> 12 </w:t>
      </w:r>
      <w:r>
        <w:t>converted heavy-duty engine</w:t>
      </w:r>
      <w:r w:rsidR="00CE7C0A">
        <w:t xml:space="preserve"> families (under the new, expanded definition)</w:t>
      </w:r>
      <w:r>
        <w:t xml:space="preserve"> </w:t>
      </w:r>
      <w:r w:rsidR="006C256D">
        <w:t>in the</w:t>
      </w:r>
      <w:r>
        <w:t xml:space="preserve"> </w:t>
      </w:r>
      <w:r w:rsidR="006C256D">
        <w:t>rule.</w:t>
      </w:r>
    </w:p>
    <w:p w:rsidR="00260E9A" w:rsidRDefault="00260E9A" w:rsidP="009437F7">
      <w:pPr>
        <w:ind w:firstLine="720"/>
      </w:pPr>
    </w:p>
    <w:p w:rsidR="009437F7" w:rsidRDefault="00260E9A" w:rsidP="000B0129">
      <w:r>
        <w:tab/>
        <w:t>Since the process for demonstrating emission requirements differ depending on the age of the engines being converted, EPA has accounted for each stage separately.</w:t>
      </w:r>
    </w:p>
    <w:p w:rsidR="00260E9A" w:rsidRDefault="00260E9A" w:rsidP="000B0129"/>
    <w:p w:rsidR="00260E9A" w:rsidRPr="00260E9A" w:rsidRDefault="00453DE5" w:rsidP="00260E9A">
      <w:pPr>
        <w:numPr>
          <w:ilvl w:val="0"/>
          <w:numId w:val="23"/>
        </w:numPr>
        <w:rPr>
          <w:i/>
        </w:rPr>
      </w:pPr>
      <w:r>
        <w:rPr>
          <w:i/>
        </w:rPr>
        <w:t>New and Nearly New</w:t>
      </w:r>
      <w:r w:rsidR="002F02BB">
        <w:rPr>
          <w:i/>
        </w:rPr>
        <w:t xml:space="preserve"> Engine Conversions</w:t>
      </w:r>
    </w:p>
    <w:p w:rsidR="00260E9A" w:rsidRDefault="00260E9A" w:rsidP="00260E9A">
      <w:pPr>
        <w:ind w:left="720"/>
      </w:pPr>
    </w:p>
    <w:p w:rsidR="00260E9A" w:rsidRDefault="00260E9A" w:rsidP="002F02BB">
      <w:pPr>
        <w:ind w:firstLine="720"/>
      </w:pPr>
      <w:r>
        <w:t xml:space="preserve">Converters of </w:t>
      </w:r>
      <w:r w:rsidR="00453DE5">
        <w:t>new and nearly new</w:t>
      </w:r>
      <w:r>
        <w:t xml:space="preserve"> engines must seek full certification. There are three distinct costs these converters will incur. </w:t>
      </w:r>
    </w:p>
    <w:p w:rsidR="00260E9A" w:rsidRDefault="00260E9A" w:rsidP="002F02BB">
      <w:pPr>
        <w:ind w:firstLine="720"/>
      </w:pPr>
    </w:p>
    <w:p w:rsidR="00260E9A" w:rsidRDefault="00260E9A" w:rsidP="002F02BB">
      <w:pPr>
        <w:numPr>
          <w:ilvl w:val="1"/>
          <w:numId w:val="23"/>
        </w:numPr>
      </w:pPr>
      <w:r>
        <w:t xml:space="preserve">Exhaust emissions certification: Table </w:t>
      </w:r>
      <w:r w:rsidR="002A6B3A">
        <w:t>1</w:t>
      </w:r>
      <w:r>
        <w:t xml:space="preserve"> summarizes burden and costs for exhaust certification of these families.  </w:t>
      </w:r>
    </w:p>
    <w:p w:rsidR="00260E9A" w:rsidRDefault="00260E9A" w:rsidP="002F02BB">
      <w:pPr>
        <w:numPr>
          <w:ilvl w:val="1"/>
          <w:numId w:val="23"/>
        </w:numPr>
      </w:pPr>
      <w:r>
        <w:t xml:space="preserve">Evaporative emissions certification: Converters will also need to obtain a certificate of conformity with evaporative emission requirements.  Table </w:t>
      </w:r>
      <w:r w:rsidR="002A6B3A">
        <w:t>2</w:t>
      </w:r>
      <w:r>
        <w:t xml:space="preserve"> summarizes costs and burden associated with evaporative certification. </w:t>
      </w:r>
    </w:p>
    <w:p w:rsidR="00260E9A" w:rsidRDefault="004F7E64" w:rsidP="002F02BB">
      <w:pPr>
        <w:numPr>
          <w:ilvl w:val="1"/>
          <w:numId w:val="23"/>
        </w:numPr>
      </w:pPr>
      <w:r>
        <w:t>OBD compliance demonstration.</w:t>
      </w:r>
    </w:p>
    <w:p w:rsidR="00260E9A" w:rsidRDefault="00260E9A" w:rsidP="002F02BB">
      <w:pPr>
        <w:ind w:firstLine="720"/>
      </w:pPr>
    </w:p>
    <w:p w:rsidR="00260E9A" w:rsidRDefault="00260E9A" w:rsidP="00260E9A">
      <w:pPr>
        <w:ind w:firstLine="720"/>
      </w:pPr>
      <w:r>
        <w:lastRenderedPageBreak/>
        <w:t xml:space="preserve">Currently, alternative fuel converters are required to submit test data to demonstrate compliance with OBD regulations.  However, 40 CFR 86.010-18(o) provides exemptions for small volume and alternative fueled engines used in applications over 14,000 lbs.  All HD converters who have sought EPA certification in recent years have been able to claim one of these exemptions.  </w:t>
      </w:r>
    </w:p>
    <w:p w:rsidR="00260E9A" w:rsidRDefault="00260E9A" w:rsidP="00260E9A">
      <w:pPr>
        <w:ind w:firstLine="720"/>
      </w:pPr>
    </w:p>
    <w:p w:rsidR="00260E9A" w:rsidRDefault="00260E9A" w:rsidP="00260E9A">
      <w:pPr>
        <w:ind w:firstLine="720"/>
      </w:pPr>
      <w:r>
        <w:t xml:space="preserve">In an effort to also reduce costs for those HD manufacturers who are not able to claim this exemption, EPA is accepting approval issued by either the California Air </w:t>
      </w:r>
      <w:r w:rsidRPr="005C7EE5">
        <w:t xml:space="preserve">Resource Board (CARB) or the EPA Light-duty (LD) Certification </w:t>
      </w:r>
      <w:r w:rsidR="004F7E64">
        <w:t>Program</w:t>
      </w:r>
      <w:r w:rsidRPr="005C7EE5">
        <w:t xml:space="preserve"> as proof of compliance</w:t>
      </w:r>
      <w:r w:rsidR="004F7E64">
        <w:t xml:space="preserve">. </w:t>
      </w:r>
      <w:r w:rsidRPr="005C7EE5">
        <w:rPr>
          <w:rFonts w:eastAsia="Batang"/>
          <w:b/>
          <w:bCs/>
          <w:color w:val="000000"/>
          <w:lang w:eastAsia="ko-KR"/>
        </w:rPr>
        <w:t xml:space="preserve"> </w:t>
      </w:r>
      <w:r w:rsidRPr="005C7EE5">
        <w:rPr>
          <w:rFonts w:eastAsia="Batang"/>
          <w:bCs/>
          <w:color w:val="000000"/>
          <w:lang w:eastAsia="ko-KR"/>
        </w:rPr>
        <w:t>Manufacturers must demonstrate how the OBD system they have designed to comply with California OBD requirements also complies with the intent of federal requirements</w:t>
      </w:r>
      <w:r w:rsidRPr="005C7EE5">
        <w:t>.</w:t>
      </w:r>
      <w:r>
        <w:t xml:space="preserve">  So far, HD manufacturers have been able to either claim the exemption or submit approval from CARB or the LD Team.</w:t>
      </w:r>
      <w:r w:rsidRPr="005F7B9B">
        <w:t xml:space="preserve"> </w:t>
      </w:r>
      <w:r>
        <w:t xml:space="preserve">Therefore, EPA does not have historical data to use as basis for OBD demonstrations specifically related to HD conversions. </w:t>
      </w:r>
    </w:p>
    <w:p w:rsidR="00260E9A" w:rsidRDefault="00260E9A" w:rsidP="00260E9A">
      <w:pPr>
        <w:ind w:firstLine="720"/>
      </w:pPr>
    </w:p>
    <w:p w:rsidR="004F7E64" w:rsidRDefault="00260E9A" w:rsidP="00260E9A">
      <w:pPr>
        <w:ind w:firstLine="720"/>
      </w:pPr>
      <w:r>
        <w:t xml:space="preserve"> </w:t>
      </w:r>
      <w:r w:rsidR="004F7E64">
        <w:t xml:space="preserve">Based on past experience with both HD engine and </w:t>
      </w:r>
      <w:proofErr w:type="spellStart"/>
      <w:r w:rsidR="004F7E64">
        <w:t>conver</w:t>
      </w:r>
      <w:r w:rsidR="00453DE5">
        <w:t>rsion</w:t>
      </w:r>
      <w:proofErr w:type="spellEnd"/>
      <w:r w:rsidR="004F7E64">
        <w:t xml:space="preserve"> engine certification, EPA estimates that all converters will be able to </w:t>
      </w:r>
      <w:r w:rsidR="001457C4">
        <w:t xml:space="preserve">use one the provisions described above to avoid the cost of HD OBD compliance through the period covered by this ICR.  The cost of </w:t>
      </w:r>
      <w:r w:rsidR="004F7E64">
        <w:t>LD</w:t>
      </w:r>
      <w:r w:rsidR="001457C4">
        <w:t xml:space="preserve"> OBD compliance demonstration is already accounted for in ICR series 783.</w:t>
      </w:r>
    </w:p>
    <w:p w:rsidR="001457C4" w:rsidRDefault="001457C4" w:rsidP="00260E9A">
      <w:pPr>
        <w:ind w:firstLine="720"/>
      </w:pPr>
    </w:p>
    <w:p w:rsidR="00260E9A" w:rsidRDefault="001457C4" w:rsidP="00260E9A">
      <w:pPr>
        <w:ind w:firstLine="720"/>
      </w:pPr>
      <w:r>
        <w:t>If we needed to account for these costs now</w:t>
      </w:r>
      <w:r w:rsidR="00260E9A">
        <w:t xml:space="preserve">, EPA considers it appropriate to adopt </w:t>
      </w:r>
      <w:r w:rsidR="007D4347">
        <w:t>for HD</w:t>
      </w:r>
      <w:r>
        <w:t xml:space="preserve"> the estimates developed by the </w:t>
      </w:r>
      <w:r w:rsidR="004F7E64">
        <w:t xml:space="preserve">LD </w:t>
      </w:r>
      <w:r>
        <w:t xml:space="preserve">program described in </w:t>
      </w:r>
      <w:r w:rsidR="004F7E64">
        <w:t>ICR 783.55</w:t>
      </w:r>
      <w:r>
        <w:t xml:space="preserve">: </w:t>
      </w:r>
      <w:r w:rsidR="00260E9A">
        <w:t>$26,317.</w:t>
      </w:r>
    </w:p>
    <w:p w:rsidR="00260E9A" w:rsidRDefault="00260E9A" w:rsidP="00260E9A">
      <w:pPr>
        <w:ind w:left="720"/>
      </w:pPr>
    </w:p>
    <w:p w:rsidR="00260E9A" w:rsidRDefault="00260E9A" w:rsidP="000B0129"/>
    <w:p w:rsidR="00260E9A" w:rsidRPr="002F02BB" w:rsidRDefault="001457C4" w:rsidP="000F463C">
      <w:pPr>
        <w:numPr>
          <w:ilvl w:val="0"/>
          <w:numId w:val="23"/>
        </w:numPr>
        <w:rPr>
          <w:i/>
        </w:rPr>
      </w:pPr>
      <w:r w:rsidRPr="002F02BB">
        <w:rPr>
          <w:i/>
        </w:rPr>
        <w:t>Intermediate age</w:t>
      </w:r>
      <w:r w:rsidR="002F02BB" w:rsidRPr="002F02BB">
        <w:rPr>
          <w:i/>
        </w:rPr>
        <w:t xml:space="preserve"> Engine Conversions</w:t>
      </w:r>
    </w:p>
    <w:p w:rsidR="000F463C" w:rsidRDefault="000F463C" w:rsidP="000F463C"/>
    <w:p w:rsidR="000F463C" w:rsidRPr="002F02BB" w:rsidRDefault="000F463C" w:rsidP="002F02BB">
      <w:pPr>
        <w:ind w:firstLine="720"/>
      </w:pPr>
      <w:r w:rsidRPr="002F02BB">
        <w:t xml:space="preserve">Under the </w:t>
      </w:r>
      <w:r w:rsidR="00453DE5">
        <w:t>final</w:t>
      </w:r>
      <w:r w:rsidR="00453DE5" w:rsidRPr="002F02BB">
        <w:t xml:space="preserve"> </w:t>
      </w:r>
      <w:r w:rsidRPr="002F02BB">
        <w:t xml:space="preserve">rule, converters of intermediate age engines will be required to gather and submit all required data, including test data.  However, the rule does not require EPA to issue a certificate of conformity for intermediate age engines.  Instead, the Agency will collect the data and audit it from time to time.  </w:t>
      </w:r>
      <w:r w:rsidRPr="00B966BD">
        <w:t>In addition,</w:t>
      </w:r>
      <w:r w:rsidR="007D4347" w:rsidRPr="00B966BD">
        <w:t xml:space="preserve"> to demonstrate compliance with</w:t>
      </w:r>
      <w:r w:rsidRPr="00B966BD">
        <w:t xml:space="preserve"> OBD </w:t>
      </w:r>
      <w:r w:rsidR="007D4347" w:rsidRPr="00B966BD">
        <w:t xml:space="preserve">requirements, converters of </w:t>
      </w:r>
      <w:r w:rsidRPr="00B966BD">
        <w:t>intermediate</w:t>
      </w:r>
      <w:r w:rsidR="007D4347" w:rsidRPr="00B966BD">
        <w:t>-age</w:t>
      </w:r>
      <w:r w:rsidRPr="00B966BD">
        <w:t xml:space="preserve"> </w:t>
      </w:r>
      <w:r w:rsidR="007D4347" w:rsidRPr="00B966BD">
        <w:t xml:space="preserve">engines will need </w:t>
      </w:r>
      <w:r w:rsidR="00453DE5" w:rsidRPr="00B966BD">
        <w:t xml:space="preserve">to </w:t>
      </w:r>
      <w:r w:rsidR="007D4347" w:rsidRPr="00B966BD">
        <w:t xml:space="preserve">submit a print-out of the OBD scan </w:t>
      </w:r>
      <w:r w:rsidR="002D5758" w:rsidRPr="00B966BD">
        <w:t>results</w:t>
      </w:r>
      <w:r w:rsidR="007D4347" w:rsidRPr="00B966BD">
        <w:t xml:space="preserve"> </w:t>
      </w:r>
      <w:r w:rsidR="002D5758" w:rsidRPr="00B966BD">
        <w:t>(per the procedure already established in 40 CFR 85.2222) and attest that the OBD system remains fully functional in the converted engine</w:t>
      </w:r>
      <w:r w:rsidRPr="00B966BD">
        <w:t>.</w:t>
      </w:r>
      <w:r w:rsidRPr="002F02BB">
        <w:t xml:space="preserve">  </w:t>
      </w:r>
      <w:r w:rsidR="002F02BB" w:rsidRPr="002F02BB">
        <w:t xml:space="preserve">EPA will not issue a certificate of conformity, </w:t>
      </w:r>
      <w:r w:rsidR="00453DE5">
        <w:t xml:space="preserve">and </w:t>
      </w:r>
      <w:r w:rsidR="002F02BB" w:rsidRPr="002F02BB">
        <w:t>fees will not be collected.</w:t>
      </w:r>
    </w:p>
    <w:p w:rsidR="000F463C" w:rsidRPr="000F463C" w:rsidRDefault="000F463C" w:rsidP="000F463C">
      <w:pPr>
        <w:rPr>
          <w:highlight w:val="green"/>
        </w:rPr>
      </w:pPr>
    </w:p>
    <w:p w:rsidR="000F463C" w:rsidRDefault="002F02BB" w:rsidP="002F02BB">
      <w:pPr>
        <w:ind w:firstLine="720"/>
      </w:pPr>
      <w:r>
        <w:t xml:space="preserve">As a result, the cost of </w:t>
      </w:r>
      <w:r w:rsidR="00453DE5">
        <w:t xml:space="preserve">testing for </w:t>
      </w:r>
      <w:r>
        <w:t xml:space="preserve">intermediate age engine conversions will be the same as for </w:t>
      </w:r>
      <w:r w:rsidR="00453DE5">
        <w:t>new and nearly new</w:t>
      </w:r>
      <w:r>
        <w:t xml:space="preserve"> engine conversions with the exception of fees and OBD demonstration costs.  Table </w:t>
      </w:r>
      <w:r w:rsidR="002A6B3A">
        <w:t>3</w:t>
      </w:r>
      <w:r>
        <w:t xml:space="preserve"> shows these costs and burden.</w:t>
      </w:r>
    </w:p>
    <w:p w:rsidR="002C18BF" w:rsidRDefault="002C18BF" w:rsidP="002F02BB">
      <w:pPr>
        <w:ind w:firstLine="720"/>
      </w:pPr>
    </w:p>
    <w:p w:rsidR="002C18BF" w:rsidRDefault="002C18BF" w:rsidP="002F02BB">
      <w:pPr>
        <w:ind w:firstLine="720"/>
      </w:pPr>
      <w:r>
        <w:t xml:space="preserve">EPA believes that there is little interest in intermediate age engine conversions. Therefore, EPA has estimated that two manufacturers will </w:t>
      </w:r>
      <w:r w:rsidR="00453DE5">
        <w:t>participate in the intermediate age program</w:t>
      </w:r>
      <w:r>
        <w:t xml:space="preserve"> for one engine family each.</w:t>
      </w:r>
    </w:p>
    <w:p w:rsidR="00260E9A" w:rsidRDefault="00260E9A" w:rsidP="000B0129"/>
    <w:p w:rsidR="002F02BB" w:rsidRDefault="002F02BB" w:rsidP="000B0129"/>
    <w:p w:rsidR="002F02BB" w:rsidRPr="002F02BB" w:rsidRDefault="002F02BB" w:rsidP="000B0129">
      <w:pPr>
        <w:rPr>
          <w:i/>
        </w:rPr>
      </w:pPr>
      <w:r w:rsidRPr="002F02BB">
        <w:rPr>
          <w:i/>
        </w:rPr>
        <w:tab/>
      </w:r>
      <w:r w:rsidRPr="00283424">
        <w:rPr>
          <w:i/>
        </w:rPr>
        <w:t>iii. Outside-useful</w:t>
      </w:r>
      <w:r w:rsidR="00453DE5" w:rsidRPr="00283424">
        <w:rPr>
          <w:i/>
        </w:rPr>
        <w:t xml:space="preserve"> </w:t>
      </w:r>
      <w:r w:rsidRPr="00283424">
        <w:rPr>
          <w:i/>
        </w:rPr>
        <w:t>life conversions</w:t>
      </w:r>
    </w:p>
    <w:p w:rsidR="00260E9A" w:rsidRDefault="00260E9A" w:rsidP="002C18BF">
      <w:pPr>
        <w:ind w:firstLine="720"/>
      </w:pPr>
    </w:p>
    <w:p w:rsidR="00292A46" w:rsidRDefault="00292A46" w:rsidP="00292A46">
      <w:pPr>
        <w:ind w:firstLine="720"/>
      </w:pPr>
      <w:r>
        <w:lastRenderedPageBreak/>
        <w:t>After careful evaluation of comments received, EPA has decided to adopt Option #3 of the proposed rule for outside</w:t>
      </w:r>
      <w:r w:rsidR="00453DE5">
        <w:t xml:space="preserve"> </w:t>
      </w:r>
      <w:r>
        <w:t>useful</w:t>
      </w:r>
      <w:r w:rsidR="00453DE5">
        <w:t xml:space="preserve"> </w:t>
      </w:r>
      <w:r>
        <w:t xml:space="preserve">life conversions.  </w:t>
      </w:r>
      <w:r w:rsidRPr="0041465D">
        <w:t>This approach requires manufacturers to submit a technical description of the conversion that provides sufficient detail for EPA to evaluate emissions performance and durability. In some cases this technical description may need to include emission test data to demonstrate that the conversion system will not degrade emissions. Conversion manufacturers must also submit an OBD scan tool report.</w:t>
      </w:r>
    </w:p>
    <w:p w:rsidR="002C18BF" w:rsidRDefault="002C18BF" w:rsidP="002C18BF"/>
    <w:p w:rsidR="002C18BF" w:rsidRDefault="002C18BF" w:rsidP="00516E95">
      <w:pPr>
        <w:ind w:firstLine="720"/>
      </w:pPr>
      <w:r>
        <w:t xml:space="preserve">EPA would expect the maximum testing costs for </w:t>
      </w:r>
      <w:r w:rsidR="00292A46">
        <w:t>this option</w:t>
      </w:r>
      <w:r>
        <w:t xml:space="preserve"> to be equivalent to those </w:t>
      </w:r>
      <w:r w:rsidR="00292A46">
        <w:t>costs incurred for intermediate</w:t>
      </w:r>
      <w:r w:rsidR="00453DE5">
        <w:t xml:space="preserve"> </w:t>
      </w:r>
      <w:r>
        <w:t xml:space="preserve">age </w:t>
      </w:r>
      <w:r w:rsidR="00292A46">
        <w:t>engine</w:t>
      </w:r>
      <w:r w:rsidR="00453DE5">
        <w:t>s</w:t>
      </w:r>
      <w:r>
        <w:t>, since conducting all testing required for the intermediate age engine program would be an acceptable demonstratio</w:t>
      </w:r>
      <w:r w:rsidR="00292A46">
        <w:t xml:space="preserve">n of good engineering judgment.  </w:t>
      </w:r>
      <w:r w:rsidR="00516E95">
        <w:t xml:space="preserve"> Intermediate-age engine conversions must also submit an OBD scan tool report.</w:t>
      </w:r>
    </w:p>
    <w:p w:rsidR="00516E95" w:rsidRDefault="00516E95" w:rsidP="00516E95">
      <w:pPr>
        <w:ind w:firstLine="720"/>
      </w:pPr>
    </w:p>
    <w:p w:rsidR="002C18BF" w:rsidRDefault="002C18BF" w:rsidP="002C18BF">
      <w:pPr>
        <w:ind w:firstLine="720"/>
      </w:pPr>
      <w:r>
        <w:t>Based on past experience, EPA does not expect to have any respondents interested in outside-useful-life conversions.  Therefore, no burden is allocated for these conversions in this ICR.</w:t>
      </w:r>
    </w:p>
    <w:p w:rsidR="002F02BB" w:rsidRDefault="002F02BB" w:rsidP="000B0129"/>
    <w:p w:rsidR="002F02BB" w:rsidRDefault="002F02BB" w:rsidP="000B0129"/>
    <w:p w:rsidR="00832233" w:rsidRDefault="00832233" w:rsidP="00692526"/>
    <w:p w:rsidR="0013395B" w:rsidRDefault="0013395B" w:rsidP="00692526">
      <w:pPr>
        <w:rPr>
          <w:u w:val="single"/>
        </w:rPr>
      </w:pPr>
      <w:r>
        <w:t xml:space="preserve">6(e) </w:t>
      </w:r>
      <w:r w:rsidRPr="0013395B">
        <w:rPr>
          <w:u w:val="single"/>
        </w:rPr>
        <w:t>Bottom Line Burden Hours and Cost</w:t>
      </w:r>
    </w:p>
    <w:p w:rsidR="0013395B" w:rsidRDefault="0013395B" w:rsidP="00692526">
      <w:pPr>
        <w:rPr>
          <w:u w:val="single"/>
        </w:rPr>
      </w:pPr>
    </w:p>
    <w:p w:rsidR="0013395B" w:rsidRPr="00175A72" w:rsidRDefault="0013395B" w:rsidP="00175A72">
      <w:pPr>
        <w:ind w:firstLine="720"/>
        <w:rPr>
          <w:i/>
        </w:rPr>
      </w:pPr>
      <w:r w:rsidRPr="00175A72">
        <w:rPr>
          <w:i/>
        </w:rPr>
        <w:t>(i)  Respondent Tally</w:t>
      </w:r>
      <w:r w:rsidR="00256C8A" w:rsidRPr="00175A72">
        <w:rPr>
          <w:i/>
        </w:rPr>
        <w:t xml:space="preserve"> </w:t>
      </w:r>
    </w:p>
    <w:p w:rsidR="00256C8A" w:rsidRDefault="00256C8A" w:rsidP="00692526"/>
    <w:p w:rsidR="00E8153C" w:rsidRDefault="00E8153C" w:rsidP="00692526"/>
    <w:p w:rsidR="004B26AA" w:rsidRPr="00202458" w:rsidRDefault="004B26AA" w:rsidP="004B26AA">
      <w:pPr>
        <w:keepNext/>
        <w:keepLines/>
        <w:numPr>
          <w:ilvl w:val="12"/>
          <w:numId w:val="0"/>
        </w:numPr>
        <w:jc w:val="center"/>
        <w:rPr>
          <w:b/>
        </w:rPr>
      </w:pPr>
      <w:r>
        <w:rPr>
          <w:b/>
        </w:rPr>
        <w:t xml:space="preserve">Table </w:t>
      </w:r>
      <w:r w:rsidR="002A6B3A">
        <w:rPr>
          <w:b/>
        </w:rPr>
        <w:t>6</w:t>
      </w:r>
      <w:r>
        <w:rPr>
          <w:b/>
        </w:rPr>
        <w:br/>
      </w:r>
      <w:r w:rsidRPr="00202458">
        <w:rPr>
          <w:b/>
        </w:rPr>
        <w:t xml:space="preserve">Total Estimated Respondent Burden </w:t>
      </w:r>
      <w:r>
        <w:rPr>
          <w:b/>
        </w:rPr>
        <w:t>a</w:t>
      </w:r>
      <w:r w:rsidRPr="00202458">
        <w:rPr>
          <w:b/>
        </w:rPr>
        <w:t>nd Cost Summary</w:t>
      </w:r>
    </w:p>
    <w:p w:rsidR="006970B1" w:rsidRDefault="006970B1" w:rsidP="00583230">
      <w:pPr>
        <w:tabs>
          <w:tab w:val="right" w:pos="4680"/>
        </w:tabs>
      </w:pPr>
    </w:p>
    <w:tbl>
      <w:tblPr>
        <w:tblW w:w="10293" w:type="dxa"/>
        <w:tblInd w:w="79" w:type="dxa"/>
        <w:tblLayout w:type="fixed"/>
        <w:tblLook w:val="0000"/>
      </w:tblPr>
      <w:tblGrid>
        <w:gridCol w:w="2193"/>
        <w:gridCol w:w="1076"/>
        <w:gridCol w:w="1080"/>
        <w:gridCol w:w="1183"/>
        <w:gridCol w:w="1294"/>
        <w:gridCol w:w="942"/>
        <w:gridCol w:w="1212"/>
        <w:gridCol w:w="1313"/>
      </w:tblGrid>
      <w:tr w:rsidR="00E8153C" w:rsidRPr="00E8153C" w:rsidTr="00E8153C">
        <w:trPr>
          <w:trHeight w:val="1020"/>
        </w:trPr>
        <w:tc>
          <w:tcPr>
            <w:tcW w:w="2193" w:type="dxa"/>
            <w:tcBorders>
              <w:top w:val="single" w:sz="4" w:space="0" w:color="auto"/>
              <w:left w:val="single" w:sz="4" w:space="0" w:color="auto"/>
              <w:bottom w:val="single" w:sz="4" w:space="0" w:color="auto"/>
              <w:right w:val="single" w:sz="4" w:space="0" w:color="auto"/>
            </w:tcBorders>
            <w:shd w:val="clear" w:color="auto" w:fill="969696"/>
            <w:vAlign w:val="bottom"/>
          </w:tcPr>
          <w:p w:rsidR="00E8153C" w:rsidRPr="00E8153C" w:rsidRDefault="00E8153C" w:rsidP="00E8153C">
            <w:pPr>
              <w:widowControl/>
              <w:autoSpaceDE/>
              <w:autoSpaceDN/>
              <w:jc w:val="center"/>
              <w:rPr>
                <w:rFonts w:ascii="Arial" w:hAnsi="Arial" w:cs="Arial"/>
                <w:sz w:val="20"/>
                <w:szCs w:val="20"/>
              </w:rPr>
            </w:pPr>
            <w:r w:rsidRPr="00E8153C">
              <w:rPr>
                <w:rFonts w:ascii="Arial" w:hAnsi="Arial" w:cs="Arial"/>
                <w:sz w:val="20"/>
                <w:szCs w:val="20"/>
              </w:rPr>
              <w:t>Program (Age of Converted Engine)</w:t>
            </w:r>
          </w:p>
        </w:tc>
        <w:tc>
          <w:tcPr>
            <w:tcW w:w="1076" w:type="dxa"/>
            <w:tcBorders>
              <w:top w:val="single" w:sz="4" w:space="0" w:color="auto"/>
              <w:left w:val="nil"/>
              <w:bottom w:val="single" w:sz="4" w:space="0" w:color="auto"/>
              <w:right w:val="single" w:sz="4" w:space="0" w:color="auto"/>
            </w:tcBorders>
            <w:shd w:val="clear" w:color="auto" w:fill="969696"/>
            <w:vAlign w:val="bottom"/>
          </w:tcPr>
          <w:p w:rsidR="00E8153C" w:rsidRPr="00E8153C" w:rsidRDefault="00E8153C" w:rsidP="00E8153C">
            <w:pPr>
              <w:widowControl/>
              <w:autoSpaceDE/>
              <w:autoSpaceDN/>
              <w:jc w:val="center"/>
              <w:rPr>
                <w:rFonts w:ascii="Arial" w:hAnsi="Arial" w:cs="Arial"/>
                <w:sz w:val="20"/>
                <w:szCs w:val="20"/>
              </w:rPr>
            </w:pPr>
            <w:r w:rsidRPr="00E8153C">
              <w:rPr>
                <w:rFonts w:ascii="Arial" w:hAnsi="Arial" w:cs="Arial"/>
                <w:sz w:val="20"/>
                <w:szCs w:val="20"/>
              </w:rPr>
              <w:t>Number of Respondents</w:t>
            </w:r>
          </w:p>
        </w:tc>
        <w:tc>
          <w:tcPr>
            <w:tcW w:w="1080" w:type="dxa"/>
            <w:tcBorders>
              <w:top w:val="single" w:sz="4" w:space="0" w:color="auto"/>
              <w:left w:val="nil"/>
              <w:bottom w:val="single" w:sz="4" w:space="0" w:color="auto"/>
              <w:right w:val="single" w:sz="4" w:space="0" w:color="auto"/>
            </w:tcBorders>
            <w:shd w:val="clear" w:color="auto" w:fill="969696"/>
            <w:vAlign w:val="bottom"/>
          </w:tcPr>
          <w:p w:rsidR="00E8153C" w:rsidRPr="00E8153C" w:rsidRDefault="00E8153C" w:rsidP="00E8153C">
            <w:pPr>
              <w:widowControl/>
              <w:autoSpaceDE/>
              <w:autoSpaceDN/>
              <w:jc w:val="center"/>
              <w:rPr>
                <w:rFonts w:ascii="Arial" w:hAnsi="Arial" w:cs="Arial"/>
                <w:sz w:val="20"/>
                <w:szCs w:val="20"/>
              </w:rPr>
            </w:pPr>
            <w:r w:rsidRPr="00E8153C">
              <w:rPr>
                <w:rFonts w:ascii="Arial" w:hAnsi="Arial" w:cs="Arial"/>
                <w:sz w:val="20"/>
                <w:szCs w:val="20"/>
              </w:rPr>
              <w:t>Number of Activities</w:t>
            </w:r>
          </w:p>
        </w:tc>
        <w:tc>
          <w:tcPr>
            <w:tcW w:w="1183" w:type="dxa"/>
            <w:tcBorders>
              <w:top w:val="single" w:sz="4" w:space="0" w:color="auto"/>
              <w:left w:val="nil"/>
              <w:bottom w:val="single" w:sz="4" w:space="0" w:color="auto"/>
              <w:right w:val="single" w:sz="4" w:space="0" w:color="auto"/>
            </w:tcBorders>
            <w:shd w:val="clear" w:color="auto" w:fill="969696"/>
            <w:vAlign w:val="bottom"/>
          </w:tcPr>
          <w:p w:rsidR="00E8153C" w:rsidRPr="00E8153C" w:rsidRDefault="00E8153C" w:rsidP="00E8153C">
            <w:pPr>
              <w:widowControl/>
              <w:autoSpaceDE/>
              <w:autoSpaceDN/>
              <w:jc w:val="center"/>
              <w:rPr>
                <w:rFonts w:ascii="Arial" w:hAnsi="Arial" w:cs="Arial"/>
                <w:sz w:val="20"/>
                <w:szCs w:val="20"/>
              </w:rPr>
            </w:pPr>
            <w:r w:rsidRPr="00E8153C">
              <w:rPr>
                <w:rFonts w:ascii="Arial" w:hAnsi="Arial" w:cs="Arial"/>
                <w:sz w:val="20"/>
                <w:szCs w:val="20"/>
              </w:rPr>
              <w:t>Total Hours Per Year</w:t>
            </w:r>
          </w:p>
        </w:tc>
        <w:tc>
          <w:tcPr>
            <w:tcW w:w="1294" w:type="dxa"/>
            <w:tcBorders>
              <w:top w:val="single" w:sz="4" w:space="0" w:color="auto"/>
              <w:left w:val="nil"/>
              <w:bottom w:val="single" w:sz="4" w:space="0" w:color="auto"/>
              <w:right w:val="single" w:sz="4" w:space="0" w:color="auto"/>
            </w:tcBorders>
            <w:shd w:val="clear" w:color="auto" w:fill="969696"/>
            <w:vAlign w:val="bottom"/>
          </w:tcPr>
          <w:p w:rsidR="00E8153C" w:rsidRPr="00E8153C" w:rsidRDefault="00E8153C" w:rsidP="00E8153C">
            <w:pPr>
              <w:widowControl/>
              <w:autoSpaceDE/>
              <w:autoSpaceDN/>
              <w:jc w:val="center"/>
              <w:rPr>
                <w:rFonts w:ascii="Arial" w:hAnsi="Arial" w:cs="Arial"/>
                <w:sz w:val="20"/>
                <w:szCs w:val="20"/>
              </w:rPr>
            </w:pPr>
            <w:r w:rsidRPr="00E8153C">
              <w:rPr>
                <w:rFonts w:ascii="Arial" w:hAnsi="Arial" w:cs="Arial"/>
                <w:sz w:val="20"/>
                <w:szCs w:val="20"/>
              </w:rPr>
              <w:t>Total Labor Cost Per Year</w:t>
            </w:r>
          </w:p>
        </w:tc>
        <w:tc>
          <w:tcPr>
            <w:tcW w:w="942" w:type="dxa"/>
            <w:tcBorders>
              <w:top w:val="single" w:sz="4" w:space="0" w:color="auto"/>
              <w:left w:val="nil"/>
              <w:bottom w:val="single" w:sz="4" w:space="0" w:color="auto"/>
              <w:right w:val="single" w:sz="4" w:space="0" w:color="auto"/>
            </w:tcBorders>
            <w:shd w:val="clear" w:color="auto" w:fill="969696"/>
            <w:vAlign w:val="bottom"/>
          </w:tcPr>
          <w:p w:rsidR="00E8153C" w:rsidRPr="00E8153C" w:rsidRDefault="00E8153C" w:rsidP="00E8153C">
            <w:pPr>
              <w:widowControl/>
              <w:autoSpaceDE/>
              <w:autoSpaceDN/>
              <w:jc w:val="center"/>
              <w:rPr>
                <w:rFonts w:ascii="Arial" w:hAnsi="Arial" w:cs="Arial"/>
                <w:sz w:val="20"/>
                <w:szCs w:val="20"/>
              </w:rPr>
            </w:pPr>
            <w:r w:rsidRPr="00E8153C">
              <w:rPr>
                <w:rFonts w:ascii="Arial" w:hAnsi="Arial" w:cs="Arial"/>
                <w:sz w:val="20"/>
                <w:szCs w:val="20"/>
              </w:rPr>
              <w:t>Total Annual Capital Costs</w:t>
            </w:r>
          </w:p>
        </w:tc>
        <w:tc>
          <w:tcPr>
            <w:tcW w:w="1212" w:type="dxa"/>
            <w:tcBorders>
              <w:top w:val="single" w:sz="4" w:space="0" w:color="auto"/>
              <w:left w:val="nil"/>
              <w:bottom w:val="single" w:sz="4" w:space="0" w:color="auto"/>
              <w:right w:val="single" w:sz="4" w:space="0" w:color="auto"/>
            </w:tcBorders>
            <w:shd w:val="clear" w:color="auto" w:fill="969696"/>
            <w:vAlign w:val="bottom"/>
          </w:tcPr>
          <w:p w:rsidR="00E8153C" w:rsidRPr="00E8153C" w:rsidRDefault="00E8153C" w:rsidP="00E8153C">
            <w:pPr>
              <w:widowControl/>
              <w:autoSpaceDE/>
              <w:autoSpaceDN/>
              <w:jc w:val="center"/>
              <w:rPr>
                <w:rFonts w:ascii="Arial" w:hAnsi="Arial" w:cs="Arial"/>
                <w:sz w:val="20"/>
                <w:szCs w:val="20"/>
              </w:rPr>
            </w:pPr>
            <w:r w:rsidRPr="00E8153C">
              <w:rPr>
                <w:rFonts w:ascii="Arial" w:hAnsi="Arial" w:cs="Arial"/>
                <w:sz w:val="20"/>
                <w:szCs w:val="20"/>
              </w:rPr>
              <w:t>Total Annual O&amp;M Costs</w:t>
            </w:r>
          </w:p>
        </w:tc>
        <w:tc>
          <w:tcPr>
            <w:tcW w:w="1313" w:type="dxa"/>
            <w:tcBorders>
              <w:top w:val="single" w:sz="4" w:space="0" w:color="auto"/>
              <w:left w:val="nil"/>
              <w:bottom w:val="single" w:sz="4" w:space="0" w:color="auto"/>
              <w:right w:val="single" w:sz="4" w:space="0" w:color="auto"/>
            </w:tcBorders>
            <w:shd w:val="clear" w:color="auto" w:fill="969696"/>
            <w:vAlign w:val="bottom"/>
          </w:tcPr>
          <w:p w:rsidR="00E8153C" w:rsidRPr="00E8153C" w:rsidRDefault="00E8153C" w:rsidP="00E8153C">
            <w:pPr>
              <w:widowControl/>
              <w:autoSpaceDE/>
              <w:autoSpaceDN/>
              <w:jc w:val="center"/>
              <w:rPr>
                <w:rFonts w:ascii="Arial" w:hAnsi="Arial" w:cs="Arial"/>
                <w:sz w:val="20"/>
                <w:szCs w:val="20"/>
              </w:rPr>
            </w:pPr>
            <w:r w:rsidRPr="00E8153C">
              <w:rPr>
                <w:rFonts w:ascii="Arial" w:hAnsi="Arial" w:cs="Arial"/>
                <w:sz w:val="20"/>
                <w:szCs w:val="20"/>
              </w:rPr>
              <w:t>Total Costs</w:t>
            </w:r>
          </w:p>
        </w:tc>
      </w:tr>
      <w:tr w:rsidR="00E8153C" w:rsidRPr="00E8153C" w:rsidTr="00E8153C">
        <w:trPr>
          <w:trHeight w:val="255"/>
        </w:trPr>
        <w:tc>
          <w:tcPr>
            <w:tcW w:w="2193" w:type="dxa"/>
            <w:tcBorders>
              <w:top w:val="nil"/>
              <w:left w:val="single" w:sz="4" w:space="0" w:color="auto"/>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sidRPr="00E8153C">
              <w:rPr>
                <w:rFonts w:ascii="Arial" w:hAnsi="Arial" w:cs="Arial"/>
                <w:sz w:val="20"/>
                <w:szCs w:val="20"/>
              </w:rPr>
              <w:t> </w:t>
            </w:r>
          </w:p>
        </w:tc>
        <w:tc>
          <w:tcPr>
            <w:tcW w:w="1076"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sidRPr="00E8153C">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sidRPr="00E8153C">
              <w:rPr>
                <w:rFonts w:ascii="Arial" w:hAnsi="Arial" w:cs="Arial"/>
                <w:sz w:val="20"/>
                <w:szCs w:val="20"/>
              </w:rPr>
              <w:t> </w:t>
            </w:r>
          </w:p>
        </w:tc>
        <w:tc>
          <w:tcPr>
            <w:tcW w:w="1183"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sidRPr="00E8153C">
              <w:rPr>
                <w:rFonts w:ascii="Arial"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sidRPr="00E8153C">
              <w:rPr>
                <w:rFonts w:ascii="Arial" w:hAnsi="Arial" w:cs="Arial"/>
                <w:sz w:val="20"/>
                <w:szCs w:val="20"/>
              </w:rPr>
              <w:t> </w:t>
            </w:r>
          </w:p>
        </w:tc>
        <w:tc>
          <w:tcPr>
            <w:tcW w:w="942"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sidRPr="00E8153C">
              <w:rPr>
                <w:rFonts w:ascii="Arial" w:hAnsi="Arial" w:cs="Arial"/>
                <w:sz w:val="20"/>
                <w:szCs w:val="20"/>
              </w:rPr>
              <w:t> </w:t>
            </w:r>
          </w:p>
        </w:tc>
        <w:tc>
          <w:tcPr>
            <w:tcW w:w="1212"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sidRPr="00E8153C">
              <w:rPr>
                <w:rFonts w:ascii="Arial" w:hAnsi="Arial" w:cs="Arial"/>
                <w:sz w:val="20"/>
                <w:szCs w:val="20"/>
              </w:rPr>
              <w:t> </w:t>
            </w:r>
          </w:p>
        </w:tc>
        <w:tc>
          <w:tcPr>
            <w:tcW w:w="1313"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sidRPr="00E8153C">
              <w:rPr>
                <w:rFonts w:ascii="Arial" w:hAnsi="Arial" w:cs="Arial"/>
                <w:sz w:val="20"/>
                <w:szCs w:val="20"/>
              </w:rPr>
              <w:t> </w:t>
            </w:r>
          </w:p>
        </w:tc>
      </w:tr>
      <w:tr w:rsidR="00E8153C" w:rsidRPr="00E8153C" w:rsidTr="00E8153C">
        <w:trPr>
          <w:cantSplit/>
          <w:trHeight w:val="255"/>
        </w:trPr>
        <w:tc>
          <w:tcPr>
            <w:tcW w:w="2193" w:type="dxa"/>
            <w:tcBorders>
              <w:top w:val="nil"/>
              <w:left w:val="single" w:sz="4" w:space="0" w:color="auto"/>
              <w:bottom w:val="single" w:sz="4" w:space="0" w:color="auto"/>
              <w:right w:val="single" w:sz="4" w:space="0" w:color="auto"/>
            </w:tcBorders>
            <w:shd w:val="clear" w:color="auto" w:fill="auto"/>
            <w:noWrap/>
            <w:vAlign w:val="bottom"/>
          </w:tcPr>
          <w:p w:rsidR="00E8153C" w:rsidRPr="00E8153C" w:rsidRDefault="00563E2A" w:rsidP="00E8153C">
            <w:pPr>
              <w:widowControl/>
              <w:autoSpaceDE/>
              <w:autoSpaceDN/>
              <w:rPr>
                <w:rFonts w:ascii="Arial" w:hAnsi="Arial" w:cs="Arial"/>
                <w:sz w:val="20"/>
                <w:szCs w:val="20"/>
              </w:rPr>
            </w:pPr>
            <w:r>
              <w:rPr>
                <w:rFonts w:ascii="Arial" w:hAnsi="Arial" w:cs="Arial"/>
                <w:sz w:val="20"/>
                <w:szCs w:val="20"/>
              </w:rPr>
              <w:t>New and Nearly New Exhaust Cert</w:t>
            </w:r>
          </w:p>
        </w:tc>
        <w:tc>
          <w:tcPr>
            <w:tcW w:w="1076"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jc w:val="right"/>
              <w:rPr>
                <w:rFonts w:ascii="Arial" w:hAnsi="Arial" w:cs="Arial"/>
                <w:sz w:val="20"/>
                <w:szCs w:val="20"/>
              </w:rPr>
            </w:pPr>
            <w:r w:rsidRPr="00E8153C">
              <w:rPr>
                <w:rFonts w:ascii="Arial" w:hAnsi="Arial" w:cs="Arial"/>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jc w:val="right"/>
              <w:rPr>
                <w:rFonts w:ascii="Arial" w:hAnsi="Arial" w:cs="Arial"/>
                <w:sz w:val="20"/>
                <w:szCs w:val="20"/>
              </w:rPr>
            </w:pPr>
            <w:r w:rsidRPr="00E8153C">
              <w:rPr>
                <w:rFonts w:ascii="Arial" w:hAnsi="Arial" w:cs="Arial"/>
                <w:sz w:val="20"/>
                <w:szCs w:val="20"/>
              </w:rPr>
              <w:t>12</w:t>
            </w:r>
          </w:p>
        </w:tc>
        <w:tc>
          <w:tcPr>
            <w:tcW w:w="1183"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jc w:val="right"/>
              <w:rPr>
                <w:rFonts w:ascii="Arial" w:hAnsi="Arial" w:cs="Arial"/>
                <w:sz w:val="20"/>
                <w:szCs w:val="20"/>
              </w:rPr>
            </w:pPr>
            <w:r w:rsidRPr="00E8153C">
              <w:rPr>
                <w:rFonts w:ascii="Arial" w:hAnsi="Arial" w:cs="Arial"/>
                <w:sz w:val="20"/>
                <w:szCs w:val="20"/>
              </w:rPr>
              <w:t>1,002</w:t>
            </w:r>
          </w:p>
        </w:tc>
        <w:tc>
          <w:tcPr>
            <w:tcW w:w="1294"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Pr>
                <w:rFonts w:ascii="Arial" w:hAnsi="Arial" w:cs="Arial"/>
                <w:sz w:val="20"/>
                <w:szCs w:val="20"/>
              </w:rPr>
              <w:t xml:space="preserve"> $   </w:t>
            </w:r>
            <w:r w:rsidRPr="00E8153C">
              <w:rPr>
                <w:rFonts w:ascii="Arial" w:hAnsi="Arial" w:cs="Arial"/>
                <w:sz w:val="20"/>
                <w:szCs w:val="20"/>
              </w:rPr>
              <w:t xml:space="preserve">86,279 </w:t>
            </w:r>
          </w:p>
        </w:tc>
        <w:tc>
          <w:tcPr>
            <w:tcW w:w="942"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sidRPr="00E8153C">
              <w:rPr>
                <w:rFonts w:ascii="Arial" w:hAnsi="Arial" w:cs="Arial"/>
                <w:sz w:val="20"/>
                <w:szCs w:val="20"/>
              </w:rPr>
              <w:t xml:space="preserve">       -   </w:t>
            </w:r>
          </w:p>
        </w:tc>
        <w:tc>
          <w:tcPr>
            <w:tcW w:w="1212"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Pr>
                <w:rFonts w:ascii="Arial" w:hAnsi="Arial" w:cs="Arial"/>
                <w:sz w:val="20"/>
                <w:szCs w:val="20"/>
              </w:rPr>
              <w:t xml:space="preserve"> $ </w:t>
            </w:r>
            <w:r w:rsidRPr="00E8153C">
              <w:rPr>
                <w:rFonts w:ascii="Arial" w:hAnsi="Arial" w:cs="Arial"/>
                <w:sz w:val="20"/>
                <w:szCs w:val="20"/>
              </w:rPr>
              <w:t xml:space="preserve">562,744 </w:t>
            </w:r>
          </w:p>
        </w:tc>
        <w:tc>
          <w:tcPr>
            <w:tcW w:w="1313" w:type="dxa"/>
            <w:tcBorders>
              <w:top w:val="nil"/>
              <w:left w:val="nil"/>
              <w:bottom w:val="single" w:sz="4" w:space="0" w:color="auto"/>
              <w:right w:val="single" w:sz="4" w:space="0" w:color="auto"/>
            </w:tcBorders>
            <w:shd w:val="clear" w:color="auto" w:fill="auto"/>
            <w:noWrap/>
            <w:vAlign w:val="bottom"/>
          </w:tcPr>
          <w:p w:rsidR="00E8153C" w:rsidRPr="00E8153C" w:rsidRDefault="00E8153C" w:rsidP="00E8153C">
            <w:pPr>
              <w:widowControl/>
              <w:autoSpaceDE/>
              <w:autoSpaceDN/>
              <w:rPr>
                <w:rFonts w:ascii="Arial" w:hAnsi="Arial" w:cs="Arial"/>
                <w:sz w:val="20"/>
                <w:szCs w:val="20"/>
              </w:rPr>
            </w:pPr>
            <w:r>
              <w:rPr>
                <w:rFonts w:ascii="Arial" w:hAnsi="Arial" w:cs="Arial"/>
                <w:sz w:val="20"/>
                <w:szCs w:val="20"/>
              </w:rPr>
              <w:t xml:space="preserve"> $ </w:t>
            </w:r>
            <w:r w:rsidRPr="00E8153C">
              <w:rPr>
                <w:rFonts w:ascii="Arial" w:hAnsi="Arial" w:cs="Arial"/>
                <w:sz w:val="20"/>
                <w:szCs w:val="20"/>
              </w:rPr>
              <w:t xml:space="preserve"> 649,023 </w:t>
            </w:r>
          </w:p>
        </w:tc>
      </w:tr>
      <w:tr w:rsidR="001C4733" w:rsidRPr="00E8153C" w:rsidTr="00E8153C">
        <w:trPr>
          <w:cantSplit/>
          <w:trHeight w:val="255"/>
        </w:trPr>
        <w:tc>
          <w:tcPr>
            <w:tcW w:w="2193" w:type="dxa"/>
            <w:tcBorders>
              <w:top w:val="nil"/>
              <w:left w:val="single" w:sz="4" w:space="0" w:color="auto"/>
              <w:bottom w:val="single" w:sz="4" w:space="0" w:color="auto"/>
              <w:right w:val="single" w:sz="4" w:space="0" w:color="auto"/>
            </w:tcBorders>
            <w:shd w:val="clear" w:color="auto" w:fill="auto"/>
            <w:noWrap/>
            <w:vAlign w:val="bottom"/>
          </w:tcPr>
          <w:p w:rsidR="001C4733" w:rsidRDefault="00563E2A">
            <w:pPr>
              <w:rPr>
                <w:rFonts w:ascii="Arial" w:hAnsi="Arial" w:cs="Arial"/>
                <w:sz w:val="20"/>
                <w:szCs w:val="20"/>
              </w:rPr>
            </w:pPr>
            <w:r>
              <w:rPr>
                <w:rFonts w:ascii="Arial" w:hAnsi="Arial" w:cs="Arial"/>
                <w:sz w:val="20"/>
                <w:szCs w:val="20"/>
              </w:rPr>
              <w:t xml:space="preserve">New and Nearly New </w:t>
            </w:r>
            <w:r w:rsidR="001C4733">
              <w:rPr>
                <w:rFonts w:ascii="Arial" w:hAnsi="Arial" w:cs="Arial"/>
                <w:sz w:val="20"/>
                <w:szCs w:val="20"/>
              </w:rPr>
              <w:t>Evaporative Cert</w:t>
            </w:r>
          </w:p>
        </w:tc>
        <w:tc>
          <w:tcPr>
            <w:tcW w:w="1076" w:type="dxa"/>
            <w:tcBorders>
              <w:top w:val="nil"/>
              <w:left w:val="nil"/>
              <w:bottom w:val="single" w:sz="4" w:space="0" w:color="auto"/>
              <w:right w:val="single" w:sz="4" w:space="0" w:color="auto"/>
            </w:tcBorders>
            <w:shd w:val="clear" w:color="auto" w:fill="auto"/>
            <w:noWrap/>
            <w:vAlign w:val="bottom"/>
          </w:tcPr>
          <w:p w:rsidR="001C4733" w:rsidRDefault="001C4733">
            <w:pPr>
              <w:jc w:val="right"/>
              <w:rPr>
                <w:rFonts w:ascii="Arial" w:hAnsi="Arial" w:cs="Arial"/>
                <w:sz w:val="20"/>
                <w:szCs w:val="20"/>
              </w:rPr>
            </w:pPr>
            <w:r>
              <w:rPr>
                <w:rFonts w:ascii="Arial" w:hAnsi="Arial" w:cs="Arial"/>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1C4733" w:rsidRDefault="001C4733">
            <w:pPr>
              <w:jc w:val="right"/>
              <w:rPr>
                <w:rFonts w:ascii="Arial" w:hAnsi="Arial" w:cs="Arial"/>
                <w:sz w:val="20"/>
                <w:szCs w:val="20"/>
              </w:rPr>
            </w:pPr>
            <w:r>
              <w:rPr>
                <w:rFonts w:ascii="Arial" w:hAnsi="Arial" w:cs="Arial"/>
                <w:sz w:val="20"/>
                <w:szCs w:val="20"/>
              </w:rPr>
              <w:t>8</w:t>
            </w:r>
          </w:p>
        </w:tc>
        <w:tc>
          <w:tcPr>
            <w:tcW w:w="1183" w:type="dxa"/>
            <w:tcBorders>
              <w:top w:val="nil"/>
              <w:left w:val="nil"/>
              <w:bottom w:val="single" w:sz="4" w:space="0" w:color="auto"/>
              <w:right w:val="single" w:sz="4" w:space="0" w:color="auto"/>
            </w:tcBorders>
            <w:shd w:val="clear" w:color="auto" w:fill="auto"/>
            <w:noWrap/>
            <w:vAlign w:val="bottom"/>
          </w:tcPr>
          <w:p w:rsidR="001C4733" w:rsidRDefault="001C4733">
            <w:pPr>
              <w:jc w:val="right"/>
              <w:rPr>
                <w:rFonts w:ascii="Arial" w:hAnsi="Arial" w:cs="Arial"/>
                <w:sz w:val="20"/>
                <w:szCs w:val="20"/>
              </w:rPr>
            </w:pPr>
            <w:r>
              <w:rPr>
                <w:rFonts w:ascii="Arial" w:hAnsi="Arial" w:cs="Arial"/>
                <w:sz w:val="20"/>
                <w:szCs w:val="20"/>
              </w:rPr>
              <w:t>354</w:t>
            </w:r>
          </w:p>
        </w:tc>
        <w:tc>
          <w:tcPr>
            <w:tcW w:w="1294"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29,177 </w:t>
            </w:r>
          </w:p>
        </w:tc>
        <w:tc>
          <w:tcPr>
            <w:tcW w:w="942"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w:t>
            </w:r>
          </w:p>
        </w:tc>
        <w:tc>
          <w:tcPr>
            <w:tcW w:w="1212"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34,408 </w:t>
            </w:r>
          </w:p>
        </w:tc>
        <w:tc>
          <w:tcPr>
            <w:tcW w:w="1313"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63,585 </w:t>
            </w:r>
          </w:p>
        </w:tc>
      </w:tr>
      <w:tr w:rsidR="001C4733" w:rsidRPr="00E8153C" w:rsidTr="00E8153C">
        <w:trPr>
          <w:cantSplit/>
          <w:trHeight w:val="255"/>
        </w:trPr>
        <w:tc>
          <w:tcPr>
            <w:tcW w:w="2193" w:type="dxa"/>
            <w:tcBorders>
              <w:top w:val="nil"/>
              <w:left w:val="single" w:sz="4" w:space="0" w:color="auto"/>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Intermediate Age</w:t>
            </w:r>
          </w:p>
        </w:tc>
        <w:tc>
          <w:tcPr>
            <w:tcW w:w="1076" w:type="dxa"/>
            <w:tcBorders>
              <w:top w:val="nil"/>
              <w:left w:val="nil"/>
              <w:bottom w:val="single" w:sz="4" w:space="0" w:color="auto"/>
              <w:right w:val="single" w:sz="4" w:space="0" w:color="auto"/>
            </w:tcBorders>
            <w:shd w:val="clear" w:color="auto" w:fill="auto"/>
            <w:noWrap/>
            <w:vAlign w:val="bottom"/>
          </w:tcPr>
          <w:p w:rsidR="001C4733" w:rsidRDefault="001C4733">
            <w:pPr>
              <w:jc w:val="right"/>
              <w:rPr>
                <w:rFonts w:ascii="Arial" w:hAnsi="Arial" w:cs="Arial"/>
                <w:sz w:val="20"/>
                <w:szCs w:val="20"/>
              </w:rPr>
            </w:pPr>
            <w:r>
              <w:rPr>
                <w:rFonts w:ascii="Arial" w:hAnsi="Arial" w:cs="Arial"/>
                <w:sz w:val="20"/>
                <w:szCs w:val="20"/>
              </w:rPr>
              <w:t>2</w:t>
            </w:r>
          </w:p>
        </w:tc>
        <w:tc>
          <w:tcPr>
            <w:tcW w:w="1080" w:type="dxa"/>
            <w:tcBorders>
              <w:top w:val="nil"/>
              <w:left w:val="nil"/>
              <w:bottom w:val="single" w:sz="4" w:space="0" w:color="auto"/>
              <w:right w:val="single" w:sz="4" w:space="0" w:color="auto"/>
            </w:tcBorders>
            <w:shd w:val="clear" w:color="auto" w:fill="auto"/>
            <w:noWrap/>
            <w:vAlign w:val="bottom"/>
          </w:tcPr>
          <w:p w:rsidR="001C4733" w:rsidRDefault="00A76AC8">
            <w:pPr>
              <w:jc w:val="right"/>
              <w:rPr>
                <w:rFonts w:ascii="Arial" w:hAnsi="Arial" w:cs="Arial"/>
                <w:sz w:val="20"/>
                <w:szCs w:val="20"/>
              </w:rPr>
            </w:pPr>
            <w:r>
              <w:rPr>
                <w:rFonts w:ascii="Arial" w:hAnsi="Arial" w:cs="Arial"/>
                <w:sz w:val="20"/>
                <w:szCs w:val="20"/>
              </w:rPr>
              <w:t>12</w:t>
            </w:r>
          </w:p>
        </w:tc>
        <w:tc>
          <w:tcPr>
            <w:tcW w:w="1183" w:type="dxa"/>
            <w:tcBorders>
              <w:top w:val="nil"/>
              <w:left w:val="nil"/>
              <w:bottom w:val="single" w:sz="4" w:space="0" w:color="auto"/>
              <w:right w:val="single" w:sz="4" w:space="0" w:color="auto"/>
            </w:tcBorders>
            <w:shd w:val="clear" w:color="auto" w:fill="auto"/>
            <w:noWrap/>
            <w:vAlign w:val="bottom"/>
          </w:tcPr>
          <w:p w:rsidR="001C4733" w:rsidRDefault="00A76AC8">
            <w:pPr>
              <w:jc w:val="right"/>
              <w:rPr>
                <w:rFonts w:ascii="Arial" w:hAnsi="Arial" w:cs="Arial"/>
                <w:sz w:val="20"/>
                <w:szCs w:val="20"/>
              </w:rPr>
            </w:pPr>
            <w:r>
              <w:rPr>
                <w:rFonts w:ascii="Arial" w:hAnsi="Arial" w:cs="Arial"/>
                <w:sz w:val="20"/>
                <w:szCs w:val="20"/>
              </w:rPr>
              <w:t>222</w:t>
            </w:r>
          </w:p>
        </w:tc>
        <w:tc>
          <w:tcPr>
            <w:tcW w:w="1294" w:type="dxa"/>
            <w:tcBorders>
              <w:top w:val="nil"/>
              <w:left w:val="nil"/>
              <w:bottom w:val="single" w:sz="4" w:space="0" w:color="auto"/>
              <w:right w:val="single" w:sz="4" w:space="0" w:color="auto"/>
            </w:tcBorders>
            <w:shd w:val="clear" w:color="auto" w:fill="auto"/>
            <w:noWrap/>
            <w:vAlign w:val="bottom"/>
          </w:tcPr>
          <w:p w:rsidR="001C4733" w:rsidRDefault="00A76AC8">
            <w:pPr>
              <w:rPr>
                <w:rFonts w:ascii="Arial" w:hAnsi="Arial" w:cs="Arial"/>
                <w:sz w:val="20"/>
                <w:szCs w:val="20"/>
              </w:rPr>
            </w:pPr>
            <w:r>
              <w:rPr>
                <w:rFonts w:ascii="Arial" w:hAnsi="Arial" w:cs="Arial"/>
                <w:sz w:val="20"/>
                <w:szCs w:val="20"/>
              </w:rPr>
              <w:t xml:space="preserve"> $   19,622</w:t>
            </w:r>
            <w:r w:rsidR="001C4733">
              <w:rPr>
                <w:rFonts w:ascii="Arial" w:hAnsi="Arial" w:cs="Arial"/>
                <w:sz w:val="20"/>
                <w:szCs w:val="20"/>
              </w:rPr>
              <w:t xml:space="preserve"> </w:t>
            </w:r>
          </w:p>
        </w:tc>
        <w:tc>
          <w:tcPr>
            <w:tcW w:w="942" w:type="dxa"/>
            <w:tcBorders>
              <w:top w:val="nil"/>
              <w:left w:val="nil"/>
              <w:bottom w:val="single" w:sz="4" w:space="0" w:color="auto"/>
              <w:right w:val="single" w:sz="4" w:space="0" w:color="auto"/>
            </w:tcBorders>
            <w:shd w:val="clear" w:color="auto" w:fill="auto"/>
            <w:noWrap/>
            <w:vAlign w:val="bottom"/>
          </w:tcPr>
          <w:p w:rsidR="001C4733" w:rsidRDefault="00A87AAA" w:rsidP="00451FA6">
            <w:pPr>
              <w:rPr>
                <w:rFonts w:ascii="Arial" w:hAnsi="Arial" w:cs="Arial"/>
                <w:sz w:val="20"/>
                <w:szCs w:val="20"/>
              </w:rPr>
            </w:pPr>
            <w:r>
              <w:rPr>
                <w:rFonts w:ascii="Arial" w:hAnsi="Arial" w:cs="Arial"/>
                <w:sz w:val="20"/>
                <w:szCs w:val="20"/>
              </w:rPr>
              <w:t>$3,366</w:t>
            </w:r>
          </w:p>
        </w:tc>
        <w:tc>
          <w:tcPr>
            <w:tcW w:w="1212"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21,871 </w:t>
            </w:r>
          </w:p>
        </w:tc>
        <w:tc>
          <w:tcPr>
            <w:tcW w:w="1313" w:type="dxa"/>
            <w:tcBorders>
              <w:top w:val="nil"/>
              <w:left w:val="nil"/>
              <w:bottom w:val="single" w:sz="4" w:space="0" w:color="auto"/>
              <w:right w:val="single" w:sz="4" w:space="0" w:color="auto"/>
            </w:tcBorders>
            <w:shd w:val="clear" w:color="auto" w:fill="auto"/>
            <w:noWrap/>
            <w:vAlign w:val="bottom"/>
          </w:tcPr>
          <w:p w:rsidR="001C4733" w:rsidRDefault="00A76AC8" w:rsidP="00451FA6">
            <w:pPr>
              <w:rPr>
                <w:rFonts w:ascii="Arial" w:hAnsi="Arial" w:cs="Arial"/>
                <w:sz w:val="20"/>
                <w:szCs w:val="20"/>
              </w:rPr>
            </w:pPr>
            <w:r>
              <w:rPr>
                <w:rFonts w:ascii="Arial" w:hAnsi="Arial" w:cs="Arial"/>
                <w:sz w:val="20"/>
                <w:szCs w:val="20"/>
              </w:rPr>
              <w:t xml:space="preserve"> $    4</w:t>
            </w:r>
            <w:r w:rsidR="00451FA6">
              <w:rPr>
                <w:rFonts w:ascii="Arial" w:hAnsi="Arial" w:cs="Arial"/>
                <w:sz w:val="20"/>
                <w:szCs w:val="20"/>
              </w:rPr>
              <w:t>4</w:t>
            </w:r>
            <w:r>
              <w:rPr>
                <w:rFonts w:ascii="Arial" w:hAnsi="Arial" w:cs="Arial"/>
                <w:sz w:val="20"/>
                <w:szCs w:val="20"/>
              </w:rPr>
              <w:t>,860</w:t>
            </w:r>
            <w:r w:rsidR="001C4733">
              <w:rPr>
                <w:rFonts w:ascii="Arial" w:hAnsi="Arial" w:cs="Arial"/>
                <w:sz w:val="20"/>
                <w:szCs w:val="20"/>
              </w:rPr>
              <w:t xml:space="preserve"> </w:t>
            </w:r>
          </w:p>
        </w:tc>
      </w:tr>
      <w:tr w:rsidR="001C4733" w:rsidRPr="00E8153C" w:rsidTr="00E8153C">
        <w:trPr>
          <w:trHeight w:val="255"/>
        </w:trPr>
        <w:tc>
          <w:tcPr>
            <w:tcW w:w="2193" w:type="dxa"/>
            <w:tcBorders>
              <w:top w:val="nil"/>
              <w:left w:val="single" w:sz="4" w:space="0" w:color="auto"/>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Outside Useful Life</w:t>
            </w:r>
          </w:p>
        </w:tc>
        <w:tc>
          <w:tcPr>
            <w:tcW w:w="1076"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w:t>
            </w:r>
          </w:p>
        </w:tc>
        <w:tc>
          <w:tcPr>
            <w:tcW w:w="1080"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w:t>
            </w:r>
          </w:p>
        </w:tc>
        <w:tc>
          <w:tcPr>
            <w:tcW w:w="1183"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w:t>
            </w:r>
          </w:p>
        </w:tc>
        <w:tc>
          <w:tcPr>
            <w:tcW w:w="1294"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w:t>
            </w:r>
          </w:p>
        </w:tc>
        <w:tc>
          <w:tcPr>
            <w:tcW w:w="942"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w:t>
            </w:r>
          </w:p>
        </w:tc>
        <w:tc>
          <w:tcPr>
            <w:tcW w:w="1212"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w:t>
            </w:r>
          </w:p>
        </w:tc>
        <w:tc>
          <w:tcPr>
            <w:tcW w:w="1313" w:type="dxa"/>
            <w:tcBorders>
              <w:top w:val="nil"/>
              <w:left w:val="nil"/>
              <w:bottom w:val="single" w:sz="4" w:space="0" w:color="auto"/>
              <w:right w:val="single" w:sz="4" w:space="0" w:color="auto"/>
            </w:tcBorders>
            <w:shd w:val="clear" w:color="auto" w:fill="auto"/>
            <w:noWrap/>
            <w:vAlign w:val="bottom"/>
          </w:tcPr>
          <w:p w:rsidR="001C4733" w:rsidRDefault="001C4733">
            <w:pPr>
              <w:rPr>
                <w:rFonts w:ascii="Arial" w:hAnsi="Arial" w:cs="Arial"/>
                <w:sz w:val="20"/>
                <w:szCs w:val="20"/>
              </w:rPr>
            </w:pPr>
            <w:r>
              <w:rPr>
                <w:rFonts w:ascii="Arial" w:hAnsi="Arial" w:cs="Arial"/>
                <w:sz w:val="20"/>
                <w:szCs w:val="20"/>
              </w:rPr>
              <w:t xml:space="preserve">                -   </w:t>
            </w:r>
          </w:p>
        </w:tc>
      </w:tr>
      <w:tr w:rsidR="001C4733" w:rsidRPr="001C4733" w:rsidTr="00E8153C">
        <w:trPr>
          <w:trHeight w:val="255"/>
        </w:trPr>
        <w:tc>
          <w:tcPr>
            <w:tcW w:w="2193" w:type="dxa"/>
            <w:tcBorders>
              <w:top w:val="nil"/>
              <w:left w:val="single" w:sz="4" w:space="0" w:color="auto"/>
              <w:bottom w:val="single" w:sz="4" w:space="0" w:color="auto"/>
              <w:right w:val="single" w:sz="4" w:space="0" w:color="auto"/>
            </w:tcBorders>
            <w:shd w:val="clear" w:color="auto" w:fill="auto"/>
            <w:noWrap/>
            <w:vAlign w:val="bottom"/>
          </w:tcPr>
          <w:p w:rsidR="001C4733" w:rsidRPr="001C4733" w:rsidRDefault="001C4733">
            <w:pPr>
              <w:jc w:val="right"/>
              <w:rPr>
                <w:rFonts w:ascii="Arial" w:hAnsi="Arial" w:cs="Arial"/>
                <w:b/>
                <w:bCs/>
                <w:sz w:val="20"/>
                <w:szCs w:val="20"/>
              </w:rPr>
            </w:pPr>
            <w:r w:rsidRPr="001C4733">
              <w:rPr>
                <w:rFonts w:ascii="Arial" w:hAnsi="Arial" w:cs="Arial"/>
                <w:b/>
                <w:bCs/>
                <w:sz w:val="20"/>
                <w:szCs w:val="20"/>
              </w:rPr>
              <w:t>Total:</w:t>
            </w:r>
          </w:p>
        </w:tc>
        <w:tc>
          <w:tcPr>
            <w:tcW w:w="1076" w:type="dxa"/>
            <w:tcBorders>
              <w:top w:val="nil"/>
              <w:left w:val="nil"/>
              <w:bottom w:val="single" w:sz="4" w:space="0" w:color="auto"/>
              <w:right w:val="single" w:sz="4" w:space="0" w:color="auto"/>
            </w:tcBorders>
            <w:shd w:val="clear" w:color="auto" w:fill="auto"/>
            <w:noWrap/>
            <w:vAlign w:val="bottom"/>
          </w:tcPr>
          <w:p w:rsidR="001C4733" w:rsidRPr="001C4733" w:rsidRDefault="001C4733">
            <w:pPr>
              <w:jc w:val="right"/>
              <w:rPr>
                <w:rFonts w:ascii="Arial" w:hAnsi="Arial" w:cs="Arial"/>
                <w:b/>
                <w:bCs/>
                <w:sz w:val="20"/>
                <w:szCs w:val="20"/>
              </w:rPr>
            </w:pPr>
            <w:r w:rsidRPr="001C4733">
              <w:rPr>
                <w:rFonts w:ascii="Arial" w:hAnsi="Arial" w:cs="Arial"/>
                <w:b/>
                <w:bCs/>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1C4733" w:rsidRPr="001C4733" w:rsidRDefault="008F28CF">
            <w:pPr>
              <w:jc w:val="right"/>
              <w:rPr>
                <w:rFonts w:ascii="Arial" w:hAnsi="Arial" w:cs="Arial"/>
                <w:b/>
                <w:bCs/>
                <w:sz w:val="20"/>
                <w:szCs w:val="20"/>
              </w:rPr>
            </w:pPr>
            <w:r>
              <w:rPr>
                <w:rFonts w:ascii="Arial" w:hAnsi="Arial" w:cs="Arial"/>
                <w:b/>
                <w:bCs/>
                <w:sz w:val="20"/>
                <w:szCs w:val="20"/>
              </w:rPr>
              <w:t>3</w:t>
            </w:r>
            <w:r w:rsidR="00C82BAF">
              <w:rPr>
                <w:rFonts w:ascii="Arial" w:hAnsi="Arial" w:cs="Arial"/>
                <w:b/>
                <w:bCs/>
                <w:sz w:val="20"/>
                <w:szCs w:val="20"/>
              </w:rPr>
              <w:t>2</w:t>
            </w:r>
          </w:p>
        </w:tc>
        <w:tc>
          <w:tcPr>
            <w:tcW w:w="1183" w:type="dxa"/>
            <w:tcBorders>
              <w:top w:val="nil"/>
              <w:left w:val="nil"/>
              <w:bottom w:val="single" w:sz="4" w:space="0" w:color="auto"/>
              <w:right w:val="single" w:sz="4" w:space="0" w:color="auto"/>
            </w:tcBorders>
            <w:shd w:val="clear" w:color="auto" w:fill="auto"/>
            <w:noWrap/>
            <w:vAlign w:val="bottom"/>
          </w:tcPr>
          <w:p w:rsidR="001C4733" w:rsidRPr="001C4733" w:rsidRDefault="008F28CF">
            <w:pPr>
              <w:jc w:val="right"/>
              <w:rPr>
                <w:rFonts w:ascii="Arial" w:hAnsi="Arial" w:cs="Arial"/>
                <w:b/>
                <w:bCs/>
                <w:sz w:val="20"/>
                <w:szCs w:val="20"/>
              </w:rPr>
            </w:pPr>
            <w:r>
              <w:rPr>
                <w:rFonts w:ascii="Arial" w:hAnsi="Arial" w:cs="Arial"/>
                <w:b/>
                <w:bCs/>
                <w:sz w:val="20"/>
                <w:szCs w:val="20"/>
              </w:rPr>
              <w:t>1,578</w:t>
            </w:r>
          </w:p>
        </w:tc>
        <w:tc>
          <w:tcPr>
            <w:tcW w:w="1294" w:type="dxa"/>
            <w:tcBorders>
              <w:top w:val="nil"/>
              <w:left w:val="nil"/>
              <w:bottom w:val="single" w:sz="4" w:space="0" w:color="auto"/>
              <w:right w:val="single" w:sz="4" w:space="0" w:color="auto"/>
            </w:tcBorders>
            <w:shd w:val="clear" w:color="auto" w:fill="auto"/>
            <w:noWrap/>
            <w:vAlign w:val="bottom"/>
          </w:tcPr>
          <w:p w:rsidR="001C4733" w:rsidRPr="001C4733" w:rsidRDefault="001C4733">
            <w:pPr>
              <w:rPr>
                <w:rFonts w:ascii="Arial" w:hAnsi="Arial" w:cs="Arial"/>
                <w:b/>
                <w:bCs/>
                <w:sz w:val="20"/>
                <w:szCs w:val="20"/>
              </w:rPr>
            </w:pPr>
            <w:r w:rsidRPr="001C4733">
              <w:rPr>
                <w:rFonts w:ascii="Arial" w:hAnsi="Arial" w:cs="Arial"/>
                <w:b/>
                <w:bCs/>
                <w:sz w:val="20"/>
                <w:szCs w:val="20"/>
              </w:rPr>
              <w:t xml:space="preserve"> $  </w:t>
            </w:r>
            <w:r w:rsidR="005F53B5">
              <w:rPr>
                <w:rFonts w:ascii="Arial" w:hAnsi="Arial" w:cs="Arial"/>
                <w:b/>
                <w:bCs/>
                <w:sz w:val="20"/>
                <w:szCs w:val="20"/>
              </w:rPr>
              <w:t>135,0</w:t>
            </w:r>
            <w:r w:rsidR="008F28CF">
              <w:rPr>
                <w:rFonts w:ascii="Arial" w:hAnsi="Arial" w:cs="Arial"/>
                <w:b/>
                <w:bCs/>
                <w:sz w:val="20"/>
                <w:szCs w:val="20"/>
              </w:rPr>
              <w:t>78</w:t>
            </w:r>
            <w:r w:rsidRPr="001C4733">
              <w:rPr>
                <w:rFonts w:ascii="Arial" w:hAnsi="Arial" w:cs="Arial"/>
                <w:b/>
                <w:bCs/>
                <w:sz w:val="20"/>
                <w:szCs w:val="20"/>
              </w:rPr>
              <w:t xml:space="preserve"> </w:t>
            </w:r>
          </w:p>
        </w:tc>
        <w:tc>
          <w:tcPr>
            <w:tcW w:w="942" w:type="dxa"/>
            <w:tcBorders>
              <w:top w:val="nil"/>
              <w:left w:val="nil"/>
              <w:bottom w:val="single" w:sz="4" w:space="0" w:color="auto"/>
              <w:right w:val="single" w:sz="4" w:space="0" w:color="auto"/>
            </w:tcBorders>
            <w:shd w:val="clear" w:color="auto" w:fill="auto"/>
            <w:noWrap/>
            <w:vAlign w:val="bottom"/>
          </w:tcPr>
          <w:p w:rsidR="001C4733" w:rsidRPr="00A87AAA" w:rsidRDefault="001C4733">
            <w:pPr>
              <w:rPr>
                <w:rFonts w:ascii="Arial" w:hAnsi="Arial" w:cs="Arial"/>
                <w:b/>
                <w:bCs/>
                <w:sz w:val="20"/>
                <w:szCs w:val="20"/>
              </w:rPr>
            </w:pPr>
            <w:r w:rsidRPr="00A87AAA">
              <w:rPr>
                <w:rFonts w:ascii="Arial" w:hAnsi="Arial" w:cs="Arial"/>
                <w:b/>
                <w:bCs/>
                <w:sz w:val="20"/>
                <w:szCs w:val="20"/>
              </w:rPr>
              <w:t xml:space="preserve">      </w:t>
            </w:r>
            <w:r w:rsidR="00451FA6" w:rsidRPr="00A87AAA">
              <w:rPr>
                <w:rFonts w:ascii="Arial" w:hAnsi="Arial" w:cs="Arial"/>
                <w:b/>
                <w:sz w:val="20"/>
                <w:szCs w:val="20"/>
              </w:rPr>
              <w:t>$3</w:t>
            </w:r>
            <w:r w:rsidR="005F53B5" w:rsidRPr="00A87AAA">
              <w:rPr>
                <w:rFonts w:ascii="Arial" w:hAnsi="Arial" w:cs="Arial"/>
                <w:b/>
                <w:sz w:val="20"/>
                <w:szCs w:val="20"/>
              </w:rPr>
              <w:t>,366</w:t>
            </w:r>
          </w:p>
        </w:tc>
        <w:tc>
          <w:tcPr>
            <w:tcW w:w="1212" w:type="dxa"/>
            <w:tcBorders>
              <w:top w:val="nil"/>
              <w:left w:val="nil"/>
              <w:bottom w:val="single" w:sz="4" w:space="0" w:color="auto"/>
              <w:right w:val="single" w:sz="4" w:space="0" w:color="auto"/>
            </w:tcBorders>
            <w:shd w:val="clear" w:color="auto" w:fill="auto"/>
            <w:noWrap/>
            <w:vAlign w:val="bottom"/>
          </w:tcPr>
          <w:p w:rsidR="001C4733" w:rsidRPr="001C4733" w:rsidRDefault="001C4733">
            <w:pPr>
              <w:rPr>
                <w:rFonts w:ascii="Arial" w:hAnsi="Arial" w:cs="Arial"/>
                <w:b/>
                <w:bCs/>
                <w:sz w:val="20"/>
                <w:szCs w:val="20"/>
              </w:rPr>
            </w:pPr>
            <w:r w:rsidRPr="001C4733">
              <w:rPr>
                <w:rFonts w:ascii="Arial" w:hAnsi="Arial" w:cs="Arial"/>
                <w:b/>
                <w:bCs/>
                <w:sz w:val="20"/>
                <w:szCs w:val="20"/>
              </w:rPr>
              <w:t xml:space="preserve"> $ 619,023 </w:t>
            </w:r>
          </w:p>
        </w:tc>
        <w:tc>
          <w:tcPr>
            <w:tcW w:w="1313" w:type="dxa"/>
            <w:tcBorders>
              <w:top w:val="nil"/>
              <w:left w:val="nil"/>
              <w:bottom w:val="single" w:sz="4" w:space="0" w:color="auto"/>
              <w:right w:val="single" w:sz="4" w:space="0" w:color="auto"/>
            </w:tcBorders>
            <w:shd w:val="clear" w:color="auto" w:fill="auto"/>
            <w:noWrap/>
            <w:vAlign w:val="bottom"/>
          </w:tcPr>
          <w:p w:rsidR="001C4733" w:rsidRPr="001C4733" w:rsidRDefault="001C4733" w:rsidP="00451FA6">
            <w:pPr>
              <w:rPr>
                <w:rFonts w:ascii="Arial" w:hAnsi="Arial" w:cs="Arial"/>
                <w:b/>
                <w:bCs/>
                <w:sz w:val="20"/>
                <w:szCs w:val="20"/>
              </w:rPr>
            </w:pPr>
            <w:r w:rsidRPr="001C4733">
              <w:rPr>
                <w:rFonts w:ascii="Arial" w:hAnsi="Arial" w:cs="Arial"/>
                <w:b/>
                <w:bCs/>
                <w:sz w:val="20"/>
                <w:szCs w:val="20"/>
              </w:rPr>
              <w:t xml:space="preserve"> $  </w:t>
            </w:r>
            <w:r w:rsidR="005F53B5">
              <w:rPr>
                <w:rFonts w:ascii="Arial" w:hAnsi="Arial" w:cs="Arial"/>
                <w:b/>
                <w:bCs/>
                <w:sz w:val="20"/>
                <w:szCs w:val="20"/>
              </w:rPr>
              <w:t>75</w:t>
            </w:r>
            <w:r w:rsidR="00451FA6">
              <w:rPr>
                <w:rFonts w:ascii="Arial" w:hAnsi="Arial" w:cs="Arial"/>
                <w:b/>
                <w:bCs/>
                <w:sz w:val="20"/>
                <w:szCs w:val="20"/>
              </w:rPr>
              <w:t>7</w:t>
            </w:r>
            <w:r w:rsidR="005F53B5">
              <w:rPr>
                <w:rFonts w:ascii="Arial" w:hAnsi="Arial" w:cs="Arial"/>
                <w:b/>
                <w:bCs/>
                <w:sz w:val="20"/>
                <w:szCs w:val="20"/>
              </w:rPr>
              <w:t>,468</w:t>
            </w:r>
          </w:p>
        </w:tc>
      </w:tr>
    </w:tbl>
    <w:p w:rsidR="00C65924" w:rsidRDefault="00C65924" w:rsidP="00692526">
      <w:pPr>
        <w:tabs>
          <w:tab w:val="right" w:pos="4680"/>
        </w:tabs>
      </w:pPr>
    </w:p>
    <w:p w:rsidR="002C18BF" w:rsidRDefault="002C18BF" w:rsidP="00692526">
      <w:pPr>
        <w:tabs>
          <w:tab w:val="right" w:pos="4680"/>
        </w:tabs>
      </w:pPr>
    </w:p>
    <w:p w:rsidR="00175A72" w:rsidRDefault="00175A72" w:rsidP="00692526">
      <w:pPr>
        <w:tabs>
          <w:tab w:val="right" w:pos="4680"/>
        </w:tabs>
      </w:pPr>
    </w:p>
    <w:p w:rsidR="005F53B5" w:rsidRDefault="005F53B5" w:rsidP="00692526">
      <w:pPr>
        <w:tabs>
          <w:tab w:val="right" w:pos="4680"/>
        </w:tabs>
      </w:pPr>
    </w:p>
    <w:p w:rsidR="00175A72" w:rsidRPr="00175A72" w:rsidRDefault="00175A72" w:rsidP="00175A72">
      <w:pPr>
        <w:ind w:firstLine="720"/>
        <w:rPr>
          <w:b/>
          <w:i/>
        </w:rPr>
      </w:pPr>
      <w:r w:rsidRPr="00F237B1">
        <w:rPr>
          <w:i/>
        </w:rPr>
        <w:t>(ii)  The Agency Tally</w:t>
      </w:r>
    </w:p>
    <w:p w:rsidR="00F237B1" w:rsidRPr="00A85452" w:rsidRDefault="00F237B1" w:rsidP="00F237B1">
      <w:pPr>
        <w:keepNext/>
        <w:keepLines/>
        <w:numPr>
          <w:ilvl w:val="12"/>
          <w:numId w:val="0"/>
        </w:numPr>
      </w:pPr>
    </w:p>
    <w:p w:rsidR="002C18BF" w:rsidRPr="00F237B1" w:rsidRDefault="002A6B3A" w:rsidP="00F237B1">
      <w:pPr>
        <w:keepNext/>
        <w:keepLines/>
        <w:numPr>
          <w:ilvl w:val="12"/>
          <w:numId w:val="0"/>
        </w:numPr>
        <w:jc w:val="center"/>
        <w:rPr>
          <w:b/>
        </w:rPr>
      </w:pPr>
      <w:r w:rsidRPr="002A6B3A">
        <w:rPr>
          <w:b/>
        </w:rPr>
        <w:t xml:space="preserve">Table </w:t>
      </w:r>
      <w:r>
        <w:rPr>
          <w:b/>
        </w:rPr>
        <w:t>7</w:t>
      </w:r>
      <w:r w:rsidR="00F237B1">
        <w:rPr>
          <w:b/>
        </w:rPr>
        <w:br/>
      </w:r>
      <w:r w:rsidR="00F237B1" w:rsidRPr="00202458">
        <w:rPr>
          <w:b/>
        </w:rPr>
        <w:t>Total Esti</w:t>
      </w:r>
      <w:r w:rsidR="00E053A1">
        <w:rPr>
          <w:b/>
        </w:rPr>
        <w:t>mated Agency</w:t>
      </w:r>
      <w:r w:rsidR="00F237B1" w:rsidRPr="00202458">
        <w:rPr>
          <w:b/>
        </w:rPr>
        <w:t xml:space="preserve"> Burden </w:t>
      </w:r>
      <w:r w:rsidR="00F237B1">
        <w:rPr>
          <w:b/>
        </w:rPr>
        <w:t>a</w:t>
      </w:r>
      <w:r w:rsidR="00F237B1" w:rsidRPr="00202458">
        <w:rPr>
          <w:b/>
        </w:rPr>
        <w:t>nd Cost Summary</w:t>
      </w:r>
    </w:p>
    <w:p w:rsidR="00175A72" w:rsidRDefault="00175A72" w:rsidP="00692526">
      <w:pPr>
        <w:tabs>
          <w:tab w:val="right" w:pos="4680"/>
        </w:tabs>
      </w:pPr>
    </w:p>
    <w:tbl>
      <w:tblPr>
        <w:tblW w:w="10080" w:type="dxa"/>
        <w:tblInd w:w="93" w:type="dxa"/>
        <w:tblLook w:val="0000"/>
      </w:tblPr>
      <w:tblGrid>
        <w:gridCol w:w="2140"/>
        <w:gridCol w:w="1395"/>
        <w:gridCol w:w="1006"/>
        <w:gridCol w:w="960"/>
        <w:gridCol w:w="1300"/>
        <w:gridCol w:w="960"/>
        <w:gridCol w:w="1220"/>
        <w:gridCol w:w="1320"/>
      </w:tblGrid>
      <w:tr w:rsidR="00F237B1" w:rsidRPr="00F237B1" w:rsidTr="00F237B1">
        <w:trPr>
          <w:trHeight w:val="1020"/>
        </w:trPr>
        <w:tc>
          <w:tcPr>
            <w:tcW w:w="2140" w:type="dxa"/>
            <w:tcBorders>
              <w:top w:val="single" w:sz="4" w:space="0" w:color="auto"/>
              <w:left w:val="single" w:sz="4" w:space="0" w:color="auto"/>
              <w:bottom w:val="single" w:sz="4" w:space="0" w:color="auto"/>
              <w:right w:val="single" w:sz="4" w:space="0" w:color="auto"/>
            </w:tcBorders>
            <w:shd w:val="clear" w:color="auto" w:fill="969696"/>
            <w:vAlign w:val="bottom"/>
          </w:tcPr>
          <w:p w:rsidR="00F237B1" w:rsidRPr="00F237B1" w:rsidRDefault="00F237B1" w:rsidP="00F237B1">
            <w:pPr>
              <w:widowControl/>
              <w:autoSpaceDE/>
              <w:autoSpaceDN/>
              <w:jc w:val="center"/>
              <w:rPr>
                <w:rFonts w:ascii="Arial" w:hAnsi="Arial" w:cs="Arial"/>
                <w:sz w:val="20"/>
                <w:szCs w:val="20"/>
              </w:rPr>
            </w:pPr>
            <w:r w:rsidRPr="00F237B1">
              <w:rPr>
                <w:rFonts w:ascii="Arial" w:hAnsi="Arial" w:cs="Arial"/>
                <w:sz w:val="20"/>
                <w:szCs w:val="20"/>
              </w:rPr>
              <w:lastRenderedPageBreak/>
              <w:t>Program (Age of Converted Engine)</w:t>
            </w:r>
          </w:p>
        </w:tc>
        <w:tc>
          <w:tcPr>
            <w:tcW w:w="1220" w:type="dxa"/>
            <w:tcBorders>
              <w:top w:val="single" w:sz="4" w:space="0" w:color="auto"/>
              <w:left w:val="nil"/>
              <w:bottom w:val="single" w:sz="4" w:space="0" w:color="auto"/>
              <w:right w:val="single" w:sz="4" w:space="0" w:color="auto"/>
            </w:tcBorders>
            <w:shd w:val="clear" w:color="auto" w:fill="969696"/>
            <w:vAlign w:val="bottom"/>
          </w:tcPr>
          <w:p w:rsidR="00F237B1" w:rsidRPr="00F237B1" w:rsidRDefault="00F237B1" w:rsidP="00F237B1">
            <w:pPr>
              <w:widowControl/>
              <w:autoSpaceDE/>
              <w:autoSpaceDN/>
              <w:jc w:val="center"/>
              <w:rPr>
                <w:rFonts w:ascii="Arial" w:hAnsi="Arial" w:cs="Arial"/>
                <w:sz w:val="20"/>
                <w:szCs w:val="20"/>
              </w:rPr>
            </w:pPr>
            <w:r w:rsidRPr="00F237B1">
              <w:rPr>
                <w:rFonts w:ascii="Arial" w:hAnsi="Arial" w:cs="Arial"/>
                <w:sz w:val="20"/>
                <w:szCs w:val="20"/>
              </w:rPr>
              <w:t>Number of Respondents</w:t>
            </w:r>
          </w:p>
        </w:tc>
        <w:tc>
          <w:tcPr>
            <w:tcW w:w="960" w:type="dxa"/>
            <w:tcBorders>
              <w:top w:val="single" w:sz="4" w:space="0" w:color="auto"/>
              <w:left w:val="nil"/>
              <w:bottom w:val="single" w:sz="4" w:space="0" w:color="auto"/>
              <w:right w:val="single" w:sz="4" w:space="0" w:color="auto"/>
            </w:tcBorders>
            <w:shd w:val="clear" w:color="auto" w:fill="969696"/>
            <w:vAlign w:val="bottom"/>
          </w:tcPr>
          <w:p w:rsidR="00F237B1" w:rsidRPr="00F237B1" w:rsidRDefault="00F237B1" w:rsidP="00F237B1">
            <w:pPr>
              <w:widowControl/>
              <w:autoSpaceDE/>
              <w:autoSpaceDN/>
              <w:jc w:val="center"/>
              <w:rPr>
                <w:rFonts w:ascii="Arial" w:hAnsi="Arial" w:cs="Arial"/>
                <w:sz w:val="20"/>
                <w:szCs w:val="20"/>
              </w:rPr>
            </w:pPr>
            <w:r w:rsidRPr="00F237B1">
              <w:rPr>
                <w:rFonts w:ascii="Arial" w:hAnsi="Arial" w:cs="Arial"/>
                <w:sz w:val="20"/>
                <w:szCs w:val="20"/>
              </w:rPr>
              <w:t>Number of Activities</w:t>
            </w:r>
          </w:p>
        </w:tc>
        <w:tc>
          <w:tcPr>
            <w:tcW w:w="960" w:type="dxa"/>
            <w:tcBorders>
              <w:top w:val="single" w:sz="4" w:space="0" w:color="auto"/>
              <w:left w:val="nil"/>
              <w:bottom w:val="single" w:sz="4" w:space="0" w:color="auto"/>
              <w:right w:val="single" w:sz="4" w:space="0" w:color="auto"/>
            </w:tcBorders>
            <w:shd w:val="clear" w:color="auto" w:fill="969696"/>
            <w:vAlign w:val="bottom"/>
          </w:tcPr>
          <w:p w:rsidR="00F237B1" w:rsidRPr="00F237B1" w:rsidRDefault="00F237B1" w:rsidP="00F237B1">
            <w:pPr>
              <w:widowControl/>
              <w:autoSpaceDE/>
              <w:autoSpaceDN/>
              <w:jc w:val="center"/>
              <w:rPr>
                <w:rFonts w:ascii="Arial" w:hAnsi="Arial" w:cs="Arial"/>
                <w:sz w:val="20"/>
                <w:szCs w:val="20"/>
              </w:rPr>
            </w:pPr>
            <w:r w:rsidRPr="00F237B1">
              <w:rPr>
                <w:rFonts w:ascii="Arial" w:hAnsi="Arial" w:cs="Arial"/>
                <w:sz w:val="20"/>
                <w:szCs w:val="20"/>
              </w:rPr>
              <w:t>Total Hours Per Year</w:t>
            </w:r>
          </w:p>
        </w:tc>
        <w:tc>
          <w:tcPr>
            <w:tcW w:w="1300" w:type="dxa"/>
            <w:tcBorders>
              <w:top w:val="single" w:sz="4" w:space="0" w:color="auto"/>
              <w:left w:val="nil"/>
              <w:bottom w:val="single" w:sz="4" w:space="0" w:color="auto"/>
              <w:right w:val="single" w:sz="4" w:space="0" w:color="auto"/>
            </w:tcBorders>
            <w:shd w:val="clear" w:color="auto" w:fill="969696"/>
            <w:vAlign w:val="bottom"/>
          </w:tcPr>
          <w:p w:rsidR="00F237B1" w:rsidRPr="00F237B1" w:rsidRDefault="00F237B1" w:rsidP="00F237B1">
            <w:pPr>
              <w:widowControl/>
              <w:autoSpaceDE/>
              <w:autoSpaceDN/>
              <w:jc w:val="center"/>
              <w:rPr>
                <w:rFonts w:ascii="Arial" w:hAnsi="Arial" w:cs="Arial"/>
                <w:sz w:val="20"/>
                <w:szCs w:val="20"/>
              </w:rPr>
            </w:pPr>
            <w:r w:rsidRPr="00F237B1">
              <w:rPr>
                <w:rFonts w:ascii="Arial" w:hAnsi="Arial" w:cs="Arial"/>
                <w:sz w:val="20"/>
                <w:szCs w:val="20"/>
              </w:rPr>
              <w:t>Total Labor Cost Per Year</w:t>
            </w:r>
          </w:p>
        </w:tc>
        <w:tc>
          <w:tcPr>
            <w:tcW w:w="960" w:type="dxa"/>
            <w:tcBorders>
              <w:top w:val="single" w:sz="4" w:space="0" w:color="auto"/>
              <w:left w:val="nil"/>
              <w:bottom w:val="single" w:sz="4" w:space="0" w:color="auto"/>
              <w:right w:val="single" w:sz="4" w:space="0" w:color="auto"/>
            </w:tcBorders>
            <w:shd w:val="clear" w:color="auto" w:fill="969696"/>
            <w:vAlign w:val="bottom"/>
          </w:tcPr>
          <w:p w:rsidR="00F237B1" w:rsidRPr="00F237B1" w:rsidRDefault="00F237B1" w:rsidP="00F237B1">
            <w:pPr>
              <w:widowControl/>
              <w:autoSpaceDE/>
              <w:autoSpaceDN/>
              <w:jc w:val="center"/>
              <w:rPr>
                <w:rFonts w:ascii="Arial" w:hAnsi="Arial" w:cs="Arial"/>
                <w:sz w:val="20"/>
                <w:szCs w:val="20"/>
              </w:rPr>
            </w:pPr>
            <w:r w:rsidRPr="00F237B1">
              <w:rPr>
                <w:rFonts w:ascii="Arial" w:hAnsi="Arial" w:cs="Arial"/>
                <w:sz w:val="20"/>
                <w:szCs w:val="20"/>
              </w:rPr>
              <w:t>Total Annual Capital Costs</w:t>
            </w:r>
          </w:p>
        </w:tc>
        <w:tc>
          <w:tcPr>
            <w:tcW w:w="1220" w:type="dxa"/>
            <w:tcBorders>
              <w:top w:val="single" w:sz="4" w:space="0" w:color="auto"/>
              <w:left w:val="nil"/>
              <w:bottom w:val="single" w:sz="4" w:space="0" w:color="auto"/>
              <w:right w:val="single" w:sz="4" w:space="0" w:color="auto"/>
            </w:tcBorders>
            <w:shd w:val="clear" w:color="auto" w:fill="969696"/>
            <w:vAlign w:val="bottom"/>
          </w:tcPr>
          <w:p w:rsidR="00F237B1" w:rsidRPr="00F237B1" w:rsidRDefault="00F237B1" w:rsidP="00F237B1">
            <w:pPr>
              <w:widowControl/>
              <w:autoSpaceDE/>
              <w:autoSpaceDN/>
              <w:jc w:val="center"/>
              <w:rPr>
                <w:rFonts w:ascii="Arial" w:hAnsi="Arial" w:cs="Arial"/>
                <w:sz w:val="20"/>
                <w:szCs w:val="20"/>
              </w:rPr>
            </w:pPr>
            <w:r w:rsidRPr="00F237B1">
              <w:rPr>
                <w:rFonts w:ascii="Arial" w:hAnsi="Arial" w:cs="Arial"/>
                <w:sz w:val="20"/>
                <w:szCs w:val="20"/>
              </w:rPr>
              <w:t>Total Annual O&amp;M Costs</w:t>
            </w:r>
          </w:p>
        </w:tc>
        <w:tc>
          <w:tcPr>
            <w:tcW w:w="1320" w:type="dxa"/>
            <w:tcBorders>
              <w:top w:val="single" w:sz="4" w:space="0" w:color="auto"/>
              <w:left w:val="nil"/>
              <w:bottom w:val="single" w:sz="4" w:space="0" w:color="auto"/>
              <w:right w:val="single" w:sz="4" w:space="0" w:color="auto"/>
            </w:tcBorders>
            <w:shd w:val="clear" w:color="auto" w:fill="969696"/>
            <w:vAlign w:val="bottom"/>
          </w:tcPr>
          <w:p w:rsidR="00F237B1" w:rsidRPr="00F237B1" w:rsidRDefault="00F237B1" w:rsidP="00F237B1">
            <w:pPr>
              <w:widowControl/>
              <w:autoSpaceDE/>
              <w:autoSpaceDN/>
              <w:jc w:val="center"/>
              <w:rPr>
                <w:rFonts w:ascii="Arial" w:hAnsi="Arial" w:cs="Arial"/>
                <w:sz w:val="20"/>
                <w:szCs w:val="20"/>
              </w:rPr>
            </w:pPr>
            <w:r w:rsidRPr="00F237B1">
              <w:rPr>
                <w:rFonts w:ascii="Arial" w:hAnsi="Arial" w:cs="Arial"/>
                <w:sz w:val="20"/>
                <w:szCs w:val="20"/>
              </w:rPr>
              <w:t>Total Costs</w:t>
            </w:r>
          </w:p>
        </w:tc>
      </w:tr>
      <w:tr w:rsidR="00F237B1" w:rsidRPr="00F237B1" w:rsidTr="00F237B1">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 </w:t>
            </w:r>
          </w:p>
        </w:tc>
        <w:tc>
          <w:tcPr>
            <w:tcW w:w="130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 </w:t>
            </w:r>
          </w:p>
        </w:tc>
      </w:tr>
      <w:tr w:rsidR="00F237B1" w:rsidRPr="00F237B1" w:rsidTr="00F237B1">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All programs</w:t>
            </w:r>
          </w:p>
        </w:tc>
        <w:tc>
          <w:tcPr>
            <w:tcW w:w="122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jc w:val="right"/>
              <w:rPr>
                <w:rFonts w:ascii="Arial" w:hAnsi="Arial" w:cs="Arial"/>
                <w:sz w:val="20"/>
                <w:szCs w:val="20"/>
              </w:rPr>
            </w:pPr>
            <w:r w:rsidRPr="00F237B1">
              <w:rPr>
                <w:rFonts w:ascii="Arial" w:hAnsi="Arial" w:cs="Arial"/>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jc w:val="right"/>
              <w:rPr>
                <w:rFonts w:ascii="Arial" w:hAnsi="Arial" w:cs="Arial"/>
                <w:sz w:val="20"/>
                <w:szCs w:val="20"/>
              </w:rPr>
            </w:pPr>
            <w:r w:rsidRPr="00F237B1">
              <w:rPr>
                <w:rFonts w:ascii="Arial" w:hAnsi="Arial" w:cs="Arial"/>
                <w:sz w:val="20"/>
                <w:szCs w:val="20"/>
              </w:rPr>
              <w:t>12</w:t>
            </w:r>
          </w:p>
        </w:tc>
        <w:tc>
          <w:tcPr>
            <w:tcW w:w="96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jc w:val="right"/>
              <w:rPr>
                <w:rFonts w:ascii="Arial" w:hAnsi="Arial" w:cs="Arial"/>
                <w:sz w:val="20"/>
                <w:szCs w:val="20"/>
              </w:rPr>
            </w:pPr>
            <w:r w:rsidRPr="00F237B1">
              <w:rPr>
                <w:rFonts w:ascii="Arial" w:hAnsi="Arial" w:cs="Arial"/>
                <w:sz w:val="20"/>
                <w:szCs w:val="20"/>
              </w:rPr>
              <w:t>3,101</w:t>
            </w:r>
          </w:p>
        </w:tc>
        <w:tc>
          <w:tcPr>
            <w:tcW w:w="1300" w:type="dxa"/>
            <w:tcBorders>
              <w:top w:val="nil"/>
              <w:left w:val="nil"/>
              <w:bottom w:val="single" w:sz="4" w:space="0" w:color="auto"/>
              <w:right w:val="single" w:sz="4" w:space="0" w:color="auto"/>
            </w:tcBorders>
            <w:shd w:val="clear" w:color="auto" w:fill="auto"/>
            <w:noWrap/>
            <w:vAlign w:val="bottom"/>
          </w:tcPr>
          <w:p w:rsidR="00F237B1" w:rsidRPr="00F237B1" w:rsidRDefault="005F53B5" w:rsidP="005F53B5">
            <w:pPr>
              <w:widowControl/>
              <w:autoSpaceDE/>
              <w:autoSpaceDN/>
              <w:rPr>
                <w:rFonts w:ascii="Arial" w:hAnsi="Arial" w:cs="Arial"/>
                <w:sz w:val="20"/>
                <w:szCs w:val="20"/>
              </w:rPr>
            </w:pPr>
            <w:r>
              <w:rPr>
                <w:rFonts w:ascii="Arial" w:hAnsi="Arial" w:cs="Arial"/>
                <w:sz w:val="20"/>
                <w:szCs w:val="20"/>
              </w:rPr>
              <w:t xml:space="preserve"> $</w:t>
            </w:r>
            <w:r w:rsidR="00F237B1" w:rsidRPr="00F237B1">
              <w:rPr>
                <w:rFonts w:ascii="Arial" w:hAnsi="Arial" w:cs="Arial"/>
                <w:sz w:val="20"/>
                <w:szCs w:val="20"/>
              </w:rPr>
              <w:t xml:space="preserve">  237,382 </w:t>
            </w:r>
          </w:p>
        </w:tc>
        <w:tc>
          <w:tcPr>
            <w:tcW w:w="960" w:type="dxa"/>
            <w:tcBorders>
              <w:top w:val="nil"/>
              <w:left w:val="nil"/>
              <w:bottom w:val="single" w:sz="4" w:space="0" w:color="auto"/>
              <w:right w:val="single" w:sz="4" w:space="0" w:color="auto"/>
            </w:tcBorders>
            <w:shd w:val="clear" w:color="auto" w:fill="auto"/>
            <w:noWrap/>
            <w:vAlign w:val="bottom"/>
          </w:tcPr>
          <w:p w:rsidR="00F237B1" w:rsidRPr="00F237B1" w:rsidRDefault="00F237B1" w:rsidP="00F237B1">
            <w:pPr>
              <w:widowControl/>
              <w:autoSpaceDE/>
              <w:autoSpaceDN/>
              <w:rPr>
                <w:rFonts w:ascii="Arial" w:hAnsi="Arial" w:cs="Arial"/>
                <w:sz w:val="20"/>
                <w:szCs w:val="20"/>
              </w:rPr>
            </w:pPr>
            <w:r w:rsidRPr="00F237B1">
              <w:rPr>
                <w:rFonts w:ascii="Arial" w:hAnsi="Arial" w:cs="Arial"/>
                <w:sz w:val="20"/>
                <w:szCs w:val="20"/>
              </w:rPr>
              <w:t xml:space="preserve"> $        -   </w:t>
            </w:r>
          </w:p>
        </w:tc>
        <w:tc>
          <w:tcPr>
            <w:tcW w:w="1220" w:type="dxa"/>
            <w:tcBorders>
              <w:top w:val="nil"/>
              <w:left w:val="nil"/>
              <w:bottom w:val="single" w:sz="4" w:space="0" w:color="auto"/>
              <w:right w:val="single" w:sz="4" w:space="0" w:color="auto"/>
            </w:tcBorders>
            <w:shd w:val="clear" w:color="auto" w:fill="auto"/>
            <w:noWrap/>
            <w:vAlign w:val="bottom"/>
          </w:tcPr>
          <w:p w:rsidR="00F237B1" w:rsidRPr="00F237B1" w:rsidRDefault="00F237B1" w:rsidP="005F53B5">
            <w:pPr>
              <w:widowControl/>
              <w:autoSpaceDE/>
              <w:autoSpaceDN/>
              <w:rPr>
                <w:rFonts w:ascii="Arial" w:hAnsi="Arial" w:cs="Arial"/>
                <w:sz w:val="20"/>
                <w:szCs w:val="20"/>
              </w:rPr>
            </w:pPr>
            <w:r w:rsidRPr="00F237B1">
              <w:rPr>
                <w:rFonts w:ascii="Arial" w:hAnsi="Arial" w:cs="Arial"/>
                <w:sz w:val="20"/>
                <w:szCs w:val="20"/>
              </w:rPr>
              <w:t xml:space="preserve"> $  604 </w:t>
            </w:r>
          </w:p>
        </w:tc>
        <w:tc>
          <w:tcPr>
            <w:tcW w:w="1320" w:type="dxa"/>
            <w:tcBorders>
              <w:top w:val="nil"/>
              <w:left w:val="nil"/>
              <w:bottom w:val="single" w:sz="4" w:space="0" w:color="auto"/>
              <w:right w:val="single" w:sz="4" w:space="0" w:color="auto"/>
            </w:tcBorders>
            <w:shd w:val="clear" w:color="auto" w:fill="auto"/>
            <w:noWrap/>
            <w:vAlign w:val="bottom"/>
          </w:tcPr>
          <w:p w:rsidR="00F237B1" w:rsidRPr="00F237B1" w:rsidRDefault="00F237B1" w:rsidP="005F53B5">
            <w:pPr>
              <w:widowControl/>
              <w:autoSpaceDE/>
              <w:autoSpaceDN/>
              <w:rPr>
                <w:rFonts w:ascii="Arial" w:hAnsi="Arial" w:cs="Arial"/>
                <w:sz w:val="20"/>
                <w:szCs w:val="20"/>
              </w:rPr>
            </w:pPr>
            <w:r w:rsidRPr="00F237B1">
              <w:rPr>
                <w:rFonts w:ascii="Arial" w:hAnsi="Arial" w:cs="Arial"/>
                <w:sz w:val="20"/>
                <w:szCs w:val="20"/>
              </w:rPr>
              <w:t xml:space="preserve"> $ 237,986 </w:t>
            </w:r>
          </w:p>
        </w:tc>
      </w:tr>
    </w:tbl>
    <w:p w:rsidR="00175A72" w:rsidRDefault="00175A72" w:rsidP="00692526">
      <w:pPr>
        <w:tabs>
          <w:tab w:val="right" w:pos="4680"/>
        </w:tabs>
      </w:pPr>
    </w:p>
    <w:p w:rsidR="00175A72" w:rsidRDefault="00175A72" w:rsidP="00692526">
      <w:pPr>
        <w:tabs>
          <w:tab w:val="right" w:pos="4680"/>
        </w:tabs>
      </w:pPr>
    </w:p>
    <w:p w:rsidR="00175A72" w:rsidRDefault="00175A72" w:rsidP="00692526">
      <w:pPr>
        <w:tabs>
          <w:tab w:val="right" w:pos="4680"/>
        </w:tabs>
      </w:pPr>
    </w:p>
    <w:p w:rsidR="005F53B5" w:rsidRDefault="005F53B5" w:rsidP="00692526">
      <w:pPr>
        <w:tabs>
          <w:tab w:val="right" w:pos="4680"/>
        </w:tabs>
      </w:pPr>
    </w:p>
    <w:p w:rsidR="005F53B5" w:rsidRDefault="005F53B5" w:rsidP="00692526">
      <w:pPr>
        <w:tabs>
          <w:tab w:val="right" w:pos="4680"/>
        </w:tabs>
      </w:pPr>
    </w:p>
    <w:p w:rsidR="002C18BF" w:rsidRDefault="002C18BF" w:rsidP="00692526">
      <w:pPr>
        <w:tabs>
          <w:tab w:val="right" w:pos="4680"/>
        </w:tabs>
      </w:pPr>
    </w:p>
    <w:p w:rsidR="00C65924" w:rsidRDefault="00C65924" w:rsidP="00692526">
      <w:pPr>
        <w:tabs>
          <w:tab w:val="right" w:pos="4680"/>
        </w:tabs>
      </w:pPr>
      <w:r>
        <w:t xml:space="preserve">6(f) </w:t>
      </w:r>
      <w:r w:rsidRPr="00C65924">
        <w:rPr>
          <w:u w:val="single"/>
        </w:rPr>
        <w:t>Reasons for change in burden</w:t>
      </w:r>
    </w:p>
    <w:p w:rsidR="00C65924" w:rsidRPr="007146CE" w:rsidRDefault="00C65924" w:rsidP="007146CE">
      <w:pPr>
        <w:pStyle w:val="Style6"/>
        <w:jc w:val="left"/>
        <w:rPr>
          <w:spacing w:val="6"/>
        </w:rPr>
      </w:pPr>
    </w:p>
    <w:p w:rsidR="005014EE" w:rsidRDefault="002A64DB" w:rsidP="00D7377C">
      <w:pPr>
        <w:pStyle w:val="Style6"/>
        <w:jc w:val="left"/>
        <w:rPr>
          <w:spacing w:val="6"/>
        </w:rPr>
      </w:pPr>
      <w:r>
        <w:rPr>
          <w:spacing w:val="6"/>
        </w:rPr>
        <w:tab/>
      </w:r>
      <w:r w:rsidR="005014EE">
        <w:rPr>
          <w:spacing w:val="6"/>
        </w:rPr>
        <w:t xml:space="preserve">The burden </w:t>
      </w:r>
      <w:r w:rsidR="004B26AA">
        <w:rPr>
          <w:spacing w:val="6"/>
        </w:rPr>
        <w:t>described in this ICR adds to the existing inventory for this ICR series.  This increase is due to the expected increase in respondents</w:t>
      </w:r>
      <w:r w:rsidR="005F53B5">
        <w:rPr>
          <w:spacing w:val="6"/>
        </w:rPr>
        <w:t xml:space="preserve"> as well as increased capital start-up costs</w:t>
      </w:r>
      <w:r w:rsidR="004B26AA">
        <w:rPr>
          <w:spacing w:val="6"/>
        </w:rPr>
        <w:t xml:space="preserve">. </w:t>
      </w:r>
    </w:p>
    <w:p w:rsidR="004B26AA" w:rsidRDefault="004B26AA" w:rsidP="00D7377C">
      <w:pPr>
        <w:pStyle w:val="Style6"/>
        <w:jc w:val="left"/>
        <w:rPr>
          <w:spacing w:val="6"/>
        </w:rPr>
      </w:pPr>
    </w:p>
    <w:p w:rsidR="004B26AA" w:rsidRPr="005014EE" w:rsidRDefault="004B26AA" w:rsidP="00D7377C">
      <w:pPr>
        <w:pStyle w:val="Style6"/>
        <w:jc w:val="left"/>
        <w:rPr>
          <w:spacing w:val="6"/>
        </w:rPr>
      </w:pPr>
    </w:p>
    <w:p w:rsidR="00C65924" w:rsidRDefault="00C65924" w:rsidP="00D7377C">
      <w:pPr>
        <w:pStyle w:val="Style5"/>
        <w:adjustRightInd/>
        <w:rPr>
          <w:spacing w:val="6"/>
        </w:rPr>
      </w:pPr>
      <w:r>
        <w:rPr>
          <w:spacing w:val="6"/>
        </w:rPr>
        <w:t xml:space="preserve">6(g) </w:t>
      </w:r>
      <w:r w:rsidRPr="00C65924">
        <w:rPr>
          <w:spacing w:val="6"/>
          <w:u w:val="single"/>
        </w:rPr>
        <w:t>Burden Statement</w:t>
      </w:r>
    </w:p>
    <w:p w:rsidR="00C65924" w:rsidRPr="005379F3" w:rsidRDefault="00C65924" w:rsidP="00D7377C">
      <w:pPr>
        <w:pStyle w:val="Style5"/>
        <w:adjustRightInd/>
        <w:rPr>
          <w:spacing w:val="6"/>
        </w:rPr>
      </w:pPr>
    </w:p>
    <w:p w:rsidR="00832233" w:rsidRDefault="002A64DB" w:rsidP="00E4121A">
      <w:pPr>
        <w:pStyle w:val="Style6"/>
        <w:jc w:val="left"/>
        <w:rPr>
          <w:spacing w:val="6"/>
        </w:rPr>
      </w:pPr>
      <w:r>
        <w:tab/>
      </w:r>
      <w:r w:rsidR="00E46E57">
        <w:t>The annual public reporting and recordkeeping burden for this collection of</w:t>
      </w:r>
      <w:r w:rsidR="00FB11E4">
        <w:t xml:space="preserve"> information is, on average, 81</w:t>
      </w:r>
      <w:r w:rsidR="00E46E57">
        <w:t xml:space="preserve"> hours per respon</w:t>
      </w:r>
      <w:r w:rsidR="00FB11E4">
        <w:t>se</w:t>
      </w:r>
      <w:r w:rsidR="00E46E57">
        <w:t xml:space="preserve">.  </w:t>
      </w:r>
      <w:r w:rsidR="00832233" w:rsidRPr="00E4121A">
        <w:rPr>
          <w:spacing w:val="6"/>
        </w:rPr>
        <w:t xml:space="preserve">Burden means the total time, effort, or financial resources expended by persons to generate, maintain, retain, or disclose or provide information to or for a Federal agency. </w:t>
      </w:r>
      <w:r w:rsidR="00FC2D25">
        <w:rPr>
          <w:spacing w:val="6"/>
        </w:rPr>
        <w:t xml:space="preserve"> </w:t>
      </w:r>
      <w:r w:rsidR="00832233" w:rsidRPr="00E4121A">
        <w:rPr>
          <w:spacing w:val="6"/>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r w:rsidR="00FC2D25">
        <w:rPr>
          <w:spacing w:val="6"/>
        </w:rPr>
        <w:t xml:space="preserve"> </w:t>
      </w:r>
      <w:r w:rsidR="00832233" w:rsidRPr="00E4121A">
        <w:rPr>
          <w:spacing w:val="6"/>
        </w:rPr>
        <w:t xml:space="preserve">An agency may not conduct or sponsor, and a person is not required to respond to, a collection of information unless it displays a currently valid OMB control number. </w:t>
      </w:r>
      <w:r w:rsidR="00FC2D25">
        <w:rPr>
          <w:spacing w:val="6"/>
        </w:rPr>
        <w:t xml:space="preserve"> </w:t>
      </w:r>
      <w:r w:rsidR="00832233" w:rsidRPr="00E4121A">
        <w:rPr>
          <w:spacing w:val="6"/>
        </w:rPr>
        <w:t>The OMB control numbers for EPA</w:t>
      </w:r>
      <w:r w:rsidR="00EF655F" w:rsidRPr="00E4121A">
        <w:rPr>
          <w:spacing w:val="6"/>
        </w:rPr>
        <w:t>’</w:t>
      </w:r>
      <w:r w:rsidR="00832233" w:rsidRPr="00E4121A">
        <w:rPr>
          <w:spacing w:val="6"/>
        </w:rPr>
        <w:t>s regulations are listed in 40 CFR Part 9</w:t>
      </w:r>
      <w:r w:rsidR="00451C3C">
        <w:rPr>
          <w:spacing w:val="6"/>
        </w:rPr>
        <w:t>.</w:t>
      </w:r>
    </w:p>
    <w:p w:rsidR="001C5C76" w:rsidRDefault="001C5C76" w:rsidP="00E4121A">
      <w:pPr>
        <w:pStyle w:val="Style6"/>
        <w:jc w:val="left"/>
        <w:rPr>
          <w:spacing w:val="6"/>
        </w:rPr>
      </w:pPr>
    </w:p>
    <w:p w:rsidR="000D326D" w:rsidRPr="00E053A1" w:rsidRDefault="002A64DB" w:rsidP="00D7377C">
      <w:pPr>
        <w:pStyle w:val="Style6"/>
        <w:jc w:val="left"/>
        <w:rPr>
          <w:spacing w:val="6"/>
        </w:rPr>
      </w:pPr>
      <w:r>
        <w:rPr>
          <w:spacing w:val="6"/>
        </w:rPr>
        <w:tab/>
      </w:r>
      <w:r w:rsidR="001C5C76" w:rsidRPr="001C5C76">
        <w:rPr>
          <w:spacing w:val="6"/>
        </w:rPr>
        <w:t>To comment on the Agency's need for this information, the accuracy of the provided burden estimates, and any suggested methods for minimizing respondent burden, including the use of automated collection techniques, EPA has established a public docket for this</w:t>
      </w:r>
      <w:r w:rsidR="00E053A1">
        <w:rPr>
          <w:spacing w:val="6"/>
        </w:rPr>
        <w:t xml:space="preserve"> ICR under </w:t>
      </w:r>
      <w:r w:rsidR="001C5C76" w:rsidRPr="001C5C76">
        <w:rPr>
          <w:spacing w:val="6"/>
        </w:rPr>
        <w:t>Docket ID number EPA-HQ-OAR-200</w:t>
      </w:r>
      <w:r w:rsidR="0070498A">
        <w:rPr>
          <w:spacing w:val="6"/>
        </w:rPr>
        <w:t>9</w:t>
      </w:r>
      <w:r w:rsidR="001C5C76" w:rsidRPr="001C5C76">
        <w:rPr>
          <w:spacing w:val="6"/>
        </w:rPr>
        <w:t>-</w:t>
      </w:r>
      <w:r w:rsidR="0070498A">
        <w:rPr>
          <w:spacing w:val="6"/>
        </w:rPr>
        <w:t>0299</w:t>
      </w:r>
      <w:r w:rsidR="00E053A1">
        <w:rPr>
          <w:spacing w:val="6"/>
        </w:rPr>
        <w:t xml:space="preserve">, which </w:t>
      </w:r>
      <w:r w:rsidR="001E3B2C" w:rsidRPr="00E4121A">
        <w:rPr>
          <w:spacing w:val="6"/>
        </w:rPr>
        <w:t xml:space="preserve">is available for </w:t>
      </w:r>
      <w:r w:rsidR="00E053A1">
        <w:rPr>
          <w:spacing w:val="6"/>
        </w:rPr>
        <w:t xml:space="preserve">online viewing </w:t>
      </w:r>
      <w:r w:rsidR="00E053A1">
        <w:rPr>
          <w:color w:val="0F0F0F"/>
        </w:rPr>
        <w:t xml:space="preserve">at </w:t>
      </w:r>
      <w:hyperlink r:id="rId11" w:history="1">
        <w:r w:rsidR="00E053A1" w:rsidRPr="00C968CF">
          <w:rPr>
            <w:rStyle w:val="Hyperlink"/>
          </w:rPr>
          <w:t>www.regulations.gov</w:t>
        </w:r>
      </w:hyperlink>
      <w:r w:rsidR="00E053A1">
        <w:rPr>
          <w:color w:val="0F0F0F"/>
        </w:rPr>
        <w:t xml:space="preserve">, or in </w:t>
      </w:r>
      <w:r w:rsidR="00E053A1">
        <w:rPr>
          <w:spacing w:val="6"/>
        </w:rPr>
        <w:t>person</w:t>
      </w:r>
      <w:r w:rsidR="001E3B2C" w:rsidRPr="00E4121A">
        <w:rPr>
          <w:spacing w:val="6"/>
        </w:rPr>
        <w:t xml:space="preserve"> viewing at the Air And Radiation Docket in the EPA Docket Cent</w:t>
      </w:r>
      <w:r w:rsidR="00E053A1">
        <w:rPr>
          <w:spacing w:val="6"/>
        </w:rPr>
        <w:t>er (EPA/DC), EPA West, Room 3334</w:t>
      </w:r>
      <w:r w:rsidR="001E3B2C" w:rsidRPr="00E4121A">
        <w:rPr>
          <w:spacing w:val="6"/>
        </w:rPr>
        <w:t>, 1301 Constitution Ave., NW, Washington, DC. The EPA Doc</w:t>
      </w:r>
      <w:r w:rsidR="00E053A1">
        <w:rPr>
          <w:spacing w:val="6"/>
        </w:rPr>
        <w:t xml:space="preserve">ket Center Public Reading Room </w:t>
      </w:r>
      <w:r w:rsidR="001E3B2C" w:rsidRPr="00E4121A">
        <w:rPr>
          <w:spacing w:val="6"/>
        </w:rPr>
        <w:t xml:space="preserve">is open from 8:30 a.m. to 4:30 p.m., Monday through Friday, excluding legal holidays.  The telephone number for the Reading Room is (202) 566-1744, and the telephone number for the Air and Radiation </w:t>
      </w:r>
      <w:r w:rsidR="00E053A1">
        <w:rPr>
          <w:spacing w:val="6"/>
        </w:rPr>
        <w:t>Docket is also (202) 566-1742</w:t>
      </w:r>
      <w:r w:rsidR="001E3B2C" w:rsidRPr="00E4121A">
        <w:rPr>
          <w:spacing w:val="6"/>
        </w:rPr>
        <w:t xml:space="preserve">.  </w:t>
      </w:r>
      <w:r w:rsidR="00E053A1" w:rsidRPr="00E053A1">
        <w:rPr>
          <w:spacing w:val="6"/>
        </w:rPr>
        <w:t xml:space="preserve">An electronic version of the public docket is available at www.regulations.gov.  This site can be used to submit or view public comments, access the index listing of the contents of the public docket, and to access those documents in the </w:t>
      </w:r>
      <w:r w:rsidR="00E053A1" w:rsidRPr="00E053A1">
        <w:rPr>
          <w:spacing w:val="6"/>
        </w:rPr>
        <w:lastRenderedPageBreak/>
        <w:t xml:space="preserve">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E053A1" w:rsidRPr="001C5C76">
        <w:rPr>
          <w:spacing w:val="6"/>
        </w:rPr>
        <w:t>EPA-HQ-OAR-200</w:t>
      </w:r>
      <w:r w:rsidR="00E053A1">
        <w:rPr>
          <w:spacing w:val="6"/>
        </w:rPr>
        <w:t>9</w:t>
      </w:r>
      <w:r w:rsidR="00E053A1" w:rsidRPr="001C5C76">
        <w:rPr>
          <w:spacing w:val="6"/>
        </w:rPr>
        <w:t>-</w:t>
      </w:r>
      <w:r w:rsidR="00E053A1">
        <w:rPr>
          <w:spacing w:val="6"/>
        </w:rPr>
        <w:t xml:space="preserve">0299 </w:t>
      </w:r>
      <w:r w:rsidR="00E053A1" w:rsidRPr="00E053A1">
        <w:rPr>
          <w:spacing w:val="6"/>
        </w:rPr>
        <w:t>and OMB Cont</w:t>
      </w:r>
      <w:r w:rsidR="00E053A1">
        <w:rPr>
          <w:spacing w:val="6"/>
        </w:rPr>
        <w:t>rol Number 2060-0287</w:t>
      </w:r>
      <w:r w:rsidR="00E053A1" w:rsidRPr="00E053A1">
        <w:rPr>
          <w:spacing w:val="6"/>
        </w:rPr>
        <w:t xml:space="preserve"> in any correspondence.</w:t>
      </w:r>
    </w:p>
    <w:p w:rsidR="00391B71" w:rsidRDefault="00391B71" w:rsidP="00391B71">
      <w:pPr>
        <w:tabs>
          <w:tab w:val="left" w:pos="2808"/>
        </w:tabs>
        <w:spacing w:line="516" w:lineRule="atLeast"/>
      </w:pPr>
    </w:p>
    <w:sectPr w:rsidR="00391B71" w:rsidSect="00692526">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064" w:rsidRDefault="008F5064">
      <w:r>
        <w:separator/>
      </w:r>
    </w:p>
  </w:endnote>
  <w:endnote w:type="continuationSeparator" w:id="0">
    <w:p w:rsidR="008F5064" w:rsidRDefault="008F5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74B" w:rsidRDefault="006B374B" w:rsidP="004E75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374B" w:rsidRDefault="006B37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74B" w:rsidRDefault="006B374B" w:rsidP="000246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1E4">
      <w:rPr>
        <w:rStyle w:val="PageNumber"/>
        <w:noProof/>
      </w:rPr>
      <w:t>2</w:t>
    </w:r>
    <w:r>
      <w:rPr>
        <w:rStyle w:val="PageNumber"/>
      </w:rPr>
      <w:fldChar w:fldCharType="end"/>
    </w:r>
  </w:p>
  <w:p w:rsidR="006B374B" w:rsidRDefault="006B37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064" w:rsidRDefault="008F5064">
      <w:r>
        <w:separator/>
      </w:r>
    </w:p>
  </w:footnote>
  <w:footnote w:type="continuationSeparator" w:id="0">
    <w:p w:rsidR="008F5064" w:rsidRDefault="008F5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C2AC"/>
    <w:multiLevelType w:val="singleLevel"/>
    <w:tmpl w:val="50B0D42C"/>
    <w:lvl w:ilvl="0">
      <w:start w:val="1"/>
      <w:numFmt w:val="lowerRoman"/>
      <w:lvlText w:val="(%1)"/>
      <w:lvlJc w:val="left"/>
      <w:pPr>
        <w:tabs>
          <w:tab w:val="num" w:pos="288"/>
        </w:tabs>
      </w:pPr>
      <w:rPr>
        <w:color w:val="000000"/>
      </w:rPr>
    </w:lvl>
  </w:abstractNum>
  <w:abstractNum w:abstractNumId="1">
    <w:nsid w:val="0843E9F7"/>
    <w:multiLevelType w:val="singleLevel"/>
    <w:tmpl w:val="6E735C16"/>
    <w:lvl w:ilvl="0">
      <w:start w:val="1"/>
      <w:numFmt w:val="lowerLetter"/>
      <w:lvlText w:val="5(%1)"/>
      <w:lvlJc w:val="left"/>
      <w:pPr>
        <w:tabs>
          <w:tab w:val="num" w:pos="504"/>
        </w:tabs>
      </w:pPr>
      <w:rPr>
        <w:color w:val="000000"/>
      </w:rPr>
    </w:lvl>
  </w:abstractNum>
  <w:abstractNum w:abstractNumId="2">
    <w:nsid w:val="15092716"/>
    <w:multiLevelType w:val="hybridMultilevel"/>
    <w:tmpl w:val="61B0FB5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3">
    <w:nsid w:val="160DA15D"/>
    <w:multiLevelType w:val="singleLevel"/>
    <w:tmpl w:val="53359613"/>
    <w:lvl w:ilvl="0">
      <w:start w:val="1"/>
      <w:numFmt w:val="lowerLetter"/>
      <w:lvlText w:val="1(%1)"/>
      <w:lvlJc w:val="left"/>
      <w:pPr>
        <w:tabs>
          <w:tab w:val="num" w:pos="432"/>
        </w:tabs>
      </w:pPr>
      <w:rPr>
        <w:color w:val="000000"/>
      </w:rPr>
    </w:lvl>
  </w:abstractNum>
  <w:abstractNum w:abstractNumId="4">
    <w:nsid w:val="163B7D9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16852B4F"/>
    <w:multiLevelType w:val="hybridMultilevel"/>
    <w:tmpl w:val="3FDA0B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406840"/>
    <w:multiLevelType w:val="singleLevel"/>
    <w:tmpl w:val="4006DC3E"/>
    <w:lvl w:ilvl="0">
      <w:start w:val="2"/>
      <w:numFmt w:val="lowerLetter"/>
      <w:lvlText w:val="3 (%1)"/>
      <w:lvlJc w:val="left"/>
      <w:pPr>
        <w:tabs>
          <w:tab w:val="num" w:pos="504"/>
        </w:tabs>
      </w:pPr>
      <w:rPr>
        <w:color w:val="000000"/>
      </w:rPr>
    </w:lvl>
  </w:abstractNum>
  <w:abstractNum w:abstractNumId="7">
    <w:nsid w:val="18AA5F76"/>
    <w:multiLevelType w:val="hybridMultilevel"/>
    <w:tmpl w:val="106E90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20F3FF5"/>
    <w:multiLevelType w:val="hybridMultilevel"/>
    <w:tmpl w:val="AC2A71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26320467"/>
    <w:multiLevelType w:val="multilevel"/>
    <w:tmpl w:val="F858D798"/>
    <w:styleLink w:val="Style1"/>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0">
    <w:nsid w:val="2D072CAD"/>
    <w:multiLevelType w:val="hybridMultilevel"/>
    <w:tmpl w:val="6010C09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3644F81"/>
    <w:multiLevelType w:val="hybridMultilevel"/>
    <w:tmpl w:val="96BADA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63B35ED"/>
    <w:multiLevelType w:val="hybridMultilevel"/>
    <w:tmpl w:val="3A0C4C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371A1CCC"/>
    <w:multiLevelType w:val="multilevel"/>
    <w:tmpl w:val="F858D798"/>
    <w:numStyleLink w:val="Style1"/>
  </w:abstractNum>
  <w:abstractNum w:abstractNumId="14">
    <w:nsid w:val="38BE7F64"/>
    <w:multiLevelType w:val="hybridMultilevel"/>
    <w:tmpl w:val="F858D7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7945E4"/>
    <w:multiLevelType w:val="hybridMultilevel"/>
    <w:tmpl w:val="101C64C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F55907E"/>
    <w:multiLevelType w:val="singleLevel"/>
    <w:tmpl w:val="1F6E3D91"/>
    <w:lvl w:ilvl="0">
      <w:start w:val="3"/>
      <w:numFmt w:val="lowerLetter"/>
      <w:lvlText w:val="6(%1)"/>
      <w:lvlJc w:val="left"/>
      <w:pPr>
        <w:tabs>
          <w:tab w:val="num" w:pos="432"/>
        </w:tabs>
      </w:pPr>
      <w:rPr>
        <w:color w:val="000000"/>
      </w:rPr>
    </w:lvl>
  </w:abstractNum>
  <w:abstractNum w:abstractNumId="18">
    <w:nsid w:val="48D13898"/>
    <w:multiLevelType w:val="singleLevel"/>
    <w:tmpl w:val="29F8AFF3"/>
    <w:lvl w:ilvl="0">
      <w:start w:val="6"/>
      <w:numFmt w:val="lowerLetter"/>
      <w:lvlText w:val="6(%1)"/>
      <w:lvlJc w:val="left"/>
      <w:pPr>
        <w:tabs>
          <w:tab w:val="num" w:pos="432"/>
        </w:tabs>
      </w:pPr>
      <w:rPr>
        <w:color w:val="000000"/>
      </w:rPr>
    </w:lvl>
  </w:abstractNum>
  <w:abstractNum w:abstractNumId="19">
    <w:nsid w:val="49C559F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616555B3"/>
    <w:multiLevelType w:val="singleLevel"/>
    <w:tmpl w:val="5611B310"/>
    <w:lvl w:ilvl="0">
      <w:start w:val="3"/>
      <w:numFmt w:val="lowerLetter"/>
      <w:lvlText w:val="5(%1)"/>
      <w:lvlJc w:val="left"/>
      <w:pPr>
        <w:tabs>
          <w:tab w:val="num" w:pos="432"/>
        </w:tabs>
      </w:pPr>
      <w:rPr>
        <w:color w:val="000000"/>
      </w:rPr>
    </w:lvl>
  </w:abstractNum>
  <w:abstractNum w:abstractNumId="21">
    <w:nsid w:val="62645197"/>
    <w:multiLevelType w:val="hybridMultilevel"/>
    <w:tmpl w:val="86AE3818"/>
    <w:lvl w:ilvl="0" w:tplc="B67C598A">
      <w:start w:val="1"/>
      <w:numFmt w:val="low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1FA5D15"/>
    <w:multiLevelType w:val="multilevel"/>
    <w:tmpl w:val="F858D798"/>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3">
    <w:nsid w:val="75FC05F0"/>
    <w:multiLevelType w:val="hybridMultilevel"/>
    <w:tmpl w:val="F3CC82E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
  </w:num>
  <w:num w:numId="2">
    <w:abstractNumId w:val="6"/>
  </w:num>
  <w:num w:numId="3">
    <w:abstractNumId w:val="1"/>
  </w:num>
  <w:num w:numId="4">
    <w:abstractNumId w:val="20"/>
  </w:num>
  <w:num w:numId="5">
    <w:abstractNumId w:val="0"/>
  </w:num>
  <w:num w:numId="6">
    <w:abstractNumId w:val="17"/>
  </w:num>
  <w:num w:numId="7">
    <w:abstractNumId w:val="18"/>
  </w:num>
  <w:num w:numId="8">
    <w:abstractNumId w:val="15"/>
  </w:num>
  <w:num w:numId="9">
    <w:abstractNumId w:val="11"/>
  </w:num>
  <w:num w:numId="10">
    <w:abstractNumId w:val="14"/>
  </w:num>
  <w:num w:numId="11">
    <w:abstractNumId w:val="22"/>
  </w:num>
  <w:num w:numId="12">
    <w:abstractNumId w:val="19"/>
  </w:num>
  <w:num w:numId="13">
    <w:abstractNumId w:val="4"/>
  </w:num>
  <w:num w:numId="14">
    <w:abstractNumId w:val="9"/>
  </w:num>
  <w:num w:numId="15">
    <w:abstractNumId w:val="13"/>
  </w:num>
  <w:num w:numId="16">
    <w:abstractNumId w:val="12"/>
  </w:num>
  <w:num w:numId="17">
    <w:abstractNumId w:val="7"/>
  </w:num>
  <w:num w:numId="18">
    <w:abstractNumId w:val="8"/>
  </w:num>
  <w:num w:numId="19">
    <w:abstractNumId w:val="16"/>
  </w:num>
  <w:num w:numId="20">
    <w:abstractNumId w:val="10"/>
  </w:num>
  <w:num w:numId="21">
    <w:abstractNumId w:val="23"/>
  </w:num>
  <w:num w:numId="22">
    <w:abstractNumId w:val="5"/>
  </w:num>
  <w:num w:numId="23">
    <w:abstractNumId w:val="2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46DF"/>
    <w:rsid w:val="0000076E"/>
    <w:rsid w:val="00002CF9"/>
    <w:rsid w:val="00004545"/>
    <w:rsid w:val="00013002"/>
    <w:rsid w:val="000149B8"/>
    <w:rsid w:val="00014FCB"/>
    <w:rsid w:val="000174DA"/>
    <w:rsid w:val="00022C6E"/>
    <w:rsid w:val="00022D16"/>
    <w:rsid w:val="00022DE4"/>
    <w:rsid w:val="000246E8"/>
    <w:rsid w:val="0002493C"/>
    <w:rsid w:val="00027242"/>
    <w:rsid w:val="0003210C"/>
    <w:rsid w:val="0003611B"/>
    <w:rsid w:val="000367F3"/>
    <w:rsid w:val="00043D9D"/>
    <w:rsid w:val="0004645F"/>
    <w:rsid w:val="00051027"/>
    <w:rsid w:val="00051ADD"/>
    <w:rsid w:val="000541D1"/>
    <w:rsid w:val="0005583D"/>
    <w:rsid w:val="00057EEA"/>
    <w:rsid w:val="00061363"/>
    <w:rsid w:val="000626C3"/>
    <w:rsid w:val="00062806"/>
    <w:rsid w:val="000654BC"/>
    <w:rsid w:val="000660F5"/>
    <w:rsid w:val="00067C24"/>
    <w:rsid w:val="00074702"/>
    <w:rsid w:val="000808AB"/>
    <w:rsid w:val="0008503B"/>
    <w:rsid w:val="000901AF"/>
    <w:rsid w:val="000930A1"/>
    <w:rsid w:val="0009311B"/>
    <w:rsid w:val="00093706"/>
    <w:rsid w:val="000949F2"/>
    <w:rsid w:val="00097E92"/>
    <w:rsid w:val="000A12E5"/>
    <w:rsid w:val="000A2037"/>
    <w:rsid w:val="000A4BBF"/>
    <w:rsid w:val="000A5186"/>
    <w:rsid w:val="000A78CB"/>
    <w:rsid w:val="000B0129"/>
    <w:rsid w:val="000B2B47"/>
    <w:rsid w:val="000C7FEC"/>
    <w:rsid w:val="000D326D"/>
    <w:rsid w:val="000D6B7E"/>
    <w:rsid w:val="000E24E9"/>
    <w:rsid w:val="000E5E47"/>
    <w:rsid w:val="000E7073"/>
    <w:rsid w:val="000E731D"/>
    <w:rsid w:val="000F072F"/>
    <w:rsid w:val="000F0732"/>
    <w:rsid w:val="000F08B5"/>
    <w:rsid w:val="000F463C"/>
    <w:rsid w:val="000F4FEB"/>
    <w:rsid w:val="000F61C2"/>
    <w:rsid w:val="000F6948"/>
    <w:rsid w:val="000F6A26"/>
    <w:rsid w:val="00103E1C"/>
    <w:rsid w:val="0010537A"/>
    <w:rsid w:val="001101A2"/>
    <w:rsid w:val="00110B97"/>
    <w:rsid w:val="00112063"/>
    <w:rsid w:val="001141C8"/>
    <w:rsid w:val="00114B3E"/>
    <w:rsid w:val="00115E30"/>
    <w:rsid w:val="001220AE"/>
    <w:rsid w:val="00123D85"/>
    <w:rsid w:val="001308B8"/>
    <w:rsid w:val="00131044"/>
    <w:rsid w:val="0013395B"/>
    <w:rsid w:val="00134F14"/>
    <w:rsid w:val="00135AD1"/>
    <w:rsid w:val="00143188"/>
    <w:rsid w:val="00143E65"/>
    <w:rsid w:val="001457C4"/>
    <w:rsid w:val="001538D7"/>
    <w:rsid w:val="00153A0E"/>
    <w:rsid w:val="00154DDD"/>
    <w:rsid w:val="00161466"/>
    <w:rsid w:val="001615D0"/>
    <w:rsid w:val="00165BBA"/>
    <w:rsid w:val="001677D9"/>
    <w:rsid w:val="00167DC3"/>
    <w:rsid w:val="00172EE7"/>
    <w:rsid w:val="00175A72"/>
    <w:rsid w:val="001818D0"/>
    <w:rsid w:val="00181FEA"/>
    <w:rsid w:val="00186260"/>
    <w:rsid w:val="0018646B"/>
    <w:rsid w:val="00190028"/>
    <w:rsid w:val="0019232C"/>
    <w:rsid w:val="0019705E"/>
    <w:rsid w:val="0019756F"/>
    <w:rsid w:val="001A6A91"/>
    <w:rsid w:val="001B0195"/>
    <w:rsid w:val="001B07AB"/>
    <w:rsid w:val="001B362D"/>
    <w:rsid w:val="001B56BB"/>
    <w:rsid w:val="001C4733"/>
    <w:rsid w:val="001C5C76"/>
    <w:rsid w:val="001D1D15"/>
    <w:rsid w:val="001D5188"/>
    <w:rsid w:val="001D680D"/>
    <w:rsid w:val="001D7935"/>
    <w:rsid w:val="001E0D55"/>
    <w:rsid w:val="001E330E"/>
    <w:rsid w:val="001E3B2C"/>
    <w:rsid w:val="001E3F19"/>
    <w:rsid w:val="001E50B3"/>
    <w:rsid w:val="001F288A"/>
    <w:rsid w:val="001F351B"/>
    <w:rsid w:val="00201499"/>
    <w:rsid w:val="00205336"/>
    <w:rsid w:val="0020673A"/>
    <w:rsid w:val="00211278"/>
    <w:rsid w:val="00213D68"/>
    <w:rsid w:val="002169F7"/>
    <w:rsid w:val="00216E85"/>
    <w:rsid w:val="002224D9"/>
    <w:rsid w:val="00224A1E"/>
    <w:rsid w:val="00225E16"/>
    <w:rsid w:val="0023069C"/>
    <w:rsid w:val="00230D0F"/>
    <w:rsid w:val="00232A51"/>
    <w:rsid w:val="00233AE3"/>
    <w:rsid w:val="00235B74"/>
    <w:rsid w:val="00236A99"/>
    <w:rsid w:val="00241F11"/>
    <w:rsid w:val="00243DD6"/>
    <w:rsid w:val="00244D11"/>
    <w:rsid w:val="002459FE"/>
    <w:rsid w:val="00250E4E"/>
    <w:rsid w:val="00256C8A"/>
    <w:rsid w:val="002606B8"/>
    <w:rsid w:val="00260E9A"/>
    <w:rsid w:val="00266968"/>
    <w:rsid w:val="0027419B"/>
    <w:rsid w:val="00274A06"/>
    <w:rsid w:val="0027670E"/>
    <w:rsid w:val="00280641"/>
    <w:rsid w:val="00283424"/>
    <w:rsid w:val="00283A45"/>
    <w:rsid w:val="00291BAD"/>
    <w:rsid w:val="00292119"/>
    <w:rsid w:val="00292A46"/>
    <w:rsid w:val="00292A47"/>
    <w:rsid w:val="00293856"/>
    <w:rsid w:val="002A1B9E"/>
    <w:rsid w:val="002A2634"/>
    <w:rsid w:val="002A4BA7"/>
    <w:rsid w:val="002A64DB"/>
    <w:rsid w:val="002A6B3A"/>
    <w:rsid w:val="002B0F43"/>
    <w:rsid w:val="002B3C48"/>
    <w:rsid w:val="002B402C"/>
    <w:rsid w:val="002B6346"/>
    <w:rsid w:val="002B7B33"/>
    <w:rsid w:val="002C18BF"/>
    <w:rsid w:val="002C4BEC"/>
    <w:rsid w:val="002D0C21"/>
    <w:rsid w:val="002D5758"/>
    <w:rsid w:val="002D7007"/>
    <w:rsid w:val="002E4FC5"/>
    <w:rsid w:val="002E5136"/>
    <w:rsid w:val="002E684F"/>
    <w:rsid w:val="002F02BB"/>
    <w:rsid w:val="002F0407"/>
    <w:rsid w:val="002F2A61"/>
    <w:rsid w:val="002F57D8"/>
    <w:rsid w:val="002F6072"/>
    <w:rsid w:val="003032B7"/>
    <w:rsid w:val="0030363D"/>
    <w:rsid w:val="00306E3E"/>
    <w:rsid w:val="00310083"/>
    <w:rsid w:val="003122C3"/>
    <w:rsid w:val="003135AF"/>
    <w:rsid w:val="00317CE8"/>
    <w:rsid w:val="0032235A"/>
    <w:rsid w:val="0032728C"/>
    <w:rsid w:val="003310CA"/>
    <w:rsid w:val="00332996"/>
    <w:rsid w:val="00336E1F"/>
    <w:rsid w:val="0034112A"/>
    <w:rsid w:val="003420D0"/>
    <w:rsid w:val="003423AA"/>
    <w:rsid w:val="00347EEF"/>
    <w:rsid w:val="003505A2"/>
    <w:rsid w:val="003554B9"/>
    <w:rsid w:val="00356900"/>
    <w:rsid w:val="00360F7B"/>
    <w:rsid w:val="00363AE7"/>
    <w:rsid w:val="003658D9"/>
    <w:rsid w:val="00365F28"/>
    <w:rsid w:val="00366CAE"/>
    <w:rsid w:val="00367270"/>
    <w:rsid w:val="003673BF"/>
    <w:rsid w:val="003701C2"/>
    <w:rsid w:val="00370319"/>
    <w:rsid w:val="0037086F"/>
    <w:rsid w:val="00372243"/>
    <w:rsid w:val="00384778"/>
    <w:rsid w:val="00387F67"/>
    <w:rsid w:val="00391B71"/>
    <w:rsid w:val="00392B30"/>
    <w:rsid w:val="003935C9"/>
    <w:rsid w:val="00395732"/>
    <w:rsid w:val="003A56B4"/>
    <w:rsid w:val="003A571A"/>
    <w:rsid w:val="003A5C52"/>
    <w:rsid w:val="003B2F96"/>
    <w:rsid w:val="003B5D5B"/>
    <w:rsid w:val="003C1B0D"/>
    <w:rsid w:val="003C2F0A"/>
    <w:rsid w:val="003C3F96"/>
    <w:rsid w:val="003C420D"/>
    <w:rsid w:val="003D156F"/>
    <w:rsid w:val="003D224D"/>
    <w:rsid w:val="003D3185"/>
    <w:rsid w:val="003D3AD8"/>
    <w:rsid w:val="003D4D70"/>
    <w:rsid w:val="003D72A8"/>
    <w:rsid w:val="003E1C2A"/>
    <w:rsid w:val="003E32CE"/>
    <w:rsid w:val="003E5086"/>
    <w:rsid w:val="003E6D7C"/>
    <w:rsid w:val="003E7BF2"/>
    <w:rsid w:val="003F331A"/>
    <w:rsid w:val="003F33D3"/>
    <w:rsid w:val="003F4388"/>
    <w:rsid w:val="003F48B8"/>
    <w:rsid w:val="00400B07"/>
    <w:rsid w:val="00400C96"/>
    <w:rsid w:val="00401345"/>
    <w:rsid w:val="0040198A"/>
    <w:rsid w:val="00404085"/>
    <w:rsid w:val="004040AD"/>
    <w:rsid w:val="00406702"/>
    <w:rsid w:val="00412B00"/>
    <w:rsid w:val="00416579"/>
    <w:rsid w:val="0042072E"/>
    <w:rsid w:val="004305B5"/>
    <w:rsid w:val="004331E3"/>
    <w:rsid w:val="004363DC"/>
    <w:rsid w:val="00436ED1"/>
    <w:rsid w:val="00440761"/>
    <w:rsid w:val="004407A5"/>
    <w:rsid w:val="0044122E"/>
    <w:rsid w:val="00441780"/>
    <w:rsid w:val="00441F27"/>
    <w:rsid w:val="00444934"/>
    <w:rsid w:val="00451105"/>
    <w:rsid w:val="00451C3C"/>
    <w:rsid w:val="00451FA6"/>
    <w:rsid w:val="00452678"/>
    <w:rsid w:val="00453DE5"/>
    <w:rsid w:val="00457744"/>
    <w:rsid w:val="004613A2"/>
    <w:rsid w:val="00465950"/>
    <w:rsid w:val="0046754B"/>
    <w:rsid w:val="00470C56"/>
    <w:rsid w:val="00471D2A"/>
    <w:rsid w:val="00473AEC"/>
    <w:rsid w:val="00474297"/>
    <w:rsid w:val="00475B6D"/>
    <w:rsid w:val="004778CB"/>
    <w:rsid w:val="00480378"/>
    <w:rsid w:val="00484D60"/>
    <w:rsid w:val="00487101"/>
    <w:rsid w:val="0049302A"/>
    <w:rsid w:val="00495BC6"/>
    <w:rsid w:val="004A01E1"/>
    <w:rsid w:val="004A2504"/>
    <w:rsid w:val="004A393C"/>
    <w:rsid w:val="004A47B0"/>
    <w:rsid w:val="004A687D"/>
    <w:rsid w:val="004B1C3E"/>
    <w:rsid w:val="004B26AA"/>
    <w:rsid w:val="004B4F86"/>
    <w:rsid w:val="004B5046"/>
    <w:rsid w:val="004B69B5"/>
    <w:rsid w:val="004C01BA"/>
    <w:rsid w:val="004C095F"/>
    <w:rsid w:val="004C129E"/>
    <w:rsid w:val="004C21CE"/>
    <w:rsid w:val="004C42DD"/>
    <w:rsid w:val="004D0CEB"/>
    <w:rsid w:val="004D2742"/>
    <w:rsid w:val="004D31EE"/>
    <w:rsid w:val="004D367F"/>
    <w:rsid w:val="004D5102"/>
    <w:rsid w:val="004D5D22"/>
    <w:rsid w:val="004E2CB0"/>
    <w:rsid w:val="004E3EB8"/>
    <w:rsid w:val="004E617F"/>
    <w:rsid w:val="004E6231"/>
    <w:rsid w:val="004E679E"/>
    <w:rsid w:val="004E7552"/>
    <w:rsid w:val="004F0602"/>
    <w:rsid w:val="004F2423"/>
    <w:rsid w:val="004F60B3"/>
    <w:rsid w:val="004F6266"/>
    <w:rsid w:val="004F7E64"/>
    <w:rsid w:val="00500D44"/>
    <w:rsid w:val="005014EE"/>
    <w:rsid w:val="0050336D"/>
    <w:rsid w:val="005074ED"/>
    <w:rsid w:val="005127FA"/>
    <w:rsid w:val="005133A3"/>
    <w:rsid w:val="00516E95"/>
    <w:rsid w:val="00521586"/>
    <w:rsid w:val="005229C3"/>
    <w:rsid w:val="00524DBB"/>
    <w:rsid w:val="00525224"/>
    <w:rsid w:val="00526911"/>
    <w:rsid w:val="005343BB"/>
    <w:rsid w:val="005379F3"/>
    <w:rsid w:val="00542A09"/>
    <w:rsid w:val="005460B2"/>
    <w:rsid w:val="00546868"/>
    <w:rsid w:val="00551CFE"/>
    <w:rsid w:val="00552BDC"/>
    <w:rsid w:val="00555861"/>
    <w:rsid w:val="0055784C"/>
    <w:rsid w:val="005615B8"/>
    <w:rsid w:val="00561A2E"/>
    <w:rsid w:val="00563E2A"/>
    <w:rsid w:val="00564A22"/>
    <w:rsid w:val="00564C99"/>
    <w:rsid w:val="00567DA4"/>
    <w:rsid w:val="00573BC6"/>
    <w:rsid w:val="00577E0D"/>
    <w:rsid w:val="00583230"/>
    <w:rsid w:val="00585A43"/>
    <w:rsid w:val="00592D70"/>
    <w:rsid w:val="00597129"/>
    <w:rsid w:val="005B3909"/>
    <w:rsid w:val="005B683F"/>
    <w:rsid w:val="005C273B"/>
    <w:rsid w:val="005C27E8"/>
    <w:rsid w:val="005C298D"/>
    <w:rsid w:val="005C3326"/>
    <w:rsid w:val="005C4FBD"/>
    <w:rsid w:val="005C6E78"/>
    <w:rsid w:val="005D010E"/>
    <w:rsid w:val="005D17CA"/>
    <w:rsid w:val="005D34DA"/>
    <w:rsid w:val="005D3B79"/>
    <w:rsid w:val="005E040F"/>
    <w:rsid w:val="005E374A"/>
    <w:rsid w:val="005F02E4"/>
    <w:rsid w:val="005F110F"/>
    <w:rsid w:val="005F2ACB"/>
    <w:rsid w:val="005F3E33"/>
    <w:rsid w:val="005F53B5"/>
    <w:rsid w:val="005F6DA8"/>
    <w:rsid w:val="0060051E"/>
    <w:rsid w:val="006023DE"/>
    <w:rsid w:val="006026C4"/>
    <w:rsid w:val="00603CD7"/>
    <w:rsid w:val="0060475E"/>
    <w:rsid w:val="006065BE"/>
    <w:rsid w:val="00613E3D"/>
    <w:rsid w:val="00615606"/>
    <w:rsid w:val="006241D2"/>
    <w:rsid w:val="00626753"/>
    <w:rsid w:val="0062734E"/>
    <w:rsid w:val="00627DE7"/>
    <w:rsid w:val="006319AA"/>
    <w:rsid w:val="0063351E"/>
    <w:rsid w:val="0063656D"/>
    <w:rsid w:val="00642061"/>
    <w:rsid w:val="00642801"/>
    <w:rsid w:val="00645003"/>
    <w:rsid w:val="0064500C"/>
    <w:rsid w:val="0064573A"/>
    <w:rsid w:val="0064672F"/>
    <w:rsid w:val="00646861"/>
    <w:rsid w:val="00654E75"/>
    <w:rsid w:val="00655323"/>
    <w:rsid w:val="006629C0"/>
    <w:rsid w:val="00662A78"/>
    <w:rsid w:val="006639F8"/>
    <w:rsid w:val="00664A1E"/>
    <w:rsid w:val="00665C91"/>
    <w:rsid w:val="006663ED"/>
    <w:rsid w:val="00671836"/>
    <w:rsid w:val="00673A7E"/>
    <w:rsid w:val="00676C8A"/>
    <w:rsid w:val="00680A2D"/>
    <w:rsid w:val="00683542"/>
    <w:rsid w:val="00684089"/>
    <w:rsid w:val="00686A42"/>
    <w:rsid w:val="00692526"/>
    <w:rsid w:val="00692E39"/>
    <w:rsid w:val="00693BEA"/>
    <w:rsid w:val="00695CAE"/>
    <w:rsid w:val="006970B1"/>
    <w:rsid w:val="006A307A"/>
    <w:rsid w:val="006A5946"/>
    <w:rsid w:val="006B1C52"/>
    <w:rsid w:val="006B21F5"/>
    <w:rsid w:val="006B374B"/>
    <w:rsid w:val="006B5C1D"/>
    <w:rsid w:val="006C18C3"/>
    <w:rsid w:val="006C256D"/>
    <w:rsid w:val="006C3511"/>
    <w:rsid w:val="006C43C2"/>
    <w:rsid w:val="006C6D36"/>
    <w:rsid w:val="006D05D8"/>
    <w:rsid w:val="006D06B1"/>
    <w:rsid w:val="006D124F"/>
    <w:rsid w:val="006D162F"/>
    <w:rsid w:val="006D5122"/>
    <w:rsid w:val="006D5DCB"/>
    <w:rsid w:val="006E1AE3"/>
    <w:rsid w:val="006E2A6D"/>
    <w:rsid w:val="006E32D5"/>
    <w:rsid w:val="006E7189"/>
    <w:rsid w:val="006F1AE9"/>
    <w:rsid w:val="0070498A"/>
    <w:rsid w:val="00710138"/>
    <w:rsid w:val="00713224"/>
    <w:rsid w:val="007146CE"/>
    <w:rsid w:val="00714A50"/>
    <w:rsid w:val="007158BF"/>
    <w:rsid w:val="007241AE"/>
    <w:rsid w:val="0072553F"/>
    <w:rsid w:val="00732360"/>
    <w:rsid w:val="007362AD"/>
    <w:rsid w:val="0074424B"/>
    <w:rsid w:val="00746E3B"/>
    <w:rsid w:val="0075045F"/>
    <w:rsid w:val="0075366B"/>
    <w:rsid w:val="007541EA"/>
    <w:rsid w:val="00756DB2"/>
    <w:rsid w:val="00761613"/>
    <w:rsid w:val="007625EB"/>
    <w:rsid w:val="0077042B"/>
    <w:rsid w:val="007731A0"/>
    <w:rsid w:val="00774090"/>
    <w:rsid w:val="00780982"/>
    <w:rsid w:val="007809DF"/>
    <w:rsid w:val="0078217E"/>
    <w:rsid w:val="00782D57"/>
    <w:rsid w:val="00783CF3"/>
    <w:rsid w:val="00783FA3"/>
    <w:rsid w:val="0078545E"/>
    <w:rsid w:val="007A4020"/>
    <w:rsid w:val="007A4A3A"/>
    <w:rsid w:val="007A5EA2"/>
    <w:rsid w:val="007A7709"/>
    <w:rsid w:val="007B1C9C"/>
    <w:rsid w:val="007B3C12"/>
    <w:rsid w:val="007B4A4A"/>
    <w:rsid w:val="007B6883"/>
    <w:rsid w:val="007C0890"/>
    <w:rsid w:val="007C10FE"/>
    <w:rsid w:val="007C12AA"/>
    <w:rsid w:val="007C6F41"/>
    <w:rsid w:val="007C7146"/>
    <w:rsid w:val="007D2A4B"/>
    <w:rsid w:val="007D4347"/>
    <w:rsid w:val="007D7227"/>
    <w:rsid w:val="007D7345"/>
    <w:rsid w:val="007E0984"/>
    <w:rsid w:val="007E19E7"/>
    <w:rsid w:val="007E1D43"/>
    <w:rsid w:val="007E2BD4"/>
    <w:rsid w:val="007E5334"/>
    <w:rsid w:val="007E7ADF"/>
    <w:rsid w:val="007F10C6"/>
    <w:rsid w:val="007F10E5"/>
    <w:rsid w:val="007F343C"/>
    <w:rsid w:val="007F44E0"/>
    <w:rsid w:val="007F4644"/>
    <w:rsid w:val="007F5282"/>
    <w:rsid w:val="007F6184"/>
    <w:rsid w:val="007F7BD6"/>
    <w:rsid w:val="008008BD"/>
    <w:rsid w:val="008046B1"/>
    <w:rsid w:val="00811FE0"/>
    <w:rsid w:val="00813D35"/>
    <w:rsid w:val="00815F9F"/>
    <w:rsid w:val="00816C22"/>
    <w:rsid w:val="008179D2"/>
    <w:rsid w:val="00820564"/>
    <w:rsid w:val="00822BC8"/>
    <w:rsid w:val="00825DC3"/>
    <w:rsid w:val="00827852"/>
    <w:rsid w:val="00830BF5"/>
    <w:rsid w:val="00832233"/>
    <w:rsid w:val="0083444D"/>
    <w:rsid w:val="00834D74"/>
    <w:rsid w:val="00834FED"/>
    <w:rsid w:val="00836E1B"/>
    <w:rsid w:val="0083756D"/>
    <w:rsid w:val="00837E83"/>
    <w:rsid w:val="00842102"/>
    <w:rsid w:val="00842E93"/>
    <w:rsid w:val="00843FCF"/>
    <w:rsid w:val="008511B8"/>
    <w:rsid w:val="008515F0"/>
    <w:rsid w:val="00853D62"/>
    <w:rsid w:val="00854022"/>
    <w:rsid w:val="00855AC5"/>
    <w:rsid w:val="00856A48"/>
    <w:rsid w:val="008570DF"/>
    <w:rsid w:val="00860E06"/>
    <w:rsid w:val="0086207C"/>
    <w:rsid w:val="008633D1"/>
    <w:rsid w:val="0086482D"/>
    <w:rsid w:val="00867EFC"/>
    <w:rsid w:val="0087466C"/>
    <w:rsid w:val="0088435D"/>
    <w:rsid w:val="0088595E"/>
    <w:rsid w:val="00885BA8"/>
    <w:rsid w:val="00892809"/>
    <w:rsid w:val="008935BF"/>
    <w:rsid w:val="00895D21"/>
    <w:rsid w:val="008A116B"/>
    <w:rsid w:val="008B0888"/>
    <w:rsid w:val="008B0FB1"/>
    <w:rsid w:val="008B127B"/>
    <w:rsid w:val="008B3D18"/>
    <w:rsid w:val="008C40B3"/>
    <w:rsid w:val="008C47D2"/>
    <w:rsid w:val="008D38C8"/>
    <w:rsid w:val="008D7D77"/>
    <w:rsid w:val="008E5587"/>
    <w:rsid w:val="008F09B3"/>
    <w:rsid w:val="008F09DE"/>
    <w:rsid w:val="008F0C73"/>
    <w:rsid w:val="008F28CF"/>
    <w:rsid w:val="008F5064"/>
    <w:rsid w:val="008F664B"/>
    <w:rsid w:val="00901611"/>
    <w:rsid w:val="00903339"/>
    <w:rsid w:val="00903C97"/>
    <w:rsid w:val="00905B74"/>
    <w:rsid w:val="00906C77"/>
    <w:rsid w:val="00913761"/>
    <w:rsid w:val="009142F6"/>
    <w:rsid w:val="0091615E"/>
    <w:rsid w:val="009168EC"/>
    <w:rsid w:val="0092170A"/>
    <w:rsid w:val="00921790"/>
    <w:rsid w:val="00925E26"/>
    <w:rsid w:val="0093341C"/>
    <w:rsid w:val="009337CE"/>
    <w:rsid w:val="0093506E"/>
    <w:rsid w:val="009350B5"/>
    <w:rsid w:val="009437F7"/>
    <w:rsid w:val="00943F1E"/>
    <w:rsid w:val="00945D46"/>
    <w:rsid w:val="009462E5"/>
    <w:rsid w:val="00947D2D"/>
    <w:rsid w:val="009510A1"/>
    <w:rsid w:val="009551BF"/>
    <w:rsid w:val="00960850"/>
    <w:rsid w:val="009617CF"/>
    <w:rsid w:val="00970875"/>
    <w:rsid w:val="009747C1"/>
    <w:rsid w:val="00977183"/>
    <w:rsid w:val="009779F4"/>
    <w:rsid w:val="00980160"/>
    <w:rsid w:val="00980201"/>
    <w:rsid w:val="0098188C"/>
    <w:rsid w:val="0098248F"/>
    <w:rsid w:val="0098262E"/>
    <w:rsid w:val="009826DA"/>
    <w:rsid w:val="009843BD"/>
    <w:rsid w:val="009868FF"/>
    <w:rsid w:val="009925D1"/>
    <w:rsid w:val="0099425C"/>
    <w:rsid w:val="00995847"/>
    <w:rsid w:val="009A1439"/>
    <w:rsid w:val="009A2D15"/>
    <w:rsid w:val="009A2E89"/>
    <w:rsid w:val="009A32AE"/>
    <w:rsid w:val="009A602C"/>
    <w:rsid w:val="009B278E"/>
    <w:rsid w:val="009B3C53"/>
    <w:rsid w:val="009B3E60"/>
    <w:rsid w:val="009B3F59"/>
    <w:rsid w:val="009C2475"/>
    <w:rsid w:val="009C3D2A"/>
    <w:rsid w:val="009C557E"/>
    <w:rsid w:val="009D0A89"/>
    <w:rsid w:val="009D196F"/>
    <w:rsid w:val="009D1CF3"/>
    <w:rsid w:val="009D6698"/>
    <w:rsid w:val="009D6F35"/>
    <w:rsid w:val="009D7978"/>
    <w:rsid w:val="009D7F1B"/>
    <w:rsid w:val="009E1DA1"/>
    <w:rsid w:val="009E4059"/>
    <w:rsid w:val="009E5724"/>
    <w:rsid w:val="009E5F54"/>
    <w:rsid w:val="009F41F3"/>
    <w:rsid w:val="009F51C2"/>
    <w:rsid w:val="009F5227"/>
    <w:rsid w:val="009F56A2"/>
    <w:rsid w:val="009F6F2D"/>
    <w:rsid w:val="00A03AA9"/>
    <w:rsid w:val="00A05BAD"/>
    <w:rsid w:val="00A12614"/>
    <w:rsid w:val="00A1556C"/>
    <w:rsid w:val="00A24AB7"/>
    <w:rsid w:val="00A33BA7"/>
    <w:rsid w:val="00A36BB5"/>
    <w:rsid w:val="00A465D0"/>
    <w:rsid w:val="00A4722D"/>
    <w:rsid w:val="00A500C7"/>
    <w:rsid w:val="00A508C8"/>
    <w:rsid w:val="00A61D67"/>
    <w:rsid w:val="00A71F5F"/>
    <w:rsid w:val="00A755A1"/>
    <w:rsid w:val="00A76AC8"/>
    <w:rsid w:val="00A76E2E"/>
    <w:rsid w:val="00A81CC3"/>
    <w:rsid w:val="00A87659"/>
    <w:rsid w:val="00A87AAA"/>
    <w:rsid w:val="00A900E9"/>
    <w:rsid w:val="00A913A3"/>
    <w:rsid w:val="00AA1BEE"/>
    <w:rsid w:val="00AA3808"/>
    <w:rsid w:val="00AA3A53"/>
    <w:rsid w:val="00AB781F"/>
    <w:rsid w:val="00AB789F"/>
    <w:rsid w:val="00AB7A6F"/>
    <w:rsid w:val="00AC1758"/>
    <w:rsid w:val="00AC37D0"/>
    <w:rsid w:val="00AD63D9"/>
    <w:rsid w:val="00AD652C"/>
    <w:rsid w:val="00AE0F01"/>
    <w:rsid w:val="00AE1AA2"/>
    <w:rsid w:val="00AE1C82"/>
    <w:rsid w:val="00AE3682"/>
    <w:rsid w:val="00AE3FA0"/>
    <w:rsid w:val="00AE46EE"/>
    <w:rsid w:val="00AE7B59"/>
    <w:rsid w:val="00B029E3"/>
    <w:rsid w:val="00B126B6"/>
    <w:rsid w:val="00B14D68"/>
    <w:rsid w:val="00B17116"/>
    <w:rsid w:val="00B20CA0"/>
    <w:rsid w:val="00B23D84"/>
    <w:rsid w:val="00B25968"/>
    <w:rsid w:val="00B25D43"/>
    <w:rsid w:val="00B31DA9"/>
    <w:rsid w:val="00B32AE5"/>
    <w:rsid w:val="00B3353E"/>
    <w:rsid w:val="00B37DEA"/>
    <w:rsid w:val="00B4719F"/>
    <w:rsid w:val="00B473F6"/>
    <w:rsid w:val="00B50AA6"/>
    <w:rsid w:val="00B52AD4"/>
    <w:rsid w:val="00B5472D"/>
    <w:rsid w:val="00B555BA"/>
    <w:rsid w:val="00B62952"/>
    <w:rsid w:val="00B63738"/>
    <w:rsid w:val="00B65134"/>
    <w:rsid w:val="00B70A23"/>
    <w:rsid w:val="00B70FF8"/>
    <w:rsid w:val="00B72D31"/>
    <w:rsid w:val="00B735AC"/>
    <w:rsid w:val="00B73987"/>
    <w:rsid w:val="00B73A92"/>
    <w:rsid w:val="00B85382"/>
    <w:rsid w:val="00B85F07"/>
    <w:rsid w:val="00B86875"/>
    <w:rsid w:val="00B90DAB"/>
    <w:rsid w:val="00B92650"/>
    <w:rsid w:val="00B9442F"/>
    <w:rsid w:val="00B9517B"/>
    <w:rsid w:val="00B966BD"/>
    <w:rsid w:val="00B97460"/>
    <w:rsid w:val="00BA023B"/>
    <w:rsid w:val="00BA10A8"/>
    <w:rsid w:val="00BA16EB"/>
    <w:rsid w:val="00BB4262"/>
    <w:rsid w:val="00BB6D3E"/>
    <w:rsid w:val="00BB7010"/>
    <w:rsid w:val="00BC3E8B"/>
    <w:rsid w:val="00BC5FE0"/>
    <w:rsid w:val="00BC7CE3"/>
    <w:rsid w:val="00BD3D9A"/>
    <w:rsid w:val="00BD4436"/>
    <w:rsid w:val="00BD5B29"/>
    <w:rsid w:val="00BE4757"/>
    <w:rsid w:val="00BE635C"/>
    <w:rsid w:val="00BE7047"/>
    <w:rsid w:val="00BF1157"/>
    <w:rsid w:val="00BF3A8F"/>
    <w:rsid w:val="00BF441C"/>
    <w:rsid w:val="00BF4934"/>
    <w:rsid w:val="00BF69E7"/>
    <w:rsid w:val="00C051C7"/>
    <w:rsid w:val="00C07A59"/>
    <w:rsid w:val="00C10796"/>
    <w:rsid w:val="00C129FB"/>
    <w:rsid w:val="00C16344"/>
    <w:rsid w:val="00C170DD"/>
    <w:rsid w:val="00C1735A"/>
    <w:rsid w:val="00C2120D"/>
    <w:rsid w:val="00C23062"/>
    <w:rsid w:val="00C231FF"/>
    <w:rsid w:val="00C24561"/>
    <w:rsid w:val="00C2534D"/>
    <w:rsid w:val="00C32E47"/>
    <w:rsid w:val="00C347AB"/>
    <w:rsid w:val="00C36C8C"/>
    <w:rsid w:val="00C45DF8"/>
    <w:rsid w:val="00C50B0A"/>
    <w:rsid w:val="00C6074E"/>
    <w:rsid w:val="00C6377F"/>
    <w:rsid w:val="00C64F06"/>
    <w:rsid w:val="00C65924"/>
    <w:rsid w:val="00C6626F"/>
    <w:rsid w:val="00C6733C"/>
    <w:rsid w:val="00C70FD4"/>
    <w:rsid w:val="00C71190"/>
    <w:rsid w:val="00C72055"/>
    <w:rsid w:val="00C7210B"/>
    <w:rsid w:val="00C72D1E"/>
    <w:rsid w:val="00C737EF"/>
    <w:rsid w:val="00C75BFF"/>
    <w:rsid w:val="00C7618F"/>
    <w:rsid w:val="00C773AF"/>
    <w:rsid w:val="00C773F3"/>
    <w:rsid w:val="00C8208C"/>
    <w:rsid w:val="00C8276A"/>
    <w:rsid w:val="00C82BAF"/>
    <w:rsid w:val="00C83FB2"/>
    <w:rsid w:val="00C86F54"/>
    <w:rsid w:val="00C870A0"/>
    <w:rsid w:val="00C90D21"/>
    <w:rsid w:val="00CA58D4"/>
    <w:rsid w:val="00CA67ED"/>
    <w:rsid w:val="00CB21D5"/>
    <w:rsid w:val="00CB227E"/>
    <w:rsid w:val="00CB4572"/>
    <w:rsid w:val="00CB489B"/>
    <w:rsid w:val="00CB4EF8"/>
    <w:rsid w:val="00CC091A"/>
    <w:rsid w:val="00CC0B35"/>
    <w:rsid w:val="00CC0C2E"/>
    <w:rsid w:val="00CC12CC"/>
    <w:rsid w:val="00CC1408"/>
    <w:rsid w:val="00CC292F"/>
    <w:rsid w:val="00CD05E8"/>
    <w:rsid w:val="00CD419A"/>
    <w:rsid w:val="00CE2910"/>
    <w:rsid w:val="00CE365D"/>
    <w:rsid w:val="00CE4D4F"/>
    <w:rsid w:val="00CE6D0F"/>
    <w:rsid w:val="00CE7C0A"/>
    <w:rsid w:val="00CF3633"/>
    <w:rsid w:val="00CF4082"/>
    <w:rsid w:val="00CF4980"/>
    <w:rsid w:val="00CF4D5C"/>
    <w:rsid w:val="00CF52CD"/>
    <w:rsid w:val="00CF5505"/>
    <w:rsid w:val="00CF5BA5"/>
    <w:rsid w:val="00CF5CF0"/>
    <w:rsid w:val="00D00AA0"/>
    <w:rsid w:val="00D01CB7"/>
    <w:rsid w:val="00D046DF"/>
    <w:rsid w:val="00D11E93"/>
    <w:rsid w:val="00D16217"/>
    <w:rsid w:val="00D16245"/>
    <w:rsid w:val="00D17C9A"/>
    <w:rsid w:val="00D207F0"/>
    <w:rsid w:val="00D25547"/>
    <w:rsid w:val="00D31741"/>
    <w:rsid w:val="00D31B01"/>
    <w:rsid w:val="00D379B2"/>
    <w:rsid w:val="00D40174"/>
    <w:rsid w:val="00D46E79"/>
    <w:rsid w:val="00D578EC"/>
    <w:rsid w:val="00D57A66"/>
    <w:rsid w:val="00D616D9"/>
    <w:rsid w:val="00D61DDE"/>
    <w:rsid w:val="00D6363F"/>
    <w:rsid w:val="00D6586F"/>
    <w:rsid w:val="00D65FC2"/>
    <w:rsid w:val="00D70611"/>
    <w:rsid w:val="00D7377C"/>
    <w:rsid w:val="00D771F5"/>
    <w:rsid w:val="00D80647"/>
    <w:rsid w:val="00D80A79"/>
    <w:rsid w:val="00D82AA2"/>
    <w:rsid w:val="00D83187"/>
    <w:rsid w:val="00D8411D"/>
    <w:rsid w:val="00D84E30"/>
    <w:rsid w:val="00D862BF"/>
    <w:rsid w:val="00D87B2D"/>
    <w:rsid w:val="00D925BC"/>
    <w:rsid w:val="00D93DEB"/>
    <w:rsid w:val="00D95784"/>
    <w:rsid w:val="00D97493"/>
    <w:rsid w:val="00DA0245"/>
    <w:rsid w:val="00DA5690"/>
    <w:rsid w:val="00DB30AE"/>
    <w:rsid w:val="00DB3C50"/>
    <w:rsid w:val="00DB6C19"/>
    <w:rsid w:val="00DB7A3D"/>
    <w:rsid w:val="00DB7F89"/>
    <w:rsid w:val="00DC057A"/>
    <w:rsid w:val="00DC18D3"/>
    <w:rsid w:val="00DC2575"/>
    <w:rsid w:val="00DC47CC"/>
    <w:rsid w:val="00DC776C"/>
    <w:rsid w:val="00DD0047"/>
    <w:rsid w:val="00DD1044"/>
    <w:rsid w:val="00DD1A74"/>
    <w:rsid w:val="00DD4124"/>
    <w:rsid w:val="00DD43B2"/>
    <w:rsid w:val="00DD4934"/>
    <w:rsid w:val="00DD4A6A"/>
    <w:rsid w:val="00DE1905"/>
    <w:rsid w:val="00DE213A"/>
    <w:rsid w:val="00DE3CCD"/>
    <w:rsid w:val="00DE4607"/>
    <w:rsid w:val="00DE4F2C"/>
    <w:rsid w:val="00DE5216"/>
    <w:rsid w:val="00DE6C11"/>
    <w:rsid w:val="00DF521A"/>
    <w:rsid w:val="00E044F1"/>
    <w:rsid w:val="00E0461D"/>
    <w:rsid w:val="00E053A1"/>
    <w:rsid w:val="00E05F74"/>
    <w:rsid w:val="00E11E5A"/>
    <w:rsid w:val="00E140D4"/>
    <w:rsid w:val="00E14582"/>
    <w:rsid w:val="00E16D07"/>
    <w:rsid w:val="00E20C9F"/>
    <w:rsid w:val="00E218A6"/>
    <w:rsid w:val="00E26DCD"/>
    <w:rsid w:val="00E33E63"/>
    <w:rsid w:val="00E4121A"/>
    <w:rsid w:val="00E41B02"/>
    <w:rsid w:val="00E42916"/>
    <w:rsid w:val="00E431B8"/>
    <w:rsid w:val="00E43555"/>
    <w:rsid w:val="00E46E57"/>
    <w:rsid w:val="00E47F1D"/>
    <w:rsid w:val="00E50FCB"/>
    <w:rsid w:val="00E54C9D"/>
    <w:rsid w:val="00E55E75"/>
    <w:rsid w:val="00E62708"/>
    <w:rsid w:val="00E65B3D"/>
    <w:rsid w:val="00E666AB"/>
    <w:rsid w:val="00E67C7A"/>
    <w:rsid w:val="00E7108C"/>
    <w:rsid w:val="00E7559E"/>
    <w:rsid w:val="00E805BC"/>
    <w:rsid w:val="00E8153C"/>
    <w:rsid w:val="00E84512"/>
    <w:rsid w:val="00E9060A"/>
    <w:rsid w:val="00E91F3C"/>
    <w:rsid w:val="00E96CB9"/>
    <w:rsid w:val="00EA3E50"/>
    <w:rsid w:val="00EB1690"/>
    <w:rsid w:val="00EB26AC"/>
    <w:rsid w:val="00EB27D1"/>
    <w:rsid w:val="00EB43B8"/>
    <w:rsid w:val="00EC20E6"/>
    <w:rsid w:val="00EC35E4"/>
    <w:rsid w:val="00EC40B0"/>
    <w:rsid w:val="00EC5111"/>
    <w:rsid w:val="00EC781B"/>
    <w:rsid w:val="00EC7B06"/>
    <w:rsid w:val="00ED12FC"/>
    <w:rsid w:val="00ED3E76"/>
    <w:rsid w:val="00ED6694"/>
    <w:rsid w:val="00ED6A19"/>
    <w:rsid w:val="00ED71D4"/>
    <w:rsid w:val="00EE17C3"/>
    <w:rsid w:val="00EE2BBA"/>
    <w:rsid w:val="00EE34B7"/>
    <w:rsid w:val="00EE3DEE"/>
    <w:rsid w:val="00EE53BE"/>
    <w:rsid w:val="00EE7B95"/>
    <w:rsid w:val="00EF051B"/>
    <w:rsid w:val="00EF3682"/>
    <w:rsid w:val="00EF655F"/>
    <w:rsid w:val="00EF7504"/>
    <w:rsid w:val="00EF76B9"/>
    <w:rsid w:val="00F0011D"/>
    <w:rsid w:val="00F04661"/>
    <w:rsid w:val="00F05D32"/>
    <w:rsid w:val="00F1114A"/>
    <w:rsid w:val="00F1435D"/>
    <w:rsid w:val="00F22CCA"/>
    <w:rsid w:val="00F235BA"/>
    <w:rsid w:val="00F237B1"/>
    <w:rsid w:val="00F26748"/>
    <w:rsid w:val="00F276B7"/>
    <w:rsid w:val="00F3600D"/>
    <w:rsid w:val="00F37D44"/>
    <w:rsid w:val="00F43EBD"/>
    <w:rsid w:val="00F46B4B"/>
    <w:rsid w:val="00F50209"/>
    <w:rsid w:val="00F52DAC"/>
    <w:rsid w:val="00F57005"/>
    <w:rsid w:val="00F60057"/>
    <w:rsid w:val="00F60E5E"/>
    <w:rsid w:val="00F6241D"/>
    <w:rsid w:val="00F6529D"/>
    <w:rsid w:val="00F66713"/>
    <w:rsid w:val="00F669A7"/>
    <w:rsid w:val="00F66E27"/>
    <w:rsid w:val="00F67383"/>
    <w:rsid w:val="00F707C6"/>
    <w:rsid w:val="00F7265E"/>
    <w:rsid w:val="00F75E5A"/>
    <w:rsid w:val="00F762F4"/>
    <w:rsid w:val="00F76FCA"/>
    <w:rsid w:val="00F801F4"/>
    <w:rsid w:val="00F8395A"/>
    <w:rsid w:val="00F839C2"/>
    <w:rsid w:val="00F851DC"/>
    <w:rsid w:val="00F867BC"/>
    <w:rsid w:val="00F87AE3"/>
    <w:rsid w:val="00FA0886"/>
    <w:rsid w:val="00FA634C"/>
    <w:rsid w:val="00FA6E5D"/>
    <w:rsid w:val="00FA7812"/>
    <w:rsid w:val="00FB00B7"/>
    <w:rsid w:val="00FB0731"/>
    <w:rsid w:val="00FB11E4"/>
    <w:rsid w:val="00FB1AB1"/>
    <w:rsid w:val="00FB3B0D"/>
    <w:rsid w:val="00FB3CA0"/>
    <w:rsid w:val="00FB3F56"/>
    <w:rsid w:val="00FB5297"/>
    <w:rsid w:val="00FC0BEC"/>
    <w:rsid w:val="00FC184C"/>
    <w:rsid w:val="00FC2D25"/>
    <w:rsid w:val="00FC3482"/>
    <w:rsid w:val="00FC36A8"/>
    <w:rsid w:val="00FC57BA"/>
    <w:rsid w:val="00FC5E93"/>
    <w:rsid w:val="00FC6DF2"/>
    <w:rsid w:val="00FD2B29"/>
    <w:rsid w:val="00FD329B"/>
    <w:rsid w:val="00FD33FB"/>
    <w:rsid w:val="00FD445C"/>
    <w:rsid w:val="00FD457D"/>
    <w:rsid w:val="00FD7259"/>
    <w:rsid w:val="00FD7BF2"/>
    <w:rsid w:val="00FE111D"/>
    <w:rsid w:val="00FE1AFE"/>
    <w:rsid w:val="00FE4869"/>
    <w:rsid w:val="00FF01BE"/>
    <w:rsid w:val="00FF2252"/>
    <w:rsid w:val="00FF531F"/>
    <w:rsid w:val="00FF6E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0B1"/>
    <w:pPr>
      <w:widowControl w:val="0"/>
      <w:autoSpaceDE w:val="0"/>
      <w:autoSpaceDN w:val="0"/>
    </w:pPr>
    <w:rPr>
      <w:sz w:val="24"/>
      <w:szCs w:val="24"/>
    </w:rPr>
  </w:style>
  <w:style w:type="paragraph" w:styleId="Heading2">
    <w:name w:val="heading 2"/>
    <w:basedOn w:val="Normal"/>
    <w:next w:val="Normal"/>
    <w:link w:val="Heading2Char"/>
    <w:qFormat/>
    <w:rsid w:val="003F48B8"/>
    <w:pPr>
      <w:keepNext/>
      <w:widowControl/>
      <w:autoSpaceDE/>
      <w:autoSpaceDN/>
      <w:outlineLvl w:val="1"/>
    </w:pPr>
    <w:rPr>
      <w:rFonts w:cs="Arial"/>
      <w:bCs/>
      <w:iCs/>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0">
    <w:name w:val="Style 1"/>
    <w:basedOn w:val="Normal"/>
    <w:pPr>
      <w:spacing w:before="2376"/>
      <w:jc w:val="center"/>
    </w:pPr>
  </w:style>
  <w:style w:type="paragraph" w:customStyle="1" w:styleId="Style13">
    <w:name w:val="Style 13"/>
    <w:basedOn w:val="Normal"/>
    <w:pPr>
      <w:spacing w:line="804" w:lineRule="atLeast"/>
      <w:jc w:val="center"/>
    </w:pPr>
  </w:style>
  <w:style w:type="paragraph" w:customStyle="1" w:styleId="Style14">
    <w:name w:val="Style 14"/>
    <w:basedOn w:val="Normal"/>
    <w:pPr>
      <w:spacing w:before="144" w:after="2700"/>
      <w:jc w:val="center"/>
    </w:pPr>
  </w:style>
  <w:style w:type="paragraph" w:customStyle="1" w:styleId="Style15">
    <w:name w:val="Style 15"/>
    <w:basedOn w:val="Normal"/>
    <w:pPr>
      <w:spacing w:before="252"/>
      <w:jc w:val="center"/>
    </w:pPr>
  </w:style>
  <w:style w:type="paragraph" w:customStyle="1" w:styleId="Style5">
    <w:name w:val="Style 5"/>
    <w:basedOn w:val="Normal"/>
    <w:pPr>
      <w:adjustRightInd w:val="0"/>
    </w:pPr>
  </w:style>
  <w:style w:type="paragraph" w:customStyle="1" w:styleId="Style6">
    <w:name w:val="Style 6"/>
    <w:basedOn w:val="Normal"/>
    <w:pPr>
      <w:jc w:val="both"/>
    </w:pPr>
  </w:style>
  <w:style w:type="paragraph" w:customStyle="1" w:styleId="Style11">
    <w:name w:val="Style 11"/>
    <w:basedOn w:val="Normal"/>
    <w:pPr>
      <w:tabs>
        <w:tab w:val="decimal" w:pos="288"/>
        <w:tab w:val="left" w:pos="2808"/>
      </w:tabs>
      <w:spacing w:line="480" w:lineRule="auto"/>
    </w:pPr>
  </w:style>
  <w:style w:type="paragraph" w:customStyle="1" w:styleId="Style7">
    <w:name w:val="Style 7"/>
    <w:basedOn w:val="Normal"/>
    <w:pPr>
      <w:spacing w:before="13644"/>
      <w:ind w:left="5472"/>
    </w:pPr>
  </w:style>
  <w:style w:type="paragraph" w:customStyle="1" w:styleId="Style12">
    <w:name w:val="Style 12"/>
    <w:basedOn w:val="Normal"/>
    <w:pPr>
      <w:tabs>
        <w:tab w:val="left" w:pos="2808"/>
      </w:tabs>
      <w:spacing w:line="480" w:lineRule="auto"/>
    </w:pPr>
  </w:style>
  <w:style w:type="paragraph" w:customStyle="1" w:styleId="Style16">
    <w:name w:val="Style 16"/>
    <w:basedOn w:val="Normal"/>
    <w:pPr>
      <w:tabs>
        <w:tab w:val="decimal" w:pos="432"/>
        <w:tab w:val="left" w:pos="2808"/>
      </w:tabs>
    </w:pPr>
  </w:style>
  <w:style w:type="paragraph" w:customStyle="1" w:styleId="Style100">
    <w:name w:val="Style 10"/>
    <w:basedOn w:val="Normal"/>
    <w:pPr>
      <w:spacing w:line="480" w:lineRule="auto"/>
    </w:pPr>
  </w:style>
  <w:style w:type="paragraph" w:customStyle="1" w:styleId="Style17">
    <w:name w:val="Style 17"/>
    <w:basedOn w:val="Normal"/>
    <w:pPr>
      <w:spacing w:before="216" w:line="288" w:lineRule="atLeast"/>
      <w:ind w:left="144"/>
    </w:pPr>
  </w:style>
  <w:style w:type="paragraph" w:styleId="Footer">
    <w:name w:val="footer"/>
    <w:basedOn w:val="Normal"/>
    <w:rsid w:val="00C45DF8"/>
    <w:pPr>
      <w:tabs>
        <w:tab w:val="center" w:pos="4320"/>
        <w:tab w:val="right" w:pos="8640"/>
      </w:tabs>
    </w:pPr>
  </w:style>
  <w:style w:type="character" w:styleId="PageNumber">
    <w:name w:val="page number"/>
    <w:basedOn w:val="DefaultParagraphFont"/>
    <w:rsid w:val="00C45DF8"/>
  </w:style>
  <w:style w:type="paragraph" w:styleId="Header">
    <w:name w:val="header"/>
    <w:basedOn w:val="Normal"/>
    <w:rsid w:val="00C45DF8"/>
    <w:pPr>
      <w:tabs>
        <w:tab w:val="center" w:pos="4320"/>
        <w:tab w:val="right" w:pos="8640"/>
      </w:tabs>
    </w:pPr>
  </w:style>
  <w:style w:type="paragraph" w:styleId="DocumentMap">
    <w:name w:val="Document Map"/>
    <w:basedOn w:val="Normal"/>
    <w:semiHidden/>
    <w:rsid w:val="00B31DA9"/>
    <w:pPr>
      <w:shd w:val="clear" w:color="auto" w:fill="000080"/>
    </w:pPr>
    <w:rPr>
      <w:rFonts w:ascii="Tahoma" w:hAnsi="Tahoma" w:cs="Tahoma"/>
    </w:rPr>
  </w:style>
  <w:style w:type="table" w:styleId="TableGrid">
    <w:name w:val="Table Grid"/>
    <w:basedOn w:val="TableNormal"/>
    <w:rsid w:val="00813D35"/>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F4D5C"/>
    <w:rPr>
      <w:rFonts w:ascii="Tahoma" w:hAnsi="Tahoma" w:cs="Tahoma"/>
      <w:sz w:val="16"/>
      <w:szCs w:val="16"/>
    </w:rPr>
  </w:style>
  <w:style w:type="character" w:styleId="Hyperlink">
    <w:name w:val="Hyperlink"/>
    <w:basedOn w:val="DefaultParagraphFont"/>
    <w:rsid w:val="00BA10A8"/>
    <w:rPr>
      <w:color w:val="0000FF"/>
      <w:u w:val="single"/>
    </w:rPr>
  </w:style>
  <w:style w:type="character" w:styleId="CommentReference">
    <w:name w:val="annotation reference"/>
    <w:basedOn w:val="DefaultParagraphFont"/>
    <w:semiHidden/>
    <w:rsid w:val="006A5946"/>
    <w:rPr>
      <w:sz w:val="16"/>
      <w:szCs w:val="16"/>
    </w:rPr>
  </w:style>
  <w:style w:type="paragraph" w:styleId="CommentText">
    <w:name w:val="annotation text"/>
    <w:basedOn w:val="Normal"/>
    <w:semiHidden/>
    <w:rsid w:val="006A5946"/>
    <w:rPr>
      <w:sz w:val="20"/>
      <w:szCs w:val="20"/>
    </w:rPr>
  </w:style>
  <w:style w:type="paragraph" w:styleId="CommentSubject">
    <w:name w:val="annotation subject"/>
    <w:basedOn w:val="CommentText"/>
    <w:next w:val="CommentText"/>
    <w:semiHidden/>
    <w:rsid w:val="006A5946"/>
    <w:rPr>
      <w:b/>
      <w:bCs/>
    </w:rPr>
  </w:style>
  <w:style w:type="numbering" w:customStyle="1" w:styleId="Style1">
    <w:name w:val="Style1"/>
    <w:rsid w:val="000F072F"/>
    <w:pPr>
      <w:numPr>
        <w:numId w:val="14"/>
      </w:numPr>
    </w:pPr>
  </w:style>
  <w:style w:type="character" w:customStyle="1" w:styleId="defaultlabelstyle6">
    <w:name w:val="defaultlabelstyle6"/>
    <w:basedOn w:val="DefaultParagraphFont"/>
    <w:rsid w:val="00B25D43"/>
    <w:rPr>
      <w:rFonts w:ascii="Verdana" w:hAnsi="Verdana" w:hint="default"/>
      <w:color w:val="333333"/>
      <w:sz w:val="18"/>
      <w:szCs w:val="18"/>
    </w:rPr>
  </w:style>
  <w:style w:type="paragraph" w:customStyle="1" w:styleId="Level1">
    <w:name w:val="Level 1"/>
    <w:rsid w:val="005E374A"/>
    <w:pPr>
      <w:autoSpaceDE w:val="0"/>
      <w:autoSpaceDN w:val="0"/>
      <w:adjustRightInd w:val="0"/>
      <w:ind w:left="720"/>
    </w:pPr>
    <w:rPr>
      <w:rFonts w:ascii="Courier" w:hAnsi="Courier"/>
      <w:sz w:val="24"/>
      <w:szCs w:val="24"/>
    </w:rPr>
  </w:style>
  <w:style w:type="character" w:customStyle="1" w:styleId="QuickFormat1">
    <w:name w:val="QuickFormat1"/>
    <w:rsid w:val="005E374A"/>
    <w:rPr>
      <w:rFonts w:ascii="Courier New" w:hAnsi="Courier New" w:cs="Courier New"/>
    </w:rPr>
  </w:style>
  <w:style w:type="character" w:customStyle="1" w:styleId="SYSHYPERTEXT">
    <w:name w:val="SYS_HYPERTEXT"/>
    <w:rsid w:val="00484D60"/>
    <w:rPr>
      <w:color w:val="0000FF"/>
      <w:u w:val="single"/>
    </w:rPr>
  </w:style>
  <w:style w:type="character" w:styleId="Emphasis">
    <w:name w:val="Emphasis"/>
    <w:basedOn w:val="DefaultParagraphFont"/>
    <w:qFormat/>
    <w:rsid w:val="00484D60"/>
    <w:rPr>
      <w:i/>
      <w:iCs/>
    </w:rPr>
  </w:style>
  <w:style w:type="paragraph" w:customStyle="1" w:styleId="Clear">
    <w:name w:val="Clear"/>
    <w:basedOn w:val="Normal"/>
    <w:rsid w:val="003F48B8"/>
    <w:pPr>
      <w:widowControl/>
      <w:autoSpaceDE/>
      <w:autoSpaceDN/>
    </w:pPr>
    <w:rPr>
      <w:lang w:val="en-CA"/>
    </w:rPr>
  </w:style>
  <w:style w:type="character" w:customStyle="1" w:styleId="Heading2Char">
    <w:name w:val="Heading 2 Char"/>
    <w:basedOn w:val="DefaultParagraphFont"/>
    <w:link w:val="Heading2"/>
    <w:rsid w:val="003F48B8"/>
    <w:rPr>
      <w:rFonts w:cs="Arial"/>
      <w:bCs/>
      <w:iCs/>
      <w:sz w:val="24"/>
      <w:szCs w:val="28"/>
      <w:u w:val="single"/>
      <w:lang w:val="en-US" w:eastAsia="en-US" w:bidi="ar-SA"/>
    </w:rPr>
  </w:style>
  <w:style w:type="paragraph" w:customStyle="1" w:styleId="Default">
    <w:name w:val="Default"/>
    <w:rsid w:val="000B0129"/>
    <w:pPr>
      <w:autoSpaceDE w:val="0"/>
      <w:autoSpaceDN w:val="0"/>
      <w:adjustRightInd w:val="0"/>
    </w:pPr>
    <w:rPr>
      <w:color w:val="000000"/>
      <w:sz w:val="24"/>
      <w:szCs w:val="24"/>
    </w:rPr>
  </w:style>
  <w:style w:type="character" w:styleId="FollowedHyperlink">
    <w:name w:val="FollowedHyperlink"/>
    <w:basedOn w:val="DefaultParagraphFont"/>
    <w:rsid w:val="00387F67"/>
    <w:rPr>
      <w:color w:val="800080"/>
      <w:u w:val="single"/>
    </w:rPr>
  </w:style>
</w:styles>
</file>

<file path=word/webSettings.xml><?xml version="1.0" encoding="utf-8"?>
<w:webSettings xmlns:r="http://schemas.openxmlformats.org/officeDocument/2006/relationships" xmlns:w="http://schemas.openxmlformats.org/wordprocessingml/2006/main">
  <w:divs>
    <w:div w:id="12195542">
      <w:bodyDiv w:val="1"/>
      <w:marLeft w:val="0"/>
      <w:marRight w:val="0"/>
      <w:marTop w:val="0"/>
      <w:marBottom w:val="0"/>
      <w:divBdr>
        <w:top w:val="none" w:sz="0" w:space="0" w:color="auto"/>
        <w:left w:val="none" w:sz="0" w:space="0" w:color="auto"/>
        <w:bottom w:val="none" w:sz="0" w:space="0" w:color="auto"/>
        <w:right w:val="none" w:sz="0" w:space="0" w:color="auto"/>
      </w:divBdr>
    </w:div>
    <w:div w:id="181407269">
      <w:bodyDiv w:val="1"/>
      <w:marLeft w:val="0"/>
      <w:marRight w:val="0"/>
      <w:marTop w:val="0"/>
      <w:marBottom w:val="0"/>
      <w:divBdr>
        <w:top w:val="none" w:sz="0" w:space="0" w:color="auto"/>
        <w:left w:val="none" w:sz="0" w:space="0" w:color="auto"/>
        <w:bottom w:val="none" w:sz="0" w:space="0" w:color="auto"/>
        <w:right w:val="none" w:sz="0" w:space="0" w:color="auto"/>
      </w:divBdr>
    </w:div>
    <w:div w:id="582687317">
      <w:bodyDiv w:val="1"/>
      <w:marLeft w:val="0"/>
      <w:marRight w:val="0"/>
      <w:marTop w:val="0"/>
      <w:marBottom w:val="0"/>
      <w:divBdr>
        <w:top w:val="none" w:sz="0" w:space="0" w:color="auto"/>
        <w:left w:val="none" w:sz="0" w:space="0" w:color="auto"/>
        <w:bottom w:val="none" w:sz="0" w:space="0" w:color="auto"/>
        <w:right w:val="none" w:sz="0" w:space="0" w:color="auto"/>
      </w:divBdr>
    </w:div>
    <w:div w:id="604265147">
      <w:bodyDiv w:val="1"/>
      <w:marLeft w:val="0"/>
      <w:marRight w:val="0"/>
      <w:marTop w:val="0"/>
      <w:marBottom w:val="0"/>
      <w:divBdr>
        <w:top w:val="none" w:sz="0" w:space="0" w:color="auto"/>
        <w:left w:val="none" w:sz="0" w:space="0" w:color="auto"/>
        <w:bottom w:val="none" w:sz="0" w:space="0" w:color="auto"/>
        <w:right w:val="none" w:sz="0" w:space="0" w:color="auto"/>
      </w:divBdr>
    </w:div>
    <w:div w:id="641495866">
      <w:bodyDiv w:val="1"/>
      <w:marLeft w:val="0"/>
      <w:marRight w:val="0"/>
      <w:marTop w:val="0"/>
      <w:marBottom w:val="0"/>
      <w:divBdr>
        <w:top w:val="none" w:sz="0" w:space="0" w:color="auto"/>
        <w:left w:val="none" w:sz="0" w:space="0" w:color="auto"/>
        <w:bottom w:val="none" w:sz="0" w:space="0" w:color="auto"/>
        <w:right w:val="none" w:sz="0" w:space="0" w:color="auto"/>
      </w:divBdr>
    </w:div>
    <w:div w:id="776025192">
      <w:bodyDiv w:val="1"/>
      <w:marLeft w:val="0"/>
      <w:marRight w:val="0"/>
      <w:marTop w:val="0"/>
      <w:marBottom w:val="0"/>
      <w:divBdr>
        <w:top w:val="none" w:sz="0" w:space="0" w:color="auto"/>
        <w:left w:val="none" w:sz="0" w:space="0" w:color="auto"/>
        <w:bottom w:val="none" w:sz="0" w:space="0" w:color="auto"/>
        <w:right w:val="none" w:sz="0" w:space="0" w:color="auto"/>
      </w:divBdr>
    </w:div>
    <w:div w:id="791169216">
      <w:bodyDiv w:val="1"/>
      <w:marLeft w:val="0"/>
      <w:marRight w:val="0"/>
      <w:marTop w:val="0"/>
      <w:marBottom w:val="0"/>
      <w:divBdr>
        <w:top w:val="none" w:sz="0" w:space="0" w:color="auto"/>
        <w:left w:val="none" w:sz="0" w:space="0" w:color="auto"/>
        <w:bottom w:val="none" w:sz="0" w:space="0" w:color="auto"/>
        <w:right w:val="none" w:sz="0" w:space="0" w:color="auto"/>
      </w:divBdr>
    </w:div>
    <w:div w:id="804472103">
      <w:bodyDiv w:val="1"/>
      <w:marLeft w:val="0"/>
      <w:marRight w:val="0"/>
      <w:marTop w:val="0"/>
      <w:marBottom w:val="0"/>
      <w:divBdr>
        <w:top w:val="none" w:sz="0" w:space="0" w:color="auto"/>
        <w:left w:val="none" w:sz="0" w:space="0" w:color="auto"/>
        <w:bottom w:val="none" w:sz="0" w:space="0" w:color="auto"/>
        <w:right w:val="none" w:sz="0" w:space="0" w:color="auto"/>
      </w:divBdr>
    </w:div>
    <w:div w:id="976954327">
      <w:bodyDiv w:val="1"/>
      <w:marLeft w:val="0"/>
      <w:marRight w:val="0"/>
      <w:marTop w:val="0"/>
      <w:marBottom w:val="0"/>
      <w:divBdr>
        <w:top w:val="none" w:sz="0" w:space="0" w:color="auto"/>
        <w:left w:val="none" w:sz="0" w:space="0" w:color="auto"/>
        <w:bottom w:val="none" w:sz="0" w:space="0" w:color="auto"/>
        <w:right w:val="none" w:sz="0" w:space="0" w:color="auto"/>
      </w:divBdr>
    </w:div>
    <w:div w:id="1111245136">
      <w:bodyDiv w:val="1"/>
      <w:marLeft w:val="0"/>
      <w:marRight w:val="0"/>
      <w:marTop w:val="0"/>
      <w:marBottom w:val="0"/>
      <w:divBdr>
        <w:top w:val="none" w:sz="0" w:space="0" w:color="auto"/>
        <w:left w:val="none" w:sz="0" w:space="0" w:color="auto"/>
        <w:bottom w:val="none" w:sz="0" w:space="0" w:color="auto"/>
        <w:right w:val="none" w:sz="0" w:space="0" w:color="auto"/>
      </w:divBdr>
    </w:div>
    <w:div w:id="1165970565">
      <w:bodyDiv w:val="1"/>
      <w:marLeft w:val="0"/>
      <w:marRight w:val="0"/>
      <w:marTop w:val="0"/>
      <w:marBottom w:val="0"/>
      <w:divBdr>
        <w:top w:val="none" w:sz="0" w:space="0" w:color="auto"/>
        <w:left w:val="none" w:sz="0" w:space="0" w:color="auto"/>
        <w:bottom w:val="none" w:sz="0" w:space="0" w:color="auto"/>
        <w:right w:val="none" w:sz="0" w:space="0" w:color="auto"/>
      </w:divBdr>
    </w:div>
    <w:div w:id="1348946719">
      <w:bodyDiv w:val="1"/>
      <w:marLeft w:val="0"/>
      <w:marRight w:val="0"/>
      <w:marTop w:val="0"/>
      <w:marBottom w:val="0"/>
      <w:divBdr>
        <w:top w:val="none" w:sz="0" w:space="0" w:color="auto"/>
        <w:left w:val="none" w:sz="0" w:space="0" w:color="auto"/>
        <w:bottom w:val="none" w:sz="0" w:space="0" w:color="auto"/>
        <w:right w:val="none" w:sz="0" w:space="0" w:color="auto"/>
      </w:divBdr>
    </w:div>
    <w:div w:id="1397316694">
      <w:bodyDiv w:val="1"/>
      <w:marLeft w:val="0"/>
      <w:marRight w:val="0"/>
      <w:marTop w:val="0"/>
      <w:marBottom w:val="0"/>
      <w:divBdr>
        <w:top w:val="none" w:sz="0" w:space="0" w:color="auto"/>
        <w:left w:val="none" w:sz="0" w:space="0" w:color="auto"/>
        <w:bottom w:val="none" w:sz="0" w:space="0" w:color="auto"/>
        <w:right w:val="none" w:sz="0" w:space="0" w:color="auto"/>
      </w:divBdr>
    </w:div>
    <w:div w:id="1422289985">
      <w:bodyDiv w:val="1"/>
      <w:marLeft w:val="0"/>
      <w:marRight w:val="0"/>
      <w:marTop w:val="0"/>
      <w:marBottom w:val="0"/>
      <w:divBdr>
        <w:top w:val="none" w:sz="0" w:space="0" w:color="auto"/>
        <w:left w:val="none" w:sz="0" w:space="0" w:color="auto"/>
        <w:bottom w:val="none" w:sz="0" w:space="0" w:color="auto"/>
        <w:right w:val="none" w:sz="0" w:space="0" w:color="auto"/>
      </w:divBdr>
    </w:div>
    <w:div w:id="1554467554">
      <w:bodyDiv w:val="1"/>
      <w:marLeft w:val="0"/>
      <w:marRight w:val="0"/>
      <w:marTop w:val="0"/>
      <w:marBottom w:val="0"/>
      <w:divBdr>
        <w:top w:val="none" w:sz="0" w:space="0" w:color="auto"/>
        <w:left w:val="none" w:sz="0" w:space="0" w:color="auto"/>
        <w:bottom w:val="none" w:sz="0" w:space="0" w:color="auto"/>
        <w:right w:val="none" w:sz="0" w:space="0" w:color="auto"/>
      </w:divBdr>
    </w:div>
    <w:div w:id="1694454573">
      <w:bodyDiv w:val="1"/>
      <w:marLeft w:val="0"/>
      <w:marRight w:val="0"/>
      <w:marTop w:val="0"/>
      <w:marBottom w:val="0"/>
      <w:divBdr>
        <w:top w:val="none" w:sz="0" w:space="0" w:color="auto"/>
        <w:left w:val="none" w:sz="0" w:space="0" w:color="auto"/>
        <w:bottom w:val="none" w:sz="0" w:space="0" w:color="auto"/>
        <w:right w:val="none" w:sz="0" w:space="0" w:color="auto"/>
      </w:divBdr>
    </w:div>
    <w:div w:id="1955818678">
      <w:bodyDiv w:val="1"/>
      <w:marLeft w:val="0"/>
      <w:marRight w:val="0"/>
      <w:marTop w:val="0"/>
      <w:marBottom w:val="0"/>
      <w:divBdr>
        <w:top w:val="none" w:sz="0" w:space="0" w:color="auto"/>
        <w:left w:val="none" w:sz="0" w:space="0" w:color="auto"/>
        <w:bottom w:val="none" w:sz="0" w:space="0" w:color="auto"/>
        <w:right w:val="none" w:sz="0" w:space="0" w:color="auto"/>
      </w:divBdr>
    </w:div>
    <w:div w:id="1972175308">
      <w:bodyDiv w:val="1"/>
      <w:marLeft w:val="0"/>
      <w:marRight w:val="0"/>
      <w:marTop w:val="0"/>
      <w:marBottom w:val="0"/>
      <w:divBdr>
        <w:top w:val="none" w:sz="0" w:space="0" w:color="auto"/>
        <w:left w:val="none" w:sz="0" w:space="0" w:color="auto"/>
        <w:bottom w:val="none" w:sz="0" w:space="0" w:color="auto"/>
        <w:right w:val="none" w:sz="0" w:space="0" w:color="auto"/>
      </w:divBdr>
    </w:div>
    <w:div w:id="1996687283">
      <w:bodyDiv w:val="1"/>
      <w:marLeft w:val="0"/>
      <w:marRight w:val="0"/>
      <w:marTop w:val="0"/>
      <w:marBottom w:val="0"/>
      <w:divBdr>
        <w:top w:val="none" w:sz="0" w:space="0" w:color="auto"/>
        <w:left w:val="none" w:sz="0" w:space="0" w:color="auto"/>
        <w:bottom w:val="none" w:sz="0" w:space="0" w:color="auto"/>
        <w:right w:val="none" w:sz="0" w:space="0" w:color="auto"/>
      </w:divBdr>
    </w:div>
    <w:div w:id="2007777598">
      <w:bodyDiv w:val="1"/>
      <w:marLeft w:val="0"/>
      <w:marRight w:val="0"/>
      <w:marTop w:val="0"/>
      <w:marBottom w:val="0"/>
      <w:divBdr>
        <w:top w:val="none" w:sz="0" w:space="0" w:color="auto"/>
        <w:left w:val="none" w:sz="0" w:space="0" w:color="auto"/>
        <w:bottom w:val="none" w:sz="0" w:space="0" w:color="auto"/>
        <w:right w:val="none" w:sz="0" w:space="0" w:color="auto"/>
      </w:divBdr>
    </w:div>
    <w:div w:id="20592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epa.gov/otaq/certdata.ht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81E6-25B8-42CB-9A6D-EC4B7753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5171</Words>
  <Characters>29478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34580</CharactersWithSpaces>
  <SharedDoc>false</SharedDoc>
  <HLinks>
    <vt:vector size="18" baseType="variant">
      <vt:variant>
        <vt:i4>2818151</vt:i4>
      </vt:variant>
      <vt:variant>
        <vt:i4>10</vt:i4>
      </vt:variant>
      <vt:variant>
        <vt:i4>0</vt:i4>
      </vt:variant>
      <vt:variant>
        <vt:i4>5</vt:i4>
      </vt:variant>
      <vt:variant>
        <vt:lpwstr>http://www.regulations.gov/</vt:lpwstr>
      </vt:variant>
      <vt:variant>
        <vt:lpwstr/>
      </vt:variant>
      <vt:variant>
        <vt:i4>720912</vt:i4>
      </vt:variant>
      <vt:variant>
        <vt:i4>3</vt:i4>
      </vt:variant>
      <vt:variant>
        <vt:i4>0</vt:i4>
      </vt:variant>
      <vt:variant>
        <vt:i4>5</vt:i4>
      </vt:variant>
      <vt:variant>
        <vt:lpwstr>http://www.epa.gov/otaq/certdata.htm</vt:lpwstr>
      </vt:variant>
      <vt:variant>
        <vt:lpwstr/>
      </vt:variant>
      <vt:variant>
        <vt:i4>3342397</vt:i4>
      </vt:variant>
      <vt:variant>
        <vt:i4>0</vt:i4>
      </vt:variant>
      <vt:variant>
        <vt:i4>0</vt:i4>
      </vt:variant>
      <vt:variant>
        <vt:i4>5</vt:i4>
      </vt:variant>
      <vt:variant>
        <vt:lpwstr>http://www.gpoaccess.gov/fr/index.html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cp:lastPrinted>2010-05-10T17:47:00Z</cp:lastPrinted>
  <dcterms:created xsi:type="dcterms:W3CDTF">2011-04-07T20:56:00Z</dcterms:created>
  <dcterms:modified xsi:type="dcterms:W3CDTF">2011-04-07T20:56:00Z</dcterms:modified>
</cp:coreProperties>
</file>