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5DA" w:rsidRDefault="004F45DA" w:rsidP="004F45DA"/>
    <w:p w:rsidR="004F45DA" w:rsidRPr="00B07EA8" w:rsidRDefault="004F45DA" w:rsidP="008C2A2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F2B30">
        <w:rPr>
          <w:sz w:val="24"/>
          <w:szCs w:val="24"/>
        </w:rPr>
        <w:t>June 1</w:t>
      </w:r>
      <w:r w:rsidR="006A1BEB">
        <w:rPr>
          <w:sz w:val="24"/>
          <w:szCs w:val="24"/>
        </w:rPr>
        <w:t>, 2011</w:t>
      </w:r>
    </w:p>
    <w:p w:rsidR="004F45DA" w:rsidRPr="00B07EA8" w:rsidRDefault="004F45DA" w:rsidP="004F45DA">
      <w:pPr>
        <w:jc w:val="left"/>
        <w:outlineLvl w:val="0"/>
        <w:rPr>
          <w:b/>
          <w:sz w:val="24"/>
          <w:szCs w:val="24"/>
        </w:rPr>
      </w:pPr>
      <w:r w:rsidRPr="00B07EA8">
        <w:rPr>
          <w:b/>
          <w:sz w:val="24"/>
          <w:szCs w:val="24"/>
        </w:rPr>
        <w:t>MEMORANDUM</w:t>
      </w:r>
    </w:p>
    <w:p w:rsidR="004F45DA" w:rsidRPr="00B07EA8" w:rsidRDefault="004F45DA" w:rsidP="004F45DA">
      <w:pPr>
        <w:pStyle w:val="Header"/>
        <w:rPr>
          <w:rFonts w:ascii="Times New Roman" w:hAnsi="Times New Roman"/>
          <w:sz w:val="24"/>
          <w:szCs w:val="24"/>
        </w:rPr>
      </w:pPr>
    </w:p>
    <w:p w:rsidR="004F45DA" w:rsidRDefault="004F45DA" w:rsidP="004F45DA">
      <w:pPr>
        <w:pStyle w:val="MessageHeaderFirst"/>
        <w:spacing w:line="360" w:lineRule="auto"/>
        <w:ind w:left="0" w:firstLine="0"/>
        <w:outlineLvl w:val="0"/>
        <w:rPr>
          <w:sz w:val="24"/>
          <w:szCs w:val="24"/>
        </w:rPr>
      </w:pPr>
      <w:r w:rsidRPr="00B07EA8">
        <w:rPr>
          <w:rStyle w:val="MessageHeaderLabel"/>
          <w:rFonts w:cs="Arial"/>
          <w:bCs/>
          <w:spacing w:val="-20"/>
          <w:sz w:val="24"/>
          <w:szCs w:val="24"/>
        </w:rPr>
        <w:t>T</w:t>
      </w:r>
      <w:r w:rsidRPr="00B07EA8">
        <w:rPr>
          <w:rStyle w:val="MessageHeaderLabel"/>
          <w:rFonts w:cs="Arial"/>
          <w:bCs/>
          <w:sz w:val="24"/>
          <w:szCs w:val="24"/>
        </w:rPr>
        <w:t>o:</w:t>
      </w:r>
      <w:r w:rsidRPr="00B07EA8">
        <w:rPr>
          <w:sz w:val="24"/>
          <w:szCs w:val="24"/>
        </w:rPr>
        <w:tab/>
      </w:r>
      <w:r>
        <w:rPr>
          <w:sz w:val="24"/>
          <w:szCs w:val="24"/>
        </w:rPr>
        <w:tab/>
        <w:t>Shelly Martinez, OMB</w:t>
      </w:r>
    </w:p>
    <w:p w:rsidR="004F45DA" w:rsidRPr="00B07EA8" w:rsidRDefault="004F45DA" w:rsidP="008C2A27">
      <w:pPr>
        <w:pStyle w:val="MessageHeader"/>
        <w:spacing w:line="360" w:lineRule="auto"/>
        <w:ind w:left="0" w:firstLine="0"/>
        <w:outlineLvl w:val="0"/>
        <w:rPr>
          <w:sz w:val="24"/>
          <w:szCs w:val="24"/>
        </w:rPr>
      </w:pPr>
      <w:r w:rsidRPr="00B07EA8">
        <w:rPr>
          <w:rStyle w:val="MessageHeaderLabel"/>
          <w:rFonts w:cs="Arial"/>
          <w:bCs/>
          <w:sz w:val="24"/>
          <w:szCs w:val="24"/>
        </w:rPr>
        <w:t>From:</w:t>
      </w:r>
      <w:r w:rsidRPr="00B07EA8">
        <w:rPr>
          <w:sz w:val="24"/>
          <w:szCs w:val="24"/>
        </w:rPr>
        <w:tab/>
      </w:r>
      <w:r>
        <w:rPr>
          <w:sz w:val="24"/>
          <w:szCs w:val="24"/>
        </w:rPr>
        <w:tab/>
        <w:t>Elise Christopher, NCES</w:t>
      </w:r>
    </w:p>
    <w:p w:rsidR="004F45DA" w:rsidRPr="00570D94" w:rsidRDefault="004F45DA" w:rsidP="004F45DA">
      <w:pPr>
        <w:pStyle w:val="MessageHeaderFirst"/>
        <w:spacing w:line="360" w:lineRule="auto"/>
        <w:ind w:left="0" w:firstLine="0"/>
        <w:outlineLvl w:val="0"/>
        <w:rPr>
          <w:rStyle w:val="MessageHeaderLabel"/>
          <w:rFonts w:cs="Arial"/>
          <w:bCs/>
          <w:sz w:val="24"/>
          <w:szCs w:val="24"/>
        </w:rPr>
      </w:pPr>
      <w:r w:rsidRPr="00570D94">
        <w:rPr>
          <w:rStyle w:val="MessageHeaderLabel"/>
          <w:rFonts w:cs="Arial"/>
          <w:bCs/>
          <w:sz w:val="24"/>
          <w:szCs w:val="24"/>
        </w:rPr>
        <w:t>Through</w:t>
      </w:r>
      <w:r>
        <w:rPr>
          <w:rStyle w:val="MessageHeaderLabel"/>
          <w:rFonts w:cs="Arial"/>
          <w:bCs/>
          <w:sz w:val="24"/>
          <w:szCs w:val="24"/>
        </w:rPr>
        <w:t>:</w:t>
      </w:r>
      <w:r w:rsidRPr="00570D94">
        <w:rPr>
          <w:rStyle w:val="MessageHeaderLabel"/>
          <w:rFonts w:cs="Arial"/>
          <w:bCs/>
          <w:sz w:val="24"/>
          <w:szCs w:val="24"/>
        </w:rPr>
        <w:t xml:space="preserve"> </w:t>
      </w:r>
      <w:r>
        <w:rPr>
          <w:rStyle w:val="MessageHeaderLabel"/>
          <w:rFonts w:cs="Arial"/>
          <w:bCs/>
          <w:sz w:val="24"/>
          <w:szCs w:val="24"/>
        </w:rPr>
        <w:tab/>
      </w:r>
      <w:r w:rsidRPr="00570D94">
        <w:rPr>
          <w:sz w:val="24"/>
          <w:szCs w:val="24"/>
        </w:rPr>
        <w:t>Kashka Kubzdela</w:t>
      </w:r>
      <w:r>
        <w:rPr>
          <w:sz w:val="24"/>
          <w:szCs w:val="24"/>
        </w:rPr>
        <w:t>, NCES</w:t>
      </w:r>
    </w:p>
    <w:p w:rsidR="004F45DA" w:rsidRPr="00762B11" w:rsidRDefault="004F45DA" w:rsidP="009A001F">
      <w:pPr>
        <w:pBdr>
          <w:bottom w:val="single" w:sz="6" w:space="0" w:color="auto"/>
        </w:pBdr>
        <w:spacing w:line="360" w:lineRule="auto"/>
        <w:ind w:left="1440" w:hanging="1440"/>
        <w:jc w:val="left"/>
        <w:rPr>
          <w:sz w:val="24"/>
          <w:szCs w:val="24"/>
        </w:rPr>
      </w:pPr>
      <w:r w:rsidRPr="00B07EA8">
        <w:rPr>
          <w:rStyle w:val="MessageHeaderLabel"/>
          <w:rFonts w:cs="Arial"/>
          <w:bCs/>
          <w:sz w:val="24"/>
          <w:szCs w:val="24"/>
        </w:rPr>
        <w:t>Re:</w:t>
      </w:r>
      <w:r w:rsidRPr="00B07EA8">
        <w:rPr>
          <w:sz w:val="24"/>
          <w:szCs w:val="24"/>
        </w:rPr>
        <w:tab/>
      </w:r>
      <w:r>
        <w:rPr>
          <w:sz w:val="24"/>
          <w:szCs w:val="24"/>
        </w:rPr>
        <w:t xml:space="preserve">Response to OMB Passback on </w:t>
      </w:r>
      <w:r w:rsidR="008C2A27">
        <w:rPr>
          <w:sz w:val="24"/>
          <w:szCs w:val="24"/>
        </w:rPr>
        <w:t>ELS</w:t>
      </w:r>
      <w:proofErr w:type="gramStart"/>
      <w:r w:rsidR="008C2A27">
        <w:rPr>
          <w:sz w:val="24"/>
          <w:szCs w:val="24"/>
        </w:rPr>
        <w:t>:2002</w:t>
      </w:r>
      <w:proofErr w:type="gramEnd"/>
      <w:r w:rsidR="008C2A27">
        <w:rPr>
          <w:sz w:val="24"/>
          <w:szCs w:val="24"/>
        </w:rPr>
        <w:t>/12</w:t>
      </w:r>
      <w:r w:rsidRPr="00AC00BD">
        <w:rPr>
          <w:sz w:val="24"/>
          <w:szCs w:val="24"/>
        </w:rPr>
        <w:t xml:space="preserve"> </w:t>
      </w:r>
      <w:r>
        <w:rPr>
          <w:sz w:val="24"/>
          <w:szCs w:val="24"/>
        </w:rPr>
        <w:t>Field Test</w:t>
      </w:r>
      <w:r w:rsidRPr="00AC00BD">
        <w:rPr>
          <w:sz w:val="24"/>
          <w:szCs w:val="24"/>
        </w:rPr>
        <w:t xml:space="preserve"> </w:t>
      </w:r>
      <w:r>
        <w:rPr>
          <w:sz w:val="24"/>
          <w:szCs w:val="24"/>
        </w:rPr>
        <w:t>(OMB#</w:t>
      </w:r>
      <w:r w:rsidR="00EE6013">
        <w:rPr>
          <w:sz w:val="24"/>
          <w:szCs w:val="24"/>
        </w:rPr>
        <w:t xml:space="preserve"> </w:t>
      </w:r>
      <w:r w:rsidR="00EE6013" w:rsidRPr="00EE6013">
        <w:rPr>
          <w:sz w:val="24"/>
          <w:szCs w:val="24"/>
        </w:rPr>
        <w:t>1850-0652</w:t>
      </w:r>
      <w:r>
        <w:rPr>
          <w:sz w:val="24"/>
          <w:szCs w:val="24"/>
        </w:rPr>
        <w:t>)</w:t>
      </w:r>
    </w:p>
    <w:p w:rsidR="004F45DA" w:rsidRDefault="004F45DA" w:rsidP="004F45DA">
      <w:pPr>
        <w:jc w:val="left"/>
      </w:pPr>
    </w:p>
    <w:p w:rsidR="004F45DA" w:rsidRPr="00B76968" w:rsidRDefault="00B76968" w:rsidP="004F45DA">
      <w:pPr>
        <w:jc w:val="left"/>
        <w:rPr>
          <w:rFonts w:ascii="Calibri" w:hAnsi="Calibri"/>
          <w:b/>
          <w:color w:val="1F497D"/>
          <w:szCs w:val="22"/>
        </w:rPr>
      </w:pPr>
      <w:r w:rsidRPr="00B76968">
        <w:rPr>
          <w:rFonts w:ascii="Calibri" w:hAnsi="Calibri"/>
          <w:b/>
          <w:color w:val="1F497D"/>
          <w:szCs w:val="22"/>
        </w:rPr>
        <w:t>May 24, 2011 Passback from OMB</w:t>
      </w:r>
    </w:p>
    <w:p w:rsidR="00B76968" w:rsidRDefault="00B76968" w:rsidP="004F45DA">
      <w:pPr>
        <w:jc w:val="left"/>
        <w:rPr>
          <w:rFonts w:ascii="Calibri" w:hAnsi="Calibri"/>
          <w:color w:val="1F497D"/>
          <w:szCs w:val="22"/>
        </w:rPr>
      </w:pPr>
    </w:p>
    <w:p w:rsidR="00C3325C" w:rsidRPr="00B76968" w:rsidRDefault="0090663A" w:rsidP="00A70B6E">
      <w:pPr>
        <w:numPr>
          <w:ilvl w:val="0"/>
          <w:numId w:val="3"/>
        </w:numPr>
        <w:rPr>
          <w:color w:val="0070C0"/>
        </w:rPr>
      </w:pPr>
      <w:r>
        <w:rPr>
          <w:color w:val="0070C0"/>
        </w:rPr>
        <w:t>Regarding the</w:t>
      </w:r>
      <w:r w:rsidR="00C3325C" w:rsidRPr="00B76968">
        <w:rPr>
          <w:color w:val="0070C0"/>
        </w:rPr>
        <w:t xml:space="preserve"> ELS incentive plans for the field test data collection</w:t>
      </w:r>
      <w:r>
        <w:rPr>
          <w:color w:val="0070C0"/>
        </w:rPr>
        <w:t>, i</w:t>
      </w:r>
      <w:r w:rsidR="00C3325C" w:rsidRPr="00B76968">
        <w:rPr>
          <w:color w:val="0070C0"/>
        </w:rPr>
        <w:t xml:space="preserve">t does not appear that the main points from the lengthy conversations we’ve had with NCES and RTI on NPSAS and B&amp;B are reflected here.  This relates principally to two major emphases – first that we are not interested in raising the incentive level for high propensity cases over what those cases received last time.  It perpetuates the impression that the real starting point for NCES and RTI is always to raise the amount from last time, </w:t>
      </w:r>
      <w:proofErr w:type="gramStart"/>
      <w:r w:rsidR="00C3325C" w:rsidRPr="00B76968">
        <w:rPr>
          <w:color w:val="0070C0"/>
        </w:rPr>
        <w:t>and</w:t>
      </w:r>
      <w:proofErr w:type="gramEnd"/>
      <w:r w:rsidR="00C3325C" w:rsidRPr="00B76968">
        <w:rPr>
          <w:color w:val="0070C0"/>
        </w:rPr>
        <w:t xml:space="preserve"> that response propensity is j</w:t>
      </w:r>
      <w:r w:rsidR="00EE6013" w:rsidRPr="00B76968">
        <w:rPr>
          <w:color w:val="0070C0"/>
        </w:rPr>
        <w:t>ust an add-</w:t>
      </w:r>
      <w:r w:rsidR="00C3325C" w:rsidRPr="00B76968">
        <w:rPr>
          <w:color w:val="0070C0"/>
        </w:rPr>
        <w:t>on related to response rates, despite the rhetoric on bias.</w:t>
      </w:r>
    </w:p>
    <w:p w:rsidR="00A70B6E" w:rsidRDefault="00A70B6E" w:rsidP="00C3325C"/>
    <w:p w:rsidR="004D0B71" w:rsidRDefault="00FA7396" w:rsidP="00093EED">
      <w:r>
        <w:t>We appreciate your feedback and</w:t>
      </w:r>
      <w:r w:rsidR="00F813AB">
        <w:t xml:space="preserve"> as part of our ongoing convers</w:t>
      </w:r>
      <w:r>
        <w:t>ations with our colleagues on NPSAS</w:t>
      </w:r>
      <w:proofErr w:type="gramStart"/>
      <w:r>
        <w:t>:12</w:t>
      </w:r>
      <w:proofErr w:type="gramEnd"/>
      <w:r>
        <w:t xml:space="preserve"> and B&amp;B:09/12, we </w:t>
      </w:r>
      <w:r w:rsidR="0008322D">
        <w:t xml:space="preserve">have </w:t>
      </w:r>
      <w:r>
        <w:t>revisited our respective plans. While there are some similarities in certain aspects of these plans, t</w:t>
      </w:r>
      <w:r w:rsidR="00A70B6E">
        <w:t>he ELS</w:t>
      </w:r>
      <w:proofErr w:type="gramStart"/>
      <w:r w:rsidR="00A70B6E">
        <w:t>:2002</w:t>
      </w:r>
      <w:proofErr w:type="gramEnd"/>
      <w:r w:rsidR="00A70B6E">
        <w:t>/12 F3 field test incentive plan does not use the second follow-up incentive amount as the starting point for the F3 incentive.  What a sample member received in the F2 survey does not dictate the incentive</w:t>
      </w:r>
      <w:r w:rsidR="00F813AB">
        <w:t xml:space="preserve"> offered in the F3 field test</w:t>
      </w:r>
      <w:r w:rsidR="00F63B95">
        <w:t xml:space="preserve"> (per exhibits A-2 and A-3 in Part A)</w:t>
      </w:r>
      <w:r w:rsidR="00F813AB">
        <w:t xml:space="preserve">. </w:t>
      </w:r>
    </w:p>
    <w:p w:rsidR="00F63B95" w:rsidRDefault="00F63B95" w:rsidP="00A70B6E"/>
    <w:p w:rsidR="00C3325C" w:rsidRDefault="00A70B6E" w:rsidP="00A70B6E">
      <w:r>
        <w:t>The plan for F3 is as follows:</w:t>
      </w:r>
    </w:p>
    <w:p w:rsidR="00A70B6E" w:rsidRDefault="00A70B6E" w:rsidP="00A70B6E">
      <w:pPr>
        <w:numPr>
          <w:ilvl w:val="0"/>
          <w:numId w:val="5"/>
        </w:numPr>
      </w:pPr>
      <w:r>
        <w:t>The cases will be split into a pre-data collection categorization of high propensity cases; low propensity early phase experiment cases; and low propensity control cases.</w:t>
      </w:r>
    </w:p>
    <w:p w:rsidR="00A70B6E" w:rsidRDefault="00A70B6E" w:rsidP="00F63B95">
      <w:pPr>
        <w:numPr>
          <w:ilvl w:val="0"/>
          <w:numId w:val="5"/>
        </w:numPr>
      </w:pPr>
      <w:r>
        <w:t>During the 3-week early web period, all sample members will be offered the same amount: $25 (regardless of what they received for the F2 survey).</w:t>
      </w:r>
      <w:r w:rsidR="00BC4950">
        <w:t xml:space="preserve">  This amount is lower than the $30 or $50 which was offered during the early phase of the F2 survey. (In F2, F1 non-respondents and “ever dropout” cases were offered the higher amount.)</w:t>
      </w:r>
      <w:r w:rsidR="00093EED">
        <w:t xml:space="preserve"> We believe that the $25 amount at this stage is appropriate and necessary, given the estimated burden (35 minutes –</w:t>
      </w:r>
      <w:r w:rsidR="009A5091">
        <w:t xml:space="preserve"> </w:t>
      </w:r>
      <w:r w:rsidR="00093EED">
        <w:t xml:space="preserve">slightly longer than the </w:t>
      </w:r>
      <w:r w:rsidR="009A5091">
        <w:t>actual F2 burden of 27</w:t>
      </w:r>
      <w:r w:rsidR="00093EED">
        <w:t xml:space="preserve"> minutes) and population being surveyed (now in their mid-20s).</w:t>
      </w:r>
    </w:p>
    <w:p w:rsidR="00EE1D39" w:rsidRDefault="00A70B6E" w:rsidP="00E26EA2">
      <w:pPr>
        <w:numPr>
          <w:ilvl w:val="0"/>
          <w:numId w:val="5"/>
        </w:numPr>
      </w:pPr>
      <w:r>
        <w:t xml:space="preserve">Midway through this 3-week early web period, the cases in the low propensity early phase experiment group will receive </w:t>
      </w:r>
      <w:r w:rsidR="00F63B95">
        <w:t>telephone prompt</w:t>
      </w:r>
      <w:r w:rsidR="00EE1D39">
        <w:t xml:space="preserve"> to encourage completion of the web survey during the 3-week early period. </w:t>
      </w:r>
      <w:r w:rsidR="00E26EA2">
        <w:t xml:space="preserve">These cases </w:t>
      </w:r>
      <w:r w:rsidR="00EE1D39">
        <w:t xml:space="preserve">will </w:t>
      </w:r>
      <w:r w:rsidR="00E26EA2">
        <w:t xml:space="preserve">continue to </w:t>
      </w:r>
      <w:r w:rsidR="00EE1D39">
        <w:t>be offered the same $25 incentive amount.</w:t>
      </w:r>
    </w:p>
    <w:p w:rsidR="00EE1D39" w:rsidRDefault="00EE1D39" w:rsidP="00EE1D39">
      <w:pPr>
        <w:numPr>
          <w:ilvl w:val="0"/>
          <w:numId w:val="5"/>
        </w:numPr>
      </w:pPr>
      <w:r>
        <w:t>Once the 3-week period is finished, the 2</w:t>
      </w:r>
      <w:r w:rsidRPr="00EE1D39">
        <w:rPr>
          <w:vertAlign w:val="superscript"/>
        </w:rPr>
        <w:t>nd</w:t>
      </w:r>
      <w:r>
        <w:t xml:space="preserve"> (production) phase begins, which will last 6 weeks.  It is at this point that we will re-determine our low- and high- propensity cases among remaining nonrespondents – and split low-propensity cases into experiment and control cases.</w:t>
      </w:r>
    </w:p>
    <w:p w:rsidR="00EE1D39" w:rsidRDefault="00EE1D39" w:rsidP="00D972A0">
      <w:pPr>
        <w:numPr>
          <w:ilvl w:val="0"/>
          <w:numId w:val="5"/>
        </w:numPr>
      </w:pPr>
      <w:r>
        <w:t>For phase 2, the low propensity experiment cases will be offered $45 while the control cases and the high-propensity cases will continue to be offered $25.</w:t>
      </w:r>
      <w:r w:rsidR="00BC4950">
        <w:t xml:space="preserve">  </w:t>
      </w:r>
    </w:p>
    <w:p w:rsidR="00EE1D39" w:rsidRDefault="00EE1D39" w:rsidP="00D972A0">
      <w:pPr>
        <w:numPr>
          <w:ilvl w:val="0"/>
          <w:numId w:val="5"/>
        </w:numPr>
      </w:pPr>
      <w:r>
        <w:t xml:space="preserve">Phase 3 begins in week 10, and the incentive offer would be increased by $10 for </w:t>
      </w:r>
      <w:r w:rsidR="00D972A0">
        <w:t>these most difficult final</w:t>
      </w:r>
      <w:r>
        <w:t xml:space="preserve"> cases: $55 for low-propensity experiment cases; $35 for the others.</w:t>
      </w:r>
      <w:r w:rsidR="00BC4950">
        <w:t xml:space="preserve"> This compares with the F2 amounts of $60 and $40.</w:t>
      </w:r>
    </w:p>
    <w:p w:rsidR="00F63B95" w:rsidRDefault="00F63B95" w:rsidP="009A001F"/>
    <w:p w:rsidR="00A70B6E" w:rsidRDefault="00F63B95" w:rsidP="00F63B95">
      <w:r>
        <w:t xml:space="preserve">In short, with this plan, </w:t>
      </w:r>
      <w:r w:rsidR="004D0B71">
        <w:t>many sample members will be offered less than the amount they were offered in the F2 survey.</w:t>
      </w:r>
    </w:p>
    <w:p w:rsidR="00A70B6E" w:rsidRDefault="00A70B6E" w:rsidP="00C3325C"/>
    <w:p w:rsidR="00517B56" w:rsidRDefault="00517B56" w:rsidP="00C3325C"/>
    <w:p w:rsidR="00C3325C" w:rsidRPr="00B76968" w:rsidRDefault="00C3325C" w:rsidP="00A70B6E">
      <w:pPr>
        <w:numPr>
          <w:ilvl w:val="0"/>
          <w:numId w:val="3"/>
        </w:numPr>
        <w:rPr>
          <w:color w:val="0070C0"/>
        </w:rPr>
      </w:pPr>
      <w:r w:rsidRPr="00B76968">
        <w:rPr>
          <w:color w:val="0070C0"/>
        </w:rPr>
        <w:lastRenderedPageBreak/>
        <w:t xml:space="preserve">Second, </w:t>
      </w:r>
      <w:r w:rsidR="0090663A">
        <w:rPr>
          <w:color w:val="0070C0"/>
        </w:rPr>
        <w:t xml:space="preserve">we have </w:t>
      </w:r>
      <w:r w:rsidRPr="00B76968">
        <w:rPr>
          <w:color w:val="0070C0"/>
        </w:rPr>
        <w:t xml:space="preserve">very clearly expressed that NCES must demonstrate a relationship between substantive variables for which NCES is concerned about bias and the variables in the model.  The variables for the model are mostly or all related to response propensity – how does increasing the response of a low propensity group directly address bias?  This needs to be demonstrated and discussed not just assumed. </w:t>
      </w:r>
    </w:p>
    <w:p w:rsidR="00FE300A" w:rsidRDefault="00FE300A" w:rsidP="00A70B6E">
      <w:pPr>
        <w:jc w:val="left"/>
        <w:rPr>
          <w:rFonts w:ascii="Calibri" w:hAnsi="Calibri"/>
          <w:sz w:val="24"/>
          <w:szCs w:val="24"/>
        </w:rPr>
      </w:pPr>
    </w:p>
    <w:p w:rsidR="007E5036" w:rsidRDefault="007E5036" w:rsidP="007E5036">
      <w:pPr>
        <w:rPr>
          <w:sz w:val="24"/>
          <w:szCs w:val="24"/>
        </w:rPr>
      </w:pPr>
      <w:r>
        <w:rPr>
          <w:sz w:val="24"/>
          <w:szCs w:val="24"/>
        </w:rPr>
        <w:t xml:space="preserve">In the current environment of declining rates of survey participation, some concern has arisen that the inability to complete interviews with those who have a low propensity to respond is biasing survey estimates.  From prior studies, it has been learned that low propensity cases are different than those with high propensity on certain key estimates.  Including cases with the lowest propensity to respond could be a practical way to improve data quality in that it can reduce bias in the final survey estimates.  </w:t>
      </w:r>
      <w:r w:rsidRPr="00CC411C">
        <w:rPr>
          <w:sz w:val="24"/>
          <w:szCs w:val="24"/>
        </w:rPr>
        <w:t xml:space="preserve">For a nonresponse adjustment to be effective in reducing nonresponse bias, it needs to be associated with both a sample member’s likelihood of participation and </w:t>
      </w:r>
      <w:r>
        <w:rPr>
          <w:sz w:val="24"/>
          <w:szCs w:val="24"/>
        </w:rPr>
        <w:t>any</w:t>
      </w:r>
      <w:r w:rsidRPr="00CC411C">
        <w:rPr>
          <w:sz w:val="24"/>
          <w:szCs w:val="24"/>
        </w:rPr>
        <w:t xml:space="preserve"> survey variables of interest. Even then, however, th</w:t>
      </w:r>
      <w:r>
        <w:rPr>
          <w:sz w:val="24"/>
          <w:szCs w:val="24"/>
        </w:rPr>
        <w:t xml:space="preserve">ese models are quite imperfect and </w:t>
      </w:r>
      <w:r w:rsidRPr="00CC411C">
        <w:rPr>
          <w:sz w:val="24"/>
          <w:szCs w:val="24"/>
        </w:rPr>
        <w:t>attempt</w:t>
      </w:r>
      <w:r>
        <w:rPr>
          <w:sz w:val="24"/>
          <w:szCs w:val="24"/>
        </w:rPr>
        <w:t>s</w:t>
      </w:r>
      <w:r w:rsidRPr="00CC411C">
        <w:rPr>
          <w:sz w:val="24"/>
          <w:szCs w:val="24"/>
        </w:rPr>
        <w:t xml:space="preserve"> to obtain interviews </w:t>
      </w:r>
      <w:r>
        <w:rPr>
          <w:sz w:val="24"/>
          <w:szCs w:val="24"/>
        </w:rPr>
        <w:t>from low propensity cases could be a superior supplemental</w:t>
      </w:r>
      <w:r w:rsidRPr="00CC411C">
        <w:rPr>
          <w:sz w:val="24"/>
          <w:szCs w:val="24"/>
        </w:rPr>
        <w:t xml:space="preserve"> approach </w:t>
      </w:r>
      <w:r>
        <w:rPr>
          <w:sz w:val="24"/>
          <w:szCs w:val="24"/>
        </w:rPr>
        <w:t>to reducing nonresponse bias, for the reasons stated above</w:t>
      </w:r>
      <w:r w:rsidRPr="00CC411C">
        <w:rPr>
          <w:sz w:val="24"/>
          <w:szCs w:val="24"/>
        </w:rPr>
        <w:t xml:space="preserve">. </w:t>
      </w:r>
      <w:r>
        <w:rPr>
          <w:sz w:val="24"/>
          <w:szCs w:val="24"/>
        </w:rPr>
        <w:t xml:space="preserve"> To be effective, </w:t>
      </w:r>
      <w:r w:rsidRPr="00CC411C">
        <w:rPr>
          <w:sz w:val="24"/>
          <w:szCs w:val="24"/>
        </w:rPr>
        <w:t>an intervention during data collection aimed at reducing bias by targeting low propensity cases</w:t>
      </w:r>
      <w:r>
        <w:rPr>
          <w:sz w:val="24"/>
          <w:szCs w:val="24"/>
        </w:rPr>
        <w:t xml:space="preserve"> ideally </w:t>
      </w:r>
      <w:r w:rsidRPr="000076AC">
        <w:rPr>
          <w:sz w:val="24"/>
          <w:szCs w:val="24"/>
        </w:rPr>
        <w:t>(but not necessarily</w:t>
      </w:r>
      <w:r>
        <w:rPr>
          <w:rStyle w:val="FootnoteReference"/>
          <w:sz w:val="24"/>
          <w:szCs w:val="24"/>
        </w:rPr>
        <w:footnoteReference w:id="1"/>
      </w:r>
      <w:r w:rsidRPr="000076AC">
        <w:rPr>
          <w:sz w:val="24"/>
          <w:szCs w:val="24"/>
        </w:rPr>
        <w:t xml:space="preserve">) </w:t>
      </w:r>
      <w:r>
        <w:rPr>
          <w:sz w:val="24"/>
          <w:szCs w:val="24"/>
        </w:rPr>
        <w:t xml:space="preserve">would meet two conditions: </w:t>
      </w:r>
      <w:r w:rsidRPr="00CC411C">
        <w:rPr>
          <w:sz w:val="24"/>
          <w:szCs w:val="24"/>
        </w:rPr>
        <w:t xml:space="preserve">the response propensity </w:t>
      </w:r>
      <w:r>
        <w:rPr>
          <w:sz w:val="24"/>
          <w:szCs w:val="24"/>
        </w:rPr>
        <w:t>should be</w:t>
      </w:r>
      <w:r w:rsidRPr="00CC411C">
        <w:rPr>
          <w:sz w:val="24"/>
          <w:szCs w:val="24"/>
        </w:rPr>
        <w:t xml:space="preserve"> a significant predictor of response outcome as well as being significantly associated with </w:t>
      </w:r>
      <w:r>
        <w:rPr>
          <w:sz w:val="24"/>
          <w:szCs w:val="24"/>
        </w:rPr>
        <w:t>any</w:t>
      </w:r>
      <w:r w:rsidRPr="00CC411C">
        <w:rPr>
          <w:sz w:val="24"/>
          <w:szCs w:val="24"/>
        </w:rPr>
        <w:t xml:space="preserve"> survey variables of interest (observed only among respondents). </w:t>
      </w:r>
      <w:r>
        <w:rPr>
          <w:sz w:val="24"/>
          <w:szCs w:val="24"/>
        </w:rPr>
        <w:t xml:space="preserve"> </w:t>
      </w:r>
      <w:r w:rsidRPr="00CC411C">
        <w:rPr>
          <w:sz w:val="24"/>
          <w:szCs w:val="24"/>
        </w:rPr>
        <w:t xml:space="preserve">These conditions were met in </w:t>
      </w:r>
      <w:r>
        <w:rPr>
          <w:sz w:val="24"/>
          <w:szCs w:val="24"/>
        </w:rPr>
        <w:t>identifying cases for the ELS</w:t>
      </w:r>
      <w:proofErr w:type="gramStart"/>
      <w:r>
        <w:rPr>
          <w:sz w:val="24"/>
          <w:szCs w:val="24"/>
        </w:rPr>
        <w:t>:2002</w:t>
      </w:r>
      <w:proofErr w:type="gramEnd"/>
      <w:r>
        <w:rPr>
          <w:sz w:val="24"/>
          <w:szCs w:val="24"/>
        </w:rPr>
        <w:t xml:space="preserve"> field test using information from prior rounds</w:t>
      </w:r>
      <w:r w:rsidRPr="00CC411C">
        <w:rPr>
          <w:sz w:val="24"/>
          <w:szCs w:val="24"/>
        </w:rPr>
        <w:t xml:space="preserve">.  </w:t>
      </w:r>
      <w:r>
        <w:rPr>
          <w:sz w:val="24"/>
          <w:szCs w:val="24"/>
        </w:rPr>
        <w:t>The best fitting model found included the fo</w:t>
      </w:r>
      <w:r w:rsidR="00CF7A51">
        <w:rPr>
          <w:sz w:val="24"/>
          <w:szCs w:val="24"/>
        </w:rPr>
        <w:t>llowing variables as predictors:</w:t>
      </w:r>
      <w:r>
        <w:rPr>
          <w:sz w:val="24"/>
          <w:szCs w:val="24"/>
        </w:rPr>
        <w:t xml:space="preserve"> base year response s</w:t>
      </w:r>
      <w:r w:rsidRPr="00B3110F">
        <w:rPr>
          <w:sz w:val="24"/>
          <w:szCs w:val="24"/>
        </w:rPr>
        <w:t>tatus</w:t>
      </w:r>
      <w:r>
        <w:rPr>
          <w:sz w:val="24"/>
          <w:szCs w:val="24"/>
        </w:rPr>
        <w:t xml:space="preserve">, F1 response status, F2 call count, whether the case has ever refused, whether some contact was ever made with the case, mother is a college graduate*, and whether the case has ever been in an AP class*.  High propensity cases in the F2 FT had an overall response rate of 92%, while low propensity cases had a response rate of roughly 55%.  While some survey variables were included in the response propensity model, it is informative to note that even some survey variables not ultimately retained as significant predictors do show an association to the calculated response propensities.  This means that going after low propensity cases would bring respondents into the response pool </w:t>
      </w:r>
      <w:r w:rsidRPr="00211C09">
        <w:rPr>
          <w:i/>
          <w:iCs/>
          <w:sz w:val="24"/>
          <w:szCs w:val="24"/>
        </w:rPr>
        <w:t xml:space="preserve">that could differ on many </w:t>
      </w:r>
      <w:r>
        <w:rPr>
          <w:i/>
          <w:iCs/>
          <w:sz w:val="24"/>
          <w:szCs w:val="24"/>
        </w:rPr>
        <w:t xml:space="preserve">more </w:t>
      </w:r>
      <w:r w:rsidRPr="00211C09">
        <w:rPr>
          <w:i/>
          <w:iCs/>
          <w:sz w:val="24"/>
          <w:szCs w:val="24"/>
        </w:rPr>
        <w:t>key survey variables</w:t>
      </w:r>
      <w:r>
        <w:rPr>
          <w:sz w:val="24"/>
          <w:szCs w:val="24"/>
        </w:rPr>
        <w:t xml:space="preserve">.  </w:t>
      </w:r>
      <w:r w:rsidRPr="00CC411C">
        <w:rPr>
          <w:sz w:val="24"/>
          <w:szCs w:val="24"/>
        </w:rPr>
        <w:t xml:space="preserve">As shown below, calculated response propensities were significantly associated with </w:t>
      </w:r>
      <w:r>
        <w:rPr>
          <w:sz w:val="24"/>
          <w:szCs w:val="24"/>
        </w:rPr>
        <w:t>certain important survey</w:t>
      </w:r>
      <w:r w:rsidRPr="00CC411C">
        <w:rPr>
          <w:sz w:val="24"/>
          <w:szCs w:val="24"/>
        </w:rPr>
        <w:t xml:space="preserve"> variables</w:t>
      </w:r>
      <w:r>
        <w:rPr>
          <w:sz w:val="24"/>
          <w:szCs w:val="24"/>
        </w:rPr>
        <w:t>.</w:t>
      </w:r>
    </w:p>
    <w:p w:rsidR="00DF2B30" w:rsidRDefault="00DF2B30" w:rsidP="007E5036">
      <w:pPr>
        <w:rPr>
          <w:sz w:val="24"/>
          <w:szCs w:val="24"/>
        </w:rPr>
      </w:pPr>
    </w:p>
    <w:p w:rsidR="00DF2B30" w:rsidRDefault="00DF2B30" w:rsidP="00DF2B30">
      <w:pPr>
        <w:jc w:val="left"/>
        <w:rPr>
          <w:sz w:val="24"/>
          <w:szCs w:val="24"/>
        </w:rPr>
      </w:pPr>
    </w:p>
    <w:p w:rsidR="007E5036" w:rsidRDefault="007E5036" w:rsidP="00DF2B30">
      <w:pPr>
        <w:jc w:val="left"/>
        <w:rPr>
          <w:sz w:val="24"/>
          <w:szCs w:val="24"/>
        </w:rPr>
      </w:pPr>
      <w:proofErr w:type="gramStart"/>
      <w:r>
        <w:rPr>
          <w:sz w:val="24"/>
          <w:szCs w:val="24"/>
        </w:rPr>
        <w:t>Table.</w:t>
      </w:r>
      <w:proofErr w:type="gramEnd"/>
      <w:r>
        <w:rPr>
          <w:sz w:val="24"/>
          <w:szCs w:val="24"/>
        </w:rPr>
        <w:t xml:space="preserve">  ELS F2 FT - Correlations between Calculated Response Propensities and Selected Survey Variables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0"/>
        <w:gridCol w:w="1866"/>
        <w:gridCol w:w="1584"/>
        <w:gridCol w:w="1150"/>
        <w:gridCol w:w="1340"/>
        <w:gridCol w:w="1340"/>
      </w:tblGrid>
      <w:tr w:rsidR="007E5036" w:rsidTr="00DF2B30">
        <w:tc>
          <w:tcPr>
            <w:tcW w:w="1513" w:type="pct"/>
          </w:tcPr>
          <w:p w:rsidR="007E5036" w:rsidRPr="007E5036" w:rsidRDefault="00EB526E" w:rsidP="00DF2B30">
            <w:pPr>
              <w:tabs>
                <w:tab w:val="center" w:pos="4680"/>
                <w:tab w:val="right" w:pos="9360"/>
              </w:tabs>
              <w:spacing w:line="240" w:lineRule="auto"/>
              <w:jc w:val="center"/>
              <w:rPr>
                <w:szCs w:val="22"/>
              </w:rPr>
            </w:pPr>
            <w:r>
              <w:rPr>
                <w:szCs w:val="22"/>
              </w:rPr>
              <w:t>Survey</w:t>
            </w:r>
            <w:r w:rsidR="007E5036" w:rsidRPr="007E5036">
              <w:rPr>
                <w:szCs w:val="22"/>
              </w:rPr>
              <w:t xml:space="preserve"> Variable</w:t>
            </w:r>
          </w:p>
        </w:tc>
        <w:tc>
          <w:tcPr>
            <w:tcW w:w="893" w:type="pct"/>
          </w:tcPr>
          <w:p w:rsidR="007E5036" w:rsidRPr="007E5036" w:rsidRDefault="007E5036" w:rsidP="00DF2B30">
            <w:pPr>
              <w:tabs>
                <w:tab w:val="center" w:pos="4680"/>
                <w:tab w:val="right" w:pos="9360"/>
              </w:tabs>
              <w:spacing w:line="240" w:lineRule="auto"/>
              <w:jc w:val="center"/>
              <w:rPr>
                <w:szCs w:val="22"/>
              </w:rPr>
            </w:pPr>
            <w:r w:rsidRPr="007E5036">
              <w:rPr>
                <w:szCs w:val="22"/>
              </w:rPr>
              <w:t>Correlation between Variable and Calculated Response Propensity</w:t>
            </w:r>
          </w:p>
        </w:tc>
        <w:tc>
          <w:tcPr>
            <w:tcW w:w="758" w:type="pct"/>
          </w:tcPr>
          <w:p w:rsidR="007E5036" w:rsidRPr="007E5036" w:rsidRDefault="007E5036" w:rsidP="00DF2B30">
            <w:pPr>
              <w:tabs>
                <w:tab w:val="center" w:pos="4680"/>
                <w:tab w:val="right" w:pos="9360"/>
              </w:tabs>
              <w:spacing w:line="240" w:lineRule="auto"/>
              <w:jc w:val="center"/>
              <w:rPr>
                <w:szCs w:val="22"/>
              </w:rPr>
            </w:pPr>
            <w:r w:rsidRPr="007E5036">
              <w:rPr>
                <w:szCs w:val="22"/>
              </w:rPr>
              <w:t>Significance level</w:t>
            </w:r>
          </w:p>
        </w:tc>
        <w:tc>
          <w:tcPr>
            <w:tcW w:w="551" w:type="pct"/>
          </w:tcPr>
          <w:p w:rsidR="007E5036" w:rsidRPr="007E5036" w:rsidRDefault="007E5036" w:rsidP="00DF2B30">
            <w:pPr>
              <w:tabs>
                <w:tab w:val="center" w:pos="4680"/>
                <w:tab w:val="right" w:pos="9360"/>
              </w:tabs>
              <w:spacing w:line="240" w:lineRule="auto"/>
              <w:jc w:val="center"/>
              <w:rPr>
                <w:szCs w:val="22"/>
              </w:rPr>
            </w:pPr>
            <w:r w:rsidRPr="007E5036">
              <w:rPr>
                <w:szCs w:val="22"/>
              </w:rPr>
              <w:t>Estimate (overall)</w:t>
            </w:r>
          </w:p>
        </w:tc>
        <w:tc>
          <w:tcPr>
            <w:tcW w:w="642" w:type="pct"/>
          </w:tcPr>
          <w:p w:rsidR="007E5036" w:rsidRPr="007E5036" w:rsidRDefault="007E5036" w:rsidP="00DF2B30">
            <w:pPr>
              <w:tabs>
                <w:tab w:val="center" w:pos="4680"/>
                <w:tab w:val="right" w:pos="9360"/>
              </w:tabs>
              <w:spacing w:line="240" w:lineRule="auto"/>
              <w:jc w:val="center"/>
              <w:rPr>
                <w:szCs w:val="22"/>
              </w:rPr>
            </w:pPr>
            <w:r w:rsidRPr="007E5036">
              <w:rPr>
                <w:szCs w:val="22"/>
              </w:rPr>
              <w:t>Estimate (high propensity cases only)</w:t>
            </w:r>
          </w:p>
        </w:tc>
        <w:tc>
          <w:tcPr>
            <w:tcW w:w="642" w:type="pct"/>
          </w:tcPr>
          <w:p w:rsidR="007E5036" w:rsidRPr="007E5036" w:rsidRDefault="007E5036" w:rsidP="00DF2B30">
            <w:pPr>
              <w:tabs>
                <w:tab w:val="center" w:pos="4680"/>
                <w:tab w:val="right" w:pos="9360"/>
              </w:tabs>
              <w:spacing w:line="240" w:lineRule="auto"/>
              <w:jc w:val="center"/>
              <w:rPr>
                <w:szCs w:val="22"/>
              </w:rPr>
            </w:pPr>
            <w:r w:rsidRPr="007E5036">
              <w:rPr>
                <w:szCs w:val="22"/>
              </w:rPr>
              <w:t>Estimate (low propensity cases only)</w:t>
            </w:r>
          </w:p>
        </w:tc>
      </w:tr>
      <w:tr w:rsidR="007E5036" w:rsidTr="00DF2B30">
        <w:tc>
          <w:tcPr>
            <w:tcW w:w="1513" w:type="pct"/>
          </w:tcPr>
          <w:p w:rsidR="007E5036" w:rsidRPr="007E5036" w:rsidRDefault="00B238B0" w:rsidP="00DF2B30">
            <w:pPr>
              <w:tabs>
                <w:tab w:val="center" w:pos="4680"/>
                <w:tab w:val="right" w:pos="9360"/>
              </w:tabs>
              <w:spacing w:line="240" w:lineRule="auto"/>
              <w:jc w:val="left"/>
              <w:rPr>
                <w:szCs w:val="22"/>
              </w:rPr>
            </w:pPr>
            <w:r>
              <w:rPr>
                <w:szCs w:val="22"/>
              </w:rPr>
              <w:t>Currently enrolled in post</w:t>
            </w:r>
            <w:r w:rsidR="007E5036" w:rsidRPr="007E5036">
              <w:rPr>
                <w:szCs w:val="22"/>
              </w:rPr>
              <w:t>sec</w:t>
            </w:r>
            <w:r>
              <w:rPr>
                <w:szCs w:val="22"/>
              </w:rPr>
              <w:t>ondary institution</w:t>
            </w:r>
            <w:r w:rsidR="007E5036" w:rsidRPr="007E5036">
              <w:rPr>
                <w:szCs w:val="22"/>
              </w:rPr>
              <w:t xml:space="preserve"> </w:t>
            </w:r>
          </w:p>
        </w:tc>
        <w:tc>
          <w:tcPr>
            <w:tcW w:w="893" w:type="pct"/>
          </w:tcPr>
          <w:p w:rsidR="007E5036" w:rsidRPr="007E5036" w:rsidRDefault="007E5036" w:rsidP="00DF2B30">
            <w:pPr>
              <w:tabs>
                <w:tab w:val="center" w:pos="4680"/>
                <w:tab w:val="right" w:pos="9360"/>
              </w:tabs>
              <w:spacing w:line="240" w:lineRule="auto"/>
              <w:jc w:val="center"/>
              <w:rPr>
                <w:szCs w:val="22"/>
              </w:rPr>
            </w:pPr>
            <w:r w:rsidRPr="007E5036">
              <w:rPr>
                <w:szCs w:val="22"/>
              </w:rPr>
              <w:t>0.16795</w:t>
            </w:r>
          </w:p>
        </w:tc>
        <w:tc>
          <w:tcPr>
            <w:tcW w:w="758" w:type="pct"/>
          </w:tcPr>
          <w:p w:rsidR="007E5036" w:rsidRPr="007E5036" w:rsidRDefault="007E5036" w:rsidP="00DF2B30">
            <w:pPr>
              <w:tabs>
                <w:tab w:val="center" w:pos="4680"/>
                <w:tab w:val="right" w:pos="9360"/>
              </w:tabs>
              <w:spacing w:line="240" w:lineRule="auto"/>
              <w:jc w:val="center"/>
              <w:rPr>
                <w:szCs w:val="22"/>
              </w:rPr>
            </w:pPr>
            <w:r w:rsidRPr="007E5036">
              <w:rPr>
                <w:szCs w:val="22"/>
              </w:rPr>
              <w:t>0.0003</w:t>
            </w:r>
          </w:p>
        </w:tc>
        <w:tc>
          <w:tcPr>
            <w:tcW w:w="551" w:type="pct"/>
          </w:tcPr>
          <w:p w:rsidR="007E5036" w:rsidRPr="007E5036" w:rsidRDefault="007E5036" w:rsidP="00DF2B30">
            <w:pPr>
              <w:tabs>
                <w:tab w:val="center" w:pos="4680"/>
                <w:tab w:val="right" w:pos="9360"/>
              </w:tabs>
              <w:spacing w:line="240" w:lineRule="auto"/>
              <w:jc w:val="center"/>
              <w:rPr>
                <w:szCs w:val="22"/>
              </w:rPr>
            </w:pPr>
            <w:r w:rsidRPr="007E5036">
              <w:rPr>
                <w:szCs w:val="22"/>
              </w:rPr>
              <w:t>.5401</w:t>
            </w:r>
          </w:p>
        </w:tc>
        <w:tc>
          <w:tcPr>
            <w:tcW w:w="642" w:type="pct"/>
          </w:tcPr>
          <w:p w:rsidR="007E5036" w:rsidRPr="007E5036" w:rsidRDefault="007E5036" w:rsidP="00DF2B30">
            <w:pPr>
              <w:tabs>
                <w:tab w:val="center" w:pos="4680"/>
                <w:tab w:val="right" w:pos="9360"/>
              </w:tabs>
              <w:spacing w:line="240" w:lineRule="auto"/>
              <w:jc w:val="center"/>
              <w:rPr>
                <w:szCs w:val="22"/>
              </w:rPr>
            </w:pPr>
            <w:r w:rsidRPr="007E5036">
              <w:rPr>
                <w:szCs w:val="22"/>
              </w:rPr>
              <w:t>.7503</w:t>
            </w:r>
          </w:p>
        </w:tc>
        <w:tc>
          <w:tcPr>
            <w:tcW w:w="642" w:type="pct"/>
          </w:tcPr>
          <w:p w:rsidR="007E5036" w:rsidRPr="007E5036" w:rsidRDefault="007E5036" w:rsidP="00DF2B30">
            <w:pPr>
              <w:tabs>
                <w:tab w:val="center" w:pos="4680"/>
                <w:tab w:val="right" w:pos="9360"/>
              </w:tabs>
              <w:spacing w:line="240" w:lineRule="auto"/>
              <w:jc w:val="center"/>
              <w:rPr>
                <w:szCs w:val="22"/>
              </w:rPr>
            </w:pPr>
            <w:r w:rsidRPr="007E5036">
              <w:rPr>
                <w:szCs w:val="22"/>
              </w:rPr>
              <w:t>.5270</w:t>
            </w:r>
          </w:p>
        </w:tc>
      </w:tr>
      <w:tr w:rsidR="007E5036" w:rsidTr="00DF2B30">
        <w:tc>
          <w:tcPr>
            <w:tcW w:w="1513" w:type="pct"/>
          </w:tcPr>
          <w:p w:rsidR="007E5036" w:rsidRPr="007E5036" w:rsidRDefault="007E5036" w:rsidP="00DF2B30">
            <w:pPr>
              <w:tabs>
                <w:tab w:val="center" w:pos="4680"/>
                <w:tab w:val="right" w:pos="9360"/>
              </w:tabs>
              <w:spacing w:line="240" w:lineRule="auto"/>
              <w:jc w:val="left"/>
              <w:rPr>
                <w:szCs w:val="22"/>
              </w:rPr>
            </w:pPr>
            <w:r w:rsidRPr="007E5036">
              <w:rPr>
                <w:szCs w:val="22"/>
              </w:rPr>
              <w:t>Primarily  a student (as opposed to a student and an employee or primarily an employee)</w:t>
            </w:r>
          </w:p>
        </w:tc>
        <w:tc>
          <w:tcPr>
            <w:tcW w:w="893" w:type="pct"/>
          </w:tcPr>
          <w:p w:rsidR="007E5036" w:rsidRPr="007E5036" w:rsidRDefault="007E5036" w:rsidP="00DF2B30">
            <w:pPr>
              <w:tabs>
                <w:tab w:val="center" w:pos="4680"/>
                <w:tab w:val="right" w:pos="9360"/>
              </w:tabs>
              <w:spacing w:line="240" w:lineRule="auto"/>
              <w:jc w:val="center"/>
              <w:rPr>
                <w:szCs w:val="22"/>
              </w:rPr>
            </w:pPr>
          </w:p>
          <w:p w:rsidR="007E5036" w:rsidRPr="007E5036" w:rsidRDefault="007E5036" w:rsidP="00DF2B30">
            <w:pPr>
              <w:tabs>
                <w:tab w:val="center" w:pos="4680"/>
                <w:tab w:val="right" w:pos="9360"/>
              </w:tabs>
              <w:spacing w:line="240" w:lineRule="auto"/>
              <w:jc w:val="center"/>
              <w:rPr>
                <w:szCs w:val="22"/>
              </w:rPr>
            </w:pPr>
            <w:r w:rsidRPr="007E5036">
              <w:rPr>
                <w:szCs w:val="22"/>
              </w:rPr>
              <w:t>0.26110</w:t>
            </w:r>
          </w:p>
        </w:tc>
        <w:tc>
          <w:tcPr>
            <w:tcW w:w="758" w:type="pct"/>
          </w:tcPr>
          <w:p w:rsidR="007E5036" w:rsidRPr="007E5036" w:rsidRDefault="007E5036" w:rsidP="00DF2B30">
            <w:pPr>
              <w:tabs>
                <w:tab w:val="center" w:pos="4680"/>
                <w:tab w:val="right" w:pos="9360"/>
              </w:tabs>
              <w:spacing w:line="240" w:lineRule="auto"/>
              <w:jc w:val="center"/>
              <w:rPr>
                <w:szCs w:val="22"/>
              </w:rPr>
            </w:pPr>
          </w:p>
          <w:p w:rsidR="007E5036" w:rsidRPr="007E5036" w:rsidRDefault="007E5036" w:rsidP="00DF2B30">
            <w:pPr>
              <w:tabs>
                <w:tab w:val="center" w:pos="4680"/>
                <w:tab w:val="right" w:pos="9360"/>
              </w:tabs>
              <w:spacing w:line="240" w:lineRule="auto"/>
              <w:jc w:val="center"/>
              <w:rPr>
                <w:szCs w:val="22"/>
              </w:rPr>
            </w:pPr>
            <w:r w:rsidRPr="007E5036">
              <w:rPr>
                <w:szCs w:val="22"/>
              </w:rPr>
              <w:t>&lt;.0001</w:t>
            </w:r>
          </w:p>
        </w:tc>
        <w:tc>
          <w:tcPr>
            <w:tcW w:w="551" w:type="pct"/>
          </w:tcPr>
          <w:p w:rsidR="007E5036" w:rsidRPr="007E5036" w:rsidRDefault="007E5036" w:rsidP="00DF2B30">
            <w:pPr>
              <w:tabs>
                <w:tab w:val="center" w:pos="4680"/>
                <w:tab w:val="right" w:pos="9360"/>
              </w:tabs>
              <w:spacing w:line="240" w:lineRule="auto"/>
              <w:jc w:val="center"/>
              <w:rPr>
                <w:szCs w:val="22"/>
              </w:rPr>
            </w:pPr>
          </w:p>
          <w:p w:rsidR="007E5036" w:rsidRPr="007E5036" w:rsidRDefault="007E5036" w:rsidP="00DF2B30">
            <w:pPr>
              <w:tabs>
                <w:tab w:val="center" w:pos="4680"/>
                <w:tab w:val="right" w:pos="9360"/>
              </w:tabs>
              <w:spacing w:line="240" w:lineRule="auto"/>
              <w:jc w:val="center"/>
              <w:rPr>
                <w:szCs w:val="22"/>
              </w:rPr>
            </w:pPr>
            <w:r w:rsidRPr="007E5036">
              <w:rPr>
                <w:szCs w:val="22"/>
              </w:rPr>
              <w:t>.2235</w:t>
            </w:r>
          </w:p>
        </w:tc>
        <w:tc>
          <w:tcPr>
            <w:tcW w:w="642" w:type="pct"/>
          </w:tcPr>
          <w:p w:rsidR="007E5036" w:rsidRPr="007E5036" w:rsidRDefault="007E5036" w:rsidP="00DF2B30">
            <w:pPr>
              <w:tabs>
                <w:tab w:val="center" w:pos="4680"/>
                <w:tab w:val="right" w:pos="9360"/>
              </w:tabs>
              <w:spacing w:line="240" w:lineRule="auto"/>
              <w:jc w:val="center"/>
              <w:rPr>
                <w:szCs w:val="22"/>
              </w:rPr>
            </w:pPr>
          </w:p>
          <w:p w:rsidR="007E5036" w:rsidRPr="007E5036" w:rsidRDefault="007E5036" w:rsidP="00DF2B30">
            <w:pPr>
              <w:tabs>
                <w:tab w:val="center" w:pos="4680"/>
                <w:tab w:val="right" w:pos="9360"/>
              </w:tabs>
              <w:spacing w:line="240" w:lineRule="auto"/>
              <w:jc w:val="center"/>
              <w:rPr>
                <w:szCs w:val="22"/>
              </w:rPr>
            </w:pPr>
            <w:r w:rsidRPr="007E5036">
              <w:rPr>
                <w:szCs w:val="22"/>
              </w:rPr>
              <w:t>.3201</w:t>
            </w:r>
          </w:p>
        </w:tc>
        <w:tc>
          <w:tcPr>
            <w:tcW w:w="642" w:type="pct"/>
          </w:tcPr>
          <w:p w:rsidR="007E5036" w:rsidRPr="007E5036" w:rsidRDefault="007E5036" w:rsidP="00DF2B30">
            <w:pPr>
              <w:tabs>
                <w:tab w:val="center" w:pos="4680"/>
                <w:tab w:val="right" w:pos="9360"/>
              </w:tabs>
              <w:spacing w:line="240" w:lineRule="auto"/>
              <w:jc w:val="center"/>
              <w:rPr>
                <w:szCs w:val="22"/>
              </w:rPr>
            </w:pPr>
          </w:p>
          <w:p w:rsidR="007E5036" w:rsidRPr="007E5036" w:rsidRDefault="007E5036" w:rsidP="00DF2B30">
            <w:pPr>
              <w:tabs>
                <w:tab w:val="center" w:pos="4680"/>
                <w:tab w:val="right" w:pos="9360"/>
              </w:tabs>
              <w:spacing w:line="240" w:lineRule="auto"/>
              <w:jc w:val="center"/>
              <w:rPr>
                <w:szCs w:val="22"/>
              </w:rPr>
            </w:pPr>
            <w:r w:rsidRPr="007E5036">
              <w:rPr>
                <w:szCs w:val="22"/>
              </w:rPr>
              <w:t>.1271</w:t>
            </w:r>
          </w:p>
        </w:tc>
      </w:tr>
    </w:tbl>
    <w:p w:rsidR="007E5036" w:rsidRDefault="007E5036" w:rsidP="007E5036">
      <w:pPr>
        <w:rPr>
          <w:sz w:val="24"/>
          <w:szCs w:val="24"/>
        </w:rPr>
      </w:pPr>
    </w:p>
    <w:p w:rsidR="007E5036" w:rsidRDefault="007E5036" w:rsidP="007E5036">
      <w:pPr>
        <w:rPr>
          <w:sz w:val="24"/>
          <w:szCs w:val="24"/>
        </w:rPr>
      </w:pPr>
      <w:r>
        <w:rPr>
          <w:sz w:val="24"/>
          <w:szCs w:val="24"/>
        </w:rPr>
        <w:lastRenderedPageBreak/>
        <w:t xml:space="preserve">Another way to consider the potential effects of targeting low propensity cases is to view how estimates of key survey variables change with the inclusion of difficult to complete, low propensity cases.  In </w:t>
      </w:r>
      <w:r w:rsidR="00EB526E">
        <w:rPr>
          <w:sz w:val="24"/>
          <w:szCs w:val="24"/>
        </w:rPr>
        <w:t xml:space="preserve">the </w:t>
      </w:r>
      <w:r>
        <w:rPr>
          <w:sz w:val="24"/>
          <w:szCs w:val="24"/>
        </w:rPr>
        <w:t>ELS</w:t>
      </w:r>
      <w:proofErr w:type="gramStart"/>
      <w:r w:rsidR="00EB526E">
        <w:rPr>
          <w:sz w:val="24"/>
          <w:szCs w:val="24"/>
        </w:rPr>
        <w:t>:2002</w:t>
      </w:r>
      <w:proofErr w:type="gramEnd"/>
      <w:r w:rsidR="00EB526E">
        <w:rPr>
          <w:sz w:val="24"/>
          <w:szCs w:val="24"/>
        </w:rPr>
        <w:t xml:space="preserve"> F2 field test</w:t>
      </w:r>
      <w:r>
        <w:rPr>
          <w:sz w:val="24"/>
          <w:szCs w:val="24"/>
        </w:rPr>
        <w:t>, respondents were asked if they had taken the SAT while in high school.  The following graph shows the survey estimate for this item by level of effort (call counts).  The Y axis is the cumulative estimate for the variable and the X axis is call counts, or a measure of level of effort.</w:t>
      </w:r>
    </w:p>
    <w:p w:rsidR="007E5036" w:rsidRDefault="007E5036" w:rsidP="007E5036">
      <w:pPr>
        <w:rPr>
          <w:sz w:val="24"/>
          <w:szCs w:val="24"/>
        </w:rPr>
      </w:pPr>
    </w:p>
    <w:p w:rsidR="007E5036" w:rsidRDefault="00B76968" w:rsidP="007E5036">
      <w:pPr>
        <w:rPr>
          <w:sz w:val="24"/>
          <w:szCs w:val="24"/>
        </w:rPr>
      </w:pPr>
      <w:r>
        <w:rPr>
          <w:noProof/>
          <w:sz w:val="24"/>
          <w:szCs w:val="24"/>
        </w:rPr>
        <w:drawing>
          <wp:inline distT="0" distB="0" distL="0" distR="0">
            <wp:extent cx="5486529" cy="2743461"/>
            <wp:effectExtent l="12191" t="6089" r="6095"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E5036" w:rsidRDefault="007E5036" w:rsidP="007E5036">
      <w:pPr>
        <w:rPr>
          <w:sz w:val="24"/>
          <w:szCs w:val="24"/>
        </w:rPr>
      </w:pPr>
    </w:p>
    <w:p w:rsidR="007E5036" w:rsidRDefault="007E5036" w:rsidP="007E5036">
      <w:pPr>
        <w:rPr>
          <w:sz w:val="24"/>
          <w:szCs w:val="24"/>
        </w:rPr>
      </w:pPr>
    </w:p>
    <w:p w:rsidR="00F77F03" w:rsidRDefault="007E5036" w:rsidP="00EB526E">
      <w:pPr>
        <w:rPr>
          <w:sz w:val="24"/>
          <w:szCs w:val="24"/>
        </w:rPr>
      </w:pPr>
      <w:r w:rsidRPr="00CC411C">
        <w:rPr>
          <w:sz w:val="24"/>
          <w:szCs w:val="24"/>
        </w:rPr>
        <w:t xml:space="preserve">After </w:t>
      </w:r>
      <w:r>
        <w:rPr>
          <w:sz w:val="24"/>
          <w:szCs w:val="24"/>
        </w:rPr>
        <w:t>about 32</w:t>
      </w:r>
      <w:r w:rsidRPr="00CC411C">
        <w:rPr>
          <w:sz w:val="24"/>
          <w:szCs w:val="24"/>
        </w:rPr>
        <w:t xml:space="preserve"> calls, the extra effort to compl</w:t>
      </w:r>
      <w:r>
        <w:rPr>
          <w:sz w:val="24"/>
          <w:szCs w:val="24"/>
        </w:rPr>
        <w:t xml:space="preserve">ete low propensity cases has a demonstrated </w:t>
      </w:r>
      <w:r w:rsidRPr="00CC411C">
        <w:rPr>
          <w:sz w:val="24"/>
          <w:szCs w:val="24"/>
        </w:rPr>
        <w:t xml:space="preserve">effect on the overall </w:t>
      </w:r>
      <w:r>
        <w:rPr>
          <w:sz w:val="24"/>
          <w:szCs w:val="24"/>
        </w:rPr>
        <w:t xml:space="preserve">survey </w:t>
      </w:r>
      <w:r w:rsidRPr="00CC411C">
        <w:rPr>
          <w:sz w:val="24"/>
          <w:szCs w:val="24"/>
        </w:rPr>
        <w:t xml:space="preserve">estimate.  </w:t>
      </w:r>
      <w:r>
        <w:rPr>
          <w:sz w:val="24"/>
          <w:szCs w:val="24"/>
        </w:rPr>
        <w:t>Even</w:t>
      </w:r>
      <w:r w:rsidRPr="00CC411C">
        <w:rPr>
          <w:sz w:val="24"/>
          <w:szCs w:val="24"/>
        </w:rPr>
        <w:t xml:space="preserve"> with this extra effort, </w:t>
      </w:r>
      <w:r>
        <w:rPr>
          <w:sz w:val="24"/>
          <w:szCs w:val="24"/>
        </w:rPr>
        <w:t>the response rate for low propensity cases was significantly below that of high propensity cases</w:t>
      </w:r>
      <w:r w:rsidRPr="00CC411C">
        <w:rPr>
          <w:sz w:val="24"/>
          <w:szCs w:val="24"/>
        </w:rPr>
        <w:t xml:space="preserve">.  </w:t>
      </w:r>
      <w:r>
        <w:rPr>
          <w:sz w:val="24"/>
          <w:szCs w:val="24"/>
        </w:rPr>
        <w:t>With this evidence that the estimate may change as a result of including low propensity cases, the ELS team</w:t>
      </w:r>
      <w:r w:rsidRPr="00CC411C">
        <w:rPr>
          <w:sz w:val="24"/>
          <w:szCs w:val="24"/>
        </w:rPr>
        <w:t xml:space="preserve"> </w:t>
      </w:r>
      <w:r>
        <w:rPr>
          <w:sz w:val="24"/>
          <w:szCs w:val="24"/>
        </w:rPr>
        <w:t xml:space="preserve">believes it necessary to investigate the effects on data quality of bringing </w:t>
      </w:r>
      <w:proofErr w:type="gramStart"/>
      <w:r>
        <w:rPr>
          <w:sz w:val="24"/>
          <w:szCs w:val="24"/>
        </w:rPr>
        <w:t>more low</w:t>
      </w:r>
      <w:proofErr w:type="gramEnd"/>
      <w:r>
        <w:rPr>
          <w:sz w:val="24"/>
          <w:szCs w:val="24"/>
        </w:rPr>
        <w:t xml:space="preserve"> propensity cases into the response pool.  T</w:t>
      </w:r>
      <w:r w:rsidRPr="00CC411C">
        <w:rPr>
          <w:sz w:val="24"/>
          <w:szCs w:val="24"/>
        </w:rPr>
        <w:t>heir values might f</w:t>
      </w:r>
      <w:r>
        <w:rPr>
          <w:sz w:val="24"/>
          <w:szCs w:val="24"/>
        </w:rPr>
        <w:t>urther change the final estimate.  One way to achieve this</w:t>
      </w:r>
      <w:r w:rsidRPr="00CC411C">
        <w:rPr>
          <w:sz w:val="24"/>
          <w:szCs w:val="24"/>
        </w:rPr>
        <w:t xml:space="preserve"> is through increasing </w:t>
      </w:r>
      <w:r>
        <w:rPr>
          <w:sz w:val="24"/>
          <w:szCs w:val="24"/>
        </w:rPr>
        <w:t>incentives</w:t>
      </w:r>
      <w:r w:rsidRPr="00CC411C">
        <w:rPr>
          <w:sz w:val="24"/>
          <w:szCs w:val="24"/>
        </w:rPr>
        <w:t xml:space="preserve"> for </w:t>
      </w:r>
      <w:r>
        <w:rPr>
          <w:sz w:val="24"/>
          <w:szCs w:val="24"/>
        </w:rPr>
        <w:t xml:space="preserve">low propensity cases to participate and directing more effort to these cases.  The field test will experiment </w:t>
      </w:r>
      <w:r w:rsidR="00EB526E">
        <w:rPr>
          <w:sz w:val="24"/>
          <w:szCs w:val="24"/>
        </w:rPr>
        <w:t>the use of higher</w:t>
      </w:r>
      <w:r>
        <w:rPr>
          <w:sz w:val="24"/>
          <w:szCs w:val="24"/>
        </w:rPr>
        <w:t xml:space="preserve"> incentives for low-propensity cases.  </w:t>
      </w:r>
    </w:p>
    <w:p w:rsidR="00F77F03" w:rsidRDefault="00F77F03" w:rsidP="00EB526E">
      <w:pPr>
        <w:rPr>
          <w:sz w:val="24"/>
          <w:szCs w:val="24"/>
        </w:rPr>
      </w:pPr>
    </w:p>
    <w:p w:rsidR="007E5036" w:rsidRDefault="007E5036" w:rsidP="00F77F03">
      <w:pPr>
        <w:rPr>
          <w:sz w:val="24"/>
          <w:szCs w:val="24"/>
        </w:rPr>
      </w:pPr>
      <w:r>
        <w:rPr>
          <w:sz w:val="24"/>
          <w:szCs w:val="24"/>
        </w:rPr>
        <w:t>Analyses with the F3 field test data will be conducted to determine if</w:t>
      </w:r>
      <w:r w:rsidR="00EB526E">
        <w:rPr>
          <w:sz w:val="24"/>
          <w:szCs w:val="24"/>
        </w:rPr>
        <w:t xml:space="preserve"> </w:t>
      </w:r>
      <w:r>
        <w:rPr>
          <w:sz w:val="24"/>
          <w:szCs w:val="24"/>
        </w:rPr>
        <w:t>the experiment resulted in a bias reduction associated with including more low-propensity case</w:t>
      </w:r>
      <w:r w:rsidR="00F77F03">
        <w:rPr>
          <w:sz w:val="24"/>
          <w:szCs w:val="24"/>
        </w:rPr>
        <w:t xml:space="preserve">s in the ultimate response pool. </w:t>
      </w:r>
    </w:p>
    <w:p w:rsidR="00F77F03" w:rsidRDefault="00F77F03" w:rsidP="00F77F03">
      <w:pPr>
        <w:rPr>
          <w:sz w:val="24"/>
          <w:szCs w:val="24"/>
        </w:rPr>
      </w:pPr>
    </w:p>
    <w:p w:rsidR="00F77F03" w:rsidRPr="00F77F03" w:rsidRDefault="00086AA3" w:rsidP="00086AA3">
      <w:pPr>
        <w:rPr>
          <w:sz w:val="24"/>
          <w:szCs w:val="24"/>
        </w:rPr>
      </w:pPr>
      <w:r w:rsidRPr="00086AA3">
        <w:rPr>
          <w:sz w:val="24"/>
          <w:szCs w:val="24"/>
        </w:rPr>
        <w:t>Analyses will also be conducted to determine how well the model predicted response propensity and whether the set of variables used to predict response propensity should be adjusted for the F3 full-scale study.</w:t>
      </w:r>
      <w:r>
        <w:rPr>
          <w:sz w:val="24"/>
          <w:szCs w:val="24"/>
        </w:rPr>
        <w:t xml:space="preserve"> </w:t>
      </w:r>
      <w:r w:rsidR="00F77F03">
        <w:rPr>
          <w:sz w:val="24"/>
          <w:szCs w:val="24"/>
        </w:rPr>
        <w:t xml:space="preserve">The F3 field test </w:t>
      </w:r>
      <w:r>
        <w:rPr>
          <w:sz w:val="24"/>
          <w:szCs w:val="24"/>
        </w:rPr>
        <w:t xml:space="preserve">should </w:t>
      </w:r>
      <w:r w:rsidR="00F77F03">
        <w:rPr>
          <w:sz w:val="24"/>
          <w:szCs w:val="24"/>
        </w:rPr>
        <w:t>enable us to expand the pool of variables to build into the model for the F3 full-scale study sinc</w:t>
      </w:r>
      <w:r>
        <w:rPr>
          <w:sz w:val="24"/>
          <w:szCs w:val="24"/>
        </w:rPr>
        <w:t xml:space="preserve">e we will be able to identify additional F2 survey variables that best predict low- and high- response propensity for F3 response. </w:t>
      </w:r>
    </w:p>
    <w:p w:rsidR="007E5036" w:rsidRDefault="007E5036" w:rsidP="007E5036">
      <w:pPr>
        <w:rPr>
          <w:sz w:val="24"/>
          <w:szCs w:val="24"/>
        </w:rPr>
      </w:pPr>
    </w:p>
    <w:p w:rsidR="007E5036" w:rsidRDefault="007E5036" w:rsidP="00EB526E">
      <w:pPr>
        <w:rPr>
          <w:sz w:val="24"/>
          <w:szCs w:val="24"/>
        </w:rPr>
      </w:pPr>
      <w:r>
        <w:rPr>
          <w:sz w:val="24"/>
          <w:szCs w:val="24"/>
        </w:rPr>
        <w:t xml:space="preserve">The approach we are testing in the </w:t>
      </w:r>
      <w:r w:rsidR="00EB526E">
        <w:rPr>
          <w:sz w:val="24"/>
          <w:szCs w:val="24"/>
        </w:rPr>
        <w:t>ELS</w:t>
      </w:r>
      <w:proofErr w:type="gramStart"/>
      <w:r w:rsidR="00EB526E">
        <w:rPr>
          <w:sz w:val="24"/>
          <w:szCs w:val="24"/>
        </w:rPr>
        <w:t>:2002</w:t>
      </w:r>
      <w:proofErr w:type="gramEnd"/>
      <w:r w:rsidR="00EB526E">
        <w:rPr>
          <w:sz w:val="24"/>
          <w:szCs w:val="24"/>
        </w:rPr>
        <w:t>/12</w:t>
      </w:r>
      <w:r>
        <w:rPr>
          <w:sz w:val="24"/>
          <w:szCs w:val="24"/>
        </w:rPr>
        <w:t xml:space="preserve"> </w:t>
      </w:r>
      <w:r w:rsidR="00EB526E">
        <w:rPr>
          <w:sz w:val="24"/>
          <w:szCs w:val="24"/>
        </w:rPr>
        <w:t>field test</w:t>
      </w:r>
      <w:r>
        <w:rPr>
          <w:sz w:val="24"/>
          <w:szCs w:val="24"/>
        </w:rPr>
        <w:t xml:space="preserve">, as well as similar efforts that we are pursuing on other field tests of NCES studies (B&amp;B:08/12 and NPSAS:12) </w:t>
      </w:r>
      <w:r w:rsidRPr="00DF38C4">
        <w:rPr>
          <w:sz w:val="24"/>
          <w:szCs w:val="24"/>
        </w:rPr>
        <w:t xml:space="preserve">will </w:t>
      </w:r>
      <w:r>
        <w:rPr>
          <w:sz w:val="24"/>
          <w:szCs w:val="24"/>
        </w:rPr>
        <w:t xml:space="preserve">be </w:t>
      </w:r>
      <w:r w:rsidRPr="00DF38C4">
        <w:rPr>
          <w:sz w:val="24"/>
          <w:szCs w:val="24"/>
        </w:rPr>
        <w:t>use</w:t>
      </w:r>
      <w:r>
        <w:rPr>
          <w:sz w:val="24"/>
          <w:szCs w:val="24"/>
        </w:rPr>
        <w:t>d</w:t>
      </w:r>
      <w:r w:rsidRPr="00DF38C4">
        <w:rPr>
          <w:sz w:val="24"/>
          <w:szCs w:val="24"/>
        </w:rPr>
        <w:t xml:space="preserve"> </w:t>
      </w:r>
      <w:r>
        <w:rPr>
          <w:sz w:val="24"/>
          <w:szCs w:val="24"/>
        </w:rPr>
        <w:t>to refine</w:t>
      </w:r>
      <w:r w:rsidRPr="00DF38C4">
        <w:rPr>
          <w:sz w:val="24"/>
          <w:szCs w:val="24"/>
        </w:rPr>
        <w:t xml:space="preserve"> </w:t>
      </w:r>
      <w:r>
        <w:rPr>
          <w:sz w:val="24"/>
          <w:szCs w:val="24"/>
        </w:rPr>
        <w:t>our practices, relevant survey variables, and models for the full-scale study.</w:t>
      </w:r>
    </w:p>
    <w:p w:rsidR="00DF2B30" w:rsidRDefault="00DF2B30" w:rsidP="00EB526E">
      <w:pPr>
        <w:rPr>
          <w:sz w:val="24"/>
          <w:szCs w:val="24"/>
        </w:rPr>
      </w:pPr>
    </w:p>
    <w:p w:rsidR="00DF2B30" w:rsidRDefault="00DF2B30" w:rsidP="00EB526E">
      <w:pPr>
        <w:rPr>
          <w:sz w:val="24"/>
          <w:szCs w:val="24"/>
        </w:rPr>
      </w:pPr>
      <w:r>
        <w:rPr>
          <w:sz w:val="24"/>
          <w:szCs w:val="24"/>
        </w:rPr>
        <w:t>See additional analyses results below (from June 1, 2011).</w:t>
      </w:r>
    </w:p>
    <w:p w:rsidR="00B76968" w:rsidRDefault="00B76968" w:rsidP="00EB526E">
      <w:pPr>
        <w:rPr>
          <w:sz w:val="24"/>
          <w:szCs w:val="24"/>
        </w:rPr>
      </w:pPr>
    </w:p>
    <w:p w:rsidR="00DF2B30" w:rsidRDefault="00DF2B30">
      <w:pPr>
        <w:spacing w:line="240" w:lineRule="auto"/>
        <w:jc w:val="left"/>
        <w:rPr>
          <w:rFonts w:ascii="Calibri" w:hAnsi="Calibri"/>
          <w:b/>
          <w:color w:val="1F497D"/>
          <w:szCs w:val="22"/>
        </w:rPr>
      </w:pPr>
      <w:r>
        <w:rPr>
          <w:rFonts w:ascii="Calibri" w:hAnsi="Calibri"/>
          <w:b/>
          <w:color w:val="1F497D"/>
          <w:szCs w:val="22"/>
        </w:rPr>
        <w:br w:type="page"/>
      </w:r>
    </w:p>
    <w:p w:rsidR="00B76968" w:rsidRPr="00B76968" w:rsidRDefault="00B76968" w:rsidP="00B76968">
      <w:pPr>
        <w:jc w:val="left"/>
        <w:rPr>
          <w:rFonts w:ascii="Calibri" w:hAnsi="Calibri"/>
          <w:b/>
          <w:color w:val="1F497D"/>
          <w:szCs w:val="22"/>
        </w:rPr>
      </w:pPr>
      <w:r w:rsidRPr="00B76968">
        <w:rPr>
          <w:rFonts w:ascii="Calibri" w:hAnsi="Calibri"/>
          <w:b/>
          <w:color w:val="1F497D"/>
          <w:szCs w:val="22"/>
        </w:rPr>
        <w:lastRenderedPageBreak/>
        <w:t>May 26, 2011 Passback from OMB</w:t>
      </w:r>
    </w:p>
    <w:p w:rsidR="00907E7D" w:rsidRDefault="00907E7D" w:rsidP="00EB526E">
      <w:pPr>
        <w:rPr>
          <w:sz w:val="24"/>
          <w:szCs w:val="24"/>
        </w:rPr>
      </w:pPr>
    </w:p>
    <w:p w:rsidR="00907E7D" w:rsidRPr="00B76968" w:rsidRDefault="00907E7D" w:rsidP="00907E7D">
      <w:pPr>
        <w:numPr>
          <w:ilvl w:val="0"/>
          <w:numId w:val="3"/>
        </w:numPr>
        <w:rPr>
          <w:color w:val="0070C0"/>
        </w:rPr>
      </w:pPr>
      <w:r w:rsidRPr="00B76968">
        <w:rPr>
          <w:color w:val="0070C0"/>
        </w:rPr>
        <w:t>What is the benefit of modeling based on past data if you are not going to use that information in practice except to make a phone call (the impact of which you are not proposing to separately analyzing, right)?  Then this causes you to sort people into bins based on response behavior over a 3 week period (again, focusing on response behavior rather than bias, which seems like something you could have done in years past quite apart from propensity modeling.  Separately, remember that NCSES</w:t>
      </w:r>
      <w:r w:rsidR="0090663A">
        <w:rPr>
          <w:color w:val="0070C0"/>
        </w:rPr>
        <w:t xml:space="preserve"> (NSF)</w:t>
      </w:r>
      <w:r w:rsidRPr="00B76968">
        <w:rPr>
          <w:color w:val="0070C0"/>
        </w:rPr>
        <w:t xml:space="preserve"> is experimenting with $0 and $30 for a similar population of low propensity cases, where the high propensity cases get nothing.   So an assertion that the high group requires the same incentive (as they get for the first three weeks) </w:t>
      </w:r>
      <w:r w:rsidR="0090663A">
        <w:rPr>
          <w:color w:val="0070C0"/>
        </w:rPr>
        <w:t xml:space="preserve">may </w:t>
      </w:r>
      <w:r w:rsidRPr="00B76968">
        <w:rPr>
          <w:color w:val="0070C0"/>
        </w:rPr>
        <w:t>suggest that you don’t really think you have pe</w:t>
      </w:r>
      <w:r w:rsidR="0090663A">
        <w:rPr>
          <w:color w:val="0070C0"/>
        </w:rPr>
        <w:t>ople in the right bins to start</w:t>
      </w:r>
      <w:r w:rsidRPr="00B76968">
        <w:rPr>
          <w:color w:val="0070C0"/>
        </w:rPr>
        <w:t xml:space="preserve">. </w:t>
      </w:r>
    </w:p>
    <w:p w:rsidR="00907E7D" w:rsidRDefault="00907E7D" w:rsidP="00907E7D">
      <w:pPr>
        <w:rPr>
          <w:rFonts w:ascii="Calibri" w:hAnsi="Calibri"/>
          <w:szCs w:val="22"/>
        </w:rPr>
      </w:pPr>
    </w:p>
    <w:p w:rsidR="00907E7D" w:rsidRDefault="00907E7D" w:rsidP="00907E7D">
      <w:pPr>
        <w:rPr>
          <w:szCs w:val="22"/>
        </w:rPr>
      </w:pPr>
      <w:r>
        <w:rPr>
          <w:szCs w:val="22"/>
        </w:rPr>
        <w:t>Thank you for your additional comment.  Upon further consideration, we have eliminated the early-phase prompting experiment from our plan so that the fidelity of our response-propensity higher-incentive experiment will not be compromised and such that it can be conducted for the entire data collection period.</w:t>
      </w:r>
    </w:p>
    <w:p w:rsidR="00907E7D" w:rsidRDefault="00907E7D" w:rsidP="00907E7D">
      <w:pPr>
        <w:rPr>
          <w:szCs w:val="22"/>
        </w:rPr>
      </w:pPr>
    </w:p>
    <w:p w:rsidR="00907E7D" w:rsidRPr="00907E7D" w:rsidRDefault="00907E7D" w:rsidP="00907E7D">
      <w:pPr>
        <w:rPr>
          <w:szCs w:val="22"/>
        </w:rPr>
      </w:pPr>
      <w:r w:rsidRPr="00907E7D">
        <w:rPr>
          <w:szCs w:val="22"/>
        </w:rPr>
        <w:t xml:space="preserve">The </w:t>
      </w:r>
      <w:r>
        <w:rPr>
          <w:szCs w:val="22"/>
        </w:rPr>
        <w:t xml:space="preserve">revised </w:t>
      </w:r>
      <w:r w:rsidRPr="00907E7D">
        <w:rPr>
          <w:szCs w:val="22"/>
        </w:rPr>
        <w:t xml:space="preserve">plan for </w:t>
      </w:r>
      <w:r>
        <w:rPr>
          <w:szCs w:val="22"/>
        </w:rPr>
        <w:t xml:space="preserve">the </w:t>
      </w:r>
      <w:r w:rsidRPr="00907E7D">
        <w:rPr>
          <w:szCs w:val="22"/>
        </w:rPr>
        <w:t xml:space="preserve">F3 </w:t>
      </w:r>
      <w:r>
        <w:rPr>
          <w:szCs w:val="22"/>
        </w:rPr>
        <w:t xml:space="preserve">field test </w:t>
      </w:r>
      <w:r w:rsidRPr="00907E7D">
        <w:rPr>
          <w:szCs w:val="22"/>
        </w:rPr>
        <w:t>is as follows:</w:t>
      </w:r>
    </w:p>
    <w:p w:rsidR="00907E7D" w:rsidRPr="00907E7D" w:rsidRDefault="00907E7D" w:rsidP="00907E7D">
      <w:pPr>
        <w:numPr>
          <w:ilvl w:val="0"/>
          <w:numId w:val="5"/>
        </w:numPr>
        <w:rPr>
          <w:szCs w:val="22"/>
        </w:rPr>
      </w:pPr>
      <w:r w:rsidRPr="00907E7D">
        <w:rPr>
          <w:szCs w:val="22"/>
        </w:rPr>
        <w:t>The cases will be split into a pre-data collection categorization of high propensity cases; low propensity experiment cases; and low propensity control cases.</w:t>
      </w:r>
    </w:p>
    <w:p w:rsidR="00907E7D" w:rsidRPr="00907E7D" w:rsidRDefault="00907E7D" w:rsidP="00907E7D">
      <w:pPr>
        <w:numPr>
          <w:ilvl w:val="0"/>
          <w:numId w:val="5"/>
        </w:numPr>
        <w:rPr>
          <w:szCs w:val="22"/>
        </w:rPr>
      </w:pPr>
      <w:r>
        <w:rPr>
          <w:szCs w:val="22"/>
        </w:rPr>
        <w:t>The</w:t>
      </w:r>
      <w:r w:rsidRPr="00907E7D">
        <w:rPr>
          <w:szCs w:val="22"/>
        </w:rPr>
        <w:t xml:space="preserve"> low propensity experiment cases will be offered $45 while the control cases and the high-propensity cases will be offered $25.  </w:t>
      </w:r>
    </w:p>
    <w:p w:rsidR="00907E7D" w:rsidRPr="00907E7D" w:rsidRDefault="00842CE9" w:rsidP="00842CE9">
      <w:pPr>
        <w:numPr>
          <w:ilvl w:val="0"/>
          <w:numId w:val="5"/>
        </w:numPr>
        <w:rPr>
          <w:szCs w:val="22"/>
        </w:rPr>
      </w:pPr>
      <w:r>
        <w:rPr>
          <w:szCs w:val="22"/>
        </w:rPr>
        <w:t>Beginning</w:t>
      </w:r>
      <w:r w:rsidR="00907E7D" w:rsidRPr="00907E7D">
        <w:rPr>
          <w:szCs w:val="22"/>
        </w:rPr>
        <w:t xml:space="preserve"> in week 10, the incentive offer </w:t>
      </w:r>
      <w:r>
        <w:rPr>
          <w:szCs w:val="22"/>
        </w:rPr>
        <w:t>will</w:t>
      </w:r>
      <w:r w:rsidR="00907E7D" w:rsidRPr="00907E7D">
        <w:rPr>
          <w:szCs w:val="22"/>
        </w:rPr>
        <w:t xml:space="preserve"> be increased by $10 for these most difficult final cases: $55 for low-propensity experiment cases; $35 for the others. This compares with the F2 amounts of $60 and $40.</w:t>
      </w:r>
    </w:p>
    <w:p w:rsidR="00842CE9" w:rsidRDefault="00842CE9" w:rsidP="00907E7D">
      <w:pPr>
        <w:rPr>
          <w:szCs w:val="22"/>
        </w:rPr>
      </w:pPr>
    </w:p>
    <w:p w:rsidR="00907E7D" w:rsidRDefault="00842CE9" w:rsidP="00907E7D">
      <w:pPr>
        <w:rPr>
          <w:szCs w:val="22"/>
        </w:rPr>
      </w:pPr>
      <w:r>
        <w:rPr>
          <w:szCs w:val="22"/>
        </w:rPr>
        <w:t>The size and dictated yield of the F3 field test do not allow for additional testing of various incentive amounts.  However, we are monitoring the NPSAS</w:t>
      </w:r>
      <w:proofErr w:type="gramStart"/>
      <w:r>
        <w:rPr>
          <w:szCs w:val="22"/>
        </w:rPr>
        <w:t>:12</w:t>
      </w:r>
      <w:proofErr w:type="gramEnd"/>
      <w:r>
        <w:rPr>
          <w:szCs w:val="22"/>
        </w:rPr>
        <w:t xml:space="preserve"> field test propensity experiment and will continue to monitor NPSAS:12 and B&amp;B:09/12 field tests to see if any aspects of their experiments may apply for the ELS:2002/12 full-scale study, and vice-versa. We also would welcome any information available from other studies (e.g., NCSES) as applicable.</w:t>
      </w:r>
    </w:p>
    <w:p w:rsidR="00DF2B30" w:rsidRDefault="00DF2B30" w:rsidP="00907E7D">
      <w:pPr>
        <w:rPr>
          <w:szCs w:val="22"/>
        </w:rPr>
      </w:pPr>
    </w:p>
    <w:p w:rsidR="00DF2B30" w:rsidRDefault="00DF2B30" w:rsidP="00907E7D">
      <w:pPr>
        <w:rPr>
          <w:szCs w:val="22"/>
        </w:rPr>
      </w:pPr>
    </w:p>
    <w:p w:rsidR="00DF2B30" w:rsidRDefault="00DF2B30" w:rsidP="00DF2B30">
      <w:pPr>
        <w:jc w:val="left"/>
        <w:rPr>
          <w:rFonts w:ascii="Calibri" w:hAnsi="Calibri"/>
          <w:b/>
          <w:color w:val="1F497D"/>
          <w:szCs w:val="22"/>
        </w:rPr>
      </w:pPr>
      <w:r>
        <w:rPr>
          <w:rFonts w:ascii="Calibri" w:hAnsi="Calibri"/>
          <w:b/>
          <w:color w:val="1F497D"/>
          <w:szCs w:val="22"/>
        </w:rPr>
        <w:t>Additional Analyses Provided to OMB on June 1, 2011</w:t>
      </w:r>
    </w:p>
    <w:p w:rsidR="00DF2B30" w:rsidRPr="00B76968" w:rsidRDefault="00DF2B30" w:rsidP="00DF2B30">
      <w:pPr>
        <w:jc w:val="left"/>
        <w:rPr>
          <w:rFonts w:ascii="Calibri" w:hAnsi="Calibri"/>
          <w:b/>
          <w:color w:val="1F497D"/>
          <w:szCs w:val="22"/>
        </w:rPr>
      </w:pPr>
    </w:p>
    <w:p w:rsidR="00DF2B30" w:rsidRPr="00036495" w:rsidRDefault="00DF2B30" w:rsidP="00DF2B30">
      <w:pPr>
        <w:rPr>
          <w:b/>
          <w:bCs/>
          <w:sz w:val="24"/>
          <w:szCs w:val="24"/>
        </w:rPr>
      </w:pPr>
      <w:r>
        <w:rPr>
          <w:b/>
          <w:bCs/>
          <w:sz w:val="24"/>
          <w:szCs w:val="24"/>
        </w:rPr>
        <w:t>Using Response Propensity Models to Address Data Quality in ELS</w:t>
      </w:r>
      <w:proofErr w:type="gramStart"/>
      <w:r>
        <w:rPr>
          <w:b/>
          <w:bCs/>
          <w:sz w:val="24"/>
          <w:szCs w:val="24"/>
        </w:rPr>
        <w:t>:2002</w:t>
      </w:r>
      <w:proofErr w:type="gramEnd"/>
      <w:r>
        <w:rPr>
          <w:b/>
          <w:bCs/>
          <w:sz w:val="24"/>
          <w:szCs w:val="24"/>
        </w:rPr>
        <w:t xml:space="preserve"> F3 Field Test</w:t>
      </w:r>
    </w:p>
    <w:p w:rsidR="00DF2B30" w:rsidRDefault="00DF2B30" w:rsidP="00DF2B30">
      <w:pPr>
        <w:rPr>
          <w:sz w:val="24"/>
          <w:szCs w:val="24"/>
        </w:rPr>
      </w:pPr>
    </w:p>
    <w:p w:rsidR="00DF2B30" w:rsidRDefault="00DF2B30" w:rsidP="00DF2B30">
      <w:pPr>
        <w:rPr>
          <w:sz w:val="24"/>
          <w:szCs w:val="24"/>
        </w:rPr>
      </w:pPr>
      <w:r>
        <w:rPr>
          <w:sz w:val="24"/>
          <w:szCs w:val="24"/>
        </w:rPr>
        <w:t xml:space="preserve">The response propensity approach under development at RTI is based upon several key assumptions that will be tested in the ELS F3 Field Test (FT).  First, the approach rests on the assumption that low propensity cases, i.e. the cases least likely to respond to the survey, are fundamentally different from sample members with high response propensities.  If differences between low and high propensity cases do exist and are large enough, survey estimates are likely to be affected.  Thus, our second assumption is that low propensity cases contribute to nonresponse bias. With these assumptions in mind, the goal of the proposed approach is to first identify the cases with low propensity that we believe are likely to contribute to nonresponse bias, and then to increase their response propensity with a targeted intervention. To be effective, </w:t>
      </w:r>
      <w:r w:rsidRPr="00CC411C">
        <w:rPr>
          <w:sz w:val="24"/>
          <w:szCs w:val="24"/>
        </w:rPr>
        <w:t>an intervention during data collection aimed at reducing bias by targeting low propensity cases</w:t>
      </w:r>
      <w:r>
        <w:rPr>
          <w:sz w:val="24"/>
          <w:szCs w:val="24"/>
        </w:rPr>
        <w:t xml:space="preserve"> ideally </w:t>
      </w:r>
      <w:r w:rsidRPr="000076AC">
        <w:rPr>
          <w:sz w:val="24"/>
          <w:szCs w:val="24"/>
        </w:rPr>
        <w:t>(but not necessarily</w:t>
      </w:r>
      <w:r>
        <w:rPr>
          <w:rStyle w:val="FootnoteReference"/>
          <w:sz w:val="24"/>
          <w:szCs w:val="24"/>
        </w:rPr>
        <w:footnoteReference w:id="2"/>
      </w:r>
      <w:r w:rsidRPr="000076AC">
        <w:rPr>
          <w:sz w:val="24"/>
          <w:szCs w:val="24"/>
        </w:rPr>
        <w:t xml:space="preserve">) </w:t>
      </w:r>
      <w:r>
        <w:rPr>
          <w:sz w:val="24"/>
          <w:szCs w:val="24"/>
        </w:rPr>
        <w:t xml:space="preserve">would meet two conditions: 1) </w:t>
      </w:r>
      <w:r w:rsidRPr="00CC411C">
        <w:rPr>
          <w:sz w:val="24"/>
          <w:szCs w:val="24"/>
        </w:rPr>
        <w:t xml:space="preserve">the </w:t>
      </w:r>
      <w:r>
        <w:rPr>
          <w:sz w:val="24"/>
          <w:szCs w:val="24"/>
        </w:rPr>
        <w:t xml:space="preserve">calculated </w:t>
      </w:r>
      <w:r w:rsidRPr="00CC411C">
        <w:rPr>
          <w:sz w:val="24"/>
          <w:szCs w:val="24"/>
        </w:rPr>
        <w:t xml:space="preserve">response propensity </w:t>
      </w:r>
      <w:r>
        <w:rPr>
          <w:sz w:val="24"/>
          <w:szCs w:val="24"/>
        </w:rPr>
        <w:t>should be</w:t>
      </w:r>
      <w:r w:rsidRPr="00CC411C">
        <w:rPr>
          <w:sz w:val="24"/>
          <w:szCs w:val="24"/>
        </w:rPr>
        <w:t xml:space="preserve"> a significant predictor of response outcome </w:t>
      </w:r>
      <w:r>
        <w:rPr>
          <w:sz w:val="24"/>
          <w:szCs w:val="24"/>
        </w:rPr>
        <w:t xml:space="preserve">and 2) response propensity should be </w:t>
      </w:r>
      <w:r w:rsidRPr="00CC411C">
        <w:rPr>
          <w:sz w:val="24"/>
          <w:szCs w:val="24"/>
        </w:rPr>
        <w:t xml:space="preserve">significantly associated </w:t>
      </w:r>
      <w:r w:rsidRPr="00CC411C">
        <w:rPr>
          <w:sz w:val="24"/>
          <w:szCs w:val="24"/>
        </w:rPr>
        <w:lastRenderedPageBreak/>
        <w:t xml:space="preserve">with survey variables of interest (observed only among respondents). </w:t>
      </w:r>
      <w:r>
        <w:rPr>
          <w:sz w:val="24"/>
          <w:szCs w:val="24"/>
        </w:rPr>
        <w:t xml:space="preserve"> The above assumptions have not yet been tested – the purpose of the proposed design is to allow us to test empirically with the field test sample whether nonresponse bias can be reduced by identifying and targeting cases with predicted low response propensity.</w:t>
      </w:r>
    </w:p>
    <w:p w:rsidR="00DF2B30" w:rsidRDefault="00DF2B30" w:rsidP="00DF2B30">
      <w:pPr>
        <w:rPr>
          <w:sz w:val="24"/>
          <w:szCs w:val="24"/>
        </w:rPr>
      </w:pPr>
    </w:p>
    <w:p w:rsidR="00DF2B30" w:rsidRDefault="00DF2B30" w:rsidP="00DF2B30">
      <w:pPr>
        <w:rPr>
          <w:sz w:val="24"/>
          <w:szCs w:val="24"/>
        </w:rPr>
      </w:pPr>
      <w:r>
        <w:rPr>
          <w:sz w:val="24"/>
          <w:szCs w:val="24"/>
        </w:rPr>
        <w:t xml:space="preserve">The ELS F3 FT will be used to empirically test whether or not </w:t>
      </w:r>
      <w:r w:rsidRPr="00ED541B">
        <w:rPr>
          <w:i/>
          <w:iCs/>
          <w:sz w:val="24"/>
          <w:szCs w:val="24"/>
        </w:rPr>
        <w:t>intervening</w:t>
      </w:r>
      <w:r>
        <w:rPr>
          <w:sz w:val="24"/>
          <w:szCs w:val="24"/>
        </w:rPr>
        <w:t xml:space="preserve"> on low propensity cases can be a practical and effective method to improve overall survey estimates. The first step will be to determine if response propensities effectively predict survey response outcomes.  It can then be determined whether </w:t>
      </w:r>
      <w:r w:rsidRPr="00A009BC">
        <w:rPr>
          <w:sz w:val="24"/>
          <w:szCs w:val="24"/>
        </w:rPr>
        <w:t>the varianc</w:t>
      </w:r>
      <w:r>
        <w:rPr>
          <w:sz w:val="24"/>
          <w:szCs w:val="24"/>
        </w:rPr>
        <w:t xml:space="preserve">e of the response propensity, because of an intervention, </w:t>
      </w:r>
      <w:r w:rsidRPr="00A009BC">
        <w:rPr>
          <w:sz w:val="24"/>
          <w:szCs w:val="24"/>
        </w:rPr>
        <w:t>was lowered, and whether the association between the response propensity and</w:t>
      </w:r>
      <w:r>
        <w:rPr>
          <w:sz w:val="24"/>
          <w:szCs w:val="24"/>
        </w:rPr>
        <w:t xml:space="preserve"> any selected survey variables </w:t>
      </w:r>
      <w:r w:rsidRPr="00A009BC">
        <w:rPr>
          <w:sz w:val="24"/>
          <w:szCs w:val="24"/>
        </w:rPr>
        <w:t>was reduced</w:t>
      </w:r>
      <w:r>
        <w:rPr>
          <w:sz w:val="24"/>
          <w:szCs w:val="24"/>
        </w:rPr>
        <w:t>.  A similar response propensity approach is being used (or has been proposed) for other studies conducted by RTI. RTI will carefully examine the results obtained in NPSAS, B&amp;B, and HSLS along with the ELS F3 FT results. Based on extensive analyses of the field test experiments and careful examination of the ELS main study sample characteristics, plans will be developed for the respective full-scale collections.</w:t>
      </w:r>
    </w:p>
    <w:p w:rsidR="00DF2B30" w:rsidRDefault="00DF2B30" w:rsidP="00DF2B30">
      <w:pPr>
        <w:rPr>
          <w:sz w:val="24"/>
          <w:szCs w:val="24"/>
        </w:rPr>
      </w:pPr>
    </w:p>
    <w:p w:rsidR="00DF2B30" w:rsidRPr="00036495" w:rsidRDefault="00DF2B30" w:rsidP="00DF2B30">
      <w:pPr>
        <w:rPr>
          <w:b/>
          <w:bCs/>
          <w:sz w:val="24"/>
          <w:szCs w:val="24"/>
        </w:rPr>
      </w:pPr>
      <w:r w:rsidRPr="00036495">
        <w:rPr>
          <w:b/>
          <w:bCs/>
          <w:sz w:val="24"/>
          <w:szCs w:val="24"/>
        </w:rPr>
        <w:t>Evidence from the ELS</w:t>
      </w:r>
      <w:proofErr w:type="gramStart"/>
      <w:r w:rsidRPr="00036495">
        <w:rPr>
          <w:b/>
          <w:bCs/>
          <w:sz w:val="24"/>
          <w:szCs w:val="24"/>
        </w:rPr>
        <w:t>:2002</w:t>
      </w:r>
      <w:proofErr w:type="gramEnd"/>
      <w:r w:rsidRPr="00036495">
        <w:rPr>
          <w:b/>
          <w:bCs/>
          <w:sz w:val="24"/>
          <w:szCs w:val="24"/>
        </w:rPr>
        <w:t xml:space="preserve"> Second Follow-up Field Test</w:t>
      </w:r>
    </w:p>
    <w:p w:rsidR="00DF2B30" w:rsidRDefault="00DF2B30" w:rsidP="00DF2B30">
      <w:pPr>
        <w:rPr>
          <w:sz w:val="24"/>
          <w:szCs w:val="24"/>
        </w:rPr>
      </w:pPr>
    </w:p>
    <w:p w:rsidR="00DF2B30" w:rsidRDefault="00DF2B30" w:rsidP="00DF2B30">
      <w:pPr>
        <w:rPr>
          <w:sz w:val="24"/>
          <w:szCs w:val="24"/>
        </w:rPr>
      </w:pPr>
      <w:r>
        <w:rPr>
          <w:sz w:val="24"/>
          <w:szCs w:val="24"/>
        </w:rPr>
        <w:t>The ELS F2 FT can be used to illustrate how the approach outlined above could be effective in improving overall survey estimates. The best fitting response prediction model found in the ELS F2 FT included the following variables as predictors: base year response s</w:t>
      </w:r>
      <w:r w:rsidRPr="00B3110F">
        <w:rPr>
          <w:sz w:val="24"/>
          <w:szCs w:val="24"/>
        </w:rPr>
        <w:t>tatus</w:t>
      </w:r>
      <w:r>
        <w:rPr>
          <w:sz w:val="24"/>
          <w:szCs w:val="24"/>
        </w:rPr>
        <w:t xml:space="preserve">, F1 response status, F2 call count, whether the case has ever refused, whether some contact was ever made with the case, mother is a college graduate*, and whether the case has ever been in an AP class*.  High propensity cases in the F2 FT had an overall response rate of 92%, while low propensity cases had a response rate of roughly 55%.  While some survey variables were included in the response propensity model, it is informative to note that even some survey variables not ultimately retained as significant predictors are correlated with response propensities, that is, there is a relationship between response propensity and substantive variables even if the substantive variables were not significant predictors of response propensity.  For instance, in the ELS F2 FT, high and low propensity cases did show sometimes large differences across key survey variables.  The table below shows 8 ELS F2 survey variables along with their reported overall estimate, the estimates separately for low and high propensity cases, as well as a significance test for that difference.  Consider the variable current enrollment in a postsecondary institution which is a key ELS variable.  The reported estimate for that variable among F2 FT respondents was .5401.  However, as the table below shows, high and low propensity cases responded to this question very differently.  And because our response among low propensity cases was far below that of high propensity cases, low propensity cases are probably underrepresented in the estimate for all interviewed F2 FT cases. It is likely that if additional low propensity cases would have participated, the overall estimate may have been different.  </w:t>
      </w:r>
    </w:p>
    <w:p w:rsidR="00DF2B30" w:rsidRDefault="00DF2B30" w:rsidP="00DF2B30">
      <w:pPr>
        <w:rPr>
          <w:sz w:val="24"/>
          <w:szCs w:val="24"/>
        </w:rPr>
      </w:pPr>
    </w:p>
    <w:p w:rsidR="00DF2B30" w:rsidRDefault="00DF2B30" w:rsidP="00DF2B30">
      <w:pPr>
        <w:rPr>
          <w:sz w:val="24"/>
          <w:szCs w:val="24"/>
        </w:rPr>
      </w:pPr>
      <w:proofErr w:type="gramStart"/>
      <w:r>
        <w:rPr>
          <w:sz w:val="24"/>
          <w:szCs w:val="24"/>
        </w:rPr>
        <w:t>Table.</w:t>
      </w:r>
      <w:proofErr w:type="gramEnd"/>
      <w:r>
        <w:rPr>
          <w:sz w:val="24"/>
          <w:szCs w:val="24"/>
        </w:rPr>
        <w:t xml:space="preserve">  ELS F2 FT – Estimates of Key F2 Survey Variables by Case Status</w:t>
      </w:r>
    </w:p>
    <w:p w:rsidR="00DF2B30" w:rsidRDefault="00DF2B30" w:rsidP="00DF2B30">
      <w:pPr>
        <w:rPr>
          <w:sz w:val="24"/>
          <w:szCs w:val="24"/>
        </w:rPr>
      </w:pPr>
    </w:p>
    <w:tbl>
      <w:tblPr>
        <w:tblStyle w:val="TableGrid"/>
        <w:tblW w:w="9892" w:type="dxa"/>
        <w:tblLook w:val="04A0"/>
      </w:tblPr>
      <w:tblGrid>
        <w:gridCol w:w="2022"/>
        <w:gridCol w:w="1944"/>
        <w:gridCol w:w="1616"/>
        <w:gridCol w:w="1527"/>
        <w:gridCol w:w="981"/>
        <w:gridCol w:w="1802"/>
      </w:tblGrid>
      <w:tr w:rsidR="00DF2B30" w:rsidTr="0006546F">
        <w:tc>
          <w:tcPr>
            <w:tcW w:w="2022" w:type="dxa"/>
          </w:tcPr>
          <w:p w:rsidR="00DF2B30" w:rsidRPr="00053E86" w:rsidRDefault="00DF2B30" w:rsidP="0006546F">
            <w:pPr>
              <w:jc w:val="center"/>
            </w:pPr>
            <w:r w:rsidRPr="00053E86">
              <w:t>Key Variable</w:t>
            </w:r>
          </w:p>
        </w:tc>
        <w:tc>
          <w:tcPr>
            <w:tcW w:w="1944" w:type="dxa"/>
          </w:tcPr>
          <w:p w:rsidR="00DF2B30" w:rsidRPr="00053E86" w:rsidRDefault="00DF2B30" w:rsidP="0006546F">
            <w:pPr>
              <w:jc w:val="center"/>
            </w:pPr>
            <w:r w:rsidRPr="00053E86">
              <w:t>Estimate (overall)</w:t>
            </w:r>
          </w:p>
        </w:tc>
        <w:tc>
          <w:tcPr>
            <w:tcW w:w="1616" w:type="dxa"/>
          </w:tcPr>
          <w:p w:rsidR="00DF2B30" w:rsidRPr="00053E86" w:rsidRDefault="00DF2B30" w:rsidP="0006546F">
            <w:pPr>
              <w:jc w:val="center"/>
            </w:pPr>
            <w:r w:rsidRPr="00053E86">
              <w:t>Estimate (high propensity cases only)</w:t>
            </w:r>
          </w:p>
        </w:tc>
        <w:tc>
          <w:tcPr>
            <w:tcW w:w="1527" w:type="dxa"/>
          </w:tcPr>
          <w:p w:rsidR="00DF2B30" w:rsidRPr="00053E86" w:rsidRDefault="00DF2B30" w:rsidP="0006546F">
            <w:pPr>
              <w:jc w:val="center"/>
            </w:pPr>
            <w:r w:rsidRPr="00053E86">
              <w:t>Estimate (low propensity cases only)</w:t>
            </w:r>
          </w:p>
        </w:tc>
        <w:tc>
          <w:tcPr>
            <w:tcW w:w="981" w:type="dxa"/>
          </w:tcPr>
          <w:p w:rsidR="00DF2B30" w:rsidRPr="006F2846" w:rsidRDefault="00DF2B30" w:rsidP="0006546F">
            <w:pPr>
              <w:jc w:val="center"/>
              <w:rPr>
                <w:sz w:val="28"/>
                <w:szCs w:val="28"/>
              </w:rPr>
            </w:pPr>
            <w:r w:rsidRPr="006F2846">
              <w:rPr>
                <w:rFonts w:eastAsia="Calibri"/>
                <w:sz w:val="28"/>
                <w:szCs w:val="28"/>
              </w:rPr>
              <w:t>χ</w:t>
            </w:r>
            <w:r w:rsidRPr="006F2846">
              <w:rPr>
                <w:rFonts w:eastAsia="Calibri"/>
                <w:sz w:val="28"/>
                <w:szCs w:val="28"/>
                <w:vertAlign w:val="superscript"/>
              </w:rPr>
              <w:t>2</w:t>
            </w:r>
          </w:p>
        </w:tc>
        <w:tc>
          <w:tcPr>
            <w:tcW w:w="1802" w:type="dxa"/>
          </w:tcPr>
          <w:p w:rsidR="00DF2B30" w:rsidRPr="00053E86" w:rsidRDefault="00DF2B30" w:rsidP="0006546F">
            <w:pPr>
              <w:jc w:val="center"/>
            </w:pPr>
            <w:r>
              <w:t xml:space="preserve">Significance Level  </w:t>
            </w:r>
          </w:p>
        </w:tc>
      </w:tr>
      <w:tr w:rsidR="00DF2B30" w:rsidTr="0006546F">
        <w:tc>
          <w:tcPr>
            <w:tcW w:w="2022" w:type="dxa"/>
          </w:tcPr>
          <w:p w:rsidR="00DF2B30" w:rsidRPr="00053E86" w:rsidRDefault="00DF2B30" w:rsidP="0006546F">
            <w:r>
              <w:t>Currently enrolled in post</w:t>
            </w:r>
            <w:r w:rsidRPr="00053E86">
              <w:t>sec</w:t>
            </w:r>
            <w:r>
              <w:t>ondary institution</w:t>
            </w:r>
            <w:r w:rsidRPr="00053E86">
              <w:t xml:space="preserve"> </w:t>
            </w:r>
          </w:p>
        </w:tc>
        <w:tc>
          <w:tcPr>
            <w:tcW w:w="1944" w:type="dxa"/>
          </w:tcPr>
          <w:p w:rsidR="00DF2B30" w:rsidRPr="00053E86" w:rsidRDefault="00DF2B30" w:rsidP="0006546F">
            <w:pPr>
              <w:jc w:val="center"/>
            </w:pPr>
            <w:r w:rsidRPr="00053E86">
              <w:t>.</w:t>
            </w:r>
            <w:r>
              <w:t>5401</w:t>
            </w:r>
          </w:p>
        </w:tc>
        <w:tc>
          <w:tcPr>
            <w:tcW w:w="1616" w:type="dxa"/>
          </w:tcPr>
          <w:p w:rsidR="00DF2B30" w:rsidRPr="00053E86" w:rsidRDefault="00DF2B30" w:rsidP="0006546F">
            <w:pPr>
              <w:jc w:val="center"/>
            </w:pPr>
            <w:r w:rsidRPr="00053E86">
              <w:t>.</w:t>
            </w:r>
            <w:r>
              <w:t>6271</w:t>
            </w:r>
          </w:p>
        </w:tc>
        <w:tc>
          <w:tcPr>
            <w:tcW w:w="1527" w:type="dxa"/>
          </w:tcPr>
          <w:p w:rsidR="00DF2B30" w:rsidRPr="00053E86" w:rsidRDefault="00DF2B30" w:rsidP="0006546F">
            <w:pPr>
              <w:jc w:val="center"/>
            </w:pPr>
            <w:r w:rsidRPr="00053E86">
              <w:t>.</w:t>
            </w:r>
            <w:r>
              <w:t>4007</w:t>
            </w:r>
          </w:p>
        </w:tc>
        <w:tc>
          <w:tcPr>
            <w:tcW w:w="981" w:type="dxa"/>
          </w:tcPr>
          <w:p w:rsidR="00DF2B30" w:rsidRDefault="00DF2B30" w:rsidP="0006546F">
            <w:pPr>
              <w:jc w:val="center"/>
            </w:pPr>
            <w:r>
              <w:t>37.71</w:t>
            </w:r>
          </w:p>
        </w:tc>
        <w:tc>
          <w:tcPr>
            <w:tcW w:w="1802" w:type="dxa"/>
          </w:tcPr>
          <w:p w:rsidR="00DF2B30" w:rsidRPr="00053E86" w:rsidRDefault="00DF2B30" w:rsidP="0006546F">
            <w:pPr>
              <w:jc w:val="center"/>
            </w:pPr>
            <w:r>
              <w:t>&lt;.0001</w:t>
            </w:r>
          </w:p>
        </w:tc>
      </w:tr>
      <w:tr w:rsidR="00DF2B30" w:rsidTr="0006546F">
        <w:tc>
          <w:tcPr>
            <w:tcW w:w="2022" w:type="dxa"/>
          </w:tcPr>
          <w:p w:rsidR="00DF2B30" w:rsidRPr="00053E86" w:rsidRDefault="00DF2B30" w:rsidP="0006546F">
            <w:r>
              <w:t>Ever applied to postsecondary institution</w:t>
            </w:r>
          </w:p>
        </w:tc>
        <w:tc>
          <w:tcPr>
            <w:tcW w:w="1944" w:type="dxa"/>
          </w:tcPr>
          <w:p w:rsidR="00DF2B30" w:rsidRPr="00053E86" w:rsidRDefault="00DF2B30" w:rsidP="0006546F">
            <w:pPr>
              <w:jc w:val="center"/>
            </w:pPr>
            <w:r>
              <w:t>.8510</w:t>
            </w:r>
          </w:p>
        </w:tc>
        <w:tc>
          <w:tcPr>
            <w:tcW w:w="1616" w:type="dxa"/>
          </w:tcPr>
          <w:p w:rsidR="00DF2B30" w:rsidRPr="00053E86" w:rsidRDefault="00DF2B30" w:rsidP="0006546F">
            <w:pPr>
              <w:jc w:val="center"/>
            </w:pPr>
            <w:r>
              <w:t>.8791</w:t>
            </w:r>
          </w:p>
        </w:tc>
        <w:tc>
          <w:tcPr>
            <w:tcW w:w="1527" w:type="dxa"/>
          </w:tcPr>
          <w:p w:rsidR="00DF2B30" w:rsidRPr="00053E86" w:rsidRDefault="00DF2B30" w:rsidP="0006546F">
            <w:pPr>
              <w:jc w:val="center"/>
            </w:pPr>
            <w:r>
              <w:t>.8150</w:t>
            </w:r>
          </w:p>
        </w:tc>
        <w:tc>
          <w:tcPr>
            <w:tcW w:w="981" w:type="dxa"/>
          </w:tcPr>
          <w:p w:rsidR="00DF2B30" w:rsidRDefault="00DF2B30" w:rsidP="0006546F">
            <w:pPr>
              <w:jc w:val="center"/>
            </w:pPr>
            <w:r>
              <w:t>6.05</w:t>
            </w:r>
          </w:p>
        </w:tc>
        <w:tc>
          <w:tcPr>
            <w:tcW w:w="1802" w:type="dxa"/>
          </w:tcPr>
          <w:p w:rsidR="00DF2B30" w:rsidRDefault="00DF2B30" w:rsidP="0006546F">
            <w:pPr>
              <w:jc w:val="center"/>
            </w:pPr>
            <w:r>
              <w:t>.0139</w:t>
            </w:r>
          </w:p>
        </w:tc>
      </w:tr>
      <w:tr w:rsidR="00DF2B30" w:rsidTr="0006546F">
        <w:tc>
          <w:tcPr>
            <w:tcW w:w="2022" w:type="dxa"/>
          </w:tcPr>
          <w:p w:rsidR="00DF2B30" w:rsidRDefault="00DF2B30" w:rsidP="0006546F">
            <w:r>
              <w:t xml:space="preserve">Ever attended postsecondary </w:t>
            </w:r>
            <w:r>
              <w:lastRenderedPageBreak/>
              <w:t>institution</w:t>
            </w:r>
          </w:p>
        </w:tc>
        <w:tc>
          <w:tcPr>
            <w:tcW w:w="1944" w:type="dxa"/>
          </w:tcPr>
          <w:p w:rsidR="00DF2B30" w:rsidRDefault="00DF2B30" w:rsidP="0006546F">
            <w:pPr>
              <w:jc w:val="center"/>
            </w:pPr>
            <w:r>
              <w:lastRenderedPageBreak/>
              <w:t>.8077</w:t>
            </w:r>
          </w:p>
        </w:tc>
        <w:tc>
          <w:tcPr>
            <w:tcW w:w="1616" w:type="dxa"/>
          </w:tcPr>
          <w:p w:rsidR="00DF2B30" w:rsidRDefault="00DF2B30" w:rsidP="0006546F">
            <w:pPr>
              <w:jc w:val="center"/>
            </w:pPr>
            <w:r>
              <w:t>.8361</w:t>
            </w:r>
          </w:p>
        </w:tc>
        <w:tc>
          <w:tcPr>
            <w:tcW w:w="1527" w:type="dxa"/>
          </w:tcPr>
          <w:p w:rsidR="00DF2B30" w:rsidRDefault="00DF2B30" w:rsidP="0006546F">
            <w:pPr>
              <w:jc w:val="center"/>
            </w:pPr>
            <w:r>
              <w:t>.7601</w:t>
            </w:r>
          </w:p>
        </w:tc>
        <w:tc>
          <w:tcPr>
            <w:tcW w:w="981" w:type="dxa"/>
          </w:tcPr>
          <w:p w:rsidR="00DF2B30" w:rsidRDefault="00DF2B30" w:rsidP="0006546F">
            <w:pPr>
              <w:jc w:val="center"/>
            </w:pPr>
            <w:r>
              <w:t>6.75</w:t>
            </w:r>
          </w:p>
        </w:tc>
        <w:tc>
          <w:tcPr>
            <w:tcW w:w="1802" w:type="dxa"/>
          </w:tcPr>
          <w:p w:rsidR="00DF2B30" w:rsidRDefault="00DF2B30" w:rsidP="0006546F">
            <w:pPr>
              <w:jc w:val="center"/>
            </w:pPr>
            <w:r>
              <w:t>.0093</w:t>
            </w:r>
          </w:p>
        </w:tc>
      </w:tr>
      <w:tr w:rsidR="00DF2B30" w:rsidTr="0006546F">
        <w:tc>
          <w:tcPr>
            <w:tcW w:w="2022" w:type="dxa"/>
          </w:tcPr>
          <w:p w:rsidR="00DF2B30" w:rsidRPr="00053E86" w:rsidRDefault="00DF2B30" w:rsidP="0006546F">
            <w:r>
              <w:lastRenderedPageBreak/>
              <w:t>Took the SAT in high school</w:t>
            </w:r>
          </w:p>
        </w:tc>
        <w:tc>
          <w:tcPr>
            <w:tcW w:w="1944" w:type="dxa"/>
          </w:tcPr>
          <w:p w:rsidR="00DF2B30" w:rsidRPr="00053E86" w:rsidRDefault="00DF2B30" w:rsidP="0006546F">
            <w:pPr>
              <w:jc w:val="center"/>
            </w:pPr>
            <w:r>
              <w:t>.5949</w:t>
            </w:r>
          </w:p>
        </w:tc>
        <w:tc>
          <w:tcPr>
            <w:tcW w:w="1616" w:type="dxa"/>
          </w:tcPr>
          <w:p w:rsidR="00DF2B30" w:rsidRPr="00053E86" w:rsidRDefault="00DF2B30" w:rsidP="0006546F">
            <w:pPr>
              <w:jc w:val="center"/>
            </w:pPr>
            <w:r>
              <w:t>.6454</w:t>
            </w:r>
          </w:p>
        </w:tc>
        <w:tc>
          <w:tcPr>
            <w:tcW w:w="1527" w:type="dxa"/>
          </w:tcPr>
          <w:p w:rsidR="00DF2B30" w:rsidRPr="00053E86" w:rsidRDefault="00DF2B30" w:rsidP="0006546F">
            <w:pPr>
              <w:jc w:val="center"/>
            </w:pPr>
            <w:r>
              <w:t>.5171</w:t>
            </w:r>
          </w:p>
        </w:tc>
        <w:tc>
          <w:tcPr>
            <w:tcW w:w="981" w:type="dxa"/>
          </w:tcPr>
          <w:p w:rsidR="00DF2B30" w:rsidRDefault="00DF2B30" w:rsidP="0006546F">
            <w:pPr>
              <w:jc w:val="center"/>
            </w:pPr>
            <w:r>
              <w:t>15.69</w:t>
            </w:r>
          </w:p>
        </w:tc>
        <w:tc>
          <w:tcPr>
            <w:tcW w:w="1802" w:type="dxa"/>
          </w:tcPr>
          <w:p w:rsidR="00DF2B30" w:rsidRPr="00053E86" w:rsidRDefault="00DF2B30" w:rsidP="0006546F">
            <w:pPr>
              <w:jc w:val="center"/>
            </w:pPr>
            <w:r>
              <w:t>.0004</w:t>
            </w:r>
          </w:p>
        </w:tc>
      </w:tr>
      <w:tr w:rsidR="00DF2B30" w:rsidTr="0006546F">
        <w:tc>
          <w:tcPr>
            <w:tcW w:w="2022" w:type="dxa"/>
          </w:tcPr>
          <w:p w:rsidR="00DF2B30" w:rsidRDefault="00DF2B30" w:rsidP="0006546F">
            <w:r>
              <w:t>Took AP exams in high school</w:t>
            </w:r>
          </w:p>
        </w:tc>
        <w:tc>
          <w:tcPr>
            <w:tcW w:w="1944" w:type="dxa"/>
          </w:tcPr>
          <w:p w:rsidR="00DF2B30" w:rsidRDefault="00DF2B30" w:rsidP="0006546F">
            <w:pPr>
              <w:jc w:val="center"/>
            </w:pPr>
            <w:r>
              <w:t>.2292</w:t>
            </w:r>
          </w:p>
        </w:tc>
        <w:tc>
          <w:tcPr>
            <w:tcW w:w="1616" w:type="dxa"/>
          </w:tcPr>
          <w:p w:rsidR="00DF2B30" w:rsidRDefault="00DF2B30" w:rsidP="0006546F">
            <w:pPr>
              <w:jc w:val="center"/>
            </w:pPr>
            <w:r>
              <w:t>.2786</w:t>
            </w:r>
          </w:p>
        </w:tc>
        <w:tc>
          <w:tcPr>
            <w:tcW w:w="1527" w:type="dxa"/>
          </w:tcPr>
          <w:p w:rsidR="00DF2B30" w:rsidRDefault="00DF2B30" w:rsidP="0006546F">
            <w:pPr>
              <w:jc w:val="center"/>
            </w:pPr>
            <w:r>
              <w:t>.1473</w:t>
            </w:r>
          </w:p>
        </w:tc>
        <w:tc>
          <w:tcPr>
            <w:tcW w:w="981" w:type="dxa"/>
          </w:tcPr>
          <w:p w:rsidR="00DF2B30" w:rsidRDefault="00DF2B30" w:rsidP="0006546F">
            <w:pPr>
              <w:jc w:val="center"/>
            </w:pPr>
            <w:r>
              <w:t>21.75</w:t>
            </w:r>
          </w:p>
        </w:tc>
        <w:tc>
          <w:tcPr>
            <w:tcW w:w="1802" w:type="dxa"/>
          </w:tcPr>
          <w:p w:rsidR="00DF2B30" w:rsidRDefault="00DF2B30" w:rsidP="0006546F">
            <w:pPr>
              <w:jc w:val="center"/>
            </w:pPr>
            <w:r>
              <w:t>&lt;.0001</w:t>
            </w:r>
          </w:p>
        </w:tc>
      </w:tr>
      <w:tr w:rsidR="00DF2B30" w:rsidTr="0006546F">
        <w:tc>
          <w:tcPr>
            <w:tcW w:w="2022" w:type="dxa"/>
          </w:tcPr>
          <w:p w:rsidR="00DF2B30" w:rsidRPr="00053E86" w:rsidRDefault="00DF2B30" w:rsidP="0006546F">
            <w:r>
              <w:t>Envisions a Bachelor’s or higher</w:t>
            </w:r>
          </w:p>
        </w:tc>
        <w:tc>
          <w:tcPr>
            <w:tcW w:w="1944" w:type="dxa"/>
          </w:tcPr>
          <w:p w:rsidR="00DF2B30" w:rsidRPr="00053E86" w:rsidRDefault="00DF2B30" w:rsidP="0006546F">
            <w:pPr>
              <w:jc w:val="center"/>
            </w:pPr>
            <w:r>
              <w:t>.6636</w:t>
            </w:r>
          </w:p>
        </w:tc>
        <w:tc>
          <w:tcPr>
            <w:tcW w:w="1616" w:type="dxa"/>
          </w:tcPr>
          <w:p w:rsidR="00DF2B30" w:rsidRPr="00053E86" w:rsidRDefault="00DF2B30" w:rsidP="0006546F">
            <w:pPr>
              <w:jc w:val="center"/>
            </w:pPr>
            <w:r>
              <w:t>.6865</w:t>
            </w:r>
          </w:p>
        </w:tc>
        <w:tc>
          <w:tcPr>
            <w:tcW w:w="1527" w:type="dxa"/>
          </w:tcPr>
          <w:p w:rsidR="00DF2B30" w:rsidRPr="00053E86" w:rsidRDefault="00DF2B30" w:rsidP="0006546F">
            <w:pPr>
              <w:jc w:val="center"/>
            </w:pPr>
            <w:r>
              <w:t>.6267</w:t>
            </w:r>
          </w:p>
        </w:tc>
        <w:tc>
          <w:tcPr>
            <w:tcW w:w="981" w:type="dxa"/>
          </w:tcPr>
          <w:p w:rsidR="00DF2B30" w:rsidRDefault="00DF2B30" w:rsidP="0006546F">
            <w:pPr>
              <w:jc w:val="center"/>
            </w:pPr>
            <w:r>
              <w:t>2.85</w:t>
            </w:r>
          </w:p>
        </w:tc>
        <w:tc>
          <w:tcPr>
            <w:tcW w:w="1802" w:type="dxa"/>
          </w:tcPr>
          <w:p w:rsidR="00DF2B30" w:rsidRPr="00053E86" w:rsidRDefault="00DF2B30" w:rsidP="0006546F">
            <w:pPr>
              <w:jc w:val="center"/>
            </w:pPr>
            <w:r>
              <w:t>.0572</w:t>
            </w:r>
          </w:p>
        </w:tc>
      </w:tr>
      <w:tr w:rsidR="00DF2B30" w:rsidTr="0006546F">
        <w:tc>
          <w:tcPr>
            <w:tcW w:w="2022" w:type="dxa"/>
          </w:tcPr>
          <w:p w:rsidR="00DF2B30" w:rsidRDefault="00DF2B30" w:rsidP="0006546F">
            <w:r>
              <w:t>Makes payments on mortgage or rent</w:t>
            </w:r>
          </w:p>
        </w:tc>
        <w:tc>
          <w:tcPr>
            <w:tcW w:w="1944" w:type="dxa"/>
          </w:tcPr>
          <w:p w:rsidR="00DF2B30" w:rsidRDefault="00DF2B30" w:rsidP="0006546F">
            <w:pPr>
              <w:jc w:val="center"/>
            </w:pPr>
            <w:r>
              <w:t>.2408</w:t>
            </w:r>
          </w:p>
        </w:tc>
        <w:tc>
          <w:tcPr>
            <w:tcW w:w="1616" w:type="dxa"/>
          </w:tcPr>
          <w:p w:rsidR="00DF2B30" w:rsidRDefault="00DF2B30" w:rsidP="0006546F">
            <w:pPr>
              <w:jc w:val="center"/>
            </w:pPr>
            <w:r>
              <w:t>.2029</w:t>
            </w:r>
          </w:p>
        </w:tc>
        <w:tc>
          <w:tcPr>
            <w:tcW w:w="1527" w:type="dxa"/>
          </w:tcPr>
          <w:p w:rsidR="00DF2B30" w:rsidRDefault="00DF2B30" w:rsidP="0006546F">
            <w:pPr>
              <w:jc w:val="center"/>
            </w:pPr>
            <w:r>
              <w:t>.3014</w:t>
            </w:r>
          </w:p>
        </w:tc>
        <w:tc>
          <w:tcPr>
            <w:tcW w:w="981" w:type="dxa"/>
          </w:tcPr>
          <w:p w:rsidR="00DF2B30" w:rsidRDefault="00DF2B30" w:rsidP="0006546F">
            <w:pPr>
              <w:jc w:val="center"/>
            </w:pPr>
            <w:r>
              <w:t>15.67</w:t>
            </w:r>
          </w:p>
        </w:tc>
        <w:tc>
          <w:tcPr>
            <w:tcW w:w="1802" w:type="dxa"/>
          </w:tcPr>
          <w:p w:rsidR="00DF2B30" w:rsidRDefault="00DF2B30" w:rsidP="0006546F">
            <w:pPr>
              <w:jc w:val="center"/>
            </w:pPr>
            <w:r>
              <w:t>.0004</w:t>
            </w:r>
          </w:p>
        </w:tc>
      </w:tr>
      <w:tr w:rsidR="00DF2B30" w:rsidTr="0006546F">
        <w:tc>
          <w:tcPr>
            <w:tcW w:w="2022" w:type="dxa"/>
          </w:tcPr>
          <w:p w:rsidR="00DF2B30" w:rsidRDefault="00DF2B30" w:rsidP="0006546F">
            <w:r>
              <w:t>Contributes to the support of a dependent</w:t>
            </w:r>
          </w:p>
        </w:tc>
        <w:tc>
          <w:tcPr>
            <w:tcW w:w="1944" w:type="dxa"/>
          </w:tcPr>
          <w:p w:rsidR="00DF2B30" w:rsidRDefault="00DF2B30" w:rsidP="0006546F">
            <w:pPr>
              <w:jc w:val="center"/>
            </w:pPr>
            <w:r>
              <w:t>.1911</w:t>
            </w:r>
          </w:p>
        </w:tc>
        <w:tc>
          <w:tcPr>
            <w:tcW w:w="1616" w:type="dxa"/>
          </w:tcPr>
          <w:p w:rsidR="00DF2B30" w:rsidRDefault="00DF2B30" w:rsidP="0006546F">
            <w:pPr>
              <w:jc w:val="center"/>
            </w:pPr>
            <w:r>
              <w:t>.1762</w:t>
            </w:r>
          </w:p>
        </w:tc>
        <w:tc>
          <w:tcPr>
            <w:tcW w:w="1527" w:type="dxa"/>
          </w:tcPr>
          <w:p w:rsidR="00DF2B30" w:rsidRDefault="00DF2B30" w:rsidP="0006546F">
            <w:pPr>
              <w:jc w:val="center"/>
            </w:pPr>
            <w:r>
              <w:t>.2192</w:t>
            </w:r>
          </w:p>
        </w:tc>
        <w:tc>
          <w:tcPr>
            <w:tcW w:w="981" w:type="dxa"/>
          </w:tcPr>
          <w:p w:rsidR="00DF2B30" w:rsidRDefault="00DF2B30" w:rsidP="0006546F">
            <w:pPr>
              <w:jc w:val="center"/>
            </w:pPr>
            <w:r>
              <w:t>18.04</w:t>
            </w:r>
          </w:p>
        </w:tc>
        <w:tc>
          <w:tcPr>
            <w:tcW w:w="1802" w:type="dxa"/>
          </w:tcPr>
          <w:p w:rsidR="00DF2B30" w:rsidRDefault="00DF2B30" w:rsidP="0006546F">
            <w:pPr>
              <w:jc w:val="center"/>
            </w:pPr>
            <w:r>
              <w:t>&lt;.0001</w:t>
            </w:r>
          </w:p>
        </w:tc>
      </w:tr>
    </w:tbl>
    <w:p w:rsidR="00DF2B30" w:rsidRDefault="00DF2B30" w:rsidP="00DF2B30">
      <w:pPr>
        <w:rPr>
          <w:sz w:val="24"/>
          <w:szCs w:val="24"/>
        </w:rPr>
      </w:pPr>
    </w:p>
    <w:p w:rsidR="00DF2B30" w:rsidRDefault="00DF2B30" w:rsidP="00DF2B30">
      <w:pPr>
        <w:rPr>
          <w:sz w:val="24"/>
          <w:szCs w:val="24"/>
        </w:rPr>
      </w:pPr>
      <w:r>
        <w:rPr>
          <w:sz w:val="24"/>
          <w:szCs w:val="24"/>
        </w:rPr>
        <w:t xml:space="preserve">In the ELS F2FT, responses from low propensity cases did seem to matter for the overall accuracy of key survey estimates and many more survey variables could have been affected.    </w:t>
      </w:r>
    </w:p>
    <w:p w:rsidR="00DF2B30" w:rsidRDefault="00DF2B30" w:rsidP="00DF2B30">
      <w:pPr>
        <w:rPr>
          <w:sz w:val="24"/>
          <w:szCs w:val="24"/>
        </w:rPr>
      </w:pPr>
    </w:p>
    <w:p w:rsidR="00DF2B30" w:rsidRDefault="00DF2B30" w:rsidP="00DF2B30">
      <w:pPr>
        <w:rPr>
          <w:sz w:val="24"/>
          <w:szCs w:val="24"/>
        </w:rPr>
      </w:pPr>
      <w:r>
        <w:rPr>
          <w:sz w:val="24"/>
          <w:szCs w:val="24"/>
        </w:rPr>
        <w:t>Another way to consider the potential effects of targeting low propensity cases is to examine how estimates of key survey variables change with the inclusion of difficult to complete, low propensity cases.  In ELS F2 FT, respondents were asked if they had taken the SAT while in high school.  The following graph shows the survey estimate for this item by level of effort to receive a response (call counts).  The Y axis is the cumulative estimate for the variable and the X axis is call counts, or a measure of level of effort. The cumulative estimate is shown for all cases, and by propensity level.</w:t>
      </w:r>
    </w:p>
    <w:p w:rsidR="00DF2B30" w:rsidRDefault="00DF2B30" w:rsidP="00DF2B30">
      <w:pPr>
        <w:rPr>
          <w:sz w:val="24"/>
          <w:szCs w:val="24"/>
        </w:rPr>
      </w:pPr>
    </w:p>
    <w:p w:rsidR="00DF2B30" w:rsidRDefault="00DF2B30" w:rsidP="00DF2B30">
      <w:pPr>
        <w:rPr>
          <w:sz w:val="24"/>
          <w:szCs w:val="24"/>
        </w:rPr>
      </w:pPr>
      <w:r w:rsidRPr="00F00AC1">
        <w:rPr>
          <w:noProof/>
          <w:sz w:val="24"/>
          <w:szCs w:val="24"/>
        </w:rPr>
        <w:drawing>
          <wp:inline distT="0" distB="0" distL="0" distR="0">
            <wp:extent cx="54864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F2B30" w:rsidRDefault="00DF2B30" w:rsidP="00DF2B30">
      <w:pPr>
        <w:rPr>
          <w:sz w:val="24"/>
          <w:szCs w:val="24"/>
        </w:rPr>
      </w:pPr>
    </w:p>
    <w:p w:rsidR="00DF2B30" w:rsidRDefault="00DF2B30" w:rsidP="00DF2B30">
      <w:pPr>
        <w:rPr>
          <w:sz w:val="24"/>
          <w:szCs w:val="24"/>
        </w:rPr>
      </w:pPr>
    </w:p>
    <w:p w:rsidR="00DF2B30" w:rsidRDefault="00DF2B30" w:rsidP="00DF2B30">
      <w:pPr>
        <w:rPr>
          <w:sz w:val="24"/>
          <w:szCs w:val="24"/>
        </w:rPr>
      </w:pPr>
      <w:r w:rsidRPr="00CC411C">
        <w:rPr>
          <w:sz w:val="24"/>
          <w:szCs w:val="24"/>
        </w:rPr>
        <w:t xml:space="preserve">After </w:t>
      </w:r>
      <w:r>
        <w:rPr>
          <w:sz w:val="24"/>
          <w:szCs w:val="24"/>
        </w:rPr>
        <w:t>about 32</w:t>
      </w:r>
      <w:r w:rsidRPr="00CC411C">
        <w:rPr>
          <w:sz w:val="24"/>
          <w:szCs w:val="24"/>
        </w:rPr>
        <w:t xml:space="preserve"> calls, the extra effort to compl</w:t>
      </w:r>
      <w:r>
        <w:rPr>
          <w:sz w:val="24"/>
          <w:szCs w:val="24"/>
        </w:rPr>
        <w:t xml:space="preserve">ete low propensity cases has a demonstrated </w:t>
      </w:r>
      <w:r w:rsidRPr="00CC411C">
        <w:rPr>
          <w:sz w:val="24"/>
          <w:szCs w:val="24"/>
        </w:rPr>
        <w:t xml:space="preserve">effect on the overall </w:t>
      </w:r>
      <w:r>
        <w:rPr>
          <w:sz w:val="24"/>
          <w:szCs w:val="24"/>
        </w:rPr>
        <w:t xml:space="preserve">survey </w:t>
      </w:r>
      <w:r w:rsidRPr="00CC411C">
        <w:rPr>
          <w:sz w:val="24"/>
          <w:szCs w:val="24"/>
        </w:rPr>
        <w:t xml:space="preserve">estimate.  </w:t>
      </w:r>
      <w:r>
        <w:rPr>
          <w:sz w:val="24"/>
          <w:szCs w:val="24"/>
        </w:rPr>
        <w:t>Even</w:t>
      </w:r>
      <w:r w:rsidRPr="00CC411C">
        <w:rPr>
          <w:sz w:val="24"/>
          <w:szCs w:val="24"/>
        </w:rPr>
        <w:t xml:space="preserve"> with this extra effort, </w:t>
      </w:r>
      <w:r>
        <w:rPr>
          <w:sz w:val="24"/>
          <w:szCs w:val="24"/>
        </w:rPr>
        <w:t>the response rate for low propensity cases was significantly below that of high propensity cases</w:t>
      </w:r>
      <w:r w:rsidRPr="00CC411C">
        <w:rPr>
          <w:sz w:val="24"/>
          <w:szCs w:val="24"/>
        </w:rPr>
        <w:t xml:space="preserve">.  </w:t>
      </w:r>
      <w:r>
        <w:rPr>
          <w:sz w:val="24"/>
          <w:szCs w:val="24"/>
        </w:rPr>
        <w:t xml:space="preserve">This example from ELS F2 FT suggests that: 1) low propensity cases are likely different in terms of how they respond to key survey items, and 2) intervening to bring low propensity cases into the response pool is sensible for overall data quality.  </w:t>
      </w:r>
    </w:p>
    <w:p w:rsidR="00DF2B30" w:rsidRDefault="00DF2B30" w:rsidP="00DF2B30"/>
    <w:p w:rsidR="00DF2B30" w:rsidRPr="00346AFC" w:rsidRDefault="00DF2B30" w:rsidP="00DF2B30">
      <w:pPr>
        <w:rPr>
          <w:b/>
          <w:bCs/>
          <w:sz w:val="24"/>
          <w:szCs w:val="24"/>
        </w:rPr>
      </w:pPr>
      <w:r w:rsidRPr="00346AFC">
        <w:rPr>
          <w:b/>
          <w:bCs/>
          <w:sz w:val="24"/>
          <w:szCs w:val="24"/>
        </w:rPr>
        <w:t>ELS F3 FT Response Propensity Incentive Experiment Design</w:t>
      </w:r>
    </w:p>
    <w:p w:rsidR="00DF2B30" w:rsidRDefault="00DF2B30" w:rsidP="00DF2B30">
      <w:pPr>
        <w:rPr>
          <w:sz w:val="24"/>
          <w:szCs w:val="24"/>
        </w:rPr>
      </w:pPr>
    </w:p>
    <w:p w:rsidR="00DF2B30" w:rsidRPr="009567FA" w:rsidRDefault="00DF2B30" w:rsidP="00DF2B30">
      <w:pPr>
        <w:rPr>
          <w:rFonts w:asciiTheme="majorBidi" w:hAnsiTheme="majorBidi" w:cstheme="majorBidi"/>
          <w:sz w:val="24"/>
          <w:szCs w:val="24"/>
        </w:rPr>
      </w:pPr>
      <w:r w:rsidRPr="009567FA">
        <w:rPr>
          <w:rFonts w:asciiTheme="majorBidi" w:hAnsiTheme="majorBidi" w:cstheme="majorBidi"/>
          <w:sz w:val="24"/>
          <w:szCs w:val="24"/>
        </w:rPr>
        <w:lastRenderedPageBreak/>
        <w:t xml:space="preserve">The </w:t>
      </w:r>
      <w:r>
        <w:rPr>
          <w:rFonts w:asciiTheme="majorBidi" w:hAnsiTheme="majorBidi" w:cstheme="majorBidi"/>
          <w:sz w:val="24"/>
          <w:szCs w:val="24"/>
        </w:rPr>
        <w:t xml:space="preserve">incentive </w:t>
      </w:r>
      <w:r w:rsidRPr="009567FA">
        <w:rPr>
          <w:rFonts w:asciiTheme="majorBidi" w:hAnsiTheme="majorBidi" w:cstheme="majorBidi"/>
          <w:sz w:val="24"/>
          <w:szCs w:val="24"/>
        </w:rPr>
        <w:t xml:space="preserve">plan for the </w:t>
      </w:r>
      <w:r>
        <w:rPr>
          <w:rFonts w:asciiTheme="majorBidi" w:hAnsiTheme="majorBidi" w:cstheme="majorBidi"/>
          <w:sz w:val="24"/>
          <w:szCs w:val="24"/>
        </w:rPr>
        <w:t xml:space="preserve">ELS </w:t>
      </w:r>
      <w:r w:rsidRPr="009567FA">
        <w:rPr>
          <w:rFonts w:asciiTheme="majorBidi" w:hAnsiTheme="majorBidi" w:cstheme="majorBidi"/>
          <w:sz w:val="24"/>
          <w:szCs w:val="24"/>
        </w:rPr>
        <w:t>F3 field test is as follows:</w:t>
      </w:r>
    </w:p>
    <w:p w:rsidR="00DF2B30" w:rsidRPr="009567FA" w:rsidRDefault="00DF2B30" w:rsidP="00DF2B30">
      <w:pPr>
        <w:numPr>
          <w:ilvl w:val="0"/>
          <w:numId w:val="5"/>
        </w:numPr>
        <w:jc w:val="left"/>
        <w:rPr>
          <w:rFonts w:asciiTheme="majorBidi" w:hAnsiTheme="majorBidi" w:cstheme="majorBidi"/>
          <w:sz w:val="24"/>
          <w:szCs w:val="24"/>
        </w:rPr>
      </w:pPr>
      <w:r w:rsidRPr="009567FA">
        <w:rPr>
          <w:rFonts w:asciiTheme="majorBidi" w:hAnsiTheme="majorBidi" w:cstheme="majorBidi"/>
          <w:sz w:val="24"/>
          <w:szCs w:val="24"/>
        </w:rPr>
        <w:t>The cases will be split into a pre-data collection categorization of high propensity cases</w:t>
      </w:r>
      <w:r>
        <w:rPr>
          <w:rFonts w:asciiTheme="majorBidi" w:hAnsiTheme="majorBidi" w:cstheme="majorBidi"/>
          <w:sz w:val="24"/>
          <w:szCs w:val="24"/>
        </w:rPr>
        <w:t xml:space="preserve"> (50% of the F3 FT sample)</w:t>
      </w:r>
      <w:r w:rsidRPr="009567FA">
        <w:rPr>
          <w:rFonts w:asciiTheme="majorBidi" w:hAnsiTheme="majorBidi" w:cstheme="majorBidi"/>
          <w:sz w:val="24"/>
          <w:szCs w:val="24"/>
        </w:rPr>
        <w:t>; low propensity experiment cases</w:t>
      </w:r>
      <w:r>
        <w:rPr>
          <w:rFonts w:asciiTheme="majorBidi" w:hAnsiTheme="majorBidi" w:cstheme="majorBidi"/>
          <w:sz w:val="24"/>
          <w:szCs w:val="24"/>
        </w:rPr>
        <w:t xml:space="preserve"> (25% of the sample)</w:t>
      </w:r>
      <w:r w:rsidRPr="009567FA">
        <w:rPr>
          <w:rFonts w:asciiTheme="majorBidi" w:hAnsiTheme="majorBidi" w:cstheme="majorBidi"/>
          <w:sz w:val="24"/>
          <w:szCs w:val="24"/>
        </w:rPr>
        <w:t>; and low propensity control cases</w:t>
      </w:r>
      <w:r>
        <w:rPr>
          <w:rFonts w:asciiTheme="majorBidi" w:hAnsiTheme="majorBidi" w:cstheme="majorBidi"/>
          <w:sz w:val="24"/>
          <w:szCs w:val="24"/>
        </w:rPr>
        <w:t xml:space="preserve"> (25% of the sample)</w:t>
      </w:r>
      <w:r w:rsidRPr="009567FA">
        <w:rPr>
          <w:rFonts w:asciiTheme="majorBidi" w:hAnsiTheme="majorBidi" w:cstheme="majorBidi"/>
          <w:sz w:val="24"/>
          <w:szCs w:val="24"/>
        </w:rPr>
        <w:t>.</w:t>
      </w:r>
    </w:p>
    <w:p w:rsidR="00DF2B30" w:rsidRPr="009567FA" w:rsidRDefault="00DF2B30" w:rsidP="00DF2B30">
      <w:pPr>
        <w:numPr>
          <w:ilvl w:val="0"/>
          <w:numId w:val="5"/>
        </w:numPr>
        <w:jc w:val="left"/>
        <w:rPr>
          <w:rFonts w:asciiTheme="majorBidi" w:hAnsiTheme="majorBidi" w:cstheme="majorBidi"/>
          <w:sz w:val="24"/>
          <w:szCs w:val="24"/>
        </w:rPr>
      </w:pPr>
      <w:r w:rsidRPr="009567FA">
        <w:rPr>
          <w:rFonts w:asciiTheme="majorBidi" w:hAnsiTheme="majorBidi" w:cstheme="majorBidi"/>
          <w:sz w:val="24"/>
          <w:szCs w:val="24"/>
        </w:rPr>
        <w:t xml:space="preserve">The low propensity experiment cases will be offered $45 while the control cases and the high-propensity cases will be offered $25.  </w:t>
      </w:r>
    </w:p>
    <w:p w:rsidR="00DF2B30" w:rsidRPr="009567FA" w:rsidRDefault="00DF2B30" w:rsidP="00DF2B30">
      <w:pPr>
        <w:numPr>
          <w:ilvl w:val="0"/>
          <w:numId w:val="5"/>
        </w:numPr>
        <w:jc w:val="left"/>
        <w:rPr>
          <w:rFonts w:asciiTheme="majorBidi" w:hAnsiTheme="majorBidi" w:cstheme="majorBidi"/>
          <w:sz w:val="24"/>
          <w:szCs w:val="24"/>
        </w:rPr>
      </w:pPr>
      <w:r w:rsidRPr="009567FA">
        <w:rPr>
          <w:rFonts w:asciiTheme="majorBidi" w:hAnsiTheme="majorBidi" w:cstheme="majorBidi"/>
          <w:sz w:val="24"/>
          <w:szCs w:val="24"/>
        </w:rPr>
        <w:t>Beginning in week 10, the incentive offer will be increased by $10 for these most difficult final cases</w:t>
      </w:r>
      <w:r>
        <w:rPr>
          <w:rFonts w:asciiTheme="majorBidi" w:hAnsiTheme="majorBidi" w:cstheme="majorBidi"/>
          <w:sz w:val="24"/>
          <w:szCs w:val="24"/>
        </w:rPr>
        <w:t xml:space="preserve"> – the remaining nonrespondents</w:t>
      </w:r>
      <w:r w:rsidRPr="009567FA">
        <w:rPr>
          <w:rFonts w:asciiTheme="majorBidi" w:hAnsiTheme="majorBidi" w:cstheme="majorBidi"/>
          <w:sz w:val="24"/>
          <w:szCs w:val="24"/>
        </w:rPr>
        <w:t>: $55 for low-propensity experiment cases; $35 for the others. This compares with the F2 amounts of $60 and $40.</w:t>
      </w:r>
    </w:p>
    <w:p w:rsidR="00DF2B30" w:rsidRPr="009567FA" w:rsidRDefault="00DF2B30" w:rsidP="00DF2B30">
      <w:pPr>
        <w:rPr>
          <w:rFonts w:asciiTheme="majorBidi" w:hAnsiTheme="majorBidi" w:cstheme="majorBidi"/>
          <w:sz w:val="24"/>
          <w:szCs w:val="24"/>
        </w:rPr>
      </w:pPr>
    </w:p>
    <w:p w:rsidR="00DF2B30" w:rsidRPr="009567FA" w:rsidRDefault="00DF2B30" w:rsidP="00DF2B30">
      <w:pPr>
        <w:rPr>
          <w:rFonts w:asciiTheme="majorBidi" w:hAnsiTheme="majorBidi" w:cstheme="majorBidi"/>
          <w:sz w:val="24"/>
          <w:szCs w:val="24"/>
        </w:rPr>
      </w:pPr>
      <w:r w:rsidRPr="009567FA">
        <w:rPr>
          <w:rFonts w:asciiTheme="majorBidi" w:hAnsiTheme="majorBidi" w:cstheme="majorBidi"/>
          <w:sz w:val="24"/>
          <w:szCs w:val="24"/>
        </w:rPr>
        <w:t xml:space="preserve">The size and dictated yield of the F3 field test do not allow for additional testing of various incentive amounts.  </w:t>
      </w:r>
      <w:r>
        <w:rPr>
          <w:rFonts w:asciiTheme="majorBidi" w:hAnsiTheme="majorBidi" w:cstheme="majorBidi"/>
          <w:sz w:val="24"/>
          <w:szCs w:val="24"/>
        </w:rPr>
        <w:t>(The designated total yield for the F3 FT is 500 cases.) Nonetheless</w:t>
      </w:r>
      <w:r w:rsidRPr="009567FA">
        <w:rPr>
          <w:rFonts w:asciiTheme="majorBidi" w:hAnsiTheme="majorBidi" w:cstheme="majorBidi"/>
          <w:sz w:val="24"/>
          <w:szCs w:val="24"/>
        </w:rPr>
        <w:t>, we are monitoring the NPSAS</w:t>
      </w:r>
      <w:proofErr w:type="gramStart"/>
      <w:r w:rsidRPr="009567FA">
        <w:rPr>
          <w:rFonts w:asciiTheme="majorBidi" w:hAnsiTheme="majorBidi" w:cstheme="majorBidi"/>
          <w:sz w:val="24"/>
          <w:szCs w:val="24"/>
        </w:rPr>
        <w:t>:12</w:t>
      </w:r>
      <w:proofErr w:type="gramEnd"/>
      <w:r w:rsidRPr="009567FA">
        <w:rPr>
          <w:rFonts w:asciiTheme="majorBidi" w:hAnsiTheme="majorBidi" w:cstheme="majorBidi"/>
          <w:sz w:val="24"/>
          <w:szCs w:val="24"/>
        </w:rPr>
        <w:t xml:space="preserve"> field test propensity experiment and will continue to monitor NPSAS:12 and B&amp;B:08/12 field tests to see if any aspects of their experiments may apply for the ELS:2002/12 full-scale study, and vice-versa.</w:t>
      </w:r>
    </w:p>
    <w:p w:rsidR="00DF2B30" w:rsidRDefault="00DF2B30" w:rsidP="00DF2B30">
      <w:pPr>
        <w:rPr>
          <w:b/>
          <w:bCs/>
          <w:sz w:val="24"/>
          <w:szCs w:val="24"/>
        </w:rPr>
      </w:pPr>
    </w:p>
    <w:p w:rsidR="00DF2B30" w:rsidRDefault="00DF2B30" w:rsidP="00DF2B30">
      <w:pPr>
        <w:rPr>
          <w:b/>
          <w:bCs/>
          <w:sz w:val="24"/>
          <w:szCs w:val="24"/>
        </w:rPr>
      </w:pPr>
    </w:p>
    <w:p w:rsidR="00DF2B30" w:rsidRDefault="00DF2B30" w:rsidP="00DF2B30">
      <w:pPr>
        <w:rPr>
          <w:b/>
          <w:bCs/>
          <w:sz w:val="24"/>
          <w:szCs w:val="24"/>
        </w:rPr>
      </w:pPr>
      <w:r>
        <w:rPr>
          <w:b/>
          <w:bCs/>
          <w:sz w:val="24"/>
          <w:szCs w:val="24"/>
        </w:rPr>
        <w:t>Additional Analysis with the ELS Main Study Data</w:t>
      </w:r>
    </w:p>
    <w:p w:rsidR="00DF2B30" w:rsidRDefault="00DF2B30" w:rsidP="00DF2B30">
      <w:pPr>
        <w:rPr>
          <w:b/>
          <w:bCs/>
          <w:sz w:val="24"/>
          <w:szCs w:val="24"/>
        </w:rPr>
      </w:pPr>
    </w:p>
    <w:p w:rsidR="00DF2B30" w:rsidRDefault="00DF2B30" w:rsidP="00DF2B30">
      <w:pPr>
        <w:rPr>
          <w:sz w:val="24"/>
          <w:szCs w:val="24"/>
        </w:rPr>
      </w:pPr>
      <w:r>
        <w:rPr>
          <w:sz w:val="24"/>
          <w:szCs w:val="24"/>
        </w:rPr>
        <w:t>In parallel with the ELS F3 FT data collection, where experimental interventions are planned on cases with low predicted response propensities, we will conduct the above analyses with the ELS F2 main study data.  These main study analyses, in addition to the F3 FT results, where we have intervened on low propensity cases during data collection, will provide a more complete picture of the potential utility of this approach as well as refine the model for the main study. For the main study, sample weights will be incorporated into these analyses and the model-building exercise.</w:t>
      </w:r>
    </w:p>
    <w:p w:rsidR="00DF2B30" w:rsidRDefault="00DF2B30" w:rsidP="00DF2B30">
      <w:pPr>
        <w:rPr>
          <w:b/>
          <w:bCs/>
          <w:sz w:val="24"/>
          <w:szCs w:val="24"/>
        </w:rPr>
      </w:pPr>
    </w:p>
    <w:p w:rsidR="00DF2B30" w:rsidRDefault="00DF2B30" w:rsidP="00DF2B30">
      <w:pPr>
        <w:rPr>
          <w:b/>
          <w:bCs/>
          <w:sz w:val="24"/>
          <w:szCs w:val="24"/>
        </w:rPr>
      </w:pPr>
      <w:r w:rsidRPr="00036495">
        <w:rPr>
          <w:b/>
          <w:bCs/>
          <w:sz w:val="24"/>
          <w:szCs w:val="24"/>
        </w:rPr>
        <w:t>Coordinating Activities with B&amp;B and NPSAS</w:t>
      </w:r>
    </w:p>
    <w:p w:rsidR="00DF2B30" w:rsidRDefault="00DF2B30" w:rsidP="00DF2B30">
      <w:pPr>
        <w:rPr>
          <w:b/>
          <w:bCs/>
          <w:sz w:val="24"/>
          <w:szCs w:val="24"/>
        </w:rPr>
      </w:pPr>
    </w:p>
    <w:p w:rsidR="00DF2B30" w:rsidRPr="00DF2B30" w:rsidRDefault="00DF2B30" w:rsidP="00907E7D">
      <w:r>
        <w:rPr>
          <w:sz w:val="24"/>
          <w:szCs w:val="24"/>
        </w:rPr>
        <w:t>RTI is testing the response propensity approach to minimizing nonresponse bias in several field test studies for the first time. While there are variations in the study populations and in the “intervention” used in each, the goal of the approach is the same: identify cases with low response propensity, implement a targeted intervention to increase response propensity, and then evaluate the data to assess the impact to nonresponse bias. We plan to hold a meeting in the fall, after B&amp;B, NPSAS, and ELS all finish their respective field test data collections, to review all propensity modeling experiment results, their relation to sample bias, and identify the best approaches for each study to yield the most benefits for data quality in full scale collections. The meeting is scheduled to piggy back on the B&amp;B TRP meeting and will take place at the RTI-DC office on 11/15/2011. OMB will be invited and RTI will follow up to coordinate the meeting details.</w:t>
      </w:r>
    </w:p>
    <w:sectPr w:rsidR="00DF2B30" w:rsidRPr="00DF2B30" w:rsidSect="00DF2B30">
      <w:footerReference w:type="default" r:id="rId9"/>
      <w:pgSz w:w="12240" w:h="15840"/>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640" w:rsidRDefault="00FD3640" w:rsidP="00F22D9F">
      <w:pPr>
        <w:spacing w:line="240" w:lineRule="auto"/>
      </w:pPr>
      <w:r>
        <w:separator/>
      </w:r>
    </w:p>
  </w:endnote>
  <w:endnote w:type="continuationSeparator" w:id="0">
    <w:p w:rsidR="00FD3640" w:rsidRDefault="00FD3640" w:rsidP="00F22D9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Lucida Grande">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F03" w:rsidRDefault="00FD2E13">
    <w:pPr>
      <w:pStyle w:val="Footer"/>
      <w:jc w:val="center"/>
    </w:pPr>
    <w:fldSimple w:instr=" PAGE   \* MERGEFORMAT ">
      <w:r w:rsidR="0090663A">
        <w:rPr>
          <w:noProof/>
        </w:rPr>
        <w:t>4</w:t>
      </w:r>
    </w:fldSimple>
  </w:p>
  <w:p w:rsidR="00F77F03" w:rsidRDefault="00F77F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640" w:rsidRDefault="00FD3640" w:rsidP="00F22D9F">
      <w:pPr>
        <w:spacing w:line="240" w:lineRule="auto"/>
      </w:pPr>
      <w:r>
        <w:separator/>
      </w:r>
    </w:p>
  </w:footnote>
  <w:footnote w:type="continuationSeparator" w:id="0">
    <w:p w:rsidR="00FD3640" w:rsidRDefault="00FD3640" w:rsidP="00F22D9F">
      <w:pPr>
        <w:spacing w:line="240" w:lineRule="auto"/>
      </w:pPr>
      <w:r>
        <w:continuationSeparator/>
      </w:r>
    </w:p>
  </w:footnote>
  <w:footnote w:id="1">
    <w:p w:rsidR="00F77F03" w:rsidRDefault="00F77F03" w:rsidP="007E5036">
      <w:pPr>
        <w:pStyle w:val="FootnoteText"/>
      </w:pPr>
      <w:r>
        <w:rPr>
          <w:rStyle w:val="FootnoteReference"/>
        </w:rPr>
        <w:footnoteRef/>
      </w:r>
      <w:r>
        <w:t xml:space="preserve"> To the extent that the relationship between response propensity and the key survey variables is not the same among respondents and nonrespondents, only the first condition may be sufficient – estimated response propensity needs to be associated with the response outcome.</w:t>
      </w:r>
    </w:p>
    <w:p w:rsidR="00F77F03" w:rsidRDefault="00F77F03" w:rsidP="007E5036">
      <w:pPr>
        <w:pStyle w:val="FootnoteText"/>
      </w:pPr>
      <w:r>
        <w:t>*Indicates this is a survey variable.</w:t>
      </w:r>
    </w:p>
    <w:p w:rsidR="00F77F03" w:rsidRDefault="00F77F03" w:rsidP="007E5036">
      <w:pPr>
        <w:pStyle w:val="FootnoteText"/>
      </w:pPr>
    </w:p>
  </w:footnote>
  <w:footnote w:id="2">
    <w:p w:rsidR="00DF2B30" w:rsidRDefault="00DF2B30" w:rsidP="00DF2B30">
      <w:pPr>
        <w:pStyle w:val="FootnoteText"/>
      </w:pPr>
      <w:r>
        <w:rPr>
          <w:rStyle w:val="FootnoteReference"/>
        </w:rPr>
        <w:footnoteRef/>
      </w:r>
      <w:r>
        <w:t xml:space="preserve"> To the extent that the relationship between response propensity and the key survey variables is not the same among respondents and nonrespondents, only the first condition may be sufficient – estimated response propensity needs to be associated with the response outcome.</w:t>
      </w:r>
    </w:p>
    <w:p w:rsidR="00DF2B30" w:rsidRDefault="00DF2B30" w:rsidP="00DF2B30">
      <w:pPr>
        <w:pStyle w:val="FootnoteText"/>
      </w:pPr>
      <w:r>
        <w:t>*Indicates this is a survey variable.</w:t>
      </w:r>
    </w:p>
    <w:p w:rsidR="00DF2B30" w:rsidRDefault="00DF2B30" w:rsidP="00DF2B30">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92455"/>
    <w:multiLevelType w:val="hybridMultilevel"/>
    <w:tmpl w:val="214CAF0E"/>
    <w:lvl w:ilvl="0" w:tplc="233ABE9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AE3AD4"/>
    <w:multiLevelType w:val="hybridMultilevel"/>
    <w:tmpl w:val="1324A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50509B"/>
    <w:multiLevelType w:val="hybridMultilevel"/>
    <w:tmpl w:val="E6B2F2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0207A8"/>
    <w:multiLevelType w:val="hybridMultilevel"/>
    <w:tmpl w:val="FB08E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A14957"/>
    <w:multiLevelType w:val="hybridMultilevel"/>
    <w:tmpl w:val="E6B2F2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134FC6"/>
    <w:multiLevelType w:val="hybridMultilevel"/>
    <w:tmpl w:val="3CBA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proofState w:spelling="clean" w:grammar="clean"/>
  <w:stylePaneFormatFilter w:val="3F01"/>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A2D54"/>
    <w:rsid w:val="00054C15"/>
    <w:rsid w:val="0008322D"/>
    <w:rsid w:val="00086AA3"/>
    <w:rsid w:val="00093EED"/>
    <w:rsid w:val="001359FE"/>
    <w:rsid w:val="001C3042"/>
    <w:rsid w:val="00201D5E"/>
    <w:rsid w:val="00394205"/>
    <w:rsid w:val="004D0B71"/>
    <w:rsid w:val="004F45DA"/>
    <w:rsid w:val="00517B56"/>
    <w:rsid w:val="006A1BEB"/>
    <w:rsid w:val="007723F3"/>
    <w:rsid w:val="007A2D54"/>
    <w:rsid w:val="007E5036"/>
    <w:rsid w:val="00842CE9"/>
    <w:rsid w:val="008C2A27"/>
    <w:rsid w:val="0090663A"/>
    <w:rsid w:val="00907E7D"/>
    <w:rsid w:val="00926D22"/>
    <w:rsid w:val="009A001F"/>
    <w:rsid w:val="009A5091"/>
    <w:rsid w:val="00A70B6E"/>
    <w:rsid w:val="00B238B0"/>
    <w:rsid w:val="00B42726"/>
    <w:rsid w:val="00B76968"/>
    <w:rsid w:val="00BB7B83"/>
    <w:rsid w:val="00BC4950"/>
    <w:rsid w:val="00C3325C"/>
    <w:rsid w:val="00CE486E"/>
    <w:rsid w:val="00CF7A51"/>
    <w:rsid w:val="00D972A0"/>
    <w:rsid w:val="00DF2B30"/>
    <w:rsid w:val="00E26EA2"/>
    <w:rsid w:val="00E37A77"/>
    <w:rsid w:val="00E634AD"/>
    <w:rsid w:val="00EB526E"/>
    <w:rsid w:val="00EC2ABC"/>
    <w:rsid w:val="00EE1D39"/>
    <w:rsid w:val="00EE6013"/>
    <w:rsid w:val="00F22D9F"/>
    <w:rsid w:val="00F63B95"/>
    <w:rsid w:val="00F77F03"/>
    <w:rsid w:val="00F813AB"/>
    <w:rsid w:val="00F96B3A"/>
    <w:rsid w:val="00FA7396"/>
    <w:rsid w:val="00FD1D37"/>
    <w:rsid w:val="00FD2E13"/>
    <w:rsid w:val="00FD3640"/>
    <w:rsid w:val="00FE30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D54"/>
    <w:pPr>
      <w:spacing w:line="240" w:lineRule="atLeast"/>
      <w:jc w:val="both"/>
    </w:pPr>
    <w:rPr>
      <w:rFonts w:ascii="Times New Roman" w:eastAsia="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A2D54"/>
    <w:pPr>
      <w:tabs>
        <w:tab w:val="center" w:pos="4680"/>
        <w:tab w:val="right" w:pos="9360"/>
      </w:tabs>
      <w:spacing w:after="200" w:line="276" w:lineRule="auto"/>
      <w:jc w:val="left"/>
    </w:pPr>
    <w:rPr>
      <w:rFonts w:ascii="Calibri" w:hAnsi="Calibri"/>
      <w:szCs w:val="22"/>
    </w:rPr>
  </w:style>
  <w:style w:type="character" w:customStyle="1" w:styleId="HeaderChar">
    <w:name w:val="Header Char"/>
    <w:basedOn w:val="DefaultParagraphFont"/>
    <w:link w:val="Header"/>
    <w:uiPriority w:val="99"/>
    <w:rsid w:val="007A2D54"/>
    <w:rPr>
      <w:rFonts w:ascii="Calibri" w:eastAsia="Times New Roman" w:hAnsi="Calibri" w:cs="Times New Roman"/>
    </w:rPr>
  </w:style>
  <w:style w:type="paragraph" w:customStyle="1" w:styleId="MessageHeaderFirst">
    <w:name w:val="Message Header First"/>
    <w:basedOn w:val="MessageHeader"/>
    <w:next w:val="MessageHeader"/>
    <w:uiPriority w:val="99"/>
    <w:rsid w:val="007A2D54"/>
  </w:style>
  <w:style w:type="paragraph" w:styleId="MessageHeader">
    <w:name w:val="Message Header"/>
    <w:basedOn w:val="Normal"/>
    <w:link w:val="MessageHeaderChar"/>
    <w:uiPriority w:val="99"/>
    <w:rsid w:val="007A2D54"/>
    <w:pPr>
      <w:keepLines/>
      <w:autoSpaceDE w:val="0"/>
      <w:autoSpaceDN w:val="0"/>
      <w:spacing w:line="415" w:lineRule="atLeast"/>
      <w:ind w:left="1560" w:right="-360" w:hanging="720"/>
      <w:jc w:val="left"/>
    </w:pPr>
    <w:rPr>
      <w:sz w:val="20"/>
    </w:rPr>
  </w:style>
  <w:style w:type="character" w:customStyle="1" w:styleId="MessageHeaderChar">
    <w:name w:val="Message Header Char"/>
    <w:basedOn w:val="DefaultParagraphFont"/>
    <w:link w:val="MessageHeader"/>
    <w:uiPriority w:val="99"/>
    <w:rsid w:val="007A2D54"/>
    <w:rPr>
      <w:rFonts w:ascii="Times New Roman" w:eastAsia="Times New Roman" w:hAnsi="Times New Roman" w:cs="Times New Roman"/>
      <w:sz w:val="20"/>
      <w:szCs w:val="20"/>
    </w:rPr>
  </w:style>
  <w:style w:type="character" w:customStyle="1" w:styleId="MessageHeaderLabel">
    <w:name w:val="Message Header Label"/>
    <w:uiPriority w:val="99"/>
    <w:rsid w:val="007A2D54"/>
    <w:rPr>
      <w:rFonts w:ascii="Arial" w:hAnsi="Arial"/>
      <w:b/>
      <w:spacing w:val="-4"/>
      <w:sz w:val="18"/>
      <w:vertAlign w:val="baseline"/>
    </w:rPr>
  </w:style>
  <w:style w:type="paragraph" w:styleId="ListParagraph">
    <w:name w:val="List Paragraph"/>
    <w:basedOn w:val="Normal"/>
    <w:uiPriority w:val="34"/>
    <w:qFormat/>
    <w:rsid w:val="00705220"/>
    <w:pPr>
      <w:spacing w:line="240" w:lineRule="auto"/>
      <w:ind w:left="720"/>
      <w:jc w:val="left"/>
    </w:pPr>
    <w:rPr>
      <w:rFonts w:ascii="Calibri" w:eastAsia="Calibri" w:hAnsi="Calibri"/>
      <w:szCs w:val="22"/>
    </w:rPr>
  </w:style>
  <w:style w:type="paragraph" w:styleId="PlainText">
    <w:name w:val="Plain Text"/>
    <w:basedOn w:val="Normal"/>
    <w:link w:val="PlainTextChar"/>
    <w:uiPriority w:val="99"/>
    <w:semiHidden/>
    <w:unhideWhenUsed/>
    <w:rsid w:val="00705220"/>
    <w:pPr>
      <w:spacing w:line="240" w:lineRule="auto"/>
      <w:jc w:val="left"/>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705220"/>
    <w:rPr>
      <w:rFonts w:ascii="Consolas" w:hAnsi="Consolas"/>
      <w:sz w:val="21"/>
      <w:szCs w:val="21"/>
    </w:rPr>
  </w:style>
  <w:style w:type="paragraph" w:styleId="BalloonText">
    <w:name w:val="Balloon Text"/>
    <w:basedOn w:val="Normal"/>
    <w:semiHidden/>
    <w:rsid w:val="006953FD"/>
    <w:rPr>
      <w:rFonts w:ascii="Lucida Grande" w:hAnsi="Lucida Grande"/>
      <w:sz w:val="18"/>
      <w:szCs w:val="18"/>
    </w:rPr>
  </w:style>
  <w:style w:type="table" w:styleId="TableGrid">
    <w:name w:val="Table Grid"/>
    <w:basedOn w:val="TableNormal"/>
    <w:uiPriority w:val="59"/>
    <w:rsid w:val="00F22D9F"/>
    <w:rPr>
      <w:rFonts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F22D9F"/>
    <w:pPr>
      <w:spacing w:line="240" w:lineRule="auto"/>
      <w:jc w:val="left"/>
    </w:pPr>
    <w:rPr>
      <w:rFonts w:ascii="Calibri" w:eastAsia="Calibri" w:hAnsi="Calibri"/>
      <w:sz w:val="20"/>
    </w:rPr>
  </w:style>
  <w:style w:type="character" w:customStyle="1" w:styleId="FootnoteTextChar">
    <w:name w:val="Footnote Text Char"/>
    <w:basedOn w:val="DefaultParagraphFont"/>
    <w:link w:val="FootnoteText"/>
    <w:uiPriority w:val="99"/>
    <w:semiHidden/>
    <w:rsid w:val="00F22D9F"/>
    <w:rPr>
      <w:rFonts w:eastAsia="Calibri"/>
    </w:rPr>
  </w:style>
  <w:style w:type="character" w:styleId="FootnoteReference">
    <w:name w:val="footnote reference"/>
    <w:basedOn w:val="DefaultParagraphFont"/>
    <w:uiPriority w:val="99"/>
    <w:semiHidden/>
    <w:unhideWhenUsed/>
    <w:rsid w:val="00F22D9F"/>
    <w:rPr>
      <w:vertAlign w:val="superscript"/>
    </w:rPr>
  </w:style>
  <w:style w:type="paragraph" w:styleId="Footer">
    <w:name w:val="footer"/>
    <w:basedOn w:val="Normal"/>
    <w:link w:val="FooterChar"/>
    <w:uiPriority w:val="99"/>
    <w:unhideWhenUsed/>
    <w:rsid w:val="00EB526E"/>
    <w:pPr>
      <w:tabs>
        <w:tab w:val="center" w:pos="4680"/>
        <w:tab w:val="right" w:pos="9360"/>
      </w:tabs>
    </w:pPr>
  </w:style>
  <w:style w:type="character" w:customStyle="1" w:styleId="FooterChar">
    <w:name w:val="Footer Char"/>
    <w:basedOn w:val="DefaultParagraphFont"/>
    <w:link w:val="Footer"/>
    <w:uiPriority w:val="99"/>
    <w:rsid w:val="00EB526E"/>
    <w:rPr>
      <w:rFonts w:ascii="Times New Roman" w:eastAsia="Times New Roman" w:hAnsi="Times New Roman"/>
      <w:sz w:val="22"/>
    </w:rPr>
  </w:style>
</w:styles>
</file>

<file path=word/webSettings.xml><?xml version="1.0" encoding="utf-8"?>
<w:webSettings xmlns:r="http://schemas.openxmlformats.org/officeDocument/2006/relationships" xmlns:w="http://schemas.openxmlformats.org/wordprocessingml/2006/main">
  <w:divs>
    <w:div w:id="595404234">
      <w:bodyDiv w:val="1"/>
      <w:marLeft w:val="0"/>
      <w:marRight w:val="0"/>
      <w:marTop w:val="0"/>
      <w:marBottom w:val="0"/>
      <w:divBdr>
        <w:top w:val="none" w:sz="0" w:space="0" w:color="auto"/>
        <w:left w:val="none" w:sz="0" w:space="0" w:color="auto"/>
        <w:bottom w:val="none" w:sz="0" w:space="0" w:color="auto"/>
        <w:right w:val="none" w:sz="0" w:space="0" w:color="auto"/>
      </w:divBdr>
    </w:div>
    <w:div w:id="16791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jrosen\Desktop\els_omb2%20(sat_new).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jrosen\Desktop\els_omb2%20(sat_new).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scatterChart>
        <c:scatterStyle val="smoothMarker"/>
        <c:ser>
          <c:idx val="0"/>
          <c:order val="0"/>
          <c:tx>
            <c:strRef>
              <c:f>GRAPH!$C$2</c:f>
              <c:strCache>
                <c:ptCount val="1"/>
                <c:pt idx="0">
                  <c:v>Low Propensity</c:v>
                </c:pt>
              </c:strCache>
            </c:strRef>
          </c:tx>
          <c:marker>
            <c:symbol val="none"/>
          </c:marker>
          <c:xVal>
            <c:numRef>
              <c:f>GRAPH!$A$3:$A$98</c:f>
              <c:numCache>
                <c:formatCode>General</c:formatCode>
                <c:ptCount val="9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75</c:v>
                </c:pt>
                <c:pt idx="75">
                  <c:v>76</c:v>
                </c:pt>
                <c:pt idx="76">
                  <c:v>78</c:v>
                </c:pt>
                <c:pt idx="77">
                  <c:v>79</c:v>
                </c:pt>
                <c:pt idx="78">
                  <c:v>80</c:v>
                </c:pt>
                <c:pt idx="79">
                  <c:v>81</c:v>
                </c:pt>
                <c:pt idx="80">
                  <c:v>82</c:v>
                </c:pt>
                <c:pt idx="81">
                  <c:v>85</c:v>
                </c:pt>
                <c:pt idx="82">
                  <c:v>86</c:v>
                </c:pt>
                <c:pt idx="83">
                  <c:v>88</c:v>
                </c:pt>
                <c:pt idx="84">
                  <c:v>90</c:v>
                </c:pt>
                <c:pt idx="85">
                  <c:v>92</c:v>
                </c:pt>
                <c:pt idx="86">
                  <c:v>93</c:v>
                </c:pt>
                <c:pt idx="87">
                  <c:v>97</c:v>
                </c:pt>
                <c:pt idx="88">
                  <c:v>98</c:v>
                </c:pt>
                <c:pt idx="89">
                  <c:v>99</c:v>
                </c:pt>
                <c:pt idx="90">
                  <c:v>101</c:v>
                </c:pt>
                <c:pt idx="91">
                  <c:v>102</c:v>
                </c:pt>
                <c:pt idx="92">
                  <c:v>103</c:v>
                </c:pt>
                <c:pt idx="93">
                  <c:v>104</c:v>
                </c:pt>
                <c:pt idx="94">
                  <c:v>105</c:v>
                </c:pt>
                <c:pt idx="95">
                  <c:v>121</c:v>
                </c:pt>
              </c:numCache>
            </c:numRef>
          </c:xVal>
          <c:yVal>
            <c:numRef>
              <c:f>GRAPH!$C$3:$C$98</c:f>
              <c:numCache>
                <c:formatCode>General</c:formatCode>
                <c:ptCount val="96"/>
                <c:pt idx="0">
                  <c:v>0.46153846153846201</c:v>
                </c:pt>
                <c:pt idx="1">
                  <c:v>0.32107023411371238</c:v>
                </c:pt>
                <c:pt idx="2">
                  <c:v>0.21719457013574661</c:v>
                </c:pt>
                <c:pt idx="3">
                  <c:v>0.31078224222585993</c:v>
                </c:pt>
                <c:pt idx="4">
                  <c:v>0.26083509615384631</c:v>
                </c:pt>
                <c:pt idx="5">
                  <c:v>0.32232977855477951</c:v>
                </c:pt>
                <c:pt idx="6">
                  <c:v>0.36856439708939776</c:v>
                </c:pt>
                <c:pt idx="7">
                  <c:v>0.38281645041705342</c:v>
                </c:pt>
                <c:pt idx="8">
                  <c:v>0.38820419982316584</c:v>
                </c:pt>
                <c:pt idx="9">
                  <c:v>0.41692199338296226</c:v>
                </c:pt>
                <c:pt idx="10">
                  <c:v>0.41573745384615379</c:v>
                </c:pt>
                <c:pt idx="11">
                  <c:v>0.37794313986013989</c:v>
                </c:pt>
                <c:pt idx="12">
                  <c:v>0.40608189398836514</c:v>
                </c:pt>
                <c:pt idx="13">
                  <c:v>0.41150742824339825</c:v>
                </c:pt>
                <c:pt idx="14">
                  <c:v>0.4206834200332043</c:v>
                </c:pt>
                <c:pt idx="15">
                  <c:v>0.4148692508798395</c:v>
                </c:pt>
                <c:pt idx="16">
                  <c:v>0.4121950938086304</c:v>
                </c:pt>
                <c:pt idx="17">
                  <c:v>0.41825473443223427</c:v>
                </c:pt>
                <c:pt idx="18">
                  <c:v>0.42327818650623117</c:v>
                </c:pt>
                <c:pt idx="19">
                  <c:v>0.41402620428751624</c:v>
                </c:pt>
                <c:pt idx="20">
                  <c:v>0.40301486906710376</c:v>
                </c:pt>
                <c:pt idx="21">
                  <c:v>0.3947285478806915</c:v>
                </c:pt>
                <c:pt idx="22">
                  <c:v>0.39498444361463869</c:v>
                </c:pt>
                <c:pt idx="23">
                  <c:v>0.40756247863247907</c:v>
                </c:pt>
                <c:pt idx="24">
                  <c:v>0.38781275499830625</c:v>
                </c:pt>
                <c:pt idx="25">
                  <c:v>0.39713946517002358</c:v>
                </c:pt>
                <c:pt idx="26">
                  <c:v>0.40387342483242933</c:v>
                </c:pt>
                <c:pt idx="27">
                  <c:v>0.40582721701063207</c:v>
                </c:pt>
                <c:pt idx="28">
                  <c:v>0.40566598966251138</c:v>
                </c:pt>
                <c:pt idx="29">
                  <c:v>0.41622028882994466</c:v>
                </c:pt>
                <c:pt idx="30">
                  <c:v>0.42429851789236439</c:v>
                </c:pt>
                <c:pt idx="31">
                  <c:v>0.41726248351648348</c:v>
                </c:pt>
                <c:pt idx="32">
                  <c:v>0.41842780065005475</c:v>
                </c:pt>
                <c:pt idx="33">
                  <c:v>0.42849288981289063</c:v>
                </c:pt>
                <c:pt idx="34">
                  <c:v>0.42538201106083545</c:v>
                </c:pt>
                <c:pt idx="35">
                  <c:v>0.42658165718525898</c:v>
                </c:pt>
                <c:pt idx="36">
                  <c:v>0.43743500121329781</c:v>
                </c:pt>
                <c:pt idx="37">
                  <c:v>0.43469246202073786</c:v>
                </c:pt>
                <c:pt idx="38">
                  <c:v>0.42535857479943456</c:v>
                </c:pt>
                <c:pt idx="39">
                  <c:v>0.4357436607970343</c:v>
                </c:pt>
                <c:pt idx="40">
                  <c:v>0.43304074013083688</c:v>
                </c:pt>
                <c:pt idx="41">
                  <c:v>0.43381707937569763</c:v>
                </c:pt>
                <c:pt idx="42">
                  <c:v>0.44287119655698426</c:v>
                </c:pt>
                <c:pt idx="43">
                  <c:v>0.4491135360913594</c:v>
                </c:pt>
                <c:pt idx="44">
                  <c:v>0.44144769042129511</c:v>
                </c:pt>
                <c:pt idx="45">
                  <c:v>0.43318530049362408</c:v>
                </c:pt>
                <c:pt idx="46">
                  <c:v>0.43565593223443266</c:v>
                </c:pt>
                <c:pt idx="47">
                  <c:v>0.43336300627530405</c:v>
                </c:pt>
                <c:pt idx="48">
                  <c:v>0.43405714162660258</c:v>
                </c:pt>
                <c:pt idx="49">
                  <c:v>0.43880426118524452</c:v>
                </c:pt>
                <c:pt idx="50">
                  <c:v>0.43437189491064609</c:v>
                </c:pt>
                <c:pt idx="51">
                  <c:v>0.43261687688490258</c:v>
                </c:pt>
                <c:pt idx="52">
                  <c:v>0.43376732045028127</c:v>
                </c:pt>
                <c:pt idx="53">
                  <c:v>0.43923816759568973</c:v>
                </c:pt>
                <c:pt idx="54">
                  <c:v>0.43981962053735785</c:v>
                </c:pt>
                <c:pt idx="55">
                  <c:v>0.43462080705582912</c:v>
                </c:pt>
                <c:pt idx="56">
                  <c:v>0.44098060365962072</c:v>
                </c:pt>
                <c:pt idx="57">
                  <c:v>0.4473621036178444</c:v>
                </c:pt>
                <c:pt idx="58">
                  <c:v>0.45112154508983082</c:v>
                </c:pt>
                <c:pt idx="59">
                  <c:v>0.45188527094780306</c:v>
                </c:pt>
                <c:pt idx="60">
                  <c:v>0.44987689196581315</c:v>
                </c:pt>
                <c:pt idx="61">
                  <c:v>0.45272930128205174</c:v>
                </c:pt>
                <c:pt idx="62">
                  <c:v>0.45075231743365796</c:v>
                </c:pt>
                <c:pt idx="63">
                  <c:v>0.44781900517270201</c:v>
                </c:pt>
                <c:pt idx="64">
                  <c:v>0.44707879608753348</c:v>
                </c:pt>
                <c:pt idx="65">
                  <c:v>0.44516000297127778</c:v>
                </c:pt>
                <c:pt idx="66">
                  <c:v>0.44870908610792176</c:v>
                </c:pt>
                <c:pt idx="67">
                  <c:v>0.4474920387861081</c:v>
                </c:pt>
                <c:pt idx="68">
                  <c:v>0.44654995028340089</c:v>
                </c:pt>
                <c:pt idx="69">
                  <c:v>0.44887049556523195</c:v>
                </c:pt>
                <c:pt idx="70">
                  <c:v>0.45345369310730882</c:v>
                </c:pt>
                <c:pt idx="71">
                  <c:v>0.45157603806338575</c:v>
                </c:pt>
                <c:pt idx="72">
                  <c:v>0.44971386883425907</c:v>
                </c:pt>
                <c:pt idx="73">
                  <c:v>0.45032836330878973</c:v>
                </c:pt>
                <c:pt idx="74">
                  <c:v>0.45586940803349868</c:v>
                </c:pt>
                <c:pt idx="75">
                  <c:v>0.45312871018961065</c:v>
                </c:pt>
                <c:pt idx="76">
                  <c:v>0.45222245276923068</c:v>
                </c:pt>
                <c:pt idx="77">
                  <c:v>0.45042076969046968</c:v>
                </c:pt>
                <c:pt idx="78">
                  <c:v>0.45151337253402651</c:v>
                </c:pt>
                <c:pt idx="79">
                  <c:v>0.44972520076161471</c:v>
                </c:pt>
                <c:pt idx="80">
                  <c:v>0.45100637083585765</c:v>
                </c:pt>
                <c:pt idx="81">
                  <c:v>0.45012030723892998</c:v>
                </c:pt>
                <c:pt idx="82">
                  <c:v>0.44923771840120613</c:v>
                </c:pt>
                <c:pt idx="83">
                  <c:v>0.44748288356370264</c:v>
                </c:pt>
                <c:pt idx="84">
                  <c:v>0.44661059724096625</c:v>
                </c:pt>
                <c:pt idx="85">
                  <c:v>0.4457417050284343</c:v>
                </c:pt>
                <c:pt idx="86">
                  <c:v>0.44487618715459371</c:v>
                </c:pt>
                <c:pt idx="87">
                  <c:v>0.44401402400119233</c:v>
                </c:pt>
                <c:pt idx="88">
                  <c:v>0.44508943207855983</c:v>
                </c:pt>
                <c:pt idx="89">
                  <c:v>0.44423018607068593</c:v>
                </c:pt>
                <c:pt idx="90">
                  <c:v>0.44337425122276636</c:v>
                </c:pt>
                <c:pt idx="91">
                  <c:v>0.44252160843195276</c:v>
                </c:pt>
                <c:pt idx="92">
                  <c:v>0.44677716867293021</c:v>
                </c:pt>
                <c:pt idx="93">
                  <c:v>0.4459261645421248</c:v>
                </c:pt>
                <c:pt idx="94">
                  <c:v>0.44697953685288144</c:v>
                </c:pt>
                <c:pt idx="95">
                  <c:v>0.44802891154576036</c:v>
                </c:pt>
              </c:numCache>
            </c:numRef>
          </c:yVal>
          <c:smooth val="1"/>
        </c:ser>
        <c:ser>
          <c:idx val="1"/>
          <c:order val="1"/>
          <c:tx>
            <c:strRef>
              <c:f>GRAPH!$D$2</c:f>
              <c:strCache>
                <c:ptCount val="1"/>
                <c:pt idx="0">
                  <c:v>High Propensity</c:v>
                </c:pt>
              </c:strCache>
            </c:strRef>
          </c:tx>
          <c:marker>
            <c:symbol val="none"/>
          </c:marker>
          <c:xVal>
            <c:numRef>
              <c:f>GRAPH!$A$3:$A$98</c:f>
              <c:numCache>
                <c:formatCode>General</c:formatCode>
                <c:ptCount val="9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75</c:v>
                </c:pt>
                <c:pt idx="75">
                  <c:v>76</c:v>
                </c:pt>
                <c:pt idx="76">
                  <c:v>78</c:v>
                </c:pt>
                <c:pt idx="77">
                  <c:v>79</c:v>
                </c:pt>
                <c:pt idx="78">
                  <c:v>80</c:v>
                </c:pt>
                <c:pt idx="79">
                  <c:v>81</c:v>
                </c:pt>
                <c:pt idx="80">
                  <c:v>82</c:v>
                </c:pt>
                <c:pt idx="81">
                  <c:v>85</c:v>
                </c:pt>
                <c:pt idx="82">
                  <c:v>86</c:v>
                </c:pt>
                <c:pt idx="83">
                  <c:v>88</c:v>
                </c:pt>
                <c:pt idx="84">
                  <c:v>90</c:v>
                </c:pt>
                <c:pt idx="85">
                  <c:v>92</c:v>
                </c:pt>
                <c:pt idx="86">
                  <c:v>93</c:v>
                </c:pt>
                <c:pt idx="87">
                  <c:v>97</c:v>
                </c:pt>
                <c:pt idx="88">
                  <c:v>98</c:v>
                </c:pt>
                <c:pt idx="89">
                  <c:v>99</c:v>
                </c:pt>
                <c:pt idx="90">
                  <c:v>101</c:v>
                </c:pt>
                <c:pt idx="91">
                  <c:v>102</c:v>
                </c:pt>
                <c:pt idx="92">
                  <c:v>103</c:v>
                </c:pt>
                <c:pt idx="93">
                  <c:v>104</c:v>
                </c:pt>
                <c:pt idx="94">
                  <c:v>105</c:v>
                </c:pt>
                <c:pt idx="95">
                  <c:v>121</c:v>
                </c:pt>
              </c:numCache>
            </c:numRef>
          </c:xVal>
          <c:yVal>
            <c:numRef>
              <c:f>GRAPH!$D$3:$D$98</c:f>
              <c:numCache>
                <c:formatCode>General</c:formatCode>
                <c:ptCount val="96"/>
                <c:pt idx="0">
                  <c:v>0.73684210526315785</c:v>
                </c:pt>
                <c:pt idx="1">
                  <c:v>0.67307692307692313</c:v>
                </c:pt>
                <c:pt idx="2">
                  <c:v>0.64863828093645481</c:v>
                </c:pt>
                <c:pt idx="3">
                  <c:v>0.64566621637426991</c:v>
                </c:pt>
                <c:pt idx="4">
                  <c:v>0.6376183591160226</c:v>
                </c:pt>
                <c:pt idx="5">
                  <c:v>0.6380891522309724</c:v>
                </c:pt>
                <c:pt idx="6">
                  <c:v>0.62863561613692076</c:v>
                </c:pt>
                <c:pt idx="7">
                  <c:v>0.63111701873536297</c:v>
                </c:pt>
                <c:pt idx="8">
                  <c:v>0.62779845475113238</c:v>
                </c:pt>
                <c:pt idx="9">
                  <c:v>0.62774260975609764</c:v>
                </c:pt>
                <c:pt idx="10">
                  <c:v>0.62469850218340817</c:v>
                </c:pt>
                <c:pt idx="11">
                  <c:v>0.62227195248380329</c:v>
                </c:pt>
                <c:pt idx="12">
                  <c:v>0.61513199787234052</c:v>
                </c:pt>
                <c:pt idx="13">
                  <c:v>0.61242025000000078</c:v>
                </c:pt>
                <c:pt idx="14">
                  <c:v>0.61810890740740765</c:v>
                </c:pt>
                <c:pt idx="15">
                  <c:v>0.61214762955465662</c:v>
                </c:pt>
                <c:pt idx="16">
                  <c:v>0.61526290963855423</c:v>
                </c:pt>
                <c:pt idx="17">
                  <c:v>0.6163365119521913</c:v>
                </c:pt>
                <c:pt idx="18">
                  <c:v>0.62012017554240662</c:v>
                </c:pt>
                <c:pt idx="19">
                  <c:v>0.61647240980392159</c:v>
                </c:pt>
                <c:pt idx="20">
                  <c:v>0.61676596296296249</c:v>
                </c:pt>
                <c:pt idx="21">
                  <c:v>0.61392831528046465</c:v>
                </c:pt>
                <c:pt idx="22">
                  <c:v>0.60688516061185471</c:v>
                </c:pt>
                <c:pt idx="23">
                  <c:v>0.60763537977099269</c:v>
                </c:pt>
                <c:pt idx="24">
                  <c:v>0.60647797904761858</c:v>
                </c:pt>
                <c:pt idx="25">
                  <c:v>0.60647797904761858</c:v>
                </c:pt>
                <c:pt idx="26">
                  <c:v>0.60647797904761858</c:v>
                </c:pt>
                <c:pt idx="27">
                  <c:v>0.60647797904761858</c:v>
                </c:pt>
                <c:pt idx="28">
                  <c:v>0.60722611977186258</c:v>
                </c:pt>
                <c:pt idx="29">
                  <c:v>0.60722611977186258</c:v>
                </c:pt>
                <c:pt idx="30">
                  <c:v>0.60607388804554074</c:v>
                </c:pt>
                <c:pt idx="31">
                  <c:v>0.60492602083333369</c:v>
                </c:pt>
              </c:numCache>
            </c:numRef>
          </c:yVal>
          <c:smooth val="1"/>
        </c:ser>
        <c:ser>
          <c:idx val="2"/>
          <c:order val="2"/>
          <c:tx>
            <c:strRef>
              <c:f>GRAPH!$B$2</c:f>
              <c:strCache>
                <c:ptCount val="1"/>
                <c:pt idx="0">
                  <c:v>All</c:v>
                </c:pt>
              </c:strCache>
            </c:strRef>
          </c:tx>
          <c:marker>
            <c:symbol val="none"/>
          </c:marker>
          <c:xVal>
            <c:numRef>
              <c:f>GRAPH!$A$3:$A$98</c:f>
              <c:numCache>
                <c:formatCode>General</c:formatCode>
                <c:ptCount val="9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75</c:v>
                </c:pt>
                <c:pt idx="75">
                  <c:v>76</c:v>
                </c:pt>
                <c:pt idx="76">
                  <c:v>78</c:v>
                </c:pt>
                <c:pt idx="77">
                  <c:v>79</c:v>
                </c:pt>
                <c:pt idx="78">
                  <c:v>80</c:v>
                </c:pt>
                <c:pt idx="79">
                  <c:v>81</c:v>
                </c:pt>
                <c:pt idx="80">
                  <c:v>82</c:v>
                </c:pt>
                <c:pt idx="81">
                  <c:v>85</c:v>
                </c:pt>
                <c:pt idx="82">
                  <c:v>86</c:v>
                </c:pt>
                <c:pt idx="83">
                  <c:v>88</c:v>
                </c:pt>
                <c:pt idx="84">
                  <c:v>90</c:v>
                </c:pt>
                <c:pt idx="85">
                  <c:v>92</c:v>
                </c:pt>
                <c:pt idx="86">
                  <c:v>93</c:v>
                </c:pt>
                <c:pt idx="87">
                  <c:v>97</c:v>
                </c:pt>
                <c:pt idx="88">
                  <c:v>98</c:v>
                </c:pt>
                <c:pt idx="89">
                  <c:v>99</c:v>
                </c:pt>
                <c:pt idx="90">
                  <c:v>101</c:v>
                </c:pt>
                <c:pt idx="91">
                  <c:v>102</c:v>
                </c:pt>
                <c:pt idx="92">
                  <c:v>103</c:v>
                </c:pt>
                <c:pt idx="93">
                  <c:v>104</c:v>
                </c:pt>
                <c:pt idx="94">
                  <c:v>105</c:v>
                </c:pt>
                <c:pt idx="95">
                  <c:v>121</c:v>
                </c:pt>
              </c:numCache>
            </c:numRef>
          </c:xVal>
          <c:yVal>
            <c:numRef>
              <c:f>GRAPH!$B$3:$B$98</c:f>
              <c:numCache>
                <c:formatCode>General</c:formatCode>
                <c:ptCount val="96"/>
                <c:pt idx="0">
                  <c:v>0.71878940731399898</c:v>
                </c:pt>
                <c:pt idx="1">
                  <c:v>0.64446860559934771</c:v>
                </c:pt>
                <c:pt idx="2">
                  <c:v>0.60458697112497117</c:v>
                </c:pt>
                <c:pt idx="3">
                  <c:v>0.60520465651572208</c:v>
                </c:pt>
                <c:pt idx="4">
                  <c:v>0.58714021862348365</c:v>
                </c:pt>
                <c:pt idx="5">
                  <c:v>0.59146696282911637</c:v>
                </c:pt>
                <c:pt idx="6">
                  <c:v>0.58879033620003263</c:v>
                </c:pt>
                <c:pt idx="7">
                  <c:v>0.59070731840120649</c:v>
                </c:pt>
                <c:pt idx="8">
                  <c:v>0.58839448465900879</c:v>
                </c:pt>
                <c:pt idx="9">
                  <c:v>0.59170158526583749</c:v>
                </c:pt>
                <c:pt idx="10">
                  <c:v>0.58725028563551152</c:v>
                </c:pt>
                <c:pt idx="11">
                  <c:v>0.57536764290508802</c:v>
                </c:pt>
                <c:pt idx="12">
                  <c:v>0.57289606856471265</c:v>
                </c:pt>
                <c:pt idx="13">
                  <c:v>0.56828530226986163</c:v>
                </c:pt>
                <c:pt idx="14">
                  <c:v>0.57420147901538465</c:v>
                </c:pt>
                <c:pt idx="15">
                  <c:v>0.5654960191416003</c:v>
                </c:pt>
                <c:pt idx="16">
                  <c:v>0.56495607913083901</c:v>
                </c:pt>
                <c:pt idx="17">
                  <c:v>0.56666824535017324</c:v>
                </c:pt>
                <c:pt idx="18">
                  <c:v>0.5687576157210138</c:v>
                </c:pt>
                <c:pt idx="19">
                  <c:v>0.56301258929958942</c:v>
                </c:pt>
                <c:pt idx="20">
                  <c:v>0.55944041994952265</c:v>
                </c:pt>
                <c:pt idx="21">
                  <c:v>0.55367143672456742</c:v>
                </c:pt>
                <c:pt idx="22">
                  <c:v>0.54700649435475368</c:v>
                </c:pt>
                <c:pt idx="23">
                  <c:v>0.54923572214137262</c:v>
                </c:pt>
                <c:pt idx="24">
                  <c:v>0.54047132231996731</c:v>
                </c:pt>
                <c:pt idx="25">
                  <c:v>0.54212986066572033</c:v>
                </c:pt>
                <c:pt idx="26">
                  <c:v>0.54273424854388574</c:v>
                </c:pt>
                <c:pt idx="27">
                  <c:v>0.54245711333931967</c:v>
                </c:pt>
                <c:pt idx="28">
                  <c:v>0.54176435736150963</c:v>
                </c:pt>
                <c:pt idx="29">
                  <c:v>0.54388111103508963</c:v>
                </c:pt>
                <c:pt idx="30">
                  <c:v>0.54404304298076933</c:v>
                </c:pt>
                <c:pt idx="31">
                  <c:v>0.5398941019611575</c:v>
                </c:pt>
                <c:pt idx="32">
                  <c:v>0.53969757929139861</c:v>
                </c:pt>
                <c:pt idx="33">
                  <c:v>0.54154712910754221</c:v>
                </c:pt>
                <c:pt idx="34">
                  <c:v>0.53905016113263138</c:v>
                </c:pt>
                <c:pt idx="35">
                  <c:v>0.5388174426515091</c:v>
                </c:pt>
                <c:pt idx="36">
                  <c:v>0.5420921116977695</c:v>
                </c:pt>
                <c:pt idx="37">
                  <c:v>0.54081208309871953</c:v>
                </c:pt>
                <c:pt idx="38">
                  <c:v>0.53637919717168092</c:v>
                </c:pt>
                <c:pt idx="39">
                  <c:v>0.53961376091234248</c:v>
                </c:pt>
                <c:pt idx="40">
                  <c:v>0.53747736638045507</c:v>
                </c:pt>
                <c:pt idx="41">
                  <c:v>0.53730564877962828</c:v>
                </c:pt>
                <c:pt idx="42">
                  <c:v>0.5399937246136387</c:v>
                </c:pt>
                <c:pt idx="43">
                  <c:v>0.54207284902216357</c:v>
                </c:pt>
                <c:pt idx="44">
                  <c:v>0.53789077249677852</c:v>
                </c:pt>
                <c:pt idx="45">
                  <c:v>0.53371645386321009</c:v>
                </c:pt>
                <c:pt idx="46">
                  <c:v>0.53430340108677199</c:v>
                </c:pt>
                <c:pt idx="47">
                  <c:v>0.53312652134869543</c:v>
                </c:pt>
                <c:pt idx="48">
                  <c:v>0.532981229588395</c:v>
                </c:pt>
                <c:pt idx="49">
                  <c:v>0.53414370585284199</c:v>
                </c:pt>
                <c:pt idx="50">
                  <c:v>0.5318313954378957</c:v>
                </c:pt>
                <c:pt idx="51">
                  <c:v>0.53033892629926449</c:v>
                </c:pt>
                <c:pt idx="52">
                  <c:v>0.53011251640150903</c:v>
                </c:pt>
                <c:pt idx="53">
                  <c:v>0.5321077923403561</c:v>
                </c:pt>
                <c:pt idx="54">
                  <c:v>0.53197203000487991</c:v>
                </c:pt>
                <c:pt idx="55">
                  <c:v>0.52917512132977462</c:v>
                </c:pt>
                <c:pt idx="56">
                  <c:v>0.53105675378211759</c:v>
                </c:pt>
                <c:pt idx="57">
                  <c:v>0.53348399625736498</c:v>
                </c:pt>
                <c:pt idx="58">
                  <c:v>0.53492831825037801</c:v>
                </c:pt>
                <c:pt idx="59">
                  <c:v>0.53467780777112262</c:v>
                </c:pt>
                <c:pt idx="60">
                  <c:v>0.53358439712128358</c:v>
                </c:pt>
                <c:pt idx="61">
                  <c:v>0.53439583372420263</c:v>
                </c:pt>
                <c:pt idx="62">
                  <c:v>0.53331186651583762</c:v>
                </c:pt>
                <c:pt idx="63">
                  <c:v>0.5316941358792876</c:v>
                </c:pt>
                <c:pt idx="64">
                  <c:v>0.53109425441997626</c:v>
                </c:pt>
                <c:pt idx="65">
                  <c:v>0.53002565431047977</c:v>
                </c:pt>
                <c:pt idx="66">
                  <c:v>0.5314398198441479</c:v>
                </c:pt>
                <c:pt idx="67">
                  <c:v>0.53045126285889765</c:v>
                </c:pt>
                <c:pt idx="68">
                  <c:v>0.52992239819004527</c:v>
                </c:pt>
                <c:pt idx="69">
                  <c:v>0.530857876004594</c:v>
                </c:pt>
                <c:pt idx="70">
                  <c:v>0.5327177060303423</c:v>
                </c:pt>
                <c:pt idx="71">
                  <c:v>0.53166386289279466</c:v>
                </c:pt>
                <c:pt idx="72">
                  <c:v>0.53061418103120861</c:v>
                </c:pt>
                <c:pt idx="73">
                  <c:v>0.53043392088774666</c:v>
                </c:pt>
                <c:pt idx="74">
                  <c:v>0.5327267240084137</c:v>
                </c:pt>
                <c:pt idx="75">
                  <c:v>0.53117056025765763</c:v>
                </c:pt>
                <c:pt idx="76">
                  <c:v>0.53065385737803172</c:v>
                </c:pt>
                <c:pt idx="77">
                  <c:v>0.52962346153846163</c:v>
                </c:pt>
                <c:pt idx="78">
                  <c:v>0.53007969484443784</c:v>
                </c:pt>
                <c:pt idx="79">
                  <c:v>0.52905340308288062</c:v>
                </c:pt>
                <c:pt idx="80">
                  <c:v>0.52945190674190656</c:v>
                </c:pt>
                <c:pt idx="81">
                  <c:v>0.52894134559750761</c:v>
                </c:pt>
                <c:pt idx="82">
                  <c:v>0.52843176819327109</c:v>
                </c:pt>
                <c:pt idx="83">
                  <c:v>0.5274155532544379</c:v>
                </c:pt>
                <c:pt idx="84">
                  <c:v>0.52690891007167662</c:v>
                </c:pt>
                <c:pt idx="85">
                  <c:v>0.52640323933264355</c:v>
                </c:pt>
                <c:pt idx="86">
                  <c:v>0.52589853824028365</c:v>
                </c:pt>
                <c:pt idx="87">
                  <c:v>0.52539480400825223</c:v>
                </c:pt>
                <c:pt idx="88">
                  <c:v>0.52584897165991962</c:v>
                </c:pt>
                <c:pt idx="89">
                  <c:v>0.52534624797764284</c:v>
                </c:pt>
                <c:pt idx="90">
                  <c:v>0.52484448460803845</c:v>
                </c:pt>
                <c:pt idx="91">
                  <c:v>0.52434367880211386</c:v>
                </c:pt>
                <c:pt idx="92">
                  <c:v>0.52615225797016651</c:v>
                </c:pt>
                <c:pt idx="93">
                  <c:v>0.52565258820951133</c:v>
                </c:pt>
                <c:pt idx="94">
                  <c:v>0.52610263319223449</c:v>
                </c:pt>
                <c:pt idx="95">
                  <c:v>0.52655182500911413</c:v>
                </c:pt>
              </c:numCache>
            </c:numRef>
          </c:yVal>
          <c:smooth val="1"/>
        </c:ser>
        <c:axId val="87337600"/>
        <c:axId val="87348352"/>
      </c:scatterChart>
      <c:valAx>
        <c:axId val="87337600"/>
        <c:scaling>
          <c:orientation val="minMax"/>
          <c:max val="70"/>
        </c:scaling>
        <c:axPos val="b"/>
        <c:majorGridlines/>
        <c:title>
          <c:tx>
            <c:rich>
              <a:bodyPr/>
              <a:lstStyle/>
              <a:p>
                <a:pPr>
                  <a:defRPr/>
                </a:pPr>
                <a:r>
                  <a:rPr lang="en-US"/>
                  <a:t>Number</a:t>
                </a:r>
                <a:r>
                  <a:rPr lang="en-US" baseline="0"/>
                  <a:t> of Calls</a:t>
                </a:r>
                <a:endParaRPr lang="en-US"/>
              </a:p>
            </c:rich>
          </c:tx>
          <c:layout/>
        </c:title>
        <c:numFmt formatCode="General" sourceLinked="1"/>
        <c:tickLblPos val="nextTo"/>
        <c:crossAx val="87348352"/>
        <c:crosses val="autoZero"/>
        <c:crossBetween val="midCat"/>
        <c:majorUnit val="10"/>
      </c:valAx>
      <c:valAx>
        <c:axId val="87348352"/>
        <c:scaling>
          <c:orientation val="minMax"/>
          <c:min val="0.1"/>
        </c:scaling>
        <c:axPos val="l"/>
        <c:majorGridlines/>
        <c:title>
          <c:tx>
            <c:rich>
              <a:bodyPr rot="0" vert="horz"/>
              <a:lstStyle/>
              <a:p>
                <a:pPr>
                  <a:defRPr/>
                </a:pPr>
                <a:r>
                  <a:rPr lang="en-US"/>
                  <a:t>Cumulative estimate of students who took the SAT in high school</a:t>
                </a:r>
              </a:p>
            </c:rich>
          </c:tx>
          <c:layout/>
        </c:title>
        <c:numFmt formatCode="General" sourceLinked="1"/>
        <c:tickLblPos val="nextTo"/>
        <c:crossAx val="87337600"/>
        <c:crosses val="autoZero"/>
        <c:crossBetween val="midCat"/>
        <c:majorUnit val="5.0000000000000044E-2"/>
      </c:valAx>
    </c:plotArea>
    <c:legend>
      <c:legendPos val="r"/>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scatterChart>
        <c:scatterStyle val="smoothMarker"/>
        <c:ser>
          <c:idx val="0"/>
          <c:order val="0"/>
          <c:tx>
            <c:strRef>
              <c:f>GRAPH!$C$2</c:f>
              <c:strCache>
                <c:ptCount val="1"/>
                <c:pt idx="0">
                  <c:v>Low Propensity</c:v>
                </c:pt>
              </c:strCache>
            </c:strRef>
          </c:tx>
          <c:marker>
            <c:symbol val="none"/>
          </c:marker>
          <c:xVal>
            <c:numRef>
              <c:f>GRAPH!$A$3:$A$98</c:f>
              <c:numCache>
                <c:formatCode>General</c:formatCode>
                <c:ptCount val="9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75</c:v>
                </c:pt>
                <c:pt idx="75">
                  <c:v>76</c:v>
                </c:pt>
                <c:pt idx="76">
                  <c:v>78</c:v>
                </c:pt>
                <c:pt idx="77">
                  <c:v>79</c:v>
                </c:pt>
                <c:pt idx="78">
                  <c:v>80</c:v>
                </c:pt>
                <c:pt idx="79">
                  <c:v>81</c:v>
                </c:pt>
                <c:pt idx="80">
                  <c:v>82</c:v>
                </c:pt>
                <c:pt idx="81">
                  <c:v>85</c:v>
                </c:pt>
                <c:pt idx="82">
                  <c:v>86</c:v>
                </c:pt>
                <c:pt idx="83">
                  <c:v>88</c:v>
                </c:pt>
                <c:pt idx="84">
                  <c:v>90</c:v>
                </c:pt>
                <c:pt idx="85">
                  <c:v>92</c:v>
                </c:pt>
                <c:pt idx="86">
                  <c:v>93</c:v>
                </c:pt>
                <c:pt idx="87">
                  <c:v>97</c:v>
                </c:pt>
                <c:pt idx="88">
                  <c:v>98</c:v>
                </c:pt>
                <c:pt idx="89">
                  <c:v>99</c:v>
                </c:pt>
                <c:pt idx="90">
                  <c:v>101</c:v>
                </c:pt>
                <c:pt idx="91">
                  <c:v>102</c:v>
                </c:pt>
                <c:pt idx="92">
                  <c:v>103</c:v>
                </c:pt>
                <c:pt idx="93">
                  <c:v>104</c:v>
                </c:pt>
                <c:pt idx="94">
                  <c:v>105</c:v>
                </c:pt>
                <c:pt idx="95">
                  <c:v>121</c:v>
                </c:pt>
              </c:numCache>
            </c:numRef>
          </c:xVal>
          <c:yVal>
            <c:numRef>
              <c:f>GRAPH!$C$3:$C$98</c:f>
              <c:numCache>
                <c:formatCode>General</c:formatCode>
                <c:ptCount val="96"/>
                <c:pt idx="0">
                  <c:v>0.46153846153846317</c:v>
                </c:pt>
                <c:pt idx="1">
                  <c:v>0.32107023411371238</c:v>
                </c:pt>
                <c:pt idx="2">
                  <c:v>0.21719457013574661</c:v>
                </c:pt>
                <c:pt idx="3">
                  <c:v>0.31078224222586187</c:v>
                </c:pt>
                <c:pt idx="4">
                  <c:v>0.26083509615384631</c:v>
                </c:pt>
                <c:pt idx="5">
                  <c:v>0.3223297785547819</c:v>
                </c:pt>
                <c:pt idx="6">
                  <c:v>0.36856439708939936</c:v>
                </c:pt>
                <c:pt idx="7">
                  <c:v>0.38281645041705498</c:v>
                </c:pt>
                <c:pt idx="8">
                  <c:v>0.38820419982316701</c:v>
                </c:pt>
                <c:pt idx="9">
                  <c:v>0.41692199338296543</c:v>
                </c:pt>
                <c:pt idx="10">
                  <c:v>0.41573745384615379</c:v>
                </c:pt>
                <c:pt idx="11">
                  <c:v>0.37794313986013989</c:v>
                </c:pt>
                <c:pt idx="12">
                  <c:v>0.40608189398836675</c:v>
                </c:pt>
                <c:pt idx="13">
                  <c:v>0.41150742824339825</c:v>
                </c:pt>
                <c:pt idx="14">
                  <c:v>0.4206834200332043</c:v>
                </c:pt>
                <c:pt idx="15">
                  <c:v>0.41486925087984111</c:v>
                </c:pt>
                <c:pt idx="16">
                  <c:v>0.4121950938086304</c:v>
                </c:pt>
                <c:pt idx="17">
                  <c:v>0.41825473443223427</c:v>
                </c:pt>
                <c:pt idx="18">
                  <c:v>0.42327818650623117</c:v>
                </c:pt>
                <c:pt idx="19">
                  <c:v>0.41402620428751757</c:v>
                </c:pt>
                <c:pt idx="20">
                  <c:v>0.40301486906710565</c:v>
                </c:pt>
                <c:pt idx="21">
                  <c:v>0.39472854788069389</c:v>
                </c:pt>
                <c:pt idx="22">
                  <c:v>0.39498444361464158</c:v>
                </c:pt>
                <c:pt idx="23">
                  <c:v>0.40756247863248046</c:v>
                </c:pt>
                <c:pt idx="24">
                  <c:v>0.38781275499830786</c:v>
                </c:pt>
                <c:pt idx="25">
                  <c:v>0.39713946517002496</c:v>
                </c:pt>
                <c:pt idx="26">
                  <c:v>0.40387342483242938</c:v>
                </c:pt>
                <c:pt idx="27">
                  <c:v>0.40582721701063323</c:v>
                </c:pt>
                <c:pt idx="28">
                  <c:v>0.40566598966251138</c:v>
                </c:pt>
                <c:pt idx="29">
                  <c:v>0.41622028882994655</c:v>
                </c:pt>
                <c:pt idx="30">
                  <c:v>0.42429851789236545</c:v>
                </c:pt>
                <c:pt idx="31">
                  <c:v>0.41726248351648348</c:v>
                </c:pt>
                <c:pt idx="32">
                  <c:v>0.41842780065005636</c:v>
                </c:pt>
                <c:pt idx="33">
                  <c:v>0.42849288981289302</c:v>
                </c:pt>
                <c:pt idx="34">
                  <c:v>0.42538201106083773</c:v>
                </c:pt>
                <c:pt idx="35">
                  <c:v>0.42658165718526053</c:v>
                </c:pt>
                <c:pt idx="36">
                  <c:v>0.43743500121329781</c:v>
                </c:pt>
                <c:pt idx="37">
                  <c:v>0.43469246202073786</c:v>
                </c:pt>
                <c:pt idx="38">
                  <c:v>0.42535857479943689</c:v>
                </c:pt>
                <c:pt idx="39">
                  <c:v>0.4357436607970343</c:v>
                </c:pt>
                <c:pt idx="40">
                  <c:v>0.43304074013083688</c:v>
                </c:pt>
                <c:pt idx="41">
                  <c:v>0.43381707937570002</c:v>
                </c:pt>
                <c:pt idx="42">
                  <c:v>0.44287119655698426</c:v>
                </c:pt>
                <c:pt idx="43">
                  <c:v>0.44911353609135929</c:v>
                </c:pt>
                <c:pt idx="44">
                  <c:v>0.44144769042129473</c:v>
                </c:pt>
                <c:pt idx="45">
                  <c:v>0.43318530049362408</c:v>
                </c:pt>
                <c:pt idx="46">
                  <c:v>0.43565593223443372</c:v>
                </c:pt>
                <c:pt idx="47">
                  <c:v>0.43336300627530511</c:v>
                </c:pt>
                <c:pt idx="48">
                  <c:v>0.43405714162660258</c:v>
                </c:pt>
                <c:pt idx="49">
                  <c:v>0.43880426118524768</c:v>
                </c:pt>
                <c:pt idx="50">
                  <c:v>0.43437189491064926</c:v>
                </c:pt>
                <c:pt idx="51">
                  <c:v>0.43261687688490497</c:v>
                </c:pt>
                <c:pt idx="52">
                  <c:v>0.43376732045028127</c:v>
                </c:pt>
                <c:pt idx="53">
                  <c:v>0.43923816759569095</c:v>
                </c:pt>
                <c:pt idx="54">
                  <c:v>0.43981962053735901</c:v>
                </c:pt>
                <c:pt idx="55">
                  <c:v>0.4346208070558315</c:v>
                </c:pt>
                <c:pt idx="56">
                  <c:v>0.44098060365962288</c:v>
                </c:pt>
                <c:pt idx="57">
                  <c:v>0.4473621036178469</c:v>
                </c:pt>
                <c:pt idx="58">
                  <c:v>0.45112154508983082</c:v>
                </c:pt>
                <c:pt idx="59">
                  <c:v>0.4518852709478054</c:v>
                </c:pt>
                <c:pt idx="60">
                  <c:v>0.44987689196581643</c:v>
                </c:pt>
                <c:pt idx="61">
                  <c:v>0.45272930128205308</c:v>
                </c:pt>
                <c:pt idx="62">
                  <c:v>0.45075231743365796</c:v>
                </c:pt>
                <c:pt idx="63">
                  <c:v>0.44781900517270345</c:v>
                </c:pt>
                <c:pt idx="64">
                  <c:v>0.44707879608753398</c:v>
                </c:pt>
                <c:pt idx="65">
                  <c:v>0.445160002971278</c:v>
                </c:pt>
                <c:pt idx="66">
                  <c:v>0.44870908610792176</c:v>
                </c:pt>
                <c:pt idx="67">
                  <c:v>0.44749203878610716</c:v>
                </c:pt>
                <c:pt idx="68">
                  <c:v>0.44654995028340111</c:v>
                </c:pt>
                <c:pt idx="69">
                  <c:v>0.4488704955652334</c:v>
                </c:pt>
                <c:pt idx="70">
                  <c:v>0.45345369310730882</c:v>
                </c:pt>
                <c:pt idx="71">
                  <c:v>0.45157603806338575</c:v>
                </c:pt>
                <c:pt idx="72">
                  <c:v>0.44971386883426051</c:v>
                </c:pt>
                <c:pt idx="73">
                  <c:v>0.45032836330879189</c:v>
                </c:pt>
                <c:pt idx="74">
                  <c:v>0.45586940803349868</c:v>
                </c:pt>
                <c:pt idx="75">
                  <c:v>0.45312871018961254</c:v>
                </c:pt>
                <c:pt idx="76">
                  <c:v>0.45222245276923068</c:v>
                </c:pt>
                <c:pt idx="77">
                  <c:v>0.45042076969047207</c:v>
                </c:pt>
                <c:pt idx="78">
                  <c:v>0.45151337253402651</c:v>
                </c:pt>
                <c:pt idx="79">
                  <c:v>0.44972520076161476</c:v>
                </c:pt>
                <c:pt idx="80">
                  <c:v>0.45100637083585954</c:v>
                </c:pt>
                <c:pt idx="81">
                  <c:v>0.45012030723892998</c:v>
                </c:pt>
                <c:pt idx="82">
                  <c:v>0.44923771840120474</c:v>
                </c:pt>
                <c:pt idx="83">
                  <c:v>0.44748288356370425</c:v>
                </c:pt>
                <c:pt idx="84">
                  <c:v>0.44661059724096785</c:v>
                </c:pt>
                <c:pt idx="85">
                  <c:v>0.44574170502843424</c:v>
                </c:pt>
                <c:pt idx="86">
                  <c:v>0.44487618715459587</c:v>
                </c:pt>
                <c:pt idx="87">
                  <c:v>0.4440140240011915</c:v>
                </c:pt>
                <c:pt idx="88">
                  <c:v>0.44508943207856005</c:v>
                </c:pt>
                <c:pt idx="89">
                  <c:v>0.44423018607068593</c:v>
                </c:pt>
                <c:pt idx="90">
                  <c:v>0.44337425122276797</c:v>
                </c:pt>
                <c:pt idx="91">
                  <c:v>0.44252160843195276</c:v>
                </c:pt>
                <c:pt idx="92">
                  <c:v>0.44677716867293027</c:v>
                </c:pt>
                <c:pt idx="93">
                  <c:v>0.44592616454212508</c:v>
                </c:pt>
                <c:pt idx="94">
                  <c:v>0.44697953685288272</c:v>
                </c:pt>
                <c:pt idx="95">
                  <c:v>0.44802891154576197</c:v>
                </c:pt>
              </c:numCache>
            </c:numRef>
          </c:yVal>
          <c:smooth val="1"/>
        </c:ser>
        <c:ser>
          <c:idx val="1"/>
          <c:order val="1"/>
          <c:tx>
            <c:strRef>
              <c:f>GRAPH!$D$2</c:f>
              <c:strCache>
                <c:ptCount val="1"/>
                <c:pt idx="0">
                  <c:v>High Propensity</c:v>
                </c:pt>
              </c:strCache>
            </c:strRef>
          </c:tx>
          <c:marker>
            <c:symbol val="none"/>
          </c:marker>
          <c:xVal>
            <c:numRef>
              <c:f>GRAPH!$A$3:$A$98</c:f>
              <c:numCache>
                <c:formatCode>General</c:formatCode>
                <c:ptCount val="9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75</c:v>
                </c:pt>
                <c:pt idx="75">
                  <c:v>76</c:v>
                </c:pt>
                <c:pt idx="76">
                  <c:v>78</c:v>
                </c:pt>
                <c:pt idx="77">
                  <c:v>79</c:v>
                </c:pt>
                <c:pt idx="78">
                  <c:v>80</c:v>
                </c:pt>
                <c:pt idx="79">
                  <c:v>81</c:v>
                </c:pt>
                <c:pt idx="80">
                  <c:v>82</c:v>
                </c:pt>
                <c:pt idx="81">
                  <c:v>85</c:v>
                </c:pt>
                <c:pt idx="82">
                  <c:v>86</c:v>
                </c:pt>
                <c:pt idx="83">
                  <c:v>88</c:v>
                </c:pt>
                <c:pt idx="84">
                  <c:v>90</c:v>
                </c:pt>
                <c:pt idx="85">
                  <c:v>92</c:v>
                </c:pt>
                <c:pt idx="86">
                  <c:v>93</c:v>
                </c:pt>
                <c:pt idx="87">
                  <c:v>97</c:v>
                </c:pt>
                <c:pt idx="88">
                  <c:v>98</c:v>
                </c:pt>
                <c:pt idx="89">
                  <c:v>99</c:v>
                </c:pt>
                <c:pt idx="90">
                  <c:v>101</c:v>
                </c:pt>
                <c:pt idx="91">
                  <c:v>102</c:v>
                </c:pt>
                <c:pt idx="92">
                  <c:v>103</c:v>
                </c:pt>
                <c:pt idx="93">
                  <c:v>104</c:v>
                </c:pt>
                <c:pt idx="94">
                  <c:v>105</c:v>
                </c:pt>
                <c:pt idx="95">
                  <c:v>121</c:v>
                </c:pt>
              </c:numCache>
            </c:numRef>
          </c:xVal>
          <c:yVal>
            <c:numRef>
              <c:f>GRAPH!$D$3:$D$98</c:f>
              <c:numCache>
                <c:formatCode>General</c:formatCode>
                <c:ptCount val="96"/>
                <c:pt idx="0">
                  <c:v>0.73684210526315785</c:v>
                </c:pt>
                <c:pt idx="1">
                  <c:v>0.67307692307692313</c:v>
                </c:pt>
                <c:pt idx="2">
                  <c:v>0.64863828093645481</c:v>
                </c:pt>
                <c:pt idx="3">
                  <c:v>0.64566621637427446</c:v>
                </c:pt>
                <c:pt idx="4">
                  <c:v>0.6376183591160226</c:v>
                </c:pt>
                <c:pt idx="5">
                  <c:v>0.63808915223097551</c:v>
                </c:pt>
                <c:pt idx="6">
                  <c:v>0.62863561613692465</c:v>
                </c:pt>
                <c:pt idx="7">
                  <c:v>0.63111701873536297</c:v>
                </c:pt>
                <c:pt idx="8">
                  <c:v>0.62779845475113505</c:v>
                </c:pt>
                <c:pt idx="9">
                  <c:v>0.62774260975609764</c:v>
                </c:pt>
                <c:pt idx="10">
                  <c:v>0.62469850218341305</c:v>
                </c:pt>
                <c:pt idx="11">
                  <c:v>0.62227195248380873</c:v>
                </c:pt>
                <c:pt idx="12">
                  <c:v>0.61513199787234052</c:v>
                </c:pt>
                <c:pt idx="13">
                  <c:v>0.61242025000000289</c:v>
                </c:pt>
                <c:pt idx="14">
                  <c:v>0.61810890740740765</c:v>
                </c:pt>
                <c:pt idx="15">
                  <c:v>0.61214762955465662</c:v>
                </c:pt>
                <c:pt idx="16">
                  <c:v>0.61526290963855423</c:v>
                </c:pt>
                <c:pt idx="17">
                  <c:v>0.6163365119521913</c:v>
                </c:pt>
                <c:pt idx="18">
                  <c:v>0.62012017554240662</c:v>
                </c:pt>
                <c:pt idx="19">
                  <c:v>0.61647240980392159</c:v>
                </c:pt>
                <c:pt idx="20">
                  <c:v>0.61676596296296249</c:v>
                </c:pt>
                <c:pt idx="21">
                  <c:v>0.61392831528046465</c:v>
                </c:pt>
                <c:pt idx="22">
                  <c:v>0.60688516061185471</c:v>
                </c:pt>
                <c:pt idx="23">
                  <c:v>0.60763537977099269</c:v>
                </c:pt>
                <c:pt idx="24">
                  <c:v>0.60647797904761858</c:v>
                </c:pt>
                <c:pt idx="25">
                  <c:v>0.60647797904761858</c:v>
                </c:pt>
                <c:pt idx="26">
                  <c:v>0.60647797904761858</c:v>
                </c:pt>
                <c:pt idx="27">
                  <c:v>0.60647797904761858</c:v>
                </c:pt>
                <c:pt idx="28">
                  <c:v>0.60722611977186258</c:v>
                </c:pt>
                <c:pt idx="29">
                  <c:v>0.60722611977186258</c:v>
                </c:pt>
                <c:pt idx="30">
                  <c:v>0.60607388804554074</c:v>
                </c:pt>
                <c:pt idx="31">
                  <c:v>0.60492602083333369</c:v>
                </c:pt>
              </c:numCache>
            </c:numRef>
          </c:yVal>
          <c:smooth val="1"/>
        </c:ser>
        <c:ser>
          <c:idx val="2"/>
          <c:order val="2"/>
          <c:tx>
            <c:strRef>
              <c:f>GRAPH!$B$2</c:f>
              <c:strCache>
                <c:ptCount val="1"/>
                <c:pt idx="0">
                  <c:v>All</c:v>
                </c:pt>
              </c:strCache>
            </c:strRef>
          </c:tx>
          <c:marker>
            <c:symbol val="none"/>
          </c:marker>
          <c:xVal>
            <c:numRef>
              <c:f>GRAPH!$A$3:$A$98</c:f>
              <c:numCache>
                <c:formatCode>General</c:formatCode>
                <c:ptCount val="9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75</c:v>
                </c:pt>
                <c:pt idx="75">
                  <c:v>76</c:v>
                </c:pt>
                <c:pt idx="76">
                  <c:v>78</c:v>
                </c:pt>
                <c:pt idx="77">
                  <c:v>79</c:v>
                </c:pt>
                <c:pt idx="78">
                  <c:v>80</c:v>
                </c:pt>
                <c:pt idx="79">
                  <c:v>81</c:v>
                </c:pt>
                <c:pt idx="80">
                  <c:v>82</c:v>
                </c:pt>
                <c:pt idx="81">
                  <c:v>85</c:v>
                </c:pt>
                <c:pt idx="82">
                  <c:v>86</c:v>
                </c:pt>
                <c:pt idx="83">
                  <c:v>88</c:v>
                </c:pt>
                <c:pt idx="84">
                  <c:v>90</c:v>
                </c:pt>
                <c:pt idx="85">
                  <c:v>92</c:v>
                </c:pt>
                <c:pt idx="86">
                  <c:v>93</c:v>
                </c:pt>
                <c:pt idx="87">
                  <c:v>97</c:v>
                </c:pt>
                <c:pt idx="88">
                  <c:v>98</c:v>
                </c:pt>
                <c:pt idx="89">
                  <c:v>99</c:v>
                </c:pt>
                <c:pt idx="90">
                  <c:v>101</c:v>
                </c:pt>
                <c:pt idx="91">
                  <c:v>102</c:v>
                </c:pt>
                <c:pt idx="92">
                  <c:v>103</c:v>
                </c:pt>
                <c:pt idx="93">
                  <c:v>104</c:v>
                </c:pt>
                <c:pt idx="94">
                  <c:v>105</c:v>
                </c:pt>
                <c:pt idx="95">
                  <c:v>121</c:v>
                </c:pt>
              </c:numCache>
            </c:numRef>
          </c:xVal>
          <c:yVal>
            <c:numRef>
              <c:f>GRAPH!$B$3:$B$98</c:f>
              <c:numCache>
                <c:formatCode>General</c:formatCode>
                <c:ptCount val="96"/>
                <c:pt idx="0">
                  <c:v>0.71878940731400276</c:v>
                </c:pt>
                <c:pt idx="1">
                  <c:v>0.64446860559934771</c:v>
                </c:pt>
                <c:pt idx="2">
                  <c:v>0.60458697112497117</c:v>
                </c:pt>
                <c:pt idx="3">
                  <c:v>0.60520465651572586</c:v>
                </c:pt>
                <c:pt idx="4">
                  <c:v>0.58714021862348775</c:v>
                </c:pt>
                <c:pt idx="5">
                  <c:v>0.59146696282911371</c:v>
                </c:pt>
                <c:pt idx="6">
                  <c:v>0.58879033620003363</c:v>
                </c:pt>
                <c:pt idx="7">
                  <c:v>0.59070731840120649</c:v>
                </c:pt>
                <c:pt idx="8">
                  <c:v>0.58839448465900923</c:v>
                </c:pt>
                <c:pt idx="9">
                  <c:v>0.59170158526583749</c:v>
                </c:pt>
                <c:pt idx="10">
                  <c:v>0.58725028563551152</c:v>
                </c:pt>
                <c:pt idx="11">
                  <c:v>0.57536764290508802</c:v>
                </c:pt>
                <c:pt idx="12">
                  <c:v>0.57289606856471265</c:v>
                </c:pt>
                <c:pt idx="13">
                  <c:v>0.56828530226986163</c:v>
                </c:pt>
                <c:pt idx="14">
                  <c:v>0.57420147901538465</c:v>
                </c:pt>
                <c:pt idx="15">
                  <c:v>0.5654960191416003</c:v>
                </c:pt>
                <c:pt idx="16">
                  <c:v>0.56495607913083901</c:v>
                </c:pt>
                <c:pt idx="17">
                  <c:v>0.56666824535017568</c:v>
                </c:pt>
                <c:pt idx="18">
                  <c:v>0.5687576157210138</c:v>
                </c:pt>
                <c:pt idx="19">
                  <c:v>0.56301258929958942</c:v>
                </c:pt>
                <c:pt idx="20">
                  <c:v>0.55944041994952265</c:v>
                </c:pt>
                <c:pt idx="21">
                  <c:v>0.55367143672457164</c:v>
                </c:pt>
                <c:pt idx="22">
                  <c:v>0.54700649435475368</c:v>
                </c:pt>
                <c:pt idx="23">
                  <c:v>0.54923572214137262</c:v>
                </c:pt>
                <c:pt idx="24">
                  <c:v>0.54047132231996731</c:v>
                </c:pt>
                <c:pt idx="25">
                  <c:v>0.54212986066572244</c:v>
                </c:pt>
                <c:pt idx="26">
                  <c:v>0.54273424854388896</c:v>
                </c:pt>
                <c:pt idx="27">
                  <c:v>0.54245711333931967</c:v>
                </c:pt>
                <c:pt idx="28">
                  <c:v>0.54176435736150963</c:v>
                </c:pt>
                <c:pt idx="29">
                  <c:v>0.54388111103508963</c:v>
                </c:pt>
                <c:pt idx="30">
                  <c:v>0.54404304298076933</c:v>
                </c:pt>
                <c:pt idx="31">
                  <c:v>0.5398941019611575</c:v>
                </c:pt>
                <c:pt idx="32">
                  <c:v>0.53969757929139861</c:v>
                </c:pt>
                <c:pt idx="33">
                  <c:v>0.5415471291075401</c:v>
                </c:pt>
                <c:pt idx="34">
                  <c:v>0.53905016113262827</c:v>
                </c:pt>
                <c:pt idx="35">
                  <c:v>0.53881744265151121</c:v>
                </c:pt>
                <c:pt idx="36">
                  <c:v>0.5420921116977695</c:v>
                </c:pt>
                <c:pt idx="37">
                  <c:v>0.54081208309871953</c:v>
                </c:pt>
                <c:pt idx="38">
                  <c:v>0.53637919717168092</c:v>
                </c:pt>
                <c:pt idx="39">
                  <c:v>0.53961376091233937</c:v>
                </c:pt>
                <c:pt idx="40">
                  <c:v>0.53747736638045507</c:v>
                </c:pt>
                <c:pt idx="41">
                  <c:v>0.53730564877962828</c:v>
                </c:pt>
                <c:pt idx="42">
                  <c:v>0.5399937246136387</c:v>
                </c:pt>
                <c:pt idx="43">
                  <c:v>0.54207284902216357</c:v>
                </c:pt>
                <c:pt idx="44">
                  <c:v>0.53789077249678219</c:v>
                </c:pt>
                <c:pt idx="45">
                  <c:v>0.53371645386321009</c:v>
                </c:pt>
                <c:pt idx="46">
                  <c:v>0.53430340108677199</c:v>
                </c:pt>
                <c:pt idx="47">
                  <c:v>0.53312652134869543</c:v>
                </c:pt>
                <c:pt idx="48">
                  <c:v>0.53298122958839722</c:v>
                </c:pt>
                <c:pt idx="49">
                  <c:v>0.53414370585283977</c:v>
                </c:pt>
                <c:pt idx="50">
                  <c:v>0.5318313954378957</c:v>
                </c:pt>
                <c:pt idx="51">
                  <c:v>0.53033892629926449</c:v>
                </c:pt>
                <c:pt idx="52">
                  <c:v>0.53011251640150903</c:v>
                </c:pt>
                <c:pt idx="53">
                  <c:v>0.5321077923403561</c:v>
                </c:pt>
                <c:pt idx="54">
                  <c:v>0.53197203000488258</c:v>
                </c:pt>
                <c:pt idx="55">
                  <c:v>0.52917512132977462</c:v>
                </c:pt>
                <c:pt idx="56">
                  <c:v>0.53105675378211759</c:v>
                </c:pt>
                <c:pt idx="57">
                  <c:v>0.53348399625736265</c:v>
                </c:pt>
                <c:pt idx="58">
                  <c:v>0.53492831825038034</c:v>
                </c:pt>
                <c:pt idx="59">
                  <c:v>0.53467780777112262</c:v>
                </c:pt>
                <c:pt idx="60">
                  <c:v>0.53358439712128358</c:v>
                </c:pt>
                <c:pt idx="61">
                  <c:v>0.53439583372420263</c:v>
                </c:pt>
                <c:pt idx="62">
                  <c:v>0.53331186651583762</c:v>
                </c:pt>
                <c:pt idx="63">
                  <c:v>0.5316941358792876</c:v>
                </c:pt>
                <c:pt idx="64">
                  <c:v>0.53109425441997904</c:v>
                </c:pt>
                <c:pt idx="65">
                  <c:v>0.53002565431048365</c:v>
                </c:pt>
                <c:pt idx="66">
                  <c:v>0.5314398198441479</c:v>
                </c:pt>
                <c:pt idx="67">
                  <c:v>0.53045126285889765</c:v>
                </c:pt>
                <c:pt idx="68">
                  <c:v>0.52992239819004527</c:v>
                </c:pt>
                <c:pt idx="69">
                  <c:v>0.53085787600459822</c:v>
                </c:pt>
                <c:pt idx="70">
                  <c:v>0.5327177060303423</c:v>
                </c:pt>
                <c:pt idx="71">
                  <c:v>0.53166386289279466</c:v>
                </c:pt>
                <c:pt idx="72">
                  <c:v>0.53061418103120572</c:v>
                </c:pt>
                <c:pt idx="73">
                  <c:v>0.53043392088774244</c:v>
                </c:pt>
                <c:pt idx="74">
                  <c:v>0.5327267240084137</c:v>
                </c:pt>
                <c:pt idx="75">
                  <c:v>0.53117056025765497</c:v>
                </c:pt>
                <c:pt idx="76">
                  <c:v>0.53065385737803483</c:v>
                </c:pt>
                <c:pt idx="77">
                  <c:v>0.52962346153846163</c:v>
                </c:pt>
                <c:pt idx="78">
                  <c:v>0.53007969484443784</c:v>
                </c:pt>
                <c:pt idx="79">
                  <c:v>0.52905340308288062</c:v>
                </c:pt>
                <c:pt idx="80">
                  <c:v>0.52945190674190656</c:v>
                </c:pt>
                <c:pt idx="81">
                  <c:v>0.52894134559750761</c:v>
                </c:pt>
                <c:pt idx="82">
                  <c:v>0.52843176819327109</c:v>
                </c:pt>
                <c:pt idx="83">
                  <c:v>0.5274155532544379</c:v>
                </c:pt>
                <c:pt idx="84">
                  <c:v>0.52690891007167662</c:v>
                </c:pt>
                <c:pt idx="85">
                  <c:v>0.52640323933264144</c:v>
                </c:pt>
                <c:pt idx="86">
                  <c:v>0.52589853824028365</c:v>
                </c:pt>
                <c:pt idx="87">
                  <c:v>0.52539480400825223</c:v>
                </c:pt>
                <c:pt idx="88">
                  <c:v>0.52584897165991962</c:v>
                </c:pt>
                <c:pt idx="89">
                  <c:v>0.52534624797764007</c:v>
                </c:pt>
                <c:pt idx="90">
                  <c:v>0.5248444846080409</c:v>
                </c:pt>
                <c:pt idx="91">
                  <c:v>0.52434367880211386</c:v>
                </c:pt>
                <c:pt idx="92">
                  <c:v>0.52615225797016651</c:v>
                </c:pt>
                <c:pt idx="93">
                  <c:v>0.52565258820951133</c:v>
                </c:pt>
                <c:pt idx="94">
                  <c:v>0.52610263319223449</c:v>
                </c:pt>
                <c:pt idx="95">
                  <c:v>0.52655182500911413</c:v>
                </c:pt>
              </c:numCache>
            </c:numRef>
          </c:yVal>
          <c:smooth val="1"/>
        </c:ser>
        <c:axId val="87413888"/>
        <c:axId val="87415808"/>
      </c:scatterChart>
      <c:valAx>
        <c:axId val="87413888"/>
        <c:scaling>
          <c:orientation val="minMax"/>
          <c:max val="70"/>
        </c:scaling>
        <c:axPos val="b"/>
        <c:majorGridlines/>
        <c:title>
          <c:tx>
            <c:rich>
              <a:bodyPr/>
              <a:lstStyle/>
              <a:p>
                <a:pPr>
                  <a:defRPr/>
                </a:pPr>
                <a:r>
                  <a:rPr lang="en-US"/>
                  <a:t>Number</a:t>
                </a:r>
                <a:r>
                  <a:rPr lang="en-US" baseline="0"/>
                  <a:t> of Calls</a:t>
                </a:r>
                <a:endParaRPr lang="en-US"/>
              </a:p>
            </c:rich>
          </c:tx>
          <c:layout/>
        </c:title>
        <c:numFmt formatCode="General" sourceLinked="1"/>
        <c:tickLblPos val="nextTo"/>
        <c:crossAx val="87415808"/>
        <c:crosses val="autoZero"/>
        <c:crossBetween val="midCat"/>
        <c:majorUnit val="10"/>
      </c:valAx>
      <c:valAx>
        <c:axId val="87415808"/>
        <c:scaling>
          <c:orientation val="minMax"/>
          <c:min val="0.1"/>
        </c:scaling>
        <c:axPos val="l"/>
        <c:majorGridlines/>
        <c:title>
          <c:tx>
            <c:rich>
              <a:bodyPr rot="0" vert="horz"/>
              <a:lstStyle/>
              <a:p>
                <a:pPr>
                  <a:defRPr/>
                </a:pPr>
                <a:r>
                  <a:rPr lang="en-US"/>
                  <a:t>Cumulative estimate of students who took the SAT in high school</a:t>
                </a:r>
              </a:p>
            </c:rich>
          </c:tx>
          <c:layout/>
        </c:title>
        <c:numFmt formatCode="General" sourceLinked="1"/>
        <c:tickLblPos val="nextTo"/>
        <c:crossAx val="87413888"/>
        <c:crosses val="autoZero"/>
        <c:crossBetween val="midCat"/>
        <c:majorUnit val="5.0000000000000114E-2"/>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3040</Words>
  <Characters>17328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20328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Elise M Christopher</dc:creator>
  <cp:lastModifiedBy>martinez_r</cp:lastModifiedBy>
  <cp:revision>2</cp:revision>
  <dcterms:created xsi:type="dcterms:W3CDTF">2011-06-14T18:15:00Z</dcterms:created>
  <dcterms:modified xsi:type="dcterms:W3CDTF">2011-06-14T18:15:00Z</dcterms:modified>
</cp:coreProperties>
</file>