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190" w:rsidRPr="00525F4A" w:rsidRDefault="00945190" w:rsidP="00945190">
      <w:pPr>
        <w:rPr>
          <w:b/>
        </w:rPr>
      </w:pPr>
      <w:r w:rsidRPr="00525F4A">
        <w:rPr>
          <w:b/>
        </w:rPr>
        <w:t>Summary of Changes to SSBCI Application and SSBCI Allocation Agreement</w:t>
      </w:r>
    </w:p>
    <w:p w:rsidR="00945190" w:rsidRPr="004A00B4" w:rsidRDefault="00945190" w:rsidP="00945190">
      <w:pPr>
        <w:pStyle w:val="Heading1"/>
        <w:rPr>
          <w:rFonts w:ascii="Times New Roman" w:hAnsi="Times New Roman"/>
          <w:sz w:val="24"/>
          <w:szCs w:val="24"/>
          <w:u w:val="single"/>
        </w:rPr>
      </w:pPr>
      <w:r w:rsidRPr="004A00B4">
        <w:rPr>
          <w:rFonts w:ascii="Times New Roman" w:hAnsi="Times New Roman"/>
          <w:sz w:val="24"/>
          <w:szCs w:val="24"/>
          <w:u w:val="single"/>
        </w:rPr>
        <w:t xml:space="preserve">SSBCI Allocation Agreement </w:t>
      </w:r>
    </w:p>
    <w:p w:rsidR="00945190" w:rsidRDefault="00945190" w:rsidP="00945190">
      <w:pPr>
        <w:pStyle w:val="Heading2"/>
        <w:ind w:left="540"/>
        <w:rPr>
          <w:rFonts w:ascii="Times New Roman" w:hAnsi="Times New Roman"/>
          <w:sz w:val="24"/>
          <w:szCs w:val="24"/>
        </w:rPr>
      </w:pPr>
      <w:r w:rsidRPr="00F066A1">
        <w:rPr>
          <w:rFonts w:ascii="Times New Roman" w:hAnsi="Times New Roman"/>
          <w:sz w:val="24"/>
          <w:szCs w:val="24"/>
        </w:rPr>
        <w:t>Conforming Changes</w:t>
      </w:r>
    </w:p>
    <w:p w:rsidR="00945190" w:rsidRDefault="00945190" w:rsidP="00945190">
      <w:pPr>
        <w:pStyle w:val="Heading3"/>
        <w:ind w:left="720"/>
        <w:rPr>
          <w:rFonts w:ascii="Times New Roman" w:hAnsi="Times New Roman"/>
          <w:b w:val="0"/>
          <w:sz w:val="24"/>
          <w:szCs w:val="24"/>
        </w:rPr>
      </w:pPr>
      <w:proofErr w:type="gramStart"/>
      <w:r>
        <w:rPr>
          <w:rFonts w:ascii="Times New Roman" w:hAnsi="Times New Roman"/>
          <w:sz w:val="24"/>
          <w:szCs w:val="24"/>
        </w:rPr>
        <w:t>Allocation Agreement reporting requirements.</w:t>
      </w:r>
      <w:proofErr w:type="gramEnd"/>
    </w:p>
    <w:p w:rsidR="00945190" w:rsidRPr="00F066A1" w:rsidRDefault="00945190" w:rsidP="00945190">
      <w:pPr>
        <w:ind w:left="1440"/>
      </w:pPr>
      <w:r>
        <w:br/>
        <w:t xml:space="preserve">As a result of internal conversations and a holistic review of the reporting requirements, the SSBCI Program changed the data captured in the Quarterly Reporting, Section 4.7 of the Allocation Agreement and the Annual Report, Section 4.8 of the Allocation Agreement. These changes can be broadly categorized as accomplishing the following:  </w:t>
      </w:r>
    </w:p>
    <w:p w:rsidR="00945190" w:rsidRPr="003530E3" w:rsidRDefault="00945190" w:rsidP="00945190">
      <w:pPr>
        <w:pStyle w:val="Heading4"/>
        <w:rPr>
          <w:rFonts w:ascii="Times New Roman" w:hAnsi="Times New Roman"/>
          <w:b w:val="0"/>
          <w:sz w:val="24"/>
          <w:szCs w:val="24"/>
        </w:rPr>
      </w:pPr>
      <w:r w:rsidRPr="003530E3">
        <w:rPr>
          <w:rFonts w:ascii="Times New Roman" w:hAnsi="Times New Roman"/>
          <w:b w:val="0"/>
          <w:sz w:val="24"/>
          <w:szCs w:val="24"/>
        </w:rPr>
        <w:t>Financial institution lenders and states will no longer report borrowers’ credit risk levels.</w:t>
      </w:r>
    </w:p>
    <w:p w:rsidR="00945190" w:rsidRPr="003530E3" w:rsidRDefault="00945190" w:rsidP="00945190">
      <w:pPr>
        <w:pStyle w:val="Heading4"/>
        <w:rPr>
          <w:rFonts w:ascii="Times New Roman" w:hAnsi="Times New Roman"/>
          <w:b w:val="0"/>
          <w:sz w:val="24"/>
          <w:szCs w:val="24"/>
        </w:rPr>
      </w:pPr>
      <w:r w:rsidRPr="003530E3">
        <w:rPr>
          <w:rFonts w:ascii="Times New Roman" w:hAnsi="Times New Roman"/>
          <w:b w:val="0"/>
          <w:sz w:val="24"/>
          <w:szCs w:val="24"/>
        </w:rPr>
        <w:t xml:space="preserve">Participating </w:t>
      </w:r>
      <w:r>
        <w:rPr>
          <w:rFonts w:ascii="Times New Roman" w:hAnsi="Times New Roman"/>
          <w:b w:val="0"/>
          <w:sz w:val="24"/>
          <w:szCs w:val="24"/>
        </w:rPr>
        <w:t>s</w:t>
      </w:r>
      <w:r w:rsidRPr="003530E3" w:rsidDel="00891A31">
        <w:rPr>
          <w:rFonts w:ascii="Times New Roman" w:hAnsi="Times New Roman"/>
          <w:b w:val="0"/>
          <w:sz w:val="24"/>
          <w:szCs w:val="24"/>
        </w:rPr>
        <w:t xml:space="preserve">tates </w:t>
      </w:r>
      <w:r w:rsidRPr="003530E3">
        <w:rPr>
          <w:rFonts w:ascii="Times New Roman" w:hAnsi="Times New Roman"/>
          <w:b w:val="0"/>
          <w:sz w:val="24"/>
          <w:szCs w:val="24"/>
        </w:rPr>
        <w:t xml:space="preserve">will provide </w:t>
      </w:r>
      <w:r>
        <w:rPr>
          <w:rFonts w:ascii="Times New Roman" w:hAnsi="Times New Roman"/>
          <w:b w:val="0"/>
          <w:sz w:val="24"/>
          <w:szCs w:val="24"/>
        </w:rPr>
        <w:t>transaction level data.</w:t>
      </w:r>
    </w:p>
    <w:p w:rsidR="00945190" w:rsidRPr="003505F0" w:rsidRDefault="00945190" w:rsidP="00945190">
      <w:pPr>
        <w:pStyle w:val="Heading4"/>
        <w:rPr>
          <w:rFonts w:ascii="Times New Roman" w:hAnsi="Times New Roman"/>
          <w:b w:val="0"/>
          <w:sz w:val="24"/>
          <w:szCs w:val="24"/>
        </w:rPr>
      </w:pPr>
      <w:r w:rsidRPr="003530E3">
        <w:rPr>
          <w:rFonts w:ascii="Times New Roman" w:hAnsi="Times New Roman"/>
          <w:b w:val="0"/>
          <w:sz w:val="24"/>
          <w:szCs w:val="24"/>
        </w:rPr>
        <w:t xml:space="preserve">New report requirements to enable the SSBCI Program to determine if the </w:t>
      </w:r>
      <w:r w:rsidRPr="003505F0">
        <w:rPr>
          <w:rFonts w:ascii="Times New Roman" w:hAnsi="Times New Roman"/>
          <w:b w:val="0"/>
          <w:sz w:val="24"/>
          <w:szCs w:val="24"/>
        </w:rPr>
        <w:t xml:space="preserve">program is meeting its </w:t>
      </w:r>
      <w:r>
        <w:rPr>
          <w:rFonts w:ascii="Times New Roman" w:hAnsi="Times New Roman"/>
          <w:b w:val="0"/>
          <w:sz w:val="24"/>
          <w:szCs w:val="24"/>
        </w:rPr>
        <w:t xml:space="preserve">overall 10:1 private leverages </w:t>
      </w:r>
      <w:r w:rsidRPr="003505F0">
        <w:rPr>
          <w:rFonts w:ascii="Times New Roman" w:hAnsi="Times New Roman"/>
          <w:b w:val="0"/>
          <w:sz w:val="24"/>
          <w:szCs w:val="24"/>
        </w:rPr>
        <w:t>objectives</w:t>
      </w:r>
      <w:r>
        <w:rPr>
          <w:rFonts w:ascii="Times New Roman" w:hAnsi="Times New Roman"/>
          <w:b w:val="0"/>
          <w:sz w:val="24"/>
          <w:szCs w:val="24"/>
        </w:rPr>
        <w:t xml:space="preserve"> and the 1:1 private leverage requirements for each program</w:t>
      </w:r>
      <w:r w:rsidRPr="003505F0">
        <w:rPr>
          <w:rFonts w:ascii="Times New Roman" w:hAnsi="Times New Roman"/>
          <w:b w:val="0"/>
          <w:sz w:val="24"/>
          <w:szCs w:val="24"/>
        </w:rPr>
        <w:t>.</w:t>
      </w:r>
    </w:p>
    <w:p w:rsidR="00945190" w:rsidRPr="003505F0" w:rsidRDefault="00945190" w:rsidP="00945190">
      <w:pPr>
        <w:pStyle w:val="Heading4"/>
        <w:rPr>
          <w:rFonts w:ascii="Times New Roman" w:hAnsi="Times New Roman"/>
          <w:b w:val="0"/>
          <w:sz w:val="24"/>
          <w:szCs w:val="24"/>
        </w:rPr>
      </w:pPr>
      <w:proofErr w:type="gramStart"/>
      <w:r w:rsidRPr="003505F0">
        <w:rPr>
          <w:rFonts w:ascii="Times New Roman" w:hAnsi="Times New Roman"/>
          <w:b w:val="0"/>
          <w:sz w:val="24"/>
          <w:szCs w:val="24"/>
        </w:rPr>
        <w:t>Modified reporting to reflect venture capital investments and qualifying loans/swap funding facilities.</w:t>
      </w:r>
      <w:proofErr w:type="gramEnd"/>
    </w:p>
    <w:p w:rsidR="00945190" w:rsidRPr="003505F0" w:rsidRDefault="00945190" w:rsidP="00945190">
      <w:pPr>
        <w:pStyle w:val="Heading3"/>
        <w:ind w:left="720"/>
        <w:rPr>
          <w:rFonts w:ascii="Times New Roman" w:hAnsi="Times New Roman"/>
          <w:sz w:val="24"/>
          <w:szCs w:val="24"/>
        </w:rPr>
      </w:pPr>
      <w:proofErr w:type="gramStart"/>
      <w:r w:rsidRPr="003505F0">
        <w:rPr>
          <w:rFonts w:ascii="Times New Roman" w:hAnsi="Times New Roman"/>
          <w:sz w:val="24"/>
          <w:szCs w:val="24"/>
        </w:rPr>
        <w:t>Sex offender certification language.</w:t>
      </w:r>
      <w:proofErr w:type="gramEnd"/>
    </w:p>
    <w:p w:rsidR="00945190" w:rsidRPr="003505F0" w:rsidRDefault="00945190" w:rsidP="00945190">
      <w:pPr>
        <w:ind w:left="1440"/>
      </w:pPr>
      <w:r>
        <w:br/>
        <w:t>T</w:t>
      </w:r>
      <w:r w:rsidRPr="003505F0">
        <w:t>he State Small Business Lending Fund Program and the SSBCI Program have harmonized their definition</w:t>
      </w:r>
      <w:r>
        <w:t>s</w:t>
      </w:r>
      <w:r w:rsidRPr="003505F0">
        <w:t xml:space="preserve"> to provide more clarity about the scope of individuals who must issue the statutory certification</w:t>
      </w:r>
      <w:r>
        <w:t>.</w:t>
      </w:r>
    </w:p>
    <w:p w:rsidR="00945190" w:rsidRDefault="00945190" w:rsidP="00945190">
      <w:pPr>
        <w:ind w:left="1440"/>
      </w:pPr>
    </w:p>
    <w:p w:rsidR="00945190" w:rsidRPr="004A00B4" w:rsidRDefault="00945190" w:rsidP="00945190">
      <w:pPr>
        <w:pStyle w:val="Heading2"/>
        <w:ind w:left="540"/>
        <w:rPr>
          <w:rFonts w:ascii="Times New Roman" w:hAnsi="Times New Roman"/>
          <w:sz w:val="24"/>
          <w:szCs w:val="24"/>
        </w:rPr>
      </w:pPr>
      <w:r w:rsidRPr="004A00B4">
        <w:rPr>
          <w:rFonts w:ascii="Times New Roman" w:hAnsi="Times New Roman"/>
          <w:sz w:val="24"/>
          <w:szCs w:val="24"/>
        </w:rPr>
        <w:t>New Changes</w:t>
      </w:r>
    </w:p>
    <w:p w:rsidR="00945190" w:rsidRDefault="00945190" w:rsidP="00945190">
      <w:pPr>
        <w:pStyle w:val="Heading3"/>
        <w:ind w:left="720"/>
        <w:rPr>
          <w:rFonts w:ascii="Times New Roman" w:hAnsi="Times New Roman"/>
          <w:sz w:val="24"/>
          <w:szCs w:val="24"/>
        </w:rPr>
      </w:pPr>
      <w:r>
        <w:rPr>
          <w:rFonts w:ascii="Times New Roman" w:hAnsi="Times New Roman"/>
          <w:sz w:val="24"/>
          <w:szCs w:val="24"/>
        </w:rPr>
        <w:t>Revised Section 4.6 regarding National Standards</w:t>
      </w:r>
    </w:p>
    <w:p w:rsidR="00945190" w:rsidRPr="00756A9E" w:rsidRDefault="00945190" w:rsidP="00945190">
      <w:pPr>
        <w:ind w:left="1440"/>
      </w:pPr>
      <w:r>
        <w:br/>
        <w:t xml:space="preserve">The new language reflects the addition of the SSBCI Policy Guidelines to the section of the agreement which references the national standards. With these changes, the states must comply with the SSBCI Policy Guidelines and later revisions to them, the national standards (once created) and financial management systems. </w:t>
      </w:r>
    </w:p>
    <w:p w:rsidR="00945190" w:rsidRPr="004A00B4" w:rsidRDefault="00945190" w:rsidP="00945190">
      <w:pPr>
        <w:pStyle w:val="Heading3"/>
        <w:ind w:left="720"/>
        <w:rPr>
          <w:rFonts w:ascii="Times New Roman" w:hAnsi="Times New Roman"/>
          <w:sz w:val="24"/>
          <w:szCs w:val="24"/>
        </w:rPr>
      </w:pPr>
      <w:proofErr w:type="gramStart"/>
      <w:r w:rsidRPr="004A00B4">
        <w:rPr>
          <w:rFonts w:ascii="Times New Roman" w:hAnsi="Times New Roman"/>
          <w:sz w:val="24"/>
          <w:szCs w:val="24"/>
        </w:rPr>
        <w:t>New definition of “Entire Agreement”</w:t>
      </w:r>
      <w:r>
        <w:rPr>
          <w:rFonts w:ascii="Times New Roman" w:hAnsi="Times New Roman"/>
          <w:sz w:val="24"/>
          <w:szCs w:val="24"/>
        </w:rPr>
        <w:t>.</w:t>
      </w:r>
      <w:proofErr w:type="gramEnd"/>
      <w:r>
        <w:rPr>
          <w:rFonts w:ascii="Times New Roman" w:hAnsi="Times New Roman"/>
          <w:sz w:val="24"/>
          <w:szCs w:val="24"/>
        </w:rPr>
        <w:t xml:space="preserve"> </w:t>
      </w:r>
    </w:p>
    <w:p w:rsidR="00945190" w:rsidRPr="004A00B4" w:rsidRDefault="00945190" w:rsidP="00945190">
      <w:pPr>
        <w:ind w:left="1440"/>
      </w:pPr>
      <w:r>
        <w:br/>
      </w:r>
      <w:r w:rsidRPr="004A00B4">
        <w:t xml:space="preserve">The new language in Section 8.2 of the Allocation Agreement provides additional </w:t>
      </w:r>
      <w:r w:rsidRPr="004A00B4">
        <w:lastRenderedPageBreak/>
        <w:t xml:space="preserve">clarity that the Application and any changes or supplements thereto is incorporated into the “Entire Agreement”. </w:t>
      </w:r>
    </w:p>
    <w:p w:rsidR="00945190" w:rsidRPr="004A00B4" w:rsidRDefault="00945190" w:rsidP="00945190">
      <w:pPr>
        <w:pStyle w:val="Heading3"/>
        <w:numPr>
          <w:ilvl w:val="0"/>
          <w:numId w:val="0"/>
        </w:numPr>
        <w:ind w:firstLine="720"/>
        <w:rPr>
          <w:rFonts w:ascii="Times New Roman" w:hAnsi="Times New Roman"/>
          <w:sz w:val="24"/>
          <w:szCs w:val="24"/>
        </w:rPr>
      </w:pPr>
      <w:r>
        <w:rPr>
          <w:rFonts w:ascii="Times New Roman" w:hAnsi="Times New Roman"/>
          <w:sz w:val="24"/>
          <w:szCs w:val="24"/>
        </w:rPr>
        <w:t>3</w:t>
      </w:r>
      <w:r w:rsidRPr="004A00B4">
        <w:rPr>
          <w:rFonts w:ascii="Times New Roman" w:hAnsi="Times New Roman"/>
          <w:sz w:val="24"/>
          <w:szCs w:val="24"/>
        </w:rPr>
        <w:t xml:space="preserve">. </w:t>
      </w:r>
      <w:r w:rsidRPr="004A00B4">
        <w:rPr>
          <w:rFonts w:ascii="Times New Roman" w:hAnsi="Times New Roman"/>
          <w:sz w:val="24"/>
          <w:szCs w:val="24"/>
        </w:rPr>
        <w:tab/>
        <w:t>Clarification regarding Amendments</w:t>
      </w:r>
      <w:r>
        <w:rPr>
          <w:rFonts w:ascii="Times New Roman" w:hAnsi="Times New Roman"/>
          <w:sz w:val="24"/>
          <w:szCs w:val="24"/>
        </w:rPr>
        <w:t>.</w:t>
      </w:r>
    </w:p>
    <w:p w:rsidR="00945190" w:rsidRDefault="00945190" w:rsidP="00945190">
      <w:pPr>
        <w:ind w:left="1440"/>
      </w:pPr>
      <w:r w:rsidRPr="004A00B4">
        <w:t>The new language in Section 8.3 of the Allocation Agreement provides additional cl</w:t>
      </w:r>
      <w:r>
        <w:t>arity about process and form for amendments</w:t>
      </w:r>
      <w:r w:rsidRPr="004A00B4">
        <w:t xml:space="preserve">. </w:t>
      </w:r>
    </w:p>
    <w:p w:rsidR="00945190" w:rsidRDefault="00945190" w:rsidP="00945190">
      <w:pPr>
        <w:pStyle w:val="Heading3"/>
        <w:numPr>
          <w:ilvl w:val="0"/>
          <w:numId w:val="0"/>
        </w:numPr>
        <w:rPr>
          <w:rFonts w:ascii="Times New Roman" w:hAnsi="Times New Roman"/>
          <w:sz w:val="24"/>
          <w:szCs w:val="24"/>
        </w:rPr>
      </w:pPr>
      <w:r w:rsidRPr="00A063E4">
        <w:rPr>
          <w:b w:val="0"/>
          <w:bCs w:val="0"/>
        </w:rPr>
        <w:tab/>
      </w:r>
      <w:r>
        <w:rPr>
          <w:rFonts w:ascii="Times New Roman" w:hAnsi="Times New Roman"/>
          <w:bCs w:val="0"/>
        </w:rPr>
        <w:t>4</w:t>
      </w:r>
      <w:r w:rsidRPr="00A063E4">
        <w:rPr>
          <w:rFonts w:ascii="Times New Roman" w:hAnsi="Times New Roman"/>
          <w:sz w:val="24"/>
          <w:szCs w:val="24"/>
        </w:rPr>
        <w:t xml:space="preserve">. </w:t>
      </w:r>
      <w:r w:rsidRPr="00A063E4">
        <w:rPr>
          <w:rFonts w:ascii="Times New Roman" w:hAnsi="Times New Roman"/>
          <w:sz w:val="24"/>
          <w:szCs w:val="24"/>
        </w:rPr>
        <w:tab/>
        <w:t xml:space="preserve">New </w:t>
      </w:r>
      <w:r>
        <w:rPr>
          <w:rFonts w:ascii="Times New Roman" w:hAnsi="Times New Roman"/>
          <w:sz w:val="24"/>
          <w:szCs w:val="24"/>
        </w:rPr>
        <w:t>Annexes</w:t>
      </w:r>
    </w:p>
    <w:p w:rsidR="00945190" w:rsidRPr="00525FAC" w:rsidRDefault="00945190" w:rsidP="00945190">
      <w:pPr>
        <w:ind w:left="1440"/>
      </w:pPr>
      <w:r>
        <w:br/>
        <w:t xml:space="preserve">The Allocation Agreement now includes 2 new annexes: (1) a form of  legal opinion that will be considered satisfactory to Treasury is now included in the Allocation Agreement; (2) the new annual reporting requirements necessitated additional explanation of calculations for purposes of determining leverage calculations with respect to subsequent year </w:t>
      </w:r>
      <w:r w:rsidRPr="00525FAC">
        <w:t xml:space="preserve">reporting.  </w:t>
      </w:r>
    </w:p>
    <w:p w:rsidR="00945190" w:rsidRPr="00525FAC" w:rsidRDefault="00945190" w:rsidP="00945190"/>
    <w:p w:rsidR="00945190" w:rsidRDefault="00945190" w:rsidP="00945190">
      <w:pPr>
        <w:pStyle w:val="Heading1"/>
        <w:rPr>
          <w:rFonts w:ascii="Times New Roman" w:hAnsi="Times New Roman"/>
          <w:sz w:val="24"/>
          <w:szCs w:val="24"/>
        </w:rPr>
      </w:pPr>
      <w:r w:rsidRPr="00525FAC">
        <w:rPr>
          <w:rFonts w:ascii="Times New Roman" w:hAnsi="Times New Roman"/>
          <w:sz w:val="24"/>
          <w:szCs w:val="24"/>
        </w:rPr>
        <w:t>SSBCI Application</w:t>
      </w:r>
    </w:p>
    <w:p w:rsidR="00945190" w:rsidRPr="00540EFF" w:rsidRDefault="00945190" w:rsidP="00945190">
      <w:pPr>
        <w:pStyle w:val="Heading2"/>
        <w:rPr>
          <w:rFonts w:ascii="Times New Roman" w:hAnsi="Times New Roman"/>
          <w:sz w:val="24"/>
          <w:szCs w:val="24"/>
        </w:rPr>
      </w:pPr>
      <w:r w:rsidRPr="00540EFF">
        <w:rPr>
          <w:rFonts w:ascii="Times New Roman" w:hAnsi="Times New Roman"/>
          <w:sz w:val="24"/>
          <w:szCs w:val="24"/>
        </w:rPr>
        <w:t>Applicant information</w:t>
      </w:r>
    </w:p>
    <w:p w:rsidR="00945190" w:rsidRPr="00540EFF" w:rsidRDefault="00945190" w:rsidP="00945190">
      <w:pPr>
        <w:ind w:left="720"/>
      </w:pPr>
      <w:r>
        <w:br/>
      </w:r>
      <w:r w:rsidRPr="00540EFF">
        <w:t xml:space="preserve">The SSBCI Application is revised to clarify the kind of information </w:t>
      </w:r>
      <w:r>
        <w:t>the SSBCI Program</w:t>
      </w:r>
      <w:r w:rsidRPr="00540EFF">
        <w:t xml:space="preserve"> needs in the letter from the governor, or chief executive of a territory or municipality designating the appropriate agency</w:t>
      </w:r>
      <w:r>
        <w:t>(s)</w:t>
      </w:r>
      <w:r w:rsidRPr="00540EFF">
        <w:t xml:space="preserve"> to run the SSBCI-supported programs.</w:t>
      </w:r>
    </w:p>
    <w:p w:rsidR="00945190" w:rsidRPr="00540EFF" w:rsidRDefault="00945190" w:rsidP="00945190">
      <w:pPr>
        <w:ind w:left="720"/>
      </w:pPr>
    </w:p>
    <w:p w:rsidR="00945190" w:rsidRPr="00540EFF" w:rsidRDefault="00945190" w:rsidP="00945190">
      <w:pPr>
        <w:pStyle w:val="Heading2"/>
        <w:rPr>
          <w:rFonts w:ascii="Times New Roman" w:hAnsi="Times New Roman"/>
          <w:sz w:val="24"/>
          <w:szCs w:val="24"/>
        </w:rPr>
      </w:pPr>
      <w:r w:rsidRPr="00540EFF">
        <w:rPr>
          <w:rFonts w:ascii="Times New Roman" w:hAnsi="Times New Roman"/>
          <w:sz w:val="24"/>
          <w:szCs w:val="24"/>
        </w:rPr>
        <w:t>Outreach to underserved communities</w:t>
      </w:r>
    </w:p>
    <w:p w:rsidR="00945190" w:rsidRPr="00540EFF" w:rsidRDefault="00945190" w:rsidP="00945190">
      <w:pPr>
        <w:ind w:left="720"/>
      </w:pPr>
      <w:r>
        <w:br/>
      </w:r>
      <w:r w:rsidRPr="00540EFF">
        <w:t xml:space="preserve">The SSBCI Application is revised to be more specific about the kind of information </w:t>
      </w:r>
      <w:r>
        <w:t>the SSBCI Program</w:t>
      </w:r>
      <w:r w:rsidRPr="00540EFF">
        <w:t xml:space="preserve"> requests to respond to questions about outreach to underserved communities</w:t>
      </w:r>
      <w:r>
        <w:t xml:space="preserve"> and to clarify that this outreach requirement applies to both CAPs and OCSPs</w:t>
      </w:r>
      <w:r w:rsidRPr="00540EFF">
        <w:t>.</w:t>
      </w:r>
    </w:p>
    <w:p w:rsidR="00945190" w:rsidRPr="00540EFF" w:rsidRDefault="00945190" w:rsidP="00945190">
      <w:pPr>
        <w:ind w:left="720"/>
      </w:pPr>
    </w:p>
    <w:p w:rsidR="00945190" w:rsidRPr="00540EFF" w:rsidRDefault="00945190" w:rsidP="00945190">
      <w:pPr>
        <w:pStyle w:val="Heading2"/>
        <w:rPr>
          <w:rFonts w:ascii="Times New Roman" w:hAnsi="Times New Roman"/>
          <w:sz w:val="24"/>
          <w:szCs w:val="24"/>
        </w:rPr>
      </w:pPr>
      <w:r w:rsidRPr="00540EFF">
        <w:rPr>
          <w:rFonts w:ascii="Times New Roman" w:hAnsi="Times New Roman"/>
          <w:sz w:val="24"/>
          <w:szCs w:val="24"/>
        </w:rPr>
        <w:t>OCSP narrative statement</w:t>
      </w:r>
    </w:p>
    <w:p w:rsidR="00945190" w:rsidRPr="00540EFF" w:rsidRDefault="00945190" w:rsidP="00945190">
      <w:pPr>
        <w:ind w:left="720"/>
      </w:pPr>
      <w:r>
        <w:br/>
      </w:r>
      <w:r w:rsidRPr="00540EFF">
        <w:t xml:space="preserve">The SSBCI Application is revised to clarify the kind of information </w:t>
      </w:r>
      <w:r>
        <w:t>the SSBCI Program</w:t>
      </w:r>
      <w:r w:rsidRPr="00540EFF">
        <w:t xml:space="preserve"> needs when analyzing the narrative description of applicant OCSPs.</w:t>
      </w:r>
    </w:p>
    <w:p w:rsidR="00945190" w:rsidRPr="00540EFF" w:rsidRDefault="00945190" w:rsidP="00945190">
      <w:pPr>
        <w:ind w:left="720"/>
      </w:pPr>
    </w:p>
    <w:p w:rsidR="00945190" w:rsidRPr="00540EFF" w:rsidRDefault="00945190" w:rsidP="00945190">
      <w:pPr>
        <w:pStyle w:val="Heading2"/>
        <w:rPr>
          <w:rFonts w:ascii="Times New Roman" w:hAnsi="Times New Roman"/>
          <w:sz w:val="24"/>
          <w:szCs w:val="24"/>
        </w:rPr>
      </w:pPr>
      <w:r w:rsidRPr="00540EFF">
        <w:rPr>
          <w:rFonts w:ascii="Times New Roman" w:hAnsi="Times New Roman"/>
          <w:sz w:val="24"/>
          <w:szCs w:val="24"/>
        </w:rPr>
        <w:t>Leverage calculations</w:t>
      </w:r>
    </w:p>
    <w:p w:rsidR="00945190" w:rsidRPr="00540EFF" w:rsidRDefault="00945190" w:rsidP="00945190">
      <w:pPr>
        <w:ind w:left="720"/>
      </w:pPr>
      <w:r>
        <w:br/>
      </w:r>
      <w:r w:rsidRPr="00540EFF">
        <w:t>The SSBCI Application is revised to reflect an expanded time horizon for applicants to consider when responding to questions about the reasonableness of the leverage</w:t>
      </w:r>
      <w:r>
        <w:t xml:space="preserve"> expectation</w:t>
      </w:r>
      <w:r w:rsidRPr="00540EFF">
        <w:t xml:space="preserve"> calculations. </w:t>
      </w:r>
    </w:p>
    <w:p w:rsidR="00945190" w:rsidRPr="00540EFF" w:rsidRDefault="00945190" w:rsidP="00945190">
      <w:pPr>
        <w:ind w:left="720"/>
      </w:pPr>
    </w:p>
    <w:p w:rsidR="00945190" w:rsidRPr="00540EFF" w:rsidRDefault="00945190" w:rsidP="00945190">
      <w:pPr>
        <w:pStyle w:val="Heading2"/>
        <w:rPr>
          <w:rFonts w:ascii="Times New Roman" w:hAnsi="Times New Roman"/>
          <w:sz w:val="24"/>
          <w:szCs w:val="24"/>
        </w:rPr>
      </w:pPr>
      <w:r w:rsidRPr="00540EFF">
        <w:rPr>
          <w:rFonts w:ascii="Times New Roman" w:hAnsi="Times New Roman"/>
          <w:sz w:val="24"/>
          <w:szCs w:val="24"/>
        </w:rPr>
        <w:lastRenderedPageBreak/>
        <w:t>OCSP internal controls</w:t>
      </w:r>
    </w:p>
    <w:p w:rsidR="00945190" w:rsidRDefault="00945190" w:rsidP="00945190">
      <w:pPr>
        <w:ind w:left="720"/>
      </w:pPr>
    </w:p>
    <w:p w:rsidR="00945190" w:rsidRPr="00540EFF" w:rsidRDefault="00945190" w:rsidP="00945190">
      <w:pPr>
        <w:ind w:left="720"/>
      </w:pPr>
      <w:r w:rsidRPr="00540EFF">
        <w:t>The SSBCI Application is revised to require financial statements and audits from applicants</w:t>
      </w:r>
      <w:r>
        <w:t xml:space="preserve"> when such documents are referenced as evidence demonstrating the sufficiency of internal controls for an existing program</w:t>
      </w:r>
      <w:r w:rsidRPr="00540EFF">
        <w:t>.</w:t>
      </w:r>
    </w:p>
    <w:p w:rsidR="00945190" w:rsidRPr="00540EFF" w:rsidRDefault="00945190" w:rsidP="00945190">
      <w:pPr>
        <w:ind w:left="720"/>
      </w:pPr>
    </w:p>
    <w:p w:rsidR="00945190" w:rsidRPr="00540EFF" w:rsidRDefault="00945190" w:rsidP="00945190">
      <w:pPr>
        <w:pStyle w:val="Heading2"/>
        <w:rPr>
          <w:rFonts w:ascii="Times New Roman" w:hAnsi="Times New Roman"/>
          <w:sz w:val="24"/>
          <w:szCs w:val="24"/>
        </w:rPr>
      </w:pPr>
      <w:r w:rsidRPr="00540EFF">
        <w:rPr>
          <w:rFonts w:ascii="Times New Roman" w:hAnsi="Times New Roman"/>
          <w:sz w:val="24"/>
          <w:szCs w:val="24"/>
        </w:rPr>
        <w:t>Compliance</w:t>
      </w:r>
    </w:p>
    <w:p w:rsidR="00945190" w:rsidRPr="00540EFF" w:rsidRDefault="00945190" w:rsidP="00945190">
      <w:pPr>
        <w:ind w:left="720"/>
      </w:pPr>
      <w:r>
        <w:br/>
      </w:r>
      <w:r w:rsidRPr="00540EFF">
        <w:t xml:space="preserve">The SSBCI Application adds a new section </w:t>
      </w:r>
      <w:r>
        <w:t>for applicants to</w:t>
      </w:r>
      <w:r w:rsidRPr="00540EFF">
        <w:t xml:space="preserve"> include a narrative statement from the applicant relating to its plan to meet the reporting requirements and other covenants included in the agreement. </w:t>
      </w:r>
    </w:p>
    <w:p w:rsidR="00210607" w:rsidRDefault="00210607"/>
    <w:sectPr w:rsidR="00210607" w:rsidSect="00210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C29BE"/>
    <w:multiLevelType w:val="multilevel"/>
    <w:tmpl w:val="2256845C"/>
    <w:lvl w:ilvl="0">
      <w:start w:val="1"/>
      <w:numFmt w:val="upperRoman"/>
      <w:pStyle w:val="Heading1"/>
      <w:lvlText w:val="%1."/>
      <w:lvlJc w:val="left"/>
      <w:pPr>
        <w:ind w:left="0" w:firstLine="0"/>
      </w:pPr>
      <w:rPr>
        <w:rFonts w:ascii="Times New Roman" w:hAnsi="Times New Roman" w:cs="Times New Roman" w:hint="default"/>
        <w:sz w:val="24"/>
        <w:szCs w:val="24"/>
      </w:rPr>
    </w:lvl>
    <w:lvl w:ilvl="1">
      <w:start w:val="1"/>
      <w:numFmt w:val="upperLetter"/>
      <w:pStyle w:val="Heading2"/>
      <w:lvlText w:val="%2."/>
      <w:lvlJc w:val="left"/>
      <w:pPr>
        <w:ind w:left="720" w:firstLine="0"/>
      </w:pPr>
      <w:rPr>
        <w:b w:val="0"/>
        <w:i w:val="0"/>
        <w:sz w:val="24"/>
        <w:szCs w:val="24"/>
      </w:rPr>
    </w:lvl>
    <w:lvl w:ilvl="2">
      <w:start w:val="1"/>
      <w:numFmt w:val="decimal"/>
      <w:pStyle w:val="Heading3"/>
      <w:lvlText w:val="%3."/>
      <w:lvlJc w:val="left"/>
      <w:pPr>
        <w:ind w:left="1440" w:firstLine="0"/>
      </w:pPr>
      <w:rPr>
        <w:b w:val="0"/>
      </w:rPr>
    </w:lvl>
    <w:lvl w:ilvl="3">
      <w:start w:val="1"/>
      <w:numFmt w:val="lowerLetter"/>
      <w:pStyle w:val="Heading4"/>
      <w:lvlText w:val="%4."/>
      <w:lvlJc w:val="left"/>
      <w:pPr>
        <w:ind w:left="144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5190"/>
    <w:rsid w:val="00060384"/>
    <w:rsid w:val="00210607"/>
    <w:rsid w:val="00216B7F"/>
    <w:rsid w:val="002A1DAB"/>
    <w:rsid w:val="004F2788"/>
    <w:rsid w:val="00740DB5"/>
    <w:rsid w:val="00770747"/>
    <w:rsid w:val="00945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90"/>
    <w:rPr>
      <w:rFonts w:eastAsia="Times New Roman" w:cs="Times New Roman"/>
    </w:rPr>
  </w:style>
  <w:style w:type="paragraph" w:styleId="Heading1">
    <w:name w:val="heading 1"/>
    <w:basedOn w:val="Normal"/>
    <w:next w:val="Normal"/>
    <w:link w:val="Heading1Char"/>
    <w:uiPriority w:val="9"/>
    <w:qFormat/>
    <w:rsid w:val="00945190"/>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94519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94519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94519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94519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945190"/>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945190"/>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945190"/>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94519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19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4519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4519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94519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94519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94519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945190"/>
    <w:rPr>
      <w:rFonts w:ascii="Calibri" w:eastAsia="Times New Roman" w:hAnsi="Calibri" w:cs="Times New Roman"/>
    </w:rPr>
  </w:style>
  <w:style w:type="character" w:customStyle="1" w:styleId="Heading8Char">
    <w:name w:val="Heading 8 Char"/>
    <w:basedOn w:val="DefaultParagraphFont"/>
    <w:link w:val="Heading8"/>
    <w:uiPriority w:val="9"/>
    <w:semiHidden/>
    <w:rsid w:val="00945190"/>
    <w:rPr>
      <w:rFonts w:ascii="Calibri" w:eastAsia="Times New Roman" w:hAnsi="Calibri" w:cs="Times New Roman"/>
      <w:i/>
      <w:iCs/>
    </w:rPr>
  </w:style>
  <w:style w:type="character" w:customStyle="1" w:styleId="Heading9Char">
    <w:name w:val="Heading 9 Char"/>
    <w:basedOn w:val="DefaultParagraphFont"/>
    <w:link w:val="Heading9"/>
    <w:uiPriority w:val="9"/>
    <w:semiHidden/>
    <w:rsid w:val="00945190"/>
    <w:rPr>
      <w:rFonts w:ascii="Cambria" w:eastAsia="Times New Roman" w:hAnsi="Cambria"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3245</Characters>
  <Application>Microsoft Office Word</Application>
  <DocSecurity>0</DocSecurity>
  <Lines>27</Lines>
  <Paragraphs>7</Paragraphs>
  <ScaleCrop>false</ScaleCrop>
  <Company>The U.S. Department of the Treasury</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1</cp:revision>
  <dcterms:created xsi:type="dcterms:W3CDTF">2011-04-22T19:26:00Z</dcterms:created>
  <dcterms:modified xsi:type="dcterms:W3CDTF">2011-04-22T19:27:00Z</dcterms:modified>
</cp:coreProperties>
</file>