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CA" w:rsidRPr="00512B62" w:rsidRDefault="00B50861" w:rsidP="009F4D1C">
      <w:pPr>
        <w:jc w:val="center"/>
        <w:rPr>
          <w:sz w:val="28"/>
          <w:szCs w:val="28"/>
        </w:rPr>
      </w:pPr>
      <w:r w:rsidRPr="00512B62">
        <w:rPr>
          <w:sz w:val="28"/>
          <w:szCs w:val="28"/>
        </w:rPr>
        <w:t>Department of the Treasury</w:t>
      </w:r>
    </w:p>
    <w:p w:rsidR="007E69B3" w:rsidRPr="00512B62" w:rsidRDefault="00B50861" w:rsidP="009F4D1C">
      <w:pPr>
        <w:jc w:val="center"/>
        <w:rPr>
          <w:sz w:val="28"/>
          <w:szCs w:val="28"/>
        </w:rPr>
      </w:pPr>
      <w:r w:rsidRPr="00512B62">
        <w:rPr>
          <w:sz w:val="28"/>
          <w:szCs w:val="28"/>
        </w:rPr>
        <w:t>Departmental Offices</w:t>
      </w:r>
    </w:p>
    <w:p w:rsidR="003C068B" w:rsidRPr="00512B62" w:rsidRDefault="009965EC" w:rsidP="00A73FE3">
      <w:pPr>
        <w:jc w:val="center"/>
        <w:rPr>
          <w:b/>
        </w:rPr>
      </w:pPr>
      <w:r>
        <w:rPr>
          <w:b/>
        </w:rPr>
        <w:t>State Small Business Credit Initiative</w:t>
      </w:r>
    </w:p>
    <w:p w:rsidR="0099514D" w:rsidRDefault="0099514D" w:rsidP="0099514D">
      <w:pPr>
        <w:jc w:val="center"/>
      </w:pPr>
      <w:r>
        <w:t xml:space="preserve">Supporting Statement for the State Small Business Credit Initiative </w:t>
      </w:r>
    </w:p>
    <w:p w:rsidR="00512B62" w:rsidRPr="00512B62" w:rsidRDefault="00512B62" w:rsidP="00512B62">
      <w:pPr>
        <w:jc w:val="center"/>
        <w:rPr>
          <w:i/>
        </w:rPr>
      </w:pPr>
    </w:p>
    <w:p w:rsidR="00512B62" w:rsidRPr="00525F4A" w:rsidRDefault="00512B62" w:rsidP="00A73FE3">
      <w:pPr>
        <w:jc w:val="center"/>
        <w:rPr>
          <w:b/>
        </w:rPr>
      </w:pPr>
    </w:p>
    <w:p w:rsidR="00A73FE3" w:rsidRPr="00525F4A" w:rsidRDefault="0099514D" w:rsidP="0099514D">
      <w:pPr>
        <w:numPr>
          <w:ilvl w:val="0"/>
          <w:numId w:val="18"/>
        </w:numPr>
        <w:rPr>
          <w:b/>
        </w:rPr>
      </w:pPr>
      <w:r w:rsidRPr="00525F4A">
        <w:rPr>
          <w:b/>
        </w:rPr>
        <w:t>Justification</w:t>
      </w:r>
    </w:p>
    <w:p w:rsidR="0099514D" w:rsidRPr="0025604D" w:rsidRDefault="0099514D" w:rsidP="0099514D">
      <w:pPr>
        <w:ind w:left="360"/>
      </w:pPr>
    </w:p>
    <w:p w:rsidR="00C72B81" w:rsidRPr="0099514D" w:rsidRDefault="00F41911" w:rsidP="00A25BF5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rPr>
          <w:u w:val="single"/>
        </w:rPr>
      </w:pPr>
      <w:r w:rsidRPr="0025604D">
        <w:t xml:space="preserve"> </w:t>
      </w:r>
      <w:r w:rsidR="00B50861" w:rsidRPr="0025604D">
        <w:rPr>
          <w:u w:val="single"/>
        </w:rPr>
        <w:t>Circumstances necessitating the collection of information</w:t>
      </w:r>
      <w:r w:rsidR="00F64341">
        <w:rPr>
          <w:u w:val="single"/>
        </w:rPr>
        <w:t>.</w:t>
      </w:r>
      <w:r w:rsidR="0099514D">
        <w:rPr>
          <w:u w:val="single"/>
        </w:rPr>
        <w:br/>
      </w:r>
      <w:r w:rsidR="0099514D">
        <w:t xml:space="preserve">In calendar year 2011, the Department of the Treasury (Treasury) will implement </w:t>
      </w:r>
      <w:r w:rsidR="00BF3938" w:rsidRPr="0099514D">
        <w:t>title</w:t>
      </w:r>
      <w:r w:rsidR="00BF3938" w:rsidRPr="0099514D">
        <w:rPr>
          <w:b/>
          <w:i/>
        </w:rPr>
        <w:t xml:space="preserve"> </w:t>
      </w:r>
      <w:r w:rsidR="00BF3938" w:rsidRPr="0099514D">
        <w:t xml:space="preserve">III of the </w:t>
      </w:r>
      <w:r w:rsidR="009965EC" w:rsidRPr="0099514D">
        <w:t>Small Business Jobs Act of 2010 (the “Act”)</w:t>
      </w:r>
      <w:r w:rsidR="00A73FE3" w:rsidRPr="0099514D">
        <w:t xml:space="preserve">, </w:t>
      </w:r>
      <w:r w:rsidR="00DC3BF4">
        <w:t xml:space="preserve">the </w:t>
      </w:r>
      <w:r w:rsidR="00BF3938" w:rsidRPr="0099514D">
        <w:t>State Small Business Credit Initiative (SSBCI)</w:t>
      </w:r>
      <w:r w:rsidR="001F632F">
        <w:t>,</w:t>
      </w:r>
      <w:r w:rsidR="0099514D">
        <w:t xml:space="preserve"> by obligating all $1.5 billion of appropriated funds </w:t>
      </w:r>
      <w:r w:rsidR="00997F5F">
        <w:t xml:space="preserve">(less an amount reserved for administrative expenses) </w:t>
      </w:r>
      <w:r w:rsidR="0099514D">
        <w:t>to each of the 50 states</w:t>
      </w:r>
      <w:r w:rsidR="001F632F">
        <w:t>,</w:t>
      </w:r>
      <w:r w:rsidR="0099514D">
        <w:t xml:space="preserve"> territories</w:t>
      </w:r>
      <w:r w:rsidR="001F632F">
        <w:t>, District of Columbia and</w:t>
      </w:r>
      <w:r w:rsidR="00997F5F">
        <w:t>, under</w:t>
      </w:r>
      <w:r w:rsidR="001F632F">
        <w:t xml:space="preserve"> certain</w:t>
      </w:r>
      <w:r w:rsidR="00997F5F">
        <w:t xml:space="preserve"> circumstances described in the Act,</w:t>
      </w:r>
      <w:r w:rsidR="001F632F">
        <w:t xml:space="preserve"> municipalities</w:t>
      </w:r>
      <w:r w:rsidR="009965EC" w:rsidRPr="0099514D">
        <w:t xml:space="preserve">. </w:t>
      </w:r>
      <w:r w:rsidR="009B6FA0" w:rsidRPr="0099514D">
        <w:t xml:space="preserve"> </w:t>
      </w:r>
      <w:r w:rsidR="00BF3938" w:rsidRPr="0099514D">
        <w:t>Under the SSBCI, the Treasury will allocate Federal funds to participating</w:t>
      </w:r>
      <w:r w:rsidR="00DC3BF4">
        <w:t xml:space="preserve"> s</w:t>
      </w:r>
      <w:r w:rsidR="00BF3938" w:rsidRPr="0099514D">
        <w:t>tates</w:t>
      </w:r>
      <w:r w:rsidR="00DC3BF4">
        <w:t>, territories</w:t>
      </w:r>
      <w:r w:rsidR="00BF3938" w:rsidRPr="0099514D">
        <w:t xml:space="preserve"> or municipalities</w:t>
      </w:r>
      <w:r w:rsidR="00CD58CD" w:rsidRPr="0099514D">
        <w:t xml:space="preserve"> </w:t>
      </w:r>
      <w:r w:rsidR="00BF3938" w:rsidRPr="0099514D">
        <w:t xml:space="preserve">in order to support statutorily </w:t>
      </w:r>
      <w:r w:rsidR="00C72B81" w:rsidRPr="0099514D">
        <w:t>eligible state-run capital access programs</w:t>
      </w:r>
      <w:r w:rsidR="00BF3938" w:rsidRPr="0099514D">
        <w:t xml:space="preserve"> </w:t>
      </w:r>
      <w:r w:rsidR="00390E44" w:rsidRPr="0099514D">
        <w:t>and other</w:t>
      </w:r>
      <w:r w:rsidR="00C72B81" w:rsidRPr="0099514D">
        <w:t xml:space="preserve"> eligible state-run credit support programs, including loan guarantee, loan participation, collateral support, and venture capital programs</w:t>
      </w:r>
      <w:r w:rsidR="00DC3BF4">
        <w:t>,</w:t>
      </w:r>
      <w:r w:rsidR="00BF3938" w:rsidRPr="0099514D">
        <w:t xml:space="preserve"> and collateral support programs for a qualifyin</w:t>
      </w:r>
      <w:r w:rsidR="0099514D">
        <w:t>g loan or swap funding facility</w:t>
      </w:r>
      <w:r w:rsidR="00C72B81" w:rsidRPr="0099514D">
        <w:t xml:space="preserve">.  </w:t>
      </w:r>
      <w:r w:rsidR="003C54F4" w:rsidRPr="0099514D">
        <w:t>These programs leverage private lending to help finance small businesses and manufacturers that are not getting the loans they need to expand and create jobs.</w:t>
      </w:r>
      <w:r w:rsidR="0099514D">
        <w:t xml:space="preserve"> The SSBCI is a </w:t>
      </w:r>
      <w:r w:rsidR="00DC3BF4">
        <w:t>one</w:t>
      </w:r>
      <w:r w:rsidR="001F632F">
        <w:t>-</w:t>
      </w:r>
      <w:r w:rsidR="00DC3BF4">
        <w:t>time</w:t>
      </w:r>
      <w:r w:rsidR="0099514D">
        <w:t xml:space="preserve"> program</w:t>
      </w:r>
      <w:r w:rsidR="00390E44">
        <w:t xml:space="preserve"> of limited duration</w:t>
      </w:r>
      <w:r w:rsidR="0099514D">
        <w:t>.</w:t>
      </w:r>
      <w:r w:rsidR="003C54F4" w:rsidRPr="0099514D">
        <w:t xml:space="preserve">  </w:t>
      </w:r>
      <w:r w:rsidR="0099514D">
        <w:t xml:space="preserve">Treasury has currently received 11 applications, and made </w:t>
      </w:r>
      <w:r w:rsidR="00390E44">
        <w:t>2</w:t>
      </w:r>
      <w:r w:rsidR="00DD411D">
        <w:t xml:space="preserve"> </w:t>
      </w:r>
      <w:r w:rsidR="0099514D">
        <w:t xml:space="preserve">allocations under the program. Treasury is seeking PRA clearance for necessary revisions to the reporting regime in the </w:t>
      </w:r>
      <w:r w:rsidR="00390E44">
        <w:t xml:space="preserve">SSBCI </w:t>
      </w:r>
      <w:r w:rsidR="0099514D">
        <w:t xml:space="preserve">Allocation Agreement and revisions to the </w:t>
      </w:r>
      <w:r w:rsidR="00390E44">
        <w:t xml:space="preserve">SSBCI </w:t>
      </w:r>
      <w:r w:rsidR="0099514D">
        <w:t xml:space="preserve">Application for the purposes of better administration of the program. </w:t>
      </w:r>
      <w:r w:rsidR="0099514D">
        <w:br/>
      </w:r>
    </w:p>
    <w:p w:rsidR="0099514D" w:rsidRDefault="00BF3938" w:rsidP="0099514D">
      <w:pPr>
        <w:rPr>
          <w:szCs w:val="20"/>
          <w:u w:val="single"/>
        </w:rPr>
      </w:pPr>
      <w:r w:rsidRPr="0099514D">
        <w:t xml:space="preserve"> </w:t>
      </w:r>
      <w:r w:rsidR="0099514D" w:rsidRPr="007434A5">
        <w:rPr>
          <w:szCs w:val="20"/>
          <w:u w:val="single"/>
        </w:rPr>
        <w:t>2.  Method of collection and use of data</w:t>
      </w:r>
    </w:p>
    <w:p w:rsidR="008869AF" w:rsidRPr="0099514D" w:rsidRDefault="008869AF" w:rsidP="00B716A8"/>
    <w:p w:rsidR="008869AF" w:rsidRDefault="0099514D" w:rsidP="00BF3938">
      <w:pPr>
        <w:numPr>
          <w:ilvl w:val="0"/>
          <w:numId w:val="17"/>
        </w:numPr>
        <w:rPr>
          <w:u w:val="single"/>
        </w:rPr>
      </w:pPr>
      <w:r>
        <w:rPr>
          <w:u w:val="single"/>
        </w:rPr>
        <w:t>Method of collecti</w:t>
      </w:r>
      <w:r w:rsidRPr="00B944CC">
        <w:rPr>
          <w:u w:val="single"/>
        </w:rPr>
        <w:t>on and use of da</w:t>
      </w:r>
      <w:r w:rsidR="00B944CC">
        <w:rPr>
          <w:u w:val="single"/>
        </w:rPr>
        <w:t>ta:</w:t>
      </w:r>
      <w:r>
        <w:rPr>
          <w:u w:val="single"/>
        </w:rPr>
        <w:t xml:space="preserve"> SSBCI </w:t>
      </w:r>
      <w:r w:rsidR="008869AF">
        <w:rPr>
          <w:u w:val="single"/>
        </w:rPr>
        <w:t>Application</w:t>
      </w:r>
      <w:r w:rsidR="00F64341">
        <w:rPr>
          <w:u w:val="single"/>
        </w:rPr>
        <w:t>.</w:t>
      </w:r>
    </w:p>
    <w:p w:rsidR="00AA4774" w:rsidRDefault="0099514D" w:rsidP="0099514D">
      <w:pPr>
        <w:ind w:left="720"/>
      </w:pPr>
      <w:r>
        <w:t xml:space="preserve">Data will be collected by the </w:t>
      </w:r>
      <w:r w:rsidR="0034542A">
        <w:t>Treasury</w:t>
      </w:r>
      <w:r>
        <w:t xml:space="preserve"> through the revised application form submitted by states, territories, the District of Columbia and certain municipalities wishing to </w:t>
      </w:r>
      <w:r w:rsidR="00B944CC">
        <w:t>participate</w:t>
      </w:r>
      <w:r>
        <w:t xml:space="preserve"> </w:t>
      </w:r>
      <w:r w:rsidRPr="00390E44">
        <w:t>in the SSBCI.  Treasury will use submitted information to determine if the applicants meet the eligibility requirements in order to receive the SSBCI funds</w:t>
      </w:r>
      <w:r>
        <w:t xml:space="preserve">.  </w:t>
      </w:r>
    </w:p>
    <w:p w:rsidR="0099514D" w:rsidRPr="0034542A" w:rsidRDefault="0099514D" w:rsidP="0099514D">
      <w:pPr>
        <w:ind w:left="720"/>
      </w:pPr>
    </w:p>
    <w:p w:rsidR="0034542A" w:rsidRPr="0034542A" w:rsidRDefault="0034542A" w:rsidP="0099514D">
      <w:pPr>
        <w:ind w:left="720"/>
      </w:pPr>
      <w:r w:rsidRPr="0034542A">
        <w:t xml:space="preserve">In December 2010, the original SSBCI Application (OMB Control No 1505-0227) was submitted for review. This request seeks to add to existing questions and clarify existing questions. </w:t>
      </w:r>
    </w:p>
    <w:p w:rsidR="0034542A" w:rsidRPr="0034542A" w:rsidRDefault="0034542A" w:rsidP="0099514D">
      <w:pPr>
        <w:ind w:left="720"/>
      </w:pPr>
    </w:p>
    <w:p w:rsidR="00AA4774" w:rsidRPr="0034542A" w:rsidRDefault="0034542A" w:rsidP="0034542A">
      <w:pPr>
        <w:numPr>
          <w:ilvl w:val="0"/>
          <w:numId w:val="19"/>
        </w:numPr>
      </w:pPr>
      <w:r w:rsidRPr="0034542A">
        <w:lastRenderedPageBreak/>
        <w:t>Additional question</w:t>
      </w:r>
      <w:r w:rsidR="00DC3BF4">
        <w:t>s</w:t>
      </w:r>
      <w:r w:rsidRPr="0034542A">
        <w:t xml:space="preserve">: </w:t>
      </w:r>
      <w:r w:rsidR="00B944CC">
        <w:t>T</w:t>
      </w:r>
      <w:r w:rsidR="0036409C" w:rsidRPr="0034542A">
        <w:t xml:space="preserve">wo additional questions added are </w:t>
      </w:r>
      <w:r>
        <w:t>intended to capture information relating to oversight and compliance</w:t>
      </w:r>
      <w:r w:rsidR="0036409C" w:rsidRPr="0034542A">
        <w:t>:</w:t>
      </w:r>
    </w:p>
    <w:p w:rsidR="000F64C2" w:rsidRDefault="000F64C2" w:rsidP="00B716A8">
      <w:pPr>
        <w:rPr>
          <w:b/>
          <w:i/>
        </w:rPr>
      </w:pPr>
    </w:p>
    <w:p w:rsidR="00B944CC" w:rsidRDefault="0034542A" w:rsidP="00DC3BF4">
      <w:pPr>
        <w:numPr>
          <w:ilvl w:val="0"/>
          <w:numId w:val="19"/>
        </w:numPr>
      </w:pPr>
      <w:r>
        <w:t xml:space="preserve">Clarification: </w:t>
      </w:r>
      <w:r w:rsidR="00B944CC">
        <w:t xml:space="preserve">Six questions are clarified in the application by adding more detailed instructions about best responses. </w:t>
      </w:r>
    </w:p>
    <w:p w:rsidR="00B944CC" w:rsidRPr="0034542A" w:rsidRDefault="00B944CC" w:rsidP="00B944CC">
      <w:pPr>
        <w:ind w:left="1440"/>
      </w:pPr>
    </w:p>
    <w:p w:rsidR="000F64C2" w:rsidRDefault="00B944CC" w:rsidP="00F64341">
      <w:pPr>
        <w:numPr>
          <w:ilvl w:val="0"/>
          <w:numId w:val="17"/>
        </w:numPr>
        <w:rPr>
          <w:u w:val="single"/>
        </w:rPr>
      </w:pPr>
      <w:r>
        <w:rPr>
          <w:u w:val="single"/>
        </w:rPr>
        <w:t xml:space="preserve">Method of collection and use of data: </w:t>
      </w:r>
      <w:r w:rsidR="00F64341">
        <w:rPr>
          <w:u w:val="single"/>
        </w:rPr>
        <w:t xml:space="preserve">Quarterly and Annual </w:t>
      </w:r>
      <w:r w:rsidR="000F64C2">
        <w:rPr>
          <w:u w:val="single"/>
        </w:rPr>
        <w:t>Reporting Requirements</w:t>
      </w:r>
      <w:r w:rsidR="00F64341">
        <w:rPr>
          <w:u w:val="single"/>
        </w:rPr>
        <w:t xml:space="preserve"> in the Allocation Agreement. </w:t>
      </w:r>
    </w:p>
    <w:p w:rsidR="00F43DC0" w:rsidRDefault="00F43DC0" w:rsidP="00B716A8">
      <w:pPr>
        <w:rPr>
          <w:b/>
          <w:i/>
        </w:rPr>
      </w:pPr>
    </w:p>
    <w:p w:rsidR="009E4F29" w:rsidRPr="00A25BF5" w:rsidRDefault="00A25BF5" w:rsidP="00B944CC">
      <w:pPr>
        <w:ind w:left="720"/>
        <w:rPr>
          <w:szCs w:val="20"/>
        </w:rPr>
      </w:pPr>
      <w:r w:rsidRPr="00A25BF5">
        <w:t xml:space="preserve">Data pertaining to </w:t>
      </w:r>
      <w:r w:rsidR="007E7F19">
        <w:t xml:space="preserve">individual </w:t>
      </w:r>
      <w:r w:rsidR="00DD411D">
        <w:t xml:space="preserve">loans or investments made by financial institutions participating in approved programs using SSBCI funds </w:t>
      </w:r>
      <w:r w:rsidR="00DC3BF4">
        <w:t xml:space="preserve">will be collected by Treasury </w:t>
      </w:r>
      <w:r w:rsidRPr="00A25BF5">
        <w:t xml:space="preserve">through quarterly and annual reports submitted by </w:t>
      </w:r>
      <w:r w:rsidR="00DC3BF4">
        <w:t>states, territories and municipalities</w:t>
      </w:r>
      <w:r w:rsidRPr="00A25BF5">
        <w:t xml:space="preserve">. Some information provided in the annual report will dictate whether subsequent reporting is required. </w:t>
      </w:r>
    </w:p>
    <w:p w:rsidR="00A25BF5" w:rsidRDefault="00A25BF5" w:rsidP="00F43DC0">
      <w:pPr>
        <w:rPr>
          <w:b/>
          <w:i/>
        </w:rPr>
      </w:pPr>
      <w:r>
        <w:rPr>
          <w:b/>
          <w:i/>
        </w:rPr>
        <w:tab/>
      </w:r>
    </w:p>
    <w:p w:rsidR="000F64C2" w:rsidRPr="00A25BF5" w:rsidRDefault="00A25BF5" w:rsidP="00A25BF5">
      <w:pPr>
        <w:ind w:left="720"/>
      </w:pPr>
      <w:r w:rsidRPr="00A25BF5">
        <w:t>Information provided in the quarterly and annual reports will be used to (1) ensure compliance with applicable laws and program requirements; and (2) track and report on the effectiveness of the program in meeting its policy objectives.</w:t>
      </w:r>
    </w:p>
    <w:p w:rsidR="00A25BF5" w:rsidRDefault="00A25BF5" w:rsidP="00A25BF5">
      <w:pPr>
        <w:keepNext/>
        <w:rPr>
          <w:u w:val="single"/>
        </w:rPr>
      </w:pPr>
    </w:p>
    <w:p w:rsidR="003C1AB8" w:rsidRDefault="00A25BF5" w:rsidP="00A25BF5">
      <w:pPr>
        <w:keepNext/>
      </w:pPr>
      <w:r>
        <w:rPr>
          <w:u w:val="single"/>
        </w:rPr>
        <w:t xml:space="preserve">3. </w:t>
      </w:r>
      <w:r w:rsidR="00F72D0B" w:rsidRPr="0025604D">
        <w:rPr>
          <w:u w:val="single"/>
        </w:rPr>
        <w:t>Use of information technology</w:t>
      </w:r>
      <w:r w:rsidR="003C1AB8" w:rsidRPr="0025604D">
        <w:t xml:space="preserve"> </w:t>
      </w:r>
    </w:p>
    <w:p w:rsidR="001A5F6A" w:rsidRDefault="001A5F6A" w:rsidP="001A5F6A">
      <w:pPr>
        <w:keepNext/>
      </w:pPr>
    </w:p>
    <w:p w:rsidR="001A5F6A" w:rsidRPr="009D2479" w:rsidRDefault="001A5F6A" w:rsidP="00A25BF5">
      <w:pPr>
        <w:keepNext/>
        <w:numPr>
          <w:ilvl w:val="0"/>
          <w:numId w:val="21"/>
        </w:numPr>
        <w:rPr>
          <w:u w:val="single"/>
        </w:rPr>
      </w:pPr>
      <w:r w:rsidRPr="009D2479">
        <w:rPr>
          <w:u w:val="single"/>
        </w:rPr>
        <w:t xml:space="preserve">Use of </w:t>
      </w:r>
      <w:r w:rsidR="009D2479">
        <w:rPr>
          <w:u w:val="single"/>
        </w:rPr>
        <w:t>I</w:t>
      </w:r>
      <w:r w:rsidRPr="009D2479">
        <w:rPr>
          <w:u w:val="single"/>
        </w:rPr>
        <w:t xml:space="preserve">nformation </w:t>
      </w:r>
      <w:r w:rsidR="009D2479">
        <w:rPr>
          <w:u w:val="single"/>
        </w:rPr>
        <w:t>T</w:t>
      </w:r>
      <w:r w:rsidRPr="009D2479">
        <w:rPr>
          <w:u w:val="single"/>
        </w:rPr>
        <w:t>echnology</w:t>
      </w:r>
      <w:r w:rsidR="00A25BF5">
        <w:rPr>
          <w:u w:val="single"/>
        </w:rPr>
        <w:t xml:space="preserve">: SSBCI </w:t>
      </w:r>
      <w:r w:rsidR="009D2479">
        <w:rPr>
          <w:u w:val="single"/>
        </w:rPr>
        <w:t>A</w:t>
      </w:r>
      <w:r w:rsidRPr="009D2479">
        <w:rPr>
          <w:u w:val="single"/>
        </w:rPr>
        <w:t xml:space="preserve">pplication </w:t>
      </w:r>
      <w:r w:rsidR="009D2479">
        <w:rPr>
          <w:u w:val="single"/>
        </w:rPr>
        <w:t>D</w:t>
      </w:r>
      <w:r w:rsidRPr="009D2479">
        <w:rPr>
          <w:u w:val="single"/>
        </w:rPr>
        <w:t xml:space="preserve">ata </w:t>
      </w:r>
      <w:r w:rsidR="009D2479">
        <w:rPr>
          <w:u w:val="single"/>
        </w:rPr>
        <w:t>C</w:t>
      </w:r>
      <w:r w:rsidRPr="009D2479">
        <w:rPr>
          <w:u w:val="single"/>
        </w:rPr>
        <w:t>ollection</w:t>
      </w:r>
    </w:p>
    <w:p w:rsidR="001A5F6A" w:rsidRDefault="001A5F6A" w:rsidP="001A5F6A">
      <w:pPr>
        <w:keepNext/>
        <w:ind w:left="720"/>
      </w:pPr>
    </w:p>
    <w:p w:rsidR="001A5F6A" w:rsidRPr="00A25BF5" w:rsidRDefault="001A5F6A" w:rsidP="00A25BF5">
      <w:pPr>
        <w:ind w:left="720"/>
      </w:pPr>
      <w:r w:rsidRPr="00A25BF5">
        <w:t>Applicants will complete a</w:t>
      </w:r>
      <w:r w:rsidR="00A25BF5">
        <w:t>n interactive application (a</w:t>
      </w:r>
      <w:r w:rsidRPr="00A25BF5">
        <w:t xml:space="preserve"> </w:t>
      </w:r>
      <w:r w:rsidR="00A25BF5">
        <w:t xml:space="preserve">fillable </w:t>
      </w:r>
      <w:r w:rsidRPr="00A25BF5">
        <w:t>PDF form</w:t>
      </w:r>
      <w:r w:rsidR="00A25BF5">
        <w:t>)</w:t>
      </w:r>
      <w:r w:rsidRPr="00A25BF5">
        <w:t xml:space="preserve"> and return the application via email; regular mail, or </w:t>
      </w:r>
      <w:r w:rsidR="00DC3BF4">
        <w:t>electronic mail</w:t>
      </w:r>
      <w:r w:rsidRPr="00A25BF5">
        <w:t>.  Data from applications will be stored electronically.</w:t>
      </w:r>
    </w:p>
    <w:p w:rsidR="001A5F6A" w:rsidRDefault="001A5F6A" w:rsidP="001A5F6A">
      <w:pPr>
        <w:keepNext/>
      </w:pPr>
    </w:p>
    <w:p w:rsidR="001A5F6A" w:rsidRPr="009D2479" w:rsidRDefault="001A5F6A" w:rsidP="00A25BF5">
      <w:pPr>
        <w:keepNext/>
        <w:numPr>
          <w:ilvl w:val="0"/>
          <w:numId w:val="21"/>
        </w:numPr>
        <w:rPr>
          <w:u w:val="single"/>
        </w:rPr>
      </w:pPr>
      <w:r w:rsidRPr="009D2479">
        <w:rPr>
          <w:u w:val="single"/>
        </w:rPr>
        <w:t xml:space="preserve">Use of </w:t>
      </w:r>
      <w:r w:rsidR="009D2479" w:rsidRPr="009D2479">
        <w:rPr>
          <w:u w:val="single"/>
        </w:rPr>
        <w:t>I</w:t>
      </w:r>
      <w:r w:rsidRPr="009D2479">
        <w:rPr>
          <w:u w:val="single"/>
        </w:rPr>
        <w:t xml:space="preserve">nformation </w:t>
      </w:r>
      <w:r w:rsidR="009D2479" w:rsidRPr="009D2479">
        <w:rPr>
          <w:u w:val="single"/>
        </w:rPr>
        <w:t>T</w:t>
      </w:r>
      <w:r w:rsidRPr="009D2479">
        <w:rPr>
          <w:u w:val="single"/>
        </w:rPr>
        <w:t xml:space="preserve">echnology in the </w:t>
      </w:r>
      <w:r w:rsidR="009D2479" w:rsidRPr="009D2479">
        <w:rPr>
          <w:u w:val="single"/>
        </w:rPr>
        <w:t>Q</w:t>
      </w:r>
      <w:r w:rsidRPr="009D2479">
        <w:rPr>
          <w:u w:val="single"/>
        </w:rPr>
        <w:t xml:space="preserve">uarterly and </w:t>
      </w:r>
      <w:r w:rsidR="009D2479" w:rsidRPr="009D2479">
        <w:rPr>
          <w:u w:val="single"/>
        </w:rPr>
        <w:t>A</w:t>
      </w:r>
      <w:r w:rsidRPr="009D2479">
        <w:rPr>
          <w:u w:val="single"/>
        </w:rPr>
        <w:t xml:space="preserve">nnual </w:t>
      </w:r>
      <w:r w:rsidR="009D2479" w:rsidRPr="009D2479">
        <w:rPr>
          <w:u w:val="single"/>
        </w:rPr>
        <w:t>R</w:t>
      </w:r>
      <w:r w:rsidRPr="009D2479">
        <w:rPr>
          <w:u w:val="single"/>
        </w:rPr>
        <w:t xml:space="preserve">eport </w:t>
      </w:r>
      <w:r w:rsidR="009D2479" w:rsidRPr="009D2479">
        <w:rPr>
          <w:u w:val="single"/>
        </w:rPr>
        <w:t>D</w:t>
      </w:r>
      <w:r w:rsidRPr="009D2479">
        <w:rPr>
          <w:u w:val="single"/>
        </w:rPr>
        <w:t xml:space="preserve">ata </w:t>
      </w:r>
      <w:r w:rsidR="009D2479" w:rsidRPr="009D2479">
        <w:rPr>
          <w:u w:val="single"/>
        </w:rPr>
        <w:t>C</w:t>
      </w:r>
      <w:r w:rsidRPr="009D2479">
        <w:rPr>
          <w:u w:val="single"/>
        </w:rPr>
        <w:t>ollection</w:t>
      </w:r>
    </w:p>
    <w:p w:rsidR="001A5F6A" w:rsidRDefault="001A5F6A" w:rsidP="001A5F6A">
      <w:pPr>
        <w:keepNext/>
        <w:ind w:left="720"/>
      </w:pPr>
    </w:p>
    <w:p w:rsidR="001A5F6A" w:rsidRPr="00A25BF5" w:rsidRDefault="001A5F6A" w:rsidP="00A25BF5">
      <w:pPr>
        <w:ind w:left="720"/>
      </w:pPr>
      <w:r w:rsidRPr="00A25BF5">
        <w:t>States</w:t>
      </w:r>
      <w:r w:rsidR="00DC3BF4">
        <w:t>, territories, and municipalities</w:t>
      </w:r>
      <w:r w:rsidRPr="00A25BF5">
        <w:t xml:space="preserve"> tha</w:t>
      </w:r>
      <w:r w:rsidR="00A85881" w:rsidRPr="00A25BF5">
        <w:t>t receive funds will upload</w:t>
      </w:r>
      <w:r w:rsidRPr="00A25BF5">
        <w:t xml:space="preserve"> the quarterly reports and annual report</w:t>
      </w:r>
      <w:r w:rsidR="00A85881" w:rsidRPr="00A25BF5">
        <w:t xml:space="preserve"> via </w:t>
      </w:r>
      <w:r w:rsidRPr="00A25BF5">
        <w:t xml:space="preserve">an </w:t>
      </w:r>
      <w:r w:rsidR="00A85881" w:rsidRPr="00A25BF5">
        <w:t>existing Treasury information technology platform.  Treasury will store this information electronically.</w:t>
      </w:r>
    </w:p>
    <w:p w:rsidR="00D24A88" w:rsidRPr="0025604D" w:rsidRDefault="00D24A88" w:rsidP="00F72D0B"/>
    <w:p w:rsidR="00F72D0B" w:rsidRPr="0025604D" w:rsidRDefault="00A25BF5" w:rsidP="00A25BF5">
      <w:r w:rsidRPr="00A25BF5">
        <w:rPr>
          <w:u w:val="single"/>
        </w:rPr>
        <w:t xml:space="preserve">4. </w:t>
      </w:r>
      <w:r w:rsidR="00F72D0B" w:rsidRPr="00A25BF5">
        <w:rPr>
          <w:u w:val="single"/>
        </w:rPr>
        <w:t>Efforts</w:t>
      </w:r>
      <w:r w:rsidR="00F72D0B" w:rsidRPr="0025604D">
        <w:rPr>
          <w:u w:val="single"/>
        </w:rPr>
        <w:t xml:space="preserve"> to identify duplication</w:t>
      </w:r>
      <w:r w:rsidR="00F72D0B" w:rsidRPr="0025604D">
        <w:t xml:space="preserve">   </w:t>
      </w:r>
    </w:p>
    <w:p w:rsidR="00406DAA" w:rsidRDefault="00406DAA" w:rsidP="00CC4534"/>
    <w:p w:rsidR="00F72D0B" w:rsidRDefault="00F72D0B" w:rsidP="00F72D0B">
      <w:r w:rsidRPr="00A25BF5">
        <w:t xml:space="preserve">The information </w:t>
      </w:r>
      <w:r w:rsidR="00FB7F1C" w:rsidRPr="00A25BF5">
        <w:t xml:space="preserve">that will be collected </w:t>
      </w:r>
      <w:r w:rsidR="00BB7333" w:rsidRPr="00A25BF5">
        <w:t xml:space="preserve">does not </w:t>
      </w:r>
      <w:r w:rsidR="005A5C1B" w:rsidRPr="00A25BF5">
        <w:t xml:space="preserve">overlap with </w:t>
      </w:r>
      <w:r w:rsidR="00BB7333" w:rsidRPr="00A25BF5">
        <w:t xml:space="preserve">any information </w:t>
      </w:r>
      <w:r w:rsidR="005A5C1B" w:rsidRPr="00A25BF5">
        <w:t xml:space="preserve">collected </w:t>
      </w:r>
      <w:r w:rsidR="0054191E" w:rsidRPr="00A25BF5">
        <w:t>under previously approved information</w:t>
      </w:r>
      <w:r w:rsidR="00BB7333" w:rsidRPr="00A25BF5">
        <w:t xml:space="preserve"> </w:t>
      </w:r>
      <w:r w:rsidR="0054191E" w:rsidRPr="00A25BF5">
        <w:t>collections</w:t>
      </w:r>
      <w:r w:rsidR="00BB7333" w:rsidRPr="00A25BF5">
        <w:t>.</w:t>
      </w:r>
      <w:r w:rsidR="0054191E" w:rsidRPr="00A25BF5">
        <w:t xml:space="preserve">  </w:t>
      </w:r>
    </w:p>
    <w:p w:rsidR="00A25BF5" w:rsidRDefault="00A25BF5" w:rsidP="00F72D0B"/>
    <w:p w:rsidR="00A25BF5" w:rsidRDefault="00390E44" w:rsidP="00F72D0B">
      <w:r>
        <w:t>Because SSBCI</w:t>
      </w:r>
      <w:r w:rsidR="00A25BF5">
        <w:t xml:space="preserve"> is a new program, the foundational documents need to be adjusted in light of </w:t>
      </w:r>
      <w:r w:rsidR="00C40A37">
        <w:t xml:space="preserve">lessons learned from the </w:t>
      </w:r>
      <w:r>
        <w:t>first few applicants</w:t>
      </w:r>
      <w:r w:rsidR="00A25BF5">
        <w:t xml:space="preserve">. </w:t>
      </w:r>
      <w:r w:rsidR="009A2351">
        <w:t xml:space="preserve">In the revised documents, </w:t>
      </w:r>
      <w:r w:rsidR="00DC3BF4">
        <w:t>Treasury</w:t>
      </w:r>
      <w:r w:rsidR="00B830B7">
        <w:t xml:space="preserve"> </w:t>
      </w:r>
      <w:r w:rsidR="009A2351">
        <w:t xml:space="preserve">has </w:t>
      </w:r>
      <w:r w:rsidR="00B830B7">
        <w:t>made efforts to ensure that the questions asked in the application fully capture the statutory language concerning eligibility</w:t>
      </w:r>
      <w:r>
        <w:t xml:space="preserve">. Treasury </w:t>
      </w:r>
      <w:r w:rsidR="009A2351">
        <w:t xml:space="preserve">has </w:t>
      </w:r>
      <w:r>
        <w:t xml:space="preserve">also </w:t>
      </w:r>
      <w:r w:rsidR="00B830B7">
        <w:t>made efforts to clarify questions to ensure that the application reviewers ha</w:t>
      </w:r>
      <w:r w:rsidR="009A2351">
        <w:t>ve</w:t>
      </w:r>
      <w:r w:rsidR="00B830B7">
        <w:t xml:space="preserve"> the best information </w:t>
      </w:r>
      <w:r w:rsidR="009A2351">
        <w:t xml:space="preserve">on which </w:t>
      </w:r>
      <w:r w:rsidR="00B830B7">
        <w:t xml:space="preserve">to base </w:t>
      </w:r>
      <w:r>
        <w:t>their recommendations</w:t>
      </w:r>
      <w:r w:rsidR="00C40A37">
        <w:t xml:space="preserve"> and to reduce burden on applicants by eliminating the need to request supplemental information</w:t>
      </w:r>
      <w:r w:rsidR="00B830B7">
        <w:t xml:space="preserve">. </w:t>
      </w:r>
    </w:p>
    <w:p w:rsidR="00B830B7" w:rsidRDefault="00B830B7" w:rsidP="00F72D0B"/>
    <w:p w:rsidR="00B830B7" w:rsidRPr="00A25BF5" w:rsidRDefault="00B830B7" w:rsidP="00F72D0B">
      <w:r>
        <w:t xml:space="preserve">Additionally, </w:t>
      </w:r>
      <w:r w:rsidR="00DC3BF4">
        <w:t>Treasury</w:t>
      </w:r>
      <w:r>
        <w:t xml:space="preserve"> staff met with staff from the Small Business Administration (SBA), and the Community Development Financial Institutions </w:t>
      </w:r>
      <w:r w:rsidR="002E7A1A">
        <w:t xml:space="preserve">(CDFI) </w:t>
      </w:r>
      <w:r>
        <w:t xml:space="preserve">Fund when drafting its revised </w:t>
      </w:r>
      <w:r w:rsidR="00DC3BF4">
        <w:t>application and allocation agreement</w:t>
      </w:r>
      <w:r>
        <w:t>. These meetings</w:t>
      </w:r>
      <w:r w:rsidR="002E7A1A">
        <w:t xml:space="preserve"> with SBA and CDFI Fund</w:t>
      </w:r>
      <w:r>
        <w:t xml:space="preserve"> helped identify areas</w:t>
      </w:r>
      <w:r w:rsidR="00390E44">
        <w:t xml:space="preserve"> in order to</w:t>
      </w:r>
      <w:r w:rsidR="007E7F19">
        <w:t xml:space="preserve"> streamline </w:t>
      </w:r>
      <w:r w:rsidR="009A2351">
        <w:t>reporting and take advantage of existing systems</w:t>
      </w:r>
      <w:r w:rsidR="00390E44">
        <w:t xml:space="preserve"> that are currently in use at analogous Federal agencies</w:t>
      </w:r>
      <w:r w:rsidR="009A2351">
        <w:t xml:space="preserve">. </w:t>
      </w:r>
    </w:p>
    <w:p w:rsidR="00B830B7" w:rsidRDefault="00B830B7" w:rsidP="00B830B7"/>
    <w:p w:rsidR="00F72D0B" w:rsidRPr="0025604D" w:rsidRDefault="00F72D0B" w:rsidP="00B830B7">
      <w:pPr>
        <w:rPr>
          <w:u w:val="single"/>
        </w:rPr>
      </w:pPr>
      <w:r w:rsidRPr="00B830B7">
        <w:rPr>
          <w:u w:val="single"/>
        </w:rPr>
        <w:t xml:space="preserve">5.  </w:t>
      </w:r>
      <w:r w:rsidRPr="0025604D">
        <w:rPr>
          <w:u w:val="single"/>
        </w:rPr>
        <w:t>Impact on small entities</w:t>
      </w:r>
    </w:p>
    <w:p w:rsidR="00F72D0B" w:rsidRPr="0025604D" w:rsidRDefault="00F72D0B" w:rsidP="00F72D0B"/>
    <w:p w:rsidR="00F72D0B" w:rsidRDefault="00B830B7" w:rsidP="00F72D0B">
      <w:r>
        <w:t>This collection of information is not expected to have a significant impact on small entities. Many of the entities that will be providing the transaction</w:t>
      </w:r>
      <w:r w:rsidR="009A2351">
        <w:t>-</w:t>
      </w:r>
      <w:r>
        <w:t xml:space="preserve">level data will be familiar with the types of information requested </w:t>
      </w:r>
      <w:r w:rsidR="00390E44">
        <w:t xml:space="preserve">based upon </w:t>
      </w:r>
      <w:r w:rsidR="009A2351">
        <w:t xml:space="preserve">their experience with </w:t>
      </w:r>
      <w:r w:rsidR="00390E44">
        <w:t>existing s</w:t>
      </w:r>
      <w:r w:rsidR="009A2351">
        <w:t xml:space="preserve">tate programs as well as the more extensive data collected </w:t>
      </w:r>
      <w:r>
        <w:t xml:space="preserve">by the SBA. </w:t>
      </w:r>
    </w:p>
    <w:p w:rsidR="00DC3BF4" w:rsidRDefault="00DC3BF4" w:rsidP="00F72D0B"/>
    <w:p w:rsidR="00D24A88" w:rsidRPr="0025604D" w:rsidRDefault="00D24A88" w:rsidP="00F72D0B"/>
    <w:p w:rsidR="00F72D0B" w:rsidRPr="0025604D" w:rsidRDefault="00F72D0B" w:rsidP="007A5035">
      <w:pPr>
        <w:rPr>
          <w:u w:val="single"/>
        </w:rPr>
      </w:pPr>
      <w:r w:rsidRPr="007A5035">
        <w:rPr>
          <w:u w:val="single"/>
        </w:rPr>
        <w:t>6.  Consequences</w:t>
      </w:r>
      <w:r w:rsidRPr="0025604D">
        <w:rPr>
          <w:u w:val="single"/>
        </w:rPr>
        <w:t xml:space="preserve"> of less frequent collection and obstacles to burden reduction</w:t>
      </w:r>
    </w:p>
    <w:p w:rsidR="00F72D0B" w:rsidRPr="0025604D" w:rsidRDefault="00F72D0B" w:rsidP="00F72D0B"/>
    <w:p w:rsidR="007A5035" w:rsidRDefault="00B830B7" w:rsidP="00F72D0B">
      <w:r>
        <w:t>SSBCI is statutorily required to have an application and annual reporting. T</w:t>
      </w:r>
      <w:r w:rsidR="00DC3BF4">
        <w:t xml:space="preserve">reasury </w:t>
      </w:r>
      <w:r>
        <w:t xml:space="preserve">cannot meet its statutory requirement to fund programs without using an application form to discern eligibility of programs. The SSBCI Application is anticipated to be a one-time collection because this program is not likely to be renewed. </w:t>
      </w:r>
    </w:p>
    <w:p w:rsidR="007A5035" w:rsidRDefault="007A5035" w:rsidP="00F72D0B"/>
    <w:p w:rsidR="007A5035" w:rsidRDefault="007A5035" w:rsidP="00F72D0B">
      <w:r>
        <w:t>Reporting e</w:t>
      </w:r>
      <w:r w:rsidR="00B830B7">
        <w:t>lem</w:t>
      </w:r>
      <w:r>
        <w:t>e</w:t>
      </w:r>
      <w:r w:rsidR="00B830B7">
        <w:t xml:space="preserve">nts specified in the Act limit the </w:t>
      </w:r>
      <w:r w:rsidR="009A2351">
        <w:t xml:space="preserve">degree </w:t>
      </w:r>
      <w:r w:rsidR="00B830B7">
        <w:t>to which the</w:t>
      </w:r>
      <w:r w:rsidR="00C40A37">
        <w:t xml:space="preserve"> reporting requirements in the</w:t>
      </w:r>
      <w:r w:rsidR="00B830B7">
        <w:t xml:space="preserve"> </w:t>
      </w:r>
      <w:r>
        <w:t>SSBCI Allocation Agreement can</w:t>
      </w:r>
      <w:r w:rsidR="00B830B7">
        <w:t xml:space="preserve"> be reduced below the current level. </w:t>
      </w:r>
      <w:r w:rsidR="000570DB" w:rsidRPr="00B830B7">
        <w:t xml:space="preserve"> </w:t>
      </w:r>
    </w:p>
    <w:p w:rsidR="007A5035" w:rsidRPr="0025604D" w:rsidRDefault="007A5035" w:rsidP="00F72D0B"/>
    <w:p w:rsidR="00F72D0B" w:rsidRPr="0025604D" w:rsidRDefault="00CB003A" w:rsidP="007A5035">
      <w:pPr>
        <w:rPr>
          <w:u w:val="single"/>
        </w:rPr>
      </w:pPr>
      <w:r w:rsidRPr="007A5035">
        <w:rPr>
          <w:u w:val="single"/>
        </w:rPr>
        <w:t>7.  Circumstances</w:t>
      </w:r>
      <w:r w:rsidRPr="0025604D">
        <w:rPr>
          <w:u w:val="single"/>
        </w:rPr>
        <w:t xml:space="preserve"> requiring special information collection</w:t>
      </w:r>
    </w:p>
    <w:p w:rsidR="00FB7F1C" w:rsidRDefault="00FB7F1C" w:rsidP="00CB003A">
      <w:pPr>
        <w:rPr>
          <w:u w:val="single"/>
        </w:rPr>
      </w:pPr>
    </w:p>
    <w:p w:rsidR="00D24A88" w:rsidRPr="007A5035" w:rsidRDefault="00D24A88" w:rsidP="00D24A88">
      <w:r w:rsidRPr="007A5035">
        <w:t>Not applicable.</w:t>
      </w:r>
      <w:r w:rsidR="009B6FA0" w:rsidRPr="007A5035">
        <w:t xml:space="preserve"> </w:t>
      </w:r>
    </w:p>
    <w:p w:rsidR="00CB003A" w:rsidRPr="0025604D" w:rsidRDefault="00CB003A" w:rsidP="00CB003A"/>
    <w:p w:rsidR="00CB003A" w:rsidRPr="0025604D" w:rsidRDefault="00147A26" w:rsidP="007A5035">
      <w:pPr>
        <w:rPr>
          <w:u w:val="single"/>
        </w:rPr>
      </w:pPr>
      <w:r w:rsidRPr="007A5035">
        <w:rPr>
          <w:u w:val="single"/>
        </w:rPr>
        <w:t xml:space="preserve">8.  </w:t>
      </w:r>
      <w:r w:rsidR="00CB003A" w:rsidRPr="007A5035">
        <w:rPr>
          <w:u w:val="single"/>
        </w:rPr>
        <w:t>Solicitation</w:t>
      </w:r>
      <w:r w:rsidR="00CB003A" w:rsidRPr="0025604D">
        <w:rPr>
          <w:u w:val="single"/>
        </w:rPr>
        <w:t xml:space="preserve"> of comments on information collection</w:t>
      </w:r>
    </w:p>
    <w:p w:rsidR="00CB003A" w:rsidRPr="0025604D" w:rsidRDefault="00CB003A" w:rsidP="00CB003A"/>
    <w:p w:rsidR="00206C0B" w:rsidRPr="007A5035" w:rsidRDefault="00206C0B" w:rsidP="00CB003A">
      <w:r w:rsidRPr="007A5035">
        <w:t>The informa</w:t>
      </w:r>
      <w:r w:rsidR="007A5035">
        <w:t>tion collection related to the SSBCI A</w:t>
      </w:r>
      <w:r w:rsidRPr="007A5035">
        <w:t>pplication is necessary to comply with the Act and is requested under the emergency processing under OMB’s PRA regulations.</w:t>
      </w:r>
    </w:p>
    <w:p w:rsidR="00206C0B" w:rsidRPr="007A5035" w:rsidRDefault="00206C0B" w:rsidP="00CB003A"/>
    <w:p w:rsidR="00206C0B" w:rsidRPr="007A5035" w:rsidRDefault="00206C0B" w:rsidP="00CB003A">
      <w:r w:rsidRPr="007A5035">
        <w:t xml:space="preserve">The information collection </w:t>
      </w:r>
      <w:r w:rsidR="009A2351">
        <w:t>in the</w:t>
      </w:r>
      <w:r w:rsidRPr="007A5035">
        <w:t xml:space="preserve"> quarterly and annual reports is necessary to comply with the Act</w:t>
      </w:r>
      <w:r w:rsidR="009A2351">
        <w:t xml:space="preserve">.  Treasury </w:t>
      </w:r>
      <w:r w:rsidRPr="007A5035">
        <w:t>request</w:t>
      </w:r>
      <w:r w:rsidR="009A2351">
        <w:t>s</w:t>
      </w:r>
      <w:r w:rsidRPr="007A5035">
        <w:t xml:space="preserve"> emergency processing under OMB’s PRA regulations.  However, because of </w:t>
      </w:r>
      <w:r w:rsidR="007A5035">
        <w:t xml:space="preserve">the </w:t>
      </w:r>
      <w:r w:rsidR="00DC3BF4">
        <w:t>Treasury’s</w:t>
      </w:r>
      <w:r w:rsidRPr="007A5035">
        <w:t xml:space="preserve"> strong interest in minimizing impact while </w:t>
      </w:r>
      <w:r w:rsidR="009A2351">
        <w:t>enabling appropriate</w:t>
      </w:r>
      <w:r w:rsidR="009A2351" w:rsidRPr="007A5035">
        <w:t xml:space="preserve"> </w:t>
      </w:r>
      <w:r w:rsidRPr="007A5035">
        <w:t xml:space="preserve">oversight, </w:t>
      </w:r>
      <w:r w:rsidR="00DC3BF4">
        <w:t>Treasury</w:t>
      </w:r>
      <w:r w:rsidR="007A5035">
        <w:t xml:space="preserve"> staff</w:t>
      </w:r>
      <w:r w:rsidRPr="007A5035">
        <w:t xml:space="preserve"> has conducted one-on-one conversations with </w:t>
      </w:r>
      <w:r w:rsidR="007A5035">
        <w:t>lenders and states in order to develop the quarterly and annual reporting requirements</w:t>
      </w:r>
      <w:r w:rsidRPr="007A5035">
        <w:t xml:space="preserve">.  </w:t>
      </w:r>
      <w:r w:rsidR="00C571B2" w:rsidRPr="007A5035">
        <w:t xml:space="preserve">In addition, </w:t>
      </w:r>
      <w:r w:rsidR="00DC3BF4">
        <w:t>Treasury</w:t>
      </w:r>
      <w:r w:rsidR="00C571B2" w:rsidRPr="007A5035">
        <w:t xml:space="preserve"> participated in</w:t>
      </w:r>
      <w:r w:rsidRPr="007A5035">
        <w:t xml:space="preserve"> a conference call with the Financial Service</w:t>
      </w:r>
      <w:r w:rsidR="00377FC4" w:rsidRPr="007A5035">
        <w:t>s</w:t>
      </w:r>
      <w:r w:rsidR="007A5035">
        <w:t xml:space="preserve"> Roundtable</w:t>
      </w:r>
      <w:r w:rsidRPr="007A5035">
        <w:t xml:space="preserve">, which represents lending institutions, </w:t>
      </w:r>
      <w:r w:rsidR="00377FC4" w:rsidRPr="007A5035">
        <w:t xml:space="preserve">and </w:t>
      </w:r>
      <w:r w:rsidR="00997F5F">
        <w:t xml:space="preserve">a </w:t>
      </w:r>
      <w:r w:rsidR="00390E44">
        <w:t>second</w:t>
      </w:r>
      <w:r w:rsidR="009A2351">
        <w:t xml:space="preserve"> conference call </w:t>
      </w:r>
      <w:r w:rsidR="00377FC4" w:rsidRPr="007A5035">
        <w:t>with the Council of Development</w:t>
      </w:r>
      <w:r w:rsidR="007A5035">
        <w:t xml:space="preserve"> Finance Agencies</w:t>
      </w:r>
      <w:r w:rsidRPr="007A5035">
        <w:t xml:space="preserve">, which represents the type of </w:t>
      </w:r>
      <w:r w:rsidR="009A2351">
        <w:t xml:space="preserve">state agencies </w:t>
      </w:r>
      <w:r w:rsidRPr="007A5035">
        <w:t xml:space="preserve">most likely </w:t>
      </w:r>
      <w:r w:rsidR="009A2351">
        <w:t xml:space="preserve">to apply for SSBCI. </w:t>
      </w:r>
      <w:r w:rsidR="007A5035">
        <w:t>T</w:t>
      </w:r>
      <w:r w:rsidR="00DC3BF4">
        <w:t xml:space="preserve">reasury </w:t>
      </w:r>
      <w:r w:rsidRPr="007A5035">
        <w:t xml:space="preserve">made significant changes to its proposed data collection as a result of these exchanges, including substituting a unique loan/investment identifier number for the business’s name and address (in order to allay privacy concerns) and removing the requirement that </w:t>
      </w:r>
      <w:r w:rsidR="007A5035">
        <w:t xml:space="preserve">states </w:t>
      </w:r>
      <w:r w:rsidRPr="007A5035">
        <w:t xml:space="preserve"> report on credit scores and delinquencies.</w:t>
      </w:r>
    </w:p>
    <w:p w:rsidR="007A5035" w:rsidRDefault="007A5035" w:rsidP="007A5035">
      <w:pPr>
        <w:keepNext/>
        <w:rPr>
          <w:b/>
          <w:i/>
        </w:rPr>
      </w:pPr>
    </w:p>
    <w:p w:rsidR="00147A26" w:rsidRPr="007A5035" w:rsidRDefault="00147A26" w:rsidP="007A5035">
      <w:pPr>
        <w:keepNext/>
        <w:rPr>
          <w:u w:val="single"/>
        </w:rPr>
      </w:pPr>
      <w:r w:rsidRPr="007A5035">
        <w:rPr>
          <w:u w:val="single"/>
        </w:rPr>
        <w:t>9.  Provision of payments to recordkeepers</w:t>
      </w:r>
    </w:p>
    <w:p w:rsidR="00147A26" w:rsidRPr="0025604D" w:rsidRDefault="00147A26" w:rsidP="00FB7F1C">
      <w:pPr>
        <w:keepNext/>
      </w:pPr>
    </w:p>
    <w:p w:rsidR="00256911" w:rsidRPr="007A5035" w:rsidRDefault="009B6FA0" w:rsidP="00CB003A">
      <w:r w:rsidRPr="007A5035">
        <w:t>Not applicable.</w:t>
      </w:r>
      <w:r w:rsidR="00D24A88" w:rsidRPr="007A5035">
        <w:t xml:space="preserve"> </w:t>
      </w:r>
    </w:p>
    <w:p w:rsidR="007A5035" w:rsidRDefault="007A5035" w:rsidP="007A5035">
      <w:pPr>
        <w:keepNext/>
      </w:pPr>
    </w:p>
    <w:p w:rsidR="00147A26" w:rsidRPr="007A5035" w:rsidRDefault="00147A26" w:rsidP="007A5035">
      <w:pPr>
        <w:keepNext/>
        <w:rPr>
          <w:u w:val="single"/>
        </w:rPr>
      </w:pPr>
      <w:r w:rsidRPr="007A5035">
        <w:rPr>
          <w:u w:val="single"/>
        </w:rPr>
        <w:t>10.  Assurance of confidentiality</w:t>
      </w:r>
    </w:p>
    <w:p w:rsidR="00147A26" w:rsidRPr="0025604D" w:rsidRDefault="00147A26" w:rsidP="00666B6D">
      <w:pPr>
        <w:keepNext/>
      </w:pPr>
    </w:p>
    <w:p w:rsidR="00147A26" w:rsidRPr="007A5035" w:rsidRDefault="00147A26" w:rsidP="00CB003A">
      <w:r w:rsidRPr="007A5035">
        <w:t>The</w:t>
      </w:r>
      <w:r w:rsidR="007A5035">
        <w:t xml:space="preserve"> SSBCI is subject to all Federal regulations with respect to confidentiality of information supplied in the application and reporting process. </w:t>
      </w:r>
    </w:p>
    <w:p w:rsidR="00860267" w:rsidRPr="0025604D" w:rsidRDefault="00860267" w:rsidP="00CB003A"/>
    <w:p w:rsidR="00147A26" w:rsidRPr="0025604D" w:rsidRDefault="00147A26" w:rsidP="007A5035">
      <w:pPr>
        <w:rPr>
          <w:u w:val="single"/>
        </w:rPr>
      </w:pPr>
      <w:r w:rsidRPr="007A5035">
        <w:rPr>
          <w:u w:val="single"/>
        </w:rPr>
        <w:t>11.  Justification</w:t>
      </w:r>
      <w:r w:rsidRPr="0025604D">
        <w:rPr>
          <w:u w:val="single"/>
        </w:rPr>
        <w:t xml:space="preserve"> of sensitive questions</w:t>
      </w:r>
    </w:p>
    <w:p w:rsidR="00147A26" w:rsidRPr="0025604D" w:rsidRDefault="00147A26" w:rsidP="00CB003A"/>
    <w:p w:rsidR="00A91D99" w:rsidRPr="007A5035" w:rsidRDefault="007A5035" w:rsidP="00CB003A">
      <w:r>
        <w:t xml:space="preserve">No questions of a sensitive nature are asked in the SSBCI Application nor the SSBCI Allocation Agreement Quarterly and Annual Reporting. </w:t>
      </w:r>
    </w:p>
    <w:p w:rsidR="00147A26" w:rsidRPr="0025604D" w:rsidRDefault="00147A26" w:rsidP="00CB003A"/>
    <w:p w:rsidR="00147A26" w:rsidRPr="007A5035" w:rsidRDefault="00961823" w:rsidP="007A5035">
      <w:pPr>
        <w:rPr>
          <w:u w:val="single"/>
        </w:rPr>
      </w:pPr>
      <w:bookmarkStart w:id="0" w:name="OLE_LINK1"/>
      <w:r w:rsidRPr="007A5035">
        <w:rPr>
          <w:u w:val="single"/>
        </w:rPr>
        <w:t>12.  Estimated burden of information collection</w:t>
      </w:r>
    </w:p>
    <w:p w:rsidR="009D2479" w:rsidRDefault="009D2479" w:rsidP="00181F21">
      <w:pPr>
        <w:ind w:firstLine="360"/>
        <w:rPr>
          <w:u w:val="single"/>
        </w:rPr>
      </w:pPr>
    </w:p>
    <w:p w:rsidR="009D2479" w:rsidRPr="0025604D" w:rsidRDefault="009D2479" w:rsidP="007A5035">
      <w:pPr>
        <w:numPr>
          <w:ilvl w:val="0"/>
          <w:numId w:val="22"/>
        </w:numPr>
      </w:pPr>
      <w:r>
        <w:rPr>
          <w:u w:val="single"/>
        </w:rPr>
        <w:t xml:space="preserve">Estimated </w:t>
      </w:r>
      <w:r w:rsidR="007A5035">
        <w:rPr>
          <w:u w:val="single"/>
        </w:rPr>
        <w:t>burden of information collection: SSBCI</w:t>
      </w:r>
      <w:r>
        <w:rPr>
          <w:u w:val="single"/>
        </w:rPr>
        <w:t xml:space="preserve"> Application</w:t>
      </w:r>
    </w:p>
    <w:bookmarkEnd w:id="0"/>
    <w:p w:rsidR="00961823" w:rsidRDefault="00961823" w:rsidP="00CB003A"/>
    <w:p w:rsidR="009D2479" w:rsidRPr="007A5035" w:rsidRDefault="007A5035" w:rsidP="007A5035">
      <w:pPr>
        <w:ind w:left="720"/>
      </w:pPr>
      <w:r>
        <w:t>T</w:t>
      </w:r>
      <w:r w:rsidR="00CA7D88" w:rsidRPr="007A5035">
        <w:t>he</w:t>
      </w:r>
      <w:r>
        <w:t>re will be approximately 54</w:t>
      </w:r>
      <w:r w:rsidR="00CA7D88" w:rsidRPr="007A5035">
        <w:t xml:space="preserve"> applicants applying for funds</w:t>
      </w:r>
      <w:r>
        <w:t xml:space="preserve">. </w:t>
      </w:r>
      <w:r w:rsidR="009A2351">
        <w:t xml:space="preserve"> </w:t>
      </w:r>
      <w:r w:rsidR="007E7F19">
        <w:t xml:space="preserve">SSBCI expects that these applicants </w:t>
      </w:r>
      <w:r>
        <w:t xml:space="preserve">will request funding for approximately </w:t>
      </w:r>
      <w:r w:rsidR="0009720D" w:rsidRPr="007A5035">
        <w:t>79 programs.</w:t>
      </w:r>
      <w:r w:rsidR="00CA7D88" w:rsidRPr="007A5035">
        <w:t xml:space="preserve"> </w:t>
      </w:r>
      <w:r>
        <w:t>SSBCI</w:t>
      </w:r>
      <w:r w:rsidR="0009720D" w:rsidRPr="007A5035">
        <w:t xml:space="preserve"> estimate</w:t>
      </w:r>
      <w:r>
        <w:t>s</w:t>
      </w:r>
      <w:r w:rsidR="0009720D" w:rsidRPr="007A5035">
        <w:t xml:space="preserve"> </w:t>
      </w:r>
      <w:r w:rsidR="0009720D" w:rsidRPr="007A5035">
        <w:lastRenderedPageBreak/>
        <w:t xml:space="preserve">the burden </w:t>
      </w:r>
      <w:r>
        <w:t>of collection to be</w:t>
      </w:r>
      <w:r w:rsidR="0009720D" w:rsidRPr="007A5035">
        <w:t xml:space="preserve"> approximately 10</w:t>
      </w:r>
      <w:r w:rsidR="0036409C" w:rsidRPr="007A5035">
        <w:t>.5</w:t>
      </w:r>
      <w:r w:rsidR="0009720D" w:rsidRPr="007A5035">
        <w:t xml:space="preserve"> hours per program funding request</w:t>
      </w:r>
      <w:r>
        <w:t xml:space="preserve">. The 10.5 hours is </w:t>
      </w:r>
      <w:r w:rsidR="0036409C" w:rsidRPr="007A5035">
        <w:t xml:space="preserve">an increase of 0.5 hours from our previous </w:t>
      </w:r>
      <w:r>
        <w:t xml:space="preserve">PRA </w:t>
      </w:r>
      <w:r w:rsidR="0036409C" w:rsidRPr="007A5035">
        <w:t xml:space="preserve">request </w:t>
      </w:r>
      <w:r>
        <w:t xml:space="preserve">and is </w:t>
      </w:r>
      <w:r w:rsidR="0036409C" w:rsidRPr="007A5035">
        <w:t>a result of addi</w:t>
      </w:r>
      <w:r>
        <w:t>ng the two compliance questions. SSBCI</w:t>
      </w:r>
      <w:r w:rsidR="0009720D" w:rsidRPr="007A5035">
        <w:t xml:space="preserve"> estimate</w:t>
      </w:r>
      <w:r>
        <w:t>s</w:t>
      </w:r>
      <w:r w:rsidR="0009720D" w:rsidRPr="007A5035">
        <w:t xml:space="preserve"> the total annual burden to be </w:t>
      </w:r>
      <w:r w:rsidR="0036409C" w:rsidRPr="007A5035">
        <w:t>829.5</w:t>
      </w:r>
      <w:r w:rsidR="0009720D" w:rsidRPr="007A5035">
        <w:t xml:space="preserve"> hours (79 programs * 10</w:t>
      </w:r>
      <w:r w:rsidR="00BF7503" w:rsidRPr="007A5035">
        <w:t>.5</w:t>
      </w:r>
      <w:r w:rsidR="0009720D" w:rsidRPr="007A5035">
        <w:t xml:space="preserve"> hours/program). </w:t>
      </w:r>
    </w:p>
    <w:p w:rsidR="009D2479" w:rsidRDefault="009D2479" w:rsidP="00CA7D88">
      <w:pPr>
        <w:rPr>
          <w:b/>
          <w:i/>
        </w:rPr>
      </w:pPr>
    </w:p>
    <w:p w:rsidR="00CA7D88" w:rsidRPr="009D2479" w:rsidRDefault="009D2479" w:rsidP="00474E08">
      <w:pPr>
        <w:numPr>
          <w:ilvl w:val="0"/>
          <w:numId w:val="22"/>
        </w:numPr>
        <w:rPr>
          <w:b/>
          <w:i/>
          <w:u w:val="single"/>
        </w:rPr>
      </w:pPr>
      <w:r w:rsidRPr="009D2479">
        <w:rPr>
          <w:u w:val="single"/>
        </w:rPr>
        <w:t>Estimated Burden of the Quarterly and Annual Reports</w:t>
      </w:r>
      <w:r w:rsidR="0009720D" w:rsidRPr="009D2479">
        <w:rPr>
          <w:b/>
          <w:i/>
          <w:u w:val="single"/>
        </w:rPr>
        <w:t xml:space="preserve"> </w:t>
      </w:r>
    </w:p>
    <w:p w:rsidR="00CA7D88" w:rsidRDefault="00CA7D88" w:rsidP="00CB003A"/>
    <w:p w:rsidR="004E034E" w:rsidRDefault="00A34ED2" w:rsidP="00474E08">
      <w:pPr>
        <w:ind w:left="720"/>
        <w:rPr>
          <w:b/>
          <w:i/>
        </w:rPr>
      </w:pPr>
      <w:r>
        <w:t>SSBCI</w:t>
      </w:r>
      <w:r w:rsidR="004E034E" w:rsidRPr="00A34ED2">
        <w:t xml:space="preserve"> anticipate</w:t>
      </w:r>
      <w:r>
        <w:t>s</w:t>
      </w:r>
      <w:r w:rsidR="004E034E" w:rsidRPr="00A34ED2">
        <w:t xml:space="preserve"> that 54 </w:t>
      </w:r>
      <w:r>
        <w:t>s</w:t>
      </w:r>
      <w:r w:rsidR="004E034E" w:rsidRPr="00A34ED2">
        <w:t>tates</w:t>
      </w:r>
      <w:r>
        <w:t>, territories, and/or municipalities</w:t>
      </w:r>
      <w:r w:rsidR="004E034E" w:rsidRPr="00A34ED2">
        <w:t xml:space="preserve"> will receive funds.  </w:t>
      </w:r>
      <w:r w:rsidR="0009720D" w:rsidRPr="00A34ED2">
        <w:t xml:space="preserve">We </w:t>
      </w:r>
      <w:r>
        <w:t>T</w:t>
      </w:r>
      <w:r w:rsidR="0009720D" w:rsidRPr="00A34ED2">
        <w:t xml:space="preserve">he </w:t>
      </w:r>
      <w:r>
        <w:t xml:space="preserve">estimated </w:t>
      </w:r>
      <w:r w:rsidR="0009720D" w:rsidRPr="00A34ED2">
        <w:t xml:space="preserve">time to complete a quarterly report is 1 hour.  Therefore, the estimated annual burden associated with quarterly reports is 216 hours (54 </w:t>
      </w:r>
      <w:r>
        <w:t>states</w:t>
      </w:r>
      <w:r w:rsidR="0009720D" w:rsidRPr="00A34ED2">
        <w:t xml:space="preserve"> * 4 quarterly reports/year * 1 hour/report</w:t>
      </w:r>
      <w:r w:rsidR="0009720D">
        <w:rPr>
          <w:b/>
          <w:i/>
        </w:rPr>
        <w:t xml:space="preserve">).  </w:t>
      </w:r>
    </w:p>
    <w:p w:rsidR="009D2479" w:rsidRDefault="009D2479" w:rsidP="00CB003A">
      <w:pPr>
        <w:rPr>
          <w:b/>
          <w:i/>
        </w:rPr>
      </w:pPr>
    </w:p>
    <w:p w:rsidR="00AB7A4F" w:rsidRPr="00A34ED2" w:rsidRDefault="00A34ED2" w:rsidP="00474E08">
      <w:pPr>
        <w:ind w:left="720"/>
      </w:pPr>
      <w:r w:rsidRPr="00A34ED2">
        <w:t>E</w:t>
      </w:r>
      <w:r w:rsidR="004E034E" w:rsidRPr="00A34ED2">
        <w:t>ach annual rep</w:t>
      </w:r>
      <w:r w:rsidR="005C0828" w:rsidRPr="00A34ED2">
        <w:t xml:space="preserve">ort will require, on average, </w:t>
      </w:r>
      <w:r w:rsidR="00C21EA2" w:rsidRPr="00A34ED2">
        <w:t>6.36</w:t>
      </w:r>
      <w:r>
        <w:t xml:space="preserve"> hours of a state’s</w:t>
      </w:r>
      <w:r w:rsidR="004E034E" w:rsidRPr="00A34ED2">
        <w:t xml:space="preserve"> time, </w:t>
      </w:r>
      <w:r w:rsidR="005C0828" w:rsidRPr="00A34ED2">
        <w:t xml:space="preserve">for a total annual burden of </w:t>
      </w:r>
      <w:r w:rsidR="00C21EA2" w:rsidRPr="00A34ED2">
        <w:t>343</w:t>
      </w:r>
      <w:r w:rsidR="004E034E" w:rsidRPr="00A34ED2">
        <w:t xml:space="preserve"> hours</w:t>
      </w:r>
      <w:r w:rsidR="0009720D" w:rsidRPr="00A34ED2">
        <w:t xml:space="preserve"> (54 </w:t>
      </w:r>
      <w:r>
        <w:t>states</w:t>
      </w:r>
      <w:r w:rsidR="00C21EA2" w:rsidRPr="00A34ED2">
        <w:t xml:space="preserve"> * 6.36 hours</w:t>
      </w:r>
      <w:r w:rsidR="0009720D" w:rsidRPr="00A34ED2">
        <w:t>/report)</w:t>
      </w:r>
      <w:r w:rsidR="004E034E" w:rsidRPr="00A34ED2">
        <w:t xml:space="preserve">.  </w:t>
      </w:r>
    </w:p>
    <w:p w:rsidR="00AB7A4F" w:rsidRDefault="00AB7A4F" w:rsidP="00CB003A">
      <w:pPr>
        <w:rPr>
          <w:b/>
          <w:i/>
        </w:rPr>
      </w:pPr>
    </w:p>
    <w:p w:rsidR="00AB7A4F" w:rsidRDefault="00AB7A4F" w:rsidP="00474E08">
      <w:pPr>
        <w:ind w:left="720"/>
      </w:pPr>
      <w:r w:rsidRPr="00A34ED2">
        <w:t>This estimate is derived from calculating the weighted average of the annual burden hours under two different methods of data collection:</w:t>
      </w:r>
    </w:p>
    <w:p w:rsidR="00DC3BF4" w:rsidRPr="00A34ED2" w:rsidRDefault="00DC3BF4" w:rsidP="00474E08">
      <w:pPr>
        <w:ind w:left="720"/>
      </w:pPr>
    </w:p>
    <w:p w:rsidR="00AB7A4F" w:rsidRPr="00A34ED2" w:rsidRDefault="00AB7A4F" w:rsidP="00AB7A4F">
      <w:pPr>
        <w:numPr>
          <w:ilvl w:val="0"/>
          <w:numId w:val="16"/>
        </w:numPr>
      </w:pPr>
      <w:r w:rsidRPr="00A34ED2">
        <w:t xml:space="preserve">The </w:t>
      </w:r>
      <w:r w:rsidR="00A34ED2">
        <w:t>state</w:t>
      </w:r>
      <w:r w:rsidRPr="00A34ED2">
        <w:t xml:space="preserve"> processes hardcopy loan enrollment forms completed by the lender, and then enters each of these loans into the required Microsoft Excel format (estimated at an average of </w:t>
      </w:r>
      <w:r w:rsidR="00C21EA2" w:rsidRPr="00A34ED2">
        <w:t>19.42</w:t>
      </w:r>
      <w:r w:rsidRPr="00A34ED2">
        <w:t xml:space="preserve"> burden hours/year per </w:t>
      </w:r>
      <w:r w:rsidR="00A34ED2">
        <w:t>state</w:t>
      </w:r>
      <w:r w:rsidRPr="00A34ED2">
        <w:t>); or</w:t>
      </w:r>
    </w:p>
    <w:p w:rsidR="0009720D" w:rsidRPr="00A34ED2" w:rsidRDefault="00AB7A4F" w:rsidP="0009720D">
      <w:pPr>
        <w:numPr>
          <w:ilvl w:val="0"/>
          <w:numId w:val="16"/>
        </w:numPr>
      </w:pPr>
      <w:r w:rsidRPr="00A34ED2">
        <w:t xml:space="preserve">The </w:t>
      </w:r>
      <w:r w:rsidR="00A34ED2">
        <w:t>state</w:t>
      </w:r>
      <w:r w:rsidRPr="00A34ED2">
        <w:t xml:space="preserve"> writes a query to export the data from its own internal database (e.g. MS Access, ABS) into the required Microsoft Excel format.  Under this option, the only additional burden on the </w:t>
      </w:r>
      <w:r w:rsidR="00A34ED2">
        <w:t>state</w:t>
      </w:r>
      <w:r w:rsidRPr="00A34ED2">
        <w:t xml:space="preserve"> (estimated at 2 hours/year) is the generation of the appropriate query; the </w:t>
      </w:r>
      <w:r w:rsidR="00A34ED2">
        <w:t>state</w:t>
      </w:r>
      <w:r w:rsidRPr="00A34ED2">
        <w:t xml:space="preserve"> is already entering each individual loan into its internal database as part of its standard operating procedures.  </w:t>
      </w:r>
    </w:p>
    <w:p w:rsidR="0009720D" w:rsidRPr="00967930" w:rsidRDefault="0009720D" w:rsidP="0009720D">
      <w:pPr>
        <w:ind w:left="1080"/>
      </w:pPr>
    </w:p>
    <w:p w:rsidR="00AB7A4F" w:rsidRPr="00967930" w:rsidRDefault="00AB7A4F" w:rsidP="0009720D">
      <w:r w:rsidRPr="00967930">
        <w:t xml:space="preserve">Table 1 below illustrates how SSBCI estimated that the average annual burden for method (a) is </w:t>
      </w:r>
      <w:r w:rsidR="00C21EA2" w:rsidRPr="00967930">
        <w:t>19.42</w:t>
      </w:r>
      <w:r w:rsidRPr="00967930">
        <w:t xml:space="preserve"> hours:</w:t>
      </w:r>
    </w:p>
    <w:p w:rsidR="00AB7A4F" w:rsidRPr="00967930" w:rsidRDefault="00AB7A4F" w:rsidP="00CB003A"/>
    <w:p w:rsidR="00AB7A4F" w:rsidRPr="00967930" w:rsidRDefault="00AB7A4F" w:rsidP="00CB003A">
      <w:r w:rsidRPr="00967930">
        <w:t>Table 1</w:t>
      </w:r>
    </w:p>
    <w:p w:rsidR="0044350E" w:rsidRPr="00DC3BF4" w:rsidRDefault="0044350E" w:rsidP="00CB003A"/>
    <w:tbl>
      <w:tblPr>
        <w:tblW w:w="8460" w:type="dxa"/>
        <w:tblInd w:w="93" w:type="dxa"/>
        <w:tblLook w:val="04A0"/>
      </w:tblPr>
      <w:tblGrid>
        <w:gridCol w:w="6280"/>
        <w:gridCol w:w="2180"/>
      </w:tblGrid>
      <w:tr w:rsidR="0044350E" w:rsidRPr="00DC3BF4" w:rsidTr="0044350E">
        <w:trPr>
          <w:trHeight w:val="3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Median total allocation for a Participating State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$13,552,151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Annual average allocation disbursement (1/3 total allocation)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 xml:space="preserve">$4,517,384 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percent invested in CAP program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40%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Average annual amount invested in CAP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 xml:space="preserve">$1,806,953 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average loan size for CAP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$100,000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average insurance premium paid by state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5%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average insurance premium paid by state/CAP loan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$5,000</w:t>
            </w:r>
          </w:p>
        </w:tc>
      </w:tr>
      <w:tr w:rsidR="0044350E" w:rsidRPr="00DC3BF4" w:rsidTr="0044350E">
        <w:trPr>
          <w:trHeight w:val="12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 w:rsidP="009A2351">
            <w:pPr>
              <w:rPr>
                <w:color w:val="000000"/>
              </w:rPr>
            </w:pPr>
            <w:r w:rsidRPr="00DC3BF4">
              <w:rPr>
                <w:color w:val="000000"/>
              </w:rPr>
              <w:t xml:space="preserve">Expected average number of loans enrolled in state CAP/year </w:t>
            </w:r>
            <w:r w:rsidRPr="00DC3BF4">
              <w:rPr>
                <w:iCs/>
                <w:color w:val="000000"/>
              </w:rPr>
              <w:t>(Note: This is derived by taking the average annual amount invested in CAP and dividing by the average insurance premium paid by the state/CAP loan.)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361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Time to record one CAP loan (hours)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0.05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Total time to record and report CAP loans (hours)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18.07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percent invested in non-CAP programs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60%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Average annual amount invested in non-CAP programs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 xml:space="preserve">$2,710,430 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state support per non-CAP investment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 xml:space="preserve">$100,000 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average non-CAP investments/year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27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Time to record one non-CAP  investment (hours)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0.05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Total time to record and report non-CAP  investment (hours)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1.36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ANNUAL BURDEN ASSOCIATED WITH THE ANNUAL REPORT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50E" w:rsidRPr="00DC3BF4" w:rsidRDefault="0044350E">
            <w:pPr>
              <w:jc w:val="right"/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19.42</w:t>
            </w:r>
          </w:p>
        </w:tc>
      </w:tr>
    </w:tbl>
    <w:p w:rsidR="0044350E" w:rsidRPr="00DC3BF4" w:rsidRDefault="0044350E" w:rsidP="00CB003A"/>
    <w:p w:rsidR="000649CD" w:rsidRPr="00DC3BF4" w:rsidRDefault="000649CD" w:rsidP="00CB003A"/>
    <w:p w:rsidR="00AB7A4F" w:rsidRPr="00DC3BF4" w:rsidRDefault="00D531F4" w:rsidP="00AB7A4F">
      <w:r w:rsidRPr="00DC3BF4">
        <w:t>Table 2</w:t>
      </w:r>
      <w:r w:rsidR="00AB7A4F" w:rsidRPr="00DC3BF4">
        <w:t xml:space="preserve"> below illustrates how SSBCI </w:t>
      </w:r>
      <w:r w:rsidRPr="00DC3BF4">
        <w:t>calculated the average annual burden of the annual report as a weighted average of methods (</w:t>
      </w:r>
      <w:r w:rsidR="00572B5D">
        <w:t>i) and (ii</w:t>
      </w:r>
      <w:r w:rsidRPr="00DC3BF4">
        <w:t>):</w:t>
      </w:r>
    </w:p>
    <w:p w:rsidR="009D2479" w:rsidRPr="00DC3BF4" w:rsidRDefault="009D2479" w:rsidP="00AB7A4F"/>
    <w:p w:rsidR="009D2479" w:rsidRPr="00DC3BF4" w:rsidRDefault="009D2479" w:rsidP="00AB7A4F">
      <w:r w:rsidRPr="00DC3BF4">
        <w:t>Table 2</w:t>
      </w:r>
    </w:p>
    <w:p w:rsidR="00D531F4" w:rsidRPr="00DC3BF4" w:rsidRDefault="00D531F4" w:rsidP="00AB7A4F"/>
    <w:tbl>
      <w:tblPr>
        <w:tblW w:w="8460" w:type="dxa"/>
        <w:tblInd w:w="93" w:type="dxa"/>
        <w:tblLook w:val="04A0"/>
      </w:tblPr>
      <w:tblGrid>
        <w:gridCol w:w="6280"/>
        <w:gridCol w:w="2180"/>
      </w:tblGrid>
      <w:tr w:rsidR="0044350E" w:rsidRPr="00DC3BF4" w:rsidTr="0044350E">
        <w:trPr>
          <w:trHeight w:val="60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Annual burden associated with the annual report, for those entering data directly into Excel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19.42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percent of users entering data directly into Excel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C21EA2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25%</w:t>
            </w:r>
          </w:p>
        </w:tc>
      </w:tr>
      <w:tr w:rsidR="0044350E" w:rsidRPr="00DC3BF4" w:rsidTr="0044350E">
        <w:trPr>
          <w:trHeight w:val="6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Annual burden associated with the annual report, for those exporting from a database into Excel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2</w:t>
            </w:r>
          </w:p>
        </w:tc>
      </w:tr>
      <w:tr w:rsidR="0044350E" w:rsidRPr="00DC3BF4" w:rsidTr="0044350E">
        <w:trPr>
          <w:trHeight w:val="6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rPr>
                <w:color w:val="000000"/>
              </w:rPr>
            </w:pPr>
            <w:r w:rsidRPr="00DC3BF4">
              <w:rPr>
                <w:color w:val="000000"/>
              </w:rPr>
              <w:t>Expected percent of users already collecting this data in internal databases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C21EA2">
            <w:pPr>
              <w:jc w:val="right"/>
              <w:rPr>
                <w:color w:val="000000"/>
              </w:rPr>
            </w:pPr>
            <w:r w:rsidRPr="00DC3BF4">
              <w:rPr>
                <w:color w:val="000000"/>
              </w:rPr>
              <w:t>75%</w:t>
            </w:r>
          </w:p>
        </w:tc>
      </w:tr>
      <w:tr w:rsidR="0044350E" w:rsidRPr="00DC3BF4" w:rsidTr="0044350E">
        <w:trPr>
          <w:trHeight w:val="30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C21EA2">
            <w:pPr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ANNUAL AVERAGE BURDEN</w:t>
            </w:r>
            <w:r w:rsidR="0044350E" w:rsidRPr="00DC3BF4">
              <w:rPr>
                <w:bCs/>
                <w:color w:val="000000"/>
              </w:rPr>
              <w:t xml:space="preserve"> (weighted average for two methods)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0E" w:rsidRPr="00DC3BF4" w:rsidRDefault="0044350E">
            <w:pPr>
              <w:jc w:val="right"/>
              <w:rPr>
                <w:bCs/>
                <w:color w:val="000000"/>
              </w:rPr>
            </w:pPr>
            <w:r w:rsidRPr="00DC3BF4">
              <w:rPr>
                <w:bCs/>
                <w:color w:val="000000"/>
              </w:rPr>
              <w:t>6.36</w:t>
            </w:r>
          </w:p>
        </w:tc>
      </w:tr>
    </w:tbl>
    <w:p w:rsidR="00D531F4" w:rsidRPr="00DC3BF4" w:rsidRDefault="00D531F4" w:rsidP="00AB7A4F"/>
    <w:p w:rsidR="004E034E" w:rsidRPr="00DC3BF4" w:rsidRDefault="004E034E" w:rsidP="00CB003A">
      <w:pPr>
        <w:rPr>
          <w:b/>
          <w:i/>
        </w:rPr>
      </w:pPr>
    </w:p>
    <w:p w:rsidR="009D2479" w:rsidRPr="00DC3BF4" w:rsidRDefault="009D2479" w:rsidP="00CB003A">
      <w:pPr>
        <w:rPr>
          <w:b/>
          <w:i/>
        </w:rPr>
      </w:pPr>
    </w:p>
    <w:p w:rsidR="009D2479" w:rsidRPr="00DC3BF4" w:rsidRDefault="009D2479" w:rsidP="00CB003A">
      <w:pPr>
        <w:rPr>
          <w:u w:val="single"/>
        </w:rPr>
      </w:pPr>
      <w:r w:rsidRPr="00DC3BF4">
        <w:tab/>
      </w:r>
      <w:r w:rsidRPr="00DC3BF4">
        <w:rPr>
          <w:u w:val="single"/>
        </w:rPr>
        <w:t>Estimated Combined Annual Burden</w:t>
      </w:r>
    </w:p>
    <w:p w:rsidR="004E034E" w:rsidRPr="00DC3BF4" w:rsidRDefault="004E034E" w:rsidP="00CB003A">
      <w:pPr>
        <w:rPr>
          <w:b/>
        </w:rPr>
      </w:pPr>
    </w:p>
    <w:p w:rsidR="004E034E" w:rsidRPr="00DC3BF4" w:rsidRDefault="004E034E" w:rsidP="00CB003A">
      <w:r w:rsidRPr="00DC3BF4">
        <w:t xml:space="preserve">Therefore, the total annual burden is estimated as </w:t>
      </w:r>
      <w:r w:rsidR="009D2479" w:rsidRPr="00DC3BF4">
        <w:t>shown in Table 3</w:t>
      </w:r>
      <w:r w:rsidRPr="00DC3BF4">
        <w:t>:</w:t>
      </w:r>
    </w:p>
    <w:p w:rsidR="009D2479" w:rsidRPr="00DC3BF4" w:rsidRDefault="009D2479" w:rsidP="00CB003A"/>
    <w:p w:rsidR="009D2479" w:rsidRPr="00DC3BF4" w:rsidRDefault="009D2479" w:rsidP="00CB003A">
      <w:r w:rsidRPr="00DC3BF4">
        <w:t>Table 3</w:t>
      </w:r>
    </w:p>
    <w:p w:rsidR="004E034E" w:rsidRPr="00DC3BF4" w:rsidRDefault="004E034E" w:rsidP="00CB003A"/>
    <w:tbl>
      <w:tblPr>
        <w:tblW w:w="8460" w:type="dxa"/>
        <w:tblInd w:w="93" w:type="dxa"/>
        <w:tblLook w:val="04A0"/>
      </w:tblPr>
      <w:tblGrid>
        <w:gridCol w:w="6280"/>
        <w:gridCol w:w="2180"/>
      </w:tblGrid>
      <w:tr w:rsidR="00CC2BCD" w:rsidRPr="00DC3BF4" w:rsidTr="00CC2BCD">
        <w:trPr>
          <w:trHeight w:val="330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Collection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Total annual burden</w:t>
            </w:r>
          </w:p>
        </w:tc>
      </w:tr>
      <w:tr w:rsidR="00CC2BCD" w:rsidRPr="00DC3BF4" w:rsidTr="00CC2BCD">
        <w:trPr>
          <w:trHeight w:val="330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Application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jc w:val="right"/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830</w:t>
            </w:r>
          </w:p>
        </w:tc>
      </w:tr>
      <w:tr w:rsidR="00CC2BCD" w:rsidRPr="00DC3BF4" w:rsidTr="00CC2BCD">
        <w:trPr>
          <w:trHeight w:val="330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Quarterly reports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jc w:val="right"/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216</w:t>
            </w:r>
          </w:p>
        </w:tc>
      </w:tr>
      <w:tr w:rsidR="00CC2BCD" w:rsidRPr="00DC3BF4" w:rsidTr="00CC2BCD">
        <w:trPr>
          <w:trHeight w:val="330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Annual report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jc w:val="right"/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343</w:t>
            </w:r>
          </w:p>
        </w:tc>
      </w:tr>
      <w:tr w:rsidR="00CC2BCD" w:rsidRPr="00DC3BF4" w:rsidTr="00CC2BCD">
        <w:trPr>
          <w:trHeight w:val="330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CC2BCD" w:rsidP="00CC2BCD">
            <w:pPr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BCD" w:rsidRPr="00DC3BF4" w:rsidRDefault="00967930" w:rsidP="00967930">
            <w:pPr>
              <w:jc w:val="right"/>
              <w:rPr>
                <w:bCs/>
                <w:iCs/>
                <w:color w:val="000000"/>
              </w:rPr>
            </w:pPr>
            <w:r w:rsidRPr="00DC3BF4">
              <w:rPr>
                <w:bCs/>
                <w:iCs/>
                <w:color w:val="000000"/>
              </w:rPr>
              <w:t>1389</w:t>
            </w:r>
          </w:p>
        </w:tc>
      </w:tr>
    </w:tbl>
    <w:p w:rsidR="004E034E" w:rsidRPr="00DC3BF4" w:rsidRDefault="004E034E" w:rsidP="00CB003A"/>
    <w:p w:rsidR="00474E08" w:rsidRDefault="00474E08" w:rsidP="00474E08">
      <w:pPr>
        <w:keepNext/>
      </w:pPr>
    </w:p>
    <w:p w:rsidR="00FB7F1C" w:rsidRDefault="00961823" w:rsidP="00474E08">
      <w:pPr>
        <w:keepNext/>
      </w:pPr>
      <w:r w:rsidRPr="0025604D">
        <w:t xml:space="preserve">13.  </w:t>
      </w:r>
      <w:r w:rsidRPr="0025604D">
        <w:rPr>
          <w:u w:val="single"/>
        </w:rPr>
        <w:t>Estimated total annual cost burden to respondents</w:t>
      </w:r>
      <w:r w:rsidR="00FB7F1C">
        <w:rPr>
          <w:u w:val="single"/>
        </w:rPr>
        <w:t> </w:t>
      </w:r>
      <w:r w:rsidR="00FB7F1C">
        <w:t> </w:t>
      </w:r>
    </w:p>
    <w:p w:rsidR="00961823" w:rsidRPr="0025604D" w:rsidRDefault="00961823" w:rsidP="00FB7F1C">
      <w:pPr>
        <w:keepNext/>
      </w:pPr>
    </w:p>
    <w:p w:rsidR="00F65EA8" w:rsidRPr="00F65EA8" w:rsidRDefault="00967930" w:rsidP="0017687B">
      <w:pPr>
        <w:rPr>
          <w:b/>
          <w:i/>
        </w:rPr>
      </w:pPr>
      <w:r w:rsidRPr="00967930">
        <w:t xml:space="preserve">There </w:t>
      </w:r>
      <w:r w:rsidR="00BB1CDE">
        <w:t>are</w:t>
      </w:r>
      <w:r w:rsidR="00572B5D" w:rsidRPr="00967930">
        <w:t xml:space="preserve"> no cost burdens associated wit</w:t>
      </w:r>
      <w:r w:rsidR="00572B5D">
        <w:t>h</w:t>
      </w:r>
      <w:r w:rsidRPr="00967930">
        <w:t xml:space="preserve"> the collection of the data. No purchases of equipment or services are necessary to complete these collections</w:t>
      </w:r>
      <w:r w:rsidR="00F65EA8">
        <w:rPr>
          <w:b/>
          <w:i/>
        </w:rPr>
        <w:t>.</w:t>
      </w:r>
    </w:p>
    <w:p w:rsidR="0017687B" w:rsidRDefault="0017687B" w:rsidP="0017687B"/>
    <w:p w:rsidR="00961823" w:rsidRPr="0025604D" w:rsidRDefault="00961823" w:rsidP="0017687B">
      <w:r w:rsidRPr="0025604D">
        <w:t xml:space="preserve">14.  </w:t>
      </w:r>
      <w:r w:rsidR="00967930">
        <w:rPr>
          <w:u w:val="single"/>
        </w:rPr>
        <w:t>Estimated cost to the f</w:t>
      </w:r>
      <w:r w:rsidRPr="0025604D">
        <w:rPr>
          <w:u w:val="single"/>
        </w:rPr>
        <w:t>ederal government</w:t>
      </w:r>
      <w:r w:rsidRPr="0025604D">
        <w:t>.</w:t>
      </w:r>
    </w:p>
    <w:p w:rsidR="00961823" w:rsidRPr="0025604D" w:rsidRDefault="00961823" w:rsidP="00CB003A"/>
    <w:p w:rsidR="00F65EA8" w:rsidRPr="002F2729" w:rsidRDefault="00967930" w:rsidP="00F65EA8">
      <w:pPr>
        <w:rPr>
          <w:b/>
          <w:i/>
        </w:rPr>
      </w:pPr>
      <w:r>
        <w:t xml:space="preserve">The cost to the Federal Government is the </w:t>
      </w:r>
      <w:r w:rsidR="00572B5D">
        <w:t>Treasury</w:t>
      </w:r>
      <w:r>
        <w:t xml:space="preserve"> staff time and IT systems requirement</w:t>
      </w:r>
      <w:r w:rsidR="00BB1CDE">
        <w:t>s</w:t>
      </w:r>
      <w:r>
        <w:t xml:space="preserve"> to develop the application, follow-up with applicants, review the applications, determine disbursements, collect reporting data</w:t>
      </w:r>
      <w:r w:rsidR="00BB1CDE">
        <w:t>,</w:t>
      </w:r>
      <w:r>
        <w:t xml:space="preserve"> and report the results. </w:t>
      </w:r>
      <w:r w:rsidR="00CC2BCD">
        <w:rPr>
          <w:b/>
          <w:i/>
        </w:rPr>
        <w:t xml:space="preserve"> </w:t>
      </w:r>
    </w:p>
    <w:p w:rsidR="002F2729" w:rsidRPr="0025604D" w:rsidRDefault="002F2729" w:rsidP="00CB003A"/>
    <w:p w:rsidR="00961823" w:rsidRPr="0025604D" w:rsidRDefault="00961823" w:rsidP="00D33846">
      <w:pPr>
        <w:keepNext/>
      </w:pPr>
      <w:r w:rsidRPr="0025604D">
        <w:t xml:space="preserve">15.  </w:t>
      </w:r>
      <w:r w:rsidRPr="0025604D">
        <w:rPr>
          <w:u w:val="single"/>
        </w:rPr>
        <w:t>Reasons for change in burden</w:t>
      </w:r>
    </w:p>
    <w:p w:rsidR="00961823" w:rsidRPr="0025604D" w:rsidRDefault="00961823" w:rsidP="00666B6D">
      <w:pPr>
        <w:keepNext/>
      </w:pPr>
    </w:p>
    <w:p w:rsidR="00156E23" w:rsidRPr="0025604D" w:rsidRDefault="00851473" w:rsidP="00CB003A">
      <w:r w:rsidRPr="00967930">
        <w:t xml:space="preserve">After further deliberation, it was determined that the previously submitted requirements did not enable </w:t>
      </w:r>
      <w:r w:rsidR="00572B5D">
        <w:t>Treasury</w:t>
      </w:r>
      <w:r w:rsidRPr="00967930">
        <w:t xml:space="preserve"> to collect all information needed to monitor compliance with all</w:t>
      </w:r>
      <w:r w:rsidR="00525F4A">
        <w:t xml:space="preserve"> statutory</w:t>
      </w:r>
      <w:r w:rsidRPr="00967930">
        <w:t xml:space="preserve"> requirements and analyze program performance.</w:t>
      </w:r>
      <w:r w:rsidR="0022726B" w:rsidRPr="00967930">
        <w:t xml:space="preserve">  In addition to this request to amend SSBCI’s information collections, </w:t>
      </w:r>
      <w:r w:rsidR="00BB1CDE">
        <w:t>Treasury</w:t>
      </w:r>
      <w:r w:rsidR="0022726B" w:rsidRPr="00967930">
        <w:t xml:space="preserve"> is also submitting a</w:t>
      </w:r>
      <w:r w:rsidR="00F04487" w:rsidRPr="00967930">
        <w:t xml:space="preserve"> request to make conforming changes to the annual and quarterly reporting requirements set forth in the SSBCI Allocation Agreement.</w:t>
      </w:r>
    </w:p>
    <w:p w:rsidR="00961823" w:rsidRPr="0025604D" w:rsidRDefault="00961823" w:rsidP="00CB003A"/>
    <w:p w:rsidR="00961823" w:rsidRPr="0025604D" w:rsidRDefault="00961823" w:rsidP="00D33846">
      <w:pPr>
        <w:keepNext/>
      </w:pPr>
      <w:r w:rsidRPr="0025604D">
        <w:t xml:space="preserve">16.  </w:t>
      </w:r>
      <w:r w:rsidRPr="0025604D">
        <w:rPr>
          <w:u w:val="single"/>
        </w:rPr>
        <w:t>Plans for tabulation, statistical analysis</w:t>
      </w:r>
      <w:r w:rsidR="00A2596F" w:rsidRPr="0025604D">
        <w:rPr>
          <w:u w:val="single"/>
        </w:rPr>
        <w:t xml:space="preserve"> and publication</w:t>
      </w:r>
    </w:p>
    <w:p w:rsidR="00A2596F" w:rsidRPr="0025604D" w:rsidRDefault="00A2596F" w:rsidP="00CB003A"/>
    <w:p w:rsidR="00A2596F" w:rsidRPr="00967930" w:rsidRDefault="00572B5D" w:rsidP="00DA5F5B">
      <w:r>
        <w:t>Treasury</w:t>
      </w:r>
      <w:r w:rsidR="00BA5A05" w:rsidRPr="00967930">
        <w:t xml:space="preserve"> will conduct numerous types of analysis on th</w:t>
      </w:r>
      <w:r w:rsidR="00525F4A">
        <w:t>is</w:t>
      </w:r>
      <w:r w:rsidR="00BA5A05" w:rsidRPr="00967930">
        <w:t xml:space="preserve"> data.  </w:t>
      </w:r>
      <w:r w:rsidR="0064314F" w:rsidRPr="00967930">
        <w:t xml:space="preserve">These analyses will include assessments of the effectiveness of the program (e.g. reach, </w:t>
      </w:r>
      <w:r w:rsidR="00860267" w:rsidRPr="00967930">
        <w:t>amounts funded</w:t>
      </w:r>
      <w:r w:rsidR="005D099C" w:rsidRPr="00967930">
        <w:t>)</w:t>
      </w:r>
      <w:r w:rsidR="0064314F" w:rsidRPr="00967930">
        <w:t xml:space="preserve"> as well as compliance checks.  It is poss</w:t>
      </w:r>
      <w:r w:rsidR="002F2729" w:rsidRPr="00967930">
        <w:t>ible that a review/</w:t>
      </w:r>
      <w:r w:rsidR="00616A24" w:rsidRPr="00967930">
        <w:t>publication may</w:t>
      </w:r>
      <w:r w:rsidR="00256911" w:rsidRPr="00967930">
        <w:t xml:space="preserve"> </w:t>
      </w:r>
      <w:r w:rsidR="002F2729" w:rsidRPr="00967930">
        <w:t xml:space="preserve">result </w:t>
      </w:r>
      <w:r w:rsidR="00616A24" w:rsidRPr="00967930">
        <w:t>from these analyses.</w:t>
      </w:r>
      <w:r w:rsidR="00BA0D32" w:rsidRPr="00967930">
        <w:t xml:space="preserve">  In addition</w:t>
      </w:r>
      <w:r w:rsidR="00BE4F64" w:rsidRPr="00967930">
        <w:t>,</w:t>
      </w:r>
      <w:r w:rsidR="00BA0D32" w:rsidRPr="00967930">
        <w:t xml:space="preserve"> this </w:t>
      </w:r>
      <w:r w:rsidR="00BE4F64" w:rsidRPr="00967930">
        <w:t xml:space="preserve">analysis </w:t>
      </w:r>
      <w:r w:rsidR="00BA0D32" w:rsidRPr="00967930">
        <w:t xml:space="preserve">will be made available to </w:t>
      </w:r>
      <w:r w:rsidR="001139DB" w:rsidRPr="00967930">
        <w:t>the public f</w:t>
      </w:r>
      <w:r w:rsidR="00BA0D32" w:rsidRPr="00967930">
        <w:t xml:space="preserve">or </w:t>
      </w:r>
      <w:r w:rsidR="00BE4F64" w:rsidRPr="00967930">
        <w:t>transparency</w:t>
      </w:r>
      <w:r w:rsidR="00BA0D32" w:rsidRPr="00967930">
        <w:t>.</w:t>
      </w:r>
      <w:r w:rsidR="00616A24" w:rsidRPr="00967930">
        <w:t xml:space="preserve">  </w:t>
      </w:r>
      <w:r w:rsidR="00256911" w:rsidRPr="00967930">
        <w:t xml:space="preserve"> </w:t>
      </w:r>
    </w:p>
    <w:p w:rsidR="00A2596F" w:rsidRPr="00967930" w:rsidRDefault="00A2596F" w:rsidP="00CB003A"/>
    <w:p w:rsidR="00A2596F" w:rsidRPr="0025604D" w:rsidRDefault="00A2596F" w:rsidP="00D33846">
      <w:r w:rsidRPr="0025604D">
        <w:t xml:space="preserve">17.  </w:t>
      </w:r>
      <w:r w:rsidRPr="0025604D">
        <w:rPr>
          <w:u w:val="single"/>
        </w:rPr>
        <w:t>Reasons why displaying the OMB expiration date is inappropriate</w:t>
      </w:r>
    </w:p>
    <w:p w:rsidR="00A2596F" w:rsidRPr="0025604D" w:rsidRDefault="00A2596F" w:rsidP="00CB003A"/>
    <w:p w:rsidR="00A2596F" w:rsidRPr="00967930" w:rsidRDefault="00986077" w:rsidP="006B22D1">
      <w:r w:rsidRPr="00967930">
        <w:t>Display of the OMB expiration date will create confusion bec</w:t>
      </w:r>
      <w:r w:rsidR="00F6095F" w:rsidRPr="00967930">
        <w:t xml:space="preserve">ause </w:t>
      </w:r>
      <w:r w:rsidR="00EB5E62" w:rsidRPr="00967930">
        <w:t xml:space="preserve">this </w:t>
      </w:r>
      <w:r w:rsidR="00460B20" w:rsidRPr="00967930">
        <w:t>program</w:t>
      </w:r>
      <w:r w:rsidR="00EB5E62" w:rsidRPr="00967930">
        <w:t xml:space="preserve"> has a limited duration</w:t>
      </w:r>
      <w:r w:rsidR="00525F4A">
        <w:t xml:space="preserve"> and an explicit </w:t>
      </w:r>
      <w:r w:rsidR="00997F5F">
        <w:t xml:space="preserve">statutory </w:t>
      </w:r>
      <w:r w:rsidR="00525F4A">
        <w:t>deadline for submitting applications (June 27, 2010) that is likely to coincide with the OMB expiration date</w:t>
      </w:r>
      <w:r w:rsidRPr="00967930">
        <w:t>.</w:t>
      </w:r>
      <w:r w:rsidR="00525F4A">
        <w:t xml:space="preserve"> This would </w:t>
      </w:r>
      <w:r w:rsidR="00C40A37">
        <w:t xml:space="preserve">cause </w:t>
      </w:r>
      <w:r w:rsidR="00C40A37" w:rsidRPr="00967930">
        <w:t>undue</w:t>
      </w:r>
      <w:r w:rsidR="00525F4A">
        <w:t xml:space="preserve"> confusion for would-be applicants. </w:t>
      </w:r>
      <w:r w:rsidR="00A94AED" w:rsidRPr="00967930">
        <w:t xml:space="preserve"> </w:t>
      </w:r>
    </w:p>
    <w:p w:rsidR="00A2596F" w:rsidRPr="0025604D" w:rsidRDefault="00A2596F" w:rsidP="00CB003A"/>
    <w:p w:rsidR="00A2596F" w:rsidRPr="0025604D" w:rsidRDefault="00A2596F" w:rsidP="00D33846">
      <w:r w:rsidRPr="0025604D">
        <w:t xml:space="preserve">18.  </w:t>
      </w:r>
      <w:r w:rsidRPr="0025604D">
        <w:rPr>
          <w:u w:val="single"/>
        </w:rPr>
        <w:t>Exceptions to certification requirement of OMB Form 83-I</w:t>
      </w:r>
    </w:p>
    <w:p w:rsidR="00A2596F" w:rsidRPr="00967930" w:rsidRDefault="00A2596F" w:rsidP="00CB003A"/>
    <w:p w:rsidR="00156E23" w:rsidRPr="00967930" w:rsidRDefault="00967930" w:rsidP="00A90BAB">
      <w:r w:rsidRPr="00967930">
        <w:t xml:space="preserve">Not applicable. </w:t>
      </w:r>
    </w:p>
    <w:p w:rsidR="00F04487" w:rsidRPr="0061592C" w:rsidRDefault="00F04487" w:rsidP="00967930"/>
    <w:p w:rsidR="00690E30" w:rsidRPr="006E36DC" w:rsidRDefault="00D81AD6">
      <w:r>
        <w:br/>
      </w:r>
    </w:p>
    <w:sectPr w:rsidR="00690E30" w:rsidRPr="006E36DC" w:rsidSect="00512B62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C7" w:rsidRDefault="00D25BC7">
      <w:r>
        <w:separator/>
      </w:r>
    </w:p>
  </w:endnote>
  <w:endnote w:type="continuationSeparator" w:id="0">
    <w:p w:rsidR="00D25BC7" w:rsidRDefault="00D2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5F" w:rsidRDefault="00BF0199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7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F5F" w:rsidRDefault="00997F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5F" w:rsidRDefault="00BF0199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7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480">
      <w:rPr>
        <w:rStyle w:val="PageNumber"/>
        <w:noProof/>
      </w:rPr>
      <w:t>6</w:t>
    </w:r>
    <w:r>
      <w:rPr>
        <w:rStyle w:val="PageNumber"/>
      </w:rPr>
      <w:fldChar w:fldCharType="end"/>
    </w:r>
  </w:p>
  <w:p w:rsidR="00997F5F" w:rsidRDefault="00997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C7" w:rsidRDefault="00D25BC7">
      <w:r>
        <w:separator/>
      </w:r>
    </w:p>
  </w:footnote>
  <w:footnote w:type="continuationSeparator" w:id="0">
    <w:p w:rsidR="00D25BC7" w:rsidRDefault="00D25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5F" w:rsidRPr="00CC2BCD" w:rsidRDefault="00997F5F">
    <w:pPr>
      <w:pStyle w:val="Header"/>
      <w:rPr>
        <w:sz w:val="20"/>
        <w:szCs w:val="36"/>
      </w:rPr>
    </w:pPr>
    <w:r>
      <w:rPr>
        <w:sz w:val="20"/>
        <w:szCs w:val="36"/>
      </w:rPr>
      <w:t>April 13, 2011</w:t>
    </w:r>
    <w:r w:rsidRPr="00CC2BCD">
      <w:rPr>
        <w:sz w:val="20"/>
        <w:szCs w:val="36"/>
      </w:rPr>
      <w:t>—Revised request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94D"/>
    <w:multiLevelType w:val="hybridMultilevel"/>
    <w:tmpl w:val="3828E786"/>
    <w:lvl w:ilvl="0" w:tplc="D944A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A5032"/>
    <w:multiLevelType w:val="hybridMultilevel"/>
    <w:tmpl w:val="2974CE0E"/>
    <w:lvl w:ilvl="0" w:tplc="EE0035B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2018A"/>
    <w:multiLevelType w:val="hybridMultilevel"/>
    <w:tmpl w:val="0A0E080A"/>
    <w:lvl w:ilvl="0" w:tplc="B07AD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2A4027"/>
    <w:multiLevelType w:val="hybridMultilevel"/>
    <w:tmpl w:val="740EA972"/>
    <w:lvl w:ilvl="0" w:tplc="23445A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73B6D"/>
    <w:multiLevelType w:val="hybridMultilevel"/>
    <w:tmpl w:val="4FE43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C20E00"/>
    <w:multiLevelType w:val="hybridMultilevel"/>
    <w:tmpl w:val="A5D0CD2A"/>
    <w:lvl w:ilvl="0" w:tplc="06DEBB1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105C93"/>
    <w:multiLevelType w:val="hybridMultilevel"/>
    <w:tmpl w:val="78388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4A7B1C"/>
    <w:multiLevelType w:val="hybridMultilevel"/>
    <w:tmpl w:val="954027A0"/>
    <w:lvl w:ilvl="0" w:tplc="A8241EC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A4874"/>
    <w:multiLevelType w:val="hybridMultilevel"/>
    <w:tmpl w:val="16483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C7873"/>
    <w:multiLevelType w:val="hybridMultilevel"/>
    <w:tmpl w:val="3B301F86"/>
    <w:lvl w:ilvl="0" w:tplc="D944A50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ED2A58"/>
    <w:multiLevelType w:val="hybridMultilevel"/>
    <w:tmpl w:val="342AAE46"/>
    <w:lvl w:ilvl="0" w:tplc="F612CEDA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C29BE"/>
    <w:multiLevelType w:val="multilevel"/>
    <w:tmpl w:val="2256845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Heading4"/>
      <w:lvlText w:val="%4."/>
      <w:lvlJc w:val="left"/>
      <w:pPr>
        <w:ind w:left="144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4"/>
  </w:num>
  <w:num w:numId="9">
    <w:abstractNumId w:val="12"/>
  </w:num>
  <w:num w:numId="10">
    <w:abstractNumId w:val="16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  <w:num w:numId="16">
    <w:abstractNumId w:val="18"/>
  </w:num>
  <w:num w:numId="17">
    <w:abstractNumId w:val="5"/>
  </w:num>
  <w:num w:numId="18">
    <w:abstractNumId w:val="15"/>
  </w:num>
  <w:num w:numId="19">
    <w:abstractNumId w:val="0"/>
  </w:num>
  <w:num w:numId="20">
    <w:abstractNumId w:val="19"/>
  </w:num>
  <w:num w:numId="21">
    <w:abstractNumId w:val="7"/>
  </w:num>
  <w:num w:numId="22">
    <w:abstractNumId w:val="1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861"/>
    <w:rsid w:val="00010870"/>
    <w:rsid w:val="00012A2E"/>
    <w:rsid w:val="0001560A"/>
    <w:rsid w:val="00022F56"/>
    <w:rsid w:val="00054FB0"/>
    <w:rsid w:val="000570DB"/>
    <w:rsid w:val="00062B59"/>
    <w:rsid w:val="000649CD"/>
    <w:rsid w:val="000701F6"/>
    <w:rsid w:val="00073704"/>
    <w:rsid w:val="0009720D"/>
    <w:rsid w:val="000A1583"/>
    <w:rsid w:val="000B0264"/>
    <w:rsid w:val="000C3C83"/>
    <w:rsid w:val="000C7031"/>
    <w:rsid w:val="000E1F44"/>
    <w:rsid w:val="000F2AE6"/>
    <w:rsid w:val="000F53C2"/>
    <w:rsid w:val="000F64C2"/>
    <w:rsid w:val="001022FC"/>
    <w:rsid w:val="00105553"/>
    <w:rsid w:val="001110E6"/>
    <w:rsid w:val="001139DB"/>
    <w:rsid w:val="00122583"/>
    <w:rsid w:val="00124018"/>
    <w:rsid w:val="00147A26"/>
    <w:rsid w:val="00156E23"/>
    <w:rsid w:val="00161711"/>
    <w:rsid w:val="001648D5"/>
    <w:rsid w:val="00170A86"/>
    <w:rsid w:val="0017687B"/>
    <w:rsid w:val="001819F2"/>
    <w:rsid w:val="00181F21"/>
    <w:rsid w:val="0018375D"/>
    <w:rsid w:val="00186409"/>
    <w:rsid w:val="001945CA"/>
    <w:rsid w:val="001A5F6A"/>
    <w:rsid w:val="001A75DB"/>
    <w:rsid w:val="001B1CB2"/>
    <w:rsid w:val="001E4BCF"/>
    <w:rsid w:val="001F3236"/>
    <w:rsid w:val="001F632F"/>
    <w:rsid w:val="00201ADA"/>
    <w:rsid w:val="00206C0B"/>
    <w:rsid w:val="0022726B"/>
    <w:rsid w:val="00237FAA"/>
    <w:rsid w:val="0024000F"/>
    <w:rsid w:val="00247CDC"/>
    <w:rsid w:val="0025604D"/>
    <w:rsid w:val="00256911"/>
    <w:rsid w:val="00260CEB"/>
    <w:rsid w:val="00271992"/>
    <w:rsid w:val="00293974"/>
    <w:rsid w:val="00297980"/>
    <w:rsid w:val="002C1BF1"/>
    <w:rsid w:val="002C2A5D"/>
    <w:rsid w:val="002D0EAC"/>
    <w:rsid w:val="002D3297"/>
    <w:rsid w:val="002D41E0"/>
    <w:rsid w:val="002E7A1A"/>
    <w:rsid w:val="002F2729"/>
    <w:rsid w:val="003265D6"/>
    <w:rsid w:val="00333C76"/>
    <w:rsid w:val="0034542A"/>
    <w:rsid w:val="0036409C"/>
    <w:rsid w:val="00365005"/>
    <w:rsid w:val="00370853"/>
    <w:rsid w:val="00377FC4"/>
    <w:rsid w:val="00380639"/>
    <w:rsid w:val="00390E44"/>
    <w:rsid w:val="00394A61"/>
    <w:rsid w:val="003C068B"/>
    <w:rsid w:val="003C1AB8"/>
    <w:rsid w:val="003C54F4"/>
    <w:rsid w:val="003C6C02"/>
    <w:rsid w:val="003F3118"/>
    <w:rsid w:val="003F65B4"/>
    <w:rsid w:val="00406DAA"/>
    <w:rsid w:val="0044350E"/>
    <w:rsid w:val="0044510E"/>
    <w:rsid w:val="00460B20"/>
    <w:rsid w:val="00474E08"/>
    <w:rsid w:val="00475731"/>
    <w:rsid w:val="00483302"/>
    <w:rsid w:val="004B06B5"/>
    <w:rsid w:val="004B1400"/>
    <w:rsid w:val="004B32A0"/>
    <w:rsid w:val="004C0837"/>
    <w:rsid w:val="004D793E"/>
    <w:rsid w:val="004E034E"/>
    <w:rsid w:val="004E6996"/>
    <w:rsid w:val="004F0241"/>
    <w:rsid w:val="004F5145"/>
    <w:rsid w:val="00512B62"/>
    <w:rsid w:val="00525F4A"/>
    <w:rsid w:val="0052662E"/>
    <w:rsid w:val="00534EA9"/>
    <w:rsid w:val="00535AD0"/>
    <w:rsid w:val="005366FC"/>
    <w:rsid w:val="0054191E"/>
    <w:rsid w:val="00572B5D"/>
    <w:rsid w:val="00572D2C"/>
    <w:rsid w:val="00581F16"/>
    <w:rsid w:val="00597B52"/>
    <w:rsid w:val="00597B8E"/>
    <w:rsid w:val="005A5038"/>
    <w:rsid w:val="005A5C1B"/>
    <w:rsid w:val="005A5E3F"/>
    <w:rsid w:val="005C0828"/>
    <w:rsid w:val="005C26EA"/>
    <w:rsid w:val="005C533B"/>
    <w:rsid w:val="005D099C"/>
    <w:rsid w:val="005F092E"/>
    <w:rsid w:val="0060143C"/>
    <w:rsid w:val="0060168D"/>
    <w:rsid w:val="006049CB"/>
    <w:rsid w:val="00610580"/>
    <w:rsid w:val="00612025"/>
    <w:rsid w:val="006137E1"/>
    <w:rsid w:val="00616A24"/>
    <w:rsid w:val="0063065F"/>
    <w:rsid w:val="00633442"/>
    <w:rsid w:val="006358F6"/>
    <w:rsid w:val="0063595E"/>
    <w:rsid w:val="0064051D"/>
    <w:rsid w:val="0064314F"/>
    <w:rsid w:val="00644AC7"/>
    <w:rsid w:val="006536E9"/>
    <w:rsid w:val="00666B6D"/>
    <w:rsid w:val="00672E30"/>
    <w:rsid w:val="00677B78"/>
    <w:rsid w:val="00681FB6"/>
    <w:rsid w:val="00690E30"/>
    <w:rsid w:val="00694525"/>
    <w:rsid w:val="006B22D1"/>
    <w:rsid w:val="006B3E5B"/>
    <w:rsid w:val="006C2630"/>
    <w:rsid w:val="006D5C62"/>
    <w:rsid w:val="006D7850"/>
    <w:rsid w:val="006E343D"/>
    <w:rsid w:val="006E36DC"/>
    <w:rsid w:val="006E38EA"/>
    <w:rsid w:val="006F02DD"/>
    <w:rsid w:val="00707BDE"/>
    <w:rsid w:val="007109D0"/>
    <w:rsid w:val="0072166B"/>
    <w:rsid w:val="00741F3C"/>
    <w:rsid w:val="0074294B"/>
    <w:rsid w:val="007614AA"/>
    <w:rsid w:val="00775C08"/>
    <w:rsid w:val="00780878"/>
    <w:rsid w:val="007942BD"/>
    <w:rsid w:val="00795CCA"/>
    <w:rsid w:val="00796FE1"/>
    <w:rsid w:val="007A0410"/>
    <w:rsid w:val="007A5035"/>
    <w:rsid w:val="007C3D2A"/>
    <w:rsid w:val="007E69B3"/>
    <w:rsid w:val="007E71AF"/>
    <w:rsid w:val="007E7F19"/>
    <w:rsid w:val="007F0335"/>
    <w:rsid w:val="00810E73"/>
    <w:rsid w:val="00820061"/>
    <w:rsid w:val="00824387"/>
    <w:rsid w:val="0084167B"/>
    <w:rsid w:val="00843308"/>
    <w:rsid w:val="00845E4B"/>
    <w:rsid w:val="00851473"/>
    <w:rsid w:val="00856DD0"/>
    <w:rsid w:val="00860267"/>
    <w:rsid w:val="00861BDE"/>
    <w:rsid w:val="008869AF"/>
    <w:rsid w:val="008A2654"/>
    <w:rsid w:val="008A5AEA"/>
    <w:rsid w:val="008B7CB1"/>
    <w:rsid w:val="008D4146"/>
    <w:rsid w:val="008D6002"/>
    <w:rsid w:val="008E694F"/>
    <w:rsid w:val="008E7EB4"/>
    <w:rsid w:val="009149AC"/>
    <w:rsid w:val="009206ED"/>
    <w:rsid w:val="00921EA8"/>
    <w:rsid w:val="00950A9E"/>
    <w:rsid w:val="00953166"/>
    <w:rsid w:val="00961823"/>
    <w:rsid w:val="00967930"/>
    <w:rsid w:val="00972C07"/>
    <w:rsid w:val="00981880"/>
    <w:rsid w:val="00983B56"/>
    <w:rsid w:val="0098542A"/>
    <w:rsid w:val="00986077"/>
    <w:rsid w:val="00986C41"/>
    <w:rsid w:val="00990870"/>
    <w:rsid w:val="0099514D"/>
    <w:rsid w:val="009965EC"/>
    <w:rsid w:val="00997F5F"/>
    <w:rsid w:val="009A2351"/>
    <w:rsid w:val="009A7EB2"/>
    <w:rsid w:val="009B6FA0"/>
    <w:rsid w:val="009C12CA"/>
    <w:rsid w:val="009D2479"/>
    <w:rsid w:val="009E3BA0"/>
    <w:rsid w:val="009E4F29"/>
    <w:rsid w:val="009E5FD8"/>
    <w:rsid w:val="009F45CC"/>
    <w:rsid w:val="009F4D1C"/>
    <w:rsid w:val="009F4DB4"/>
    <w:rsid w:val="00A00740"/>
    <w:rsid w:val="00A10A09"/>
    <w:rsid w:val="00A117FD"/>
    <w:rsid w:val="00A16CB5"/>
    <w:rsid w:val="00A20BB4"/>
    <w:rsid w:val="00A2596F"/>
    <w:rsid w:val="00A25BF5"/>
    <w:rsid w:val="00A34ED2"/>
    <w:rsid w:val="00A42F22"/>
    <w:rsid w:val="00A5267F"/>
    <w:rsid w:val="00A67505"/>
    <w:rsid w:val="00A719C7"/>
    <w:rsid w:val="00A722D5"/>
    <w:rsid w:val="00A72EE7"/>
    <w:rsid w:val="00A73FE3"/>
    <w:rsid w:val="00A76418"/>
    <w:rsid w:val="00A85881"/>
    <w:rsid w:val="00A90BAB"/>
    <w:rsid w:val="00A91D99"/>
    <w:rsid w:val="00A94AED"/>
    <w:rsid w:val="00AA4774"/>
    <w:rsid w:val="00AB6957"/>
    <w:rsid w:val="00AB7A4F"/>
    <w:rsid w:val="00AC187E"/>
    <w:rsid w:val="00B002FE"/>
    <w:rsid w:val="00B2640C"/>
    <w:rsid w:val="00B50861"/>
    <w:rsid w:val="00B61494"/>
    <w:rsid w:val="00B716A8"/>
    <w:rsid w:val="00B778BC"/>
    <w:rsid w:val="00B830B7"/>
    <w:rsid w:val="00B86B9E"/>
    <w:rsid w:val="00B86C49"/>
    <w:rsid w:val="00B944CC"/>
    <w:rsid w:val="00B96B5B"/>
    <w:rsid w:val="00BA0D32"/>
    <w:rsid w:val="00BA59A6"/>
    <w:rsid w:val="00BA5A05"/>
    <w:rsid w:val="00BB1CDE"/>
    <w:rsid w:val="00BB7333"/>
    <w:rsid w:val="00BE4F64"/>
    <w:rsid w:val="00BE6E2E"/>
    <w:rsid w:val="00BF0199"/>
    <w:rsid w:val="00BF0310"/>
    <w:rsid w:val="00BF3938"/>
    <w:rsid w:val="00BF7366"/>
    <w:rsid w:val="00BF7503"/>
    <w:rsid w:val="00C0391A"/>
    <w:rsid w:val="00C20AF4"/>
    <w:rsid w:val="00C21EA2"/>
    <w:rsid w:val="00C34464"/>
    <w:rsid w:val="00C36F16"/>
    <w:rsid w:val="00C40A37"/>
    <w:rsid w:val="00C53576"/>
    <w:rsid w:val="00C571B2"/>
    <w:rsid w:val="00C60DF5"/>
    <w:rsid w:val="00C63EC5"/>
    <w:rsid w:val="00C72B81"/>
    <w:rsid w:val="00C75252"/>
    <w:rsid w:val="00C8255B"/>
    <w:rsid w:val="00C954EA"/>
    <w:rsid w:val="00CA7D88"/>
    <w:rsid w:val="00CB003A"/>
    <w:rsid w:val="00CB7D0D"/>
    <w:rsid w:val="00CC043F"/>
    <w:rsid w:val="00CC0B33"/>
    <w:rsid w:val="00CC2BCD"/>
    <w:rsid w:val="00CC4534"/>
    <w:rsid w:val="00CD174A"/>
    <w:rsid w:val="00CD58CD"/>
    <w:rsid w:val="00CE2D06"/>
    <w:rsid w:val="00D24A88"/>
    <w:rsid w:val="00D25BC7"/>
    <w:rsid w:val="00D33846"/>
    <w:rsid w:val="00D531F4"/>
    <w:rsid w:val="00D73A71"/>
    <w:rsid w:val="00D81AD6"/>
    <w:rsid w:val="00D8477F"/>
    <w:rsid w:val="00DA35D5"/>
    <w:rsid w:val="00DA5F5B"/>
    <w:rsid w:val="00DB6480"/>
    <w:rsid w:val="00DC35EA"/>
    <w:rsid w:val="00DC3BF4"/>
    <w:rsid w:val="00DD411D"/>
    <w:rsid w:val="00DD6760"/>
    <w:rsid w:val="00E044EB"/>
    <w:rsid w:val="00E20513"/>
    <w:rsid w:val="00E52C6C"/>
    <w:rsid w:val="00E71397"/>
    <w:rsid w:val="00E77A64"/>
    <w:rsid w:val="00E8070F"/>
    <w:rsid w:val="00EA1250"/>
    <w:rsid w:val="00EA7D37"/>
    <w:rsid w:val="00EB5499"/>
    <w:rsid w:val="00EB5E62"/>
    <w:rsid w:val="00EC5FAF"/>
    <w:rsid w:val="00EE0B0E"/>
    <w:rsid w:val="00EF781C"/>
    <w:rsid w:val="00F04487"/>
    <w:rsid w:val="00F10921"/>
    <w:rsid w:val="00F12D20"/>
    <w:rsid w:val="00F23309"/>
    <w:rsid w:val="00F24F5A"/>
    <w:rsid w:val="00F252B6"/>
    <w:rsid w:val="00F27C5F"/>
    <w:rsid w:val="00F31337"/>
    <w:rsid w:val="00F41911"/>
    <w:rsid w:val="00F43DC0"/>
    <w:rsid w:val="00F51DC7"/>
    <w:rsid w:val="00F5307C"/>
    <w:rsid w:val="00F6095F"/>
    <w:rsid w:val="00F64341"/>
    <w:rsid w:val="00F65EA8"/>
    <w:rsid w:val="00F72D0B"/>
    <w:rsid w:val="00F7395C"/>
    <w:rsid w:val="00F8497D"/>
    <w:rsid w:val="00FA49D0"/>
    <w:rsid w:val="00FB7F1C"/>
    <w:rsid w:val="00FC174E"/>
    <w:rsid w:val="00FC2B60"/>
    <w:rsid w:val="00FD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AD6"/>
    <w:pPr>
      <w:keepNext/>
      <w:numPr>
        <w:numId w:val="2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AD6"/>
    <w:pPr>
      <w:keepNext/>
      <w:numPr>
        <w:ilvl w:val="1"/>
        <w:numId w:val="2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AD6"/>
    <w:pPr>
      <w:keepNext/>
      <w:numPr>
        <w:ilvl w:val="2"/>
        <w:numId w:val="2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AD6"/>
    <w:pPr>
      <w:keepNext/>
      <w:numPr>
        <w:ilvl w:val="3"/>
        <w:numId w:val="2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AD6"/>
    <w:pPr>
      <w:numPr>
        <w:ilvl w:val="4"/>
        <w:numId w:val="2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AD6"/>
    <w:pPr>
      <w:numPr>
        <w:ilvl w:val="5"/>
        <w:numId w:val="2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AD6"/>
    <w:pPr>
      <w:numPr>
        <w:ilvl w:val="6"/>
        <w:numId w:val="2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AD6"/>
    <w:pPr>
      <w:numPr>
        <w:ilvl w:val="7"/>
        <w:numId w:val="2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AD6"/>
    <w:pPr>
      <w:numPr>
        <w:ilvl w:val="8"/>
        <w:numId w:val="2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72B81"/>
    <w:pPr>
      <w:ind w:left="72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unhideWhenUsed/>
    <w:rsid w:val="000F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4C2"/>
    <w:pPr>
      <w:widowControl w:val="0"/>
    </w:pPr>
    <w:rPr>
      <w:rFonts w:ascii="Courier" w:hAnsi="Courier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4C2"/>
    <w:rPr>
      <w:rFonts w:ascii="Courier" w:hAnsi="Courier"/>
      <w:snapToGrid w:val="0"/>
    </w:rPr>
  </w:style>
  <w:style w:type="paragraph" w:styleId="FootnoteText">
    <w:name w:val="footnote text"/>
    <w:basedOn w:val="Normal"/>
    <w:link w:val="FootnoteTextChar"/>
    <w:rsid w:val="009C12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12CA"/>
  </w:style>
  <w:style w:type="character" w:styleId="FootnoteReference">
    <w:name w:val="footnote reference"/>
    <w:basedOn w:val="DefaultParagraphFont"/>
    <w:rsid w:val="009C12CA"/>
    <w:rPr>
      <w:vertAlign w:val="superscript"/>
    </w:rPr>
  </w:style>
  <w:style w:type="paragraph" w:styleId="EndnoteText">
    <w:name w:val="endnote text"/>
    <w:basedOn w:val="Normal"/>
    <w:link w:val="EndnoteTextChar"/>
    <w:rsid w:val="00B86B9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86B9E"/>
  </w:style>
  <w:style w:type="character" w:styleId="EndnoteReference">
    <w:name w:val="endnote reference"/>
    <w:basedOn w:val="DefaultParagraphFont"/>
    <w:rsid w:val="00B86B9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8869AF"/>
    <w:pPr>
      <w:widowControl/>
    </w:pPr>
    <w:rPr>
      <w:rFonts w:ascii="Times New Roman" w:hAnsi="Times New Roman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rsid w:val="008869AF"/>
    <w:rPr>
      <w:b/>
      <w:bCs/>
    </w:rPr>
  </w:style>
  <w:style w:type="table" w:styleId="TableGrid">
    <w:name w:val="Table Grid"/>
    <w:basedOn w:val="TableNormal"/>
    <w:uiPriority w:val="59"/>
    <w:rsid w:val="00AA477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81AD6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AD6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1AD6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1AD6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1AD6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AD6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AD6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AD6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AD6"/>
    <w:rPr>
      <w:rFonts w:ascii="Cambria" w:hAnsi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C8F8-EE1A-4A7C-A203-989D39D48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64723-B6A4-4C43-A540-5EF4E676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1961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Treasury, Departmental Offices</vt:lpstr>
    </vt:vector>
  </TitlesOfParts>
  <Company>U.S. Department of the Treasury</Company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Treasury, Departmental Offices</dc:title>
  <dc:creator>reeseci</dc:creator>
  <cp:lastModifiedBy>Reference</cp:lastModifiedBy>
  <cp:revision>3</cp:revision>
  <cp:lastPrinted>2011-04-13T14:34:00Z</cp:lastPrinted>
  <dcterms:created xsi:type="dcterms:W3CDTF">2011-04-22T19:26:00Z</dcterms:created>
  <dcterms:modified xsi:type="dcterms:W3CDTF">2011-04-22T19:27:00Z</dcterms:modified>
</cp:coreProperties>
</file>